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B4E0565">
      <w:pPr>
        <w:jc w:val="both"/>
        <w:rPr>
          <w:rFonts w:hint="eastAsia" w:ascii="宋体" w:hAnsi="宋体" w:eastAsia="宋体" w:cs="宋体"/>
          <w:b/>
          <w:bCs/>
          <w:color w:val="auto"/>
          <w:sz w:val="52"/>
          <w:szCs w:val="52"/>
          <w:highlight w:val="none"/>
        </w:rPr>
      </w:pPr>
      <w:r>
        <w:rPr>
          <w:rFonts w:hint="eastAsia" w:ascii="宋体" w:hAnsi="宋体" w:eastAsia="宋体" w:cs="宋体"/>
          <w:color w:val="auto"/>
          <w:spacing w:val="20"/>
          <w:sz w:val="84"/>
          <w:highlight w:val="none"/>
        </w:rPr>
        <w:t>温州市政府（分散）采购</w:t>
      </w:r>
    </w:p>
    <w:p w14:paraId="6F428B28">
      <w:pPr>
        <w:jc w:val="center"/>
        <w:rPr>
          <w:rFonts w:hint="eastAsia" w:ascii="宋体" w:hAnsi="宋体" w:eastAsia="宋体" w:cs="宋体"/>
          <w:b/>
          <w:bCs/>
          <w:color w:val="auto"/>
          <w:spacing w:val="26"/>
          <w:sz w:val="52"/>
          <w:highlight w:val="none"/>
        </w:rPr>
      </w:pPr>
    </w:p>
    <w:p w14:paraId="3E290796">
      <w:pPr>
        <w:ind w:firstLine="2357" w:firstLineChars="235"/>
        <w:rPr>
          <w:rFonts w:hint="eastAsia" w:ascii="宋体" w:hAnsi="宋体" w:eastAsia="宋体" w:cs="宋体"/>
          <w:b/>
          <w:bCs/>
          <w:color w:val="auto"/>
          <w:spacing w:val="140"/>
          <w:sz w:val="72"/>
          <w:highlight w:val="none"/>
        </w:rPr>
      </w:pPr>
    </w:p>
    <w:p w14:paraId="52BCFE0C">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招 标 文 件</w:t>
      </w:r>
    </w:p>
    <w:tbl>
      <w:tblPr>
        <w:tblStyle w:val="54"/>
        <w:tblW w:w="0" w:type="auto"/>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00"/>
        <w:gridCol w:w="5520"/>
      </w:tblGrid>
      <w:tr w14:paraId="50CF4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00" w:type="dxa"/>
            <w:vAlign w:val="center"/>
          </w:tcPr>
          <w:p w14:paraId="643FB862">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编 号</w:t>
            </w:r>
            <w:r>
              <w:rPr>
                <w:rFonts w:hint="eastAsia" w:ascii="宋体" w:hAnsi="宋体" w:eastAsia="宋体" w:cs="宋体"/>
                <w:b w:val="0"/>
                <w:bCs w:val="0"/>
                <w:color w:val="auto"/>
                <w:spacing w:val="40"/>
                <w:sz w:val="28"/>
                <w:highlight w:val="none"/>
              </w:rPr>
              <w:t>：</w:t>
            </w:r>
          </w:p>
        </w:tc>
        <w:tc>
          <w:tcPr>
            <w:tcW w:w="5520" w:type="dxa"/>
            <w:vAlign w:val="center"/>
          </w:tcPr>
          <w:p w14:paraId="0775E6FE">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pacing w:val="40"/>
                <w:sz w:val="28"/>
                <w:highlight w:val="none"/>
                <w:lang w:eastAsia="zh-CN"/>
              </w:rPr>
              <w:t>WZLCZB（W）-2025-06054</w:t>
            </w:r>
          </w:p>
        </w:tc>
      </w:tr>
      <w:tr w14:paraId="6225A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00" w:type="dxa"/>
            <w:vAlign w:val="center"/>
          </w:tcPr>
          <w:p w14:paraId="798733AB">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5520" w:type="dxa"/>
            <w:vAlign w:val="center"/>
          </w:tcPr>
          <w:p w14:paraId="72C694DD">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瓯越大道接管期保养</w:t>
            </w:r>
          </w:p>
        </w:tc>
      </w:tr>
      <w:tr w14:paraId="2F6D2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00" w:type="dxa"/>
            <w:vAlign w:val="center"/>
          </w:tcPr>
          <w:p w14:paraId="6052189E">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5520" w:type="dxa"/>
            <w:vAlign w:val="center"/>
          </w:tcPr>
          <w:p w14:paraId="76E383BE">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公开招标</w:t>
            </w:r>
          </w:p>
        </w:tc>
      </w:tr>
      <w:tr w14:paraId="7988A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00" w:type="dxa"/>
            <w:vAlign w:val="center"/>
          </w:tcPr>
          <w:p w14:paraId="55EDE2D9">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5520" w:type="dxa"/>
            <w:vAlign w:val="center"/>
          </w:tcPr>
          <w:p w14:paraId="52B2622E">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线上电子招投标</w:t>
            </w:r>
          </w:p>
        </w:tc>
      </w:tr>
    </w:tbl>
    <w:p w14:paraId="4937432D">
      <w:pPr>
        <w:spacing w:line="700" w:lineRule="exact"/>
        <w:ind w:firstLine="723" w:firstLineChars="300"/>
        <w:jc w:val="left"/>
        <w:rPr>
          <w:rFonts w:hint="eastAsia" w:ascii="宋体" w:hAnsi="宋体" w:eastAsia="宋体" w:cs="宋体"/>
          <w:b/>
          <w:bCs/>
          <w:color w:val="auto"/>
          <w:sz w:val="24"/>
          <w:highlight w:val="none"/>
        </w:rPr>
      </w:pPr>
    </w:p>
    <w:p w14:paraId="6F25E22B">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14:paraId="2FE58057">
      <w:pPr>
        <w:spacing w:line="700" w:lineRule="exact"/>
        <w:ind w:left="3802" w:leftChars="540" w:hanging="2668" w:hangingChars="700"/>
        <w:rPr>
          <w:rFonts w:hint="eastAsia" w:ascii="宋体" w:hAnsi="宋体" w:eastAsia="宋体" w:cs="宋体"/>
          <w:b/>
          <w:color w:val="auto"/>
          <w:spacing w:val="40"/>
          <w:sz w:val="30"/>
          <w:szCs w:val="30"/>
          <w:highlight w:val="none"/>
        </w:rPr>
      </w:pPr>
    </w:p>
    <w:p w14:paraId="545A4B85">
      <w:pPr>
        <w:keepNext/>
        <w:spacing w:line="700" w:lineRule="exact"/>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 xml:space="preserve">    </w:t>
      </w:r>
    </w:p>
    <w:p w14:paraId="30BF2E00">
      <w:pPr>
        <w:rPr>
          <w:rFonts w:hint="eastAsia"/>
          <w:color w:val="auto"/>
          <w:highlight w:val="none"/>
        </w:rPr>
      </w:pPr>
    </w:p>
    <w:p w14:paraId="01700FC7">
      <w:pPr>
        <w:rPr>
          <w:rFonts w:hint="eastAsia"/>
          <w:color w:val="auto"/>
          <w:highlight w:val="none"/>
        </w:rPr>
      </w:pPr>
    </w:p>
    <w:p w14:paraId="433582E1">
      <w:pPr>
        <w:rPr>
          <w:rFonts w:hint="eastAsia"/>
          <w:color w:val="auto"/>
          <w:highlight w:val="none"/>
        </w:rPr>
      </w:pPr>
    </w:p>
    <w:p w14:paraId="6948EDD6">
      <w:pPr>
        <w:rPr>
          <w:rFonts w:hint="eastAsia"/>
          <w:color w:val="auto"/>
          <w:highlight w:val="none"/>
        </w:rPr>
      </w:pPr>
    </w:p>
    <w:p w14:paraId="11A4649E">
      <w:pPr>
        <w:rPr>
          <w:rFonts w:hint="eastAsia"/>
          <w:color w:val="auto"/>
          <w:highlight w:val="none"/>
        </w:rPr>
      </w:pPr>
    </w:p>
    <w:p w14:paraId="7E7377C7">
      <w:pPr>
        <w:rPr>
          <w:rFonts w:hint="eastAsia"/>
          <w:color w:val="auto"/>
          <w:highlight w:val="none"/>
        </w:rPr>
      </w:pPr>
    </w:p>
    <w:p w14:paraId="5710763A">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eastAsia="宋体" w:cs="宋体"/>
          <w:color w:val="auto"/>
          <w:spacing w:val="30"/>
          <w:sz w:val="30"/>
          <w:highlight w:val="none"/>
        </w:rPr>
        <w:t>招 标 人:</w:t>
      </w:r>
      <w:r>
        <w:rPr>
          <w:rFonts w:hint="eastAsia" w:ascii="宋体" w:hAnsi="宋体" w:cs="宋体"/>
          <w:color w:val="auto"/>
          <w:spacing w:val="30"/>
          <w:sz w:val="30"/>
          <w:highlight w:val="none"/>
          <w:lang w:eastAsia="zh-CN"/>
        </w:rPr>
        <w:t>温州市市政管理中心</w:t>
      </w:r>
    </w:p>
    <w:p w14:paraId="44B40731">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招标代理机构：温州历程招标有限公司</w:t>
      </w:r>
    </w:p>
    <w:p w14:paraId="4F62B64A">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二0二</w:t>
      </w:r>
      <w:r>
        <w:rPr>
          <w:rFonts w:hint="eastAsia" w:ascii="宋体" w:hAnsi="宋体" w:cs="宋体"/>
          <w:color w:val="auto"/>
          <w:spacing w:val="30"/>
          <w:sz w:val="30"/>
          <w:highlight w:val="none"/>
          <w:lang w:val="en-US" w:eastAsia="zh-CN"/>
        </w:rPr>
        <w:t>五</w:t>
      </w:r>
      <w:r>
        <w:rPr>
          <w:rFonts w:hint="eastAsia" w:ascii="宋体" w:hAnsi="宋体" w:eastAsia="宋体" w:cs="宋体"/>
          <w:color w:val="auto"/>
          <w:spacing w:val="30"/>
          <w:sz w:val="30"/>
          <w:highlight w:val="none"/>
        </w:rPr>
        <w:t>年</w:t>
      </w:r>
    </w:p>
    <w:p w14:paraId="2F3F7EF4">
      <w:pPr>
        <w:rPr>
          <w:rFonts w:hint="eastAsia"/>
          <w:color w:val="auto"/>
          <w:highlight w:val="none"/>
        </w:rPr>
      </w:pPr>
      <w:r>
        <w:rPr>
          <w:rFonts w:hint="eastAsia" w:ascii="宋体" w:hAnsi="宋体" w:eastAsia="宋体" w:cs="宋体"/>
          <w:b/>
          <w:color w:val="auto"/>
          <w:sz w:val="36"/>
          <w:szCs w:val="36"/>
          <w:highlight w:val="none"/>
        </w:rPr>
        <w:br w:type="page"/>
      </w:r>
    </w:p>
    <w:sdt>
      <w:sdtPr>
        <w:rPr>
          <w:rFonts w:hint="eastAsia" w:ascii="宋体" w:hAnsi="宋体" w:eastAsia="宋体" w:cs="宋体"/>
          <w:color w:val="auto"/>
          <w:kern w:val="2"/>
          <w:sz w:val="21"/>
          <w:szCs w:val="24"/>
          <w:highlight w:val="none"/>
          <w:lang w:val="en-US" w:eastAsia="zh-CN" w:bidi="ar-SA"/>
        </w:rPr>
        <w:id w:val="147459729"/>
        <w15:color w:val="DBDBDB"/>
        <w:docPartObj>
          <w:docPartGallery w:val="Table of Contents"/>
          <w:docPartUnique/>
        </w:docPartObj>
      </w:sdtPr>
      <w:sdtEndPr>
        <w:rPr>
          <w:rFonts w:hint="eastAsia" w:ascii="宋体" w:hAnsi="宋体" w:eastAsia="宋体" w:cs="宋体"/>
          <w:color w:val="auto"/>
          <w:kern w:val="2"/>
          <w:sz w:val="21"/>
          <w:szCs w:val="36"/>
          <w:highlight w:val="none"/>
          <w:lang w:val="en-US" w:eastAsia="zh-CN" w:bidi="ar-SA"/>
        </w:rPr>
      </w:sdtEndPr>
      <w:sdtContent>
        <w:p w14:paraId="4A2A1E0D">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p>
        <w:p w14:paraId="5BAABFF9">
          <w:pPr>
            <w:pStyle w:val="37"/>
            <w:tabs>
              <w:tab w:val="right" w:leader="dot" w:pos="9638"/>
            </w:tabs>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目  录</w:t>
          </w:r>
        </w:p>
        <w:p w14:paraId="115B19B3">
          <w:pPr>
            <w:pStyle w:val="37"/>
            <w:tabs>
              <w:tab w:val="right" w:leader="dot" w:pos="9638"/>
            </w:tabs>
            <w:spacing w:line="360" w:lineRule="auto"/>
            <w:rPr>
              <w:color w:val="auto"/>
              <w:sz w:val="22"/>
              <w:szCs w:val="28"/>
              <w:highlight w:val="none"/>
            </w:rPr>
          </w:pPr>
          <w:r>
            <w:rPr>
              <w:rFonts w:hint="eastAsia" w:ascii="宋体" w:hAnsi="宋体" w:eastAsia="宋体" w:cs="宋体"/>
              <w:b/>
              <w:color w:val="auto"/>
              <w:sz w:val="40"/>
              <w:szCs w:val="40"/>
              <w:highlight w:val="none"/>
            </w:rPr>
            <w:fldChar w:fldCharType="begin"/>
          </w:r>
          <w:r>
            <w:rPr>
              <w:rFonts w:hint="eastAsia" w:ascii="宋体" w:hAnsi="宋体" w:eastAsia="宋体" w:cs="宋体"/>
              <w:b/>
              <w:color w:val="auto"/>
              <w:sz w:val="40"/>
              <w:szCs w:val="40"/>
              <w:highlight w:val="none"/>
            </w:rPr>
            <w:instrText xml:space="preserve">TOC \o "1-3" \h \u </w:instrText>
          </w:r>
          <w:r>
            <w:rPr>
              <w:rFonts w:hint="eastAsia" w:ascii="宋体" w:hAnsi="宋体" w:eastAsia="宋体" w:cs="宋体"/>
              <w:b/>
              <w:color w:val="auto"/>
              <w:sz w:val="40"/>
              <w:szCs w:val="40"/>
              <w:highlight w:val="none"/>
            </w:rPr>
            <w:fldChar w:fldCharType="separate"/>
          </w: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_Toc6599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招</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标</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公</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告</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_Toc6599 \h </w:instrText>
          </w:r>
          <w:r>
            <w:rPr>
              <w:color w:val="auto"/>
              <w:sz w:val="22"/>
              <w:szCs w:val="28"/>
              <w:highlight w:val="none"/>
            </w:rPr>
            <w:fldChar w:fldCharType="separate"/>
          </w:r>
          <w:r>
            <w:rPr>
              <w:color w:val="auto"/>
              <w:sz w:val="22"/>
              <w:szCs w:val="28"/>
              <w:highlight w:val="none"/>
            </w:rPr>
            <w:t>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8894892">
          <w:pPr>
            <w:pStyle w:val="3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_Toc10401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第一部分    投标人须知</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_Toc10401 \h </w:instrText>
          </w:r>
          <w:r>
            <w:rPr>
              <w:color w:val="auto"/>
              <w:sz w:val="22"/>
              <w:szCs w:val="28"/>
              <w:highlight w:val="none"/>
            </w:rPr>
            <w:fldChar w:fldCharType="separate"/>
          </w:r>
          <w:r>
            <w:rPr>
              <w:color w:val="auto"/>
              <w:sz w:val="22"/>
              <w:szCs w:val="28"/>
              <w:highlight w:val="none"/>
            </w:rPr>
            <w:t>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C18AE20">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_Toc6224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前 附 表</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_Toc6224 \h </w:instrText>
          </w:r>
          <w:r>
            <w:rPr>
              <w:color w:val="auto"/>
              <w:sz w:val="22"/>
              <w:szCs w:val="28"/>
              <w:highlight w:val="none"/>
            </w:rPr>
            <w:fldChar w:fldCharType="separate"/>
          </w:r>
          <w:r>
            <w:rPr>
              <w:color w:val="auto"/>
              <w:sz w:val="22"/>
              <w:szCs w:val="28"/>
              <w:highlight w:val="none"/>
            </w:rPr>
            <w:t>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19BD1E40">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_Toc19070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一、 说   明</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_Toc19070 \h </w:instrText>
          </w:r>
          <w:r>
            <w:rPr>
              <w:color w:val="auto"/>
              <w:sz w:val="22"/>
              <w:szCs w:val="28"/>
              <w:highlight w:val="none"/>
            </w:rPr>
            <w:fldChar w:fldCharType="separate"/>
          </w:r>
          <w:r>
            <w:rPr>
              <w:color w:val="auto"/>
              <w:sz w:val="22"/>
              <w:szCs w:val="28"/>
              <w:highlight w:val="none"/>
            </w:rPr>
            <w:t>12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10A81A1F">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_Toc28278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二、 招标文件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_Toc28278 \h </w:instrText>
          </w:r>
          <w:r>
            <w:rPr>
              <w:color w:val="auto"/>
              <w:sz w:val="22"/>
              <w:szCs w:val="28"/>
              <w:highlight w:val="none"/>
            </w:rPr>
            <w:fldChar w:fldCharType="separate"/>
          </w:r>
          <w:r>
            <w:rPr>
              <w:color w:val="auto"/>
              <w:sz w:val="22"/>
              <w:szCs w:val="28"/>
              <w:highlight w:val="none"/>
            </w:rPr>
            <w:t>12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014B2A2">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_Toc22646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三、 投标文件的编制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_Toc22646 \h </w:instrText>
          </w:r>
          <w:r>
            <w:rPr>
              <w:color w:val="auto"/>
              <w:sz w:val="22"/>
              <w:szCs w:val="28"/>
              <w:highlight w:val="none"/>
            </w:rPr>
            <w:fldChar w:fldCharType="separate"/>
          </w:r>
          <w:r>
            <w:rPr>
              <w:color w:val="auto"/>
              <w:sz w:val="22"/>
              <w:szCs w:val="28"/>
              <w:highlight w:val="none"/>
            </w:rPr>
            <w:t>13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1422D7A">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_Toc18542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四、 投标文件的递交</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_Toc18542 \h </w:instrText>
          </w:r>
          <w:r>
            <w:rPr>
              <w:color w:val="auto"/>
              <w:sz w:val="22"/>
              <w:szCs w:val="28"/>
              <w:highlight w:val="none"/>
            </w:rPr>
            <w:fldChar w:fldCharType="separate"/>
          </w:r>
          <w:r>
            <w:rPr>
              <w:color w:val="auto"/>
              <w:sz w:val="22"/>
              <w:szCs w:val="28"/>
              <w:highlight w:val="none"/>
            </w:rPr>
            <w:t>17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1D684ED0">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_Toc8079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五、 开标和评标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_Toc8079 \h </w:instrText>
          </w:r>
          <w:r>
            <w:rPr>
              <w:color w:val="auto"/>
              <w:sz w:val="22"/>
              <w:szCs w:val="28"/>
              <w:highlight w:val="none"/>
            </w:rPr>
            <w:fldChar w:fldCharType="separate"/>
          </w:r>
          <w:r>
            <w:rPr>
              <w:color w:val="auto"/>
              <w:sz w:val="22"/>
              <w:szCs w:val="28"/>
              <w:highlight w:val="none"/>
            </w:rPr>
            <w:t>17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9F1A173">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_Toc21056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六、 授予合同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_Toc21056 \h </w:instrText>
          </w:r>
          <w:r>
            <w:rPr>
              <w:color w:val="auto"/>
              <w:sz w:val="22"/>
              <w:szCs w:val="28"/>
              <w:highlight w:val="none"/>
            </w:rPr>
            <w:fldChar w:fldCharType="separate"/>
          </w:r>
          <w:r>
            <w:rPr>
              <w:color w:val="auto"/>
              <w:sz w:val="22"/>
              <w:szCs w:val="28"/>
              <w:highlight w:val="none"/>
            </w:rPr>
            <w:t>21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86D9CDB">
          <w:pPr>
            <w:pStyle w:val="3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_Toc19043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第二部分    合同主要条款</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_Toc19043 \h </w:instrText>
          </w:r>
          <w:r>
            <w:rPr>
              <w:color w:val="auto"/>
              <w:sz w:val="22"/>
              <w:szCs w:val="28"/>
              <w:highlight w:val="none"/>
            </w:rPr>
            <w:fldChar w:fldCharType="separate"/>
          </w:r>
          <w:r>
            <w:rPr>
              <w:color w:val="auto"/>
              <w:sz w:val="22"/>
              <w:szCs w:val="28"/>
              <w:highlight w:val="none"/>
            </w:rPr>
            <w:t>23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70344B64">
          <w:pPr>
            <w:pStyle w:val="3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_Toc18439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第三部分    附件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_Toc18439 \h </w:instrText>
          </w:r>
          <w:r>
            <w:rPr>
              <w:color w:val="auto"/>
              <w:sz w:val="22"/>
              <w:szCs w:val="28"/>
              <w:highlight w:val="none"/>
            </w:rPr>
            <w:fldChar w:fldCharType="separate"/>
          </w:r>
          <w:r>
            <w:rPr>
              <w:color w:val="auto"/>
              <w:sz w:val="22"/>
              <w:szCs w:val="28"/>
              <w:highlight w:val="none"/>
            </w:rPr>
            <w:t>30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258D76B1">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_Toc6368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附件一</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_Toc6368 \h </w:instrText>
          </w:r>
          <w:r>
            <w:rPr>
              <w:color w:val="auto"/>
              <w:sz w:val="22"/>
              <w:szCs w:val="28"/>
              <w:highlight w:val="none"/>
            </w:rPr>
            <w:fldChar w:fldCharType="separate"/>
          </w:r>
          <w:r>
            <w:rPr>
              <w:color w:val="auto"/>
              <w:sz w:val="22"/>
              <w:szCs w:val="28"/>
              <w:highlight w:val="none"/>
            </w:rPr>
            <w:t>35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2FD5472">
          <w:pPr>
            <w:pStyle w:val="2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_Toc5430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报价文件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_Toc5430 \h </w:instrText>
          </w:r>
          <w:r>
            <w:rPr>
              <w:color w:val="auto"/>
              <w:sz w:val="22"/>
              <w:szCs w:val="28"/>
              <w:highlight w:val="none"/>
            </w:rPr>
            <w:fldChar w:fldCharType="separate"/>
          </w:r>
          <w:r>
            <w:rPr>
              <w:color w:val="auto"/>
              <w:sz w:val="22"/>
              <w:szCs w:val="28"/>
              <w:highlight w:val="none"/>
            </w:rPr>
            <w:t>35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0345C9E">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_Toc12035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附件二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_Toc12035 \h </w:instrText>
          </w:r>
          <w:r>
            <w:rPr>
              <w:color w:val="auto"/>
              <w:sz w:val="22"/>
              <w:szCs w:val="28"/>
              <w:highlight w:val="none"/>
            </w:rPr>
            <w:fldChar w:fldCharType="separate"/>
          </w:r>
          <w:r>
            <w:rPr>
              <w:color w:val="auto"/>
              <w:sz w:val="22"/>
              <w:szCs w:val="28"/>
              <w:highlight w:val="none"/>
            </w:rPr>
            <w:t>53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00D7B652">
          <w:pPr>
            <w:pStyle w:val="2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_Toc25309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资格证明文件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_Toc25309 \h </w:instrText>
          </w:r>
          <w:r>
            <w:rPr>
              <w:color w:val="auto"/>
              <w:sz w:val="22"/>
              <w:szCs w:val="28"/>
              <w:highlight w:val="none"/>
            </w:rPr>
            <w:fldChar w:fldCharType="separate"/>
          </w:r>
          <w:r>
            <w:rPr>
              <w:color w:val="auto"/>
              <w:sz w:val="22"/>
              <w:szCs w:val="28"/>
              <w:highlight w:val="none"/>
            </w:rPr>
            <w:t>53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F33E840">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_Toc31356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附件三</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_Toc31356 \h </w:instrText>
          </w:r>
          <w:r>
            <w:rPr>
              <w:color w:val="auto"/>
              <w:sz w:val="22"/>
              <w:szCs w:val="28"/>
              <w:highlight w:val="none"/>
            </w:rPr>
            <w:fldChar w:fldCharType="separate"/>
          </w:r>
          <w:r>
            <w:rPr>
              <w:color w:val="auto"/>
              <w:sz w:val="22"/>
              <w:szCs w:val="28"/>
              <w:highlight w:val="none"/>
            </w:rPr>
            <w:t>53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CECDCEB">
          <w:pPr>
            <w:pStyle w:val="2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_Toc13639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lang w:val="zh-CN"/>
            </w:rPr>
            <w:t>商务技术文件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_Toc13639 \h </w:instrText>
          </w:r>
          <w:r>
            <w:rPr>
              <w:color w:val="auto"/>
              <w:sz w:val="22"/>
              <w:szCs w:val="28"/>
              <w:highlight w:val="none"/>
            </w:rPr>
            <w:fldChar w:fldCharType="separate"/>
          </w:r>
          <w:r>
            <w:rPr>
              <w:color w:val="auto"/>
              <w:sz w:val="22"/>
              <w:szCs w:val="28"/>
              <w:highlight w:val="none"/>
            </w:rPr>
            <w:t>63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11CD374">
          <w:pPr>
            <w:pStyle w:val="3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_Toc3381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 xml:space="preserve">第四部分 </w:t>
          </w:r>
          <w:r>
            <w:rPr>
              <w:rFonts w:hint="eastAsia" w:ascii="宋体" w:hAnsi="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项目技术规范和服务要求</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_Toc3381 \h </w:instrText>
          </w:r>
          <w:r>
            <w:rPr>
              <w:color w:val="auto"/>
              <w:sz w:val="22"/>
              <w:szCs w:val="28"/>
              <w:highlight w:val="none"/>
            </w:rPr>
            <w:fldChar w:fldCharType="separate"/>
          </w:r>
          <w:r>
            <w:rPr>
              <w:color w:val="auto"/>
              <w:sz w:val="22"/>
              <w:szCs w:val="28"/>
              <w:highlight w:val="none"/>
            </w:rPr>
            <w:t>82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0D84C9B">
          <w:pPr>
            <w:pStyle w:val="3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_Toc18194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第五部分   评标原则及方法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_Toc18194 \h </w:instrText>
          </w:r>
          <w:r>
            <w:rPr>
              <w:color w:val="auto"/>
              <w:sz w:val="22"/>
              <w:szCs w:val="28"/>
              <w:highlight w:val="none"/>
            </w:rPr>
            <w:fldChar w:fldCharType="separate"/>
          </w:r>
          <w:r>
            <w:rPr>
              <w:color w:val="auto"/>
              <w:sz w:val="22"/>
              <w:szCs w:val="28"/>
              <w:highlight w:val="none"/>
            </w:rPr>
            <w:t>97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042C71B">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_Toc15713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一、总 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_Toc15713 \h </w:instrText>
          </w:r>
          <w:r>
            <w:rPr>
              <w:color w:val="auto"/>
              <w:sz w:val="22"/>
              <w:szCs w:val="28"/>
              <w:highlight w:val="none"/>
            </w:rPr>
            <w:fldChar w:fldCharType="separate"/>
          </w:r>
          <w:r>
            <w:rPr>
              <w:color w:val="auto"/>
              <w:sz w:val="22"/>
              <w:szCs w:val="28"/>
              <w:highlight w:val="none"/>
            </w:rPr>
            <w:t>98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0737107D">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_Toc23152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二、评标组织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_Toc23152 \h </w:instrText>
          </w:r>
          <w:r>
            <w:rPr>
              <w:color w:val="auto"/>
              <w:sz w:val="22"/>
              <w:szCs w:val="28"/>
              <w:highlight w:val="none"/>
            </w:rPr>
            <w:fldChar w:fldCharType="separate"/>
          </w:r>
          <w:r>
            <w:rPr>
              <w:color w:val="auto"/>
              <w:sz w:val="22"/>
              <w:szCs w:val="28"/>
              <w:highlight w:val="none"/>
            </w:rPr>
            <w:t>98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F55D641">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_Toc67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三、评标程序</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_Toc67 \h </w:instrText>
          </w:r>
          <w:r>
            <w:rPr>
              <w:color w:val="auto"/>
              <w:sz w:val="22"/>
              <w:szCs w:val="28"/>
              <w:highlight w:val="none"/>
            </w:rPr>
            <w:fldChar w:fldCharType="separate"/>
          </w:r>
          <w:r>
            <w:rPr>
              <w:color w:val="auto"/>
              <w:sz w:val="22"/>
              <w:szCs w:val="28"/>
              <w:highlight w:val="none"/>
            </w:rPr>
            <w:t>98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06B3AEDF">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_Toc24825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四、评标办法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_Toc24825 \h </w:instrText>
          </w:r>
          <w:r>
            <w:rPr>
              <w:color w:val="auto"/>
              <w:sz w:val="22"/>
              <w:szCs w:val="28"/>
              <w:highlight w:val="none"/>
            </w:rPr>
            <w:fldChar w:fldCharType="separate"/>
          </w:r>
          <w:r>
            <w:rPr>
              <w:color w:val="auto"/>
              <w:sz w:val="22"/>
              <w:szCs w:val="28"/>
              <w:highlight w:val="none"/>
            </w:rPr>
            <w:t>98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16B55C29">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_Toc11450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五、评分细则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_Toc11450 \h </w:instrText>
          </w:r>
          <w:r>
            <w:rPr>
              <w:color w:val="auto"/>
              <w:sz w:val="22"/>
              <w:szCs w:val="28"/>
              <w:highlight w:val="none"/>
            </w:rPr>
            <w:fldChar w:fldCharType="separate"/>
          </w:r>
          <w:r>
            <w:rPr>
              <w:color w:val="auto"/>
              <w:sz w:val="22"/>
              <w:szCs w:val="28"/>
              <w:highlight w:val="none"/>
            </w:rPr>
            <w:t>98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79163E5D">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_Toc4727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六、定标办法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_Toc4727 \h </w:instrText>
          </w:r>
          <w:r>
            <w:rPr>
              <w:color w:val="auto"/>
              <w:sz w:val="22"/>
              <w:szCs w:val="28"/>
              <w:highlight w:val="none"/>
            </w:rPr>
            <w:fldChar w:fldCharType="separate"/>
          </w:r>
          <w:r>
            <w:rPr>
              <w:color w:val="auto"/>
              <w:sz w:val="22"/>
              <w:szCs w:val="28"/>
              <w:highlight w:val="none"/>
            </w:rPr>
            <w:t>103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2D68E8A">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_Toc3629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七、投标人义务</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_Toc3629 \h </w:instrText>
          </w:r>
          <w:r>
            <w:rPr>
              <w:color w:val="auto"/>
              <w:sz w:val="22"/>
              <w:szCs w:val="28"/>
              <w:highlight w:val="none"/>
            </w:rPr>
            <w:fldChar w:fldCharType="separate"/>
          </w:r>
          <w:r>
            <w:rPr>
              <w:color w:val="auto"/>
              <w:sz w:val="22"/>
              <w:szCs w:val="28"/>
              <w:highlight w:val="none"/>
            </w:rPr>
            <w:t>103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25DAD1F7">
          <w:pPr>
            <w:spacing w:line="360" w:lineRule="auto"/>
            <w:ind w:firstLine="1870" w:firstLineChars="850"/>
            <w:rPr>
              <w:rFonts w:hint="eastAsia" w:ascii="宋体" w:hAnsi="宋体" w:eastAsia="宋体" w:cs="宋体"/>
              <w:b/>
              <w:color w:val="auto"/>
              <w:sz w:val="22"/>
              <w:szCs w:val="22"/>
              <w:highlight w:val="none"/>
            </w:rPr>
          </w:pPr>
          <w:r>
            <w:rPr>
              <w:rFonts w:hint="eastAsia" w:ascii="宋体" w:hAnsi="宋体" w:eastAsia="宋体" w:cs="宋体"/>
              <w:color w:val="auto"/>
              <w:sz w:val="22"/>
              <w:szCs w:val="40"/>
              <w:highlight w:val="none"/>
            </w:rPr>
            <w:fldChar w:fldCharType="end"/>
          </w:r>
        </w:p>
      </w:sdtContent>
    </w:sdt>
    <w:p w14:paraId="62874D51">
      <w:pPr>
        <w:rPr>
          <w:rFonts w:hint="eastAsia" w:ascii="宋体" w:hAnsi="宋体" w:eastAsia="宋体" w:cs="宋体"/>
          <w:color w:val="auto"/>
          <w:highlight w:val="none"/>
        </w:rPr>
      </w:pPr>
      <w:bookmarkStart w:id="0" w:name="_Toc32649"/>
      <w:bookmarkStart w:id="1" w:name="_Toc6599"/>
      <w:r>
        <w:rPr>
          <w:rFonts w:hint="eastAsia" w:ascii="宋体" w:hAnsi="宋体" w:eastAsia="宋体" w:cs="宋体"/>
          <w:color w:val="auto"/>
          <w:highlight w:val="none"/>
        </w:rPr>
        <w:br w:type="page"/>
      </w:r>
    </w:p>
    <w:p w14:paraId="6B138DE6">
      <w:pPr>
        <w:pStyle w:val="3"/>
        <w:bidi w:val="0"/>
        <w:rPr>
          <w:rFonts w:hint="eastAsia" w:ascii="宋体" w:hAnsi="宋体" w:eastAsia="宋体" w:cs="宋体"/>
          <w:b/>
          <w:color w:val="auto"/>
          <w:highlight w:val="none"/>
        </w:rPr>
      </w:pPr>
      <w:r>
        <w:rPr>
          <w:rFonts w:hint="eastAsia" w:ascii="宋体" w:hAnsi="宋体" w:eastAsia="宋体" w:cs="宋体"/>
          <w:color w:val="auto"/>
          <w:highlight w:val="none"/>
        </w:rPr>
        <w:t>招</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标</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公</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告</w:t>
      </w:r>
      <w:bookmarkEnd w:id="0"/>
      <w:bookmarkEnd w:id="1"/>
    </w:p>
    <w:p w14:paraId="6E8D13BE">
      <w:pPr>
        <w:tabs>
          <w:tab w:val="left" w:pos="360"/>
        </w:tabs>
        <w:spacing w:line="460" w:lineRule="exact"/>
        <w:ind w:firstLine="552" w:firstLineChars="250"/>
        <w:rPr>
          <w:rFonts w:hint="eastAsia" w:ascii="宋体" w:hAnsi="宋体" w:eastAsia="宋体" w:cs="宋体"/>
          <w:b/>
          <w:bCs/>
          <w:color w:val="auto"/>
          <w:sz w:val="22"/>
          <w:highlight w:val="none"/>
        </w:rPr>
      </w:pPr>
      <w:r>
        <w:rPr>
          <w:b/>
          <w:bCs/>
          <w:color w:val="auto"/>
          <w:sz w:val="22"/>
          <w:highlight w:val="none"/>
        </w:rPr>
        <mc:AlternateContent>
          <mc:Choice Requires="wps">
            <w:drawing>
              <wp:anchor distT="0" distB="0" distL="114300" distR="114300" simplePos="0" relativeHeight="251659264" behindDoc="0" locked="0" layoutInCell="1" allowOverlap="1">
                <wp:simplePos x="0" y="0"/>
                <wp:positionH relativeFrom="column">
                  <wp:posOffset>-196850</wp:posOffset>
                </wp:positionH>
                <wp:positionV relativeFrom="paragraph">
                  <wp:posOffset>3810</wp:posOffset>
                </wp:positionV>
                <wp:extent cx="6499225" cy="905510"/>
                <wp:effectExtent l="6350" t="6350" r="9525" b="21590"/>
                <wp:wrapNone/>
                <wp:docPr id="1" name="矩形 1"/>
                <wp:cNvGraphicFramePr/>
                <a:graphic xmlns:a="http://schemas.openxmlformats.org/drawingml/2006/main">
                  <a:graphicData uri="http://schemas.microsoft.com/office/word/2010/wordprocessingShape">
                    <wps:wsp>
                      <wps:cNvSpPr/>
                      <wps:spPr>
                        <a:xfrm>
                          <a:off x="0" y="0"/>
                          <a:ext cx="6499225" cy="905510"/>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15.5pt;margin-top:0.3pt;height:71.3pt;width:511.75pt;z-index:251659264;v-text-anchor:middle;mso-width-relative:page;mso-height-relative:page;" filled="f" stroked="t" coordsize="21600,21600" o:gfxdata="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ahXntgAAAAIAQAADwAAAAAAAAABACAAAAAiAAAAZHJz&#10;L2Rvd25yZXYueG1sUEsBAhQAFAAAAAgAh07iQA1/WNkEAgAAEQQAAA4AAAAAAAAAAQAgAAAAJwEA&#10;AGRycy9lMm9Eb2MueG1sUEsFBgAAAAAGAAYAWQEAAJ0FAAAAAA==&#10;">
                <v:fill on="f" focussize="0,0"/>
                <v:stroke weight="1pt" color="#000000" joinstyle="round"/>
                <v:imagedata o:title=""/>
                <o:lock v:ext="edit" aspectratio="f"/>
              </v:rect>
            </w:pict>
          </mc:Fallback>
        </mc:AlternateContent>
      </w:r>
      <w:r>
        <w:rPr>
          <w:rFonts w:hint="eastAsia" w:ascii="宋体" w:hAnsi="宋体" w:eastAsia="宋体" w:cs="宋体"/>
          <w:b/>
          <w:bCs/>
          <w:color w:val="auto"/>
          <w:sz w:val="22"/>
          <w:highlight w:val="none"/>
        </w:rPr>
        <w:t>项目概况</w:t>
      </w:r>
    </w:p>
    <w:p w14:paraId="1DF4D9C6">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cs="宋体"/>
          <w:color w:val="auto"/>
          <w:sz w:val="22"/>
          <w:highlight w:val="none"/>
          <w:lang w:eastAsia="zh-CN"/>
        </w:rPr>
        <w:t>瓯越大道接管期保养</w:t>
      </w:r>
      <w:r>
        <w:rPr>
          <w:rFonts w:hint="eastAsia" w:ascii="宋体" w:hAnsi="宋体" w:eastAsia="宋体" w:cs="宋体"/>
          <w:color w:val="auto"/>
          <w:sz w:val="22"/>
          <w:highlight w:val="none"/>
        </w:rPr>
        <w:t>招标项目的潜在投标人应在浙江政府采购网获取（下载）招标文件，并于2025年7月11日</w:t>
      </w:r>
      <w:r>
        <w:rPr>
          <w:rFonts w:hint="eastAsia" w:ascii="宋体" w:hAnsi="宋体" w:cs="宋体"/>
          <w:color w:val="auto"/>
          <w:sz w:val="22"/>
          <w:highlight w:val="none"/>
          <w:lang w:val="en-US" w:eastAsia="zh-CN"/>
        </w:rPr>
        <w:t>14</w:t>
      </w:r>
      <w:r>
        <w:rPr>
          <w:rFonts w:hint="eastAsia" w:ascii="宋体" w:hAnsi="宋体" w:eastAsia="宋体" w:cs="宋体"/>
          <w:color w:val="auto"/>
          <w:sz w:val="22"/>
          <w:highlight w:val="none"/>
        </w:rPr>
        <w:t>点30</w:t>
      </w:r>
      <w:r>
        <w:rPr>
          <w:rFonts w:hint="eastAsia" w:ascii="宋体" w:hAnsi="宋体" w:cs="宋体"/>
          <w:color w:val="auto"/>
          <w:sz w:val="22"/>
          <w:highlight w:val="none"/>
          <w:lang w:val="en-US" w:eastAsia="zh-CN"/>
        </w:rPr>
        <w:t>分</w:t>
      </w:r>
      <w:r>
        <w:rPr>
          <w:rFonts w:hint="eastAsia" w:ascii="宋体" w:hAnsi="宋体" w:eastAsia="宋体" w:cs="宋体"/>
          <w:color w:val="auto"/>
          <w:sz w:val="22"/>
          <w:highlight w:val="none"/>
        </w:rPr>
        <w:t>（北京时间）前递交（上传）投标文件。</w:t>
      </w:r>
    </w:p>
    <w:p w14:paraId="66CB4C6E">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rPr>
        <w:t>一、项目基本情况</w:t>
      </w:r>
      <w:r>
        <w:rPr>
          <w:rFonts w:hint="eastAsia"/>
          <w:color w:val="auto"/>
          <w:sz w:val="22"/>
          <w:szCs w:val="22"/>
          <w:highlight w:val="none"/>
          <w:u w:val="none"/>
          <w:lang w:val="en-US" w:eastAsia="zh-CN"/>
        </w:rPr>
        <w:t>                                           </w:t>
      </w:r>
    </w:p>
    <w:p w14:paraId="1876C16C">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项目编号：</w:t>
      </w:r>
      <w:r>
        <w:rPr>
          <w:rFonts w:hint="eastAsia"/>
          <w:color w:val="auto"/>
          <w:sz w:val="22"/>
          <w:szCs w:val="22"/>
          <w:highlight w:val="none"/>
          <w:u w:val="none"/>
          <w:lang w:eastAsia="zh-CN"/>
        </w:rPr>
        <w:t>WZLCZB（W）-2025-06054</w:t>
      </w:r>
      <w:r>
        <w:rPr>
          <w:rFonts w:hint="eastAsia"/>
          <w:color w:val="auto"/>
          <w:sz w:val="22"/>
          <w:szCs w:val="22"/>
          <w:highlight w:val="none"/>
          <w:u w:val="none"/>
          <w:lang w:val="en-US" w:eastAsia="zh-CN"/>
        </w:rPr>
        <w:t> </w:t>
      </w:r>
    </w:p>
    <w:p w14:paraId="6035B9A1">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项目名称：</w:t>
      </w:r>
      <w:r>
        <w:rPr>
          <w:rFonts w:hint="eastAsia"/>
          <w:color w:val="auto"/>
          <w:sz w:val="22"/>
          <w:szCs w:val="22"/>
          <w:highlight w:val="none"/>
          <w:u w:val="none"/>
          <w:lang w:eastAsia="zh-CN"/>
        </w:rPr>
        <w:t>瓯越大道接管期保养</w:t>
      </w:r>
    </w:p>
    <w:p w14:paraId="7E818D7E">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预算金额（元）：1460000  </w:t>
      </w:r>
    </w:p>
    <w:p w14:paraId="1461CD3C">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最高限价（元）：1460000 </w:t>
      </w:r>
    </w:p>
    <w:p w14:paraId="1F7BD859">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采购需求：</w:t>
      </w:r>
    </w:p>
    <w:p w14:paraId="0AB18BF0">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标项名称:</w:t>
      </w:r>
      <w:r>
        <w:rPr>
          <w:rFonts w:hint="eastAsia"/>
          <w:color w:val="auto"/>
          <w:sz w:val="22"/>
          <w:szCs w:val="22"/>
          <w:highlight w:val="none"/>
          <w:u w:val="none"/>
          <w:lang w:eastAsia="zh-CN"/>
        </w:rPr>
        <w:t>瓯越大道接管期保养</w:t>
      </w:r>
      <w:r>
        <w:rPr>
          <w:rFonts w:hint="eastAsia"/>
          <w:color w:val="auto"/>
          <w:sz w:val="22"/>
          <w:szCs w:val="22"/>
          <w:highlight w:val="none"/>
          <w:u w:val="none"/>
          <w:lang w:val="en-US" w:eastAsia="zh-CN"/>
        </w:rPr>
        <w:t> </w:t>
      </w:r>
    </w:p>
    <w:p w14:paraId="0A159989">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数量:1项  </w:t>
      </w:r>
    </w:p>
    <w:p w14:paraId="237C28D3">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预算金额（元）:1460000 </w:t>
      </w:r>
    </w:p>
    <w:p w14:paraId="7C40A35A">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简要规格描述或项目基本概况介绍、用途：具体详见招标文件 </w:t>
      </w:r>
    </w:p>
    <w:p w14:paraId="0F793911">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备注： </w:t>
      </w:r>
    </w:p>
    <w:p w14:paraId="79689D2C">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合同履约期限：标项 1，具体详见招标文件</w:t>
      </w:r>
    </w:p>
    <w:p w14:paraId="6DFD4476">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lang w:val="en-US" w:eastAsia="zh-CN"/>
        </w:rPr>
        <w:t>本项目（否）接受联合体投标。</w:t>
      </w:r>
    </w:p>
    <w:p w14:paraId="3768D5B6">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lang w:val="en-US" w:eastAsia="zh-CN"/>
        </w:rPr>
        <w:t>二、申请人的资格要求：</w:t>
      </w:r>
    </w:p>
    <w:p w14:paraId="1C6BF91A">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3CE214E6">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2.落实政府采购政策需满足的资格要求：标项1：如参加投标的供应商为大型企业或中型企业的，则要求以分包形式参加（分包企业不超过2家），并在投标文件中提供中小企业声明函和分包协议书（要求合同金额的40%预留给中小企业，其中给小微企业的预留比例不低于70%）；如果供应商本身提供所有标的均由小微企业承接（须提供中小企业声明函），视同符合资格条件。 </w:t>
      </w:r>
    </w:p>
    <w:p w14:paraId="5BF5CADC">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3.本项目的特定资格要求：投标单位必须</w:t>
      </w:r>
      <w:r>
        <w:rPr>
          <w:rFonts w:hint="eastAsia"/>
          <w:sz w:val="22"/>
          <w:szCs w:val="22"/>
          <w:lang w:val="en-US" w:eastAsia="zh-CN"/>
        </w:rPr>
        <w:t>具有</w:t>
      </w:r>
      <w:r>
        <w:rPr>
          <w:rFonts w:hint="eastAsia"/>
          <w:color w:val="auto"/>
          <w:sz w:val="22"/>
          <w:szCs w:val="22"/>
          <w:highlight w:val="none"/>
          <w:u w:val="none"/>
          <w:lang w:val="en-US" w:eastAsia="zh-CN"/>
        </w:rPr>
        <w:t>：具有市政公用工程施工总承包企业资质贰级及以上资质或桥梁工程专业承包资质一级及以上。</w:t>
      </w:r>
    </w:p>
    <w:p w14:paraId="7B403667">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lang w:val="en-US" w:eastAsia="zh-CN"/>
        </w:rPr>
      </w:pPr>
      <w:r>
        <w:rPr>
          <w:rFonts w:hint="eastAsia"/>
          <w:sz w:val="22"/>
          <w:szCs w:val="22"/>
          <w:lang w:val="en-US" w:eastAsia="zh-CN"/>
        </w:rPr>
        <w:t>投标单位或分包企业一家单位必须同时具有（1、3）或（2、3）资格：</w:t>
      </w:r>
    </w:p>
    <w:p w14:paraId="21E034A5">
      <w:pPr>
        <w:pStyle w:val="4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color w:val="auto"/>
          <w:sz w:val="22"/>
          <w:szCs w:val="22"/>
          <w:highlight w:val="none"/>
        </w:rPr>
      </w:pPr>
      <w:r>
        <w:rPr>
          <w:rFonts w:hint="eastAsia" w:cs="宋体"/>
          <w:b w:val="0"/>
          <w:bCs w:val="0"/>
          <w:color w:val="auto"/>
          <w:sz w:val="22"/>
          <w:szCs w:val="22"/>
          <w:highlight w:val="none"/>
          <w:u w:val="none"/>
          <w:lang w:val="en-US" w:eastAsia="zh-CN"/>
        </w:rPr>
        <w:t>（1）</w:t>
      </w:r>
      <w:r>
        <w:rPr>
          <w:rFonts w:hint="eastAsia" w:ascii="宋体" w:hAnsi="宋体" w:eastAsia="宋体" w:cs="宋体"/>
          <w:b w:val="0"/>
          <w:bCs w:val="0"/>
          <w:color w:val="auto"/>
          <w:sz w:val="22"/>
          <w:szCs w:val="22"/>
          <w:highlight w:val="none"/>
          <w:u w:val="none"/>
          <w:lang w:val="en-US" w:eastAsia="zh-CN"/>
        </w:rPr>
        <w:t>具有省级及以上建设主管部门颁发的建设工程质量检测机构资质：有效的市政桥梁检测资质或桥梁与地下工程专项检测资质或检测机构综合资质；</w:t>
      </w:r>
    </w:p>
    <w:p w14:paraId="470FEF61">
      <w:pPr>
        <w:pStyle w:val="4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ascii="宋体" w:hAnsi="宋体" w:cs="宋体"/>
          <w:b w:val="0"/>
          <w:bCs w:val="0"/>
          <w:color w:val="auto"/>
          <w:sz w:val="22"/>
          <w:szCs w:val="22"/>
          <w:highlight w:val="none"/>
          <w:u w:val="none"/>
          <w:lang w:val="en-US" w:eastAsia="zh-CN"/>
        </w:rPr>
      </w:pPr>
      <w:r>
        <w:rPr>
          <w:rFonts w:hint="eastAsia" w:cs="宋体"/>
          <w:b w:val="0"/>
          <w:bCs w:val="0"/>
          <w:color w:val="auto"/>
          <w:sz w:val="22"/>
          <w:szCs w:val="22"/>
          <w:highlight w:val="none"/>
          <w:u w:val="none"/>
          <w:lang w:val="en-US" w:eastAsia="zh-CN"/>
        </w:rPr>
        <w:t>（2）具有交通运输部门颁发的公路工程试验检测综合甲级资质或公路工程桥梁隧道工程专项检测资质</w:t>
      </w:r>
      <w:r>
        <w:rPr>
          <w:rFonts w:hint="eastAsia" w:ascii="宋体" w:hAnsi="宋体" w:cs="宋体"/>
          <w:b w:val="0"/>
          <w:bCs w:val="0"/>
          <w:color w:val="auto"/>
          <w:sz w:val="22"/>
          <w:szCs w:val="22"/>
          <w:highlight w:val="none"/>
          <w:u w:val="none"/>
          <w:lang w:val="en-US" w:eastAsia="zh-CN"/>
        </w:rPr>
        <w:t>，独立法人单位下属的非独立法人具有检测资质的视为该独立法人单位具有相应资质（证书需在有效期内，资质证书已到期，但在公路水运工程质量检测管理信息系统（https://www.ttiis.cn/）中相关证书状态显示有效的，本次投标予以认可。）</w:t>
      </w:r>
      <w:r>
        <w:rPr>
          <w:rFonts w:hint="eastAsia" w:cs="宋体"/>
          <w:b w:val="0"/>
          <w:bCs w:val="0"/>
          <w:color w:val="auto"/>
          <w:sz w:val="22"/>
          <w:szCs w:val="22"/>
          <w:highlight w:val="none"/>
          <w:u w:val="none"/>
          <w:lang w:val="en-US" w:eastAsia="zh-CN"/>
        </w:rPr>
        <w:t xml:space="preserve"> </w:t>
      </w:r>
    </w:p>
    <w:p w14:paraId="1D503992">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cs="宋体"/>
          <w:b w:val="0"/>
          <w:bCs w:val="0"/>
          <w:color w:val="auto"/>
          <w:sz w:val="22"/>
          <w:szCs w:val="22"/>
          <w:highlight w:val="none"/>
          <w:u w:val="none"/>
          <w:lang w:val="en-US" w:eastAsia="zh-CN"/>
        </w:rPr>
      </w:pPr>
      <w:r>
        <w:rPr>
          <w:rFonts w:hint="eastAsia" w:cs="宋体"/>
          <w:b w:val="0"/>
          <w:bCs w:val="0"/>
          <w:color w:val="auto"/>
          <w:sz w:val="22"/>
          <w:szCs w:val="22"/>
          <w:highlight w:val="none"/>
          <w:u w:val="none"/>
          <w:lang w:val="en-US" w:eastAsia="zh-CN"/>
        </w:rPr>
        <w:t>（3）</w:t>
      </w:r>
      <w:r>
        <w:rPr>
          <w:rFonts w:hint="eastAsia" w:ascii="宋体" w:hAnsi="宋体" w:eastAsia="宋体" w:cs="宋体"/>
          <w:b w:val="0"/>
          <w:bCs w:val="0"/>
          <w:color w:val="auto"/>
          <w:sz w:val="22"/>
          <w:szCs w:val="22"/>
          <w:highlight w:val="none"/>
          <w:u w:val="none"/>
          <w:lang w:val="en-US" w:eastAsia="zh-CN"/>
        </w:rPr>
        <w:t>具有省级及以上计量主管部门颁发的有效CMA计量认证证书和含有桥梁检测相关项目的有效CMA计量认证证书附表</w:t>
      </w:r>
      <w:r>
        <w:rPr>
          <w:rFonts w:hint="eastAsia" w:ascii="宋体" w:hAnsi="宋体" w:cs="宋体"/>
          <w:b w:val="0"/>
          <w:bCs w:val="0"/>
          <w:color w:val="auto"/>
          <w:sz w:val="22"/>
          <w:szCs w:val="22"/>
          <w:highlight w:val="none"/>
          <w:u w:val="none"/>
          <w:lang w:val="en-US" w:eastAsia="zh-CN"/>
        </w:rPr>
        <w:t>；</w:t>
      </w:r>
    </w:p>
    <w:p w14:paraId="2FA9CDAE">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三、获取招标文件 </w:t>
      </w:r>
    </w:p>
    <w:p w14:paraId="7FB01CB1">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时间：</w:t>
      </w:r>
      <w:r>
        <w:rPr>
          <w:rFonts w:hint="eastAsia"/>
          <w:color w:val="auto"/>
          <w:sz w:val="22"/>
          <w:szCs w:val="22"/>
          <w:highlight w:val="none"/>
          <w:u w:val="none"/>
          <w:lang w:val="en-US" w:eastAsia="zh-CN"/>
        </w:rPr>
        <w:t>2025年6月20日</w:t>
      </w:r>
      <w:r>
        <w:rPr>
          <w:rFonts w:hint="eastAsia"/>
          <w:color w:val="auto"/>
          <w:sz w:val="22"/>
          <w:szCs w:val="22"/>
          <w:highlight w:val="none"/>
          <w:u w:val="none"/>
        </w:rPr>
        <w:t>至</w:t>
      </w:r>
      <w:r>
        <w:rPr>
          <w:rFonts w:hint="eastAsia"/>
          <w:color w:val="auto"/>
          <w:sz w:val="22"/>
          <w:szCs w:val="22"/>
          <w:highlight w:val="none"/>
          <w:u w:val="none"/>
          <w:lang w:eastAsia="zh-CN"/>
        </w:rPr>
        <w:t>202</w:t>
      </w:r>
      <w:r>
        <w:rPr>
          <w:rFonts w:hint="eastAsia"/>
          <w:color w:val="auto"/>
          <w:sz w:val="22"/>
          <w:szCs w:val="22"/>
          <w:highlight w:val="none"/>
          <w:u w:val="none"/>
          <w:lang w:val="en-US" w:eastAsia="zh-CN"/>
        </w:rPr>
        <w:t>5</w:t>
      </w:r>
      <w:r>
        <w:rPr>
          <w:rFonts w:hint="eastAsia"/>
          <w:color w:val="auto"/>
          <w:sz w:val="22"/>
          <w:szCs w:val="22"/>
          <w:highlight w:val="none"/>
          <w:u w:val="none"/>
          <w:lang w:eastAsia="zh-CN"/>
        </w:rPr>
        <w:t>年</w:t>
      </w:r>
      <w:r>
        <w:rPr>
          <w:rFonts w:hint="eastAsia"/>
          <w:color w:val="auto"/>
          <w:sz w:val="22"/>
          <w:szCs w:val="22"/>
          <w:highlight w:val="none"/>
          <w:u w:val="none"/>
          <w:lang w:val="en-US" w:eastAsia="zh-CN"/>
        </w:rPr>
        <w:t>7</w:t>
      </w:r>
      <w:r>
        <w:rPr>
          <w:rFonts w:hint="eastAsia"/>
          <w:color w:val="auto"/>
          <w:sz w:val="22"/>
          <w:szCs w:val="22"/>
          <w:highlight w:val="none"/>
          <w:u w:val="none"/>
        </w:rPr>
        <w:t>月</w:t>
      </w:r>
      <w:r>
        <w:rPr>
          <w:rFonts w:hint="eastAsia"/>
          <w:color w:val="auto"/>
          <w:sz w:val="22"/>
          <w:szCs w:val="22"/>
          <w:highlight w:val="none"/>
          <w:u w:val="none"/>
          <w:lang w:val="en-US" w:eastAsia="zh-CN"/>
        </w:rPr>
        <w:t>11</w:t>
      </w:r>
      <w:r>
        <w:rPr>
          <w:rFonts w:hint="eastAsia"/>
          <w:color w:val="auto"/>
          <w:sz w:val="22"/>
          <w:szCs w:val="22"/>
          <w:highlight w:val="none"/>
          <w:u w:val="none"/>
        </w:rPr>
        <w:t>日，每天上午00:00至12:00，下午12:00至23:59（北京时间，线上获取法定节假日均可，线下获取文件法定节假日除外）</w:t>
      </w:r>
    </w:p>
    <w:p w14:paraId="7454D541">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地点（网址）：浙江政府采购网（https://zfcg.czt.zj.gov.cn/） </w:t>
      </w:r>
    </w:p>
    <w:p w14:paraId="7B25BF1E">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方式：供应商登录政采云平台https://www.zcygov.cn/在线申请获取采购文件（进入“项目采购”应用，在获取采购文件菜单中选择项目，申请获取采购文件）</w:t>
      </w:r>
    </w:p>
    <w:p w14:paraId="7ECDD044">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售价（元）：0 </w:t>
      </w:r>
    </w:p>
    <w:p w14:paraId="2AEFFCF2">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四、提交投标文件截止时间、开标时间和地点</w:t>
      </w:r>
    </w:p>
    <w:p w14:paraId="2BC5186C">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提交投标文件截止时间：</w:t>
      </w:r>
      <w:r>
        <w:rPr>
          <w:rFonts w:hint="eastAsia"/>
          <w:color w:val="auto"/>
          <w:sz w:val="22"/>
          <w:szCs w:val="22"/>
          <w:highlight w:val="none"/>
          <w:u w:val="none"/>
          <w:lang w:eastAsia="zh-CN"/>
        </w:rPr>
        <w:t>202</w:t>
      </w:r>
      <w:r>
        <w:rPr>
          <w:rFonts w:hint="eastAsia"/>
          <w:color w:val="auto"/>
          <w:sz w:val="22"/>
          <w:szCs w:val="22"/>
          <w:highlight w:val="none"/>
          <w:u w:val="none"/>
          <w:lang w:val="en-US" w:eastAsia="zh-CN"/>
        </w:rPr>
        <w:t>5</w:t>
      </w:r>
      <w:r>
        <w:rPr>
          <w:rFonts w:hint="eastAsia"/>
          <w:color w:val="auto"/>
          <w:sz w:val="22"/>
          <w:szCs w:val="22"/>
          <w:highlight w:val="none"/>
          <w:u w:val="none"/>
          <w:lang w:eastAsia="zh-CN"/>
        </w:rPr>
        <w:t>年</w:t>
      </w:r>
      <w:r>
        <w:rPr>
          <w:rFonts w:hint="eastAsia"/>
          <w:color w:val="auto"/>
          <w:sz w:val="22"/>
          <w:szCs w:val="22"/>
          <w:highlight w:val="none"/>
          <w:u w:val="none"/>
          <w:lang w:val="en-US" w:eastAsia="zh-CN"/>
        </w:rPr>
        <w:t>7</w:t>
      </w:r>
      <w:r>
        <w:rPr>
          <w:rFonts w:hint="eastAsia"/>
          <w:color w:val="auto"/>
          <w:sz w:val="22"/>
          <w:szCs w:val="22"/>
          <w:highlight w:val="none"/>
          <w:u w:val="none"/>
        </w:rPr>
        <w:t>月</w:t>
      </w:r>
      <w:r>
        <w:rPr>
          <w:rFonts w:hint="eastAsia"/>
          <w:color w:val="auto"/>
          <w:sz w:val="22"/>
          <w:szCs w:val="22"/>
          <w:highlight w:val="none"/>
          <w:u w:val="none"/>
          <w:lang w:val="en-US" w:eastAsia="zh-CN"/>
        </w:rPr>
        <w:t>11</w:t>
      </w:r>
      <w:r>
        <w:rPr>
          <w:rFonts w:hint="eastAsia"/>
          <w:color w:val="auto"/>
          <w:sz w:val="22"/>
          <w:szCs w:val="22"/>
          <w:highlight w:val="none"/>
          <w:u w:val="none"/>
        </w:rPr>
        <w:t>日</w:t>
      </w:r>
      <w:r>
        <w:rPr>
          <w:rFonts w:hint="eastAsia"/>
          <w:color w:val="auto"/>
          <w:sz w:val="22"/>
          <w:szCs w:val="22"/>
          <w:highlight w:val="none"/>
          <w:u w:val="none"/>
          <w:lang w:val="en-US" w:eastAsia="zh-CN"/>
        </w:rPr>
        <w:t>14</w:t>
      </w:r>
      <w:r>
        <w:rPr>
          <w:rFonts w:hint="eastAsia"/>
          <w:color w:val="auto"/>
          <w:sz w:val="22"/>
          <w:szCs w:val="22"/>
          <w:highlight w:val="none"/>
          <w:u w:val="none"/>
        </w:rPr>
        <w:t>点</w:t>
      </w:r>
      <w:r>
        <w:rPr>
          <w:rFonts w:hint="eastAsia"/>
          <w:color w:val="auto"/>
          <w:sz w:val="22"/>
          <w:szCs w:val="22"/>
          <w:highlight w:val="none"/>
          <w:u w:val="none"/>
          <w:lang w:val="en-US" w:eastAsia="zh-CN"/>
        </w:rPr>
        <w:t>30</w:t>
      </w:r>
      <w:r>
        <w:rPr>
          <w:rFonts w:hint="eastAsia"/>
          <w:color w:val="auto"/>
          <w:sz w:val="22"/>
          <w:szCs w:val="22"/>
          <w:highlight w:val="none"/>
          <w:u w:val="none"/>
        </w:rPr>
        <w:t>分（北京时间）</w:t>
      </w:r>
    </w:p>
    <w:p w14:paraId="6072D249">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投标地点（网址）：</w:t>
      </w:r>
      <w:r>
        <w:rPr>
          <w:rFonts w:hint="eastAsia" w:cs="宋体"/>
          <w:color w:val="auto"/>
          <w:sz w:val="22"/>
          <w:highlight w:val="none"/>
          <w:lang w:val="en-US" w:eastAsia="zh-CN"/>
        </w:rPr>
        <w:t>温州市鹿城区南汇街道勤民路鹿城壹号18幢803室</w:t>
      </w:r>
      <w:r>
        <w:rPr>
          <w:rFonts w:hint="eastAsia" w:ascii="宋体" w:hAnsi="宋体" w:eastAsia="宋体" w:cs="宋体"/>
          <w:color w:val="auto"/>
          <w:sz w:val="22"/>
          <w:highlight w:val="none"/>
          <w:lang w:val="en-US" w:eastAsia="zh-CN"/>
        </w:rPr>
        <w:t>（政采云平台：http://zfcg.czt.zj.gov.cn）</w:t>
      </w:r>
      <w:r>
        <w:rPr>
          <w:rFonts w:hint="eastAsia"/>
          <w:color w:val="auto"/>
          <w:sz w:val="22"/>
          <w:szCs w:val="22"/>
          <w:highlight w:val="none"/>
          <w:u w:val="none"/>
        </w:rPr>
        <w:t> </w:t>
      </w:r>
    </w:p>
    <w:p w14:paraId="185ABFEC">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开标时间：</w:t>
      </w:r>
      <w:r>
        <w:rPr>
          <w:rFonts w:hint="eastAsia"/>
          <w:color w:val="auto"/>
          <w:sz w:val="22"/>
          <w:szCs w:val="22"/>
          <w:highlight w:val="none"/>
          <w:u w:val="none"/>
          <w:lang w:eastAsia="zh-CN"/>
        </w:rPr>
        <w:t>202</w:t>
      </w:r>
      <w:r>
        <w:rPr>
          <w:rFonts w:hint="eastAsia"/>
          <w:color w:val="auto"/>
          <w:sz w:val="22"/>
          <w:szCs w:val="22"/>
          <w:highlight w:val="none"/>
          <w:u w:val="none"/>
          <w:lang w:val="en-US" w:eastAsia="zh-CN"/>
        </w:rPr>
        <w:t>5</w:t>
      </w:r>
      <w:r>
        <w:rPr>
          <w:rFonts w:hint="eastAsia"/>
          <w:color w:val="auto"/>
          <w:sz w:val="22"/>
          <w:szCs w:val="22"/>
          <w:highlight w:val="none"/>
          <w:u w:val="none"/>
          <w:lang w:eastAsia="zh-CN"/>
        </w:rPr>
        <w:t>年</w:t>
      </w:r>
      <w:r>
        <w:rPr>
          <w:rFonts w:hint="eastAsia"/>
          <w:color w:val="auto"/>
          <w:sz w:val="22"/>
          <w:szCs w:val="22"/>
          <w:highlight w:val="none"/>
          <w:u w:val="none"/>
          <w:lang w:val="en-US" w:eastAsia="zh-CN"/>
        </w:rPr>
        <w:t>7</w:t>
      </w:r>
      <w:r>
        <w:rPr>
          <w:rFonts w:hint="eastAsia"/>
          <w:color w:val="auto"/>
          <w:sz w:val="22"/>
          <w:szCs w:val="22"/>
          <w:highlight w:val="none"/>
          <w:u w:val="none"/>
        </w:rPr>
        <w:t>月</w:t>
      </w:r>
      <w:r>
        <w:rPr>
          <w:rFonts w:hint="eastAsia"/>
          <w:color w:val="auto"/>
          <w:sz w:val="22"/>
          <w:szCs w:val="22"/>
          <w:highlight w:val="none"/>
          <w:u w:val="none"/>
          <w:lang w:val="en-US" w:eastAsia="zh-CN"/>
        </w:rPr>
        <w:t>11</w:t>
      </w:r>
      <w:r>
        <w:rPr>
          <w:rFonts w:hint="eastAsia"/>
          <w:color w:val="auto"/>
          <w:sz w:val="22"/>
          <w:szCs w:val="22"/>
          <w:highlight w:val="none"/>
          <w:u w:val="none"/>
        </w:rPr>
        <w:t>日</w:t>
      </w:r>
      <w:r>
        <w:rPr>
          <w:rFonts w:hint="eastAsia"/>
          <w:color w:val="auto"/>
          <w:sz w:val="22"/>
          <w:szCs w:val="22"/>
          <w:highlight w:val="none"/>
          <w:u w:val="none"/>
          <w:lang w:val="en-US" w:eastAsia="zh-CN"/>
        </w:rPr>
        <w:t>14</w:t>
      </w:r>
      <w:r>
        <w:rPr>
          <w:rFonts w:hint="eastAsia"/>
          <w:color w:val="auto"/>
          <w:sz w:val="22"/>
          <w:szCs w:val="22"/>
          <w:highlight w:val="none"/>
          <w:u w:val="none"/>
        </w:rPr>
        <w:t>点</w:t>
      </w:r>
      <w:r>
        <w:rPr>
          <w:rFonts w:hint="eastAsia"/>
          <w:color w:val="auto"/>
          <w:sz w:val="22"/>
          <w:szCs w:val="22"/>
          <w:highlight w:val="none"/>
          <w:u w:val="none"/>
          <w:lang w:val="en-US" w:eastAsia="zh-CN"/>
        </w:rPr>
        <w:t>30</w:t>
      </w:r>
      <w:r>
        <w:rPr>
          <w:rFonts w:hint="eastAsia"/>
          <w:color w:val="auto"/>
          <w:sz w:val="22"/>
          <w:szCs w:val="22"/>
          <w:highlight w:val="none"/>
          <w:u w:val="none"/>
        </w:rPr>
        <w:t>分 </w:t>
      </w:r>
      <w:bookmarkStart w:id="112" w:name="_GoBack"/>
      <w:bookmarkEnd w:id="112"/>
    </w:p>
    <w:p w14:paraId="4A6AF07C">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开标地点（网址）：</w:t>
      </w:r>
      <w:r>
        <w:rPr>
          <w:rFonts w:hint="eastAsia" w:cs="宋体"/>
          <w:color w:val="auto"/>
          <w:sz w:val="22"/>
          <w:highlight w:val="none"/>
          <w:lang w:val="en-US" w:eastAsia="zh-CN"/>
        </w:rPr>
        <w:t>温州市鹿城区南汇街道勤民路鹿城壹号18幢803室</w:t>
      </w:r>
      <w:r>
        <w:rPr>
          <w:rFonts w:hint="eastAsia" w:ascii="宋体" w:hAnsi="宋体" w:eastAsia="宋体" w:cs="宋体"/>
          <w:color w:val="auto"/>
          <w:sz w:val="22"/>
          <w:highlight w:val="none"/>
          <w:lang w:val="en-US" w:eastAsia="zh-CN"/>
        </w:rPr>
        <w:t>（政采云平台：http://zfcg.czt.zj.gov.cn）</w:t>
      </w:r>
      <w:r>
        <w:rPr>
          <w:rFonts w:hint="eastAsia"/>
          <w:color w:val="auto"/>
          <w:sz w:val="22"/>
          <w:szCs w:val="22"/>
          <w:highlight w:val="none"/>
          <w:u w:val="none"/>
        </w:rPr>
        <w:t>  </w:t>
      </w:r>
    </w:p>
    <w:p w14:paraId="64A5FF69">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b/>
          <w:bCs/>
          <w:color w:val="auto"/>
          <w:sz w:val="22"/>
          <w:szCs w:val="22"/>
          <w:highlight w:val="none"/>
          <w:u w:val="none"/>
        </w:rPr>
        <w:t>五、公告期限</w:t>
      </w:r>
      <w:r>
        <w:rPr>
          <w:rFonts w:hint="eastAsia"/>
          <w:color w:val="auto"/>
          <w:sz w:val="22"/>
          <w:szCs w:val="22"/>
          <w:highlight w:val="none"/>
          <w:u w:val="none"/>
        </w:rPr>
        <w:t> </w:t>
      </w:r>
    </w:p>
    <w:p w14:paraId="43D2666A">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自本公告发布之日起5个工作日。</w:t>
      </w:r>
    </w:p>
    <w:p w14:paraId="482A6433">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六、其他补充事宜</w:t>
      </w:r>
    </w:p>
    <w:p w14:paraId="37EE8F73">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FA935BF">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67A64B2">
      <w:pPr>
        <w:pStyle w:val="47"/>
        <w:spacing w:before="75" w:beforeAutospacing="0" w:after="75" w:afterAutospacing="0" w:line="460" w:lineRule="exact"/>
        <w:ind w:firstLine="435"/>
        <w:rPr>
          <w:rFonts w:hint="eastAsia" w:eastAsia="宋体"/>
          <w:color w:val="auto"/>
          <w:sz w:val="22"/>
          <w:szCs w:val="22"/>
          <w:highlight w:val="none"/>
          <w:u w:val="none"/>
          <w:lang w:val="en-US" w:eastAsia="zh-CN"/>
        </w:rPr>
      </w:pPr>
      <w:r>
        <w:rPr>
          <w:rFonts w:hint="eastAsia" w:ascii="宋体" w:hAnsi="宋体" w:eastAsia="宋体" w:cs="宋体"/>
          <w:color w:val="auto"/>
          <w:sz w:val="22"/>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w:t>
      </w:r>
      <w:r>
        <w:rPr>
          <w:rFonts w:hint="eastAsia" w:cs="宋体"/>
          <w:color w:val="auto"/>
          <w:sz w:val="22"/>
          <w:highlight w:val="none"/>
          <w:lang w:val="en-US" w:eastAsia="zh-CN"/>
        </w:rPr>
        <w:t>（三）招标</w:t>
      </w:r>
      <w:r>
        <w:rPr>
          <w:rFonts w:hint="eastAsia" w:ascii="新宋体" w:hAnsi="新宋体" w:eastAsia="新宋体" w:cs="新宋体"/>
          <w:color w:val="auto"/>
          <w:sz w:val="22"/>
          <w:szCs w:val="22"/>
          <w:highlight w:val="none"/>
        </w:rPr>
        <w:t>公告附件的采购文件仅供阅览使用，未按照本公告规定的方式获取采购文件的潜在供应商提起的质疑采购组织机构将不予受理、答复。</w:t>
      </w:r>
    </w:p>
    <w:p w14:paraId="50114C2C">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七、对本次招标提出询问，请按以下方式联系</w:t>
      </w:r>
      <w:r>
        <w:rPr>
          <w:rFonts w:hint="eastAsia" w:ascii="宋体" w:hAnsi="宋体" w:eastAsia="宋体" w:cs="宋体"/>
          <w:color w:val="auto"/>
          <w:sz w:val="22"/>
          <w:szCs w:val="22"/>
          <w:highlight w:val="none"/>
        </w:rPr>
        <w:t>　　　　　　　　　　　　</w:t>
      </w:r>
    </w:p>
    <w:p w14:paraId="7964974B">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1.采购人信息</w:t>
      </w:r>
    </w:p>
    <w:p w14:paraId="7573FBF4">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eastAsia="zh-CN"/>
        </w:rPr>
      </w:pPr>
      <w:r>
        <w:rPr>
          <w:rFonts w:hint="eastAsia"/>
          <w:color w:val="auto"/>
          <w:sz w:val="22"/>
          <w:szCs w:val="22"/>
          <w:highlight w:val="none"/>
          <w:u w:val="none"/>
        </w:rPr>
        <w:t>名  称：</w:t>
      </w:r>
      <w:r>
        <w:rPr>
          <w:rFonts w:hint="eastAsia"/>
          <w:color w:val="auto"/>
          <w:sz w:val="22"/>
          <w:szCs w:val="22"/>
          <w:highlight w:val="none"/>
          <w:u w:val="none"/>
          <w:lang w:eastAsia="zh-CN"/>
        </w:rPr>
        <w:t>温州市市政管理中心</w:t>
      </w:r>
    </w:p>
    <w:p w14:paraId="4A9E1C98">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ascii="宋体" w:hAnsi="宋体" w:eastAsia="宋体" w:cs="宋体"/>
          <w:color w:val="auto"/>
          <w:sz w:val="22"/>
          <w:highlight w:val="none"/>
          <w:lang w:val="en-US" w:eastAsia="zh-CN"/>
        </w:rPr>
        <w:t>温州市鹿城区开源路正大公寓D幢</w:t>
      </w:r>
      <w:r>
        <w:rPr>
          <w:rFonts w:hint="eastAsia"/>
          <w:color w:val="auto"/>
          <w:sz w:val="22"/>
          <w:szCs w:val="22"/>
          <w:highlight w:val="none"/>
          <w:u w:val="none"/>
        </w:rPr>
        <w:t xml:space="preserve">  </w:t>
      </w:r>
    </w:p>
    <w:p w14:paraId="10973C7C">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传  真：</w:t>
      </w:r>
      <w:r>
        <w:rPr>
          <w:rFonts w:hint="eastAsia" w:ascii="宋体" w:hAnsi="宋体" w:eastAsia="宋体" w:cs="宋体"/>
          <w:color w:val="auto"/>
          <w:sz w:val="22"/>
          <w:highlight w:val="none"/>
          <w:lang w:val="en-US" w:eastAsia="zh-CN"/>
        </w:rPr>
        <w:t>/</w:t>
      </w:r>
      <w:r>
        <w:rPr>
          <w:rFonts w:hint="eastAsia"/>
          <w:color w:val="auto"/>
          <w:sz w:val="22"/>
          <w:szCs w:val="22"/>
          <w:highlight w:val="none"/>
          <w:u w:val="none"/>
        </w:rPr>
        <w:t>   　　</w:t>
      </w:r>
    </w:p>
    <w:p w14:paraId="6DC4BA43">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项目联系人（询问）：何女士 </w:t>
      </w:r>
    </w:p>
    <w:p w14:paraId="4478B7BB">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项目联系方式（询问）：0577-88371692</w:t>
      </w:r>
    </w:p>
    <w:p w14:paraId="5CBB3DBA">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质疑联系人：季先生</w:t>
      </w:r>
    </w:p>
    <w:p w14:paraId="255CDF57">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质疑联系方式：0577-88352744　　　　　　　</w:t>
      </w:r>
    </w:p>
    <w:p w14:paraId="697F2B28">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color w:val="auto"/>
          <w:sz w:val="22"/>
          <w:szCs w:val="22"/>
          <w:highlight w:val="none"/>
          <w:u w:val="none"/>
        </w:rPr>
        <w:t>  2.采购代理机构信息</w:t>
      </w:r>
    </w:p>
    <w:p w14:paraId="3D792258">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名  称：</w:t>
      </w:r>
      <w:r>
        <w:rPr>
          <w:rFonts w:hint="eastAsia"/>
          <w:color w:val="auto"/>
          <w:sz w:val="22"/>
          <w:szCs w:val="22"/>
          <w:highlight w:val="none"/>
          <w:u w:val="none"/>
          <w:lang w:val="en-US" w:eastAsia="zh-CN"/>
        </w:rPr>
        <w:t>温州历程招标有限公司</w:t>
      </w:r>
      <w:r>
        <w:rPr>
          <w:rFonts w:hint="eastAsia"/>
          <w:color w:val="auto"/>
          <w:sz w:val="22"/>
          <w:szCs w:val="22"/>
          <w:highlight w:val="none"/>
          <w:u w:val="none"/>
        </w:rPr>
        <w:t> </w:t>
      </w:r>
    </w:p>
    <w:p w14:paraId="4C85366B">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color w:val="auto"/>
          <w:sz w:val="22"/>
          <w:szCs w:val="22"/>
          <w:highlight w:val="none"/>
          <w:lang w:eastAsia="zh-CN"/>
        </w:rPr>
        <w:t>温州市鹿城区南汇街道勤民路鹿城壹号18幢803室</w:t>
      </w:r>
    </w:p>
    <w:p w14:paraId="7C7D3E7C">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传  真：0577-89887255   </w:t>
      </w:r>
    </w:p>
    <w:p w14:paraId="4DCED04C">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项目联系人（询问）： </w:t>
      </w:r>
      <w:r>
        <w:rPr>
          <w:rFonts w:hint="eastAsia"/>
          <w:color w:val="auto"/>
          <w:sz w:val="22"/>
          <w:szCs w:val="22"/>
          <w:highlight w:val="none"/>
          <w:u w:val="none"/>
          <w:lang w:val="en-US" w:eastAsia="zh-CN"/>
        </w:rPr>
        <w:t>温碧霞</w:t>
      </w:r>
      <w:r>
        <w:rPr>
          <w:rFonts w:hint="eastAsia"/>
          <w:color w:val="auto"/>
          <w:sz w:val="22"/>
          <w:szCs w:val="22"/>
          <w:highlight w:val="none"/>
          <w:u w:val="none"/>
        </w:rPr>
        <w:t>、郑永强 </w:t>
      </w:r>
    </w:p>
    <w:p w14:paraId="5DBA89DD">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项目联系方式（询问）：0577-89887322、13757727199</w:t>
      </w:r>
    </w:p>
    <w:p w14:paraId="03093C60">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color w:val="auto"/>
          <w:sz w:val="22"/>
          <w:szCs w:val="22"/>
          <w:highlight w:val="none"/>
          <w:u w:val="none"/>
          <w:lang w:val="en-US" w:eastAsia="zh-CN"/>
        </w:rPr>
      </w:pPr>
      <w:r>
        <w:rPr>
          <w:rFonts w:hint="eastAsia"/>
          <w:color w:val="auto"/>
          <w:sz w:val="22"/>
          <w:szCs w:val="22"/>
          <w:highlight w:val="none"/>
          <w:u w:val="none"/>
        </w:rPr>
        <w:t>质疑联系人：</w:t>
      </w:r>
      <w:r>
        <w:rPr>
          <w:rFonts w:hint="eastAsia"/>
          <w:color w:val="auto"/>
          <w:sz w:val="22"/>
          <w:szCs w:val="22"/>
          <w:highlight w:val="none"/>
          <w:u w:val="none"/>
          <w:lang w:val="en-US" w:eastAsia="zh-CN"/>
        </w:rPr>
        <w:t>肖忠文</w:t>
      </w:r>
    </w:p>
    <w:p w14:paraId="7D1A1C56">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质疑联系方式：13757727199 </w:t>
      </w:r>
    </w:p>
    <w:p w14:paraId="771ADBBE">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3.同级政府采购监督管理部门</w:t>
      </w:r>
    </w:p>
    <w:p w14:paraId="33333A95">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名    称：温州市财政局（浙江省政府采购行政裁决服务中心（温州））</w:t>
      </w:r>
    </w:p>
    <w:p w14:paraId="0FD34D55">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地    址：温州市鹿城区滨江街道瓯江路展银大厦1606室</w:t>
      </w:r>
    </w:p>
    <w:p w14:paraId="46470652">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传    真：/</w:t>
      </w:r>
    </w:p>
    <w:p w14:paraId="70FFB6DB">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联 系 人：李老师、王老师</w:t>
      </w:r>
    </w:p>
    <w:p w14:paraId="6B91C3DE">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监督投诉电话：0577-88501561、0577-85501562</w:t>
      </w:r>
    </w:p>
    <w:p w14:paraId="48B7ED1F">
      <w:pPr>
        <w:rPr>
          <w:rFonts w:hint="eastAsia" w:ascii="宋体" w:hAnsi="宋体" w:eastAsia="宋体" w:cs="宋体"/>
          <w:color w:val="auto"/>
          <w:highlight w:val="none"/>
        </w:rPr>
      </w:pPr>
      <w:bookmarkStart w:id="2" w:name="_Toc10401"/>
      <w:bookmarkStart w:id="3" w:name="_Toc5772"/>
      <w:r>
        <w:rPr>
          <w:rFonts w:hint="eastAsia" w:ascii="宋体" w:hAnsi="宋体" w:eastAsia="宋体" w:cs="宋体"/>
          <w:color w:val="auto"/>
          <w:highlight w:val="none"/>
        </w:rPr>
        <w:br w:type="page"/>
      </w:r>
    </w:p>
    <w:p w14:paraId="16628022">
      <w:pPr>
        <w:pStyle w:val="3"/>
        <w:bidi w:val="0"/>
        <w:rPr>
          <w:rFonts w:hint="eastAsia" w:ascii="宋体" w:hAnsi="宋体" w:eastAsia="宋体" w:cs="宋体"/>
          <w:color w:val="auto"/>
          <w:highlight w:val="none"/>
        </w:rPr>
      </w:pPr>
      <w:r>
        <w:rPr>
          <w:rFonts w:hint="eastAsia" w:ascii="宋体" w:hAnsi="宋体" w:eastAsia="宋体" w:cs="宋体"/>
          <w:color w:val="auto"/>
          <w:highlight w:val="none"/>
        </w:rPr>
        <w:t>第一部分    投标人须知</w:t>
      </w:r>
      <w:bookmarkEnd w:id="2"/>
      <w:bookmarkEnd w:id="3"/>
    </w:p>
    <w:p w14:paraId="30F3962A">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auto"/>
          <w:sz w:val="24"/>
          <w:highlight w:val="none"/>
        </w:rPr>
      </w:pPr>
      <w:bookmarkStart w:id="4" w:name="_Toc354996695"/>
      <w:bookmarkStart w:id="5" w:name="_Toc1839"/>
      <w:bookmarkStart w:id="6" w:name="_Toc33194387"/>
      <w:bookmarkStart w:id="7" w:name="_Toc6224"/>
      <w:bookmarkStart w:id="8" w:name="_Toc233618971"/>
      <w:r>
        <w:rPr>
          <w:rFonts w:hint="eastAsia" w:ascii="宋体" w:hAnsi="宋体" w:eastAsia="宋体" w:cs="宋体"/>
          <w:b/>
          <w:bCs/>
          <w:color w:val="auto"/>
          <w:sz w:val="24"/>
          <w:highlight w:val="none"/>
        </w:rPr>
        <w:t>前 附 表</w:t>
      </w:r>
      <w:bookmarkEnd w:id="4"/>
      <w:bookmarkEnd w:id="5"/>
      <w:bookmarkEnd w:id="6"/>
      <w:bookmarkEnd w:id="7"/>
      <w:bookmarkEnd w:id="8"/>
    </w:p>
    <w:tbl>
      <w:tblPr>
        <w:tblStyle w:val="53"/>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14:paraId="6EE70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14:paraId="6C3898D1">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14:paraId="6F4BC1F4">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14:paraId="61C6A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8DF1A4D">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14:paraId="0A74200C">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一、项目名称</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瓯越大道接管期保养</w:t>
            </w:r>
          </w:p>
          <w:p w14:paraId="056F05F3">
            <w:pPr>
              <w:spacing w:line="460" w:lineRule="exact"/>
              <w:rPr>
                <w:rFonts w:hint="eastAsia" w:ascii="宋体" w:hAnsi="宋体" w:eastAsia="宋体" w:cs="宋体"/>
                <w:b/>
                <w:bCs/>
                <w:color w:val="auto"/>
                <w:sz w:val="22"/>
                <w:szCs w:val="22"/>
                <w:highlight w:val="none"/>
              </w:rPr>
            </w:pPr>
            <w:bookmarkStart w:id="9" w:name="_Hlt75139851"/>
            <w:bookmarkEnd w:id="9"/>
            <w:r>
              <w:rPr>
                <w:rFonts w:hint="eastAsia" w:ascii="宋体" w:hAnsi="宋体" w:eastAsia="宋体" w:cs="宋体"/>
                <w:b/>
                <w:bCs/>
                <w:color w:val="auto"/>
                <w:sz w:val="22"/>
                <w:szCs w:val="22"/>
                <w:highlight w:val="none"/>
              </w:rPr>
              <w:t>二、采购内容：</w:t>
            </w:r>
          </w:p>
          <w:tbl>
            <w:tblPr>
              <w:tblStyle w:val="53"/>
              <w:tblW w:w="90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0"/>
              <w:gridCol w:w="2770"/>
              <w:gridCol w:w="945"/>
              <w:gridCol w:w="1845"/>
              <w:gridCol w:w="2753"/>
            </w:tblGrid>
            <w:tr w14:paraId="44241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0FD3F950">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序号</w:t>
                  </w:r>
                </w:p>
              </w:tc>
              <w:tc>
                <w:tcPr>
                  <w:tcW w:w="2770" w:type="dxa"/>
                  <w:tcBorders>
                    <w:top w:val="single" w:color="auto" w:sz="4" w:space="0"/>
                    <w:left w:val="single" w:color="auto" w:sz="4" w:space="0"/>
                    <w:bottom w:val="single" w:color="auto" w:sz="4" w:space="0"/>
                    <w:right w:val="single" w:color="auto" w:sz="4" w:space="0"/>
                  </w:tcBorders>
                  <w:vAlign w:val="center"/>
                </w:tcPr>
                <w:p w14:paraId="08D94303">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945" w:type="dxa"/>
                  <w:tcBorders>
                    <w:top w:val="single" w:color="auto" w:sz="4" w:space="0"/>
                    <w:left w:val="single" w:color="auto" w:sz="4" w:space="0"/>
                    <w:bottom w:val="single" w:color="auto" w:sz="4" w:space="0"/>
                    <w:right w:val="single" w:color="auto" w:sz="4" w:space="0"/>
                  </w:tcBorders>
                  <w:vAlign w:val="center"/>
                </w:tcPr>
                <w:p w14:paraId="48929CA8">
                  <w:pPr>
                    <w:tabs>
                      <w:tab w:val="left" w:pos="360"/>
                    </w:tabs>
                    <w:spacing w:line="460" w:lineRule="exact"/>
                    <w:jc w:val="center"/>
                    <w:rPr>
                      <w:rFonts w:hint="eastAsia" w:ascii="宋体" w:hAnsi="宋体" w:eastAsia="宋体" w:cs="宋体"/>
                      <w:color w:val="auto"/>
                      <w:sz w:val="22"/>
                      <w:szCs w:val="22"/>
                      <w:highlight w:val="none"/>
                      <w:shd w:val="clear" w:color="auto" w:fill="FFFFFF"/>
                      <w:lang w:eastAsia="zh-CN"/>
                    </w:rPr>
                  </w:pPr>
                  <w:r>
                    <w:rPr>
                      <w:rFonts w:hint="eastAsia" w:ascii="宋体" w:hAnsi="宋体" w:cs="宋体"/>
                      <w:color w:val="auto"/>
                      <w:sz w:val="22"/>
                      <w:szCs w:val="22"/>
                      <w:highlight w:val="none"/>
                      <w:lang w:val="en-US" w:eastAsia="zh-CN"/>
                    </w:rPr>
                    <w:t>数量</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40768AB9">
                  <w:pPr>
                    <w:tabs>
                      <w:tab w:val="left" w:pos="360"/>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highlight w:val="none"/>
                    </w:rPr>
                    <w:t>预算金额</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元</w:t>
                  </w:r>
                  <w:r>
                    <w:rPr>
                      <w:rFonts w:hint="eastAsia" w:ascii="宋体" w:hAnsi="宋体" w:eastAsia="宋体" w:cs="宋体"/>
                      <w:color w:val="auto"/>
                      <w:sz w:val="22"/>
                      <w:highlight w:val="none"/>
                      <w:lang w:eastAsia="zh-CN"/>
                    </w:rPr>
                    <w:t>）</w:t>
                  </w:r>
                </w:p>
              </w:tc>
              <w:tc>
                <w:tcPr>
                  <w:tcW w:w="2753" w:type="dxa"/>
                  <w:tcBorders>
                    <w:top w:val="single" w:color="auto" w:sz="4" w:space="0"/>
                    <w:left w:val="single" w:color="auto" w:sz="4" w:space="0"/>
                    <w:bottom w:val="single" w:color="auto" w:sz="4" w:space="0"/>
                    <w:right w:val="single" w:color="auto" w:sz="4" w:space="0"/>
                  </w:tcBorders>
                  <w:vAlign w:val="center"/>
                </w:tcPr>
                <w:p w14:paraId="50C8ECA3">
                  <w:pPr>
                    <w:widowControl/>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简要技术要求、用途</w:t>
                  </w:r>
                </w:p>
              </w:tc>
            </w:tr>
            <w:tr w14:paraId="6308E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30" w:type="dxa"/>
                  <w:tcBorders>
                    <w:top w:val="single" w:color="auto" w:sz="4" w:space="0"/>
                    <w:left w:val="single" w:color="auto" w:sz="4" w:space="0"/>
                    <w:right w:val="single" w:color="auto" w:sz="4" w:space="0"/>
                  </w:tcBorders>
                  <w:vAlign w:val="center"/>
                </w:tcPr>
                <w:p w14:paraId="68C3FE0E">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770" w:type="dxa"/>
                  <w:tcBorders>
                    <w:top w:val="single" w:color="auto" w:sz="4" w:space="0"/>
                    <w:left w:val="single" w:color="auto" w:sz="4" w:space="0"/>
                    <w:right w:val="single" w:color="auto" w:sz="4" w:space="0"/>
                  </w:tcBorders>
                  <w:vAlign w:val="center"/>
                </w:tcPr>
                <w:p w14:paraId="62F1E3C6">
                  <w:pPr>
                    <w:spacing w:line="460" w:lineRule="exact"/>
                    <w:jc w:val="center"/>
                    <w:rPr>
                      <w:rFonts w:hint="eastAsia" w:ascii="宋体" w:hAnsi="宋体" w:eastAsia="宋体" w:cs="宋体"/>
                      <w:color w:val="auto"/>
                      <w:sz w:val="22"/>
                      <w:highlight w:val="none"/>
                    </w:rPr>
                  </w:pPr>
                  <w:r>
                    <w:rPr>
                      <w:rFonts w:hint="eastAsia" w:ascii="宋体" w:hAnsi="宋体" w:cs="宋体"/>
                      <w:color w:val="auto"/>
                      <w:sz w:val="22"/>
                      <w:highlight w:val="none"/>
                      <w:lang w:eastAsia="zh-CN"/>
                    </w:rPr>
                    <w:t>瓯越大道接管期保养</w:t>
                  </w:r>
                </w:p>
              </w:tc>
              <w:tc>
                <w:tcPr>
                  <w:tcW w:w="945" w:type="dxa"/>
                  <w:tcBorders>
                    <w:top w:val="single" w:color="auto" w:sz="4" w:space="0"/>
                    <w:left w:val="single" w:color="auto" w:sz="4" w:space="0"/>
                    <w:bottom w:val="single" w:color="auto" w:sz="4" w:space="0"/>
                    <w:right w:val="single" w:color="auto" w:sz="4" w:space="0"/>
                  </w:tcBorders>
                  <w:vAlign w:val="center"/>
                </w:tcPr>
                <w:p w14:paraId="563FDDCB">
                  <w:pPr>
                    <w:tabs>
                      <w:tab w:val="left" w:pos="360"/>
                    </w:tabs>
                    <w:spacing w:line="460" w:lineRule="exact"/>
                    <w:jc w:val="center"/>
                    <w:rPr>
                      <w:rFonts w:hint="default" w:ascii="宋体" w:hAnsi="宋体" w:eastAsia="宋体" w:cs="宋体"/>
                      <w:color w:val="auto"/>
                      <w:sz w:val="22"/>
                      <w:szCs w:val="22"/>
                      <w:highlight w:val="none"/>
                      <w:shd w:val="clear" w:color="auto" w:fill="FFFFFF"/>
                      <w:lang w:val="en-US" w:eastAsia="zh-CN"/>
                    </w:rPr>
                  </w:pPr>
                  <w:r>
                    <w:rPr>
                      <w:rFonts w:hint="eastAsia" w:ascii="宋体" w:hAnsi="宋体" w:cs="宋体"/>
                      <w:color w:val="auto"/>
                      <w:sz w:val="22"/>
                      <w:szCs w:val="22"/>
                      <w:highlight w:val="none"/>
                      <w:shd w:val="clear" w:color="auto" w:fill="FFFFFF"/>
                      <w:lang w:val="en-US" w:eastAsia="zh-CN"/>
                    </w:rPr>
                    <w:t>1项</w:t>
                  </w:r>
                </w:p>
              </w:tc>
              <w:tc>
                <w:tcPr>
                  <w:tcW w:w="1845" w:type="dxa"/>
                  <w:tcBorders>
                    <w:top w:val="single" w:color="auto" w:sz="4" w:space="0"/>
                    <w:left w:val="single" w:color="auto" w:sz="4" w:space="0"/>
                    <w:right w:val="single" w:color="auto" w:sz="4" w:space="0"/>
                  </w:tcBorders>
                  <w:shd w:val="clear" w:color="auto" w:fill="auto"/>
                  <w:vAlign w:val="center"/>
                </w:tcPr>
                <w:p w14:paraId="01732CB0">
                  <w:pPr>
                    <w:tabs>
                      <w:tab w:val="left" w:pos="360"/>
                    </w:tabs>
                    <w:spacing w:line="460" w:lineRule="exact"/>
                    <w:jc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1460000</w:t>
                  </w:r>
                </w:p>
              </w:tc>
              <w:tc>
                <w:tcPr>
                  <w:tcW w:w="2753" w:type="dxa"/>
                  <w:tcBorders>
                    <w:top w:val="single" w:color="auto" w:sz="4" w:space="0"/>
                    <w:left w:val="single" w:color="auto" w:sz="4" w:space="0"/>
                    <w:right w:val="single" w:color="auto" w:sz="4" w:space="0"/>
                  </w:tcBorders>
                  <w:vAlign w:val="center"/>
                </w:tcPr>
                <w:p w14:paraId="441536D3">
                  <w:pPr>
                    <w:shd w:val="clear" w:color="auto" w:fill="FFFFFF"/>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详见招标文件第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部分“项目技术规范和服务要求”</w:t>
                  </w:r>
                </w:p>
              </w:tc>
            </w:tr>
          </w:tbl>
          <w:p w14:paraId="508CFED7">
            <w:pPr>
              <w:tabs>
                <w:tab w:val="left" w:pos="360"/>
              </w:tabs>
              <w:spacing w:line="460" w:lineRule="exact"/>
              <w:ind w:firstLine="552" w:firstLineChars="250"/>
              <w:rPr>
                <w:rFonts w:hint="eastAsia" w:ascii="宋体" w:hAnsi="宋体" w:eastAsia="宋体" w:cs="宋体"/>
                <w:color w:val="auto"/>
                <w:highlight w:val="none"/>
              </w:rPr>
            </w:pPr>
            <w:r>
              <w:rPr>
                <w:rFonts w:hint="eastAsia" w:ascii="宋体" w:hAnsi="宋体" w:eastAsia="宋体" w:cs="宋体"/>
                <w:b/>
                <w:color w:val="auto"/>
                <w:sz w:val="22"/>
                <w:szCs w:val="22"/>
                <w:highlight w:val="none"/>
              </w:rPr>
              <w:t>如投标人报价超过预算金额按无效标处理。</w:t>
            </w:r>
          </w:p>
        </w:tc>
      </w:tr>
      <w:tr w14:paraId="730A6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CDFD32F">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center"/>
          </w:tcPr>
          <w:p w14:paraId="645EEE50">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w:t>
            </w:r>
            <w:r>
              <w:rPr>
                <w:rFonts w:hint="eastAsia" w:ascii="宋体" w:hAnsi="宋体" w:cs="宋体"/>
                <w:color w:val="auto"/>
                <w:sz w:val="22"/>
                <w:szCs w:val="22"/>
                <w:highlight w:val="none"/>
                <w:lang w:val="en-US" w:eastAsia="zh-CN"/>
              </w:rPr>
              <w:t>90</w:t>
            </w:r>
            <w:r>
              <w:rPr>
                <w:rFonts w:hint="eastAsia" w:ascii="宋体" w:hAnsi="宋体" w:eastAsia="宋体" w:cs="宋体"/>
                <w:color w:val="auto"/>
                <w:sz w:val="22"/>
                <w:szCs w:val="22"/>
                <w:highlight w:val="none"/>
              </w:rPr>
              <w:t>天。</w:t>
            </w:r>
          </w:p>
        </w:tc>
      </w:tr>
      <w:tr w14:paraId="3D982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59E4927">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w:t>
            </w:r>
          </w:p>
        </w:tc>
        <w:tc>
          <w:tcPr>
            <w:tcW w:w="9590" w:type="dxa"/>
            <w:tcBorders>
              <w:top w:val="single" w:color="000000" w:sz="2" w:space="0"/>
              <w:left w:val="single" w:color="000000" w:sz="2" w:space="0"/>
              <w:bottom w:val="single" w:color="000000" w:sz="2" w:space="0"/>
              <w:right w:val="single" w:color="000000" w:sz="8" w:space="0"/>
            </w:tcBorders>
            <w:vAlign w:val="center"/>
          </w:tcPr>
          <w:p w14:paraId="31AA1579">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14:paraId="56FEA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FEED91E">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w:t>
            </w:r>
          </w:p>
        </w:tc>
        <w:tc>
          <w:tcPr>
            <w:tcW w:w="9590" w:type="dxa"/>
            <w:tcBorders>
              <w:top w:val="single" w:color="000000" w:sz="2" w:space="0"/>
              <w:left w:val="single" w:color="000000" w:sz="2" w:space="0"/>
              <w:bottom w:val="single" w:color="000000" w:sz="2" w:space="0"/>
              <w:right w:val="single" w:color="000000" w:sz="8" w:space="0"/>
            </w:tcBorders>
            <w:vAlign w:val="center"/>
          </w:tcPr>
          <w:p w14:paraId="71674334">
            <w:pPr>
              <w:shd w:val="clea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招标服务费：</w:t>
            </w:r>
            <w:r>
              <w:rPr>
                <w:rFonts w:hint="eastAsia" w:ascii="宋体" w:hAnsi="宋体" w:eastAsia="宋体" w:cs="宋体"/>
                <w:b w:val="0"/>
                <w:bCs w:val="0"/>
                <w:color w:val="auto"/>
                <w:sz w:val="22"/>
                <w:szCs w:val="22"/>
                <w:highlight w:val="none"/>
                <w:lang w:bidi="ar"/>
              </w:rPr>
              <w:t>根据国家计委计价格【2002】1980号《招标代理服务收费管理暂行办法》规定标准</w:t>
            </w:r>
            <w:r>
              <w:rPr>
                <w:rFonts w:hint="eastAsia" w:ascii="宋体" w:hAnsi="宋体" w:eastAsia="宋体" w:cs="宋体"/>
                <w:b w:val="0"/>
                <w:bCs w:val="0"/>
                <w:color w:val="auto"/>
                <w:sz w:val="22"/>
                <w:szCs w:val="22"/>
                <w:highlight w:val="none"/>
                <w:lang w:val="en-US" w:eastAsia="zh-CN" w:bidi="ar"/>
              </w:rPr>
              <w:t>下浮30%</w:t>
            </w:r>
            <w:r>
              <w:rPr>
                <w:rFonts w:hint="eastAsia" w:ascii="宋体" w:hAnsi="宋体" w:eastAsia="宋体" w:cs="宋体"/>
                <w:b w:val="0"/>
                <w:bCs w:val="0"/>
                <w:color w:val="auto"/>
                <w:sz w:val="22"/>
                <w:szCs w:val="22"/>
                <w:highlight w:val="none"/>
                <w:lang w:bidi="ar"/>
              </w:rPr>
              <w:t>收取</w:t>
            </w:r>
            <w:r>
              <w:rPr>
                <w:rFonts w:hint="eastAsia" w:ascii="宋体" w:hAnsi="宋体" w:eastAsia="宋体" w:cs="宋体"/>
                <w:b w:val="0"/>
                <w:bCs w:val="0"/>
                <w:color w:val="auto"/>
                <w:sz w:val="22"/>
                <w:szCs w:val="22"/>
                <w:highlight w:val="none"/>
                <w:lang w:eastAsia="zh-CN" w:bidi="ar"/>
              </w:rPr>
              <w:t>，</w:t>
            </w:r>
            <w:r>
              <w:rPr>
                <w:rFonts w:hint="eastAsia" w:ascii="宋体" w:hAnsi="宋体" w:eastAsia="宋体" w:cs="宋体"/>
                <w:b w:val="0"/>
                <w:bCs w:val="0"/>
                <w:color w:val="auto"/>
                <w:sz w:val="22"/>
                <w:szCs w:val="22"/>
                <w:highlight w:val="none"/>
                <w:lang w:bidi="ar"/>
              </w:rPr>
              <w:t>由中标人在领取中标通知书时支付。</w:t>
            </w:r>
          </w:p>
          <w:p w14:paraId="0F4BB165">
            <w:pPr>
              <w:shd w:val="clea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户   名：温州历程招标有限公司</w:t>
            </w:r>
          </w:p>
          <w:p w14:paraId="47CAD6A5">
            <w:pPr>
              <w:shd w:val="clea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   号：33050162870409101001</w:t>
            </w:r>
          </w:p>
          <w:p w14:paraId="2902FDCA">
            <w:pPr>
              <w:shd w:val="clea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开户银行：中国建设银行股份有限公司温州新城支行</w:t>
            </w:r>
          </w:p>
          <w:p w14:paraId="5F43C89C">
            <w:pPr>
              <w:shd w:val="clea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行   号：105333000038</w:t>
            </w:r>
          </w:p>
        </w:tc>
      </w:tr>
      <w:tr w14:paraId="2281F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D639AA0">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w:t>
            </w:r>
          </w:p>
        </w:tc>
        <w:tc>
          <w:tcPr>
            <w:tcW w:w="9590" w:type="dxa"/>
            <w:tcBorders>
              <w:top w:val="single" w:color="000000" w:sz="2" w:space="0"/>
              <w:left w:val="single" w:color="000000" w:sz="2" w:space="0"/>
              <w:bottom w:val="single" w:color="000000" w:sz="2" w:space="0"/>
              <w:right w:val="single" w:color="000000" w:sz="8" w:space="0"/>
            </w:tcBorders>
            <w:vAlign w:val="center"/>
          </w:tcPr>
          <w:p w14:paraId="4BC34174">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投标文件的组成：</w:t>
            </w:r>
            <w:r>
              <w:rPr>
                <w:rFonts w:hint="eastAsia" w:ascii="宋体" w:hAnsi="宋体" w:eastAsia="宋体" w:cs="宋体"/>
                <w:color w:val="auto"/>
                <w:sz w:val="22"/>
                <w:szCs w:val="22"/>
                <w:highlight w:val="none"/>
              </w:rPr>
              <w:t>完整的《投标文件》由“资格文件”、“报价文件”和“商务技术文件”三个部分组成。</w:t>
            </w:r>
          </w:p>
        </w:tc>
      </w:tr>
      <w:tr w14:paraId="44C98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33175E4">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34335165">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14:paraId="1F6F0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7C9119B">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6A4975CF">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电子签章。</w:t>
            </w:r>
          </w:p>
        </w:tc>
      </w:tr>
      <w:tr w14:paraId="31467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AF5B3F5">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5C909EBD">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☑电子投标文件（包括“电子加密投标文件”和“备份投标文件”，在投标文件编制完成后同时生成）；</w:t>
            </w:r>
          </w:p>
          <w:p w14:paraId="3571EB4B">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14:paraId="231992AF">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4DAA3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26C5442">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4FF733DC">
            <w:pPr>
              <w:spacing w:line="460" w:lineRule="exact"/>
              <w:rPr>
                <w:rFonts w:hint="eastAsia"/>
                <w:color w:val="auto"/>
                <w:sz w:val="22"/>
                <w:szCs w:val="28"/>
                <w:highlight w:val="none"/>
              </w:rPr>
            </w:pPr>
            <w:r>
              <w:rPr>
                <w:rFonts w:hint="eastAsia"/>
                <w:color w:val="auto"/>
                <w:sz w:val="22"/>
                <w:szCs w:val="28"/>
                <w:highlight w:val="none"/>
              </w:rPr>
              <w:t>投标文件份数：</w:t>
            </w:r>
          </w:p>
          <w:p w14:paraId="4F7F84D0">
            <w:pPr>
              <w:numPr>
                <w:ilvl w:val="0"/>
                <w:numId w:val="1"/>
              </w:numPr>
              <w:spacing w:line="460" w:lineRule="exact"/>
              <w:rPr>
                <w:rFonts w:hint="eastAsia"/>
                <w:color w:val="auto"/>
                <w:sz w:val="22"/>
                <w:szCs w:val="28"/>
                <w:highlight w:val="none"/>
              </w:rPr>
            </w:pPr>
            <w:r>
              <w:rPr>
                <w:rFonts w:hint="eastAsia"/>
                <w:color w:val="auto"/>
                <w:sz w:val="22"/>
                <w:szCs w:val="28"/>
                <w:highlight w:val="none"/>
              </w:rPr>
              <w:t>“电子加密投标文件”：在线上传、递交一份。</w:t>
            </w:r>
          </w:p>
          <w:p w14:paraId="6FCAD779">
            <w:pPr>
              <w:numPr>
                <w:ilvl w:val="0"/>
                <w:numId w:val="1"/>
              </w:numPr>
              <w:spacing w:line="460" w:lineRule="exact"/>
              <w:rPr>
                <w:rFonts w:hint="eastAsia"/>
                <w:color w:val="auto"/>
                <w:sz w:val="22"/>
                <w:szCs w:val="28"/>
                <w:highlight w:val="none"/>
              </w:rPr>
            </w:pPr>
            <w:r>
              <w:rPr>
                <w:rFonts w:hint="eastAsia"/>
                <w:color w:val="auto"/>
                <w:sz w:val="22"/>
                <w:szCs w:val="28"/>
                <w:highlight w:val="none"/>
              </w:rPr>
              <w:t>“备份投标文件”：密封包装后投标截止时间前递交一份</w:t>
            </w:r>
          </w:p>
          <w:p w14:paraId="4F31D9D0">
            <w:pPr>
              <w:spacing w:line="460" w:lineRule="exact"/>
              <w:rPr>
                <w:rFonts w:hint="eastAsia"/>
                <w:color w:val="auto"/>
                <w:sz w:val="22"/>
                <w:szCs w:val="28"/>
                <w:highlight w:val="none"/>
              </w:rPr>
            </w:pPr>
            <w:r>
              <w:rPr>
                <w:rFonts w:hint="eastAsia"/>
                <w:color w:val="auto"/>
                <w:sz w:val="22"/>
                <w:szCs w:val="28"/>
                <w:highlight w:val="none"/>
              </w:rPr>
              <w:t>（若不提供备份投标文件，开标当天电子加密投标文件解密失败，投标人自行负责。）</w:t>
            </w:r>
          </w:p>
          <w:p w14:paraId="3763EACA">
            <w:pPr>
              <w:tabs>
                <w:tab w:val="left" w:pos="360"/>
              </w:tabs>
              <w:spacing w:line="460" w:lineRule="exact"/>
              <w:rPr>
                <w:rFonts w:hint="eastAsia" w:eastAsia="宋体"/>
                <w:color w:val="auto"/>
                <w:sz w:val="22"/>
                <w:szCs w:val="28"/>
                <w:highlight w:val="none"/>
                <w:lang w:eastAsia="zh-CN"/>
              </w:rPr>
            </w:pPr>
            <w:r>
              <w:rPr>
                <w:rFonts w:hint="eastAsia"/>
                <w:color w:val="auto"/>
                <w:sz w:val="22"/>
                <w:szCs w:val="28"/>
                <w:highlight w:val="none"/>
              </w:rPr>
              <w:t>可以</w:t>
            </w:r>
            <w:r>
              <w:rPr>
                <w:rFonts w:hint="eastAsia"/>
                <w:color w:val="auto"/>
                <w:sz w:val="22"/>
                <w:szCs w:val="28"/>
                <w:highlight w:val="none"/>
                <w:lang w:val="en-US" w:eastAsia="zh-CN"/>
              </w:rPr>
              <w:t>以</w:t>
            </w:r>
            <w:r>
              <w:rPr>
                <w:rFonts w:hint="eastAsia"/>
                <w:color w:val="auto"/>
                <w:sz w:val="22"/>
                <w:szCs w:val="28"/>
                <w:highlight w:val="none"/>
              </w:rPr>
              <w:t>邮寄形式（建议顺丰）在投标截止时间前递交，并需</w:t>
            </w:r>
            <w:r>
              <w:rPr>
                <w:rFonts w:hint="eastAsia"/>
                <w:color w:val="auto"/>
                <w:sz w:val="22"/>
                <w:szCs w:val="28"/>
                <w:highlight w:val="none"/>
                <w:lang w:val="en-US" w:eastAsia="zh-CN"/>
              </w:rPr>
              <w:t>及时与</w:t>
            </w:r>
            <w:r>
              <w:rPr>
                <w:rFonts w:hint="eastAsia"/>
                <w:color w:val="auto"/>
                <w:sz w:val="22"/>
                <w:szCs w:val="28"/>
                <w:highlight w:val="none"/>
              </w:rPr>
              <w:t>采购代理机构确认是否收到</w:t>
            </w:r>
            <w:r>
              <w:rPr>
                <w:rFonts w:hint="eastAsia"/>
                <w:color w:val="auto"/>
                <w:sz w:val="22"/>
                <w:szCs w:val="28"/>
                <w:highlight w:val="none"/>
                <w:lang w:eastAsia="zh-CN"/>
              </w:rPr>
              <w:t>：</w:t>
            </w:r>
          </w:p>
          <w:p w14:paraId="00E35627">
            <w:pPr>
              <w:spacing w:line="460" w:lineRule="exact"/>
              <w:rPr>
                <w:rFonts w:hint="eastAsia"/>
                <w:color w:val="auto"/>
                <w:sz w:val="22"/>
                <w:szCs w:val="28"/>
                <w:highlight w:val="none"/>
                <w:lang w:eastAsia="zh-CN"/>
              </w:rPr>
            </w:pPr>
            <w:r>
              <w:rPr>
                <w:rFonts w:hint="eastAsia"/>
                <w:color w:val="auto"/>
                <w:sz w:val="22"/>
                <w:szCs w:val="28"/>
                <w:highlight w:val="none"/>
              </w:rPr>
              <w:t>邮寄地址：</w:t>
            </w:r>
            <w:r>
              <w:rPr>
                <w:rFonts w:hint="eastAsia"/>
                <w:color w:val="auto"/>
                <w:sz w:val="22"/>
                <w:szCs w:val="28"/>
                <w:highlight w:val="none"/>
                <w:lang w:eastAsia="zh-CN"/>
              </w:rPr>
              <w:t>温州市鹿城区南汇街道勤民路鹿城壹号18幢803室</w:t>
            </w:r>
          </w:p>
          <w:p w14:paraId="4E9E9F2B">
            <w:pPr>
              <w:spacing w:line="460" w:lineRule="exact"/>
              <w:rPr>
                <w:rFonts w:hint="default" w:eastAsia="宋体"/>
                <w:color w:val="auto"/>
                <w:highlight w:val="none"/>
                <w:lang w:val="en-US" w:eastAsia="zh-CN"/>
              </w:rPr>
            </w:pPr>
            <w:r>
              <w:rPr>
                <w:rFonts w:hint="eastAsia"/>
                <w:color w:val="auto"/>
                <w:sz w:val="22"/>
                <w:szCs w:val="28"/>
                <w:highlight w:val="none"/>
                <w:lang w:val="en-US" w:eastAsia="zh-CN"/>
              </w:rPr>
              <w:t>联系人：温先生    联系电</w:t>
            </w:r>
            <w:r>
              <w:rPr>
                <w:rFonts w:hint="eastAsia" w:ascii="宋体" w:hAnsi="宋体" w:eastAsia="宋体" w:cs="宋体"/>
                <w:color w:val="auto"/>
                <w:sz w:val="22"/>
                <w:szCs w:val="28"/>
                <w:highlight w:val="none"/>
                <w:lang w:val="en-US" w:eastAsia="zh-CN"/>
              </w:rPr>
              <w:t>话：13757727199</w:t>
            </w:r>
          </w:p>
        </w:tc>
      </w:tr>
      <w:tr w14:paraId="5D2D5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42591C9">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10</w:t>
            </w:r>
          </w:p>
        </w:tc>
        <w:tc>
          <w:tcPr>
            <w:tcW w:w="9590" w:type="dxa"/>
            <w:tcBorders>
              <w:top w:val="single" w:color="000000" w:sz="2" w:space="0"/>
              <w:left w:val="single" w:color="000000" w:sz="2" w:space="0"/>
              <w:bottom w:val="single" w:color="000000" w:sz="2" w:space="0"/>
              <w:right w:val="single" w:color="000000" w:sz="8" w:space="0"/>
            </w:tcBorders>
            <w:vAlign w:val="center"/>
          </w:tcPr>
          <w:p w14:paraId="2B9BA259">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投标文件的上传和递交：</w:t>
            </w:r>
          </w:p>
          <w:p w14:paraId="5D5E0DB9">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14:paraId="4B6D71BD">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a.投标人应在投标截止时间前将“电子加密投标文件”成功上传递交至“政府采购云平台”，否则投标无效。</w:t>
            </w:r>
          </w:p>
          <w:p w14:paraId="5BE8D746">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递交后，供应商可自行打印投标文件接收回执。</w:t>
            </w:r>
          </w:p>
          <w:p w14:paraId="297A63AA">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14:paraId="0CE2FD67">
            <w:pPr>
              <w:tabs>
                <w:tab w:val="left" w:pos="360"/>
              </w:tabs>
              <w:spacing w:line="460" w:lineRule="exact"/>
              <w:ind w:firstLine="220" w:firstLineChars="1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a.投标人在“政府采购云平台”完成“电子加密投标文件”的上传递交后，</w:t>
            </w:r>
            <w:r>
              <w:rPr>
                <w:rFonts w:hint="eastAsia" w:ascii="宋体" w:hAnsi="宋体" w:eastAsia="宋体" w:cs="宋体"/>
                <w:b/>
                <w:bCs/>
                <w:color w:val="auto"/>
                <w:sz w:val="22"/>
                <w:szCs w:val="22"/>
                <w:highlight w:val="none"/>
              </w:rPr>
              <w:t>还可以在投标截止时间前递交以介质（U盘）存储的数据电文形式的“备份投标文件”，（可以</w:t>
            </w:r>
            <w:r>
              <w:rPr>
                <w:rFonts w:hint="eastAsia" w:ascii="宋体" w:hAnsi="宋体" w:eastAsia="宋体" w:cs="宋体"/>
                <w:b/>
                <w:color w:val="auto"/>
                <w:sz w:val="22"/>
                <w:szCs w:val="22"/>
                <w:highlight w:val="none"/>
                <w:u w:val="single"/>
              </w:rPr>
              <w:t>（邮寄形式，建议顺丰）在投标截止时间前递交，并需</w:t>
            </w:r>
            <w:r>
              <w:rPr>
                <w:rFonts w:hint="eastAsia" w:ascii="宋体" w:hAnsi="宋体" w:cs="宋体"/>
                <w:b/>
                <w:color w:val="auto"/>
                <w:sz w:val="22"/>
                <w:szCs w:val="22"/>
                <w:highlight w:val="none"/>
                <w:u w:val="single"/>
                <w:lang w:val="en-US" w:eastAsia="zh-CN"/>
              </w:rPr>
              <w:t>及时与</w:t>
            </w:r>
            <w:r>
              <w:rPr>
                <w:rFonts w:hint="eastAsia" w:ascii="宋体" w:hAnsi="宋体" w:eastAsia="宋体" w:cs="宋体"/>
                <w:b/>
                <w:color w:val="auto"/>
                <w:sz w:val="22"/>
                <w:szCs w:val="22"/>
                <w:highlight w:val="none"/>
                <w:u w:val="single"/>
              </w:rPr>
              <w:t>采购代理机构确认是否收到</w:t>
            </w:r>
            <w:r>
              <w:rPr>
                <w:rFonts w:hint="eastAsia" w:ascii="宋体" w:hAnsi="宋体" w:eastAsia="宋体" w:cs="宋体"/>
                <w:b/>
                <w:bCs/>
                <w:color w:val="auto"/>
                <w:sz w:val="22"/>
                <w:szCs w:val="22"/>
                <w:highlight w:val="none"/>
              </w:rPr>
              <w:t>）</w:t>
            </w:r>
          </w:p>
          <w:p w14:paraId="21B9B099">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14:paraId="3D900637">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14:paraId="6064F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EC56A55">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w:t>
            </w:r>
          </w:p>
        </w:tc>
        <w:tc>
          <w:tcPr>
            <w:tcW w:w="9590" w:type="dxa"/>
            <w:tcBorders>
              <w:top w:val="single" w:color="000000" w:sz="2" w:space="0"/>
              <w:left w:val="single" w:color="000000" w:sz="2" w:space="0"/>
              <w:bottom w:val="single" w:color="000000" w:sz="2" w:space="0"/>
              <w:right w:val="single" w:color="000000" w:sz="8" w:space="0"/>
            </w:tcBorders>
            <w:vAlign w:val="center"/>
          </w:tcPr>
          <w:p w14:paraId="14BD2F0B">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电子加密投标文件的解密和异常情况处理：</w:t>
            </w:r>
          </w:p>
          <w:p w14:paraId="3D95FF5C">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14:paraId="2A99562E">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BC617C8">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（3）投标截止时间前，投标人仅递交了“备份投标文件”而未将电子加密投标文件上传至“政府采购云平台”的，投标无效。</w:t>
            </w:r>
          </w:p>
        </w:tc>
      </w:tr>
      <w:tr w14:paraId="73172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1595460">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w:t>
            </w:r>
          </w:p>
        </w:tc>
        <w:tc>
          <w:tcPr>
            <w:tcW w:w="9590" w:type="dxa"/>
            <w:tcBorders>
              <w:top w:val="single" w:color="000000" w:sz="2" w:space="0"/>
              <w:left w:val="single" w:color="000000" w:sz="2" w:space="0"/>
              <w:bottom w:val="single" w:color="000000" w:sz="2" w:space="0"/>
              <w:right w:val="single" w:color="000000" w:sz="8" w:space="0"/>
            </w:tcBorders>
            <w:vAlign w:val="center"/>
          </w:tcPr>
          <w:p w14:paraId="1635F2E1">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w:t>
            </w:r>
            <w:r>
              <w:rPr>
                <w:rFonts w:hint="eastAsia" w:ascii="宋体" w:hAnsi="宋体" w:cs="宋体"/>
                <w:b w:val="0"/>
                <w:bCs w:val="0"/>
                <w:color w:val="auto"/>
                <w:sz w:val="22"/>
                <w:szCs w:val="22"/>
                <w:highlight w:val="none"/>
                <w:lang w:val="en-US" w:eastAsia="zh-CN"/>
              </w:rPr>
              <w:t>详见招标公告</w:t>
            </w:r>
            <w:r>
              <w:rPr>
                <w:rFonts w:hint="eastAsia" w:ascii="宋体" w:hAnsi="宋体" w:eastAsia="宋体" w:cs="宋体"/>
                <w:color w:val="auto"/>
                <w:sz w:val="22"/>
                <w:szCs w:val="22"/>
                <w:highlight w:val="none"/>
              </w:rPr>
              <w:t> </w:t>
            </w:r>
          </w:p>
          <w:p w14:paraId="0C1E70CF">
            <w:pPr>
              <w:widowControl/>
              <w:snapToGrid w:val="0"/>
              <w:spacing w:line="460" w:lineRule="exact"/>
              <w:jc w:val="left"/>
              <w:rPr>
                <w:rFonts w:hint="eastAsia"/>
                <w:color w:val="auto"/>
                <w:highlight w:val="none"/>
              </w:rPr>
            </w:pPr>
            <w:r>
              <w:rPr>
                <w:rFonts w:hint="eastAsia" w:ascii="宋体" w:hAnsi="宋体" w:eastAsia="宋体" w:cs="宋体"/>
                <w:color w:val="auto"/>
                <w:sz w:val="22"/>
                <w:szCs w:val="22"/>
                <w:highlight w:val="none"/>
              </w:rPr>
              <w:t>投标地点（网址）：</w:t>
            </w:r>
            <w:r>
              <w:rPr>
                <w:rFonts w:hint="eastAsia" w:ascii="宋体" w:hAnsi="宋体" w:cs="宋体"/>
                <w:b w:val="0"/>
                <w:bCs w:val="0"/>
                <w:color w:val="auto"/>
                <w:sz w:val="22"/>
                <w:szCs w:val="22"/>
                <w:highlight w:val="none"/>
                <w:lang w:val="en-US" w:eastAsia="zh-CN"/>
              </w:rPr>
              <w:t>详见招标公告</w:t>
            </w:r>
            <w:r>
              <w:rPr>
                <w:rFonts w:hint="eastAsia" w:ascii="宋体" w:hAnsi="宋体" w:eastAsia="宋体" w:cs="宋体"/>
                <w:color w:val="auto"/>
                <w:sz w:val="22"/>
                <w:szCs w:val="22"/>
                <w:highlight w:val="none"/>
              </w:rPr>
              <w:t> </w:t>
            </w:r>
          </w:p>
        </w:tc>
      </w:tr>
      <w:tr w14:paraId="06F5D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14:paraId="021B4093">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z w:val="22"/>
                <w:szCs w:val="22"/>
                <w:highlight w:val="none"/>
                <w:lang w:val="en-US" w:eastAsia="zh-CN"/>
              </w:rPr>
              <w:t>3</w:t>
            </w:r>
          </w:p>
        </w:tc>
        <w:tc>
          <w:tcPr>
            <w:tcW w:w="9590" w:type="dxa"/>
            <w:tcBorders>
              <w:top w:val="single" w:color="000000" w:sz="2" w:space="0"/>
              <w:left w:val="single" w:color="000000" w:sz="2" w:space="0"/>
              <w:bottom w:val="single" w:color="auto" w:sz="4" w:space="0"/>
              <w:right w:val="single" w:color="000000" w:sz="8" w:space="0"/>
            </w:tcBorders>
            <w:vAlign w:val="center"/>
          </w:tcPr>
          <w:p w14:paraId="60272DCC">
            <w:pPr>
              <w:widowControl/>
              <w:snapToGrid w:val="0"/>
              <w:spacing w:line="460" w:lineRule="exact"/>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开标时间</w:t>
            </w:r>
            <w:r>
              <w:rPr>
                <w:rFonts w:hint="eastAsia" w:ascii="宋体" w:hAnsi="宋体" w:eastAsia="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详见招标公告</w:t>
            </w:r>
          </w:p>
          <w:p w14:paraId="5AC7D6E9">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开标地点（网址）：</w:t>
            </w:r>
            <w:r>
              <w:rPr>
                <w:rFonts w:hint="eastAsia" w:ascii="宋体" w:hAnsi="宋体" w:cs="宋体"/>
                <w:b w:val="0"/>
                <w:bCs w:val="0"/>
                <w:color w:val="auto"/>
                <w:sz w:val="22"/>
                <w:szCs w:val="22"/>
                <w:highlight w:val="none"/>
                <w:lang w:val="en-US" w:eastAsia="zh-CN"/>
              </w:rPr>
              <w:t>详见招标公告</w:t>
            </w:r>
          </w:p>
        </w:tc>
      </w:tr>
      <w:tr w14:paraId="55B4E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09921504">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z w:val="22"/>
                <w:szCs w:val="22"/>
                <w:highlight w:val="none"/>
                <w:lang w:val="en-US" w:eastAsia="zh-CN"/>
              </w:rPr>
              <w:t>4</w:t>
            </w:r>
          </w:p>
        </w:tc>
        <w:tc>
          <w:tcPr>
            <w:tcW w:w="9590" w:type="dxa"/>
            <w:tcBorders>
              <w:top w:val="single" w:color="auto" w:sz="4" w:space="0"/>
              <w:left w:val="single" w:color="000000" w:sz="2" w:space="0"/>
              <w:bottom w:val="single" w:color="auto" w:sz="4" w:space="0"/>
              <w:right w:val="single" w:color="000000" w:sz="8" w:space="0"/>
            </w:tcBorders>
            <w:vAlign w:val="center"/>
          </w:tcPr>
          <w:p w14:paraId="44968913">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14:paraId="4B5F5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31FE7FF8">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eastAsia="宋体" w:cs="宋体"/>
                <w:b w:val="0"/>
                <w:bCs w:val="0"/>
                <w:color w:val="auto"/>
                <w:kern w:val="0"/>
                <w:sz w:val="22"/>
                <w:szCs w:val="22"/>
                <w:highlight w:val="none"/>
                <w:lang w:val="en-US" w:eastAsia="zh-CN"/>
              </w:rPr>
              <w:t>5</w:t>
            </w:r>
          </w:p>
        </w:tc>
        <w:tc>
          <w:tcPr>
            <w:tcW w:w="9590" w:type="dxa"/>
            <w:tcBorders>
              <w:top w:val="single" w:color="auto" w:sz="4" w:space="0"/>
              <w:left w:val="single" w:color="000000" w:sz="2" w:space="0"/>
              <w:bottom w:val="single" w:color="auto" w:sz="4" w:space="0"/>
              <w:right w:val="single" w:color="000000" w:sz="8" w:space="0"/>
            </w:tcBorders>
            <w:vAlign w:val="center"/>
          </w:tcPr>
          <w:p w14:paraId="6360A4A7">
            <w:pPr>
              <w:widowControl/>
              <w:snapToGrid w:val="0"/>
              <w:spacing w:line="460" w:lineRule="exact"/>
              <w:jc w:val="lef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2309E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B503057">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eastAsia="宋体" w:cs="宋体"/>
                <w:b w:val="0"/>
                <w:bCs w:val="0"/>
                <w:color w:val="auto"/>
                <w:kern w:val="0"/>
                <w:sz w:val="22"/>
                <w:szCs w:val="22"/>
                <w:highlight w:val="none"/>
                <w:lang w:val="en-US" w:eastAsia="zh-CN"/>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42D12AAA">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val="0"/>
                <w:bCs/>
                <w:color w:val="auto"/>
                <w:kern w:val="10"/>
                <w:sz w:val="22"/>
                <w:szCs w:val="22"/>
                <w:highlight w:val="none"/>
              </w:rPr>
              <w:t>潜在供应商需在浙江政府采购网http://http://zfcg.czt.zj.gov.cn/进行免费注册，具体详见浙江政府采购网供应商注册要求。</w:t>
            </w:r>
          </w:p>
        </w:tc>
      </w:tr>
      <w:tr w14:paraId="6AAE5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C39FFAF">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eastAsia="宋体" w:cs="宋体"/>
                <w:b w:val="0"/>
                <w:bCs w:val="0"/>
                <w:color w:val="auto"/>
                <w:kern w:val="0"/>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6143DD59">
            <w:pPr>
              <w:shd w:val="clear"/>
              <w:adjustRightInd w:val="0"/>
              <w:snapToGrid w:val="0"/>
              <w:spacing w:line="460" w:lineRule="exact"/>
              <w:ind w:firstLine="442" w:firstLineChars="200"/>
              <w:rPr>
                <w:rFonts w:hint="eastAsia"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1、扶持中小企业（监狱企业、残疾人福利性单位）：</w:t>
            </w:r>
          </w:p>
          <w:p w14:paraId="0F165103">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4A893609">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1</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项目预算：</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146</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万元</w:t>
            </w:r>
          </w:p>
          <w:p w14:paraId="7953A276">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2</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项目属性：</w:t>
            </w:r>
            <w:r>
              <w:rPr>
                <w:rFonts w:hint="eastAsia" w:ascii="新宋体" w:hAnsi="新宋体" w:eastAsia="新宋体" w:cs="新宋体"/>
                <w:color w:val="auto"/>
                <w:sz w:val="22"/>
                <w:szCs w:val="28"/>
                <w:highlight w:val="none"/>
                <w:u w:val="single"/>
              </w:rPr>
              <w:t xml:space="preserve"> ②服务类 </w:t>
            </w:r>
            <w:r>
              <w:rPr>
                <w:rFonts w:hint="eastAsia" w:ascii="新宋体" w:hAnsi="新宋体" w:eastAsia="新宋体" w:cs="新宋体"/>
                <w:color w:val="auto"/>
                <w:sz w:val="22"/>
                <w:szCs w:val="28"/>
                <w:highlight w:val="none"/>
              </w:rPr>
              <w:t xml:space="preserve"> （①货物类/②服务类/③工程类）</w:t>
            </w:r>
          </w:p>
          <w:p w14:paraId="4D83FD7C">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3</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项目对应的中小企业划分标准所属行业：</w:t>
            </w:r>
            <w:r>
              <w:rPr>
                <w:rFonts w:hint="eastAsia" w:ascii="新宋体" w:hAnsi="新宋体" w:eastAsia="新宋体" w:cs="新宋体"/>
                <w:color w:val="auto"/>
                <w:sz w:val="22"/>
                <w:szCs w:val="28"/>
                <w:highlight w:val="none"/>
                <w:lang w:val="en-US" w:eastAsia="zh-CN"/>
              </w:rPr>
              <w:t>建筑业</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（具体根据《中小企业划型标准规定》执行）</w:t>
            </w:r>
          </w:p>
          <w:p w14:paraId="19F94DAE">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41CBE0E5">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4</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本项目</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是</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rPr>
              <w:t>属于预留份额专门面向中小企业采购的项目。</w:t>
            </w:r>
          </w:p>
          <w:p w14:paraId="123BCEAB">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5</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上述第4项中确定为“是”的采购项目，预留份额通过（③）措施进行：</w:t>
            </w:r>
          </w:p>
          <w:p w14:paraId="7420720A">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①将采购项目整体或者设置采购包专门面向中小企业采购； </w:t>
            </w:r>
          </w:p>
          <w:p w14:paraId="18CAAE44">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②要求供应商以联合体形式参加采购活动，且联合体中中小企业承担的部分达到</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 (比例)； </w:t>
            </w:r>
          </w:p>
          <w:p w14:paraId="103A4EEC">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③要求获得采购合同的供应商将采购项目中的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40%</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(比例)分包给一家或者多家中小企业。</w:t>
            </w:r>
          </w:p>
          <w:p w14:paraId="38E42322">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6</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10%</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（工程项目为5%）的扣除，用扣除后的价格参加评审。 </w:t>
            </w:r>
          </w:p>
          <w:p w14:paraId="269E597D">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6%</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（工程项目为 2%）的扣除，用扣除后的价格参加评审。</w:t>
            </w:r>
          </w:p>
          <w:p w14:paraId="6059A35F">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专门面向中小企业采购的项目或者标项，不再执行价格评审优惠的扶持政策。</w:t>
            </w:r>
          </w:p>
          <w:p w14:paraId="5770D490">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、节能产品、环境标志产品的强制采购政策</w:t>
            </w:r>
          </w:p>
          <w:p w14:paraId="39255817">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3004D9AD">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、节能产品、环境标志产品的优先采购政策</w:t>
            </w:r>
          </w:p>
          <w:p w14:paraId="3AC7F734">
            <w:pPr>
              <w:widowControl/>
              <w:snapToGrid w:val="0"/>
              <w:spacing w:line="460" w:lineRule="exact"/>
              <w:ind w:firstLine="440" w:firstLineChars="200"/>
              <w:jc w:val="lef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（注：本项目执行最新政府采购节能产品、环境标志产品品目清单。）</w:t>
            </w:r>
          </w:p>
        </w:tc>
      </w:tr>
      <w:tr w14:paraId="5224B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E769FAB">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eastAsia="宋体" w:cs="宋体"/>
                <w:b w:val="0"/>
                <w:bCs w:val="0"/>
                <w:color w:val="auto"/>
                <w:kern w:val="0"/>
                <w:sz w:val="22"/>
                <w:szCs w:val="22"/>
                <w:highlight w:val="none"/>
                <w:lang w:val="en-US" w:eastAsia="zh-CN"/>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56DB7A5C">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14:paraId="00436334">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1）招标人或采购代理机构将对本项目供应商的信用记录进行查询。查询渠道为信用中国网站（www.creditchina.gov.cn）、中国政府采购网（www.ccgp.gov.cn）；</w:t>
            </w:r>
          </w:p>
          <w:p w14:paraId="6231CB5A">
            <w:pPr>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2）截止时点：</w:t>
            </w:r>
            <w:r>
              <w:rPr>
                <w:rFonts w:hint="eastAsia" w:ascii="宋体" w:hAnsi="宋体" w:eastAsia="宋体" w:cs="宋体"/>
                <w:color w:val="auto"/>
                <w:sz w:val="22"/>
                <w:highlight w:val="none"/>
              </w:rPr>
              <w:t>招标公告发布之日至投标截止时间前</w:t>
            </w:r>
            <w:r>
              <w:rPr>
                <w:rFonts w:hint="eastAsia" w:ascii="宋体" w:hAnsi="宋体" w:eastAsia="宋体" w:cs="宋体"/>
                <w:color w:val="auto"/>
                <w:sz w:val="22"/>
                <w:szCs w:val="22"/>
                <w:highlight w:val="none"/>
              </w:rPr>
              <w:t>；</w:t>
            </w:r>
          </w:p>
          <w:p w14:paraId="1F446EC9">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3）查询记录和证据的留存：信用信息查询记录和证据以网页截图等方式留存。</w:t>
            </w:r>
          </w:p>
          <w:p w14:paraId="780E7427">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334CA456">
            <w:pPr>
              <w:snapToGrid w:val="0"/>
              <w:spacing w:line="460" w:lineRule="exac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5）联合体成员任意一方存在不良信用记录的，视同联合体存在不良信用记录。</w:t>
            </w:r>
          </w:p>
        </w:tc>
      </w:tr>
      <w:tr w14:paraId="170EE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8E3B49E">
            <w:pPr>
              <w:spacing w:line="360" w:lineRule="exact"/>
              <w:jc w:val="center"/>
              <w:rPr>
                <w:rFonts w:hint="eastAsia" w:ascii="宋体" w:hAnsi="宋体" w:eastAsia="宋体" w:cs="宋体"/>
                <w:b w:val="0"/>
                <w:bCs w:val="0"/>
                <w:color w:val="auto"/>
                <w:kern w:val="0"/>
                <w:sz w:val="22"/>
                <w:szCs w:val="22"/>
                <w:highlight w:val="none"/>
              </w:rPr>
            </w:pPr>
            <w:r>
              <w:rPr>
                <w:rFonts w:hint="eastAsia" w:ascii="宋体" w:hAnsi="宋体" w:cs="宋体"/>
                <w:color w:val="auto"/>
                <w:kern w:val="0"/>
                <w:sz w:val="22"/>
                <w:szCs w:val="22"/>
                <w:highlight w:val="none"/>
              </w:rPr>
              <w:t>分包</w:t>
            </w:r>
          </w:p>
        </w:tc>
        <w:tc>
          <w:tcPr>
            <w:tcW w:w="9590" w:type="dxa"/>
            <w:tcBorders>
              <w:top w:val="single" w:color="000000" w:sz="2" w:space="0"/>
              <w:left w:val="single" w:color="000000" w:sz="2" w:space="0"/>
              <w:bottom w:val="single" w:color="000000" w:sz="2" w:space="0"/>
              <w:right w:val="single" w:color="000000" w:sz="8" w:space="0"/>
            </w:tcBorders>
            <w:vAlign w:val="center"/>
          </w:tcPr>
          <w:p w14:paraId="58C3A018">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不允许</w:t>
            </w:r>
          </w:p>
          <w:p w14:paraId="30FD1E40">
            <w:pPr>
              <w:snapToGrid w:val="0"/>
              <w:spacing w:line="460" w:lineRule="exact"/>
              <w:ind w:left="105" w:leftChars="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允许分包</w:t>
            </w:r>
            <w:r>
              <w:rPr>
                <w:rFonts w:hint="eastAsia" w:ascii="宋体" w:hAnsi="宋体" w:eastAsia="宋体" w:cs="宋体"/>
                <w:color w:val="auto"/>
                <w:sz w:val="22"/>
                <w:szCs w:val="22"/>
                <w:highlight w:val="none"/>
                <w:lang w:val="en-US" w:eastAsia="zh-CN"/>
              </w:rPr>
              <w:t>内容：定期检测（详见招标文件第五部分采购需求及内容）。</w:t>
            </w:r>
          </w:p>
          <w:p w14:paraId="2F290C47">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分包各方不得再单独参加或者与其他投标人另外组成总分包形式参加同一合同项下的政府采购活动，接受分包合同的企业与分包企业之间不得存在直接控股、管理关系，并在投标时提供</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分包协议</w:t>
            </w:r>
            <w:r>
              <w:rPr>
                <w:rFonts w:hint="eastAsia" w:ascii="宋体" w:hAnsi="宋体" w:eastAsia="宋体" w:cs="宋体"/>
                <w:color w:val="auto"/>
                <w:sz w:val="22"/>
                <w:szCs w:val="22"/>
                <w:highlight w:val="none"/>
                <w:lang w:eastAsia="zh-CN"/>
              </w:rPr>
              <w:t>书》及《中小企业声明函》</w:t>
            </w:r>
            <w:r>
              <w:rPr>
                <w:rFonts w:hint="eastAsia" w:ascii="宋体" w:hAnsi="宋体" w:eastAsia="宋体" w:cs="宋体"/>
                <w:color w:val="auto"/>
                <w:sz w:val="22"/>
                <w:szCs w:val="22"/>
                <w:highlight w:val="none"/>
              </w:rPr>
              <w:t>。</w:t>
            </w:r>
          </w:p>
          <w:p w14:paraId="09990122">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投标人自身不具备</w:t>
            </w:r>
            <w:r>
              <w:rPr>
                <w:rFonts w:hint="eastAsia" w:ascii="宋体" w:hAnsi="宋体" w:cs="宋体"/>
                <w:color w:val="auto"/>
                <w:sz w:val="22"/>
                <w:szCs w:val="22"/>
                <w:highlight w:val="none"/>
                <w:lang w:val="en-US" w:eastAsia="zh-CN"/>
              </w:rPr>
              <w:t>以下</w:t>
            </w:r>
            <w:r>
              <w:rPr>
                <w:rFonts w:hint="eastAsia" w:ascii="宋体" w:hAnsi="宋体" w:eastAsia="宋体" w:cs="宋体"/>
                <w:color w:val="auto"/>
                <w:sz w:val="22"/>
                <w:szCs w:val="22"/>
                <w:highlight w:val="none"/>
              </w:rPr>
              <w:t>资质的，允许分包给有相应资质的单位，并在投标时提供分包意向协议：</w:t>
            </w:r>
          </w:p>
          <w:p w14:paraId="24D7467F">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lang w:val="en-US" w:eastAsia="zh-CN"/>
              </w:rPr>
            </w:pPr>
            <w:r>
              <w:rPr>
                <w:rFonts w:hint="eastAsia"/>
                <w:sz w:val="22"/>
                <w:szCs w:val="22"/>
                <w:lang w:val="en-US" w:eastAsia="zh-CN"/>
              </w:rPr>
              <w:t>投标单位或分包企业一家单位必须同时具有（1、3）或（2、3）资格：</w:t>
            </w:r>
          </w:p>
          <w:p w14:paraId="40152D5D">
            <w:pPr>
              <w:pStyle w:val="4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color w:val="auto"/>
                <w:sz w:val="22"/>
                <w:szCs w:val="22"/>
                <w:highlight w:val="none"/>
              </w:rPr>
            </w:pPr>
            <w:r>
              <w:rPr>
                <w:rFonts w:hint="eastAsia" w:cs="宋体"/>
                <w:b w:val="0"/>
                <w:bCs w:val="0"/>
                <w:color w:val="auto"/>
                <w:sz w:val="22"/>
                <w:szCs w:val="22"/>
                <w:highlight w:val="none"/>
                <w:u w:val="none"/>
                <w:lang w:val="en-US" w:eastAsia="zh-CN"/>
              </w:rPr>
              <w:t>（1）</w:t>
            </w:r>
            <w:r>
              <w:rPr>
                <w:rFonts w:hint="eastAsia" w:ascii="宋体" w:hAnsi="宋体" w:eastAsia="宋体" w:cs="宋体"/>
                <w:b w:val="0"/>
                <w:bCs w:val="0"/>
                <w:color w:val="auto"/>
                <w:sz w:val="22"/>
                <w:szCs w:val="22"/>
                <w:highlight w:val="none"/>
                <w:u w:val="none"/>
                <w:lang w:val="en-US" w:eastAsia="zh-CN"/>
              </w:rPr>
              <w:t>具有省级及以上建设主管部门颁发的建设工程质量检测机构资质：有效的市政桥梁检测资质或桥梁与地下工程专项检测资质或检测机构综合资质；</w:t>
            </w:r>
          </w:p>
          <w:p w14:paraId="68916726">
            <w:pPr>
              <w:pStyle w:val="4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cs="宋体"/>
                <w:b w:val="0"/>
                <w:bCs w:val="0"/>
                <w:color w:val="auto"/>
                <w:sz w:val="22"/>
                <w:szCs w:val="22"/>
                <w:highlight w:val="none"/>
                <w:u w:val="none"/>
                <w:lang w:val="en-US" w:eastAsia="zh-CN"/>
              </w:rPr>
            </w:pPr>
            <w:r>
              <w:rPr>
                <w:rFonts w:hint="eastAsia" w:cs="宋体"/>
                <w:b w:val="0"/>
                <w:bCs w:val="0"/>
                <w:color w:val="auto"/>
                <w:sz w:val="22"/>
                <w:szCs w:val="22"/>
                <w:highlight w:val="none"/>
                <w:u w:val="none"/>
                <w:lang w:val="en-US" w:eastAsia="zh-CN"/>
              </w:rPr>
              <w:t>（2）具有交通运输部门颁发的公路工程试验检测综合甲级资质或公路工程桥梁隧道工程专项检测资质</w:t>
            </w:r>
            <w:r>
              <w:rPr>
                <w:rFonts w:hint="eastAsia" w:ascii="宋体" w:hAnsi="宋体" w:cs="宋体"/>
                <w:b w:val="0"/>
                <w:bCs w:val="0"/>
                <w:color w:val="auto"/>
                <w:sz w:val="22"/>
                <w:szCs w:val="22"/>
                <w:highlight w:val="none"/>
                <w:u w:val="none"/>
                <w:lang w:val="en-US" w:eastAsia="zh-CN"/>
              </w:rPr>
              <w:t>，独立法人单位下属的非独立法人具有检测资质的视为该独立法人单位具有相应资质（证书需在有效期内，资质证书已到期，但在公路水运工程质量检测管理信息系统（https://www.ttiis.cn/）中相关证书状态显示有效的，本次投标予以认可。）</w:t>
            </w:r>
            <w:r>
              <w:rPr>
                <w:rFonts w:hint="eastAsia" w:cs="宋体"/>
                <w:b w:val="0"/>
                <w:bCs w:val="0"/>
                <w:color w:val="auto"/>
                <w:sz w:val="22"/>
                <w:szCs w:val="22"/>
                <w:highlight w:val="none"/>
                <w:u w:val="none"/>
                <w:lang w:val="en-US" w:eastAsia="zh-CN"/>
              </w:rPr>
              <w:t xml:space="preserve"> </w:t>
            </w:r>
          </w:p>
          <w:p w14:paraId="022BF672">
            <w:pPr>
              <w:pStyle w:val="47"/>
              <w:numPr>
                <w:ilvl w:val="0"/>
                <w:numId w:val="0"/>
              </w:numPr>
              <w:snapToGrid/>
              <w:spacing w:before="0" w:beforeAutospacing="0" w:after="0" w:afterAutospacing="0" w:line="460" w:lineRule="exact"/>
              <w:ind w:firstLine="440" w:firstLineChars="200"/>
              <w:rPr>
                <w:rFonts w:hint="eastAsia" w:ascii="宋体" w:hAnsi="宋体" w:cs="宋体"/>
                <w:color w:val="auto"/>
                <w:sz w:val="22"/>
                <w:szCs w:val="22"/>
                <w:highlight w:val="none"/>
                <w:u w:val="none"/>
                <w:lang w:eastAsia="zh-CN"/>
              </w:rPr>
            </w:pPr>
            <w:r>
              <w:rPr>
                <w:rFonts w:hint="eastAsia" w:cs="宋体"/>
                <w:b w:val="0"/>
                <w:bCs w:val="0"/>
                <w:color w:val="auto"/>
                <w:sz w:val="22"/>
                <w:szCs w:val="22"/>
                <w:highlight w:val="none"/>
                <w:u w:val="none"/>
                <w:lang w:val="en-US" w:eastAsia="zh-CN"/>
              </w:rPr>
              <w:t>（3）</w:t>
            </w:r>
            <w:r>
              <w:rPr>
                <w:rFonts w:hint="eastAsia" w:ascii="宋体" w:hAnsi="宋体" w:eastAsia="宋体" w:cs="宋体"/>
                <w:b w:val="0"/>
                <w:bCs w:val="0"/>
                <w:color w:val="auto"/>
                <w:sz w:val="22"/>
                <w:szCs w:val="22"/>
                <w:highlight w:val="none"/>
                <w:u w:val="none"/>
                <w:lang w:val="en-US" w:eastAsia="zh-CN"/>
              </w:rPr>
              <w:t>具有省级及以上计量主管部门颁发的有效CMA计量认证证书和含有桥梁检测相关项目的有效CMA计量认证证书附表</w:t>
            </w:r>
            <w:r>
              <w:rPr>
                <w:rFonts w:hint="eastAsia" w:ascii="宋体" w:hAnsi="宋体" w:cs="宋体"/>
                <w:b w:val="0"/>
                <w:bCs w:val="0"/>
                <w:color w:val="auto"/>
                <w:sz w:val="22"/>
                <w:szCs w:val="22"/>
                <w:highlight w:val="none"/>
                <w:u w:val="none"/>
                <w:lang w:val="en-US" w:eastAsia="zh-CN"/>
              </w:rPr>
              <w:t>；</w:t>
            </w:r>
          </w:p>
          <w:p w14:paraId="6EBC4D77">
            <w:pPr>
              <w:snapToGrid w:val="0"/>
              <w:spacing w:line="460" w:lineRule="exact"/>
              <w:ind w:left="105" w:leftChars="50"/>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sz w:val="22"/>
                <w:szCs w:val="22"/>
                <w:highlight w:val="none"/>
              </w:rPr>
              <w:t>特别提示：本项目属于部分预留份额项目面向中小企业采购，中小企业依据《政府采购促进中小企业发展管理办法》规定享受扶持政策获得政府采购合同的，小微企业不得将合同分包给大中型企业，中型企业不得将合同分包给大型企业。</w:t>
            </w:r>
          </w:p>
        </w:tc>
      </w:tr>
      <w:tr w14:paraId="0C6C5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10375" w:type="dxa"/>
            <w:gridSpan w:val="2"/>
            <w:tcBorders>
              <w:top w:val="single" w:color="000000" w:sz="2" w:space="0"/>
              <w:left w:val="single" w:color="000000" w:sz="8" w:space="0"/>
              <w:bottom w:val="single" w:color="000000" w:sz="2" w:space="0"/>
              <w:right w:val="single" w:color="000000" w:sz="8" w:space="0"/>
            </w:tcBorders>
            <w:vAlign w:val="center"/>
          </w:tcPr>
          <w:p w14:paraId="4065EE5F">
            <w:pPr>
              <w:snapToGrid w:val="0"/>
              <w:spacing w:line="460" w:lineRule="exact"/>
              <w:ind w:left="105" w:leftChars="50"/>
              <w:rPr>
                <w:rFonts w:hint="eastAsia" w:ascii="宋体" w:hAnsi="宋体" w:eastAsia="宋体" w:cs="宋体"/>
                <w:b/>
                <w:bCs/>
                <w:color w:val="auto"/>
                <w:kern w:val="0"/>
                <w:sz w:val="22"/>
                <w:szCs w:val="22"/>
                <w:highlight w:val="none"/>
              </w:rPr>
            </w:pPr>
            <w:r>
              <w:rPr>
                <w:rFonts w:hint="eastAsia" w:ascii="宋体" w:hAnsi="宋体" w:eastAsia="宋体" w:cs="宋体"/>
                <w:b/>
                <w:bCs/>
                <w:color w:val="auto"/>
                <w:sz w:val="22"/>
                <w:szCs w:val="22"/>
                <w:highlight w:val="none"/>
                <w:lang w:val="en-US" w:eastAsia="zh-CN"/>
              </w:rPr>
              <w:t>注：招标文件其他组成部分涉及与前附表相同内容，如有不明确或不一致，以前附表规定为准。</w:t>
            </w:r>
          </w:p>
        </w:tc>
      </w:tr>
    </w:tbl>
    <w:p w14:paraId="6B754AAE">
      <w:pPr>
        <w:rPr>
          <w:rFonts w:hint="eastAsia" w:ascii="宋体" w:hAnsi="宋体" w:eastAsia="宋体" w:cs="宋体"/>
          <w:b/>
          <w:bCs/>
          <w:color w:val="auto"/>
          <w:sz w:val="26"/>
          <w:szCs w:val="26"/>
          <w:highlight w:val="none"/>
        </w:rPr>
      </w:pPr>
      <w:bookmarkStart w:id="10" w:name="_Toc19070"/>
      <w:bookmarkStart w:id="11" w:name="_Toc20846"/>
      <w:r>
        <w:rPr>
          <w:rFonts w:hint="eastAsia" w:ascii="宋体" w:hAnsi="宋体" w:eastAsia="宋体" w:cs="宋体"/>
          <w:b/>
          <w:bCs/>
          <w:color w:val="auto"/>
          <w:sz w:val="26"/>
          <w:szCs w:val="26"/>
          <w:highlight w:val="none"/>
        </w:rPr>
        <w:br w:type="page"/>
      </w:r>
    </w:p>
    <w:p w14:paraId="702B0EA0">
      <w:pPr>
        <w:spacing w:before="100" w:beforeAutospacing="1" w:after="100" w:afterAutospacing="1" w:line="460" w:lineRule="exact"/>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26"/>
          <w:szCs w:val="26"/>
          <w:highlight w:val="none"/>
        </w:rPr>
        <w:t>一、 说   明</w:t>
      </w:r>
      <w:bookmarkEnd w:id="10"/>
      <w:bookmarkEnd w:id="11"/>
    </w:p>
    <w:p w14:paraId="01880282">
      <w:pPr>
        <w:tabs>
          <w:tab w:val="left" w:pos="360"/>
        </w:tabs>
        <w:spacing w:line="460" w:lineRule="exact"/>
        <w:ind w:firstLine="550" w:firstLineChars="2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498CF4DC">
      <w:pPr>
        <w:tabs>
          <w:tab w:val="left" w:pos="360"/>
        </w:tabs>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14:paraId="6184698A">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招标人：是指依法进行政府采购的国家机关、事业单位、团体组织</w:t>
      </w:r>
    </w:p>
    <w:p w14:paraId="244D15AD">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招标代理机构：受招标人委托，在委托的范围内办理政府采购事宜的机构；</w:t>
      </w:r>
    </w:p>
    <w:p w14:paraId="7A04B048">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投标人：是指参加本政府采购项目投标的供应商；</w:t>
      </w:r>
    </w:p>
    <w:p w14:paraId="6DDA7975">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投标人代表：是指参加本项目投标活动的供应商法定代表人或法定代表人授权代表；</w:t>
      </w:r>
    </w:p>
    <w:p w14:paraId="4FEE77D8">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投标联合体：是指两个以上供应商组成联合体，以一个供应商的身份参加投标；</w:t>
      </w:r>
    </w:p>
    <w:p w14:paraId="1355E02E">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甲方：是指合同签订的一方，一般与招标人、用户相同；</w:t>
      </w:r>
    </w:p>
    <w:p w14:paraId="47456A3C">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14:paraId="25291A5C">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14:paraId="1874C519">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其不利的评定，一切后果由供应商自行承担。</w:t>
      </w:r>
    </w:p>
    <w:p w14:paraId="6298AC12">
      <w:pPr>
        <w:tabs>
          <w:tab w:val="left" w:pos="360"/>
        </w:tabs>
        <w:spacing w:line="460" w:lineRule="exac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带“▲”条款系指实质性要求条款。“★”是关键技术参数及要求。</w:t>
      </w:r>
    </w:p>
    <w:p w14:paraId="09ADC438">
      <w:pPr>
        <w:tabs>
          <w:tab w:val="left" w:pos="360"/>
        </w:tabs>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14:paraId="748FBBB4">
      <w:pPr>
        <w:tabs>
          <w:tab w:val="left" w:pos="360"/>
        </w:tabs>
        <w:spacing w:line="460" w:lineRule="exact"/>
        <w:ind w:firstLine="539" w:firstLineChars="245"/>
        <w:rPr>
          <w:rFonts w:hint="eastAsia" w:ascii="宋体" w:hAnsi="宋体" w:eastAsia="宋体" w:cs="宋体"/>
          <w:b w:val="0"/>
          <w:bCs/>
          <w:color w:val="auto"/>
          <w:sz w:val="22"/>
          <w:highlight w:val="none"/>
        </w:rPr>
      </w:pPr>
      <w:r>
        <w:rPr>
          <w:rFonts w:hint="eastAsia" w:ascii="宋体" w:hAnsi="宋体" w:eastAsia="宋体" w:cs="宋体"/>
          <w:b w:val="0"/>
          <w:bCs/>
          <w:color w:val="auto"/>
          <w:sz w:val="22"/>
          <w:szCs w:val="22"/>
          <w:highlight w:val="none"/>
        </w:rPr>
        <w:t>3.1</w:t>
      </w:r>
      <w:r>
        <w:rPr>
          <w:rFonts w:hint="eastAsia" w:ascii="宋体" w:hAnsi="宋体" w:eastAsia="宋体" w:cs="宋体"/>
          <w:b w:val="0"/>
          <w:bCs/>
          <w:color w:val="auto"/>
          <w:sz w:val="22"/>
          <w:highlight w:val="none"/>
        </w:rPr>
        <w:t>指全权代表投标人参加投标活动并签署投标文件的人。如果投标人代表不是法定代表人，须持有《法定代表人授权书》（见附件）</w:t>
      </w:r>
    </w:p>
    <w:p w14:paraId="70C8BBEC">
      <w:pPr>
        <w:tabs>
          <w:tab w:val="left" w:pos="360"/>
        </w:tabs>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auto"/>
          <w:sz w:val="22"/>
          <w:szCs w:val="22"/>
          <w:highlight w:val="none"/>
        </w:rPr>
        <w:t>。</w:t>
      </w:r>
    </w:p>
    <w:p w14:paraId="708BD852">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4、投标费用</w:t>
      </w:r>
    </w:p>
    <w:p w14:paraId="44FD871F">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4.1投</w:t>
      </w:r>
      <w:r>
        <w:rPr>
          <w:rFonts w:hint="eastAsia" w:ascii="宋体" w:hAnsi="宋体" w:eastAsia="宋体" w:cs="宋体"/>
          <w:color w:val="auto"/>
          <w:sz w:val="22"/>
          <w:szCs w:val="22"/>
          <w:highlight w:val="none"/>
        </w:rPr>
        <w:t>标人应承担所有与准备和参加投标有关费用，不论投标的结果如何，招标人或招标代理机构均无义务和责任承担这些费用。</w:t>
      </w:r>
    </w:p>
    <w:p w14:paraId="4C54FA8F">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2" w:name="_Toc9899"/>
      <w:bookmarkStart w:id="13" w:name="_Toc28278"/>
      <w:r>
        <w:rPr>
          <w:rFonts w:hint="eastAsia" w:ascii="宋体" w:hAnsi="宋体" w:eastAsia="宋体" w:cs="宋体"/>
          <w:b/>
          <w:bCs/>
          <w:color w:val="auto"/>
          <w:sz w:val="26"/>
          <w:szCs w:val="26"/>
          <w:highlight w:val="none"/>
        </w:rPr>
        <w:t>二、 招标文件</w:t>
      </w:r>
      <w:bookmarkEnd w:id="12"/>
      <w:bookmarkEnd w:id="13"/>
    </w:p>
    <w:p w14:paraId="103C2823">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14:paraId="5EEC5937">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2、招标文件的澄清</w:t>
      </w:r>
    </w:p>
    <w:p w14:paraId="34BFB928">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14:paraId="66B79A90">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3、招标文件的修改</w:t>
      </w:r>
    </w:p>
    <w:p w14:paraId="03A111CC">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该澄清或修改内容为招标文件的组成部分。</w:t>
      </w:r>
    </w:p>
    <w:p w14:paraId="5996042A">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highlight w:val="none"/>
        </w:rPr>
        <w:t>3.2招标人、招标代理机构可以视采购的具体情况决定是否延长投标截止时间和开标时间，并在招标文件要求递交投标文件的截止时间前，在财政部门指定的政府采购信息发布媒体上发布变更公告。</w:t>
      </w:r>
    </w:p>
    <w:p w14:paraId="32C7C8B9">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lang w:val="en-US" w:eastAsia="zh-CN"/>
        </w:rPr>
        <w:t>注：</w:t>
      </w:r>
      <w:r>
        <w:rPr>
          <w:rFonts w:hint="eastAsia" w:ascii="宋体" w:hAnsi="宋体" w:eastAsia="宋体" w:cs="宋体"/>
          <w:color w:val="auto"/>
          <w:sz w:val="22"/>
          <w:highlight w:val="none"/>
        </w:rPr>
        <w:t>潜在投标人应自行关注网站公告，</w:t>
      </w:r>
      <w:r>
        <w:rPr>
          <w:rFonts w:hint="eastAsia" w:ascii="宋体" w:hAnsi="宋体" w:cs="宋体"/>
          <w:color w:val="auto"/>
          <w:sz w:val="22"/>
          <w:highlight w:val="none"/>
        </w:rPr>
        <w:t>招标人、招标代理机构</w:t>
      </w:r>
      <w:r>
        <w:rPr>
          <w:rFonts w:hint="eastAsia" w:ascii="宋体" w:hAnsi="宋体" w:eastAsia="宋体" w:cs="宋体"/>
          <w:color w:val="auto"/>
          <w:sz w:val="22"/>
          <w:highlight w:val="none"/>
        </w:rPr>
        <w:t>不再一一通知。投标人因自身贻误行为导致投标失败的，责任自负。</w:t>
      </w:r>
    </w:p>
    <w:p w14:paraId="5C94D75F">
      <w:pPr>
        <w:spacing w:line="460" w:lineRule="exact"/>
        <w:ind w:firstLine="541" w:firstLineChars="245"/>
        <w:rPr>
          <w:rFonts w:hint="eastAsia" w:ascii="宋体" w:hAnsi="宋体" w:eastAsia="宋体" w:cs="宋体"/>
          <w:b/>
          <w:color w:val="auto"/>
          <w:sz w:val="22"/>
          <w:szCs w:val="22"/>
          <w:highlight w:val="none"/>
        </w:rPr>
      </w:pPr>
    </w:p>
    <w:p w14:paraId="208529B8">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4" w:name="_Toc22646"/>
      <w:bookmarkStart w:id="15" w:name="_Toc12726"/>
      <w:r>
        <w:rPr>
          <w:rFonts w:hint="eastAsia" w:ascii="宋体" w:hAnsi="宋体" w:eastAsia="宋体" w:cs="宋体"/>
          <w:b/>
          <w:bCs/>
          <w:color w:val="auto"/>
          <w:sz w:val="26"/>
          <w:szCs w:val="26"/>
          <w:highlight w:val="none"/>
        </w:rPr>
        <w:t>三、 投标文件的编制</w:t>
      </w:r>
      <w:bookmarkEnd w:id="14"/>
      <w:bookmarkEnd w:id="15"/>
    </w:p>
    <w:p w14:paraId="1F735AFC">
      <w:pPr>
        <w:tabs>
          <w:tab w:val="left" w:pos="360"/>
        </w:tabs>
        <w:spacing w:line="460" w:lineRule="exact"/>
        <w:ind w:firstLine="550" w:firstLineChars="25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1、投标人应认真阅读招标文件中所有事项、格式、条款和技术规范等。投标人没有按照招标文件要求提交全部资料，或者没有对招标文件各个方面做出实质性响应，导致投标被否决的风险由投标人自行承担。</w:t>
      </w:r>
    </w:p>
    <w:p w14:paraId="0DF0EDD2">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highlight w:val="none"/>
        </w:rPr>
        <w:t>2、投标人应保证所提供文件资料的真实性，所有文件资料必须是针对本次投标的。如发现投标人提供了虚假文件资料，其投标将被否决，并自行承担相应的法律责任。</w:t>
      </w:r>
    </w:p>
    <w:p w14:paraId="203AD952">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14:paraId="7A26997C">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0"/>
          <w:sz w:val="22"/>
          <w:szCs w:val="22"/>
          <w:highlight w:val="none"/>
        </w:rPr>
        <w:t>投标</w:t>
      </w:r>
      <w:r>
        <w:rPr>
          <w:rFonts w:hint="eastAsia" w:ascii="宋体" w:hAnsi="宋体" w:eastAsia="宋体" w:cs="宋体"/>
          <w:b w:val="0"/>
          <w:bCs w:val="0"/>
          <w:color w:val="auto"/>
          <w:kern w:val="0"/>
          <w:sz w:val="22"/>
          <w:szCs w:val="22"/>
          <w:highlight w:val="none"/>
          <w:lang w:val="zh-CN"/>
        </w:rPr>
        <w:t>文件应当包括以下主要内容：资格文件、报价文件、商务技术文件。</w:t>
      </w:r>
    </w:p>
    <w:p w14:paraId="151A2B12">
      <w:pPr>
        <w:spacing w:line="460" w:lineRule="exact"/>
        <w:ind w:firstLine="541" w:firstLineChars="245"/>
        <w:rPr>
          <w:rFonts w:hint="eastAsia" w:ascii="宋体" w:hAnsi="宋体" w:eastAsia="宋体" w:cs="宋体"/>
          <w:b/>
          <w:bCs/>
          <w:color w:val="auto"/>
          <w:kern w:val="0"/>
          <w:sz w:val="22"/>
          <w:szCs w:val="22"/>
          <w:highlight w:val="none"/>
          <w:u w:val="none"/>
          <w:lang w:val="zh-CN"/>
        </w:rPr>
      </w:pPr>
      <w:r>
        <w:rPr>
          <w:rFonts w:hint="eastAsia" w:ascii="宋体" w:hAnsi="宋体" w:eastAsia="宋体" w:cs="宋体"/>
          <w:b/>
          <w:bCs/>
          <w:color w:val="auto"/>
          <w:kern w:val="0"/>
          <w:sz w:val="22"/>
          <w:szCs w:val="22"/>
          <w:highlight w:val="none"/>
          <w:u w:val="none"/>
        </w:rPr>
        <w:t>3.1</w:t>
      </w:r>
      <w:r>
        <w:rPr>
          <w:rFonts w:hint="eastAsia" w:ascii="宋体" w:hAnsi="宋体" w:eastAsia="宋体" w:cs="宋体"/>
          <w:b/>
          <w:bCs/>
          <w:color w:val="auto"/>
          <w:kern w:val="0"/>
          <w:sz w:val="22"/>
          <w:szCs w:val="22"/>
          <w:highlight w:val="none"/>
          <w:u w:val="none"/>
          <w:lang w:val="zh-CN"/>
        </w:rPr>
        <w:t xml:space="preserve">投标人的资格文件至少应包括以下内容： </w:t>
      </w:r>
    </w:p>
    <w:p w14:paraId="6AC370C1">
      <w:pPr>
        <w:spacing w:line="460" w:lineRule="exact"/>
        <w:ind w:firstLine="539" w:firstLineChars="245"/>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zh-CN"/>
        </w:rPr>
        <w:t>基本资格条件审查材料：</w:t>
      </w:r>
      <w:r>
        <w:rPr>
          <w:rFonts w:hint="eastAsia" w:ascii="宋体" w:hAnsi="宋体" w:eastAsia="宋体" w:cs="宋体"/>
          <w:color w:val="auto"/>
          <w:kern w:val="0"/>
          <w:sz w:val="22"/>
          <w:szCs w:val="22"/>
          <w:highlight w:val="none"/>
          <w:u w:val="none"/>
          <w:lang w:val="en-US" w:eastAsia="zh-CN"/>
        </w:rPr>
        <w:t>即证明供应商</w:t>
      </w:r>
      <w:r>
        <w:rPr>
          <w:rFonts w:hint="eastAsia" w:ascii="宋体" w:hAnsi="宋体" w:eastAsia="宋体" w:cs="宋体"/>
          <w:color w:val="auto"/>
          <w:kern w:val="0"/>
          <w:sz w:val="22"/>
          <w:szCs w:val="22"/>
          <w:highlight w:val="none"/>
          <w:u w:val="none"/>
          <w:lang w:val="zh-CN"/>
        </w:rPr>
        <w:t>参加本次政府采购活动前3年内</w:t>
      </w:r>
      <w:r>
        <w:rPr>
          <w:rFonts w:hint="eastAsia"/>
          <w:color w:val="auto"/>
          <w:sz w:val="22"/>
          <w:szCs w:val="22"/>
          <w:highlight w:val="none"/>
          <w:u w:val="none"/>
          <w:lang w:val="en-US" w:eastAsia="zh-CN"/>
        </w:rPr>
        <w:t>满足《中华人民共和国政府采购法》</w:t>
      </w:r>
      <w:r>
        <w:rPr>
          <w:rFonts w:hint="eastAsia" w:ascii="宋体" w:hAnsi="宋体" w:eastAsia="宋体" w:cs="宋体"/>
          <w:color w:val="auto"/>
          <w:kern w:val="0"/>
          <w:sz w:val="22"/>
          <w:szCs w:val="22"/>
          <w:highlight w:val="none"/>
          <w:u w:val="none"/>
          <w:lang w:val="zh-CN"/>
        </w:rPr>
        <w:t>的有关资格证明文件。</w:t>
      </w:r>
      <w:r>
        <w:rPr>
          <w:rFonts w:hint="eastAsia" w:ascii="宋体" w:hAnsi="宋体" w:eastAsia="宋体" w:cs="宋体"/>
          <w:color w:val="auto"/>
          <w:kern w:val="0"/>
          <w:sz w:val="22"/>
          <w:szCs w:val="22"/>
          <w:highlight w:val="none"/>
          <w:u w:val="none"/>
          <w:lang w:val="en-US" w:eastAsia="zh-CN"/>
        </w:rPr>
        <w:t>包括：</w:t>
      </w:r>
    </w:p>
    <w:p w14:paraId="3A71F14F">
      <w:pPr>
        <w:snapToGrid w:val="0"/>
        <w:spacing w:line="460" w:lineRule="exact"/>
        <w:ind w:left="105" w:leftChars="5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1</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资格条件承诺函</w:t>
      </w:r>
      <w:r>
        <w:rPr>
          <w:rFonts w:hint="eastAsia" w:ascii="宋体" w:hAnsi="宋体" w:eastAsia="宋体" w:cs="宋体"/>
          <w:color w:val="auto"/>
          <w:sz w:val="22"/>
          <w:szCs w:val="22"/>
          <w:highlight w:val="none"/>
          <w:u w:val="none"/>
          <w:lang w:eastAsia="zh-CN"/>
        </w:rPr>
        <w:t>；</w:t>
      </w:r>
    </w:p>
    <w:p w14:paraId="2A1DD30D">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2</w:t>
      </w:r>
      <w:r>
        <w:rPr>
          <w:rFonts w:hint="eastAsia" w:ascii="宋体" w:hAnsi="宋体" w:eastAsia="宋体" w:cs="宋体"/>
          <w:color w:val="auto"/>
          <w:sz w:val="22"/>
          <w:szCs w:val="22"/>
          <w:highlight w:val="none"/>
          <w:u w:val="none"/>
        </w:rPr>
        <w:t xml:space="preserve">）营业执照(或事业法人登记证书或其它工商等登记证明材料；自然人参与政府采购，提供身份证)复印件； </w:t>
      </w:r>
    </w:p>
    <w:p w14:paraId="7148E0DA">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43F7897">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lang w:val="en-US" w:eastAsia="zh-CN"/>
        </w:rPr>
        <w:t>（3）投标人信用查询；</w:t>
      </w:r>
    </w:p>
    <w:p w14:paraId="6FA178A3">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4</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政府采购活动现场确认声明书</w:t>
      </w:r>
      <w:r>
        <w:rPr>
          <w:rFonts w:hint="eastAsia" w:ascii="宋体" w:hAnsi="宋体" w:eastAsia="宋体" w:cs="宋体"/>
          <w:color w:val="auto"/>
          <w:sz w:val="22"/>
          <w:szCs w:val="22"/>
          <w:highlight w:val="none"/>
          <w:u w:val="none"/>
          <w:lang w:eastAsia="zh-CN"/>
        </w:rPr>
        <w:t>；</w:t>
      </w:r>
    </w:p>
    <w:p w14:paraId="30E43DF3">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5</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落实政府采购政策需满足的资格要求证明材料；</w:t>
      </w:r>
    </w:p>
    <w:p w14:paraId="527EE75F">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6</w:t>
      </w:r>
      <w:r>
        <w:rPr>
          <w:rFonts w:hint="eastAsia" w:ascii="宋体" w:hAnsi="宋体" w:cs="宋体"/>
          <w:color w:val="auto"/>
          <w:sz w:val="22"/>
          <w:szCs w:val="22"/>
          <w:highlight w:val="none"/>
          <w:u w:val="none"/>
          <w:lang w:eastAsia="zh-CN"/>
        </w:rPr>
        <w:t>）</w:t>
      </w:r>
      <w:r>
        <w:rPr>
          <w:rFonts w:hint="eastAsia"/>
          <w:color w:val="auto"/>
          <w:sz w:val="22"/>
          <w:szCs w:val="22"/>
          <w:highlight w:val="none"/>
          <w:u w:val="none"/>
          <w:lang w:val="en-US" w:eastAsia="zh-CN"/>
        </w:rPr>
        <w:t>投标单位必须</w:t>
      </w:r>
      <w:r>
        <w:rPr>
          <w:rFonts w:hint="eastAsia"/>
          <w:sz w:val="22"/>
          <w:szCs w:val="22"/>
          <w:lang w:val="en-US" w:eastAsia="zh-CN"/>
        </w:rPr>
        <w:t>具有</w:t>
      </w:r>
      <w:r>
        <w:rPr>
          <w:rFonts w:hint="eastAsia"/>
          <w:color w:val="auto"/>
          <w:sz w:val="22"/>
          <w:szCs w:val="22"/>
          <w:highlight w:val="none"/>
          <w:u w:val="none"/>
          <w:lang w:val="en-US" w:eastAsia="zh-CN"/>
        </w:rPr>
        <w:t>：具有市政公用工程施工总承包企业资质贰级及以上资质或桥梁工程专业承包资质一级及以上。投标单位或分包企业一家单位必须同时具有（1、3）或（2、3）资格：</w:t>
      </w:r>
    </w:p>
    <w:p w14:paraId="07696876">
      <w:pPr>
        <w:pStyle w:val="4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s="宋体"/>
          <w:b w:val="0"/>
          <w:bCs w:val="0"/>
          <w:color w:val="auto"/>
          <w:sz w:val="22"/>
          <w:szCs w:val="22"/>
          <w:highlight w:val="none"/>
          <w:u w:val="none"/>
          <w:lang w:val="en-US" w:eastAsia="zh-CN"/>
        </w:rPr>
        <w:t>（1）</w:t>
      </w:r>
      <w:r>
        <w:rPr>
          <w:rFonts w:hint="eastAsia" w:ascii="宋体" w:hAnsi="宋体" w:eastAsia="宋体" w:cs="宋体"/>
          <w:b w:val="0"/>
          <w:bCs w:val="0"/>
          <w:color w:val="auto"/>
          <w:sz w:val="22"/>
          <w:szCs w:val="22"/>
          <w:highlight w:val="none"/>
          <w:u w:val="none"/>
          <w:lang w:val="en-US" w:eastAsia="zh-CN"/>
        </w:rPr>
        <w:t>具有省级及以上建设主管部门颁发的建设工程质量检测机构资质：有效的市政桥梁检测资质或桥梁与地下工程专项检测资质或检测机构综合资质；</w:t>
      </w:r>
    </w:p>
    <w:p w14:paraId="325BA988">
      <w:pPr>
        <w:pStyle w:val="4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cs="宋体"/>
          <w:b w:val="0"/>
          <w:bCs w:val="0"/>
          <w:color w:val="auto"/>
          <w:sz w:val="22"/>
          <w:szCs w:val="22"/>
          <w:highlight w:val="none"/>
          <w:u w:val="none"/>
          <w:lang w:val="en-US" w:eastAsia="zh-CN"/>
        </w:rPr>
      </w:pPr>
      <w:r>
        <w:rPr>
          <w:rFonts w:hint="eastAsia" w:cs="宋体"/>
          <w:b w:val="0"/>
          <w:bCs w:val="0"/>
          <w:color w:val="auto"/>
          <w:sz w:val="22"/>
          <w:szCs w:val="22"/>
          <w:highlight w:val="none"/>
          <w:u w:val="none"/>
          <w:lang w:val="en-US" w:eastAsia="zh-CN"/>
        </w:rPr>
        <w:t>（2）具有交通运输部门颁发的公路工程试验检测综合甲级资质或公路工程桥梁隧道工程专项检测资质</w:t>
      </w:r>
      <w:r>
        <w:rPr>
          <w:rFonts w:hint="eastAsia" w:ascii="宋体" w:hAnsi="宋体" w:cs="宋体"/>
          <w:b w:val="0"/>
          <w:bCs w:val="0"/>
          <w:color w:val="auto"/>
          <w:sz w:val="22"/>
          <w:szCs w:val="22"/>
          <w:highlight w:val="none"/>
          <w:u w:val="none"/>
          <w:lang w:val="en-US" w:eastAsia="zh-CN"/>
        </w:rPr>
        <w:t>，独立法人单位下属的非独立法人具有检测资质的视为该独立法人单位具有相应资质（证书需在有效期内，资质证书已到期，但在公路水运工程质量检测管理信息系统（https://www.ttiis.cn/）中相关证书状态显示有效的，本次投标予以认可。）</w:t>
      </w:r>
      <w:r>
        <w:rPr>
          <w:rFonts w:hint="eastAsia" w:cs="宋体"/>
          <w:b w:val="0"/>
          <w:bCs w:val="0"/>
          <w:color w:val="auto"/>
          <w:sz w:val="22"/>
          <w:szCs w:val="22"/>
          <w:highlight w:val="none"/>
          <w:u w:val="none"/>
          <w:lang w:val="en-US" w:eastAsia="zh-CN"/>
        </w:rPr>
        <w:t xml:space="preserve"> </w:t>
      </w:r>
    </w:p>
    <w:p w14:paraId="054C295F">
      <w:pPr>
        <w:pStyle w:val="47"/>
        <w:snapToGrid/>
        <w:spacing w:before="0" w:beforeAutospacing="0" w:after="0" w:afterAutospacing="0" w:line="460" w:lineRule="exact"/>
        <w:ind w:firstLine="440" w:firstLineChars="200"/>
        <w:rPr>
          <w:rFonts w:hint="eastAsia" w:ascii="宋体" w:hAnsi="宋体" w:eastAsia="宋体" w:cs="宋体"/>
          <w:color w:val="auto"/>
          <w:sz w:val="22"/>
          <w:szCs w:val="22"/>
          <w:highlight w:val="none"/>
          <w:u w:val="none"/>
        </w:rPr>
      </w:pPr>
      <w:r>
        <w:rPr>
          <w:rFonts w:hint="eastAsia" w:cs="宋体"/>
          <w:b w:val="0"/>
          <w:bCs w:val="0"/>
          <w:color w:val="auto"/>
          <w:sz w:val="22"/>
          <w:szCs w:val="22"/>
          <w:highlight w:val="none"/>
          <w:u w:val="none"/>
          <w:lang w:val="en-US" w:eastAsia="zh-CN"/>
        </w:rPr>
        <w:t>（3）</w:t>
      </w:r>
      <w:r>
        <w:rPr>
          <w:rFonts w:hint="eastAsia" w:ascii="宋体" w:hAnsi="宋体" w:eastAsia="宋体" w:cs="宋体"/>
          <w:b w:val="0"/>
          <w:bCs w:val="0"/>
          <w:color w:val="auto"/>
          <w:sz w:val="22"/>
          <w:szCs w:val="22"/>
          <w:highlight w:val="none"/>
          <w:u w:val="none"/>
          <w:lang w:val="en-US" w:eastAsia="zh-CN"/>
        </w:rPr>
        <w:t>具有省级及以上计量主管部门颁发的有效CMA计量认证证书和含有桥梁检测相关项目的有效CMA计量认证证书附表</w:t>
      </w:r>
      <w:r>
        <w:rPr>
          <w:rFonts w:hint="eastAsia" w:ascii="宋体" w:hAnsi="宋体" w:cs="宋体"/>
          <w:b w:val="0"/>
          <w:bCs w:val="0"/>
          <w:color w:val="auto"/>
          <w:sz w:val="22"/>
          <w:szCs w:val="22"/>
          <w:highlight w:val="none"/>
          <w:u w:val="none"/>
          <w:lang w:val="en-US" w:eastAsia="zh-CN"/>
        </w:rPr>
        <w:t>；</w:t>
      </w:r>
    </w:p>
    <w:p w14:paraId="3BE8893D">
      <w:pPr>
        <w:pStyle w:val="47"/>
        <w:snapToGrid/>
        <w:ind w:left="525" w:leftChars="2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上述资格条件审查材料有一项不提供的，视为资格审查不通过。</w:t>
      </w:r>
    </w:p>
    <w:p w14:paraId="2A1F212F">
      <w:pPr>
        <w:snapToGrid w:val="0"/>
        <w:spacing w:line="460" w:lineRule="exact"/>
        <w:ind w:left="105" w:leftChars="50" w:firstLine="442" w:firstLineChars="200"/>
        <w:rPr>
          <w:rFonts w:hint="eastAsia" w:ascii="宋体" w:hAnsi="宋体" w:eastAsia="宋体" w:cs="宋体"/>
          <w:color w:val="auto"/>
          <w:sz w:val="22"/>
          <w:szCs w:val="22"/>
          <w:highlight w:val="none"/>
          <w:u w:val="single"/>
          <w:lang w:val="zh-CN"/>
        </w:rPr>
      </w:pPr>
      <w:r>
        <w:rPr>
          <w:rFonts w:hint="eastAsia" w:ascii="宋体" w:hAnsi="宋体" w:eastAsia="宋体" w:cs="宋体"/>
          <w:b/>
          <w:bCs/>
          <w:color w:val="auto"/>
          <w:sz w:val="22"/>
          <w:szCs w:val="22"/>
          <w:highlight w:val="none"/>
        </w:rPr>
        <w:t xml:space="preserve">3.2投标人的报价文件至少应包括以下内容： </w:t>
      </w:r>
    </w:p>
    <w:p w14:paraId="4D39E5F4">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（1）投标函；</w:t>
      </w:r>
    </w:p>
    <w:p w14:paraId="2945BA54">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（2）投标报价一览表；</w:t>
      </w:r>
    </w:p>
    <w:p w14:paraId="1FFDE0A6">
      <w:pPr>
        <w:snapToGrid w:val="0"/>
        <w:spacing w:line="460" w:lineRule="exact"/>
        <w:ind w:left="105" w:leftChars="5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（3）投标分项报价表</w:t>
      </w:r>
      <w:r>
        <w:rPr>
          <w:rFonts w:hint="eastAsia" w:ascii="宋体" w:hAnsi="宋体" w:cs="宋体"/>
          <w:color w:val="auto"/>
          <w:sz w:val="22"/>
          <w:szCs w:val="22"/>
          <w:highlight w:val="none"/>
          <w:u w:val="none"/>
          <w:lang w:eastAsia="zh-CN"/>
        </w:rPr>
        <w:t>；</w:t>
      </w:r>
    </w:p>
    <w:p w14:paraId="56E05D8A">
      <w:pPr>
        <w:snapToGrid w:val="0"/>
        <w:spacing w:line="460" w:lineRule="exact"/>
        <w:ind w:left="105" w:leftChars="5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（4）中小企业声明函、监狱企业、残疾人福利性单位及其他相关的充分的证明材料。（如有）</w:t>
      </w:r>
      <w:r>
        <w:rPr>
          <w:rFonts w:hint="eastAsia" w:ascii="宋体" w:hAnsi="宋体" w:eastAsia="宋体" w:cs="宋体"/>
          <w:color w:val="auto"/>
          <w:sz w:val="22"/>
          <w:szCs w:val="22"/>
          <w:highlight w:val="none"/>
        </w:rPr>
        <w:t xml:space="preserve"> </w:t>
      </w:r>
    </w:p>
    <w:p w14:paraId="7D39D34A">
      <w:pPr>
        <w:snapToGrid w:val="0"/>
        <w:spacing w:line="460" w:lineRule="exact"/>
        <w:ind w:firstLine="442" w:firstLineChars="200"/>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3.3</w:t>
      </w:r>
      <w:r>
        <w:rPr>
          <w:rFonts w:hint="eastAsia" w:ascii="宋体" w:hAnsi="宋体" w:eastAsia="宋体" w:cs="宋体"/>
          <w:b/>
          <w:bCs/>
          <w:color w:val="auto"/>
          <w:kern w:val="0"/>
          <w:sz w:val="22"/>
          <w:szCs w:val="22"/>
          <w:highlight w:val="none"/>
          <w:lang w:val="zh-CN"/>
        </w:rPr>
        <w:t xml:space="preserve">投标人的商务技术文件应包括以下内容： </w:t>
      </w:r>
    </w:p>
    <w:p w14:paraId="269BC02B">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（1）法定代表人身份证明或授权委托书；</w:t>
      </w:r>
    </w:p>
    <w:p w14:paraId="3FD2D87F">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（2）投标人情况表</w:t>
      </w:r>
    </w:p>
    <w:p w14:paraId="0B81C7CF">
      <w:pPr>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偏离表（</w:t>
      </w:r>
      <w:r>
        <w:rPr>
          <w:rFonts w:hint="eastAsia" w:ascii="宋体" w:hAnsi="宋体" w:eastAsia="宋体" w:cs="宋体"/>
          <w:color w:val="auto"/>
          <w:sz w:val="22"/>
          <w:szCs w:val="22"/>
          <w:highlight w:val="none"/>
        </w:rPr>
        <w:t>商务、技术偏离</w:t>
      </w:r>
      <w:r>
        <w:rPr>
          <w:rFonts w:hint="eastAsia" w:ascii="宋体" w:hAnsi="宋体" w:eastAsia="宋体" w:cs="宋体"/>
          <w:color w:val="auto"/>
          <w:sz w:val="22"/>
          <w:szCs w:val="22"/>
          <w:highlight w:val="none"/>
          <w:lang w:val="zh-CN"/>
        </w:rPr>
        <w:t>）</w:t>
      </w:r>
    </w:p>
    <w:p w14:paraId="44F208A0">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）体系认证证书</w:t>
      </w:r>
    </w:p>
    <w:p w14:paraId="0AE7F536">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）业绩</w:t>
      </w:r>
    </w:p>
    <w:p w14:paraId="50DF7ABA">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）项目实施团队情况</w:t>
      </w:r>
    </w:p>
    <w:p w14:paraId="26956649">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）主要设备投入情况</w:t>
      </w:r>
    </w:p>
    <w:p w14:paraId="5B444C02">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）主要设施投入情况</w:t>
      </w:r>
    </w:p>
    <w:p w14:paraId="05CB0E8A">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lang w:eastAsia="zh-CN"/>
        </w:rPr>
        <w:t>）养护管理方案</w:t>
      </w:r>
    </w:p>
    <w:p w14:paraId="44415FD5">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）安全生产管理</w:t>
      </w:r>
    </w:p>
    <w:p w14:paraId="33BD625E">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lang w:eastAsia="zh-CN"/>
        </w:rPr>
        <w:t>）应急响应方案</w:t>
      </w:r>
    </w:p>
    <w:p w14:paraId="142518D6">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lang w:eastAsia="zh-CN"/>
        </w:rPr>
        <w:t>）重大活动和节日保障方案</w:t>
      </w:r>
    </w:p>
    <w:p w14:paraId="57B039C0">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13</w:t>
      </w:r>
      <w:r>
        <w:rPr>
          <w:rFonts w:hint="eastAsia" w:ascii="宋体" w:hAnsi="宋体" w:eastAsia="宋体" w:cs="宋体"/>
          <w:color w:val="auto"/>
          <w:sz w:val="22"/>
          <w:szCs w:val="22"/>
          <w:highlight w:val="none"/>
          <w:lang w:eastAsia="zh-CN"/>
        </w:rPr>
        <w:t>）资料管理方案</w:t>
      </w:r>
    </w:p>
    <w:p w14:paraId="44864498">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14</w:t>
      </w:r>
      <w:r>
        <w:rPr>
          <w:rFonts w:hint="eastAsia" w:ascii="宋体" w:hAnsi="宋体" w:eastAsia="宋体" w:cs="宋体"/>
          <w:color w:val="auto"/>
          <w:sz w:val="22"/>
          <w:szCs w:val="22"/>
          <w:highlight w:val="none"/>
          <w:lang w:eastAsia="zh-CN"/>
        </w:rPr>
        <w:t>）常备维修物料和常备应急物资供应保障情况</w:t>
      </w:r>
    </w:p>
    <w:p w14:paraId="1F15AEF2">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）其他必要提供的资料。</w:t>
      </w:r>
    </w:p>
    <w:p w14:paraId="422E324C">
      <w:pPr>
        <w:spacing w:line="460" w:lineRule="exact"/>
        <w:ind w:firstLine="440" w:firstLineChars="200"/>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投标文件中所需的各种证书、证件、证明资料如是复印件，须在复印件上加盖有效公章。</w:t>
      </w:r>
    </w:p>
    <w:p w14:paraId="47C09738">
      <w:pPr>
        <w:pStyle w:val="28"/>
        <w:snapToGrid w:val="0"/>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zh-CN"/>
        </w:rPr>
        <w:t>投标人的</w:t>
      </w:r>
      <w:r>
        <w:rPr>
          <w:rFonts w:hint="eastAsia" w:ascii="宋体" w:hAnsi="宋体" w:eastAsia="宋体" w:cs="宋体"/>
          <w:b w:val="0"/>
          <w:bCs/>
          <w:color w:val="auto"/>
          <w:sz w:val="22"/>
          <w:szCs w:val="22"/>
          <w:highlight w:val="none"/>
        </w:rPr>
        <w:t>投标文件必须按照招标文件要求制作。</w:t>
      </w:r>
    </w:p>
    <w:p w14:paraId="5770C9BE">
      <w:pPr>
        <w:pStyle w:val="28"/>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 w:val="0"/>
          <w:bCs/>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14:paraId="44A81CBC">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4、投标报价</w:t>
      </w:r>
    </w:p>
    <w:p w14:paraId="465672F1">
      <w:pPr>
        <w:spacing w:line="460" w:lineRule="exact"/>
        <w:ind w:firstLine="539" w:firstLineChars="245"/>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4.1投标人应根据国家的有关规定和招标文件要求并结合企业的实际情况进行投标报价。投标报价以人民币为结算货币，承包报价必须包括服务所需的一切劳务、作业台班、技术措施、材料、设备、配件、备件、损耗、仓储、运输（包括垃圾外运）、排水沟应急清理（抗台防汛等应急情况）、政策性文件规定的费用、税费、保险、利润，以及合同包含的风险费用等各项全部费用并承担一切风险责任。在合同服务期间内不得违反国家相关政策规定。</w:t>
      </w:r>
    </w:p>
    <w:p w14:paraId="04842B04">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4.2投标人必须按附件中的投标报价一览表、投标分项报价表内容填写价格，并由投标人代表签署。</w:t>
      </w:r>
    </w:p>
    <w:p w14:paraId="750B7D57">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4.3</w:t>
      </w:r>
      <w:r>
        <w:rPr>
          <w:rFonts w:hint="eastAsia" w:ascii="宋体" w:hAnsi="宋体" w:eastAsia="宋体" w:cs="宋体"/>
          <w:b w:val="0"/>
          <w:bCs w:val="0"/>
          <w:color w:val="auto"/>
          <w:sz w:val="22"/>
          <w:highlight w:val="none"/>
        </w:rPr>
        <w:t>投标货币以人民币进行投标</w:t>
      </w:r>
      <w:r>
        <w:rPr>
          <w:rFonts w:hint="eastAsia" w:ascii="宋体" w:hAnsi="宋体" w:eastAsia="宋体" w:cs="宋体"/>
          <w:b w:val="0"/>
          <w:bCs w:val="0"/>
          <w:color w:val="auto"/>
          <w:sz w:val="22"/>
          <w:szCs w:val="22"/>
          <w:highlight w:val="none"/>
        </w:rPr>
        <w:t>。</w:t>
      </w:r>
    </w:p>
    <w:p w14:paraId="10A6B92E">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4.4</w:t>
      </w:r>
      <w:r>
        <w:rPr>
          <w:rFonts w:hint="eastAsia" w:ascii="宋体" w:hAnsi="宋体" w:eastAsia="宋体" w:cs="宋体"/>
          <w:b w:val="0"/>
          <w:bCs w:val="0"/>
          <w:color w:val="auto"/>
          <w:sz w:val="22"/>
          <w:highlight w:val="none"/>
        </w:rPr>
        <w:t>招标人和招标代理机构不接受任何选择投标，对任何服务只允许一个价格。</w:t>
      </w:r>
    </w:p>
    <w:p w14:paraId="1298AAAB">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4.5招标人和</w:t>
      </w:r>
      <w:r>
        <w:rPr>
          <w:rFonts w:hint="eastAsia" w:ascii="宋体" w:hAnsi="宋体" w:eastAsia="宋体" w:cs="宋体"/>
          <w:color w:val="auto"/>
          <w:sz w:val="22"/>
          <w:highlight w:val="none"/>
        </w:rPr>
        <w:t>招标代理机构</w:t>
      </w:r>
      <w:r>
        <w:rPr>
          <w:rFonts w:hint="eastAsia" w:ascii="宋体" w:hAnsi="宋体" w:eastAsia="宋体" w:cs="宋体"/>
          <w:color w:val="auto"/>
          <w:sz w:val="22"/>
          <w:szCs w:val="22"/>
          <w:highlight w:val="none"/>
        </w:rPr>
        <w:t>要求分类报价是为了方便评标，但在任何情况下不限制招标人以其认为最合适的条款、条件签订合同的权利。</w:t>
      </w:r>
    </w:p>
    <w:p w14:paraId="2F756E7B">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4.6投标报价报出后，投标人不得以任何理由予以变更。任何包含价格调整的要求，将被认为是非实质性响应投标而予以否决。</w:t>
      </w:r>
    </w:p>
    <w:p w14:paraId="0FA54D68">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 w:val="0"/>
          <w:bCs/>
          <w:color w:val="auto"/>
          <w:sz w:val="22"/>
          <w:szCs w:val="22"/>
          <w:highlight w:val="none"/>
        </w:rPr>
        <w:t>4.7最低报价不能作为中标的保证。</w:t>
      </w:r>
    </w:p>
    <w:p w14:paraId="5E2B8E01">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5、投标有效期</w:t>
      </w:r>
    </w:p>
    <w:p w14:paraId="3172A4B8">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5.1自开标之日起 </w:t>
      </w:r>
      <w:r>
        <w:rPr>
          <w:rFonts w:hint="eastAsia" w:ascii="宋体" w:hAnsi="宋体" w:cs="宋体"/>
          <w:b w:val="0"/>
          <w:bCs/>
          <w:color w:val="auto"/>
          <w:sz w:val="22"/>
          <w:szCs w:val="22"/>
          <w:highlight w:val="none"/>
          <w:lang w:val="en-US" w:eastAsia="zh-CN"/>
        </w:rPr>
        <w:t>90</w:t>
      </w:r>
      <w:r>
        <w:rPr>
          <w:rFonts w:hint="eastAsia" w:ascii="宋体" w:hAnsi="宋体" w:eastAsia="宋体" w:cs="宋体"/>
          <w:b w:val="0"/>
          <w:bCs/>
          <w:color w:val="auto"/>
          <w:sz w:val="22"/>
          <w:szCs w:val="22"/>
          <w:highlight w:val="none"/>
        </w:rPr>
        <w:t xml:space="preserve"> 天内投标应保持有效。</w:t>
      </w:r>
    </w:p>
    <w:p w14:paraId="2944743F">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14:paraId="60914757">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6、投标保证金</w:t>
      </w:r>
    </w:p>
    <w:p w14:paraId="3CE03472">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p w14:paraId="70958910">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7、投标文件编制</w:t>
      </w:r>
    </w:p>
    <w:p w14:paraId="1CEFF488">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7.1本项目通过“政府采购云平台（http://zfcg.czt.zj.gov.cn）”实行在线投标响应（电子投标）。供应商应通过“政采云电子交易客户端”，并按照本招标文件和“政府采购云平台”的要求编制并加密投标文件。</w:t>
      </w:r>
    </w:p>
    <w:p w14:paraId="4FFC4787">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7.2投标人应当按照本章节 “投标文件的构成”规定的内容及顺序在“政采云电子交易客户端”编制投标文件。其中《资格文件》和《商务技术文件》中不得出现本项目投标报价。</w:t>
      </w:r>
    </w:p>
    <w:p w14:paraId="4B6C2481">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14:paraId="041B7CB1">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7.4《投标文件》内容不完整、编排混乱导致《投标文件》被误读、漏读或者查找不到相关内容的，投标人自行负责。</w:t>
      </w:r>
    </w:p>
    <w:p w14:paraId="28B7C9B5">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7.5《投标文件》因字迹潦草或表达不清所引起的后果由投标人负责。</w:t>
      </w:r>
    </w:p>
    <w:p w14:paraId="3DDD2745">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02F180B9">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8、投标文件的签章</w:t>
      </w:r>
    </w:p>
    <w:p w14:paraId="498E2DB0">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8.1《投标文件》的签章：见《前附表》；</w:t>
      </w:r>
    </w:p>
    <w:p w14:paraId="543A31C7">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8.2《投标文件》应由投标人法定代表人或其授权代表签字（或盖章），并加盖投标人公章。</w:t>
      </w:r>
    </w:p>
    <w:p w14:paraId="6657E4D5">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8.3电子签章操作指南详见采购公告附件《供应商项目采购-电子招投标操作指南》。</w:t>
      </w:r>
    </w:p>
    <w:p w14:paraId="0F9861C7">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9、投标文件的形式</w:t>
      </w:r>
    </w:p>
    <w:p w14:paraId="346AF476">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9.1投标文件的形式：见《前附表》；</w:t>
      </w:r>
    </w:p>
    <w:p w14:paraId="4E64CAFD">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9.2“电子加密投标文件”：“电子加密投标文件”是指通过“政采云电子交易客户端”完成投标文件编制后生成并加密的数据电文形式的投标文件。</w:t>
      </w:r>
    </w:p>
    <w:p w14:paraId="0714BB81">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5F409B6C">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10、投标文件的份数</w:t>
      </w:r>
    </w:p>
    <w:p w14:paraId="574FABF4">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rPr>
        <w:t>10.1投标文件的份数：见《前附表》。</w:t>
      </w:r>
    </w:p>
    <w:p w14:paraId="50EF2F62">
      <w:pPr>
        <w:spacing w:before="100" w:beforeAutospacing="1" w:after="100" w:afterAutospacing="1" w:line="440" w:lineRule="exact"/>
        <w:jc w:val="center"/>
        <w:outlineLvl w:val="1"/>
        <w:rPr>
          <w:rFonts w:hint="eastAsia" w:ascii="宋体" w:hAnsi="宋体" w:eastAsia="宋体" w:cs="宋体"/>
          <w:b/>
          <w:bCs/>
          <w:color w:val="auto"/>
          <w:sz w:val="22"/>
          <w:szCs w:val="22"/>
          <w:highlight w:val="none"/>
        </w:rPr>
      </w:pPr>
      <w:bookmarkStart w:id="16" w:name="_Toc15422"/>
      <w:bookmarkStart w:id="17" w:name="_Toc18542"/>
      <w:r>
        <w:rPr>
          <w:rFonts w:hint="eastAsia" w:ascii="宋体" w:hAnsi="宋体" w:eastAsia="宋体" w:cs="宋体"/>
          <w:b/>
          <w:bCs/>
          <w:color w:val="auto"/>
          <w:sz w:val="22"/>
          <w:szCs w:val="22"/>
          <w:highlight w:val="none"/>
        </w:rPr>
        <w:t>四、 投标文件的递交</w:t>
      </w:r>
      <w:bookmarkEnd w:id="16"/>
      <w:bookmarkEnd w:id="17"/>
    </w:p>
    <w:p w14:paraId="4921A6DB">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1、投标文件的上传和递交</w:t>
      </w:r>
    </w:p>
    <w:p w14:paraId="78D80484">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1.1“投标文件”的上传、递交：见《前附表》。</w:t>
      </w:r>
    </w:p>
    <w:p w14:paraId="4D7880B3">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2、“电子加密投标文件”解密和异常情况处理</w:t>
      </w:r>
    </w:p>
    <w:p w14:paraId="59478FF8">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2.1“电子加密投标文件”解密：见《前附表》。</w:t>
      </w:r>
    </w:p>
    <w:p w14:paraId="5AE63DBD">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14:paraId="11F4BE6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616DBC7B">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3.2投标截止时间后，投标人不得撤回、修改《投标文件》。</w:t>
      </w:r>
    </w:p>
    <w:p w14:paraId="49460F54">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14:paraId="3830C237">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363965F4">
      <w:pPr>
        <w:spacing w:before="100" w:beforeAutospacing="1" w:after="100" w:afterAutospacing="1" w:line="460" w:lineRule="exact"/>
        <w:jc w:val="center"/>
        <w:outlineLvl w:val="1"/>
        <w:rPr>
          <w:rFonts w:hint="eastAsia" w:ascii="宋体" w:hAnsi="宋体" w:eastAsia="宋体" w:cs="宋体"/>
          <w:b/>
          <w:bCs/>
          <w:color w:val="auto"/>
          <w:sz w:val="22"/>
          <w:szCs w:val="22"/>
          <w:highlight w:val="none"/>
        </w:rPr>
      </w:pPr>
      <w:bookmarkStart w:id="18" w:name="_Toc8079"/>
      <w:bookmarkStart w:id="19" w:name="_Toc30172"/>
      <w:r>
        <w:rPr>
          <w:rFonts w:hint="eastAsia" w:ascii="宋体" w:hAnsi="宋体" w:eastAsia="宋体" w:cs="宋体"/>
          <w:b/>
          <w:bCs/>
          <w:color w:val="auto"/>
          <w:sz w:val="22"/>
          <w:szCs w:val="22"/>
          <w:highlight w:val="none"/>
        </w:rPr>
        <w:t>五、 开标和评标</w:t>
      </w:r>
      <w:bookmarkEnd w:id="18"/>
      <w:bookmarkEnd w:id="19"/>
    </w:p>
    <w:p w14:paraId="21601393">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1、评标委员会</w:t>
      </w:r>
    </w:p>
    <w:p w14:paraId="383D107B">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招标人和招标代理机构组建评标委员会。评标委员会的成员在评标过程中必须严格遵守《政府采购法》等有关法律、法规的规定。</w:t>
      </w:r>
    </w:p>
    <w:p w14:paraId="39E9416D">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2、评标过程的保密性</w:t>
      </w:r>
    </w:p>
    <w:p w14:paraId="552690CC">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14:paraId="329EA1CF">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3、开标形式</w:t>
      </w:r>
    </w:p>
    <w:p w14:paraId="66DCF5E6">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采购组织机构将按照招标文件规定的时间通过“政府采购云平台”组织开标、开启投标文件，所有供应商均应当准时(在线)参加。</w:t>
      </w:r>
    </w:p>
    <w:p w14:paraId="6ACAFBAB">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4、开标准备</w:t>
      </w:r>
    </w:p>
    <w:p w14:paraId="4F84FB4A">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4.1开标的准备工作由采购组织机构负责落实；</w:t>
      </w:r>
    </w:p>
    <w:p w14:paraId="4B4943B8">
      <w:pPr>
        <w:spacing w:line="460" w:lineRule="exact"/>
        <w:ind w:firstLine="539" w:firstLineChars="245"/>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4.2</w:t>
      </w:r>
      <w:r>
        <w:rPr>
          <w:rFonts w:hint="eastAsia" w:ascii="宋体" w:hAnsi="宋体" w:eastAsia="宋体" w:cs="宋体"/>
          <w:b w:val="0"/>
          <w:bCs w:val="0"/>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eastAsia="宋体" w:cs="宋体"/>
          <w:b w:val="0"/>
          <w:bCs w:val="0"/>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14:paraId="2274F027">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5、开标流程</w:t>
      </w:r>
    </w:p>
    <w:p w14:paraId="020F59F0">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5.1开标、评标</w:t>
      </w:r>
    </w:p>
    <w:p w14:paraId="32B8AD5A">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14:paraId="6864F95B">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投标人不足3家的，不得开标。</w:t>
      </w:r>
    </w:p>
    <w:p w14:paraId="0F775BFC">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（2）解密成功后，开启投标人的《报价文件》，由供应商对自己报价文件相关内容进行签字确认，（不予确认的应说明理由，否则视为无异议）。</w:t>
      </w:r>
    </w:p>
    <w:p w14:paraId="3F7D9C3F">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（3）开启《投标文件》，进入资格审查；</w:t>
      </w:r>
      <w:r>
        <w:rPr>
          <w:rFonts w:hint="eastAsia" w:ascii="宋体" w:hAnsi="宋体" w:eastAsia="宋体" w:cs="宋体"/>
          <w:bCs/>
          <w:color w:val="auto"/>
          <w:sz w:val="22"/>
          <w:szCs w:val="22"/>
          <w:highlight w:val="none"/>
        </w:rPr>
        <w:t>合格投标人不足3家的，不得评标。</w:t>
      </w:r>
    </w:p>
    <w:p w14:paraId="5B20CF40">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14:paraId="60C8844E">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（4）开启资格审查通过的投标人的商务技术文件进入符合性审查，</w:t>
      </w:r>
      <w:r>
        <w:rPr>
          <w:rFonts w:hint="eastAsia" w:ascii="宋体" w:hAnsi="宋体" w:eastAsia="宋体" w:cs="宋体"/>
          <w:bCs/>
          <w:color w:val="auto"/>
          <w:sz w:val="22"/>
          <w:szCs w:val="22"/>
          <w:highlight w:val="none"/>
        </w:rPr>
        <w:t>以确定其是否满足招标文件的实质性要求，合格投标人不足3家的，不得评标。</w:t>
      </w:r>
    </w:p>
    <w:p w14:paraId="6F02DE2A">
      <w:pPr>
        <w:spacing w:line="460" w:lineRule="exact"/>
        <w:ind w:firstLine="541" w:firstLineChars="245"/>
        <w:rPr>
          <w:rFonts w:hint="eastAsia" w:ascii="宋体" w:hAnsi="宋体" w:eastAsia="宋体" w:cs="宋体"/>
          <w:bCs/>
          <w:color w:val="auto"/>
          <w:sz w:val="22"/>
          <w:szCs w:val="22"/>
          <w:highlight w:val="none"/>
        </w:rPr>
      </w:pPr>
      <w:r>
        <w:rPr>
          <w:rFonts w:hint="eastAsia" w:ascii="宋体" w:hAnsi="宋体" w:eastAsia="宋体" w:cs="宋体"/>
          <w:b/>
          <w:bCs w:val="0"/>
          <w:color w:val="auto"/>
          <w:sz w:val="22"/>
          <w:szCs w:val="22"/>
          <w:highlight w:val="none"/>
        </w:rPr>
        <w:t>没有满足招标文件的实质性要求的投标作无效标处理。</w:t>
      </w:r>
      <w:r>
        <w:rPr>
          <w:rFonts w:hint="eastAsia" w:ascii="宋体" w:hAnsi="宋体" w:eastAsia="宋体" w:cs="宋体"/>
          <w:bCs/>
          <w:color w:val="auto"/>
          <w:sz w:val="22"/>
          <w:szCs w:val="22"/>
          <w:highlight w:val="none"/>
        </w:rPr>
        <w:t>评标委员会决定投标的实质性要求只根据投标文件本身的内容，而不寻求外部的证据。投标人不得通过修正或撤消不合要求的偏离或保留从而使其投标成为实质上响应的投标。</w:t>
      </w:r>
    </w:p>
    <w:p w14:paraId="241914A5">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（5）对通过资格审查、符合性审查的合格供应商进行商务技术部分的评审。</w:t>
      </w:r>
    </w:p>
    <w:p w14:paraId="396D9EC4">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（6）评标委员会对报价的合理性、准确性等进行审查核实。</w:t>
      </w:r>
    </w:p>
    <w:p w14:paraId="6AEADAE3">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14:paraId="6A2E71AC">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特别说明：如遇“政府采购云平台”电子化开标或评审程序调整的，按调整后程序执行。</w:t>
      </w:r>
    </w:p>
    <w:p w14:paraId="6F880D49">
      <w:pPr>
        <w:spacing w:line="460" w:lineRule="exact"/>
        <w:ind w:firstLine="539" w:firstLineChars="245"/>
        <w:rPr>
          <w:rFonts w:hint="eastAsia" w:ascii="宋体" w:hAnsi="宋体" w:eastAsia="宋体" w:cs="宋体"/>
          <w:color w:val="auto"/>
          <w:sz w:val="22"/>
          <w:szCs w:val="22"/>
          <w:highlight w:val="none"/>
        </w:rPr>
      </w:pPr>
      <w:bookmarkStart w:id="20" w:name="_Toc33194393"/>
      <w:bookmarkStart w:id="21" w:name="_Toc24550037"/>
      <w:r>
        <w:rPr>
          <w:rFonts w:hint="eastAsia" w:ascii="宋体" w:hAnsi="宋体" w:eastAsia="宋体" w:cs="宋体"/>
          <w:color w:val="auto"/>
          <w:sz w:val="22"/>
          <w:szCs w:val="22"/>
          <w:highlight w:val="none"/>
        </w:rPr>
        <w:t>6、投标人资格审查</w:t>
      </w:r>
      <w:bookmarkEnd w:id="20"/>
      <w:bookmarkEnd w:id="21"/>
    </w:p>
    <w:p w14:paraId="36731AA1">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6.1开标大会结束后，招标人或采购代理机构首先依法对各投标人的资格进行审查，审查各投标人的资格是否满足招标文件的要求。招</w:t>
      </w:r>
      <w:r>
        <w:rPr>
          <w:rFonts w:hint="eastAsia" w:ascii="宋体" w:hAnsi="宋体" w:eastAsia="宋体" w:cs="宋体"/>
          <w:color w:val="auto"/>
          <w:sz w:val="22"/>
          <w:szCs w:val="22"/>
          <w:highlight w:val="none"/>
        </w:rPr>
        <w:t>标人或采购代理机构对投标人所提交的资格证明材料仅负审核的责任。如发现投标人所提交的资格证明材料不合法或与事实不符，招标人可取消其中标资格并追究投标人的法律责任。</w:t>
      </w:r>
    </w:p>
    <w:p w14:paraId="25E178FB">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sz w:val="22"/>
          <w:szCs w:val="22"/>
          <w:highlight w:val="none"/>
        </w:rPr>
        <w:t>6.2投标人提交的资格证明材料无法证明其符合招标文件规定的“投标人资格要求”的，招标人或采购代理机构</w:t>
      </w:r>
      <w:r>
        <w:rPr>
          <w:rFonts w:hint="eastAsia" w:ascii="宋体" w:hAnsi="宋体" w:eastAsia="宋体" w:cs="宋体"/>
          <w:b w:val="0"/>
          <w:bCs/>
          <w:color w:val="auto"/>
          <w:kern w:val="0"/>
          <w:sz w:val="22"/>
          <w:szCs w:val="22"/>
          <w:highlight w:val="none"/>
        </w:rPr>
        <w:t>将对其作资格审查不通过处理（无效投标），并不再将其投标提交评标委员会进行后续评审。</w:t>
      </w:r>
    </w:p>
    <w:p w14:paraId="322D9C30">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w:t>
      </w:r>
      <w:r>
        <w:rPr>
          <w:rFonts w:hint="eastAsia" w:ascii="宋体" w:hAnsi="宋体" w:eastAsia="宋体" w:cs="宋体"/>
          <w:b w:val="0"/>
          <w:bCs/>
          <w:color w:val="auto"/>
          <w:kern w:val="0"/>
          <w:sz w:val="22"/>
          <w:szCs w:val="22"/>
          <w:highlight w:val="none"/>
        </w:rPr>
        <w:t>.3单位负责人为同一人或者存在直接控股、管理关系的不同供应商参加同一合同项下的政府采购活动的，相关投标人均作资格无效处理。</w:t>
      </w:r>
    </w:p>
    <w:p w14:paraId="4F4D6C66">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7、评标委员按照招标文件中规定的评标方法和标准，对投标文件进行商务和技术评估，综合比较与评价。</w:t>
      </w:r>
    </w:p>
    <w:p w14:paraId="7B934BDB">
      <w:pPr>
        <w:spacing w:line="460" w:lineRule="exact"/>
        <w:ind w:firstLine="541" w:firstLineChars="24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8、投标人存在下列情况之一的，投标无效：</w:t>
      </w:r>
    </w:p>
    <w:p w14:paraId="1433D3F8">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14:paraId="6A0C01BE">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14:paraId="60A04D69">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14:paraId="04D349C2">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（4）投标文件内容不全或关键字迹模糊无法辨认的；</w:t>
      </w:r>
    </w:p>
    <w:p w14:paraId="4BED0D8D">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（5）报价超过招标文件中规定的预算金额的；</w:t>
      </w:r>
    </w:p>
    <w:p w14:paraId="77DFFB38">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（6）投标人代表没有法定代表人合法、有效委托的；</w:t>
      </w:r>
    </w:p>
    <w:p w14:paraId="1E70A6C5">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（7）投标文件存在一个或一个以上备选（替代）投标方案的；</w:t>
      </w:r>
    </w:p>
    <w:p w14:paraId="2F89C744">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（8）仅提交“备份投标文件”的；</w:t>
      </w:r>
    </w:p>
    <w:p w14:paraId="2EE92BF3">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（9）投标文件含有招标人不能接受的附加条件的；</w:t>
      </w:r>
    </w:p>
    <w:p w14:paraId="2465F909">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（10）法律、法规和招标文件规定的其他无效情形。</w:t>
      </w:r>
    </w:p>
    <w:p w14:paraId="2F1BE257">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9、有下列情形之一的，视为投标人串通投标，其投标无效</w:t>
      </w:r>
    </w:p>
    <w:p w14:paraId="6E98F21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14:paraId="61CECB8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14:paraId="2188968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14:paraId="3AA83450">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14:paraId="048FA8C3">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（5）不同投标人的投标文件相互混装</w:t>
      </w:r>
      <w:r>
        <w:rPr>
          <w:rFonts w:hint="eastAsia" w:ascii="宋体" w:hAnsi="宋体" w:cs="宋体"/>
          <w:color w:val="auto"/>
          <w:sz w:val="22"/>
          <w:szCs w:val="22"/>
          <w:highlight w:val="none"/>
          <w:lang w:eastAsia="zh-CN"/>
        </w:rPr>
        <w:t>；</w:t>
      </w:r>
    </w:p>
    <w:p w14:paraId="089A486B">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不同供应商的电子投标（响应）文件上传计算机的网卡MAC地址或硬盘序列号等硬件信息相同的；</w:t>
      </w:r>
    </w:p>
    <w:p w14:paraId="04BD13C7">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上传的电子投标（响应）文件若出现使用本项目其他投标（响应）供应商的数字证书加密的，或者加盖本项目其他投标（响应）供应商的电子印章的；</w:t>
      </w:r>
    </w:p>
    <w:p w14:paraId="3EAE3711">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不同供应商的投标（响应）文件的内容存在3处（含）以上错误一致的；</w:t>
      </w:r>
    </w:p>
    <w:p w14:paraId="131F8E88">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不同供应商联系人为同一人或不同联系人的联系电话一致的。</w:t>
      </w:r>
    </w:p>
    <w:p w14:paraId="52C9469E">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10、投标文件报价出现前后不一致的，按照下列规定修正：</w:t>
      </w:r>
    </w:p>
    <w:p w14:paraId="79240AD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0AF28970">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14:paraId="74CCFE31">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14:paraId="4A86F433">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14:paraId="2686EBA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3DE3C094">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0837E2C0">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12、投标文件的澄清</w:t>
      </w:r>
    </w:p>
    <w:p w14:paraId="2665D62B">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14:paraId="13F94127">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14:paraId="1A6654D0">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14:paraId="5F685BAF">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12.2经澄清后，若偏差仍存在，且不可接受，投标人则被认为是“没有实质性响应招标文件要求”，其投标将被拒绝。</w:t>
      </w:r>
    </w:p>
    <w:p w14:paraId="797B0D0E">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13、评审结果的修改</w:t>
      </w:r>
    </w:p>
    <w:p w14:paraId="665EAE4C">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13.1评标结果汇总完成后，除下列情形外，任何人不得修改评标结果：</w:t>
      </w:r>
    </w:p>
    <w:p w14:paraId="17235AD3">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14:paraId="3105010D">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14:paraId="45615CB7">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14:paraId="2A369ACF">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14:paraId="77505F2D">
      <w:pPr>
        <w:spacing w:line="460" w:lineRule="exact"/>
        <w:ind w:firstLine="759" w:firstLineChars="345"/>
        <w:rPr>
          <w:rFonts w:hint="eastAsia" w:ascii="宋体" w:hAnsi="宋体" w:eastAsia="宋体" w:cs="宋体"/>
          <w:b w:val="0"/>
          <w:bCs/>
          <w:color w:val="auto"/>
          <w:highlight w:val="none"/>
        </w:rPr>
      </w:pPr>
      <w:r>
        <w:rPr>
          <w:rFonts w:hint="eastAsia" w:ascii="宋体" w:hAnsi="宋体" w:eastAsia="宋体" w:cs="宋体"/>
          <w:bCs/>
          <w:color w:val="auto"/>
          <w:sz w:val="22"/>
          <w:szCs w:val="22"/>
          <w:highlight w:val="none"/>
        </w:rPr>
        <w:t>13.2书面评标报告签署前，经复核发现存在以上情形之一的，评标委员会将当场修改评标结果，并</w:t>
      </w:r>
      <w:r>
        <w:rPr>
          <w:rFonts w:hint="eastAsia" w:ascii="宋体" w:hAnsi="宋体" w:eastAsia="宋体" w:cs="宋体"/>
          <w:b w:val="0"/>
          <w:bCs/>
          <w:color w:val="auto"/>
          <w:sz w:val="22"/>
          <w:szCs w:val="22"/>
          <w:highlight w:val="none"/>
        </w:rPr>
        <w:t>在评标报告中记载。</w:t>
      </w:r>
    </w:p>
    <w:p w14:paraId="2C4854B3">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14</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14:paraId="70EA37C1">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14.1由评标委员会确定中标候选人。</w:t>
      </w:r>
    </w:p>
    <w:p w14:paraId="24E9545D">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194C16A7">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15、确定中标人</w:t>
      </w:r>
    </w:p>
    <w:p w14:paraId="5F72AC50">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6675D137">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14:paraId="0C5D8404">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16、起草、签署评审报告</w:t>
      </w:r>
    </w:p>
    <w:p w14:paraId="587CC6B1">
      <w:pPr>
        <w:spacing w:line="460" w:lineRule="exact"/>
        <w:ind w:firstLine="759" w:firstLineChars="3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033DBCA7">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中标人确定后，招标人将在政府指定媒体公告中标结果，招标人向中标人发出中标通知书。</w:t>
      </w:r>
    </w:p>
    <w:p w14:paraId="79D46414">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18、招标人对决标结果不做任何解释，也不保证最低价中标。</w:t>
      </w:r>
    </w:p>
    <w:p w14:paraId="1BB93F6E">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b w:val="0"/>
          <w:bCs w:val="0"/>
          <w:color w:val="auto"/>
          <w:sz w:val="22"/>
          <w:szCs w:val="22"/>
          <w:highlight w:val="none"/>
        </w:rPr>
        <w:t>19、评标细则详见“评标原则及方法”。</w:t>
      </w:r>
    </w:p>
    <w:p w14:paraId="4C74F0DD">
      <w:pPr>
        <w:spacing w:before="100" w:beforeAutospacing="1" w:after="100" w:afterAutospacing="1" w:line="440" w:lineRule="exact"/>
        <w:jc w:val="center"/>
        <w:outlineLvl w:val="1"/>
        <w:rPr>
          <w:rFonts w:hint="eastAsia" w:ascii="宋体" w:hAnsi="宋体" w:eastAsia="宋体" w:cs="宋体"/>
          <w:b/>
          <w:bCs/>
          <w:color w:val="auto"/>
          <w:sz w:val="26"/>
          <w:szCs w:val="26"/>
          <w:highlight w:val="none"/>
        </w:rPr>
      </w:pPr>
      <w:bookmarkStart w:id="22" w:name="_Toc26836"/>
      <w:bookmarkStart w:id="23" w:name="_Toc21056"/>
      <w:r>
        <w:rPr>
          <w:rFonts w:hint="eastAsia" w:ascii="宋体" w:hAnsi="宋体" w:eastAsia="宋体" w:cs="宋体"/>
          <w:b/>
          <w:bCs/>
          <w:color w:val="auto"/>
          <w:sz w:val="26"/>
          <w:szCs w:val="26"/>
          <w:highlight w:val="none"/>
        </w:rPr>
        <w:t>六、 授予合同</w:t>
      </w:r>
      <w:bookmarkEnd w:id="22"/>
      <w:bookmarkEnd w:id="23"/>
    </w:p>
    <w:p w14:paraId="756D0227">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1、中标通知书</w:t>
      </w:r>
    </w:p>
    <w:p w14:paraId="213E3E05">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1.1中标人确定后，招标人将向中标人发出中标通知书。 </w:t>
      </w:r>
    </w:p>
    <w:p w14:paraId="51ADCCDC">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1.2中标通知书是合同的一个组成部分,对招标人和中标人均具有同等法律效力。</w:t>
      </w:r>
    </w:p>
    <w:p w14:paraId="4508571A">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2、授标时更改采购货物数量的权力</w:t>
      </w:r>
    </w:p>
    <w:p w14:paraId="52F8E51B">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2.1招标人在授予合同时有权对采购货物的数量和服务在一定幅度范围内予以增加或减少,但不得对单价和其他的条款和条件作任何改变。</w:t>
      </w:r>
    </w:p>
    <w:p w14:paraId="66A94A84">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3、签订合同</w:t>
      </w:r>
    </w:p>
    <w:p w14:paraId="232930FE">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3.1中标人应按中标通知书规定的时间、地点与招标人签订合同。</w:t>
      </w:r>
    </w:p>
    <w:p w14:paraId="7166DEAE">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3.2</w:t>
      </w:r>
      <w:r>
        <w:rPr>
          <w:rFonts w:hint="eastAsia" w:ascii="宋体" w:hAnsi="宋体" w:eastAsia="宋体" w:cs="宋体"/>
          <w:b w:val="0"/>
          <w:bCs/>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14:paraId="6921D4F6">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3.3招标文件、中标人的投标文件、投标修改文件、评标过程中有关澄清文件及经投标人和评委双方签字的询标纪要和中标通知书均作为合同附件。</w:t>
      </w:r>
    </w:p>
    <w:p w14:paraId="17DD91AF">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3.4拒签合同的违约责任</w:t>
      </w:r>
    </w:p>
    <w:p w14:paraId="622FC627">
      <w:pPr>
        <w:spacing w:line="460" w:lineRule="exact"/>
        <w:ind w:firstLine="568" w:firstLineChars="245"/>
        <w:rPr>
          <w:rFonts w:hint="eastAsia" w:ascii="宋体" w:hAnsi="宋体" w:eastAsia="宋体" w:cs="宋体"/>
          <w:b w:val="0"/>
          <w:bCs/>
          <w:color w:val="auto"/>
          <w:spacing w:val="6"/>
          <w:sz w:val="22"/>
          <w:szCs w:val="22"/>
          <w:highlight w:val="none"/>
        </w:rPr>
      </w:pPr>
      <w:r>
        <w:rPr>
          <w:rFonts w:hint="eastAsia" w:ascii="宋体" w:hAnsi="宋体" w:eastAsia="宋体" w:cs="宋体"/>
          <w:b w:val="0"/>
          <w:bCs/>
          <w:color w:val="auto"/>
          <w:spacing w:val="6"/>
          <w:sz w:val="22"/>
          <w:szCs w:val="22"/>
          <w:highlight w:val="none"/>
        </w:rPr>
        <w:t>中标人接到中标通知书后，在规定时间内借故否认已经承诺的条件而拒签合同的，以违约处理。</w:t>
      </w:r>
    </w:p>
    <w:p w14:paraId="15E9A717">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、质疑与投诉</w:t>
      </w:r>
    </w:p>
    <w:p w14:paraId="0DB8AFDA">
      <w:pPr>
        <w:spacing w:line="460" w:lineRule="exact"/>
        <w:ind w:firstLine="568" w:firstLineChars="245"/>
        <w:rPr>
          <w:rFonts w:hint="default" w:ascii="宋体" w:hAnsi="宋体" w:cs="宋体"/>
          <w:b w:val="0"/>
          <w:bCs/>
          <w:color w:val="auto"/>
          <w:sz w:val="22"/>
          <w:highlight w:val="none"/>
          <w:lang w:val="en-US" w:eastAsia="zh-CN"/>
        </w:rPr>
      </w:pPr>
      <w:r>
        <w:rPr>
          <w:rFonts w:hint="eastAsia" w:ascii="宋体" w:hAnsi="宋体" w:eastAsia="宋体" w:cs="宋体"/>
          <w:b w:val="0"/>
          <w:bCs/>
          <w:color w:val="auto"/>
          <w:spacing w:val="6"/>
          <w:sz w:val="22"/>
          <w:szCs w:val="22"/>
          <w:highlight w:val="none"/>
          <w:lang w:val="en-US" w:eastAsia="zh-CN"/>
        </w:rPr>
        <w:t>4</w:t>
      </w:r>
      <w:r>
        <w:rPr>
          <w:rFonts w:hint="eastAsia" w:ascii="宋体" w:hAnsi="宋体" w:eastAsia="宋体" w:cs="宋体"/>
          <w:b w:val="0"/>
          <w:bCs/>
          <w:color w:val="auto"/>
          <w:spacing w:val="6"/>
          <w:sz w:val="22"/>
          <w:szCs w:val="22"/>
          <w:highlight w:val="none"/>
        </w:rPr>
        <w:t>.1</w:t>
      </w:r>
      <w:r>
        <w:rPr>
          <w:rFonts w:hint="eastAsia" w:ascii="宋体" w:hAnsi="宋体" w:cs="宋体"/>
          <w:b/>
          <w:bCs w:val="0"/>
          <w:color w:val="auto"/>
          <w:sz w:val="22"/>
          <w:highlight w:val="none"/>
          <w:lang w:val="en-US" w:eastAsia="zh-CN"/>
        </w:rPr>
        <w:t>特别提醒：</w:t>
      </w:r>
      <w:r>
        <w:rPr>
          <w:rFonts w:hint="eastAsia" w:ascii="宋体" w:hAnsi="宋体" w:eastAsia="宋体" w:cs="宋体"/>
          <w:color w:val="auto"/>
          <w:sz w:val="22"/>
          <w:highlight w:val="none"/>
          <w:lang w:val="en-US" w:eastAsia="zh-CN"/>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宋体" w:hAnsi="宋体" w:cs="宋体"/>
          <w:bCs/>
          <w:color w:val="auto"/>
          <w:sz w:val="22"/>
          <w:highlight w:val="none"/>
          <w:lang w:eastAsia="zh-CN"/>
        </w:rPr>
        <w:t>，</w:t>
      </w:r>
      <w:r>
        <w:rPr>
          <w:rFonts w:hint="eastAsia" w:ascii="宋体" w:hAnsi="宋体" w:cs="宋体"/>
          <w:b w:val="0"/>
          <w:bCs/>
          <w:color w:val="auto"/>
          <w:sz w:val="22"/>
          <w:highlight w:val="none"/>
          <w:lang w:val="en-US" w:eastAsia="zh-CN"/>
        </w:rPr>
        <w:t>供应商在法定质疑期内应一次性提出针对同一采购程序环节的质疑，</w:t>
      </w:r>
      <w:r>
        <w:rPr>
          <w:rFonts w:hint="eastAsia" w:ascii="宋体" w:hAnsi="宋体" w:cs="宋体"/>
          <w:bCs/>
          <w:color w:val="auto"/>
          <w:sz w:val="22"/>
          <w:highlight w:val="none"/>
          <w:lang w:val="en-US" w:eastAsia="zh-CN"/>
        </w:rPr>
        <w:t>否则</w:t>
      </w:r>
      <w:r>
        <w:rPr>
          <w:rFonts w:hint="eastAsia" w:ascii="新宋体" w:hAnsi="新宋体" w:eastAsia="新宋体" w:cs="新宋体"/>
          <w:color w:val="auto"/>
          <w:sz w:val="22"/>
          <w:szCs w:val="22"/>
          <w:highlight w:val="none"/>
        </w:rPr>
        <w:t>不予受理、答复</w:t>
      </w:r>
      <w:r>
        <w:rPr>
          <w:rFonts w:hint="eastAsia" w:ascii="宋体" w:hAnsi="宋体" w:cs="宋体"/>
          <w:bCs/>
          <w:color w:val="auto"/>
          <w:sz w:val="22"/>
          <w:highlight w:val="none"/>
          <w:lang w:val="en-US" w:eastAsia="zh-CN"/>
        </w:rPr>
        <w:t>。</w:t>
      </w:r>
    </w:p>
    <w:p w14:paraId="0FC196FA">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14:paraId="55890512">
      <w:pPr>
        <w:spacing w:line="460" w:lineRule="exact"/>
        <w:ind w:firstLine="539" w:firstLineChars="245"/>
        <w:rPr>
          <w:rFonts w:hint="eastAsia" w:ascii="宋体" w:hAnsi="宋体" w:eastAsia="宋体" w:cs="宋体"/>
          <w:b w:val="0"/>
          <w:bCs/>
          <w:color w:val="auto"/>
          <w:sz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.3投诉人投诉时，应提交投诉书，投诉书应当由本人并由法定代表人签字盖公章，投诉书应说明具体的投诉事项及事实依据。投诉人对投诉书的真实性负责，恶意投诉将承当相应的法律和民事责任。</w:t>
      </w:r>
    </w:p>
    <w:p w14:paraId="25D552C8">
      <w:pPr>
        <w:rPr>
          <w:rFonts w:hint="eastAsia" w:ascii="宋体" w:hAnsi="宋体" w:eastAsia="宋体" w:cs="宋体"/>
          <w:color w:val="auto"/>
          <w:highlight w:val="none"/>
        </w:rPr>
      </w:pPr>
      <w:bookmarkStart w:id="24" w:name="_Toc28194"/>
      <w:bookmarkStart w:id="25" w:name="_Toc19043"/>
    </w:p>
    <w:p w14:paraId="7B057C0E">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A8BA653">
      <w:pPr>
        <w:pStyle w:val="3"/>
        <w:bidi w:val="0"/>
        <w:rPr>
          <w:rFonts w:hint="eastAsia" w:ascii="宋体" w:hAnsi="宋体" w:eastAsia="宋体" w:cs="宋体"/>
          <w:color w:val="auto"/>
          <w:highlight w:val="none"/>
        </w:rPr>
      </w:pPr>
      <w:r>
        <w:rPr>
          <w:rFonts w:hint="eastAsia" w:ascii="宋体" w:hAnsi="宋体" w:eastAsia="宋体" w:cs="宋体"/>
          <w:color w:val="auto"/>
          <w:highlight w:val="none"/>
        </w:rPr>
        <w:t>第二部分    合同主要条款</w:t>
      </w:r>
      <w:bookmarkEnd w:id="24"/>
      <w:bookmarkEnd w:id="25"/>
    </w:p>
    <w:p w14:paraId="2B583A7A">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注：如甲、乙双方同意，合同格式也可以按照其他形式, 具体条款以甲方为主协商确定。但合同条款的基本内容应与以下要求的内容相一致。</w:t>
      </w:r>
    </w:p>
    <w:p w14:paraId="2134CFFC">
      <w:pPr>
        <w:spacing w:line="460" w:lineRule="exact"/>
        <w:ind w:firstLine="539" w:firstLineChars="245"/>
        <w:rPr>
          <w:rFonts w:hint="eastAsia" w:ascii="宋体" w:hAnsi="宋体" w:eastAsia="宋体" w:cs="宋体"/>
          <w:color w:val="auto"/>
          <w:sz w:val="22"/>
          <w:szCs w:val="22"/>
          <w:highlight w:val="none"/>
        </w:rPr>
      </w:pPr>
    </w:p>
    <w:p w14:paraId="3035EFD9">
      <w:pPr>
        <w:keepNext/>
        <w:keepLines/>
        <w:pageBreakBefore w:val="0"/>
        <w:widowControl w:val="0"/>
        <w:kinsoku/>
        <w:wordWrap/>
        <w:overflowPunct/>
        <w:topLinePunct w:val="0"/>
        <w:autoSpaceDE/>
        <w:autoSpaceDN/>
        <w:bidi w:val="0"/>
        <w:adjustRightInd/>
        <w:snapToGrid/>
        <w:spacing w:line="360" w:lineRule="auto"/>
        <w:textAlignment w:val="auto"/>
        <w:outlineLvl w:val="9"/>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kern w:val="2"/>
          <w:sz w:val="22"/>
          <w:szCs w:val="22"/>
          <w:highlight w:val="none"/>
          <w:lang w:val="en-US" w:eastAsia="zh-CN" w:bidi="ar-SA"/>
        </w:rPr>
        <w:t>甲方：</w:t>
      </w:r>
      <w:r>
        <w:rPr>
          <w:rFonts w:hint="eastAsia" w:ascii="新宋体" w:hAnsi="新宋体" w:eastAsia="新宋体" w:cs="新宋体"/>
          <w:bCs/>
          <w:color w:val="auto"/>
          <w:kern w:val="2"/>
          <w:sz w:val="22"/>
          <w:szCs w:val="22"/>
          <w:highlight w:val="none"/>
          <w:u w:val="single"/>
          <w:lang w:val="en-US" w:eastAsia="zh-CN" w:bidi="ar-SA"/>
        </w:rPr>
        <w:t>温州市市政管理中心</w:t>
      </w:r>
      <w:r>
        <w:rPr>
          <w:rFonts w:hint="eastAsia" w:ascii="新宋体" w:hAnsi="新宋体" w:eastAsia="新宋体" w:cs="新宋体"/>
          <w:bCs/>
          <w:color w:val="auto"/>
          <w:kern w:val="2"/>
          <w:sz w:val="22"/>
          <w:szCs w:val="22"/>
          <w:highlight w:val="none"/>
          <w:lang w:val="en-US" w:eastAsia="zh-CN" w:bidi="ar-SA"/>
        </w:rPr>
        <w:t>（招标人）</w:t>
      </w:r>
    </w:p>
    <w:p w14:paraId="21E87607">
      <w:pPr>
        <w:spacing w:line="360" w:lineRule="auto"/>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kern w:val="2"/>
          <w:sz w:val="22"/>
          <w:szCs w:val="22"/>
          <w:highlight w:val="none"/>
          <w:lang w:val="en-US" w:eastAsia="zh-CN" w:bidi="ar-SA"/>
        </w:rPr>
        <w:t>乙方：</w:t>
      </w:r>
      <w:r>
        <w:rPr>
          <w:rFonts w:hint="eastAsia" w:ascii="新宋体" w:hAnsi="新宋体" w:eastAsia="新宋体" w:cs="新宋体"/>
          <w:bCs/>
          <w:color w:val="auto"/>
          <w:kern w:val="2"/>
          <w:sz w:val="22"/>
          <w:szCs w:val="22"/>
          <w:highlight w:val="none"/>
          <w:u w:val="single"/>
          <w:lang w:val="en-US" w:eastAsia="zh-CN" w:bidi="ar-SA"/>
        </w:rPr>
        <w:t xml:space="preserve">                  </w:t>
      </w:r>
      <w:r>
        <w:rPr>
          <w:rFonts w:hint="eastAsia" w:ascii="新宋体" w:hAnsi="新宋体" w:eastAsia="新宋体" w:cs="新宋体"/>
          <w:bCs/>
          <w:color w:val="auto"/>
          <w:kern w:val="2"/>
          <w:sz w:val="22"/>
          <w:szCs w:val="22"/>
          <w:highlight w:val="none"/>
          <w:lang w:val="en-US" w:eastAsia="zh-CN" w:bidi="ar-SA"/>
        </w:rPr>
        <w:t>（中标人）</w:t>
      </w:r>
    </w:p>
    <w:p w14:paraId="345D38E6">
      <w:pPr>
        <w:keepNext w:val="0"/>
        <w:keepLines w:val="0"/>
        <w:pageBreakBefore w:val="0"/>
        <w:widowControl w:val="0"/>
        <w:kinsoku/>
        <w:wordWrap/>
        <w:overflowPunct/>
        <w:topLinePunct w:val="0"/>
        <w:autoSpaceDE/>
        <w:autoSpaceDN/>
        <w:bidi w:val="0"/>
        <w:adjustRightInd/>
        <w:spacing w:line="460" w:lineRule="exact"/>
        <w:ind w:firstLine="539" w:firstLineChars="245"/>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eastAsia="zh-CN"/>
        </w:rPr>
        <w:t>温州市市政管理中心</w:t>
      </w:r>
      <w:r>
        <w:rPr>
          <w:rFonts w:hint="eastAsia" w:ascii="新宋体" w:hAnsi="新宋体" w:eastAsia="新宋体" w:cs="新宋体"/>
          <w:bCs/>
          <w:color w:val="auto"/>
          <w:sz w:val="22"/>
          <w:szCs w:val="22"/>
          <w:highlight w:val="none"/>
        </w:rPr>
        <w:t>的</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（项目名称、编号）在国内以公开招标方式进行招标，经评标委员会评定</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（中标人名称）为中标人。双方本着诚信及互利互惠的原则，同意按照下面条款和条件，签署本合同。</w:t>
      </w:r>
    </w:p>
    <w:p w14:paraId="796910E0">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1"/>
        <w:rPr>
          <w:rFonts w:hint="eastAsia" w:ascii="新宋体" w:hAnsi="新宋体" w:eastAsia="新宋体" w:cs="新宋体"/>
          <w:b/>
          <w:bCs w:val="0"/>
          <w:color w:val="auto"/>
          <w:sz w:val="22"/>
          <w:szCs w:val="22"/>
          <w:highlight w:val="none"/>
          <w:lang w:eastAsia="zh-CN"/>
        </w:rPr>
      </w:pPr>
      <w:r>
        <w:rPr>
          <w:rFonts w:hint="eastAsia" w:ascii="新宋体" w:hAnsi="新宋体" w:eastAsia="新宋体" w:cs="新宋体"/>
          <w:b/>
          <w:bCs w:val="0"/>
          <w:color w:val="auto"/>
          <w:sz w:val="22"/>
          <w:szCs w:val="22"/>
          <w:highlight w:val="none"/>
          <w:lang w:eastAsia="zh-CN"/>
        </w:rPr>
        <w:t>一、本合同签订依据</w:t>
      </w:r>
    </w:p>
    <w:p w14:paraId="5C6B92B6">
      <w:pPr>
        <w:keepNext w:val="0"/>
        <w:keepLines w:val="0"/>
        <w:pageBreakBefore w:val="0"/>
        <w:widowControl w:val="0"/>
        <w:kinsoku/>
        <w:wordWrap/>
        <w:overflowPunct/>
        <w:topLinePunct w:val="0"/>
        <w:autoSpaceDE/>
        <w:autoSpaceDN/>
        <w:bidi w:val="0"/>
        <w:adjustRightInd/>
        <w:spacing w:line="460" w:lineRule="exact"/>
        <w:ind w:firstLine="539" w:firstLineChars="245"/>
        <w:jc w:val="left"/>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《中华人民共和国</w:t>
      </w:r>
      <w:r>
        <w:rPr>
          <w:rFonts w:hint="eastAsia" w:ascii="新宋体" w:hAnsi="新宋体" w:eastAsia="新宋体" w:cs="新宋体"/>
          <w:bCs/>
          <w:color w:val="auto"/>
          <w:sz w:val="22"/>
          <w:szCs w:val="22"/>
          <w:highlight w:val="none"/>
          <w:lang w:val="en-US" w:eastAsia="zh-CN"/>
        </w:rPr>
        <w:t>民法典</w:t>
      </w:r>
      <w:r>
        <w:rPr>
          <w:rFonts w:hint="eastAsia" w:ascii="新宋体" w:hAnsi="新宋体" w:eastAsia="新宋体" w:cs="新宋体"/>
          <w:bCs/>
          <w:color w:val="auto"/>
          <w:sz w:val="22"/>
          <w:szCs w:val="22"/>
          <w:highlight w:val="none"/>
          <w:lang w:eastAsia="zh-CN"/>
        </w:rPr>
        <w:t>》</w:t>
      </w:r>
    </w:p>
    <w:p w14:paraId="3D060D92">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1"/>
        <w:rPr>
          <w:rFonts w:hint="eastAsia" w:ascii="新宋体" w:hAnsi="新宋体" w:eastAsia="新宋体" w:cs="新宋体"/>
          <w:b/>
          <w:bCs w:val="0"/>
          <w:color w:val="auto"/>
          <w:sz w:val="22"/>
          <w:szCs w:val="22"/>
          <w:highlight w:val="none"/>
          <w:lang w:eastAsia="zh-CN"/>
        </w:rPr>
      </w:pPr>
      <w:r>
        <w:rPr>
          <w:rFonts w:hint="eastAsia" w:ascii="新宋体" w:hAnsi="新宋体" w:eastAsia="新宋体" w:cs="新宋体"/>
          <w:b/>
          <w:bCs w:val="0"/>
          <w:color w:val="auto"/>
          <w:sz w:val="22"/>
          <w:szCs w:val="22"/>
          <w:highlight w:val="none"/>
          <w:lang w:eastAsia="zh-CN"/>
        </w:rPr>
        <w:t>二、合同文件的优先次序</w:t>
      </w:r>
    </w:p>
    <w:p w14:paraId="62E89EBD">
      <w:pPr>
        <w:keepNext w:val="0"/>
        <w:keepLines w:val="0"/>
        <w:pageBreakBefore w:val="0"/>
        <w:widowControl w:val="0"/>
        <w:kinsoku/>
        <w:wordWrap/>
        <w:overflowPunct/>
        <w:topLinePunct w:val="0"/>
        <w:autoSpaceDE/>
        <w:autoSpaceDN/>
        <w:bidi w:val="0"/>
        <w:adjustRightInd/>
        <w:spacing w:line="460" w:lineRule="exact"/>
        <w:ind w:firstLine="539" w:firstLineChars="245"/>
        <w:jc w:val="left"/>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合同文件如存在歧义或不一致则根据以下优先次序来判断：</w:t>
      </w:r>
    </w:p>
    <w:p w14:paraId="7BC7B00C">
      <w:pPr>
        <w:keepNext w:val="0"/>
        <w:keepLines w:val="0"/>
        <w:pageBreakBefore w:val="0"/>
        <w:widowControl w:val="0"/>
        <w:kinsoku/>
        <w:wordWrap/>
        <w:overflowPunct/>
        <w:topLinePunct w:val="0"/>
        <w:autoSpaceDE/>
        <w:autoSpaceDN/>
        <w:bidi w:val="0"/>
        <w:adjustRightInd/>
        <w:spacing w:line="460" w:lineRule="exact"/>
        <w:ind w:firstLine="539" w:firstLineChars="245"/>
        <w:jc w:val="left"/>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 xml:space="preserve">1、合同书及合同补充条款或说明 </w:t>
      </w:r>
    </w:p>
    <w:p w14:paraId="76B1119E">
      <w:pPr>
        <w:keepNext w:val="0"/>
        <w:keepLines w:val="0"/>
        <w:pageBreakBefore w:val="0"/>
        <w:widowControl w:val="0"/>
        <w:kinsoku/>
        <w:wordWrap/>
        <w:overflowPunct/>
        <w:topLinePunct w:val="0"/>
        <w:autoSpaceDE/>
        <w:autoSpaceDN/>
        <w:bidi w:val="0"/>
        <w:adjustRightInd/>
        <w:spacing w:line="460" w:lineRule="exact"/>
        <w:ind w:firstLine="539" w:firstLineChars="245"/>
        <w:jc w:val="left"/>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2、中标通知书</w:t>
      </w:r>
    </w:p>
    <w:p w14:paraId="1D67A183">
      <w:pPr>
        <w:keepNext w:val="0"/>
        <w:keepLines w:val="0"/>
        <w:pageBreakBefore w:val="0"/>
        <w:widowControl w:val="0"/>
        <w:kinsoku/>
        <w:wordWrap/>
        <w:overflowPunct/>
        <w:topLinePunct w:val="0"/>
        <w:autoSpaceDE/>
        <w:autoSpaceDN/>
        <w:bidi w:val="0"/>
        <w:adjustRightInd/>
        <w:spacing w:line="460" w:lineRule="exact"/>
        <w:ind w:firstLine="539" w:firstLineChars="245"/>
        <w:jc w:val="left"/>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3、承诺书（含询标记录和优惠条款）</w:t>
      </w:r>
    </w:p>
    <w:p w14:paraId="7B4D43E9">
      <w:pPr>
        <w:keepNext w:val="0"/>
        <w:keepLines w:val="0"/>
        <w:pageBreakBefore w:val="0"/>
        <w:widowControl w:val="0"/>
        <w:kinsoku/>
        <w:wordWrap/>
        <w:overflowPunct/>
        <w:topLinePunct w:val="0"/>
        <w:autoSpaceDE/>
        <w:autoSpaceDN/>
        <w:bidi w:val="0"/>
        <w:adjustRightInd/>
        <w:spacing w:line="460" w:lineRule="exact"/>
        <w:ind w:firstLine="539" w:firstLineChars="245"/>
        <w:jc w:val="left"/>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4、投标文件</w:t>
      </w:r>
    </w:p>
    <w:p w14:paraId="716C3944">
      <w:pPr>
        <w:keepNext w:val="0"/>
        <w:keepLines w:val="0"/>
        <w:pageBreakBefore w:val="0"/>
        <w:widowControl w:val="0"/>
        <w:kinsoku/>
        <w:wordWrap/>
        <w:overflowPunct/>
        <w:topLinePunct w:val="0"/>
        <w:autoSpaceDE/>
        <w:autoSpaceDN/>
        <w:bidi w:val="0"/>
        <w:adjustRightInd/>
        <w:spacing w:line="460" w:lineRule="exact"/>
        <w:ind w:firstLine="539" w:firstLineChars="245"/>
        <w:jc w:val="left"/>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5、招标文件及相关附件</w:t>
      </w:r>
    </w:p>
    <w:p w14:paraId="243417A4">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1"/>
        <w:rPr>
          <w:rFonts w:hint="eastAsia" w:ascii="新宋体" w:hAnsi="新宋体" w:eastAsia="新宋体" w:cs="新宋体"/>
          <w:b/>
          <w:bCs w:val="0"/>
          <w:color w:val="auto"/>
          <w:sz w:val="22"/>
          <w:szCs w:val="22"/>
          <w:highlight w:val="none"/>
          <w:lang w:val="en-US" w:eastAsia="zh-CN"/>
        </w:rPr>
      </w:pPr>
      <w:r>
        <w:rPr>
          <w:rFonts w:hint="eastAsia" w:ascii="新宋体" w:hAnsi="新宋体" w:eastAsia="新宋体" w:cs="新宋体"/>
          <w:b/>
          <w:bCs w:val="0"/>
          <w:color w:val="auto"/>
          <w:sz w:val="22"/>
          <w:szCs w:val="22"/>
          <w:highlight w:val="none"/>
          <w:lang w:val="en-US" w:eastAsia="zh-CN"/>
        </w:rPr>
        <w:t>三、维养范围</w:t>
      </w:r>
    </w:p>
    <w:p w14:paraId="1120CEF6">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新宋体" w:hAnsi="新宋体" w:eastAsia="新宋体" w:cs="新宋体"/>
          <w:bCs/>
          <w:color w:val="auto"/>
          <w:sz w:val="22"/>
          <w:szCs w:val="22"/>
          <w:highlight w:val="none"/>
          <w:lang w:val="en-US" w:eastAsia="zh-CN"/>
        </w:rPr>
        <w:t>3.1</w:t>
      </w:r>
      <w:r>
        <w:rPr>
          <w:rFonts w:hint="eastAsia" w:ascii="宋体" w:hAnsi="宋体" w:eastAsia="宋体" w:cs="宋体"/>
          <w:color w:val="auto"/>
          <w:sz w:val="22"/>
          <w:szCs w:val="22"/>
          <w:highlight w:val="none"/>
        </w:rPr>
        <w:t>本次招标的</w:t>
      </w:r>
      <w:r>
        <w:rPr>
          <w:rFonts w:hint="eastAsia" w:ascii="宋体" w:hAnsi="宋体" w:eastAsia="宋体" w:cs="宋体"/>
          <w:color w:val="auto"/>
          <w:sz w:val="22"/>
          <w:szCs w:val="22"/>
          <w:highlight w:val="none"/>
          <w:lang w:eastAsia="zh-CN"/>
        </w:rPr>
        <w:t>瓯越大道（温瑞大道南段快速路一期）接管期保养</w:t>
      </w:r>
      <w:r>
        <w:rPr>
          <w:rFonts w:hint="eastAsia" w:ascii="宋体" w:hAnsi="宋体" w:eastAsia="宋体" w:cs="宋体"/>
          <w:color w:val="auto"/>
          <w:sz w:val="22"/>
          <w:szCs w:val="22"/>
          <w:highlight w:val="none"/>
        </w:rPr>
        <w:t>项目服务范围</w:t>
      </w:r>
      <w:r>
        <w:rPr>
          <w:rFonts w:hint="eastAsia" w:ascii="宋体" w:hAnsi="宋体" w:eastAsia="宋体" w:cs="宋体"/>
          <w:color w:val="auto"/>
          <w:sz w:val="22"/>
          <w:szCs w:val="22"/>
          <w:highlight w:val="none"/>
          <w:lang w:eastAsia="zh-CN"/>
        </w:rPr>
        <w:t>：瓯越大道主线高架：北起瓯海大道（起点桩号K0+888.4），南至现状朝阳新街快线桥（终点桩号 K5+447），桥梁全长4558.6m，平均宽度25m,面积114608平方米。瓯海大道拼宽段：瓯海大道西侧拼宽，长度403米，宽度7.3~18.7米，4206</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平方米。瓯海大道东侧拼宽，长度356米，宽度4.0~9.0米，2049平方米。拼宽段总长度759米，总计6255平方米。主线高架</w:t>
      </w:r>
      <w:r>
        <w:rPr>
          <w:rFonts w:hint="eastAsia" w:ascii="宋体" w:hAnsi="宋体" w:eastAsia="宋体" w:cs="宋体"/>
          <w:color w:val="auto"/>
          <w:sz w:val="22"/>
          <w:szCs w:val="22"/>
          <w:highlight w:val="none"/>
          <w:lang w:val="en-US" w:eastAsia="zh-CN"/>
        </w:rPr>
        <w:t>路灯276盏、匝道平光灯1543套；地面道路路灯238套投光灯223套。</w:t>
      </w:r>
    </w:p>
    <w:p w14:paraId="78866F8D">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另有18条匝道，总长度6733.75米，标准宽度8.5米，总面积63612.5145平方米。</w:t>
      </w:r>
      <w:r>
        <w:rPr>
          <w:rFonts w:hint="eastAsia" w:ascii="宋体" w:hAnsi="宋体" w:eastAsia="宋体" w:cs="宋体"/>
          <w:color w:val="auto"/>
          <w:sz w:val="22"/>
          <w:szCs w:val="22"/>
          <w:highlight w:val="none"/>
        </w:rPr>
        <w:t>其中道路、桥梁</w:t>
      </w:r>
      <w:r>
        <w:rPr>
          <w:rFonts w:hint="eastAsia" w:ascii="宋体" w:hAnsi="宋体" w:eastAsia="宋体" w:cs="宋体"/>
          <w:color w:val="auto"/>
          <w:sz w:val="22"/>
          <w:szCs w:val="22"/>
          <w:highlight w:val="none"/>
          <w:lang w:eastAsia="zh-CN"/>
        </w:rPr>
        <w:t>、路灯</w:t>
      </w:r>
      <w:r>
        <w:rPr>
          <w:rFonts w:hint="eastAsia" w:ascii="宋体" w:hAnsi="宋体" w:eastAsia="宋体" w:cs="宋体"/>
          <w:color w:val="auto"/>
          <w:sz w:val="22"/>
          <w:szCs w:val="22"/>
          <w:highlight w:val="none"/>
        </w:rPr>
        <w:t>的技术经济指标（面积，供参考）见下表</w:t>
      </w:r>
      <w:r>
        <w:rPr>
          <w:rFonts w:hint="eastAsia" w:ascii="宋体" w:hAnsi="宋体" w:eastAsia="宋体" w:cs="宋体"/>
          <w:color w:val="auto"/>
          <w:sz w:val="22"/>
          <w:szCs w:val="22"/>
          <w:highlight w:val="none"/>
          <w:lang w:eastAsia="zh-CN"/>
        </w:rPr>
        <w:t>；</w:t>
      </w:r>
    </w:p>
    <w:tbl>
      <w:tblPr>
        <w:tblStyle w:val="54"/>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6"/>
        <w:gridCol w:w="6622"/>
      </w:tblGrid>
      <w:tr w14:paraId="627F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1" w:type="dxa"/>
            <w:noWrap w:val="0"/>
            <w:vAlign w:val="center"/>
          </w:tcPr>
          <w:p w14:paraId="2F06B0EB">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序号</w:t>
            </w:r>
          </w:p>
        </w:tc>
        <w:tc>
          <w:tcPr>
            <w:tcW w:w="2146" w:type="dxa"/>
            <w:noWrap w:val="0"/>
            <w:vAlign w:val="center"/>
          </w:tcPr>
          <w:p w14:paraId="1D8627BA">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项目</w:t>
            </w:r>
          </w:p>
        </w:tc>
        <w:tc>
          <w:tcPr>
            <w:tcW w:w="6622" w:type="dxa"/>
            <w:noWrap w:val="0"/>
            <w:vAlign w:val="center"/>
          </w:tcPr>
          <w:p w14:paraId="1BCA74DD">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工程量</w:t>
            </w:r>
          </w:p>
        </w:tc>
      </w:tr>
      <w:tr w14:paraId="06DB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91" w:type="dxa"/>
            <w:noWrap w:val="0"/>
            <w:vAlign w:val="center"/>
          </w:tcPr>
          <w:p w14:paraId="5E004E66">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w:t>
            </w:r>
          </w:p>
        </w:tc>
        <w:tc>
          <w:tcPr>
            <w:tcW w:w="2146" w:type="dxa"/>
            <w:noWrap w:val="0"/>
            <w:vAlign w:val="center"/>
          </w:tcPr>
          <w:p w14:paraId="53D35BFF">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瓯海大道</w:t>
            </w:r>
          </w:p>
        </w:tc>
        <w:tc>
          <w:tcPr>
            <w:tcW w:w="6622" w:type="dxa"/>
            <w:noWrap w:val="0"/>
            <w:vAlign w:val="center"/>
          </w:tcPr>
          <w:p w14:paraId="770311A7">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vertAlign w:val="baseline"/>
                <w:lang w:val="en-US" w:eastAsia="zh-CN"/>
              </w:rPr>
              <w:t>瓯海大道西侧拼宽，长度403米，宽度7.3~18.7米，4206平方米。瓯海大道东侧拼宽，长度356米，宽度4.0~9.0米，2049平方米。拼宽段总长度759米，总计6255平方米。</w:t>
            </w:r>
          </w:p>
        </w:tc>
      </w:tr>
      <w:tr w14:paraId="338BF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1" w:type="dxa"/>
            <w:noWrap w:val="0"/>
            <w:vAlign w:val="center"/>
          </w:tcPr>
          <w:p w14:paraId="20CB5E99">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w:t>
            </w:r>
          </w:p>
        </w:tc>
        <w:tc>
          <w:tcPr>
            <w:tcW w:w="2146" w:type="dxa"/>
            <w:noWrap w:val="0"/>
            <w:vAlign w:val="center"/>
          </w:tcPr>
          <w:p w14:paraId="64B39E8F">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瓯海大道匝道</w:t>
            </w:r>
          </w:p>
        </w:tc>
        <w:tc>
          <w:tcPr>
            <w:tcW w:w="6622" w:type="dxa"/>
            <w:noWrap w:val="0"/>
            <w:vAlign w:val="center"/>
          </w:tcPr>
          <w:p w14:paraId="05E3897E">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vertAlign w:val="baseline"/>
                <w:lang w:val="en-US" w:eastAsia="zh-CN"/>
              </w:rPr>
              <w:t>全长452米，宽度8.5~9.0米，5864.672平方米</w:t>
            </w:r>
          </w:p>
        </w:tc>
      </w:tr>
      <w:tr w14:paraId="234A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91" w:type="dxa"/>
            <w:noWrap w:val="0"/>
            <w:vAlign w:val="center"/>
          </w:tcPr>
          <w:p w14:paraId="42532070">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w:t>
            </w:r>
          </w:p>
        </w:tc>
        <w:tc>
          <w:tcPr>
            <w:tcW w:w="2146" w:type="dxa"/>
            <w:noWrap w:val="0"/>
            <w:vAlign w:val="center"/>
          </w:tcPr>
          <w:p w14:paraId="0A7E1D00">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瓯越大道</w:t>
            </w:r>
          </w:p>
        </w:tc>
        <w:tc>
          <w:tcPr>
            <w:tcW w:w="6622" w:type="dxa"/>
            <w:noWrap w:val="0"/>
            <w:vAlign w:val="center"/>
          </w:tcPr>
          <w:p w14:paraId="0C135DF5">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vertAlign w:val="baseline"/>
                <w:lang w:val="en-US" w:eastAsia="zh-CN"/>
              </w:rPr>
              <w:t>桥梁全长4558.6m，平均宽度25m,面积114608平方</w:t>
            </w:r>
          </w:p>
        </w:tc>
      </w:tr>
      <w:tr w14:paraId="3A1B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91" w:type="dxa"/>
            <w:noWrap w:val="0"/>
            <w:vAlign w:val="center"/>
          </w:tcPr>
          <w:p w14:paraId="37E81AD2">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c>
          <w:tcPr>
            <w:tcW w:w="2146" w:type="dxa"/>
            <w:noWrap w:val="0"/>
            <w:vAlign w:val="center"/>
          </w:tcPr>
          <w:p w14:paraId="198E3282">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瓯越大道匝道</w:t>
            </w:r>
          </w:p>
        </w:tc>
        <w:tc>
          <w:tcPr>
            <w:tcW w:w="6622" w:type="dxa"/>
            <w:noWrap w:val="0"/>
            <w:vAlign w:val="center"/>
          </w:tcPr>
          <w:p w14:paraId="10EC1214">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vertAlign w:val="baseline"/>
                <w:lang w:val="en-US" w:eastAsia="zh-CN"/>
              </w:rPr>
              <w:t>总长度6673.75米，标准宽度8.5米，总面积63072.5平方米</w:t>
            </w:r>
          </w:p>
        </w:tc>
      </w:tr>
      <w:tr w14:paraId="42E2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1" w:type="dxa"/>
            <w:noWrap w:val="0"/>
            <w:vAlign w:val="center"/>
          </w:tcPr>
          <w:p w14:paraId="64907C1A">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2146" w:type="dxa"/>
            <w:noWrap w:val="0"/>
            <w:vAlign w:val="center"/>
          </w:tcPr>
          <w:p w14:paraId="687A949B">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高架附属排水系统</w:t>
            </w:r>
          </w:p>
        </w:tc>
        <w:tc>
          <w:tcPr>
            <w:tcW w:w="6622" w:type="dxa"/>
            <w:noWrap w:val="0"/>
            <w:vAlign w:val="center"/>
          </w:tcPr>
          <w:p w14:paraId="3975D921">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vertAlign w:val="baseline"/>
                <w:lang w:val="en-US" w:eastAsia="zh-CN"/>
              </w:rPr>
              <w:t>桥面排水15343.89米、桥面泄水管17674.25米</w:t>
            </w:r>
          </w:p>
        </w:tc>
      </w:tr>
      <w:tr w14:paraId="488A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91" w:type="dxa"/>
            <w:noWrap w:val="0"/>
            <w:vAlign w:val="center"/>
          </w:tcPr>
          <w:p w14:paraId="1BCDB327">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6</w:t>
            </w:r>
          </w:p>
        </w:tc>
        <w:tc>
          <w:tcPr>
            <w:tcW w:w="2146" w:type="dxa"/>
            <w:noWrap w:val="0"/>
            <w:vAlign w:val="center"/>
          </w:tcPr>
          <w:p w14:paraId="4C000DF4">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支座</w:t>
            </w:r>
          </w:p>
        </w:tc>
        <w:tc>
          <w:tcPr>
            <w:tcW w:w="6622" w:type="dxa"/>
            <w:noWrap w:val="0"/>
            <w:vAlign w:val="center"/>
          </w:tcPr>
          <w:p w14:paraId="08944DEB">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服务范围内，含各类支座共计5719个</w:t>
            </w:r>
          </w:p>
        </w:tc>
      </w:tr>
      <w:tr w14:paraId="1128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91" w:type="dxa"/>
            <w:noWrap w:val="0"/>
            <w:vAlign w:val="center"/>
          </w:tcPr>
          <w:p w14:paraId="1C8485E0">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7</w:t>
            </w:r>
          </w:p>
        </w:tc>
        <w:tc>
          <w:tcPr>
            <w:tcW w:w="2146" w:type="dxa"/>
            <w:noWrap w:val="0"/>
            <w:vAlign w:val="center"/>
          </w:tcPr>
          <w:p w14:paraId="031C859D">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伸缩缝</w:t>
            </w:r>
          </w:p>
        </w:tc>
        <w:tc>
          <w:tcPr>
            <w:tcW w:w="6622" w:type="dxa"/>
            <w:noWrap w:val="0"/>
            <w:vAlign w:val="center"/>
          </w:tcPr>
          <w:p w14:paraId="06BDE046">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含各类40型、80型、160型伸缩缝总长2766.344米</w:t>
            </w:r>
          </w:p>
        </w:tc>
      </w:tr>
      <w:tr w14:paraId="7331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91" w:type="dxa"/>
            <w:noWrap w:val="0"/>
            <w:vAlign w:val="center"/>
          </w:tcPr>
          <w:p w14:paraId="3BD34A3A">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8</w:t>
            </w:r>
          </w:p>
        </w:tc>
        <w:tc>
          <w:tcPr>
            <w:tcW w:w="2146" w:type="dxa"/>
            <w:noWrap w:val="0"/>
            <w:vAlign w:val="center"/>
          </w:tcPr>
          <w:p w14:paraId="16E5AD5C">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隔音屏</w:t>
            </w:r>
          </w:p>
        </w:tc>
        <w:tc>
          <w:tcPr>
            <w:tcW w:w="6622" w:type="dxa"/>
            <w:noWrap w:val="0"/>
            <w:vAlign w:val="center"/>
          </w:tcPr>
          <w:p w14:paraId="55004603">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高度范围为1.0~2.8米，长度总计9814.62米</w:t>
            </w:r>
          </w:p>
        </w:tc>
      </w:tr>
      <w:tr w14:paraId="634F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91" w:type="dxa"/>
            <w:noWrap w:val="0"/>
            <w:vAlign w:val="center"/>
          </w:tcPr>
          <w:p w14:paraId="7E878551">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9</w:t>
            </w:r>
          </w:p>
        </w:tc>
        <w:tc>
          <w:tcPr>
            <w:tcW w:w="2146" w:type="dxa"/>
            <w:noWrap w:val="0"/>
            <w:vAlign w:val="center"/>
          </w:tcPr>
          <w:p w14:paraId="02B38D33">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lang w:eastAsia="zh-CN"/>
              </w:rPr>
              <w:t>主线高架</w:t>
            </w:r>
            <w:r>
              <w:rPr>
                <w:rFonts w:hint="eastAsia" w:ascii="宋体" w:hAnsi="宋体" w:eastAsia="宋体" w:cs="宋体"/>
                <w:color w:val="auto"/>
                <w:sz w:val="22"/>
                <w:szCs w:val="22"/>
                <w:highlight w:val="none"/>
                <w:lang w:val="en-US" w:eastAsia="zh-CN"/>
              </w:rPr>
              <w:t>路灯</w:t>
            </w:r>
          </w:p>
        </w:tc>
        <w:tc>
          <w:tcPr>
            <w:tcW w:w="6622" w:type="dxa"/>
            <w:noWrap w:val="0"/>
            <w:vAlign w:val="center"/>
          </w:tcPr>
          <w:p w14:paraId="55602DFB">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lang w:val="en-US" w:eastAsia="zh-CN"/>
              </w:rPr>
              <w:t>路灯276盏、匝道平光灯1543套</w:t>
            </w:r>
          </w:p>
        </w:tc>
      </w:tr>
      <w:tr w14:paraId="0270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91" w:type="dxa"/>
            <w:noWrap w:val="0"/>
            <w:vAlign w:val="center"/>
          </w:tcPr>
          <w:p w14:paraId="65F57AB2">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w:t>
            </w:r>
          </w:p>
        </w:tc>
        <w:tc>
          <w:tcPr>
            <w:tcW w:w="2146" w:type="dxa"/>
            <w:noWrap w:val="0"/>
            <w:vAlign w:val="center"/>
          </w:tcPr>
          <w:p w14:paraId="727330EC">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lang w:val="en-US" w:eastAsia="zh-CN"/>
              </w:rPr>
              <w:t>地面道路路灯</w:t>
            </w:r>
          </w:p>
        </w:tc>
        <w:tc>
          <w:tcPr>
            <w:tcW w:w="6622" w:type="dxa"/>
            <w:noWrap w:val="0"/>
            <w:vAlign w:val="center"/>
          </w:tcPr>
          <w:p w14:paraId="23C63B38">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lang w:val="en-US" w:eastAsia="zh-CN"/>
              </w:rPr>
              <w:t>路灯238套投光灯223套</w:t>
            </w:r>
          </w:p>
        </w:tc>
      </w:tr>
    </w:tbl>
    <w:p w14:paraId="486A8C52">
      <w:pPr>
        <w:keepNext w:val="0"/>
        <w:keepLines w:val="0"/>
        <w:pageBreakBefore w:val="0"/>
        <w:kinsoku/>
        <w:wordWrap/>
        <w:overflowPunct/>
        <w:topLinePunct w:val="0"/>
        <w:bidi w:val="0"/>
        <w:adjustRightInd/>
        <w:snapToGrid w:val="0"/>
        <w:spacing w:before="120" w:beforeLines="50" w:line="460" w:lineRule="exact"/>
        <w:ind w:firstLine="440" w:firstLineChars="2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3.2</w:t>
      </w:r>
      <w:r>
        <w:rPr>
          <w:rFonts w:hint="eastAsia" w:ascii="宋体" w:hAnsi="宋体" w:eastAsia="宋体" w:cs="宋体"/>
          <w:color w:val="auto"/>
          <w:sz w:val="22"/>
          <w:szCs w:val="22"/>
          <w:highlight w:val="none"/>
          <w:lang w:eastAsia="zh-CN"/>
        </w:rPr>
        <w:t>瓯越大道（温瑞大道南段快速路一期）</w:t>
      </w:r>
      <w:r>
        <w:rPr>
          <w:rFonts w:hint="eastAsia" w:ascii="宋体" w:hAnsi="宋体" w:eastAsia="宋体" w:cs="宋体"/>
          <w:color w:val="auto"/>
          <w:sz w:val="22"/>
          <w:szCs w:val="22"/>
          <w:highlight w:val="none"/>
        </w:rPr>
        <w:t>道桥日常</w:t>
      </w:r>
      <w:r>
        <w:rPr>
          <w:rFonts w:hint="eastAsia" w:ascii="宋体" w:hAnsi="宋体" w:eastAsia="宋体" w:cs="宋体"/>
          <w:color w:val="auto"/>
          <w:sz w:val="22"/>
          <w:szCs w:val="22"/>
          <w:highlight w:val="none"/>
          <w:lang w:eastAsia="zh-CN"/>
        </w:rPr>
        <w:t>巡查及保养</w:t>
      </w:r>
      <w:r>
        <w:rPr>
          <w:rFonts w:hint="eastAsia" w:ascii="宋体" w:hAnsi="宋体" w:eastAsia="宋体" w:cs="宋体"/>
          <w:color w:val="auto"/>
          <w:sz w:val="22"/>
          <w:szCs w:val="22"/>
          <w:highlight w:val="none"/>
        </w:rPr>
        <w:t>服务范围包括道路红线范围内所有空间。</w:t>
      </w:r>
    </w:p>
    <w:p w14:paraId="7E313F63">
      <w:pPr>
        <w:keepNext w:val="0"/>
        <w:keepLines w:val="0"/>
        <w:pageBreakBefore w:val="0"/>
        <w:kinsoku/>
        <w:wordWrap/>
        <w:overflowPunct/>
        <w:topLinePunct w:val="0"/>
        <w:bidi w:val="0"/>
        <w:adjustRightInd/>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甲方</w:t>
      </w:r>
      <w:r>
        <w:rPr>
          <w:rFonts w:hint="eastAsia" w:ascii="宋体" w:hAnsi="宋体" w:eastAsia="宋体" w:cs="宋体"/>
          <w:color w:val="auto"/>
          <w:sz w:val="22"/>
          <w:szCs w:val="22"/>
          <w:highlight w:val="none"/>
        </w:rPr>
        <w:t>因管理需要调整</w:t>
      </w:r>
      <w:r>
        <w:rPr>
          <w:rFonts w:hint="eastAsia" w:ascii="宋体" w:hAnsi="宋体" w:eastAsia="宋体" w:cs="宋体"/>
          <w:color w:val="auto"/>
          <w:sz w:val="22"/>
          <w:szCs w:val="22"/>
          <w:highlight w:val="none"/>
          <w:lang w:val="en-US" w:eastAsia="zh-CN"/>
        </w:rPr>
        <w:t>乙方</w:t>
      </w:r>
      <w:r>
        <w:rPr>
          <w:rFonts w:hint="eastAsia" w:ascii="宋体" w:hAnsi="宋体" w:eastAsia="宋体" w:cs="宋体"/>
          <w:color w:val="auto"/>
          <w:sz w:val="22"/>
          <w:szCs w:val="22"/>
          <w:highlight w:val="none"/>
        </w:rPr>
        <w:t>服务区域时（不管是新增还是减少），</w:t>
      </w:r>
      <w:r>
        <w:rPr>
          <w:rFonts w:hint="eastAsia" w:ascii="宋体" w:hAnsi="宋体" w:eastAsia="宋体" w:cs="宋体"/>
          <w:color w:val="auto"/>
          <w:sz w:val="22"/>
          <w:szCs w:val="22"/>
          <w:highlight w:val="none"/>
          <w:lang w:val="en-US" w:eastAsia="zh-CN"/>
        </w:rPr>
        <w:t>乙方</w:t>
      </w:r>
      <w:r>
        <w:rPr>
          <w:rFonts w:hint="eastAsia" w:ascii="宋体" w:hAnsi="宋体" w:eastAsia="宋体" w:cs="宋体"/>
          <w:color w:val="auto"/>
          <w:sz w:val="22"/>
          <w:szCs w:val="22"/>
          <w:highlight w:val="none"/>
        </w:rPr>
        <w:t>须无条件服从，均按合同执行并纳入考核范围。</w:t>
      </w:r>
    </w:p>
    <w:p w14:paraId="77DD15AE">
      <w:pPr>
        <w:keepNext w:val="0"/>
        <w:keepLines w:val="0"/>
        <w:pageBreakBefore w:val="0"/>
        <w:kinsoku/>
        <w:wordWrap/>
        <w:overflowPunct/>
        <w:topLinePunct w:val="0"/>
        <w:bidi w:val="0"/>
        <w:adjustRightInd/>
        <w:snapToGrid w:val="0"/>
        <w:spacing w:before="120" w:beforeLines="50" w:line="460" w:lineRule="exact"/>
        <w:ind w:firstLine="440" w:firstLineChars="200"/>
        <w:jc w:val="left"/>
        <w:rPr>
          <w:rFonts w:hint="eastAsia" w:ascii="新宋体" w:hAnsi="新宋体" w:eastAsia="新宋体" w:cs="新宋体"/>
          <w:bCs/>
          <w:color w:val="auto"/>
          <w:sz w:val="22"/>
          <w:szCs w:val="22"/>
          <w:highlight w:val="none"/>
          <w:lang w:val="en-US" w:eastAsia="zh-CN"/>
        </w:rPr>
      </w:pPr>
      <w:r>
        <w:rPr>
          <w:rFonts w:hint="eastAsia" w:ascii="宋体" w:hAnsi="宋体" w:eastAsia="宋体" w:cs="宋体"/>
          <w:color w:val="auto"/>
          <w:sz w:val="22"/>
          <w:szCs w:val="22"/>
          <w:highlight w:val="none"/>
          <w:lang w:val="en-US" w:eastAsia="zh-CN"/>
        </w:rPr>
        <w:t>3.3日常巡查及保养内容包括设施经常性检查、常规定期检测、应急保障 （如防汛、抗台、抗雪等灾害天气，火灾、交通事故等突发事件）、重大活动及节日保障、设施档案建立等。</w:t>
      </w:r>
    </w:p>
    <w:p w14:paraId="162528A4">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1"/>
        <w:rPr>
          <w:rFonts w:hint="eastAsia" w:ascii="新宋体" w:hAnsi="新宋体" w:eastAsia="新宋体" w:cs="新宋体"/>
          <w:b/>
          <w:bCs w:val="0"/>
          <w:color w:val="auto"/>
          <w:sz w:val="22"/>
          <w:szCs w:val="22"/>
          <w:highlight w:val="none"/>
          <w:lang w:val="en-US" w:eastAsia="zh-CN"/>
        </w:rPr>
      </w:pPr>
      <w:r>
        <w:rPr>
          <w:rFonts w:hint="eastAsia" w:ascii="新宋体" w:hAnsi="新宋体" w:eastAsia="新宋体" w:cs="新宋体"/>
          <w:b/>
          <w:bCs w:val="0"/>
          <w:color w:val="auto"/>
          <w:sz w:val="22"/>
          <w:szCs w:val="22"/>
          <w:highlight w:val="none"/>
          <w:lang w:val="en-US" w:eastAsia="zh-CN"/>
        </w:rPr>
        <w:t>四、维养内容及技术要求</w:t>
      </w:r>
    </w:p>
    <w:p w14:paraId="0F4D09DC">
      <w:pPr>
        <w:keepNext w:val="0"/>
        <w:keepLines w:val="0"/>
        <w:pageBreakBefore w:val="0"/>
        <w:widowControl w:val="0"/>
        <w:kinsoku/>
        <w:wordWrap/>
        <w:overflowPunct/>
        <w:topLinePunct w:val="0"/>
        <w:autoSpaceDE/>
        <w:autoSpaceDN/>
        <w:bidi w:val="0"/>
        <w:adjustRightInd/>
        <w:spacing w:line="460" w:lineRule="exact"/>
        <w:ind w:firstLine="539" w:firstLineChars="245"/>
        <w:jc w:val="left"/>
        <w:textAlignment w:val="auto"/>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市政维养内容及要求（具体详见第四部分 项目技术规范和服务要求）</w:t>
      </w:r>
    </w:p>
    <w:p w14:paraId="0AE23AC0">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1"/>
        <w:rPr>
          <w:rFonts w:hint="eastAsia" w:ascii="新宋体" w:hAnsi="新宋体" w:eastAsia="新宋体" w:cs="新宋体"/>
          <w:b/>
          <w:bCs w:val="0"/>
          <w:color w:val="auto"/>
          <w:sz w:val="22"/>
          <w:szCs w:val="22"/>
          <w:highlight w:val="none"/>
          <w:lang w:val="en-US" w:eastAsia="zh-CN"/>
        </w:rPr>
      </w:pPr>
      <w:r>
        <w:rPr>
          <w:rFonts w:hint="eastAsia" w:ascii="新宋体" w:hAnsi="新宋体" w:eastAsia="新宋体" w:cs="新宋体"/>
          <w:b/>
          <w:bCs w:val="0"/>
          <w:color w:val="auto"/>
          <w:sz w:val="22"/>
          <w:szCs w:val="22"/>
          <w:highlight w:val="none"/>
          <w:lang w:val="en-US" w:eastAsia="zh-CN"/>
        </w:rPr>
        <w:t>五、养护质量标准</w:t>
      </w:r>
    </w:p>
    <w:p w14:paraId="09465BD2">
      <w:pPr>
        <w:keepNext w:val="0"/>
        <w:keepLines w:val="0"/>
        <w:pageBreakBefore w:val="0"/>
        <w:widowControl w:val="0"/>
        <w:kinsoku/>
        <w:wordWrap/>
        <w:overflowPunct/>
        <w:topLinePunct w:val="0"/>
        <w:autoSpaceDE/>
        <w:autoSpaceDN/>
        <w:bidi w:val="0"/>
        <w:adjustRightInd/>
        <w:spacing w:line="460" w:lineRule="exact"/>
        <w:ind w:firstLine="539" w:firstLineChars="245"/>
        <w:jc w:val="left"/>
        <w:textAlignment w:val="auto"/>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根据《城市道路管理条例》（国务院令198号）、《城市桥梁检测和养护维修管理办法》（建设部118号令）、《城镇道路养护技术规范》（CJJ36-2016）、《城市桥梁养护技术标准》（CJJ99-2017）、《城镇道路工程施工与质量验收规范》（CJJ1-2008）、《浙江省城市道路管理办法》（省政府令第145号）、《温州市突发公共事件总体应急预案》、《温州市城区防汛防台应急预案》、《温州市区城市桥梁管理养护实施办法》等以及新颁布的相关规程、规范和国家有关强制性标准的规定执行。同时，应满足招标文件约定的考核标准及管理单位的要求。</w:t>
      </w:r>
    </w:p>
    <w:p w14:paraId="5F3C6869">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1"/>
        <w:rPr>
          <w:rFonts w:hint="default" w:ascii="新宋体" w:hAnsi="新宋体" w:eastAsia="新宋体" w:cs="新宋体"/>
          <w:b/>
          <w:bCs w:val="0"/>
          <w:color w:val="auto"/>
          <w:sz w:val="22"/>
          <w:szCs w:val="22"/>
          <w:highlight w:val="none"/>
          <w:lang w:val="en-US" w:eastAsia="zh-CN"/>
        </w:rPr>
      </w:pPr>
      <w:r>
        <w:rPr>
          <w:rFonts w:hint="eastAsia" w:ascii="新宋体" w:hAnsi="新宋体" w:eastAsia="新宋体" w:cs="新宋体"/>
          <w:b/>
          <w:bCs w:val="0"/>
          <w:color w:val="auto"/>
          <w:sz w:val="22"/>
          <w:szCs w:val="22"/>
          <w:highlight w:val="none"/>
          <w:lang w:val="en-US" w:eastAsia="zh-CN"/>
        </w:rPr>
        <w:t>六、考核</w:t>
      </w:r>
    </w:p>
    <w:p w14:paraId="16DBEAD7">
      <w:pPr>
        <w:keepNext w:val="0"/>
        <w:keepLines w:val="0"/>
        <w:pageBreakBefore w:val="0"/>
        <w:widowControl w:val="0"/>
        <w:kinsoku/>
        <w:wordWrap/>
        <w:overflowPunct/>
        <w:topLinePunct w:val="0"/>
        <w:autoSpaceDE/>
        <w:autoSpaceDN/>
        <w:bidi w:val="0"/>
        <w:adjustRightInd/>
        <w:snapToGrid/>
        <w:spacing w:line="460" w:lineRule="exact"/>
        <w:ind w:firstLine="442" w:firstLineChars="200"/>
        <w:jc w:val="left"/>
        <w:textAlignment w:val="auto"/>
        <w:outlineLvl w:val="9"/>
        <w:rPr>
          <w:rFonts w:hint="eastAsia" w:ascii="新宋体" w:hAnsi="新宋体" w:eastAsia="新宋体" w:cs="新宋体"/>
          <w:b/>
          <w:bCs w:val="0"/>
          <w:color w:val="auto"/>
          <w:sz w:val="22"/>
          <w:szCs w:val="22"/>
          <w:highlight w:val="none"/>
          <w:lang w:val="en-US" w:eastAsia="zh-CN"/>
        </w:rPr>
      </w:pPr>
      <w:r>
        <w:rPr>
          <w:rFonts w:hint="eastAsia" w:ascii="新宋体" w:hAnsi="新宋体" w:eastAsia="新宋体" w:cs="新宋体"/>
          <w:b/>
          <w:bCs w:val="0"/>
          <w:color w:val="auto"/>
          <w:sz w:val="22"/>
          <w:szCs w:val="22"/>
          <w:highlight w:val="none"/>
          <w:lang w:val="en-US" w:eastAsia="zh-CN"/>
        </w:rPr>
        <w:t>1、维养单位的监督考核</w:t>
      </w:r>
    </w:p>
    <w:p w14:paraId="3A143EE7">
      <w:pPr>
        <w:keepNext w:val="0"/>
        <w:keepLines w:val="0"/>
        <w:pageBreakBefore w:val="0"/>
        <w:widowControl w:val="0"/>
        <w:kinsoku/>
        <w:wordWrap/>
        <w:overflowPunct/>
        <w:topLinePunct w:val="0"/>
        <w:autoSpaceDE/>
        <w:autoSpaceDN/>
        <w:bidi w:val="0"/>
        <w:adjustRightInd/>
        <w:snapToGrid/>
        <w:spacing w:line="460" w:lineRule="exact"/>
        <w:ind w:firstLine="539" w:firstLineChars="245"/>
        <w:jc w:val="left"/>
        <w:textAlignment w:val="auto"/>
        <w:outlineLvl w:val="9"/>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1）考核标准与方式</w:t>
      </w:r>
    </w:p>
    <w:p w14:paraId="58971E0E">
      <w:pPr>
        <w:keepNext w:val="0"/>
        <w:keepLines w:val="0"/>
        <w:pageBreakBefore w:val="0"/>
        <w:widowControl w:val="0"/>
        <w:kinsoku/>
        <w:wordWrap/>
        <w:overflowPunct/>
        <w:topLinePunct w:val="0"/>
        <w:autoSpaceDE/>
        <w:autoSpaceDN/>
        <w:bidi w:val="0"/>
        <w:adjustRightInd/>
        <w:snapToGrid/>
        <w:spacing w:line="460" w:lineRule="exact"/>
        <w:ind w:firstLine="539" w:firstLineChars="245"/>
        <w:jc w:val="left"/>
        <w:textAlignment w:val="auto"/>
        <w:outlineLvl w:val="9"/>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乙方的考核，采取月考的方式，结合日常的巡查及设施管理进行，满分为100分。考核内容包括建立设施档案、市政设施日常巡检保养、文明施工管理情况，数字城管的处置情况，台风、暴雨期间防汛以及道路等突发事件的应急处理，被媒体曝光或领导发现批示等情况组成。</w:t>
      </w:r>
    </w:p>
    <w:p w14:paraId="671C83BF">
      <w:pPr>
        <w:keepNext w:val="0"/>
        <w:keepLines w:val="0"/>
        <w:pageBreakBefore w:val="0"/>
        <w:widowControl w:val="0"/>
        <w:kinsoku/>
        <w:wordWrap/>
        <w:overflowPunct/>
        <w:topLinePunct w:val="0"/>
        <w:autoSpaceDE/>
        <w:autoSpaceDN/>
        <w:bidi w:val="0"/>
        <w:adjustRightInd/>
        <w:snapToGrid/>
        <w:spacing w:line="460" w:lineRule="exact"/>
        <w:ind w:firstLine="539" w:firstLineChars="245"/>
        <w:jc w:val="left"/>
        <w:textAlignment w:val="auto"/>
        <w:outlineLvl w:val="9"/>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乙方在维养过程中需配备并使用投标文件中提供的人员、机械、材料，如未提供可视为人员、机械、材料无法及时到场，甲方可酌情扣分。</w:t>
      </w:r>
    </w:p>
    <w:p w14:paraId="38CCEDFE">
      <w:pPr>
        <w:keepNext w:val="0"/>
        <w:keepLines w:val="0"/>
        <w:pageBreakBefore w:val="0"/>
        <w:widowControl w:val="0"/>
        <w:kinsoku/>
        <w:wordWrap/>
        <w:overflowPunct/>
        <w:topLinePunct w:val="0"/>
        <w:autoSpaceDE/>
        <w:autoSpaceDN/>
        <w:bidi w:val="0"/>
        <w:adjustRightInd/>
        <w:snapToGrid/>
        <w:spacing w:line="460" w:lineRule="exact"/>
        <w:ind w:firstLine="539" w:firstLineChars="245"/>
        <w:jc w:val="left"/>
        <w:textAlignment w:val="auto"/>
        <w:outlineLvl w:val="9"/>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2）考核标准与得分，参照《城镇道路养护技术规范（CJJ36-2016）》、《城市桥梁养护技术标准（CJJ99-2017）》等文件执行，并按照《瓯越大道（温瑞大道南段快速路一期）接管期保养考核表》（表2）考核。</w:t>
      </w:r>
    </w:p>
    <w:p w14:paraId="5FA94BBA">
      <w:pPr>
        <w:keepNext w:val="0"/>
        <w:keepLines w:val="0"/>
        <w:pageBreakBefore w:val="0"/>
        <w:widowControl w:val="0"/>
        <w:kinsoku/>
        <w:wordWrap/>
        <w:overflowPunct/>
        <w:topLinePunct w:val="0"/>
        <w:autoSpaceDE/>
        <w:autoSpaceDN/>
        <w:bidi w:val="0"/>
        <w:adjustRightInd/>
        <w:snapToGrid/>
        <w:spacing w:line="460" w:lineRule="exact"/>
        <w:ind w:firstLine="541" w:firstLineChars="245"/>
        <w:jc w:val="left"/>
        <w:textAlignment w:val="auto"/>
        <w:outlineLvl w:val="9"/>
        <w:rPr>
          <w:rFonts w:hint="eastAsia" w:ascii="新宋体" w:hAnsi="新宋体" w:eastAsia="新宋体" w:cs="新宋体"/>
          <w:b/>
          <w:bCs w:val="0"/>
          <w:color w:val="auto"/>
          <w:sz w:val="22"/>
          <w:szCs w:val="22"/>
          <w:highlight w:val="none"/>
          <w:lang w:val="en-US" w:eastAsia="zh-CN"/>
        </w:rPr>
      </w:pPr>
      <w:r>
        <w:rPr>
          <w:rFonts w:hint="eastAsia" w:ascii="新宋体" w:hAnsi="新宋体" w:eastAsia="新宋体" w:cs="新宋体"/>
          <w:b/>
          <w:bCs w:val="0"/>
          <w:color w:val="auto"/>
          <w:sz w:val="22"/>
          <w:szCs w:val="22"/>
          <w:highlight w:val="none"/>
          <w:lang w:val="en-US" w:eastAsia="zh-CN"/>
        </w:rPr>
        <w:t>2、考核及处罚标准</w:t>
      </w:r>
    </w:p>
    <w:p w14:paraId="49C40B55">
      <w:pPr>
        <w:keepNext w:val="0"/>
        <w:keepLines w:val="0"/>
        <w:pageBreakBefore w:val="0"/>
        <w:widowControl w:val="0"/>
        <w:kinsoku/>
        <w:wordWrap/>
        <w:overflowPunct/>
        <w:topLinePunct w:val="0"/>
        <w:autoSpaceDE/>
        <w:autoSpaceDN/>
        <w:bidi w:val="0"/>
        <w:adjustRightInd/>
        <w:snapToGrid/>
        <w:spacing w:line="460" w:lineRule="exact"/>
        <w:ind w:firstLine="539" w:firstLineChars="245"/>
        <w:jc w:val="left"/>
        <w:textAlignment w:val="auto"/>
        <w:outlineLvl w:val="9"/>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1）甲方依照考核表进行综合计算考评。</w:t>
      </w:r>
    </w:p>
    <w:p w14:paraId="287E1C16">
      <w:pPr>
        <w:keepNext w:val="0"/>
        <w:keepLines w:val="0"/>
        <w:pageBreakBefore w:val="0"/>
        <w:widowControl w:val="0"/>
        <w:kinsoku/>
        <w:wordWrap/>
        <w:overflowPunct/>
        <w:topLinePunct w:val="0"/>
        <w:autoSpaceDE/>
        <w:autoSpaceDN/>
        <w:bidi w:val="0"/>
        <w:adjustRightInd/>
        <w:spacing w:line="460" w:lineRule="exact"/>
        <w:ind w:firstLine="539" w:firstLineChars="245"/>
        <w:jc w:val="left"/>
        <w:textAlignment w:val="auto"/>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2）甲方组成的考核小组将负责对市政设施巡查保养作业质量进行检查考评，检查将采取明检、暗检相结合的方式。如需乙方配合的将提前一小时通知其派员参加。</w:t>
      </w:r>
    </w:p>
    <w:p w14:paraId="5B003018">
      <w:pPr>
        <w:keepNext w:val="0"/>
        <w:keepLines w:val="0"/>
        <w:pageBreakBefore w:val="0"/>
        <w:widowControl w:val="0"/>
        <w:kinsoku/>
        <w:wordWrap/>
        <w:overflowPunct/>
        <w:topLinePunct w:val="0"/>
        <w:autoSpaceDE/>
        <w:autoSpaceDN/>
        <w:bidi w:val="0"/>
        <w:adjustRightInd/>
        <w:spacing w:line="460" w:lineRule="exact"/>
        <w:ind w:firstLine="539" w:firstLineChars="245"/>
        <w:jc w:val="left"/>
        <w:textAlignment w:val="auto"/>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3）月考核分与日常巡查及保养服务费、履约保证金挂钩。月度考核高于或等于90分的本月日常巡查及保养服务费不扣除，月考核低于90分的，每少1分（以90分为基准）扣当月日常巡查及保养服务费的1%，依次类推。月度考核低于70分的，甲方扣除相应日常巡查及保养服务费用后，再扣除履约保证金的十分之一，并向乙方发出警告。</w:t>
      </w:r>
    </w:p>
    <w:p w14:paraId="0B63A407">
      <w:pPr>
        <w:keepNext w:val="0"/>
        <w:keepLines w:val="0"/>
        <w:pageBreakBefore w:val="0"/>
        <w:widowControl w:val="0"/>
        <w:kinsoku/>
        <w:wordWrap/>
        <w:overflowPunct/>
        <w:topLinePunct w:val="0"/>
        <w:autoSpaceDE/>
        <w:autoSpaceDN/>
        <w:bidi w:val="0"/>
        <w:adjustRightInd/>
        <w:spacing w:line="460" w:lineRule="exact"/>
        <w:ind w:firstLine="539" w:firstLineChars="245"/>
        <w:jc w:val="left"/>
        <w:textAlignment w:val="auto"/>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4）连续两个月月度考核低于80分的，或连续三个月考核总分低于240分的，甲方扣除相应日常巡查及保养服务费用后，再扣除全部履约保证金，并有权终止合同，乙方的损失均由其自行负责。</w:t>
      </w:r>
    </w:p>
    <w:p w14:paraId="1E6DEACB">
      <w:pPr>
        <w:keepNext w:val="0"/>
        <w:keepLines w:val="0"/>
        <w:pageBreakBefore w:val="0"/>
        <w:widowControl w:val="0"/>
        <w:kinsoku/>
        <w:wordWrap/>
        <w:overflowPunct/>
        <w:topLinePunct w:val="0"/>
        <w:autoSpaceDE/>
        <w:autoSpaceDN/>
        <w:bidi w:val="0"/>
        <w:adjustRightInd/>
        <w:spacing w:line="460" w:lineRule="exact"/>
        <w:ind w:firstLine="539" w:firstLineChars="245"/>
        <w:jc w:val="left"/>
        <w:textAlignment w:val="auto"/>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5）乙方累计3次未按甲方要求按时完成指定保养任务或未按要求响应应急维修任务的，甲方有权对合同进行终止处理，并没收全部履约保证金，乙方的损失均由其自行负责。</w:t>
      </w:r>
    </w:p>
    <w:p w14:paraId="5AD50E87">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1"/>
        <w:rPr>
          <w:rFonts w:hint="eastAsia" w:ascii="新宋体" w:hAnsi="新宋体" w:eastAsia="新宋体" w:cs="新宋体"/>
          <w:b/>
          <w:bCs w:val="0"/>
          <w:color w:val="auto"/>
          <w:sz w:val="22"/>
          <w:szCs w:val="22"/>
          <w:highlight w:val="none"/>
          <w:lang w:val="en-US" w:eastAsia="zh-CN"/>
        </w:rPr>
      </w:pPr>
      <w:r>
        <w:rPr>
          <w:rFonts w:hint="eastAsia" w:ascii="新宋体" w:hAnsi="新宋体" w:eastAsia="新宋体" w:cs="新宋体"/>
          <w:b/>
          <w:bCs w:val="0"/>
          <w:color w:val="auto"/>
          <w:sz w:val="22"/>
          <w:szCs w:val="22"/>
          <w:highlight w:val="none"/>
          <w:lang w:val="en-US" w:eastAsia="zh-CN"/>
        </w:rPr>
        <w:t>七、维养费用及支付方式</w:t>
      </w:r>
    </w:p>
    <w:p w14:paraId="627B6D76">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519" w:firstLineChars="236"/>
        <w:textAlignment w:val="auto"/>
        <w:rPr>
          <w:rFonts w:hint="default"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1、合同总价：大写：</w:t>
      </w:r>
      <w:r>
        <w:rPr>
          <w:rFonts w:hint="eastAsia" w:ascii="新宋体" w:hAnsi="新宋体" w:eastAsia="新宋体" w:cs="新宋体"/>
          <w:b w:val="0"/>
          <w:bCs/>
          <w:color w:val="auto"/>
          <w:kern w:val="2"/>
          <w:sz w:val="22"/>
          <w:szCs w:val="22"/>
          <w:highlight w:val="none"/>
          <w:u w:val="single"/>
          <w:lang w:val="en-US" w:eastAsia="zh-CN" w:bidi="ar-SA"/>
        </w:rPr>
        <w:t xml:space="preserve">        </w:t>
      </w:r>
      <w:r>
        <w:rPr>
          <w:rFonts w:hint="eastAsia" w:ascii="新宋体" w:hAnsi="新宋体" w:eastAsia="新宋体" w:cs="新宋体"/>
          <w:b w:val="0"/>
          <w:bCs/>
          <w:color w:val="auto"/>
          <w:kern w:val="2"/>
          <w:sz w:val="22"/>
          <w:szCs w:val="22"/>
          <w:highlight w:val="none"/>
          <w:lang w:val="en-US" w:eastAsia="zh-CN" w:bidi="ar-SA"/>
        </w:rPr>
        <w:t>元整，小写：￥</w:t>
      </w:r>
      <w:r>
        <w:rPr>
          <w:rFonts w:hint="eastAsia" w:ascii="新宋体" w:hAnsi="新宋体" w:eastAsia="新宋体" w:cs="新宋体"/>
          <w:b w:val="0"/>
          <w:bCs/>
          <w:color w:val="auto"/>
          <w:kern w:val="2"/>
          <w:sz w:val="22"/>
          <w:szCs w:val="22"/>
          <w:highlight w:val="none"/>
          <w:u w:val="single"/>
          <w:lang w:val="en-US" w:eastAsia="zh-CN" w:bidi="ar-SA"/>
        </w:rPr>
        <w:t xml:space="preserve">       </w:t>
      </w:r>
      <w:r>
        <w:rPr>
          <w:rFonts w:hint="eastAsia" w:ascii="新宋体" w:hAnsi="新宋体" w:eastAsia="新宋体" w:cs="新宋体"/>
          <w:b w:val="0"/>
          <w:bCs/>
          <w:color w:val="auto"/>
          <w:kern w:val="2"/>
          <w:sz w:val="22"/>
          <w:szCs w:val="22"/>
          <w:highlight w:val="none"/>
          <w:lang w:val="en-US" w:eastAsia="zh-CN" w:bidi="ar-SA"/>
        </w:rPr>
        <w:t xml:space="preserve">。（其中：桥梁检测费用：大写： </w:t>
      </w:r>
      <w:r>
        <w:rPr>
          <w:rFonts w:hint="eastAsia" w:ascii="新宋体" w:hAnsi="新宋体" w:eastAsia="新宋体" w:cs="新宋体"/>
          <w:b w:val="0"/>
          <w:bCs/>
          <w:color w:val="auto"/>
          <w:kern w:val="2"/>
          <w:sz w:val="22"/>
          <w:szCs w:val="22"/>
          <w:highlight w:val="none"/>
          <w:u w:val="single"/>
          <w:lang w:val="en-US" w:eastAsia="zh-CN" w:bidi="ar-SA"/>
        </w:rPr>
        <w:t xml:space="preserve">      </w:t>
      </w:r>
      <w:r>
        <w:rPr>
          <w:rFonts w:hint="eastAsia" w:ascii="新宋体" w:hAnsi="新宋体" w:eastAsia="新宋体" w:cs="新宋体"/>
          <w:b w:val="0"/>
          <w:bCs/>
          <w:color w:val="auto"/>
          <w:kern w:val="2"/>
          <w:sz w:val="22"/>
          <w:szCs w:val="22"/>
          <w:highlight w:val="none"/>
          <w:lang w:val="en-US" w:eastAsia="zh-CN" w:bidi="ar-SA"/>
        </w:rPr>
        <w:t xml:space="preserve"> 元整，小写：￥</w:t>
      </w:r>
      <w:r>
        <w:rPr>
          <w:rFonts w:hint="eastAsia" w:ascii="新宋体" w:hAnsi="新宋体" w:eastAsia="新宋体" w:cs="新宋体"/>
          <w:b w:val="0"/>
          <w:bCs/>
          <w:color w:val="auto"/>
          <w:kern w:val="2"/>
          <w:sz w:val="22"/>
          <w:szCs w:val="22"/>
          <w:highlight w:val="none"/>
          <w:u w:val="single"/>
          <w:lang w:val="en-US" w:eastAsia="zh-CN" w:bidi="ar-SA"/>
        </w:rPr>
        <w:t xml:space="preserve">     </w:t>
      </w:r>
      <w:r>
        <w:rPr>
          <w:rFonts w:hint="eastAsia" w:ascii="新宋体" w:hAnsi="新宋体" w:eastAsia="新宋体" w:cs="新宋体"/>
          <w:b w:val="0"/>
          <w:bCs/>
          <w:color w:val="auto"/>
          <w:kern w:val="2"/>
          <w:sz w:val="22"/>
          <w:szCs w:val="22"/>
          <w:highlight w:val="none"/>
          <w:lang w:val="en-US" w:eastAsia="zh-CN" w:bidi="ar-SA"/>
        </w:rPr>
        <w:t>；日常维养费用：大写：</w:t>
      </w:r>
      <w:r>
        <w:rPr>
          <w:rFonts w:hint="eastAsia" w:ascii="新宋体" w:hAnsi="新宋体" w:eastAsia="新宋体" w:cs="新宋体"/>
          <w:b w:val="0"/>
          <w:bCs/>
          <w:color w:val="auto"/>
          <w:kern w:val="2"/>
          <w:sz w:val="22"/>
          <w:szCs w:val="22"/>
          <w:highlight w:val="none"/>
          <w:u w:val="single"/>
          <w:lang w:val="en-US" w:eastAsia="zh-CN" w:bidi="ar-SA"/>
        </w:rPr>
        <w:t xml:space="preserve">        </w:t>
      </w:r>
      <w:r>
        <w:rPr>
          <w:rFonts w:hint="eastAsia" w:ascii="新宋体" w:hAnsi="新宋体" w:eastAsia="新宋体" w:cs="新宋体"/>
          <w:b w:val="0"/>
          <w:bCs/>
          <w:color w:val="auto"/>
          <w:kern w:val="2"/>
          <w:sz w:val="22"/>
          <w:szCs w:val="22"/>
          <w:highlight w:val="none"/>
          <w:lang w:val="en-US" w:eastAsia="zh-CN" w:bidi="ar-SA"/>
        </w:rPr>
        <w:t>元整，小写：￥</w:t>
      </w:r>
      <w:r>
        <w:rPr>
          <w:rFonts w:hint="eastAsia" w:ascii="新宋体" w:hAnsi="新宋体" w:eastAsia="新宋体" w:cs="新宋体"/>
          <w:b w:val="0"/>
          <w:bCs/>
          <w:color w:val="auto"/>
          <w:kern w:val="2"/>
          <w:sz w:val="22"/>
          <w:szCs w:val="22"/>
          <w:highlight w:val="none"/>
          <w:u w:val="single"/>
          <w:lang w:val="en-US" w:eastAsia="zh-CN" w:bidi="ar-SA"/>
        </w:rPr>
        <w:t xml:space="preserve">     </w:t>
      </w:r>
      <w:r>
        <w:rPr>
          <w:rFonts w:hint="eastAsia" w:ascii="新宋体" w:hAnsi="新宋体" w:eastAsia="新宋体" w:cs="新宋体"/>
          <w:b w:val="0"/>
          <w:bCs/>
          <w:color w:val="auto"/>
          <w:kern w:val="2"/>
          <w:sz w:val="22"/>
          <w:szCs w:val="22"/>
          <w:highlight w:val="none"/>
          <w:lang w:val="en-US" w:eastAsia="zh-CN" w:bidi="ar-SA"/>
        </w:rPr>
        <w:t>；）</w:t>
      </w:r>
    </w:p>
    <w:p w14:paraId="6C3347C1">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除本合同或补充协议明确约定可以另行收取的费用外，所有维养费用均包括在内，乙方不得另行向甲方收取任何费用。</w:t>
      </w:r>
    </w:p>
    <w:p w14:paraId="7924AF4B">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440" w:firstLineChars="200"/>
        <w:textAlignment w:val="auto"/>
        <w:rPr>
          <w:rFonts w:hint="default"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2、付款方式</w:t>
      </w:r>
    </w:p>
    <w:p w14:paraId="36F98A4C">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1.预付款：签订合同后，甲方收到乙方发票后七个工作日内支付合同总价的20%作为预付款。</w:t>
      </w:r>
    </w:p>
    <w:p w14:paraId="6CFE622D">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2.乙方完成合同约定的全部检测工作内容且成果检测报告经评审合格、整改完毕，录入甲方指定系统后，乙方经甲方通知后开具发票，甲方收到发票后七个工作日内支付至检测费用的100%。 </w:t>
      </w:r>
    </w:p>
    <w:p w14:paraId="0F34B850">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3.日常保养费采取固定单价的方式，每个月25日乙方向甲方提交该月的付款申请，乙方经甲方通知后开具发票，甲方收到发票后七个工作日内支付至当月保养费用的95%。</w:t>
      </w:r>
    </w:p>
    <w:p w14:paraId="6F18E88C">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乙方完成合同约定的全部工作内容，甲方根据《温州市政府采购项目履约验收管理办法》对乙方的合同履行情况进行验收和结算且资金拨付到位后，乙方经甲方通知后开具发票，甲方收到发票后七个工作日内一次性结清余款。</w:t>
      </w:r>
    </w:p>
    <w:p w14:paraId="3410507A">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5.关于合同总价调整的约定</w:t>
      </w:r>
    </w:p>
    <w:p w14:paraId="67199279">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（1）费用为包干价，乙方已在报价中综合考虑各项风险费用，报价不予调整。</w:t>
      </w:r>
    </w:p>
    <w:p w14:paraId="369D3960">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rPr>
        <w:t>（2）根据实际情况，需要取消合同检测设施清单中单座设施的全部检测内容的，则甲方与乙方双方应签订联系单或补充协议，相应调整合同总价，作为最终合同结算依据。</w:t>
      </w:r>
    </w:p>
    <w:p w14:paraId="7D152388">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textAlignment w:val="auto"/>
        <w:outlineLvl w:val="1"/>
        <w:rPr>
          <w:rFonts w:hint="eastAsia" w:ascii="新宋体" w:hAnsi="新宋体" w:eastAsia="新宋体" w:cs="新宋体"/>
          <w:b/>
          <w:bCs w:val="0"/>
          <w:color w:val="auto"/>
          <w:kern w:val="2"/>
          <w:sz w:val="22"/>
          <w:szCs w:val="22"/>
          <w:highlight w:val="none"/>
          <w:lang w:val="en-US" w:eastAsia="zh-CN" w:bidi="ar-SA"/>
        </w:rPr>
      </w:pPr>
      <w:r>
        <w:rPr>
          <w:rFonts w:hint="eastAsia" w:ascii="新宋体" w:hAnsi="新宋体" w:eastAsia="新宋体" w:cs="新宋体"/>
          <w:b/>
          <w:bCs w:val="0"/>
          <w:color w:val="auto"/>
          <w:kern w:val="2"/>
          <w:sz w:val="22"/>
          <w:szCs w:val="22"/>
          <w:highlight w:val="none"/>
          <w:lang w:val="en-US" w:eastAsia="zh-CN" w:bidi="ar-SA"/>
        </w:rPr>
        <w:t>八、维养期限</w:t>
      </w:r>
    </w:p>
    <w:p w14:paraId="6B7558C4">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本项目服务期为自合同签订的服务起始日起12个月（自2025年   月   日起至202 年   月   日止）。</w:t>
      </w:r>
    </w:p>
    <w:p w14:paraId="0C089C32">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hint="eastAsia" w:ascii="宋体" w:hAnsi="宋体" w:eastAsia="宋体" w:cs="宋体"/>
          <w:b/>
          <w:color w:val="auto"/>
          <w:sz w:val="22"/>
          <w:szCs w:val="22"/>
          <w:highlight w:val="none"/>
        </w:rPr>
      </w:pPr>
      <w:r>
        <w:rPr>
          <w:rFonts w:hint="eastAsia" w:ascii="新宋体" w:hAnsi="新宋体" w:eastAsia="新宋体" w:cs="新宋体"/>
          <w:b/>
          <w:bCs w:val="0"/>
          <w:color w:val="auto"/>
          <w:kern w:val="2"/>
          <w:sz w:val="22"/>
          <w:szCs w:val="22"/>
          <w:highlight w:val="none"/>
          <w:lang w:val="en-US" w:eastAsia="zh-CN" w:bidi="ar-SA"/>
        </w:rPr>
        <w:t>九、</w:t>
      </w:r>
      <w:bookmarkStart w:id="26" w:name="_Toc103874068"/>
      <w:bookmarkStart w:id="27" w:name="_Toc103179210"/>
      <w:r>
        <w:rPr>
          <w:rFonts w:hint="eastAsia" w:ascii="宋体" w:hAnsi="宋体" w:eastAsia="宋体" w:cs="宋体"/>
          <w:b/>
          <w:color w:val="auto"/>
          <w:sz w:val="22"/>
          <w:szCs w:val="22"/>
          <w:highlight w:val="none"/>
        </w:rPr>
        <w:t>权利和义务</w:t>
      </w:r>
      <w:bookmarkEnd w:id="26"/>
      <w:bookmarkEnd w:id="27"/>
    </w:p>
    <w:p w14:paraId="4E1C3065">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28" w:name="_Toc103874069"/>
      <w:r>
        <w:rPr>
          <w:rFonts w:hint="eastAsia" w:ascii="宋体" w:hAnsi="宋体" w:eastAsia="宋体" w:cs="宋体"/>
          <w:color w:val="auto"/>
          <w:sz w:val="22"/>
          <w:szCs w:val="22"/>
          <w:highlight w:val="none"/>
        </w:rPr>
        <w:t>（一）甲方权利与义务</w:t>
      </w:r>
      <w:bookmarkEnd w:id="28"/>
    </w:p>
    <w:p w14:paraId="23DE3197">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29" w:name="_Toc103874070"/>
      <w:r>
        <w:rPr>
          <w:rFonts w:hint="eastAsia" w:ascii="宋体" w:hAnsi="宋体" w:eastAsia="宋体" w:cs="宋体"/>
          <w:color w:val="auto"/>
          <w:sz w:val="22"/>
          <w:szCs w:val="22"/>
          <w:highlight w:val="none"/>
        </w:rPr>
        <w:t>1、甲方对乙方的瓯越大道接管期保养</w:t>
      </w:r>
      <w:r>
        <w:rPr>
          <w:rFonts w:hint="eastAsia" w:ascii="宋体" w:hAnsi="宋体" w:eastAsia="宋体" w:cs="宋体"/>
          <w:color w:val="auto"/>
          <w:sz w:val="22"/>
          <w:szCs w:val="22"/>
          <w:highlight w:val="none"/>
          <w:lang w:val="en-US" w:eastAsia="zh-CN"/>
        </w:rPr>
        <w:t>业务</w:t>
      </w:r>
      <w:r>
        <w:rPr>
          <w:rFonts w:hint="eastAsia" w:ascii="宋体" w:hAnsi="宋体" w:eastAsia="宋体" w:cs="宋体"/>
          <w:color w:val="auto"/>
          <w:sz w:val="22"/>
          <w:szCs w:val="22"/>
          <w:highlight w:val="none"/>
        </w:rPr>
        <w:t>进行全面的技术指导、检查、管理和考核，对检查中发现的问题及时向乙方提出书面或口头改进意见。</w:t>
      </w:r>
      <w:bookmarkEnd w:id="29"/>
    </w:p>
    <w:p w14:paraId="35E1C36D">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30" w:name="_Toc103874071"/>
      <w:r>
        <w:rPr>
          <w:rFonts w:hint="eastAsia" w:ascii="宋体" w:hAnsi="宋体" w:eastAsia="宋体" w:cs="宋体"/>
          <w:color w:val="auto"/>
          <w:sz w:val="22"/>
          <w:szCs w:val="22"/>
          <w:highlight w:val="none"/>
        </w:rPr>
        <w:t>2、甲方对乙方违反考核标准中规定的行为进行处罚。</w:t>
      </w:r>
      <w:bookmarkEnd w:id="30"/>
    </w:p>
    <w:p w14:paraId="02406728">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31" w:name="_Toc103874072"/>
      <w:r>
        <w:rPr>
          <w:rFonts w:hint="eastAsia" w:ascii="宋体" w:hAnsi="宋体" w:eastAsia="宋体" w:cs="宋体"/>
          <w:color w:val="auto"/>
          <w:sz w:val="22"/>
          <w:szCs w:val="22"/>
          <w:highlight w:val="none"/>
        </w:rPr>
        <w:t>3、甲方监督检查乙方建立并落实日常巡查、设施档案管理、安全生产、应急预案、节日保障等制度。</w:t>
      </w:r>
      <w:bookmarkEnd w:id="31"/>
    </w:p>
    <w:p w14:paraId="3117F3F0">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32" w:name="_Toc103874073"/>
      <w:r>
        <w:rPr>
          <w:rFonts w:hint="eastAsia" w:ascii="宋体" w:hAnsi="宋体" w:eastAsia="宋体" w:cs="宋体"/>
          <w:color w:val="auto"/>
          <w:sz w:val="22"/>
          <w:szCs w:val="22"/>
          <w:highlight w:val="none"/>
        </w:rPr>
        <w:t>4、甲方监督检查乙方对员工进行培训的情况，以提高乙方维护服务水平。</w:t>
      </w:r>
      <w:bookmarkEnd w:id="32"/>
    </w:p>
    <w:p w14:paraId="61125DAF">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33" w:name="_Toc103874075"/>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、甲方可要求乙方调整不合格员工。</w:t>
      </w:r>
      <w:bookmarkEnd w:id="33"/>
    </w:p>
    <w:p w14:paraId="0B68E7A7">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34" w:name="_Toc103874076"/>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、甲方可根据政策的变动并结合实际情况对本项目合同、考核标准进行修改和补充。</w:t>
      </w:r>
      <w:bookmarkEnd w:id="34"/>
    </w:p>
    <w:p w14:paraId="24536204">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35" w:name="_Toc103874077"/>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、甲方应按时支付款项。本合同的经费由政府拨款，如因政策影响，拨款未能及时到位，乙方不得以此为由而不履行本合同规定的义务，否则甲方按</w:t>
      </w:r>
      <w:r>
        <w:rPr>
          <w:rFonts w:hint="eastAsia" w:ascii="宋体" w:hAnsi="宋体" w:eastAsia="宋体" w:cs="宋体"/>
          <w:color w:val="auto"/>
          <w:sz w:val="22"/>
          <w:szCs w:val="22"/>
          <w:highlight w:val="none"/>
          <w:lang w:eastAsia="zh-CN"/>
        </w:rPr>
        <w:t>本合同约</w:t>
      </w:r>
      <w:r>
        <w:rPr>
          <w:rFonts w:hint="eastAsia" w:ascii="宋体" w:hAnsi="宋体" w:eastAsia="宋体" w:cs="宋体"/>
          <w:color w:val="auto"/>
          <w:sz w:val="22"/>
          <w:szCs w:val="22"/>
          <w:highlight w:val="none"/>
        </w:rPr>
        <w:t>定扣罚</w:t>
      </w:r>
      <w:r>
        <w:rPr>
          <w:rFonts w:hint="eastAsia" w:ascii="宋体" w:hAnsi="宋体" w:eastAsia="宋体" w:cs="宋体"/>
          <w:color w:val="auto"/>
          <w:sz w:val="22"/>
          <w:szCs w:val="22"/>
          <w:highlight w:val="none"/>
          <w:lang w:eastAsia="zh-CN"/>
        </w:rPr>
        <w:t>违约金，且乙方</w:t>
      </w:r>
      <w:r>
        <w:rPr>
          <w:rFonts w:hint="eastAsia" w:ascii="宋体" w:hAnsi="宋体" w:eastAsia="宋体" w:cs="宋体"/>
          <w:color w:val="auto"/>
          <w:sz w:val="22"/>
          <w:szCs w:val="22"/>
          <w:highlight w:val="none"/>
        </w:rPr>
        <w:t>不</w:t>
      </w:r>
      <w:r>
        <w:rPr>
          <w:rFonts w:hint="eastAsia" w:ascii="宋体" w:hAnsi="宋体" w:eastAsia="宋体" w:cs="宋体"/>
          <w:color w:val="auto"/>
          <w:sz w:val="22"/>
          <w:szCs w:val="22"/>
          <w:highlight w:val="none"/>
          <w:lang w:eastAsia="zh-CN"/>
        </w:rPr>
        <w:t>可因甲方</w:t>
      </w:r>
      <w:r>
        <w:rPr>
          <w:rFonts w:hint="eastAsia" w:ascii="宋体" w:hAnsi="宋体" w:eastAsia="宋体" w:cs="宋体"/>
          <w:color w:val="auto"/>
          <w:sz w:val="22"/>
          <w:szCs w:val="22"/>
          <w:highlight w:val="none"/>
        </w:rPr>
        <w:t>延期付款的情形要求</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承担逾期付款利息等违约责任。</w:t>
      </w:r>
      <w:bookmarkEnd w:id="35"/>
    </w:p>
    <w:p w14:paraId="000B2608">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36" w:name="_Toc103874078"/>
      <w:r>
        <w:rPr>
          <w:rFonts w:hint="eastAsia" w:ascii="宋体" w:hAnsi="宋体" w:eastAsia="宋体" w:cs="宋体"/>
          <w:color w:val="auto"/>
          <w:sz w:val="22"/>
          <w:szCs w:val="22"/>
          <w:highlight w:val="none"/>
        </w:rPr>
        <w:t>（二）乙方权利和义务</w:t>
      </w:r>
      <w:bookmarkEnd w:id="36"/>
    </w:p>
    <w:p w14:paraId="3489581C">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37" w:name="_Toc103874079"/>
      <w:r>
        <w:rPr>
          <w:rFonts w:hint="eastAsia" w:ascii="宋体" w:hAnsi="宋体" w:eastAsia="宋体" w:cs="宋体"/>
          <w:color w:val="auto"/>
          <w:sz w:val="22"/>
          <w:szCs w:val="22"/>
          <w:highlight w:val="none"/>
        </w:rPr>
        <w:t>1、乙方有权根据合同领取维养经费。</w:t>
      </w:r>
      <w:bookmarkEnd w:id="37"/>
    </w:p>
    <w:p w14:paraId="18BFDF36">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38" w:name="_Toc103874080"/>
      <w:r>
        <w:rPr>
          <w:rFonts w:hint="eastAsia" w:ascii="宋体" w:hAnsi="宋体" w:eastAsia="宋体" w:cs="宋体"/>
          <w:color w:val="auto"/>
          <w:sz w:val="22"/>
          <w:szCs w:val="22"/>
          <w:highlight w:val="none"/>
        </w:rPr>
        <w:t>2、乙方有权对管理工作提出建议。</w:t>
      </w:r>
      <w:bookmarkEnd w:id="38"/>
    </w:p>
    <w:p w14:paraId="2DEB8730">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39" w:name="_Toc103874081"/>
      <w:r>
        <w:rPr>
          <w:rFonts w:hint="eastAsia" w:ascii="宋体" w:hAnsi="宋体" w:eastAsia="宋体" w:cs="宋体"/>
          <w:color w:val="auto"/>
          <w:sz w:val="22"/>
          <w:szCs w:val="22"/>
          <w:highlight w:val="none"/>
        </w:rPr>
        <w:t>3、乙方履行承诺的义务，并参加由甲方组织的检查和综合考评；乙方应接受甲方的检查监督及指导。</w:t>
      </w:r>
      <w:bookmarkEnd w:id="39"/>
    </w:p>
    <w:p w14:paraId="031999FB">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40" w:name="_Toc103874082"/>
      <w:r>
        <w:rPr>
          <w:rFonts w:hint="eastAsia" w:ascii="宋体" w:hAnsi="宋体" w:eastAsia="宋体" w:cs="宋体"/>
          <w:color w:val="auto"/>
          <w:sz w:val="22"/>
          <w:szCs w:val="22"/>
          <w:highlight w:val="none"/>
        </w:rPr>
        <w:t>4、乙方应按规范要求对维养范围内道路、桥梁的设施主体、附属设施情况及设施安全保护区域内施工作业情况实施一日一巡，特殊情况需加密巡查。巡查过程中乙方发现问题应及时上报甲方，并采取有效措施进行处理。</w:t>
      </w:r>
      <w:bookmarkEnd w:id="40"/>
    </w:p>
    <w:p w14:paraId="655C3012">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41" w:name="_Toc103874083"/>
      <w:r>
        <w:rPr>
          <w:rFonts w:hint="eastAsia" w:ascii="宋体" w:hAnsi="宋体" w:eastAsia="宋体" w:cs="宋体"/>
          <w:color w:val="auto"/>
          <w:sz w:val="22"/>
          <w:szCs w:val="22"/>
          <w:highlight w:val="none"/>
        </w:rPr>
        <w:t>5、按甲方的要求时限和内容开展维养作业，如有改变，乙方应提出书面申请，并征得甲方的书面同意。</w:t>
      </w:r>
      <w:bookmarkEnd w:id="41"/>
    </w:p>
    <w:p w14:paraId="27EC5EFC">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42" w:name="_Toc103874084"/>
      <w:r>
        <w:rPr>
          <w:rFonts w:hint="eastAsia" w:ascii="宋体" w:hAnsi="宋体" w:eastAsia="宋体" w:cs="宋体"/>
          <w:color w:val="auto"/>
          <w:sz w:val="22"/>
          <w:szCs w:val="22"/>
          <w:highlight w:val="none"/>
        </w:rPr>
        <w:t>6、特殊情况下（台风、暴雨和冰雪等），乙方除应做好管辖地段保护工作外，还应服从甲方的统一指挥和调动，参加抢险救灾工作。</w:t>
      </w:r>
      <w:bookmarkEnd w:id="42"/>
      <w:r>
        <w:rPr>
          <w:rFonts w:hint="eastAsia" w:ascii="宋体" w:hAnsi="宋体" w:eastAsia="宋体" w:cs="宋体"/>
          <w:color w:val="auto"/>
          <w:sz w:val="22"/>
          <w:szCs w:val="22"/>
          <w:highlight w:val="none"/>
        </w:rPr>
        <w:t xml:space="preserve"> </w:t>
      </w:r>
    </w:p>
    <w:p w14:paraId="101BEA7A">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43" w:name="_Toc103874085"/>
      <w:r>
        <w:rPr>
          <w:rFonts w:hint="eastAsia" w:ascii="宋体" w:hAnsi="宋体" w:eastAsia="宋体" w:cs="宋体"/>
          <w:color w:val="auto"/>
          <w:sz w:val="22"/>
          <w:szCs w:val="22"/>
          <w:highlight w:val="none"/>
        </w:rPr>
        <w:t>7、乙方应按甲方要求，为上岗工人购买统一的反光背心。</w:t>
      </w:r>
      <w:bookmarkEnd w:id="43"/>
    </w:p>
    <w:p w14:paraId="37018C28">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44" w:name="_Toc103874086"/>
      <w:r>
        <w:rPr>
          <w:rFonts w:hint="eastAsia" w:ascii="宋体" w:hAnsi="宋体" w:eastAsia="宋体" w:cs="宋体"/>
          <w:color w:val="auto"/>
          <w:sz w:val="22"/>
          <w:szCs w:val="22"/>
          <w:highlight w:val="none"/>
        </w:rPr>
        <w:t>8、负责提供本项目所需的全部工具、设备和材料。</w:t>
      </w:r>
      <w:bookmarkEnd w:id="44"/>
    </w:p>
    <w:p w14:paraId="1A3F7BA7">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45" w:name="_Toc103874087"/>
      <w:r>
        <w:rPr>
          <w:rFonts w:hint="eastAsia" w:ascii="宋体" w:hAnsi="宋体" w:eastAsia="宋体" w:cs="宋体"/>
          <w:color w:val="auto"/>
          <w:sz w:val="22"/>
          <w:szCs w:val="22"/>
          <w:highlight w:val="none"/>
        </w:rPr>
        <w:t>9、乙方负责安排骨干参加业务技术的培训学习。</w:t>
      </w:r>
      <w:bookmarkEnd w:id="45"/>
    </w:p>
    <w:p w14:paraId="318EF892">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46" w:name="_Toc103874088"/>
      <w:r>
        <w:rPr>
          <w:rFonts w:hint="eastAsia" w:ascii="宋体" w:hAnsi="宋体" w:eastAsia="宋体" w:cs="宋体"/>
          <w:color w:val="auto"/>
          <w:sz w:val="22"/>
          <w:szCs w:val="22"/>
          <w:highlight w:val="none"/>
        </w:rPr>
        <w:t>10、维养期内由于施工作业或维养未到位造成的安全事故，其处理和一切费用由乙方负责，并承担事故的所有责任。</w:t>
      </w:r>
      <w:bookmarkEnd w:id="46"/>
    </w:p>
    <w:p w14:paraId="39D6A4A7">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47" w:name="_Toc103874089"/>
      <w:r>
        <w:rPr>
          <w:rFonts w:hint="eastAsia" w:ascii="宋体" w:hAnsi="宋体" w:eastAsia="宋体" w:cs="宋体"/>
          <w:color w:val="auto"/>
          <w:sz w:val="22"/>
          <w:szCs w:val="22"/>
          <w:highlight w:val="none"/>
        </w:rPr>
        <w:t>11、乙方应严格遵守国家法律、法规的规定，做好社会治安综合治理和计划生育等工作，不得违反国家法律、法规和温州市的有关规定。</w:t>
      </w:r>
      <w:bookmarkEnd w:id="47"/>
    </w:p>
    <w:p w14:paraId="2AAAF4B6">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48" w:name="_Toc103874090"/>
      <w:r>
        <w:rPr>
          <w:rFonts w:hint="eastAsia" w:ascii="宋体" w:hAnsi="宋体" w:eastAsia="宋体" w:cs="宋体"/>
          <w:color w:val="auto"/>
          <w:sz w:val="22"/>
          <w:szCs w:val="22"/>
          <w:highlight w:val="none"/>
        </w:rPr>
        <w:t>12、在合同期内，因城市建设需要调整乙方管理任务和管理级别时，乙方要服从大局，相应增减承包面积及经费。由此造成的经济损失，甲方不负赔偿责任。</w:t>
      </w:r>
      <w:bookmarkEnd w:id="48"/>
    </w:p>
    <w:p w14:paraId="2BA18403">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49" w:name="_Toc103874091"/>
      <w:r>
        <w:rPr>
          <w:rFonts w:hint="eastAsia" w:ascii="宋体" w:hAnsi="宋体" w:eastAsia="宋体" w:cs="宋体"/>
          <w:color w:val="auto"/>
          <w:sz w:val="22"/>
          <w:szCs w:val="22"/>
          <w:highlight w:val="none"/>
        </w:rPr>
        <w:t>13、乙方应遵守法律、法规和政策的规定，因以上原因使合同性质发生改变，甲方不负赔偿责任。</w:t>
      </w:r>
      <w:bookmarkEnd w:id="49"/>
    </w:p>
    <w:p w14:paraId="6C3AFAC4">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50" w:name="_Toc103874092"/>
      <w:r>
        <w:rPr>
          <w:rFonts w:hint="eastAsia" w:ascii="宋体" w:hAnsi="宋体" w:eastAsia="宋体" w:cs="宋体"/>
          <w:color w:val="auto"/>
          <w:sz w:val="22"/>
          <w:szCs w:val="22"/>
          <w:highlight w:val="none"/>
        </w:rPr>
        <w:t>14.乙方应建立并落实日常巡查、设施档案管理、安全生产、应急预案、节日保障等制度，成立应急抢险及服务保障领导小组和队伍；常备人员、车辆、机械设备以及应急物资，并定期组织演练。</w:t>
      </w:r>
      <w:bookmarkEnd w:id="50"/>
    </w:p>
    <w:p w14:paraId="57B79232">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51" w:name="_Toc103874093"/>
      <w:r>
        <w:rPr>
          <w:rFonts w:hint="eastAsia" w:ascii="宋体" w:hAnsi="宋体" w:eastAsia="宋体" w:cs="宋体"/>
          <w:color w:val="auto"/>
          <w:sz w:val="22"/>
          <w:szCs w:val="22"/>
          <w:highlight w:val="none"/>
        </w:rPr>
        <w:t>15.乙方有责任发现并及时制止本次招标范围内所有设施遭意外事故或人为等因素导致的损坏和侵害，做好调查、赔偿、修复等工作，并通知甲方和相关部门。对在养护范围内，本次招标范围外的设施（如随桥（路）管线、井盖、标志标线等），有巡查、告知的责任。</w:t>
      </w:r>
      <w:bookmarkEnd w:id="51"/>
    </w:p>
    <w:p w14:paraId="003DB8EC">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52" w:name="_Toc103874094"/>
      <w:r>
        <w:rPr>
          <w:rFonts w:hint="eastAsia" w:ascii="宋体" w:hAnsi="宋体" w:eastAsia="宋体" w:cs="宋体"/>
          <w:color w:val="auto"/>
          <w:sz w:val="22"/>
          <w:szCs w:val="22"/>
          <w:highlight w:val="none"/>
        </w:rPr>
        <w:t>16、档案资料：以单座设施为单位建立养护档案，健全日常养护、巡查等作业的文字和影像记录，做好台帐的整理和归档工作，建立养护活动“追溯机制”，以备检查。每年底对日常维养、特殊情况、突发事件、服务保障、指定维修、应急保障等工作进行总结，形成年度养护报告和设施运行报告并存档。（详见《台账资料整理规定》）</w:t>
      </w:r>
      <w:bookmarkEnd w:id="52"/>
    </w:p>
    <w:p w14:paraId="095C7568">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3" w:firstLineChars="300"/>
        <w:textAlignment w:val="auto"/>
        <w:outlineLvl w:val="9"/>
        <w:rPr>
          <w:rFonts w:hint="eastAsia" w:ascii="新宋体" w:hAnsi="新宋体" w:eastAsia="新宋体" w:cs="新宋体"/>
          <w:b w:val="0"/>
          <w:bCs/>
          <w:color w:val="auto"/>
          <w:kern w:val="2"/>
          <w:sz w:val="22"/>
          <w:szCs w:val="22"/>
          <w:highlight w:val="none"/>
          <w:lang w:val="en-US" w:eastAsia="zh-CN" w:bidi="ar-SA"/>
        </w:rPr>
      </w:pPr>
      <w:bookmarkStart w:id="53" w:name="_Toc103874095"/>
      <w:r>
        <w:rPr>
          <w:rFonts w:hint="eastAsia" w:ascii="宋体" w:hAnsi="宋体" w:eastAsia="宋体" w:cs="宋体"/>
          <w:color w:val="auto"/>
          <w:sz w:val="22"/>
          <w:szCs w:val="22"/>
          <w:highlight w:val="none"/>
        </w:rPr>
        <w:t>17、乙方应运用</w:t>
      </w:r>
      <w:r>
        <w:rPr>
          <w:rFonts w:hint="eastAsia" w:ascii="宋体" w:hAnsi="宋体" w:eastAsia="宋体" w:cs="宋体"/>
          <w:color w:val="auto"/>
          <w:sz w:val="22"/>
          <w:szCs w:val="22"/>
          <w:highlight w:val="none"/>
          <w:lang w:val="en-US" w:eastAsia="zh-CN"/>
        </w:rPr>
        <w:t>甲方指定</w:t>
      </w:r>
      <w:r>
        <w:rPr>
          <w:rFonts w:hint="eastAsia" w:ascii="宋体" w:hAnsi="宋体" w:eastAsia="宋体" w:cs="宋体"/>
          <w:color w:val="auto"/>
          <w:sz w:val="22"/>
          <w:szCs w:val="22"/>
          <w:highlight w:val="none"/>
        </w:rPr>
        <w:t>系统开展日常维养工作。</w:t>
      </w:r>
      <w:bookmarkEnd w:id="53"/>
    </w:p>
    <w:p w14:paraId="6DD5AEC7">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textAlignment w:val="auto"/>
        <w:outlineLvl w:val="1"/>
        <w:rPr>
          <w:rFonts w:hint="eastAsia" w:ascii="新宋体" w:hAnsi="新宋体" w:eastAsia="新宋体" w:cs="新宋体"/>
          <w:b/>
          <w:bCs w:val="0"/>
          <w:color w:val="auto"/>
          <w:kern w:val="2"/>
          <w:sz w:val="22"/>
          <w:szCs w:val="22"/>
          <w:highlight w:val="none"/>
          <w:lang w:val="en-US" w:eastAsia="zh-CN" w:bidi="ar-SA"/>
        </w:rPr>
      </w:pPr>
      <w:r>
        <w:rPr>
          <w:rFonts w:hint="eastAsia" w:ascii="新宋体" w:hAnsi="新宋体" w:eastAsia="新宋体" w:cs="新宋体"/>
          <w:b/>
          <w:bCs w:val="0"/>
          <w:color w:val="auto"/>
          <w:kern w:val="2"/>
          <w:sz w:val="22"/>
          <w:szCs w:val="22"/>
          <w:highlight w:val="none"/>
          <w:lang w:val="en-US" w:eastAsia="zh-CN" w:bidi="ar-SA"/>
        </w:rPr>
        <w:t>十、验收标准</w:t>
      </w:r>
    </w:p>
    <w:p w14:paraId="49C77D80">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一）在乙方完成全部养护任务并提交符合要求的台账资料后的7个工作日内，由甲方组织相关单位对项目履行情况进行验收。验收管理办法按《温州市政府采购履约验收办法》、《温州市深化政府采购履约验收改革工作方案》执行。</w:t>
      </w:r>
    </w:p>
    <w:p w14:paraId="036C37D7">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（二）组织验收时，根据《温州市政府采购履约验收办法》组织验收小组，验收小组依据验收情况，出具验收报告。</w:t>
      </w:r>
    </w:p>
    <w:p w14:paraId="75BCB7BD">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 xml:space="preserve">（三）验收时乙方必须到场。 </w:t>
      </w:r>
    </w:p>
    <w:p w14:paraId="132D5AB5">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（四）验收标准：达到本合同维养质量标准要求。</w:t>
      </w:r>
    </w:p>
    <w:p w14:paraId="3F81EA30">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textAlignment w:val="auto"/>
        <w:outlineLvl w:val="1"/>
        <w:rPr>
          <w:rFonts w:hint="eastAsia" w:ascii="新宋体" w:hAnsi="新宋体" w:eastAsia="新宋体" w:cs="新宋体"/>
          <w:b/>
          <w:bCs w:val="0"/>
          <w:color w:val="auto"/>
          <w:kern w:val="2"/>
          <w:sz w:val="22"/>
          <w:szCs w:val="22"/>
          <w:highlight w:val="none"/>
          <w:lang w:val="en-US" w:eastAsia="zh-CN" w:bidi="ar-SA"/>
        </w:rPr>
      </w:pPr>
      <w:r>
        <w:rPr>
          <w:rFonts w:hint="eastAsia" w:ascii="新宋体" w:hAnsi="新宋体" w:eastAsia="新宋体" w:cs="新宋体"/>
          <w:b/>
          <w:bCs w:val="0"/>
          <w:color w:val="auto"/>
          <w:kern w:val="2"/>
          <w:sz w:val="22"/>
          <w:szCs w:val="22"/>
          <w:highlight w:val="none"/>
          <w:lang w:val="en-US" w:eastAsia="zh-CN" w:bidi="ar-SA"/>
        </w:rPr>
        <w:t>十一、争议处理</w:t>
      </w:r>
    </w:p>
    <w:p w14:paraId="5D3C43AD">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1、合同在履行过程中发生争议时，甲乙双方及时协商解决。协商不成时，提请温州仲裁委员会根据仲裁规则仲裁。</w:t>
      </w:r>
    </w:p>
    <w:p w14:paraId="5F829884">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2、对于因违反或终止合同而引起的损失、损害的赔偿，由甲乙双方友好协商解决，经协商仍未能达成一致的，可向当地人民法院提起诉讼。</w:t>
      </w:r>
    </w:p>
    <w:p w14:paraId="2A5F96CE">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textAlignment w:val="auto"/>
        <w:outlineLvl w:val="1"/>
        <w:rPr>
          <w:rFonts w:hint="eastAsia" w:ascii="新宋体" w:hAnsi="新宋体" w:eastAsia="新宋体" w:cs="新宋体"/>
          <w:b/>
          <w:bCs w:val="0"/>
          <w:color w:val="auto"/>
          <w:kern w:val="2"/>
          <w:sz w:val="22"/>
          <w:szCs w:val="22"/>
          <w:highlight w:val="none"/>
          <w:lang w:val="en-US" w:eastAsia="zh-CN" w:bidi="ar-SA"/>
        </w:rPr>
      </w:pPr>
      <w:r>
        <w:rPr>
          <w:rFonts w:hint="eastAsia" w:ascii="新宋体" w:hAnsi="新宋体" w:eastAsia="新宋体" w:cs="新宋体"/>
          <w:b/>
          <w:bCs w:val="0"/>
          <w:color w:val="auto"/>
          <w:kern w:val="2"/>
          <w:sz w:val="22"/>
          <w:szCs w:val="22"/>
          <w:highlight w:val="none"/>
          <w:lang w:val="en-US" w:eastAsia="zh-CN" w:bidi="ar-SA"/>
        </w:rPr>
        <w:t>十二、其他</w:t>
      </w:r>
    </w:p>
    <w:p w14:paraId="075E8445">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（一）履约保证金</w:t>
      </w:r>
    </w:p>
    <w:p w14:paraId="0685AF48">
      <w:pPr>
        <w:spacing w:line="360" w:lineRule="auto"/>
        <w:ind w:firstLine="539" w:firstLineChars="245"/>
        <w:rPr>
          <w:rFonts w:hint="eastAsia" w:ascii="新宋体" w:hAnsi="新宋体" w:eastAsia="新宋体" w:cs="新宋体"/>
          <w:b w:val="0"/>
          <w:bCs/>
          <w:color w:val="auto"/>
          <w:kern w:val="2"/>
          <w:sz w:val="22"/>
          <w:szCs w:val="22"/>
          <w:highlight w:val="none"/>
          <w:lang w:val="en-US" w:eastAsia="zh-CN" w:bidi="ar-SA"/>
        </w:rPr>
      </w:pPr>
      <w:r>
        <w:rPr>
          <w:rFonts w:hint="eastAsia" w:ascii="宋体" w:hAnsi="宋体" w:cs="宋体"/>
          <w:color w:val="auto"/>
          <w:kern w:val="0"/>
          <w:sz w:val="22"/>
          <w:szCs w:val="22"/>
          <w:highlight w:val="none"/>
        </w:rPr>
        <w:t>乙方在合同签订后7个工作日内向甲方支付合同总额的1%作为履约保证金（银行转账、银行或保险机构出具的保函、保险等形式）。</w:t>
      </w:r>
    </w:p>
    <w:p w14:paraId="2DC08573">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1、如乙方未能履行合同规定的任何义务给甲方造成直接或间接损失的，甲方有权直接从履约保证金或履约保函中扣除，不足部分另行追索违约赔偿。</w:t>
      </w:r>
    </w:p>
    <w:p w14:paraId="4E82E381">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2、如果乙方毫无理由地拖延或拒绝履行合同规定的任何义务，经催告后在合理期限内仍不履行的，甲方有权没收全部履约保证金或履约保函，并另行追索违约赔偿金。</w:t>
      </w:r>
    </w:p>
    <w:p w14:paraId="45280481">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3、乙方提供的服务须和投标文件中所承诺的相符（合同中另有规定除外），如不符，并造成较大损失的，甲方有权从履约保证金或履约保函中扣除，不足部分另行追索违约赔偿。</w:t>
      </w:r>
    </w:p>
    <w:p w14:paraId="3A0601A4">
      <w:pPr>
        <w:pStyle w:val="28"/>
        <w:widowControl w:val="0"/>
        <w:shd w:val="clear" w:color="auto" w:fill="auto"/>
        <w:overflowPunct/>
        <w:autoSpaceDE/>
        <w:autoSpaceDN/>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rPr>
      </w:pPr>
      <w:r>
        <w:rPr>
          <w:rFonts w:hint="eastAsia" w:ascii="新宋体" w:hAnsi="新宋体" w:eastAsia="新宋体" w:cs="新宋体"/>
          <w:b w:val="0"/>
          <w:bCs/>
          <w:color w:val="auto"/>
          <w:kern w:val="2"/>
          <w:sz w:val="22"/>
          <w:szCs w:val="22"/>
          <w:highlight w:val="none"/>
          <w:lang w:val="en-US" w:eastAsia="zh-CN" w:bidi="ar-SA"/>
        </w:rPr>
        <w:t>（二）退出机制：如遇相关政策调整或其他不确定因素发生，</w:t>
      </w:r>
      <w:r>
        <w:rPr>
          <w:rFonts w:hint="eastAsia" w:ascii="新宋体" w:hAnsi="新宋体" w:eastAsia="新宋体" w:cs="新宋体"/>
          <w:b w:val="0"/>
          <w:bCs/>
          <w:color w:val="auto"/>
          <w:kern w:val="2"/>
          <w:sz w:val="22"/>
          <w:szCs w:val="22"/>
          <w:highlight w:val="none"/>
          <w:lang w:val="en-US" w:eastAsia="zh-CN"/>
        </w:rPr>
        <w:t>经双方协商一致，合同可提前终止。</w:t>
      </w:r>
    </w:p>
    <w:p w14:paraId="65F336B2">
      <w:pPr>
        <w:pStyle w:val="28"/>
        <w:widowControl w:val="0"/>
        <w:shd w:val="clear" w:color="auto" w:fill="auto"/>
        <w:overflowPunct/>
        <w:autoSpaceDE/>
        <w:autoSpaceDN/>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（三）本合同在履行过程中如有未尽事宜或需变更合同内容，双方可另行签定补充协议，与合同具有相同的法律效力。</w:t>
      </w:r>
    </w:p>
    <w:p w14:paraId="281FF61D">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（四）在合同履约过程中，双方如发生争议，应当协商解决，协商不成的，提请温州市仲裁委员会仲裁。</w:t>
      </w:r>
    </w:p>
    <w:p w14:paraId="512F06AC">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（五）本合同自双方法定代表人签字、加盖单位公章后生效，合同期满后失效。</w:t>
      </w:r>
    </w:p>
    <w:p w14:paraId="43D9ED4A">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（六）合同经双方法定代表人或授权代表签字并加盖单位公章后生效。</w:t>
      </w:r>
    </w:p>
    <w:p w14:paraId="35631B68">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（七）具体表单详见附件内容。</w:t>
      </w:r>
    </w:p>
    <w:p w14:paraId="36CD4AE5">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（八）本合同未尽事宜，遵照《民法典》有关条文执行。</w:t>
      </w:r>
    </w:p>
    <w:p w14:paraId="4B7018EA">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（九）本合同一式捌份，具同等法律效力，甲乙双方各执肆份。</w:t>
      </w:r>
    </w:p>
    <w:p w14:paraId="61B4DAD7">
      <w:pPr>
        <w:pStyle w:val="22"/>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仿宋" w:hAnsi="仿宋" w:eastAsia="仿宋" w:cs="仿宋"/>
          <w:b w:val="0"/>
          <w:bCs/>
          <w:color w:val="auto"/>
          <w:spacing w:val="4"/>
          <w:kern w:val="0"/>
          <w:sz w:val="22"/>
          <w:szCs w:val="22"/>
          <w:highlight w:val="none"/>
        </w:rPr>
      </w:pPr>
    </w:p>
    <w:p w14:paraId="3F823FE2">
      <w:pPr>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color w:val="auto"/>
          <w:sz w:val="22"/>
          <w:szCs w:val="22"/>
          <w:highlight w:val="none"/>
        </w:rPr>
        <w:t>甲方名称：</w:t>
      </w:r>
      <w:r>
        <w:rPr>
          <w:rFonts w:hint="eastAsia" w:ascii="宋体" w:hAnsi="宋体" w:eastAsia="宋体" w:cs="宋体"/>
          <w:b w:val="0"/>
          <w:bCs/>
          <w:color w:val="auto"/>
          <w:kern w:val="2"/>
          <w:sz w:val="22"/>
          <w:szCs w:val="22"/>
          <w:highlight w:val="none"/>
          <w:lang w:val="en-US" w:eastAsia="zh-CN" w:bidi="ar-SA"/>
        </w:rPr>
        <w:t>温州市市政管理中心（盖章）</w:t>
      </w:r>
      <w:r>
        <w:rPr>
          <w:rFonts w:hint="eastAsia" w:ascii="宋体" w:hAnsi="宋体" w:eastAsia="宋体" w:cs="宋体"/>
          <w:color w:val="auto"/>
          <w:sz w:val="22"/>
          <w:szCs w:val="22"/>
          <w:highlight w:val="none"/>
          <w:lang w:val="en-US" w:eastAsia="zh-CN"/>
        </w:rPr>
        <w:t xml:space="preserve">      </w:t>
      </w:r>
    </w:p>
    <w:p w14:paraId="5F8F6BC1">
      <w:pPr>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授权代表：（签字）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w:t>
      </w:r>
    </w:p>
    <w:p w14:paraId="30544F0A">
      <w:pPr>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地址：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w:t>
      </w:r>
    </w:p>
    <w:p w14:paraId="2D631D74">
      <w:pPr>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邮政编码：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w:t>
      </w:r>
    </w:p>
    <w:p w14:paraId="418981D9">
      <w:pPr>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电话：                            </w:t>
      </w:r>
      <w:r>
        <w:rPr>
          <w:rFonts w:hint="eastAsia" w:ascii="宋体" w:hAnsi="宋体" w:eastAsia="宋体" w:cs="宋体"/>
          <w:color w:val="auto"/>
          <w:sz w:val="22"/>
          <w:szCs w:val="22"/>
          <w:highlight w:val="none"/>
          <w:lang w:val="en-US" w:eastAsia="zh-CN"/>
        </w:rPr>
        <w:t xml:space="preserve">        </w:t>
      </w:r>
    </w:p>
    <w:p w14:paraId="23E33D78">
      <w:pPr>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传真：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p>
    <w:p w14:paraId="2FBAD7D8">
      <w:pPr>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日期：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w:t>
      </w:r>
    </w:p>
    <w:p w14:paraId="77A6BDD3">
      <w:pPr>
        <w:pStyle w:val="22"/>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lang w:val="en-US" w:eastAsia="zh-CN"/>
        </w:rPr>
      </w:pPr>
    </w:p>
    <w:p w14:paraId="30B3BBC4">
      <w:pPr>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乙</w:t>
      </w:r>
      <w:r>
        <w:rPr>
          <w:rFonts w:hint="eastAsia" w:ascii="宋体" w:hAnsi="宋体" w:eastAsia="宋体" w:cs="宋体"/>
          <w:color w:val="auto"/>
          <w:sz w:val="22"/>
          <w:szCs w:val="22"/>
          <w:highlight w:val="none"/>
        </w:rPr>
        <w:t>方名称：（盖章）</w:t>
      </w:r>
    </w:p>
    <w:p w14:paraId="0D72AF0C">
      <w:pPr>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授权代表：（签字）</w:t>
      </w:r>
    </w:p>
    <w:p w14:paraId="685D00EB">
      <w:pPr>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p>
    <w:p w14:paraId="0C7D40F6">
      <w:pPr>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p w14:paraId="103411AB">
      <w:pPr>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p w14:paraId="16489FF4">
      <w:pPr>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p w14:paraId="3BA46D34">
      <w:pPr>
        <w:pStyle w:val="52"/>
        <w:keepNext w:val="0"/>
        <w:keepLines w:val="0"/>
        <w:pageBreakBefore w:val="0"/>
        <w:widowControl w:val="0"/>
        <w:shd w:val="clear" w:color="auto" w:fill="auto"/>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14:paraId="7A43A4A6">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注：本合同作为示范文本，具体以</w:t>
      </w:r>
      <w:r>
        <w:rPr>
          <w:rFonts w:hint="eastAsia" w:ascii="宋体" w:hAnsi="宋体" w:eastAsia="宋体" w:cs="宋体"/>
          <w:bCs/>
          <w:color w:val="auto"/>
          <w:sz w:val="22"/>
          <w:szCs w:val="22"/>
          <w:highlight w:val="none"/>
          <w:lang w:eastAsia="zh-CN"/>
        </w:rPr>
        <w:t>中标供应商</w:t>
      </w:r>
      <w:r>
        <w:rPr>
          <w:rFonts w:hint="eastAsia" w:ascii="宋体" w:hAnsi="宋体" w:eastAsia="宋体" w:cs="宋体"/>
          <w:bCs/>
          <w:color w:val="auto"/>
          <w:sz w:val="22"/>
          <w:szCs w:val="22"/>
          <w:highlight w:val="none"/>
        </w:rPr>
        <w:t>与采购人所签定正式合同为准</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采购文件中采购需求与合同内容有矛盾的，以采购需求为准</w:t>
      </w:r>
      <w:r>
        <w:rPr>
          <w:rFonts w:hint="eastAsia" w:ascii="宋体" w:hAnsi="宋体" w:eastAsia="宋体" w:cs="宋体"/>
          <w:bCs/>
          <w:color w:val="auto"/>
          <w:sz w:val="22"/>
          <w:szCs w:val="22"/>
          <w:highlight w:val="none"/>
        </w:rPr>
        <w:t>。</w:t>
      </w:r>
    </w:p>
    <w:p w14:paraId="282C85E1">
      <w:pPr>
        <w:rPr>
          <w:color w:val="auto"/>
          <w:sz w:val="22"/>
          <w:szCs w:val="22"/>
          <w:highlight w:val="none"/>
        </w:rPr>
      </w:pPr>
    </w:p>
    <w:p w14:paraId="7FCBCEC9">
      <w:pPr>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14:paraId="7A197DFB">
      <w:pPr>
        <w:keepNext w:val="0"/>
        <w:keepLines w:val="0"/>
        <w:pageBreakBefore w:val="0"/>
        <w:widowControl/>
        <w:kinsoku/>
        <w:wordWrap/>
        <w:overflowPunct/>
        <w:topLinePunct w:val="0"/>
        <w:autoSpaceDE w:val="0"/>
        <w:autoSpaceDN w:val="0"/>
        <w:bidi w:val="0"/>
        <w:adjustRightInd/>
        <w:snapToGrid w:val="0"/>
        <w:spacing w:line="460" w:lineRule="exact"/>
        <w:textAlignment w:val="bottom"/>
        <w:outlineLvl w:val="2"/>
        <w:rPr>
          <w:rFonts w:hint="eastAsia" w:ascii="宋体" w:hAnsi="宋体" w:eastAsia="宋体" w:cs="宋体"/>
          <w:b/>
          <w:bCs/>
          <w:color w:val="auto"/>
          <w:sz w:val="22"/>
          <w:szCs w:val="22"/>
          <w:highlight w:val="none"/>
        </w:rPr>
      </w:pPr>
      <w:bookmarkStart w:id="54" w:name="_Toc19081"/>
      <w:bookmarkStart w:id="55" w:name="_Toc18439"/>
      <w:r>
        <w:rPr>
          <w:rFonts w:hint="eastAsia" w:ascii="宋体" w:hAnsi="宋体" w:eastAsia="宋体" w:cs="宋体"/>
          <w:b/>
          <w:bCs/>
          <w:color w:val="auto"/>
          <w:sz w:val="22"/>
          <w:szCs w:val="22"/>
          <w:highlight w:val="none"/>
        </w:rPr>
        <w:t xml:space="preserve">表1  </w:t>
      </w:r>
      <w:r>
        <w:rPr>
          <w:rFonts w:hint="eastAsia" w:ascii="宋体" w:hAnsi="宋体" w:cs="宋体"/>
          <w:b/>
          <w:bCs/>
          <w:color w:val="auto"/>
          <w:sz w:val="22"/>
          <w:szCs w:val="22"/>
          <w:highlight w:val="none"/>
          <w:lang w:val="en-US" w:eastAsia="zh-CN"/>
        </w:rPr>
        <w:t xml:space="preserve">  </w:t>
      </w:r>
      <w:r>
        <w:rPr>
          <w:rFonts w:hint="eastAsia" w:ascii="宋体" w:hAnsi="宋体" w:eastAsia="宋体" w:cs="宋体"/>
          <w:b/>
          <w:bCs/>
          <w:color w:val="auto"/>
          <w:sz w:val="22"/>
          <w:szCs w:val="22"/>
          <w:highlight w:val="none"/>
          <w:lang w:eastAsia="zh-CN"/>
        </w:rPr>
        <w:t>日常巡查及保养</w:t>
      </w:r>
      <w:r>
        <w:rPr>
          <w:rFonts w:hint="eastAsia" w:ascii="宋体" w:hAnsi="宋体" w:eastAsia="宋体" w:cs="宋体"/>
          <w:b/>
          <w:bCs/>
          <w:color w:val="auto"/>
          <w:sz w:val="22"/>
          <w:szCs w:val="22"/>
          <w:highlight w:val="none"/>
        </w:rPr>
        <w:t>作业内容及要求</w:t>
      </w:r>
    </w:p>
    <w:tbl>
      <w:tblPr>
        <w:tblStyle w:val="53"/>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529"/>
        <w:gridCol w:w="1314"/>
        <w:gridCol w:w="6018"/>
        <w:gridCol w:w="760"/>
      </w:tblGrid>
      <w:tr w14:paraId="676D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2607FD40">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14:paraId="0DB568A9">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6018" w:type="dxa"/>
            <w:tcBorders>
              <w:top w:val="single" w:color="auto" w:sz="4" w:space="0"/>
              <w:left w:val="single" w:color="auto" w:sz="4" w:space="0"/>
              <w:bottom w:val="single" w:color="auto" w:sz="4" w:space="0"/>
              <w:right w:val="single" w:color="auto" w:sz="4" w:space="0"/>
            </w:tcBorders>
            <w:noWrap w:val="0"/>
            <w:vAlign w:val="center"/>
          </w:tcPr>
          <w:p w14:paraId="7EFA2A36">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日常巡查及保养</w:t>
            </w:r>
            <w:r>
              <w:rPr>
                <w:rFonts w:hint="eastAsia" w:ascii="宋体" w:hAnsi="宋体" w:eastAsia="宋体" w:cs="宋体"/>
                <w:color w:val="auto"/>
                <w:sz w:val="22"/>
                <w:szCs w:val="22"/>
                <w:highlight w:val="none"/>
              </w:rPr>
              <w:t>作业内容及要求</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06F2B116">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备注</w:t>
            </w:r>
          </w:p>
        </w:tc>
      </w:tr>
      <w:tr w14:paraId="6D59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7BC992D6">
            <w:pPr>
              <w:keepNext w:val="0"/>
              <w:keepLines w:val="0"/>
              <w:pageBreakBefore w:val="0"/>
              <w:kinsoku/>
              <w:wordWrap/>
              <w:overflowPunct/>
              <w:topLinePunct w:val="0"/>
              <w:bidi w:val="0"/>
              <w:adjustRightInd/>
              <w:spacing w:line="460" w:lineRule="exact"/>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eastAsia="zh-CN"/>
              </w:rPr>
              <w:t>一</w:t>
            </w:r>
          </w:p>
        </w:tc>
        <w:tc>
          <w:tcPr>
            <w:tcW w:w="1843" w:type="dxa"/>
            <w:gridSpan w:val="2"/>
            <w:noWrap w:val="0"/>
            <w:vAlign w:val="center"/>
          </w:tcPr>
          <w:p w14:paraId="2841B899">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主道</w:t>
            </w:r>
          </w:p>
        </w:tc>
        <w:tc>
          <w:tcPr>
            <w:tcW w:w="6018" w:type="dxa"/>
            <w:noWrap w:val="0"/>
            <w:vAlign w:val="center"/>
          </w:tcPr>
          <w:p w14:paraId="4E7ECBD0">
            <w:pPr>
              <w:keepNext w:val="0"/>
              <w:keepLines w:val="0"/>
              <w:pageBreakBefore w:val="0"/>
              <w:kinsoku/>
              <w:wordWrap/>
              <w:overflowPunct/>
              <w:topLinePunct w:val="0"/>
              <w:bidi w:val="0"/>
              <w:adjustRightInd/>
              <w:spacing w:line="460" w:lineRule="exact"/>
              <w:jc w:val="center"/>
              <w:rPr>
                <w:rFonts w:hint="eastAsia" w:ascii="宋体" w:hAnsi="宋体" w:eastAsia="宋体" w:cs="宋体"/>
                <w:b/>
                <w:color w:val="auto"/>
                <w:sz w:val="22"/>
                <w:szCs w:val="22"/>
                <w:highlight w:val="none"/>
              </w:rPr>
            </w:pPr>
          </w:p>
        </w:tc>
        <w:tc>
          <w:tcPr>
            <w:tcW w:w="760" w:type="dxa"/>
            <w:vMerge w:val="restart"/>
            <w:tcBorders>
              <w:left w:val="single" w:color="auto" w:sz="4" w:space="0"/>
              <w:right w:val="single" w:color="auto" w:sz="4" w:space="0"/>
            </w:tcBorders>
            <w:noWrap w:val="0"/>
            <w:vAlign w:val="center"/>
          </w:tcPr>
          <w:p w14:paraId="57DFDAE5">
            <w:pPr>
              <w:keepNext w:val="0"/>
              <w:keepLines w:val="0"/>
              <w:pageBreakBefore w:val="0"/>
              <w:kinsoku/>
              <w:wordWrap/>
              <w:overflowPunct/>
              <w:topLinePunct w:val="0"/>
              <w:bidi w:val="0"/>
              <w:adjustRightInd/>
              <w:spacing w:line="460" w:lineRule="exact"/>
              <w:jc w:val="center"/>
              <w:rPr>
                <w:rFonts w:hint="eastAsia" w:ascii="宋体" w:hAnsi="宋体" w:eastAsia="宋体" w:cs="宋体"/>
                <w:b/>
                <w:color w:val="auto"/>
                <w:sz w:val="22"/>
                <w:szCs w:val="22"/>
                <w:highlight w:val="none"/>
              </w:rPr>
            </w:pPr>
          </w:p>
        </w:tc>
      </w:tr>
      <w:tr w14:paraId="40BF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1DC91439">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.1</w:t>
            </w:r>
          </w:p>
        </w:tc>
        <w:tc>
          <w:tcPr>
            <w:tcW w:w="1843" w:type="dxa"/>
            <w:gridSpan w:val="2"/>
            <w:noWrap w:val="0"/>
            <w:vAlign w:val="center"/>
          </w:tcPr>
          <w:p w14:paraId="24322311">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日常巡查</w:t>
            </w:r>
          </w:p>
        </w:tc>
        <w:tc>
          <w:tcPr>
            <w:tcW w:w="6018" w:type="dxa"/>
            <w:noWrap w:val="0"/>
            <w:vAlign w:val="center"/>
          </w:tcPr>
          <w:p w14:paraId="509A8E36">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根据《城镇道路养护技术规范》（CJJ36-2016）、《城市桥梁养护技术标准》（CJJ99-2017）要求对承包范围内全线道路、桥梁及附属设施实施一日一巡</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主线高架路灯，地面道路路灯设施每月一巡(巡查内容包含亮灯情况、完好情况)</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设施管理用房实施24小时值守，特殊情况需加密巡查。日常巡查应按照规范要求，采用摄像及目测结合的方式对路面外观变化、结构变化、道路施工作业情况及附属设施等状况进行检查，并做好相应记录。巡查过程中，对发现设施明显损坏或影响车辆和行人安全的情况，应及时采取相应措施，并及时向管理单位报告。</w:t>
            </w:r>
          </w:p>
        </w:tc>
        <w:tc>
          <w:tcPr>
            <w:tcW w:w="760" w:type="dxa"/>
            <w:vMerge w:val="continue"/>
            <w:tcBorders>
              <w:left w:val="single" w:color="auto" w:sz="4" w:space="0"/>
              <w:right w:val="single" w:color="auto" w:sz="4" w:space="0"/>
            </w:tcBorders>
            <w:noWrap w:val="0"/>
            <w:vAlign w:val="center"/>
          </w:tcPr>
          <w:p w14:paraId="74F94013">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463C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3458D3D5">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2</w:t>
            </w:r>
          </w:p>
        </w:tc>
        <w:tc>
          <w:tcPr>
            <w:tcW w:w="529" w:type="dxa"/>
            <w:tcBorders>
              <w:top w:val="single" w:color="auto" w:sz="4" w:space="0"/>
              <w:left w:val="single" w:color="auto" w:sz="4" w:space="0"/>
              <w:right w:val="single" w:color="auto" w:sz="4" w:space="0"/>
            </w:tcBorders>
            <w:noWrap w:val="0"/>
            <w:vAlign w:val="center"/>
          </w:tcPr>
          <w:p w14:paraId="28C0283B">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栏杆</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117E53E">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钢筋混凝土栏杆</w:t>
            </w:r>
          </w:p>
        </w:tc>
        <w:tc>
          <w:tcPr>
            <w:tcW w:w="6018" w:type="dxa"/>
            <w:noWrap w:val="0"/>
            <w:vAlign w:val="center"/>
          </w:tcPr>
          <w:p w14:paraId="411448CD">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日常保养，零星破损维修。工作内容包含：表面露筋除锈处理，表面裂缝封闭，涂料破损修补。</w:t>
            </w:r>
          </w:p>
        </w:tc>
        <w:tc>
          <w:tcPr>
            <w:tcW w:w="760" w:type="dxa"/>
            <w:vMerge w:val="continue"/>
            <w:tcBorders>
              <w:left w:val="single" w:color="auto" w:sz="4" w:space="0"/>
              <w:right w:val="single" w:color="auto" w:sz="4" w:space="0"/>
            </w:tcBorders>
            <w:noWrap w:val="0"/>
            <w:vAlign w:val="center"/>
          </w:tcPr>
          <w:p w14:paraId="11CC0D7F">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5698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857" w:type="dxa"/>
            <w:noWrap w:val="0"/>
            <w:vAlign w:val="center"/>
          </w:tcPr>
          <w:p w14:paraId="3C5EBB05">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w:t>
            </w:r>
          </w:p>
        </w:tc>
        <w:tc>
          <w:tcPr>
            <w:tcW w:w="529" w:type="dxa"/>
            <w:noWrap w:val="0"/>
            <w:vAlign w:val="center"/>
          </w:tcPr>
          <w:p w14:paraId="7B0DE129">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伸缩缝</w:t>
            </w:r>
          </w:p>
        </w:tc>
        <w:tc>
          <w:tcPr>
            <w:tcW w:w="1314" w:type="dxa"/>
            <w:noWrap w:val="0"/>
            <w:vAlign w:val="center"/>
          </w:tcPr>
          <w:p w14:paraId="5BDF5FA6">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伸缩缝清理</w:t>
            </w:r>
          </w:p>
        </w:tc>
        <w:tc>
          <w:tcPr>
            <w:tcW w:w="6018" w:type="dxa"/>
            <w:noWrap w:val="0"/>
            <w:vAlign w:val="center"/>
          </w:tcPr>
          <w:p w14:paraId="7AB1FA74">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根据《城市桥梁养护技术标准》（CJJ99-2017）定期清理伸缩缝内垃圾，保证伸缩缝功能有效。</w:t>
            </w:r>
          </w:p>
        </w:tc>
        <w:tc>
          <w:tcPr>
            <w:tcW w:w="760" w:type="dxa"/>
            <w:vMerge w:val="continue"/>
            <w:tcBorders>
              <w:left w:val="single" w:color="auto" w:sz="4" w:space="0"/>
              <w:right w:val="single" w:color="auto" w:sz="4" w:space="0"/>
            </w:tcBorders>
            <w:noWrap w:val="0"/>
            <w:vAlign w:val="center"/>
          </w:tcPr>
          <w:p w14:paraId="164B5921">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6F90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6CDAE3EE">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4</w:t>
            </w:r>
          </w:p>
        </w:tc>
        <w:tc>
          <w:tcPr>
            <w:tcW w:w="529" w:type="dxa"/>
            <w:vMerge w:val="restart"/>
            <w:noWrap w:val="0"/>
            <w:vAlign w:val="center"/>
          </w:tcPr>
          <w:p w14:paraId="3747C75F">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支座</w:t>
            </w:r>
          </w:p>
        </w:tc>
        <w:tc>
          <w:tcPr>
            <w:tcW w:w="1314" w:type="dxa"/>
            <w:noWrap w:val="0"/>
            <w:vAlign w:val="center"/>
          </w:tcPr>
          <w:p w14:paraId="1CDEEDFE">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盆式支座</w:t>
            </w:r>
          </w:p>
        </w:tc>
        <w:tc>
          <w:tcPr>
            <w:tcW w:w="6018" w:type="dxa"/>
            <w:vMerge w:val="restart"/>
            <w:noWrap w:val="0"/>
            <w:vAlign w:val="center"/>
          </w:tcPr>
          <w:p w14:paraId="32AE3ADB">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根据《城市桥梁养护技术标准》（CJJ99-2017）进行日常保养，工作内容包含：清除支座周围垃圾，除锈，加油，维养。</w:t>
            </w:r>
          </w:p>
        </w:tc>
        <w:tc>
          <w:tcPr>
            <w:tcW w:w="760" w:type="dxa"/>
            <w:vMerge w:val="continue"/>
            <w:tcBorders>
              <w:left w:val="single" w:color="auto" w:sz="4" w:space="0"/>
              <w:right w:val="single" w:color="auto" w:sz="4" w:space="0"/>
            </w:tcBorders>
            <w:noWrap w:val="0"/>
            <w:vAlign w:val="center"/>
          </w:tcPr>
          <w:p w14:paraId="4524AFFD">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1A30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2C187B66">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5</w:t>
            </w:r>
          </w:p>
        </w:tc>
        <w:tc>
          <w:tcPr>
            <w:tcW w:w="529" w:type="dxa"/>
            <w:vMerge w:val="continue"/>
            <w:noWrap w:val="0"/>
            <w:vAlign w:val="center"/>
          </w:tcPr>
          <w:p w14:paraId="75C05310">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c>
          <w:tcPr>
            <w:tcW w:w="1314" w:type="dxa"/>
            <w:noWrap w:val="0"/>
            <w:vAlign w:val="center"/>
          </w:tcPr>
          <w:p w14:paraId="723EA9B3">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橡胶支座</w:t>
            </w:r>
          </w:p>
        </w:tc>
        <w:tc>
          <w:tcPr>
            <w:tcW w:w="6018" w:type="dxa"/>
            <w:vMerge w:val="continue"/>
            <w:noWrap w:val="0"/>
            <w:vAlign w:val="center"/>
          </w:tcPr>
          <w:p w14:paraId="179DB581">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p>
        </w:tc>
        <w:tc>
          <w:tcPr>
            <w:tcW w:w="760" w:type="dxa"/>
            <w:vMerge w:val="continue"/>
            <w:tcBorders>
              <w:left w:val="single" w:color="auto" w:sz="4" w:space="0"/>
              <w:right w:val="single" w:color="auto" w:sz="4" w:space="0"/>
            </w:tcBorders>
            <w:noWrap w:val="0"/>
            <w:vAlign w:val="center"/>
          </w:tcPr>
          <w:p w14:paraId="53A7E0C8">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5549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1B9E3891">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6</w:t>
            </w:r>
          </w:p>
        </w:tc>
        <w:tc>
          <w:tcPr>
            <w:tcW w:w="1843" w:type="dxa"/>
            <w:gridSpan w:val="2"/>
            <w:noWrap w:val="0"/>
            <w:vAlign w:val="center"/>
          </w:tcPr>
          <w:p w14:paraId="5ACDE60D">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隔音屏</w:t>
            </w:r>
            <w:r>
              <w:rPr>
                <w:rFonts w:hint="eastAsia" w:ascii="宋体" w:hAnsi="宋体" w:eastAsia="宋体" w:cs="宋体"/>
                <w:color w:val="auto"/>
                <w:sz w:val="22"/>
                <w:szCs w:val="22"/>
                <w:highlight w:val="none"/>
                <w:lang w:eastAsia="zh-CN"/>
              </w:rPr>
              <w:t>及声屏障</w:t>
            </w:r>
          </w:p>
        </w:tc>
        <w:tc>
          <w:tcPr>
            <w:tcW w:w="6018" w:type="dxa"/>
            <w:noWrap w:val="0"/>
            <w:vAlign w:val="center"/>
          </w:tcPr>
          <w:p w14:paraId="39580029">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按技术规程、规范进行日常保养：每半年对整体安装结构、地脚连接构件和相连接构结构进行一次检查。日常维修：表面除锈处理，涂料破损修补。</w:t>
            </w:r>
          </w:p>
        </w:tc>
        <w:tc>
          <w:tcPr>
            <w:tcW w:w="760" w:type="dxa"/>
            <w:vMerge w:val="continue"/>
            <w:tcBorders>
              <w:left w:val="single" w:color="auto" w:sz="4" w:space="0"/>
              <w:right w:val="single" w:color="auto" w:sz="4" w:space="0"/>
            </w:tcBorders>
            <w:noWrap w:val="0"/>
            <w:vAlign w:val="top"/>
          </w:tcPr>
          <w:p w14:paraId="6A1CEA4D">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0380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40A7451D">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7</w:t>
            </w:r>
          </w:p>
        </w:tc>
        <w:tc>
          <w:tcPr>
            <w:tcW w:w="1843" w:type="dxa"/>
            <w:gridSpan w:val="2"/>
            <w:noWrap w:val="0"/>
            <w:vAlign w:val="center"/>
          </w:tcPr>
          <w:p w14:paraId="2405E706">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主道排水系统</w:t>
            </w:r>
          </w:p>
        </w:tc>
        <w:tc>
          <w:tcPr>
            <w:tcW w:w="6018" w:type="dxa"/>
            <w:noWrap w:val="0"/>
            <w:vAlign w:val="center"/>
          </w:tcPr>
          <w:p w14:paraId="497968C5">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清淤、疏通一月一次，保持沟内清洁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排水管调换</w:t>
            </w:r>
            <w:r>
              <w:rPr>
                <w:rFonts w:hint="eastAsia" w:ascii="宋体" w:hAnsi="宋体" w:eastAsia="宋体" w:cs="宋体"/>
                <w:color w:val="auto"/>
                <w:sz w:val="22"/>
                <w:szCs w:val="22"/>
                <w:highlight w:val="none"/>
                <w:lang w:eastAsia="zh-CN"/>
              </w:rPr>
              <w:t>。工作内容包括：拆除原排水管，疏通管道，放样，打眼钻孔，安装</w:t>
            </w:r>
            <w:r>
              <w:rPr>
                <w:rFonts w:hint="eastAsia" w:ascii="宋体" w:hAnsi="宋体" w:eastAsia="宋体" w:cs="宋体"/>
                <w:color w:val="auto"/>
                <w:sz w:val="22"/>
                <w:szCs w:val="22"/>
                <w:highlight w:val="none"/>
                <w:lang w:val="en-US" w:eastAsia="zh-CN"/>
              </w:rPr>
              <w:t>PVC管，接口涂胶封口等。</w:t>
            </w:r>
          </w:p>
        </w:tc>
        <w:tc>
          <w:tcPr>
            <w:tcW w:w="760" w:type="dxa"/>
            <w:vMerge w:val="continue"/>
            <w:tcBorders>
              <w:left w:val="single" w:color="auto" w:sz="4" w:space="0"/>
              <w:right w:val="single" w:color="auto" w:sz="4" w:space="0"/>
            </w:tcBorders>
            <w:noWrap w:val="0"/>
            <w:vAlign w:val="top"/>
          </w:tcPr>
          <w:p w14:paraId="04004EBF">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3995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3E2BCD3D">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1.8</w:t>
            </w:r>
          </w:p>
        </w:tc>
        <w:tc>
          <w:tcPr>
            <w:tcW w:w="1843" w:type="dxa"/>
            <w:gridSpan w:val="2"/>
            <w:noWrap w:val="0"/>
            <w:vAlign w:val="center"/>
          </w:tcPr>
          <w:p w14:paraId="35C08318">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设施检测</w:t>
            </w:r>
          </w:p>
        </w:tc>
        <w:tc>
          <w:tcPr>
            <w:tcW w:w="6018" w:type="dxa"/>
            <w:noWrap w:val="0"/>
            <w:vAlign w:val="center"/>
          </w:tcPr>
          <w:p w14:paraId="5023547E">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eastAsia="zh-CN"/>
              </w:rPr>
              <w:t>城市</w:t>
            </w:r>
            <w:r>
              <w:rPr>
                <w:rFonts w:hint="eastAsia" w:ascii="宋体" w:hAnsi="宋体" w:eastAsia="宋体" w:cs="宋体"/>
                <w:color w:val="auto"/>
                <w:sz w:val="22"/>
                <w:szCs w:val="22"/>
                <w:highlight w:val="none"/>
              </w:rPr>
              <w:t>桥梁养护技术</w:t>
            </w:r>
            <w:r>
              <w:rPr>
                <w:rFonts w:hint="eastAsia" w:ascii="宋体" w:hAnsi="宋体" w:eastAsia="宋体" w:cs="宋体"/>
                <w:color w:val="auto"/>
                <w:sz w:val="22"/>
                <w:szCs w:val="22"/>
                <w:highlight w:val="none"/>
                <w:lang w:eastAsia="zh-CN"/>
              </w:rPr>
              <w:t>标准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对范围内设施</w:t>
            </w:r>
            <w:r>
              <w:rPr>
                <w:rFonts w:hint="eastAsia" w:ascii="宋体" w:hAnsi="宋体" w:eastAsia="宋体" w:cs="宋体"/>
                <w:color w:val="auto"/>
                <w:sz w:val="22"/>
                <w:szCs w:val="22"/>
                <w:highlight w:val="none"/>
              </w:rPr>
              <w:t>进行1次定期检测。</w:t>
            </w:r>
            <w:r>
              <w:rPr>
                <w:rFonts w:hint="eastAsia" w:ascii="宋体" w:hAnsi="宋体" w:eastAsia="宋体" w:cs="宋体"/>
                <w:color w:val="auto"/>
                <w:sz w:val="22"/>
                <w:szCs w:val="22"/>
                <w:highlight w:val="none"/>
                <w:lang w:eastAsia="zh-CN"/>
              </w:rPr>
              <w:t>高架主道桥检测范围包含附属匝道桥。并按照《浙江省城市桥梁隧道安全风险防范技术导则》要求进行安全风险评估。</w:t>
            </w:r>
          </w:p>
        </w:tc>
        <w:tc>
          <w:tcPr>
            <w:tcW w:w="760" w:type="dxa"/>
            <w:vMerge w:val="continue"/>
            <w:tcBorders>
              <w:left w:val="single" w:color="auto" w:sz="4" w:space="0"/>
              <w:right w:val="single" w:color="auto" w:sz="4" w:space="0"/>
            </w:tcBorders>
            <w:noWrap w:val="0"/>
            <w:vAlign w:val="top"/>
          </w:tcPr>
          <w:p w14:paraId="014175E1">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5B6A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680E740F">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二</w:t>
            </w:r>
          </w:p>
        </w:tc>
        <w:tc>
          <w:tcPr>
            <w:tcW w:w="7861" w:type="dxa"/>
            <w:gridSpan w:val="3"/>
            <w:noWrap w:val="0"/>
            <w:vAlign w:val="center"/>
          </w:tcPr>
          <w:p w14:paraId="295BAF44">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措施项目</w:t>
            </w:r>
          </w:p>
        </w:tc>
        <w:tc>
          <w:tcPr>
            <w:tcW w:w="760" w:type="dxa"/>
            <w:vMerge w:val="continue"/>
            <w:tcBorders>
              <w:left w:val="single" w:color="auto" w:sz="4" w:space="0"/>
              <w:right w:val="single" w:color="auto" w:sz="4" w:space="0"/>
            </w:tcBorders>
            <w:noWrap w:val="0"/>
            <w:vAlign w:val="center"/>
          </w:tcPr>
          <w:p w14:paraId="6B0608A3">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7AB0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733176C4">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2.1</w:t>
            </w:r>
          </w:p>
        </w:tc>
        <w:tc>
          <w:tcPr>
            <w:tcW w:w="1843" w:type="dxa"/>
            <w:gridSpan w:val="2"/>
            <w:noWrap w:val="0"/>
            <w:vAlign w:val="center"/>
          </w:tcPr>
          <w:p w14:paraId="1075FB46">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措施费用</w:t>
            </w:r>
          </w:p>
        </w:tc>
        <w:tc>
          <w:tcPr>
            <w:tcW w:w="6018" w:type="dxa"/>
            <w:noWrap w:val="0"/>
            <w:vAlign w:val="center"/>
          </w:tcPr>
          <w:p w14:paraId="6870BC14">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本项目施工期间的机械设备进退场、交通管制及组织等措施费（包含安全措施护栏、人员等费用）</w:t>
            </w:r>
          </w:p>
        </w:tc>
        <w:tc>
          <w:tcPr>
            <w:tcW w:w="760" w:type="dxa"/>
            <w:vMerge w:val="continue"/>
            <w:tcBorders>
              <w:left w:val="single" w:color="auto" w:sz="4" w:space="0"/>
              <w:right w:val="single" w:color="auto" w:sz="4" w:space="0"/>
            </w:tcBorders>
            <w:noWrap w:val="0"/>
            <w:vAlign w:val="center"/>
          </w:tcPr>
          <w:p w14:paraId="400F8E89">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28E8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192E7221">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2.2</w:t>
            </w:r>
          </w:p>
        </w:tc>
        <w:tc>
          <w:tcPr>
            <w:tcW w:w="1843" w:type="dxa"/>
            <w:gridSpan w:val="2"/>
            <w:noWrap w:val="0"/>
            <w:vAlign w:val="center"/>
          </w:tcPr>
          <w:p w14:paraId="3E2E48CF">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编号牌</w:t>
            </w:r>
          </w:p>
        </w:tc>
        <w:tc>
          <w:tcPr>
            <w:tcW w:w="6018" w:type="dxa"/>
            <w:noWrap w:val="0"/>
            <w:vAlign w:val="center"/>
          </w:tcPr>
          <w:p w14:paraId="76904BA1">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在伸缩缝及桥墩上增设设施编号牌</w:t>
            </w:r>
          </w:p>
        </w:tc>
        <w:tc>
          <w:tcPr>
            <w:tcW w:w="760" w:type="dxa"/>
            <w:vMerge w:val="continue"/>
            <w:tcBorders>
              <w:left w:val="single" w:color="auto" w:sz="4" w:space="0"/>
              <w:right w:val="single" w:color="auto" w:sz="4" w:space="0"/>
            </w:tcBorders>
            <w:noWrap w:val="0"/>
            <w:vAlign w:val="center"/>
          </w:tcPr>
          <w:p w14:paraId="2892986A">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bl>
    <w:p w14:paraId="5A4458CB">
      <w:pPr>
        <w:rPr>
          <w:rFonts w:hint="eastAsia" w:ascii="宋体" w:hAnsi="宋体" w:eastAsia="宋体" w:cs="宋体"/>
          <w:b/>
          <w:color w:val="auto"/>
          <w:kern w:val="36"/>
          <w:sz w:val="22"/>
          <w:szCs w:val="22"/>
          <w:highlight w:val="none"/>
          <w:lang w:val="zh-CN"/>
        </w:rPr>
      </w:pPr>
      <w:r>
        <w:rPr>
          <w:rFonts w:hint="eastAsia" w:ascii="宋体" w:hAnsi="宋体" w:eastAsia="宋体" w:cs="宋体"/>
          <w:b/>
          <w:color w:val="auto"/>
          <w:kern w:val="36"/>
          <w:sz w:val="22"/>
          <w:szCs w:val="22"/>
          <w:highlight w:val="none"/>
          <w:lang w:val="zh-CN"/>
        </w:rPr>
        <w:br w:type="page"/>
      </w:r>
    </w:p>
    <w:p w14:paraId="00601DCC">
      <w:pPr>
        <w:keepNext w:val="0"/>
        <w:keepLines w:val="0"/>
        <w:pageBreakBefore w:val="0"/>
        <w:widowControl/>
        <w:kinsoku/>
        <w:wordWrap/>
        <w:overflowPunct/>
        <w:topLinePunct w:val="0"/>
        <w:autoSpaceDE w:val="0"/>
        <w:autoSpaceDN w:val="0"/>
        <w:bidi w:val="0"/>
        <w:adjustRightInd/>
        <w:snapToGrid w:val="0"/>
        <w:spacing w:line="460" w:lineRule="exact"/>
        <w:ind w:firstLine="442" w:firstLineChars="200"/>
        <w:textAlignment w:val="bottom"/>
        <w:outlineLvl w:val="2"/>
        <w:rPr>
          <w:rFonts w:hint="eastAsia" w:ascii="宋体" w:hAnsi="宋体" w:eastAsia="宋体" w:cs="宋体"/>
          <w:b/>
          <w:color w:val="auto"/>
          <w:kern w:val="36"/>
          <w:sz w:val="22"/>
          <w:szCs w:val="22"/>
          <w:highlight w:val="none"/>
        </w:rPr>
      </w:pPr>
      <w:r>
        <w:rPr>
          <w:rFonts w:hint="eastAsia" w:ascii="宋体" w:hAnsi="宋体" w:eastAsia="宋体" w:cs="宋体"/>
          <w:b/>
          <w:color w:val="auto"/>
          <w:kern w:val="36"/>
          <w:sz w:val="22"/>
          <w:szCs w:val="22"/>
          <w:highlight w:val="none"/>
          <w:lang w:val="zh-CN"/>
        </w:rPr>
        <w:t>表</w:t>
      </w:r>
      <w:r>
        <w:rPr>
          <w:rFonts w:hint="eastAsia" w:ascii="宋体" w:hAnsi="宋体" w:eastAsia="宋体" w:cs="宋体"/>
          <w:b/>
          <w:color w:val="auto"/>
          <w:kern w:val="36"/>
          <w:sz w:val="22"/>
          <w:szCs w:val="22"/>
          <w:highlight w:val="none"/>
          <w:lang w:val="en-US" w:eastAsia="zh-CN"/>
        </w:rPr>
        <w:t>2</w:t>
      </w:r>
      <w:r>
        <w:rPr>
          <w:rFonts w:hint="eastAsia" w:ascii="宋体" w:hAnsi="宋体" w:eastAsia="宋体" w:cs="宋体"/>
          <w:b/>
          <w:color w:val="auto"/>
          <w:kern w:val="36"/>
          <w:sz w:val="22"/>
          <w:szCs w:val="22"/>
          <w:highlight w:val="none"/>
          <w:lang w:val="zh-CN"/>
        </w:rPr>
        <w:t xml:space="preserve"> </w:t>
      </w:r>
      <w:r>
        <w:rPr>
          <w:rFonts w:hint="eastAsia" w:ascii="宋体" w:hAnsi="宋体" w:eastAsia="宋体" w:cs="宋体"/>
          <w:b/>
          <w:color w:val="auto"/>
          <w:kern w:val="36"/>
          <w:sz w:val="22"/>
          <w:szCs w:val="22"/>
          <w:highlight w:val="none"/>
        </w:rPr>
        <w:t xml:space="preserve">   瓯越大道（温瑞大道南段快速路一期）</w:t>
      </w:r>
      <w:r>
        <w:rPr>
          <w:rFonts w:hint="eastAsia" w:ascii="宋体" w:hAnsi="宋体" w:eastAsia="宋体" w:cs="宋体"/>
          <w:b/>
          <w:color w:val="auto"/>
          <w:kern w:val="36"/>
          <w:sz w:val="22"/>
          <w:szCs w:val="22"/>
          <w:highlight w:val="none"/>
          <w:lang w:eastAsia="zh-CN"/>
        </w:rPr>
        <w:t>接管期保养项目</w:t>
      </w:r>
      <w:r>
        <w:rPr>
          <w:rFonts w:hint="eastAsia" w:ascii="宋体" w:hAnsi="宋体" w:eastAsia="宋体" w:cs="宋体"/>
          <w:b/>
          <w:color w:val="auto"/>
          <w:kern w:val="36"/>
          <w:sz w:val="22"/>
          <w:szCs w:val="22"/>
          <w:highlight w:val="none"/>
        </w:rPr>
        <w:t>考核表</w:t>
      </w:r>
    </w:p>
    <w:p w14:paraId="7ACE6A9F">
      <w:pPr>
        <w:keepNext w:val="0"/>
        <w:keepLines w:val="0"/>
        <w:pageBreakBefore w:val="0"/>
        <w:widowControl/>
        <w:kinsoku/>
        <w:wordWrap/>
        <w:overflowPunct/>
        <w:topLinePunct w:val="0"/>
        <w:autoSpaceDE w:val="0"/>
        <w:autoSpaceDN w:val="0"/>
        <w:bidi w:val="0"/>
        <w:adjustRightInd/>
        <w:spacing w:line="460" w:lineRule="exact"/>
        <w:ind w:firstLine="442" w:firstLineChars="200"/>
        <w:textAlignment w:val="bottom"/>
        <w:rPr>
          <w:rFonts w:hint="eastAsia" w:ascii="宋体" w:hAnsi="宋体" w:eastAsia="宋体" w:cs="宋体"/>
          <w:b/>
          <w:color w:val="auto"/>
          <w:sz w:val="22"/>
          <w:szCs w:val="22"/>
          <w:highlight w:val="none"/>
          <w:lang w:val="zh-CN"/>
        </w:rPr>
      </w:pPr>
      <w:r>
        <w:rPr>
          <w:rFonts w:hint="eastAsia" w:ascii="宋体" w:hAnsi="宋体" w:eastAsia="宋体" w:cs="宋体"/>
          <w:b/>
          <w:bCs/>
          <w:color w:val="auto"/>
          <w:kern w:val="0"/>
          <w:sz w:val="22"/>
          <w:szCs w:val="22"/>
          <w:highlight w:val="none"/>
        </w:rPr>
        <w:t>被考核单位：                                        考核时间：</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336"/>
        <w:gridCol w:w="3914"/>
        <w:gridCol w:w="2945"/>
        <w:gridCol w:w="873"/>
      </w:tblGrid>
      <w:tr w14:paraId="1595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70" w:type="dxa"/>
            <w:noWrap w:val="0"/>
            <w:vAlign w:val="center"/>
          </w:tcPr>
          <w:p w14:paraId="55887D3C">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spacing w:val="-11"/>
                <w:sz w:val="22"/>
                <w:szCs w:val="22"/>
                <w:highlight w:val="none"/>
                <w:lang w:val="zh-CN"/>
              </w:rPr>
              <w:t>序号</w:t>
            </w:r>
          </w:p>
        </w:tc>
        <w:tc>
          <w:tcPr>
            <w:tcW w:w="5250" w:type="dxa"/>
            <w:gridSpan w:val="2"/>
            <w:noWrap w:val="0"/>
            <w:vAlign w:val="center"/>
          </w:tcPr>
          <w:p w14:paraId="7B1C0471">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spacing w:val="-11"/>
                <w:sz w:val="22"/>
                <w:szCs w:val="22"/>
                <w:highlight w:val="none"/>
                <w:lang w:val="zh-CN"/>
              </w:rPr>
              <w:t>评价项目及内容</w:t>
            </w:r>
          </w:p>
        </w:tc>
        <w:tc>
          <w:tcPr>
            <w:tcW w:w="2945" w:type="dxa"/>
            <w:noWrap w:val="0"/>
            <w:vAlign w:val="center"/>
          </w:tcPr>
          <w:p w14:paraId="12BB3004">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spacing w:val="-11"/>
                <w:sz w:val="22"/>
                <w:szCs w:val="22"/>
                <w:highlight w:val="none"/>
                <w:lang w:val="zh-CN"/>
              </w:rPr>
              <w:t>评分标准</w:t>
            </w:r>
          </w:p>
        </w:tc>
        <w:tc>
          <w:tcPr>
            <w:tcW w:w="873" w:type="dxa"/>
            <w:noWrap w:val="0"/>
            <w:vAlign w:val="center"/>
          </w:tcPr>
          <w:p w14:paraId="2117DD64">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spacing w:val="-11"/>
                <w:sz w:val="22"/>
                <w:szCs w:val="22"/>
                <w:highlight w:val="none"/>
                <w:lang w:val="zh-CN"/>
              </w:rPr>
              <w:t>扣分值</w:t>
            </w:r>
          </w:p>
        </w:tc>
      </w:tr>
      <w:tr w14:paraId="3D25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70" w:type="dxa"/>
            <w:vMerge w:val="restart"/>
            <w:noWrap w:val="0"/>
            <w:vAlign w:val="center"/>
          </w:tcPr>
          <w:p w14:paraId="6FB4A89E">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r>
              <w:rPr>
                <w:rFonts w:hint="eastAsia" w:ascii="宋体" w:hAnsi="宋体" w:eastAsia="宋体" w:cs="宋体"/>
                <w:color w:val="auto"/>
                <w:spacing w:val="-11"/>
                <w:sz w:val="22"/>
                <w:szCs w:val="22"/>
                <w:highlight w:val="none"/>
              </w:rPr>
              <w:t>一</w:t>
            </w:r>
          </w:p>
        </w:tc>
        <w:tc>
          <w:tcPr>
            <w:tcW w:w="1336" w:type="dxa"/>
            <w:vMerge w:val="restart"/>
            <w:noWrap w:val="0"/>
            <w:vAlign w:val="center"/>
          </w:tcPr>
          <w:p w14:paraId="7D690845">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r>
              <w:rPr>
                <w:rFonts w:hint="eastAsia" w:ascii="宋体" w:hAnsi="宋体" w:eastAsia="宋体" w:cs="宋体"/>
                <w:color w:val="auto"/>
                <w:spacing w:val="-11"/>
                <w:sz w:val="22"/>
                <w:szCs w:val="22"/>
                <w:highlight w:val="none"/>
              </w:rPr>
              <w:t>建立设施档案   （10分）</w:t>
            </w:r>
          </w:p>
        </w:tc>
        <w:tc>
          <w:tcPr>
            <w:tcW w:w="3914" w:type="dxa"/>
            <w:noWrap w:val="0"/>
            <w:vAlign w:val="center"/>
          </w:tcPr>
          <w:p w14:paraId="20C774BF">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1.</w:t>
            </w:r>
            <w:r>
              <w:rPr>
                <w:rFonts w:hint="eastAsia" w:ascii="宋体" w:hAnsi="宋体" w:eastAsia="宋体" w:cs="宋体"/>
                <w:color w:val="auto"/>
                <w:sz w:val="22"/>
                <w:szCs w:val="22"/>
                <w:highlight w:val="none"/>
                <w:lang w:val="zh-CN"/>
              </w:rPr>
              <w:t>以单个设施为单位建立养护档案（按养护规范的要求建立），含日常检查、养护维修、服务保障、应急抢险等。</w:t>
            </w:r>
          </w:p>
        </w:tc>
        <w:tc>
          <w:tcPr>
            <w:tcW w:w="2945" w:type="dxa"/>
            <w:noWrap w:val="0"/>
            <w:vAlign w:val="center"/>
          </w:tcPr>
          <w:p w14:paraId="55332FDE">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sz w:val="22"/>
                <w:szCs w:val="22"/>
                <w:highlight w:val="none"/>
                <w:lang w:val="zh-CN"/>
              </w:rPr>
              <w:t>发现不完整、不准确的，每座设施扣</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zh-CN"/>
              </w:rPr>
              <w:t>分。</w:t>
            </w:r>
          </w:p>
        </w:tc>
        <w:tc>
          <w:tcPr>
            <w:tcW w:w="873" w:type="dxa"/>
            <w:vMerge w:val="restart"/>
            <w:noWrap w:val="0"/>
            <w:vAlign w:val="center"/>
          </w:tcPr>
          <w:p w14:paraId="1FC46DDA">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r>
      <w:tr w14:paraId="42ED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70" w:type="dxa"/>
            <w:vMerge w:val="continue"/>
            <w:noWrap w:val="0"/>
            <w:vAlign w:val="center"/>
          </w:tcPr>
          <w:p w14:paraId="45BD51B2">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1336" w:type="dxa"/>
            <w:vMerge w:val="continue"/>
            <w:noWrap w:val="0"/>
            <w:vAlign w:val="center"/>
          </w:tcPr>
          <w:p w14:paraId="6A431406">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3914" w:type="dxa"/>
            <w:noWrap w:val="0"/>
            <w:vAlign w:val="center"/>
          </w:tcPr>
          <w:p w14:paraId="78D20D18">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2.建立日常巡查制度、</w:t>
            </w:r>
            <w:r>
              <w:rPr>
                <w:rFonts w:hint="eastAsia" w:ascii="宋体" w:hAnsi="宋体" w:eastAsia="宋体" w:cs="宋体"/>
                <w:color w:val="auto"/>
                <w:sz w:val="22"/>
                <w:szCs w:val="22"/>
                <w:highlight w:val="none"/>
              </w:rPr>
              <w:t>管理用房值守制度、</w:t>
            </w:r>
            <w:r>
              <w:rPr>
                <w:rFonts w:hint="eastAsia" w:ascii="宋体" w:hAnsi="宋体" w:eastAsia="宋体" w:cs="宋体"/>
                <w:color w:val="auto"/>
                <w:sz w:val="22"/>
                <w:szCs w:val="22"/>
                <w:highlight w:val="none"/>
                <w:lang w:val="zh-CN"/>
              </w:rPr>
              <w:t>各类应急预案、节假日保障制度</w:t>
            </w:r>
            <w:r>
              <w:rPr>
                <w:rFonts w:hint="eastAsia" w:ascii="宋体" w:hAnsi="宋体" w:eastAsia="宋体" w:cs="宋体"/>
                <w:color w:val="auto"/>
                <w:sz w:val="22"/>
                <w:szCs w:val="22"/>
                <w:highlight w:val="none"/>
              </w:rPr>
              <w:t>等</w:t>
            </w:r>
            <w:r>
              <w:rPr>
                <w:rFonts w:hint="eastAsia" w:ascii="宋体" w:hAnsi="宋体" w:eastAsia="宋体" w:cs="宋体"/>
                <w:color w:val="auto"/>
                <w:sz w:val="22"/>
                <w:szCs w:val="22"/>
                <w:highlight w:val="none"/>
                <w:lang w:val="zh-CN"/>
              </w:rPr>
              <w:t>，并严格落实。</w:t>
            </w:r>
          </w:p>
        </w:tc>
        <w:tc>
          <w:tcPr>
            <w:tcW w:w="2945" w:type="dxa"/>
            <w:noWrap w:val="0"/>
            <w:vAlign w:val="center"/>
          </w:tcPr>
          <w:p w14:paraId="5490904A">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未建立相应制度或预案的，缺一个制度扣2分；未按制度落实的，每发现一次扣1分。</w:t>
            </w:r>
          </w:p>
        </w:tc>
        <w:tc>
          <w:tcPr>
            <w:tcW w:w="873" w:type="dxa"/>
            <w:vMerge w:val="continue"/>
            <w:noWrap w:val="0"/>
            <w:vAlign w:val="center"/>
          </w:tcPr>
          <w:p w14:paraId="72E87423">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r>
      <w:tr w14:paraId="488E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14:paraId="21198DA7">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spacing w:val="-11"/>
                <w:sz w:val="22"/>
                <w:szCs w:val="22"/>
                <w:highlight w:val="none"/>
              </w:rPr>
            </w:pPr>
            <w:r>
              <w:rPr>
                <w:rFonts w:hint="eastAsia" w:ascii="宋体" w:hAnsi="宋体" w:eastAsia="宋体" w:cs="宋体"/>
                <w:color w:val="auto"/>
                <w:kern w:val="0"/>
                <w:sz w:val="22"/>
                <w:szCs w:val="22"/>
                <w:highlight w:val="none"/>
              </w:rPr>
              <w:t>二</w:t>
            </w:r>
          </w:p>
        </w:tc>
        <w:tc>
          <w:tcPr>
            <w:tcW w:w="1336" w:type="dxa"/>
            <w:noWrap w:val="0"/>
            <w:vAlign w:val="center"/>
          </w:tcPr>
          <w:p w14:paraId="70B44A39">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日常</w:t>
            </w:r>
            <w:r>
              <w:rPr>
                <w:rFonts w:hint="eastAsia" w:ascii="宋体" w:hAnsi="宋体" w:eastAsia="宋体" w:cs="宋体"/>
                <w:color w:val="auto"/>
                <w:kern w:val="0"/>
                <w:sz w:val="22"/>
                <w:szCs w:val="22"/>
                <w:highlight w:val="none"/>
                <w:lang w:eastAsia="zh-CN"/>
              </w:rPr>
              <w:t>巡查</w:t>
            </w:r>
            <w:r>
              <w:rPr>
                <w:rFonts w:hint="eastAsia" w:ascii="宋体" w:hAnsi="宋体" w:eastAsia="宋体" w:cs="宋体"/>
                <w:color w:val="auto"/>
                <w:kern w:val="0"/>
                <w:sz w:val="22"/>
                <w:szCs w:val="22"/>
                <w:highlight w:val="none"/>
              </w:rPr>
              <w:t xml:space="preserve">  （2</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分）</w:t>
            </w:r>
          </w:p>
        </w:tc>
        <w:tc>
          <w:tcPr>
            <w:tcW w:w="3914" w:type="dxa"/>
            <w:noWrap w:val="0"/>
            <w:vAlign w:val="center"/>
          </w:tcPr>
          <w:p w14:paraId="4F3D09E5">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color w:val="auto"/>
                <w:sz w:val="22"/>
                <w:szCs w:val="22"/>
                <w:highlight w:val="none"/>
                <w:lang w:val="zh-CN"/>
              </w:rPr>
              <w:t>按照规范对道桥设施进行一日一巡查，主线高架路灯、地面道路路灯设施每月一巡(巡查内容包含亮灯情况、完好情况)，做好巡查记录。检查内容包括主体设施及附属设施情况，设施及设施安全保护区域内施工作业情况。</w:t>
            </w:r>
            <w:r>
              <w:rPr>
                <w:rFonts w:hint="eastAsia" w:ascii="宋体" w:hAnsi="宋体" w:eastAsia="宋体" w:cs="宋体"/>
                <w:color w:val="auto"/>
                <w:sz w:val="22"/>
                <w:szCs w:val="22"/>
                <w:highlight w:val="none"/>
              </w:rPr>
              <w:t>对存在安全隐患的需做好安全防护措施，确保运行安全。</w:t>
            </w:r>
          </w:p>
        </w:tc>
        <w:tc>
          <w:tcPr>
            <w:tcW w:w="2945" w:type="dxa"/>
            <w:noWrap w:val="0"/>
            <w:vAlign w:val="center"/>
          </w:tcPr>
          <w:p w14:paraId="452C3323">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rPr>
            </w:pPr>
            <w:r>
              <w:rPr>
                <w:rFonts w:hint="eastAsia" w:ascii="宋体" w:hAnsi="宋体" w:eastAsia="宋体" w:cs="宋体"/>
                <w:color w:val="auto"/>
                <w:sz w:val="22"/>
                <w:szCs w:val="22"/>
                <w:highlight w:val="none"/>
                <w:lang w:val="zh-CN"/>
              </w:rPr>
              <w:t>发现巡查不到位或巡查记录不全的每次扣</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zh-CN"/>
              </w:rPr>
              <w:t>分，未及时上报的扣</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zh-CN"/>
              </w:rPr>
              <w:t>分。</w:t>
            </w:r>
            <w:r>
              <w:rPr>
                <w:rFonts w:hint="eastAsia" w:ascii="宋体" w:hAnsi="宋体" w:eastAsia="宋体" w:cs="宋体"/>
                <w:color w:val="auto"/>
                <w:sz w:val="22"/>
                <w:szCs w:val="22"/>
                <w:highlight w:val="none"/>
              </w:rPr>
              <w:t>未做好安全措施的扣3分，由此产生的人员、财产损失由承包方负责。</w:t>
            </w:r>
          </w:p>
        </w:tc>
        <w:tc>
          <w:tcPr>
            <w:tcW w:w="873" w:type="dxa"/>
            <w:noWrap w:val="0"/>
            <w:vAlign w:val="center"/>
          </w:tcPr>
          <w:p w14:paraId="61E0D00F">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357F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670" w:type="dxa"/>
            <w:noWrap w:val="0"/>
            <w:vAlign w:val="center"/>
          </w:tcPr>
          <w:p w14:paraId="62375B13">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spacing w:val="-11"/>
                <w:sz w:val="22"/>
                <w:szCs w:val="22"/>
                <w:highlight w:val="none"/>
              </w:rPr>
            </w:pPr>
            <w:r>
              <w:rPr>
                <w:rFonts w:hint="eastAsia" w:ascii="宋体" w:hAnsi="宋体" w:eastAsia="宋体" w:cs="宋体"/>
                <w:color w:val="auto"/>
                <w:kern w:val="0"/>
                <w:sz w:val="22"/>
                <w:szCs w:val="22"/>
                <w:highlight w:val="none"/>
              </w:rPr>
              <w:t>三</w:t>
            </w:r>
          </w:p>
        </w:tc>
        <w:tc>
          <w:tcPr>
            <w:tcW w:w="1336" w:type="dxa"/>
            <w:noWrap w:val="0"/>
            <w:vAlign w:val="center"/>
          </w:tcPr>
          <w:p w14:paraId="148ED70A">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lang w:eastAsia="zh-CN"/>
              </w:rPr>
              <w:t>定期保养</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5分）</w:t>
            </w:r>
          </w:p>
        </w:tc>
        <w:tc>
          <w:tcPr>
            <w:tcW w:w="3914" w:type="dxa"/>
            <w:noWrap w:val="0"/>
            <w:vAlign w:val="center"/>
          </w:tcPr>
          <w:p w14:paraId="7BDDCEA7">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zh-CN"/>
              </w:rPr>
              <w:t>.按规范要求开展维养资料整理并建立设施档案，经常性检查（</w:t>
            </w:r>
            <w:r>
              <w:rPr>
                <w:rFonts w:hint="eastAsia" w:ascii="宋体" w:hAnsi="宋体" w:eastAsia="宋体" w:cs="宋体"/>
                <w:strike w:val="0"/>
                <w:dstrike w:val="0"/>
                <w:color w:val="auto"/>
                <w:sz w:val="22"/>
                <w:szCs w:val="22"/>
                <w:highlight w:val="none"/>
              </w:rPr>
              <w:t>消防水源、</w:t>
            </w:r>
            <w:r>
              <w:rPr>
                <w:rFonts w:hint="eastAsia" w:ascii="宋体" w:hAnsi="宋体" w:eastAsia="宋体" w:cs="宋体"/>
                <w:color w:val="auto"/>
                <w:sz w:val="22"/>
                <w:szCs w:val="22"/>
                <w:highlight w:val="none"/>
              </w:rPr>
              <w:t>安全设施设备</w:t>
            </w:r>
            <w:r>
              <w:rPr>
                <w:rFonts w:hint="eastAsia" w:ascii="宋体" w:hAnsi="宋体" w:eastAsia="宋体" w:cs="宋体"/>
                <w:color w:val="auto"/>
                <w:sz w:val="22"/>
                <w:szCs w:val="22"/>
                <w:highlight w:val="none"/>
                <w:lang w:val="zh-CN"/>
              </w:rPr>
              <w:t>），伸缩缝定期清缝，支座定期检查及保养，排水系统（包括但不限于排水沟、盖板及立管）定期清理，重大活动及节日保障、应急调度</w:t>
            </w:r>
            <w:r>
              <w:rPr>
                <w:rFonts w:hint="eastAsia" w:ascii="宋体" w:hAnsi="宋体" w:eastAsia="宋体" w:cs="宋体"/>
                <w:color w:val="auto"/>
                <w:sz w:val="22"/>
                <w:szCs w:val="22"/>
                <w:highlight w:val="none"/>
              </w:rPr>
              <w:t>等工作。</w:t>
            </w:r>
          </w:p>
        </w:tc>
        <w:tc>
          <w:tcPr>
            <w:tcW w:w="2945" w:type="dxa"/>
            <w:noWrap w:val="0"/>
            <w:vAlign w:val="center"/>
          </w:tcPr>
          <w:p w14:paraId="529C183F">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未按要求进行保养或开展工作的，发现一处扣2分；保养不到位的，发现一处扣2分。</w:t>
            </w:r>
          </w:p>
        </w:tc>
        <w:tc>
          <w:tcPr>
            <w:tcW w:w="873" w:type="dxa"/>
            <w:noWrap w:val="0"/>
            <w:vAlign w:val="center"/>
          </w:tcPr>
          <w:p w14:paraId="7D421C61">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7271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70" w:type="dxa"/>
            <w:vMerge w:val="restart"/>
            <w:noWrap w:val="0"/>
            <w:vAlign w:val="center"/>
          </w:tcPr>
          <w:p w14:paraId="00E38741">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eastAsia="zh-CN"/>
              </w:rPr>
            </w:pPr>
            <w:r>
              <w:rPr>
                <w:rFonts w:hint="eastAsia" w:ascii="宋体" w:hAnsi="宋体" w:eastAsia="宋体" w:cs="宋体"/>
                <w:color w:val="auto"/>
                <w:spacing w:val="-11"/>
                <w:sz w:val="22"/>
                <w:szCs w:val="22"/>
                <w:highlight w:val="none"/>
                <w:lang w:eastAsia="zh-CN"/>
              </w:rPr>
              <w:t>四</w:t>
            </w:r>
          </w:p>
        </w:tc>
        <w:tc>
          <w:tcPr>
            <w:tcW w:w="1336" w:type="dxa"/>
            <w:vMerge w:val="restart"/>
            <w:noWrap w:val="0"/>
            <w:vAlign w:val="center"/>
          </w:tcPr>
          <w:p w14:paraId="3B22317E">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spacing w:val="-11"/>
                <w:sz w:val="22"/>
                <w:szCs w:val="22"/>
                <w:highlight w:val="none"/>
              </w:rPr>
            </w:pPr>
            <w:r>
              <w:rPr>
                <w:rFonts w:hint="eastAsia" w:ascii="宋体" w:hAnsi="宋体" w:eastAsia="宋体" w:cs="宋体"/>
                <w:color w:val="auto"/>
                <w:kern w:val="0"/>
                <w:sz w:val="22"/>
                <w:szCs w:val="22"/>
                <w:highlight w:val="none"/>
              </w:rPr>
              <w:t>安全、文明施工管理（15分）</w:t>
            </w:r>
          </w:p>
        </w:tc>
        <w:tc>
          <w:tcPr>
            <w:tcW w:w="3914" w:type="dxa"/>
            <w:noWrap w:val="0"/>
            <w:vAlign w:val="center"/>
          </w:tcPr>
          <w:p w14:paraId="1DEF41A3">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1.施工期间，必须在作业区域设置规定的防护措施（按照《温州市市政设施管理条例》等执行，包括围挡、警示标志等），以保证过往行人及车辆通行安全。</w:t>
            </w:r>
          </w:p>
        </w:tc>
        <w:tc>
          <w:tcPr>
            <w:tcW w:w="2945" w:type="dxa"/>
            <w:noWrap w:val="0"/>
            <w:vAlign w:val="center"/>
          </w:tcPr>
          <w:p w14:paraId="3FCC96DE">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防护措施不到位或防护措施破损未及时修复或不整洁的，发现一起扣1分；未设置防护措施的，发现一起扣2分；各类检查期间防护措施不到位的，扣5分。</w:t>
            </w:r>
          </w:p>
        </w:tc>
        <w:tc>
          <w:tcPr>
            <w:tcW w:w="873" w:type="dxa"/>
            <w:noWrap w:val="0"/>
            <w:vAlign w:val="center"/>
          </w:tcPr>
          <w:p w14:paraId="6A621E63">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4170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70" w:type="dxa"/>
            <w:vMerge w:val="continue"/>
            <w:noWrap w:val="0"/>
            <w:vAlign w:val="center"/>
          </w:tcPr>
          <w:p w14:paraId="54FB8925">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1336" w:type="dxa"/>
            <w:vMerge w:val="continue"/>
            <w:noWrap w:val="0"/>
            <w:vAlign w:val="center"/>
          </w:tcPr>
          <w:p w14:paraId="45A612C0">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kern w:val="0"/>
                <w:sz w:val="22"/>
                <w:szCs w:val="22"/>
                <w:highlight w:val="none"/>
              </w:rPr>
            </w:pPr>
          </w:p>
        </w:tc>
        <w:tc>
          <w:tcPr>
            <w:tcW w:w="3914" w:type="dxa"/>
            <w:noWrap w:val="0"/>
            <w:vAlign w:val="center"/>
          </w:tcPr>
          <w:p w14:paraId="6E299E68">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2.对于施工时间超过15天的维养工程，施工单位要设置公示牌（工程两端面向道路来车方向各设置一块），公布负责人、监督电话和施工期限，以备巡视、督查时验查和市民监督。</w:t>
            </w:r>
          </w:p>
        </w:tc>
        <w:tc>
          <w:tcPr>
            <w:tcW w:w="2945" w:type="dxa"/>
            <w:noWrap w:val="0"/>
            <w:vAlign w:val="center"/>
          </w:tcPr>
          <w:p w14:paraId="53411514">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未设置公示牌的，发现一起扣1分。</w:t>
            </w:r>
          </w:p>
        </w:tc>
        <w:tc>
          <w:tcPr>
            <w:tcW w:w="873" w:type="dxa"/>
            <w:noWrap w:val="0"/>
            <w:vAlign w:val="center"/>
          </w:tcPr>
          <w:p w14:paraId="012FD4B8">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3781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70" w:type="dxa"/>
            <w:vMerge w:val="continue"/>
            <w:noWrap w:val="0"/>
            <w:vAlign w:val="center"/>
          </w:tcPr>
          <w:p w14:paraId="2E7DD556">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1336" w:type="dxa"/>
            <w:vMerge w:val="continue"/>
            <w:noWrap w:val="0"/>
            <w:vAlign w:val="center"/>
          </w:tcPr>
          <w:p w14:paraId="000F9882">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c>
          <w:tcPr>
            <w:tcW w:w="3914" w:type="dxa"/>
            <w:noWrap w:val="0"/>
            <w:vAlign w:val="center"/>
          </w:tcPr>
          <w:p w14:paraId="14EE594C">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3.各类材料、机具设备按规定整齐堆放，不得随意侵占道路及安全防护等设施。</w:t>
            </w:r>
          </w:p>
        </w:tc>
        <w:tc>
          <w:tcPr>
            <w:tcW w:w="2945" w:type="dxa"/>
            <w:noWrap w:val="0"/>
            <w:vAlign w:val="center"/>
          </w:tcPr>
          <w:p w14:paraId="40A02A46">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随意侵占其他道路资源的，发现一起扣1分。</w:t>
            </w:r>
          </w:p>
        </w:tc>
        <w:tc>
          <w:tcPr>
            <w:tcW w:w="873" w:type="dxa"/>
            <w:noWrap w:val="0"/>
            <w:vAlign w:val="center"/>
          </w:tcPr>
          <w:p w14:paraId="4FDDBF13">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4101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70" w:type="dxa"/>
            <w:vMerge w:val="continue"/>
            <w:noWrap w:val="0"/>
            <w:vAlign w:val="center"/>
          </w:tcPr>
          <w:p w14:paraId="3AD37D27">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1336" w:type="dxa"/>
            <w:vMerge w:val="continue"/>
            <w:noWrap w:val="0"/>
            <w:vAlign w:val="center"/>
          </w:tcPr>
          <w:p w14:paraId="549DFF76">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c>
          <w:tcPr>
            <w:tcW w:w="3914" w:type="dxa"/>
            <w:noWrap w:val="0"/>
            <w:vAlign w:val="center"/>
          </w:tcPr>
          <w:p w14:paraId="1228E098">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4.施工期间，严格安全防护措施，严防安全事故发生。</w:t>
            </w:r>
          </w:p>
        </w:tc>
        <w:tc>
          <w:tcPr>
            <w:tcW w:w="2945" w:type="dxa"/>
            <w:noWrap w:val="0"/>
            <w:vAlign w:val="center"/>
          </w:tcPr>
          <w:p w14:paraId="2036C008">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发生安全事故的，每次最低扣10分。</w:t>
            </w:r>
          </w:p>
        </w:tc>
        <w:tc>
          <w:tcPr>
            <w:tcW w:w="873" w:type="dxa"/>
            <w:noWrap w:val="0"/>
            <w:vAlign w:val="center"/>
          </w:tcPr>
          <w:p w14:paraId="78789905">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6357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70" w:type="dxa"/>
            <w:vMerge w:val="continue"/>
            <w:noWrap w:val="0"/>
            <w:vAlign w:val="center"/>
          </w:tcPr>
          <w:p w14:paraId="0FBE19AB">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1336" w:type="dxa"/>
            <w:vMerge w:val="continue"/>
            <w:noWrap w:val="0"/>
            <w:vAlign w:val="center"/>
          </w:tcPr>
          <w:p w14:paraId="6CF6963B">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c>
          <w:tcPr>
            <w:tcW w:w="3914" w:type="dxa"/>
            <w:noWrap w:val="0"/>
            <w:vAlign w:val="center"/>
          </w:tcPr>
          <w:p w14:paraId="21135992">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5.禁止直接在路面上拌和砂浆与水泥混凝土，并尽量控制扬尘和噪音。</w:t>
            </w:r>
          </w:p>
        </w:tc>
        <w:tc>
          <w:tcPr>
            <w:tcW w:w="2945" w:type="dxa"/>
            <w:noWrap w:val="0"/>
            <w:vAlign w:val="center"/>
          </w:tcPr>
          <w:p w14:paraId="27673277">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施工造成路面扬尘或严重噪音，而不加以控制的，发现一起扣1分；直接在路面上搅拌砂浆或混凝土的，发现一起扣2分。</w:t>
            </w:r>
          </w:p>
        </w:tc>
        <w:tc>
          <w:tcPr>
            <w:tcW w:w="873" w:type="dxa"/>
            <w:noWrap w:val="0"/>
            <w:vAlign w:val="center"/>
          </w:tcPr>
          <w:p w14:paraId="476043F2">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7B6E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70" w:type="dxa"/>
            <w:vMerge w:val="continue"/>
            <w:noWrap w:val="0"/>
            <w:vAlign w:val="center"/>
          </w:tcPr>
          <w:p w14:paraId="4411AC6D">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1336" w:type="dxa"/>
            <w:vMerge w:val="continue"/>
            <w:noWrap w:val="0"/>
            <w:vAlign w:val="center"/>
          </w:tcPr>
          <w:p w14:paraId="5A06BA2A">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c>
          <w:tcPr>
            <w:tcW w:w="3914" w:type="dxa"/>
            <w:noWrap w:val="0"/>
            <w:vAlign w:val="center"/>
          </w:tcPr>
          <w:p w14:paraId="53E98A0A">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6.施工中产生的各类垃圾应及时清运，严禁随意堆放。</w:t>
            </w:r>
          </w:p>
        </w:tc>
        <w:tc>
          <w:tcPr>
            <w:tcW w:w="2945" w:type="dxa"/>
            <w:noWrap w:val="0"/>
            <w:vAlign w:val="center"/>
          </w:tcPr>
          <w:p w14:paraId="468C5CD6">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垃圾未及时清运并未做好防护措施，或已做好防护措施，但侵占公共自行车停放点等公共区域的，发现一起扣1分。</w:t>
            </w:r>
          </w:p>
        </w:tc>
        <w:tc>
          <w:tcPr>
            <w:tcW w:w="873" w:type="dxa"/>
            <w:noWrap w:val="0"/>
            <w:vAlign w:val="center"/>
          </w:tcPr>
          <w:p w14:paraId="07D75A87">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0E75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70" w:type="dxa"/>
            <w:vMerge w:val="continue"/>
            <w:noWrap w:val="0"/>
            <w:vAlign w:val="center"/>
          </w:tcPr>
          <w:p w14:paraId="5491C8B2">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1336" w:type="dxa"/>
            <w:vMerge w:val="continue"/>
            <w:noWrap w:val="0"/>
            <w:vAlign w:val="center"/>
          </w:tcPr>
          <w:p w14:paraId="3CE7724D">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c>
          <w:tcPr>
            <w:tcW w:w="3914" w:type="dxa"/>
            <w:noWrap w:val="0"/>
            <w:vAlign w:val="center"/>
          </w:tcPr>
          <w:p w14:paraId="2183A709">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7.施工（养护）作业人员上岗前必须进行安全教育和技术培训，进入施工作业现场内的人员，必须穿戴具有反光功能、统一的安全标志服或反光背心等。</w:t>
            </w:r>
          </w:p>
        </w:tc>
        <w:tc>
          <w:tcPr>
            <w:tcW w:w="2945" w:type="dxa"/>
            <w:noWrap w:val="0"/>
            <w:vAlign w:val="center"/>
          </w:tcPr>
          <w:p w14:paraId="0895F9D1">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违反规定一次，扣1分。</w:t>
            </w:r>
          </w:p>
        </w:tc>
        <w:tc>
          <w:tcPr>
            <w:tcW w:w="873" w:type="dxa"/>
            <w:noWrap w:val="0"/>
            <w:vAlign w:val="center"/>
          </w:tcPr>
          <w:p w14:paraId="48294720">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7F33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70" w:type="dxa"/>
            <w:vMerge w:val="restart"/>
            <w:noWrap w:val="0"/>
            <w:vAlign w:val="center"/>
          </w:tcPr>
          <w:p w14:paraId="63D62ADD">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eastAsia="zh-CN"/>
              </w:rPr>
            </w:pPr>
            <w:r>
              <w:rPr>
                <w:rFonts w:hint="eastAsia" w:ascii="宋体" w:hAnsi="宋体" w:eastAsia="宋体" w:cs="宋体"/>
                <w:color w:val="auto"/>
                <w:spacing w:val="-11"/>
                <w:sz w:val="22"/>
                <w:szCs w:val="22"/>
                <w:highlight w:val="none"/>
                <w:lang w:eastAsia="zh-CN"/>
              </w:rPr>
              <w:t>五</w:t>
            </w:r>
          </w:p>
        </w:tc>
        <w:tc>
          <w:tcPr>
            <w:tcW w:w="1336" w:type="dxa"/>
            <w:vMerge w:val="restart"/>
            <w:noWrap w:val="0"/>
            <w:vAlign w:val="center"/>
          </w:tcPr>
          <w:p w14:paraId="553FDBEE">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交办督办处置(15分)</w:t>
            </w:r>
          </w:p>
        </w:tc>
        <w:tc>
          <w:tcPr>
            <w:tcW w:w="3914" w:type="dxa"/>
            <w:noWrap w:val="0"/>
            <w:vAlign w:val="center"/>
          </w:tcPr>
          <w:p w14:paraId="5F7CE7AA">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1.按时处置交办</w:t>
            </w:r>
          </w:p>
        </w:tc>
        <w:tc>
          <w:tcPr>
            <w:tcW w:w="2945" w:type="dxa"/>
            <w:noWrap w:val="0"/>
            <w:vAlign w:val="center"/>
          </w:tcPr>
          <w:p w14:paraId="703C488B">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指挥中心、智慧城管等交办道路设施问题未按期处置（办理）的，发生一次扣2分；处置（办理）不到位的或出现返工的，发生一次扣2分。</w:t>
            </w:r>
          </w:p>
        </w:tc>
        <w:tc>
          <w:tcPr>
            <w:tcW w:w="873" w:type="dxa"/>
            <w:noWrap w:val="0"/>
            <w:vAlign w:val="center"/>
          </w:tcPr>
          <w:p w14:paraId="7AA20DD3">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r>
      <w:tr w14:paraId="1A52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70" w:type="dxa"/>
            <w:vMerge w:val="continue"/>
            <w:noWrap w:val="0"/>
            <w:vAlign w:val="center"/>
          </w:tcPr>
          <w:p w14:paraId="7B693F18">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c>
          <w:tcPr>
            <w:tcW w:w="1336" w:type="dxa"/>
            <w:vMerge w:val="continue"/>
            <w:noWrap w:val="0"/>
            <w:vAlign w:val="center"/>
          </w:tcPr>
          <w:p w14:paraId="66ACCB85">
            <w:pPr>
              <w:keepNext w:val="0"/>
              <w:keepLines w:val="0"/>
              <w:pageBreakBefore w:val="0"/>
              <w:kinsoku/>
              <w:wordWrap/>
              <w:overflowPunct/>
              <w:topLinePunct w:val="0"/>
              <w:bidi w:val="0"/>
              <w:adjustRightInd/>
              <w:snapToGrid w:val="0"/>
              <w:spacing w:line="460" w:lineRule="exact"/>
              <w:jc w:val="center"/>
              <w:rPr>
                <w:rFonts w:hint="eastAsia" w:ascii="宋体" w:hAnsi="宋体" w:eastAsia="宋体" w:cs="宋体"/>
                <w:color w:val="auto"/>
                <w:spacing w:val="-11"/>
                <w:sz w:val="22"/>
                <w:szCs w:val="22"/>
                <w:highlight w:val="none"/>
                <w:lang w:val="zh-CN"/>
              </w:rPr>
            </w:pPr>
          </w:p>
        </w:tc>
        <w:tc>
          <w:tcPr>
            <w:tcW w:w="3914" w:type="dxa"/>
            <w:noWrap w:val="0"/>
            <w:vAlign w:val="center"/>
          </w:tcPr>
          <w:p w14:paraId="43EAFBC3">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2.重点督办整改</w:t>
            </w:r>
          </w:p>
        </w:tc>
        <w:tc>
          <w:tcPr>
            <w:tcW w:w="2945" w:type="dxa"/>
            <w:noWrap w:val="0"/>
            <w:vAlign w:val="center"/>
          </w:tcPr>
          <w:p w14:paraId="7479EEFC">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社会反映的热点、焦点问题和市政府阶段重点工作保障任务、领导重要批示要求、市局巡查督办等重点督办件办理、回复不及时的，发现一次扣2分。</w:t>
            </w:r>
          </w:p>
        </w:tc>
        <w:tc>
          <w:tcPr>
            <w:tcW w:w="873" w:type="dxa"/>
            <w:noWrap w:val="0"/>
            <w:vAlign w:val="center"/>
          </w:tcPr>
          <w:p w14:paraId="189F9626">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r>
      <w:tr w14:paraId="503B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70" w:type="dxa"/>
            <w:vMerge w:val="restart"/>
            <w:noWrap w:val="0"/>
            <w:vAlign w:val="center"/>
          </w:tcPr>
          <w:p w14:paraId="388A52F9">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eastAsia="zh-CN"/>
              </w:rPr>
            </w:pPr>
            <w:r>
              <w:rPr>
                <w:rFonts w:hint="eastAsia" w:ascii="宋体" w:hAnsi="宋体" w:eastAsia="宋体" w:cs="宋体"/>
                <w:color w:val="auto"/>
                <w:spacing w:val="-11"/>
                <w:sz w:val="22"/>
                <w:szCs w:val="22"/>
                <w:highlight w:val="none"/>
                <w:lang w:eastAsia="zh-CN"/>
              </w:rPr>
              <w:t>六</w:t>
            </w:r>
          </w:p>
        </w:tc>
        <w:tc>
          <w:tcPr>
            <w:tcW w:w="1336" w:type="dxa"/>
            <w:vMerge w:val="restart"/>
            <w:noWrap w:val="0"/>
            <w:vAlign w:val="center"/>
          </w:tcPr>
          <w:p w14:paraId="6C9CCD45">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市政设施突发事故及自然灾害（如台风暴雨等）的应急处置情况（5分）</w:t>
            </w:r>
          </w:p>
        </w:tc>
        <w:tc>
          <w:tcPr>
            <w:tcW w:w="3914" w:type="dxa"/>
            <w:noWrap w:val="0"/>
            <w:vAlign w:val="center"/>
          </w:tcPr>
          <w:p w14:paraId="6682BD13">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1.根据防汛防台应急预案、道桥坍塌应急预案等内容，在应急事项出现时能根据预案要求，及时开展工程抢险，并做好善后处置。</w:t>
            </w:r>
          </w:p>
        </w:tc>
        <w:tc>
          <w:tcPr>
            <w:tcW w:w="2945" w:type="dxa"/>
            <w:noWrap w:val="0"/>
            <w:vAlign w:val="center"/>
          </w:tcPr>
          <w:p w14:paraId="38EC67EE">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未能及时赶赴现场的，扣2分；未对突发事件进行及时有效处理的或善后工作未做好，引起的事故的，扣5分。</w:t>
            </w:r>
          </w:p>
        </w:tc>
        <w:tc>
          <w:tcPr>
            <w:tcW w:w="873" w:type="dxa"/>
            <w:vMerge w:val="restart"/>
            <w:noWrap w:val="0"/>
            <w:vAlign w:val="center"/>
          </w:tcPr>
          <w:p w14:paraId="707AE00D">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r>
      <w:tr w14:paraId="3E55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70" w:type="dxa"/>
            <w:vMerge w:val="continue"/>
            <w:noWrap w:val="0"/>
            <w:vAlign w:val="center"/>
          </w:tcPr>
          <w:p w14:paraId="6C9BA2E9">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1336" w:type="dxa"/>
            <w:vMerge w:val="continue"/>
            <w:noWrap w:val="0"/>
            <w:vAlign w:val="center"/>
          </w:tcPr>
          <w:p w14:paraId="7E008A71">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kern w:val="0"/>
                <w:sz w:val="22"/>
                <w:szCs w:val="22"/>
                <w:highlight w:val="none"/>
              </w:rPr>
            </w:pPr>
          </w:p>
        </w:tc>
        <w:tc>
          <w:tcPr>
            <w:tcW w:w="3914" w:type="dxa"/>
            <w:noWrap w:val="0"/>
            <w:vAlign w:val="center"/>
          </w:tcPr>
          <w:p w14:paraId="5D0F26FA">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2.做好设施保护范围内巡检，发现违章施工、设施遭破坏等，及时报告、采取措施和协助执法。</w:t>
            </w:r>
          </w:p>
        </w:tc>
        <w:tc>
          <w:tcPr>
            <w:tcW w:w="2945" w:type="dxa"/>
            <w:noWrap w:val="0"/>
            <w:vAlign w:val="center"/>
          </w:tcPr>
          <w:p w14:paraId="7FA1AF03">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未及时报告的每次扣1分，未采取措施或措施不力的每次扣2分。</w:t>
            </w:r>
          </w:p>
        </w:tc>
        <w:tc>
          <w:tcPr>
            <w:tcW w:w="873" w:type="dxa"/>
            <w:vMerge w:val="continue"/>
            <w:noWrap w:val="0"/>
            <w:vAlign w:val="center"/>
          </w:tcPr>
          <w:p w14:paraId="5B5D3BB7">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r>
      <w:tr w14:paraId="52A6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70" w:type="dxa"/>
            <w:noWrap w:val="0"/>
            <w:vAlign w:val="center"/>
          </w:tcPr>
          <w:p w14:paraId="4B133F6E">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eastAsia="zh-CN"/>
              </w:rPr>
            </w:pPr>
            <w:r>
              <w:rPr>
                <w:rFonts w:hint="eastAsia" w:ascii="宋体" w:hAnsi="宋体" w:eastAsia="宋体" w:cs="宋体"/>
                <w:color w:val="auto"/>
                <w:spacing w:val="-11"/>
                <w:sz w:val="22"/>
                <w:szCs w:val="22"/>
                <w:highlight w:val="none"/>
                <w:lang w:eastAsia="zh-CN"/>
              </w:rPr>
              <w:t>七</w:t>
            </w:r>
          </w:p>
        </w:tc>
        <w:tc>
          <w:tcPr>
            <w:tcW w:w="1336" w:type="dxa"/>
            <w:noWrap w:val="0"/>
            <w:vAlign w:val="center"/>
          </w:tcPr>
          <w:p w14:paraId="29825901">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被媒体曝光或领导发现批示等内容（5分）</w:t>
            </w:r>
          </w:p>
        </w:tc>
        <w:tc>
          <w:tcPr>
            <w:tcW w:w="3914" w:type="dxa"/>
            <w:noWrap w:val="0"/>
            <w:vAlign w:val="center"/>
          </w:tcPr>
          <w:p w14:paraId="1B019766">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加强文明、安全施工等管理工作，并做好与工程现场周边社区、居民的沟通，尽量避免投诉反映。</w:t>
            </w:r>
          </w:p>
        </w:tc>
        <w:tc>
          <w:tcPr>
            <w:tcW w:w="2945" w:type="dxa"/>
            <w:noWrap w:val="0"/>
            <w:vAlign w:val="center"/>
          </w:tcPr>
          <w:p w14:paraId="418C63E2">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有责投诉一次，扣1分；领导发现批示一次，扣2.5分；被媒体曝光一次扣5分。</w:t>
            </w:r>
          </w:p>
        </w:tc>
        <w:tc>
          <w:tcPr>
            <w:tcW w:w="873" w:type="dxa"/>
            <w:noWrap w:val="0"/>
            <w:vAlign w:val="center"/>
          </w:tcPr>
          <w:p w14:paraId="2CF26F33">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r>
      <w:tr w14:paraId="3A91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006" w:type="dxa"/>
            <w:gridSpan w:val="2"/>
            <w:noWrap w:val="0"/>
            <w:vAlign w:val="center"/>
          </w:tcPr>
          <w:p w14:paraId="471FEB1D">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spacing w:val="-11"/>
                <w:sz w:val="22"/>
                <w:szCs w:val="22"/>
                <w:highlight w:val="none"/>
                <w:lang w:val="zh-CN"/>
              </w:rPr>
              <w:t>合计</w:t>
            </w:r>
          </w:p>
        </w:tc>
        <w:tc>
          <w:tcPr>
            <w:tcW w:w="3914" w:type="dxa"/>
            <w:noWrap w:val="0"/>
            <w:vAlign w:val="center"/>
          </w:tcPr>
          <w:p w14:paraId="4265E8CE">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c>
          <w:tcPr>
            <w:tcW w:w="2945" w:type="dxa"/>
            <w:noWrap w:val="0"/>
            <w:vAlign w:val="center"/>
          </w:tcPr>
          <w:p w14:paraId="539F7697">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c>
          <w:tcPr>
            <w:tcW w:w="873" w:type="dxa"/>
            <w:noWrap w:val="0"/>
            <w:vAlign w:val="center"/>
          </w:tcPr>
          <w:p w14:paraId="39A15737">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r>
    </w:tbl>
    <w:p w14:paraId="44C2E522">
      <w:pPr>
        <w:keepNext w:val="0"/>
        <w:keepLines w:val="0"/>
        <w:pageBreakBefore w:val="0"/>
        <w:widowControl/>
        <w:kinsoku/>
        <w:wordWrap/>
        <w:overflowPunct/>
        <w:topLinePunct w:val="0"/>
        <w:autoSpaceDE w:val="0"/>
        <w:autoSpaceDN w:val="0"/>
        <w:bidi w:val="0"/>
        <w:adjustRightInd/>
        <w:spacing w:line="460" w:lineRule="exact"/>
        <w:textAlignment w:val="bottom"/>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考核人（工程负责人）：                                考核日期：</w:t>
      </w:r>
    </w:p>
    <w:p w14:paraId="7978AA37">
      <w:pPr>
        <w:keepNext w:val="0"/>
        <w:keepLines w:val="0"/>
        <w:pageBreakBefore w:val="0"/>
        <w:widowControl/>
        <w:kinsoku/>
        <w:wordWrap/>
        <w:overflowPunct/>
        <w:topLinePunct w:val="0"/>
        <w:autoSpaceDE w:val="0"/>
        <w:autoSpaceDN w:val="0"/>
        <w:bidi w:val="0"/>
        <w:adjustRightInd/>
        <w:spacing w:line="460" w:lineRule="exact"/>
        <w:textAlignment w:val="bottom"/>
        <w:rPr>
          <w:rFonts w:hint="eastAsia" w:ascii="宋体" w:hAnsi="宋体" w:eastAsia="宋体" w:cs="宋体"/>
          <w:b/>
          <w:color w:val="auto"/>
          <w:sz w:val="22"/>
          <w:szCs w:val="22"/>
          <w:highlight w:val="none"/>
          <w:lang w:val="zh-CN"/>
        </w:rPr>
      </w:pPr>
    </w:p>
    <w:p w14:paraId="3BFA9415">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zh-CN"/>
        </w:rPr>
        <w:t xml:space="preserve">考核单位（盖章）：                                     </w:t>
      </w:r>
      <w:r>
        <w:rPr>
          <w:rFonts w:hint="eastAsia" w:ascii="宋体" w:hAnsi="宋体" w:eastAsia="宋体" w:cs="宋体"/>
          <w:b/>
          <w:color w:val="auto"/>
          <w:sz w:val="22"/>
          <w:szCs w:val="22"/>
          <w:highlight w:val="none"/>
        </w:rPr>
        <w:t xml:space="preserve"> </w:t>
      </w:r>
      <w:r>
        <w:rPr>
          <w:rFonts w:hint="eastAsia" w:ascii="宋体" w:hAnsi="宋体" w:eastAsia="宋体" w:cs="宋体"/>
          <w:b/>
          <w:color w:val="auto"/>
          <w:sz w:val="22"/>
          <w:szCs w:val="22"/>
          <w:highlight w:val="none"/>
          <w:lang w:val="zh-CN"/>
        </w:rPr>
        <w:t xml:space="preserve"> 时 间：</w:t>
      </w:r>
      <w:r>
        <w:rPr>
          <w:rFonts w:hint="eastAsia" w:ascii="宋体" w:hAnsi="宋体" w:eastAsia="宋体" w:cs="宋体"/>
          <w:b/>
          <w:color w:val="auto"/>
          <w:sz w:val="22"/>
          <w:szCs w:val="22"/>
          <w:highlight w:val="none"/>
        </w:rPr>
        <w:t xml:space="preserve">   </w:t>
      </w:r>
    </w:p>
    <w:p w14:paraId="644F43F8">
      <w:pPr>
        <w:rPr>
          <w:rFonts w:hint="eastAsia" w:ascii="宋体" w:hAnsi="宋体" w:eastAsia="宋体" w:cs="宋体"/>
          <w:color w:val="auto"/>
          <w:highlight w:val="none"/>
        </w:rPr>
      </w:pPr>
      <w:r>
        <w:rPr>
          <w:rFonts w:hint="eastAsia" w:ascii="宋体" w:hAnsi="宋体" w:eastAsia="宋体" w:cs="宋体"/>
          <w:b/>
          <w:color w:val="auto"/>
          <w:sz w:val="22"/>
          <w:szCs w:val="22"/>
          <w:highlight w:val="none"/>
        </w:rPr>
        <w:t xml:space="preserve"> </w:t>
      </w:r>
      <w:r>
        <w:rPr>
          <w:rFonts w:hint="eastAsia" w:ascii="宋体" w:hAnsi="宋体" w:eastAsia="宋体" w:cs="宋体"/>
          <w:color w:val="auto"/>
          <w:highlight w:val="none"/>
        </w:rPr>
        <w:br w:type="page"/>
      </w:r>
    </w:p>
    <w:p w14:paraId="52554E41">
      <w:pPr>
        <w:pStyle w:val="3"/>
        <w:bidi w:val="0"/>
        <w:rPr>
          <w:rFonts w:hint="eastAsia" w:ascii="宋体" w:hAnsi="宋体" w:eastAsia="宋体" w:cs="宋体"/>
          <w:color w:val="auto"/>
          <w:highlight w:val="none"/>
        </w:rPr>
      </w:pPr>
      <w:r>
        <w:rPr>
          <w:rFonts w:hint="eastAsia" w:ascii="宋体" w:hAnsi="宋体" w:eastAsia="宋体" w:cs="宋体"/>
          <w:color w:val="auto"/>
          <w:highlight w:val="none"/>
        </w:rPr>
        <w:t>第三部分    附件</w:t>
      </w:r>
      <w:bookmarkEnd w:id="54"/>
      <w:bookmarkEnd w:id="55"/>
    </w:p>
    <w:p w14:paraId="7D821E34">
      <w:pPr>
        <w:pStyle w:val="22"/>
        <w:spacing w:line="460" w:lineRule="exact"/>
        <w:ind w:left="433" w:hanging="433" w:hangingChars="196"/>
        <w:outlineLvl w:val="1"/>
        <w:rPr>
          <w:rFonts w:hint="eastAsia" w:ascii="宋体" w:hAnsi="宋体" w:eastAsia="宋体" w:cs="宋体"/>
          <w:b/>
          <w:color w:val="auto"/>
          <w:sz w:val="22"/>
          <w:highlight w:val="none"/>
        </w:rPr>
      </w:pPr>
      <w:bookmarkStart w:id="56" w:name="_Toc6368"/>
      <w:bookmarkStart w:id="57" w:name="_Toc7056"/>
      <w:r>
        <w:rPr>
          <w:rFonts w:hint="eastAsia" w:ascii="宋体" w:hAnsi="宋体" w:eastAsia="宋体" w:cs="宋体"/>
          <w:b/>
          <w:color w:val="auto"/>
          <w:sz w:val="22"/>
          <w:highlight w:val="none"/>
        </w:rPr>
        <w:t>附件一</w:t>
      </w:r>
      <w:bookmarkEnd w:id="56"/>
      <w:bookmarkEnd w:id="57"/>
    </w:p>
    <w:p w14:paraId="4DFC565D">
      <w:pPr>
        <w:spacing w:line="400" w:lineRule="exact"/>
        <w:jc w:val="center"/>
        <w:outlineLvl w:val="2"/>
        <w:rPr>
          <w:rFonts w:hint="eastAsia" w:ascii="宋体" w:hAnsi="宋体" w:eastAsia="宋体" w:cs="宋体"/>
          <w:b/>
          <w:bCs/>
          <w:color w:val="auto"/>
          <w:sz w:val="28"/>
          <w:szCs w:val="28"/>
          <w:highlight w:val="none"/>
        </w:rPr>
      </w:pPr>
      <w:bookmarkStart w:id="58" w:name="_Toc5430"/>
      <w:bookmarkStart w:id="59" w:name="_Toc13365"/>
      <w:r>
        <w:rPr>
          <w:rFonts w:hint="eastAsia" w:ascii="宋体" w:hAnsi="宋体" w:eastAsia="宋体" w:cs="宋体"/>
          <w:b/>
          <w:bCs/>
          <w:color w:val="auto"/>
          <w:sz w:val="28"/>
          <w:szCs w:val="28"/>
          <w:highlight w:val="none"/>
        </w:rPr>
        <w:t>报价文件</w:t>
      </w:r>
      <w:bookmarkEnd w:id="58"/>
      <w:bookmarkEnd w:id="59"/>
    </w:p>
    <w:p w14:paraId="7CC651D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color w:val="auto"/>
          <w:sz w:val="28"/>
          <w:szCs w:val="28"/>
          <w:highlight w:val="none"/>
          <w:lang w:val="zh-CN"/>
        </w:rPr>
      </w:pPr>
    </w:p>
    <w:p w14:paraId="5BCAF624">
      <w:pPr>
        <w:spacing w:line="400" w:lineRule="exact"/>
        <w:jc w:val="center"/>
        <w:outlineLvl w:val="3"/>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1、投标函</w:t>
      </w:r>
    </w:p>
    <w:p w14:paraId="3B4522FE">
      <w:pPr>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lang w:eastAsia="zh-CN"/>
        </w:rPr>
        <w:t>温州市市政管理中心</w:t>
      </w:r>
    </w:p>
    <w:p w14:paraId="6A020B2D">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14:paraId="40884DCD">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14:paraId="4D948BF2">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2、我方承诺已经具备《中华人民共和国政府采购法》中规定的参加政府采购活动的供应商应当具备的条件：</w:t>
      </w:r>
    </w:p>
    <w:p w14:paraId="5DE071F8">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14:paraId="253C8661">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14:paraId="4444F815">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14:paraId="49A5CE35">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14:paraId="6A9A217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14:paraId="60373BE4">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14:paraId="142736AA">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14:paraId="09E4AE9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14:paraId="738B9818">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p w14:paraId="723D3EBC">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(2)报价文件；</w:t>
      </w:r>
    </w:p>
    <w:p w14:paraId="1A56F53F">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商务</w:t>
      </w:r>
      <w:r>
        <w:rPr>
          <w:rFonts w:hint="eastAsia" w:ascii="宋体" w:hAnsi="宋体" w:eastAsia="宋体" w:cs="宋体"/>
          <w:color w:val="auto"/>
          <w:kern w:val="0"/>
          <w:sz w:val="22"/>
          <w:szCs w:val="22"/>
          <w:highlight w:val="none"/>
          <w:lang w:val="zh-CN"/>
        </w:rPr>
        <w:t>技术文件</w:t>
      </w:r>
      <w:r>
        <w:rPr>
          <w:rFonts w:hint="eastAsia" w:ascii="宋体" w:hAnsi="宋体" w:eastAsia="宋体" w:cs="宋体"/>
          <w:color w:val="auto"/>
          <w:sz w:val="22"/>
          <w:szCs w:val="22"/>
          <w:highlight w:val="none"/>
        </w:rPr>
        <w:t>；</w:t>
      </w:r>
    </w:p>
    <w:p w14:paraId="3B4A763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要求投标人提交的全部文件；</w:t>
      </w:r>
    </w:p>
    <w:p w14:paraId="7288215F">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(5)按招标文件要求提供和交付的货物和服务的投标报价详见开标一览表；</w:t>
      </w:r>
    </w:p>
    <w:p w14:paraId="62600C54">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(6)保证忠实地执行双方所签订的合同，并承担合同规定的责任和义务；</w:t>
      </w:r>
    </w:p>
    <w:p w14:paraId="11EA0425">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(7)保证遵守招标文件中的其他有关规定。</w:t>
      </w:r>
    </w:p>
    <w:p w14:paraId="158373B0">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14:paraId="01F8AE88">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14:paraId="7DC0907C">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200CD687">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7、如中标，按招标文件规定的招标代理服务费标准，在领取中标通知书时向招标代理机构支付招标代理服务费。</w:t>
      </w:r>
    </w:p>
    <w:p w14:paraId="11884EAC">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14:paraId="73893B15">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4E266881">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F96B527">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14:paraId="2476DB3A">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(2)采取不正当手段诋毁、排挤其他供应商的；</w:t>
      </w:r>
    </w:p>
    <w:p w14:paraId="6867BE26">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(3)与招标人、其它供应商或者招标代理机构恶意串通的；</w:t>
      </w:r>
    </w:p>
    <w:p w14:paraId="089BB5FC">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(4)向招标人、招标代理机构行贿或者提供其他不正当利益的；</w:t>
      </w:r>
    </w:p>
    <w:p w14:paraId="6C02E2F0">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(5)在招标采购过程中与招标人进行协商谈判的；</w:t>
      </w:r>
    </w:p>
    <w:p w14:paraId="79F403D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14:paraId="05649C8D">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供应商有前款第(1)至(5)项情形之一的，中标、成交无效。</w:t>
      </w:r>
    </w:p>
    <w:p w14:paraId="5FA11BBC">
      <w:pPr>
        <w:shd w:val="clear" w:color="auto" w:fill="FFFFFF"/>
        <w:snapToGrid w:val="0"/>
        <w:spacing w:line="360" w:lineRule="auto"/>
        <w:rPr>
          <w:rFonts w:hint="eastAsia" w:ascii="宋体" w:hAnsi="宋体" w:eastAsia="宋体" w:cs="宋体"/>
          <w:color w:val="auto"/>
          <w:kern w:val="0"/>
          <w:sz w:val="22"/>
          <w:szCs w:val="22"/>
          <w:highlight w:val="none"/>
          <w:lang w:val="zh-CN"/>
        </w:rPr>
      </w:pPr>
    </w:p>
    <w:p w14:paraId="36A3AB93">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14:paraId="5E2B88CD">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投标人盖 章：</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14:paraId="13317210">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传真：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电子邮件：  </w:t>
      </w:r>
      <w:r>
        <w:rPr>
          <w:rFonts w:hint="eastAsia" w:ascii="宋体" w:hAnsi="宋体" w:eastAsia="宋体" w:cs="宋体"/>
          <w:color w:val="auto"/>
          <w:kern w:val="0"/>
          <w:sz w:val="22"/>
          <w:szCs w:val="22"/>
          <w:highlight w:val="none"/>
          <w:u w:val="single"/>
          <w:lang w:val="zh-CN"/>
        </w:rPr>
        <w:t xml:space="preserve">              </w:t>
      </w:r>
    </w:p>
    <w:p w14:paraId="4FD33F41">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14:paraId="2848FA9B">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传真号码：</w:t>
      </w:r>
      <w:r>
        <w:rPr>
          <w:rFonts w:hint="eastAsia" w:ascii="宋体" w:hAnsi="宋体" w:eastAsia="宋体" w:cs="宋体"/>
          <w:color w:val="auto"/>
          <w:kern w:val="0"/>
          <w:sz w:val="22"/>
          <w:szCs w:val="22"/>
          <w:highlight w:val="none"/>
          <w:u w:val="single"/>
          <w:lang w:val="zh-CN"/>
        </w:rPr>
        <w:t xml:space="preserve">                     </w:t>
      </w:r>
    </w:p>
    <w:p w14:paraId="7725CBD0">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14:paraId="59F8ADD5">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14:paraId="22C5C7B4">
      <w:pPr>
        <w:pStyle w:val="22"/>
        <w:ind w:left="442" w:hanging="442"/>
        <w:rPr>
          <w:rFonts w:hint="eastAsia" w:ascii="宋体" w:hAnsi="宋体" w:eastAsia="宋体" w:cs="宋体"/>
          <w:b/>
          <w:bCs/>
          <w:color w:val="auto"/>
          <w:sz w:val="22"/>
          <w:szCs w:val="22"/>
          <w:highlight w:val="none"/>
        </w:rPr>
      </w:pPr>
    </w:p>
    <w:p w14:paraId="261D953B">
      <w:pPr>
        <w:pStyle w:val="22"/>
        <w:ind w:left="442" w:hanging="442"/>
        <w:rPr>
          <w:rFonts w:hint="eastAsia" w:ascii="宋体" w:hAnsi="宋体" w:eastAsia="宋体" w:cs="宋体"/>
          <w:b/>
          <w:bCs/>
          <w:color w:val="auto"/>
          <w:sz w:val="22"/>
          <w:szCs w:val="22"/>
          <w:highlight w:val="none"/>
        </w:rPr>
      </w:pPr>
    </w:p>
    <w:p w14:paraId="0A30940F">
      <w:pPr>
        <w:pStyle w:val="22"/>
        <w:ind w:left="442" w:hanging="442"/>
        <w:rPr>
          <w:rFonts w:hint="eastAsia" w:ascii="宋体" w:hAnsi="宋体" w:eastAsia="宋体" w:cs="宋体"/>
          <w:b/>
          <w:bCs/>
          <w:color w:val="auto"/>
          <w:sz w:val="22"/>
          <w:szCs w:val="22"/>
          <w:highlight w:val="none"/>
        </w:rPr>
      </w:pPr>
    </w:p>
    <w:p w14:paraId="29BCB00B">
      <w:pPr>
        <w:pStyle w:val="22"/>
        <w:ind w:left="442" w:hanging="442"/>
        <w:rPr>
          <w:rFonts w:hint="eastAsia" w:ascii="宋体" w:hAnsi="宋体" w:eastAsia="宋体" w:cs="宋体"/>
          <w:b/>
          <w:bCs/>
          <w:color w:val="auto"/>
          <w:sz w:val="22"/>
          <w:szCs w:val="22"/>
          <w:highlight w:val="none"/>
        </w:rPr>
      </w:pPr>
    </w:p>
    <w:p w14:paraId="1B61163B">
      <w:pPr>
        <w:pStyle w:val="22"/>
        <w:ind w:left="442" w:hanging="442"/>
        <w:rPr>
          <w:rFonts w:hint="eastAsia" w:ascii="宋体" w:hAnsi="宋体" w:eastAsia="宋体" w:cs="宋体"/>
          <w:b/>
          <w:bCs/>
          <w:color w:val="auto"/>
          <w:sz w:val="22"/>
          <w:szCs w:val="22"/>
          <w:highlight w:val="none"/>
        </w:rPr>
      </w:pPr>
    </w:p>
    <w:p w14:paraId="6E5098E8">
      <w:pPr>
        <w:pStyle w:val="22"/>
        <w:ind w:left="442" w:hanging="442"/>
        <w:rPr>
          <w:rFonts w:hint="eastAsia" w:ascii="宋体" w:hAnsi="宋体" w:eastAsia="宋体" w:cs="宋体"/>
          <w:b/>
          <w:bCs/>
          <w:color w:val="auto"/>
          <w:sz w:val="22"/>
          <w:szCs w:val="22"/>
          <w:highlight w:val="none"/>
        </w:rPr>
      </w:pPr>
    </w:p>
    <w:p w14:paraId="3898137F">
      <w:pPr>
        <w:pStyle w:val="22"/>
        <w:ind w:left="442" w:hanging="442"/>
        <w:rPr>
          <w:rFonts w:hint="eastAsia" w:ascii="宋体" w:hAnsi="宋体" w:eastAsia="宋体" w:cs="宋体"/>
          <w:b/>
          <w:bCs/>
          <w:color w:val="auto"/>
          <w:sz w:val="22"/>
          <w:szCs w:val="22"/>
          <w:highlight w:val="none"/>
        </w:rPr>
      </w:pPr>
    </w:p>
    <w:p w14:paraId="29F2AB1C">
      <w:pPr>
        <w:pStyle w:val="22"/>
        <w:ind w:left="442" w:hanging="442"/>
        <w:rPr>
          <w:rFonts w:hint="eastAsia" w:ascii="宋体" w:hAnsi="宋体" w:eastAsia="宋体" w:cs="宋体"/>
          <w:b/>
          <w:bCs/>
          <w:color w:val="auto"/>
          <w:sz w:val="22"/>
          <w:szCs w:val="22"/>
          <w:highlight w:val="none"/>
        </w:rPr>
      </w:pPr>
    </w:p>
    <w:p w14:paraId="40E3E0E5">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14:paraId="310DA1D6">
      <w:pPr>
        <w:pStyle w:val="22"/>
        <w:ind w:left="0" w:firstLine="0" w:firstLineChars="0"/>
        <w:rPr>
          <w:rFonts w:hint="eastAsia" w:ascii="宋体" w:hAnsi="宋体" w:eastAsia="宋体" w:cs="宋体"/>
          <w:b/>
          <w:bCs/>
          <w:color w:val="auto"/>
          <w:sz w:val="22"/>
          <w:szCs w:val="22"/>
          <w:highlight w:val="none"/>
        </w:rPr>
      </w:pPr>
    </w:p>
    <w:p w14:paraId="4F71EE65">
      <w:pPr>
        <w:pStyle w:val="22"/>
        <w:ind w:left="0" w:firstLine="0" w:firstLineChars="0"/>
        <w:rPr>
          <w:rFonts w:hint="eastAsia" w:ascii="宋体" w:hAnsi="宋体" w:eastAsia="宋体" w:cs="宋体"/>
          <w:b/>
          <w:bCs/>
          <w:color w:val="auto"/>
          <w:sz w:val="22"/>
          <w:szCs w:val="22"/>
          <w:highlight w:val="none"/>
        </w:rPr>
      </w:pPr>
    </w:p>
    <w:p w14:paraId="3F2CD198">
      <w:pPr>
        <w:spacing w:line="240" w:lineRule="auto"/>
        <w:jc w:val="left"/>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28635367">
      <w:pPr>
        <w:spacing w:line="400" w:lineRule="exact"/>
        <w:jc w:val="center"/>
        <w:outlineLvl w:val="3"/>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val="zh-CN"/>
        </w:rPr>
        <w:t>投标报价一览表</w:t>
      </w:r>
    </w:p>
    <w:p w14:paraId="22A5A7A1">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14:paraId="67D0C1E3">
      <w:pPr>
        <w:spacing w:line="38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w:t>
      </w:r>
    </w:p>
    <w:p w14:paraId="76EB4CE0">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WZLCZB（W）-2025-06054</w:t>
      </w:r>
    </w:p>
    <w:p w14:paraId="31A981B4">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eastAsia="宋体"/>
          <w:color w:val="auto"/>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瓯越大道接管期保养</w:t>
      </w:r>
    </w:p>
    <w:tbl>
      <w:tblPr>
        <w:tblStyle w:val="53"/>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22"/>
        <w:gridCol w:w="5413"/>
        <w:gridCol w:w="868"/>
      </w:tblGrid>
      <w:tr w14:paraId="5033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vAlign w:val="center"/>
          </w:tcPr>
          <w:p w14:paraId="43BEECA6">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522" w:type="dxa"/>
            <w:vAlign w:val="center"/>
          </w:tcPr>
          <w:p w14:paraId="19DDE51C">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项目名称</w:t>
            </w:r>
          </w:p>
        </w:tc>
        <w:tc>
          <w:tcPr>
            <w:tcW w:w="5413" w:type="dxa"/>
            <w:vAlign w:val="center"/>
          </w:tcPr>
          <w:p w14:paraId="42BC89E6">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报价（人民币）</w:t>
            </w:r>
          </w:p>
        </w:tc>
        <w:tc>
          <w:tcPr>
            <w:tcW w:w="868" w:type="dxa"/>
            <w:vAlign w:val="center"/>
          </w:tcPr>
          <w:p w14:paraId="4471A73C">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14:paraId="00E6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815" w:type="dxa"/>
            <w:vAlign w:val="center"/>
          </w:tcPr>
          <w:p w14:paraId="38208161">
            <w:pPr>
              <w:spacing w:line="380" w:lineRule="exac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1</w:t>
            </w:r>
          </w:p>
        </w:tc>
        <w:tc>
          <w:tcPr>
            <w:tcW w:w="2522" w:type="dxa"/>
            <w:vAlign w:val="center"/>
          </w:tcPr>
          <w:p w14:paraId="7288603D">
            <w:pPr>
              <w:jc w:val="center"/>
              <w:rPr>
                <w:rFonts w:hint="eastAsia"/>
                <w:color w:val="auto"/>
                <w:highlight w:val="none"/>
              </w:rPr>
            </w:pPr>
            <w:r>
              <w:rPr>
                <w:rFonts w:hint="eastAsia" w:ascii="宋体" w:hAnsi="宋体" w:eastAsia="宋体" w:cs="宋体"/>
                <w:color w:val="auto"/>
                <w:sz w:val="22"/>
                <w:szCs w:val="22"/>
                <w:highlight w:val="none"/>
                <w:lang w:eastAsia="zh-CN"/>
              </w:rPr>
              <w:t>桥梁检测</w:t>
            </w:r>
          </w:p>
        </w:tc>
        <w:tc>
          <w:tcPr>
            <w:tcW w:w="5413" w:type="dxa"/>
            <w:vAlign w:val="center"/>
          </w:tcPr>
          <w:p w14:paraId="21DAB10B">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p w14:paraId="09666B25">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868" w:type="dxa"/>
            <w:vAlign w:val="center"/>
          </w:tcPr>
          <w:p w14:paraId="31AEC5DA">
            <w:pPr>
              <w:spacing w:line="380" w:lineRule="exact"/>
              <w:jc w:val="center"/>
              <w:rPr>
                <w:rFonts w:hint="eastAsia" w:ascii="宋体" w:hAnsi="宋体" w:eastAsia="宋体" w:cs="宋体"/>
                <w:color w:val="auto"/>
                <w:sz w:val="22"/>
                <w:highlight w:val="none"/>
              </w:rPr>
            </w:pPr>
          </w:p>
        </w:tc>
      </w:tr>
      <w:tr w14:paraId="65FA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815" w:type="dxa"/>
            <w:vAlign w:val="center"/>
          </w:tcPr>
          <w:p w14:paraId="2D8F91B1">
            <w:pPr>
              <w:spacing w:line="380" w:lineRule="exac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2</w:t>
            </w:r>
          </w:p>
        </w:tc>
        <w:tc>
          <w:tcPr>
            <w:tcW w:w="2522" w:type="dxa"/>
            <w:vAlign w:val="center"/>
          </w:tcPr>
          <w:p w14:paraId="0850D8F7">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lang w:eastAsia="zh-CN"/>
              </w:rPr>
              <w:t>日常维养</w:t>
            </w:r>
          </w:p>
        </w:tc>
        <w:tc>
          <w:tcPr>
            <w:tcW w:w="5413" w:type="dxa"/>
            <w:vAlign w:val="center"/>
          </w:tcPr>
          <w:p w14:paraId="41E7E34A">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p w14:paraId="0EF1693D">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868" w:type="dxa"/>
            <w:vAlign w:val="center"/>
          </w:tcPr>
          <w:p w14:paraId="1561E282">
            <w:pPr>
              <w:spacing w:line="380" w:lineRule="exact"/>
              <w:jc w:val="center"/>
              <w:rPr>
                <w:rFonts w:hint="eastAsia" w:ascii="宋体" w:hAnsi="宋体" w:eastAsia="宋体" w:cs="宋体"/>
                <w:color w:val="auto"/>
                <w:sz w:val="22"/>
                <w:highlight w:val="none"/>
              </w:rPr>
            </w:pPr>
          </w:p>
        </w:tc>
      </w:tr>
      <w:tr w14:paraId="3355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3337" w:type="dxa"/>
            <w:gridSpan w:val="2"/>
            <w:vAlign w:val="center"/>
          </w:tcPr>
          <w:p w14:paraId="5DE9AEC8">
            <w:pPr>
              <w:spacing w:line="38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以上合计报价</w:t>
            </w:r>
          </w:p>
        </w:tc>
        <w:tc>
          <w:tcPr>
            <w:tcW w:w="5413" w:type="dxa"/>
            <w:vAlign w:val="center"/>
          </w:tcPr>
          <w:p w14:paraId="583A6876">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p w14:paraId="1AF78D4B">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868" w:type="dxa"/>
            <w:vAlign w:val="center"/>
          </w:tcPr>
          <w:p w14:paraId="7B1E00B7">
            <w:pPr>
              <w:spacing w:line="380" w:lineRule="exact"/>
              <w:jc w:val="center"/>
              <w:rPr>
                <w:rFonts w:hint="eastAsia" w:ascii="宋体" w:hAnsi="宋体" w:eastAsia="宋体" w:cs="宋体"/>
                <w:color w:val="auto"/>
                <w:sz w:val="22"/>
                <w:highlight w:val="none"/>
              </w:rPr>
            </w:pPr>
          </w:p>
        </w:tc>
      </w:tr>
    </w:tbl>
    <w:p w14:paraId="54B40815">
      <w:pPr>
        <w:spacing w:line="40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14:paraId="382CF44C">
      <w:pPr>
        <w:numPr>
          <w:ilvl w:val="0"/>
          <w:numId w:val="2"/>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此栏投标报价应与“3、投标分项报价表”中的总计价相一致。</w:t>
      </w:r>
    </w:p>
    <w:p w14:paraId="7157BBFC">
      <w:pPr>
        <w:numPr>
          <w:ilvl w:val="0"/>
          <w:numId w:val="2"/>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不提供此表格将被视为没有实质性响应招标文件</w:t>
      </w:r>
      <w:r>
        <w:rPr>
          <w:rFonts w:hint="eastAsia" w:ascii="宋体" w:hAnsi="宋体" w:eastAsia="宋体" w:cs="宋体"/>
          <w:b/>
          <w:color w:val="auto"/>
          <w:sz w:val="22"/>
          <w:highlight w:val="none"/>
          <w:lang w:eastAsia="zh-CN"/>
        </w:rPr>
        <w:t>。</w:t>
      </w:r>
    </w:p>
    <w:p w14:paraId="432DE217">
      <w:pPr>
        <w:numPr>
          <w:ilvl w:val="0"/>
          <w:numId w:val="2"/>
        </w:numPr>
        <w:spacing w:line="450" w:lineRule="exact"/>
        <w:ind w:firstLine="541" w:firstLineChars="245"/>
        <w:rPr>
          <w:rFonts w:hint="default" w:ascii="宋体" w:hAnsi="宋体" w:eastAsia="宋体" w:cs="宋体"/>
          <w:b/>
          <w:color w:val="auto"/>
          <w:sz w:val="22"/>
          <w:highlight w:val="none"/>
        </w:rPr>
      </w:pPr>
      <w:r>
        <w:rPr>
          <w:rFonts w:hint="eastAsia" w:ascii="宋体" w:hAnsi="宋体" w:eastAsia="宋体" w:cs="宋体"/>
          <w:b/>
          <w:color w:val="auto"/>
          <w:sz w:val="22"/>
          <w:highlight w:val="none"/>
        </w:rPr>
        <w:t>▲总预算：</w:t>
      </w:r>
      <w:r>
        <w:rPr>
          <w:rFonts w:hint="eastAsia" w:ascii="宋体" w:hAnsi="宋体" w:eastAsia="宋体" w:cs="宋体"/>
          <w:b/>
          <w:color w:val="auto"/>
          <w:sz w:val="22"/>
          <w:highlight w:val="none"/>
          <w:lang w:val="en-US" w:eastAsia="zh-CN"/>
        </w:rPr>
        <w:t>1460000</w:t>
      </w:r>
      <w:r>
        <w:rPr>
          <w:rFonts w:hint="eastAsia" w:ascii="宋体" w:hAnsi="宋体" w:eastAsia="宋体" w:cs="宋体"/>
          <w:b/>
          <w:color w:val="auto"/>
          <w:sz w:val="22"/>
          <w:highlight w:val="none"/>
        </w:rPr>
        <w:t>元</w:t>
      </w:r>
      <w:r>
        <w:rPr>
          <w:rFonts w:hint="eastAsia" w:ascii="宋体" w:hAnsi="宋体" w:cs="宋体"/>
          <w:b/>
          <w:color w:val="auto"/>
          <w:sz w:val="22"/>
          <w:highlight w:val="none"/>
          <w:lang w:eastAsia="zh-CN"/>
        </w:rPr>
        <w:t>，</w:t>
      </w:r>
      <w:r>
        <w:rPr>
          <w:rFonts w:hint="eastAsia" w:ascii="宋体" w:hAnsi="宋体" w:cs="宋体"/>
          <w:b/>
          <w:color w:val="auto"/>
          <w:sz w:val="22"/>
          <w:highlight w:val="none"/>
          <w:lang w:val="en-US" w:eastAsia="zh-CN"/>
        </w:rPr>
        <w:t>如报价超过各项预算金额，按无效标处理。</w:t>
      </w:r>
    </w:p>
    <w:p w14:paraId="53980918">
      <w:pPr>
        <w:keepNext/>
        <w:keepLines w:val="0"/>
        <w:pageBreakBefore w:val="0"/>
        <w:widowControl w:val="0"/>
        <w:kinsoku/>
        <w:wordWrap/>
        <w:overflowPunct/>
        <w:topLinePunct w:val="0"/>
        <w:autoSpaceDE/>
        <w:autoSpaceDN/>
        <w:bidi w:val="0"/>
        <w:adjustRightInd/>
        <w:snapToGrid/>
        <w:textAlignment w:val="auto"/>
        <w:outlineLvl w:val="9"/>
        <w:rPr>
          <w:rFonts w:hint="eastAsia"/>
          <w:color w:val="auto"/>
          <w:highlight w:val="none"/>
        </w:rPr>
      </w:pPr>
    </w:p>
    <w:p w14:paraId="5BBD73AC">
      <w:pPr>
        <w:spacing w:line="360" w:lineRule="auto"/>
        <w:jc w:val="center"/>
        <w:rPr>
          <w:rFonts w:hint="eastAsia" w:ascii="宋体" w:hAnsi="宋体" w:eastAsia="宋体" w:cs="宋体"/>
          <w:color w:val="auto"/>
          <w:sz w:val="22"/>
          <w:szCs w:val="22"/>
          <w:highlight w:val="none"/>
        </w:rPr>
      </w:pPr>
    </w:p>
    <w:p w14:paraId="6356A308">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1A327171">
      <w:pPr>
        <w:spacing w:line="360" w:lineRule="auto"/>
        <w:jc w:val="center"/>
        <w:rPr>
          <w:rFonts w:hint="eastAsia" w:ascii="宋体" w:hAnsi="宋体" w:eastAsia="宋体" w:cs="宋体"/>
          <w:color w:val="auto"/>
          <w:sz w:val="22"/>
          <w:szCs w:val="22"/>
          <w:highlight w:val="none"/>
        </w:rPr>
      </w:pPr>
      <w:r>
        <w:rPr>
          <w:rFonts w:hint="eastAsia" w:ascii="宋体" w:hAnsi="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5ABFA86B">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14:paraId="484A7689">
      <w:pPr>
        <w:pStyle w:val="52"/>
        <w:ind w:left="860" w:hanging="440"/>
        <w:rPr>
          <w:rFonts w:hint="eastAsia" w:ascii="宋体" w:hAnsi="宋体" w:eastAsia="宋体" w:cs="宋体"/>
          <w:color w:val="auto"/>
          <w:sz w:val="22"/>
          <w:szCs w:val="22"/>
          <w:highlight w:val="none"/>
        </w:rPr>
      </w:pPr>
    </w:p>
    <w:p w14:paraId="4EB9798F">
      <w:pPr>
        <w:pStyle w:val="52"/>
        <w:ind w:left="860" w:hanging="440"/>
        <w:rPr>
          <w:rFonts w:hint="eastAsia" w:ascii="宋体" w:hAnsi="宋体" w:eastAsia="宋体" w:cs="宋体"/>
          <w:color w:val="auto"/>
          <w:sz w:val="22"/>
          <w:szCs w:val="22"/>
          <w:highlight w:val="none"/>
        </w:rPr>
      </w:pPr>
    </w:p>
    <w:p w14:paraId="61502AB9">
      <w:pPr>
        <w:pStyle w:val="52"/>
        <w:ind w:left="860" w:hanging="440"/>
        <w:rPr>
          <w:rFonts w:hint="eastAsia" w:ascii="宋体" w:hAnsi="宋体" w:eastAsia="宋体" w:cs="宋体"/>
          <w:color w:val="auto"/>
          <w:sz w:val="22"/>
          <w:szCs w:val="22"/>
          <w:highlight w:val="none"/>
        </w:rPr>
      </w:pPr>
    </w:p>
    <w:p w14:paraId="5D8443E7">
      <w:pPr>
        <w:pStyle w:val="52"/>
        <w:ind w:left="860" w:hanging="440"/>
        <w:rPr>
          <w:rFonts w:hint="eastAsia" w:ascii="宋体" w:hAnsi="宋体" w:eastAsia="宋体" w:cs="宋体"/>
          <w:color w:val="auto"/>
          <w:sz w:val="22"/>
          <w:szCs w:val="22"/>
          <w:highlight w:val="none"/>
        </w:rPr>
      </w:pPr>
    </w:p>
    <w:p w14:paraId="4E2EBEE9">
      <w:pPr>
        <w:pStyle w:val="52"/>
        <w:ind w:left="860" w:hanging="440"/>
        <w:rPr>
          <w:rFonts w:hint="eastAsia" w:ascii="宋体" w:hAnsi="宋体" w:eastAsia="宋体" w:cs="宋体"/>
          <w:color w:val="auto"/>
          <w:sz w:val="22"/>
          <w:szCs w:val="22"/>
          <w:highlight w:val="none"/>
        </w:rPr>
      </w:pPr>
    </w:p>
    <w:p w14:paraId="3817E0BA">
      <w:pPr>
        <w:pStyle w:val="52"/>
        <w:ind w:left="860" w:hanging="440"/>
        <w:rPr>
          <w:rFonts w:hint="eastAsia" w:ascii="宋体" w:hAnsi="宋体" w:eastAsia="宋体" w:cs="宋体"/>
          <w:color w:val="auto"/>
          <w:sz w:val="22"/>
          <w:szCs w:val="22"/>
          <w:highlight w:val="none"/>
        </w:rPr>
      </w:pPr>
    </w:p>
    <w:p w14:paraId="1F340A96">
      <w:pPr>
        <w:pStyle w:val="52"/>
        <w:ind w:left="860" w:hanging="440"/>
        <w:rPr>
          <w:rFonts w:hint="eastAsia" w:ascii="宋体" w:hAnsi="宋体" w:eastAsia="宋体" w:cs="宋体"/>
          <w:color w:val="auto"/>
          <w:sz w:val="22"/>
          <w:szCs w:val="22"/>
          <w:highlight w:val="none"/>
        </w:rPr>
      </w:pPr>
    </w:p>
    <w:p w14:paraId="0255FB65">
      <w:pPr>
        <w:pStyle w:val="52"/>
        <w:ind w:left="860" w:hanging="440"/>
        <w:rPr>
          <w:rFonts w:hint="eastAsia" w:ascii="宋体" w:hAnsi="宋体" w:eastAsia="宋体" w:cs="宋体"/>
          <w:color w:val="auto"/>
          <w:sz w:val="22"/>
          <w:szCs w:val="22"/>
          <w:highlight w:val="none"/>
        </w:rPr>
      </w:pPr>
    </w:p>
    <w:p w14:paraId="7C6D3C81">
      <w:pPr>
        <w:pStyle w:val="52"/>
        <w:ind w:left="860" w:hanging="440"/>
        <w:rPr>
          <w:rFonts w:hint="eastAsia" w:ascii="宋体" w:hAnsi="宋体" w:eastAsia="宋体" w:cs="宋体"/>
          <w:color w:val="auto"/>
          <w:sz w:val="22"/>
          <w:szCs w:val="22"/>
          <w:highlight w:val="none"/>
        </w:rPr>
      </w:pPr>
    </w:p>
    <w:p w14:paraId="468B01D2">
      <w:pPr>
        <w:rPr>
          <w:rFonts w:hint="eastAsia" w:ascii="宋体" w:hAnsi="宋体" w:eastAsia="宋体" w:cs="宋体"/>
          <w:b/>
          <w:color w:val="auto"/>
          <w:sz w:val="22"/>
          <w:szCs w:val="22"/>
          <w:highlight w:val="none"/>
          <w:lang w:val="zh-CN"/>
        </w:rPr>
      </w:pPr>
    </w:p>
    <w:p w14:paraId="4DEF15B6">
      <w:pPr>
        <w:spacing w:line="240" w:lineRule="auto"/>
        <w:jc w:val="left"/>
        <w:outlineLvl w:val="9"/>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br w:type="page"/>
      </w:r>
    </w:p>
    <w:p w14:paraId="2FAED42D">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8"/>
          <w:szCs w:val="28"/>
          <w:highlight w:val="none"/>
          <w:lang w:val="zh-CN"/>
        </w:rPr>
        <w:t>3、分项报价表</w:t>
      </w:r>
    </w:p>
    <w:p w14:paraId="666D67B5">
      <w:pPr>
        <w:spacing w:line="360" w:lineRule="auto"/>
        <w:rPr>
          <w:rFonts w:hint="eastAsia" w:ascii="宋体" w:hAnsi="宋体" w:eastAsia="宋体" w:cs="宋体"/>
          <w:b w:val="0"/>
          <w:bCs w:val="0"/>
          <w:color w:val="auto"/>
          <w:sz w:val="22"/>
          <w:szCs w:val="22"/>
          <w:highlight w:val="none"/>
        </w:rPr>
      </w:pPr>
    </w:p>
    <w:p w14:paraId="0EAB2C93">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已标价工程量清单</w:t>
      </w:r>
    </w:p>
    <w:p w14:paraId="1B77BB6D">
      <w:pPr>
        <w:rPr>
          <w:rFonts w:hint="eastAsia" w:ascii="宋体" w:hAnsi="宋体" w:eastAsia="宋体" w:cs="宋体"/>
          <w:b/>
          <w:bCs/>
          <w:color w:val="auto"/>
          <w:highlight w:val="none"/>
        </w:rPr>
      </w:pPr>
      <w:r>
        <w:rPr>
          <w:rFonts w:hint="eastAsia" w:ascii="宋体" w:hAnsi="宋体" w:eastAsia="宋体" w:cs="宋体"/>
          <w:b/>
          <w:bCs/>
          <w:color w:val="auto"/>
          <w:highlight w:val="none"/>
        </w:rPr>
        <w:t>表1</w:t>
      </w:r>
    </w:p>
    <w:p w14:paraId="3BD6AB89">
      <w:pPr>
        <w:jc w:val="center"/>
        <w:rPr>
          <w:rFonts w:hint="eastAsia" w:ascii="宋体" w:hAnsi="宋体" w:eastAsia="宋体" w:cs="宋体"/>
          <w:b/>
          <w:bCs/>
          <w:color w:val="auto"/>
          <w:sz w:val="72"/>
          <w:highlight w:val="none"/>
        </w:rPr>
      </w:pPr>
    </w:p>
    <w:p w14:paraId="314A17D4">
      <w:pPr>
        <w:jc w:val="center"/>
        <w:rPr>
          <w:rFonts w:hint="eastAsia" w:ascii="宋体" w:hAnsi="宋体" w:eastAsia="宋体" w:cs="宋体"/>
          <w:bCs/>
          <w:color w:val="auto"/>
          <w:sz w:val="52"/>
          <w:szCs w:val="52"/>
          <w:highlight w:val="none"/>
        </w:rPr>
      </w:pPr>
      <w:r>
        <w:rPr>
          <w:rFonts w:hint="eastAsia" w:ascii="宋体" w:hAnsi="宋体" w:eastAsia="宋体" w:cs="宋体"/>
          <w:bCs/>
          <w:color w:val="auto"/>
          <w:sz w:val="52"/>
          <w:szCs w:val="52"/>
          <w:highlight w:val="none"/>
        </w:rPr>
        <w:t>投  标  总  价</w:t>
      </w:r>
    </w:p>
    <w:p w14:paraId="4A2F8FE6">
      <w:pPr>
        <w:jc w:val="center"/>
        <w:rPr>
          <w:rFonts w:hint="eastAsia" w:ascii="宋体" w:hAnsi="宋体" w:eastAsia="宋体" w:cs="宋体"/>
          <w:bCs/>
          <w:color w:val="auto"/>
          <w:sz w:val="44"/>
          <w:highlight w:val="none"/>
        </w:rPr>
      </w:pPr>
    </w:p>
    <w:p w14:paraId="0575A659">
      <w:pPr>
        <w:jc w:val="center"/>
        <w:rPr>
          <w:rFonts w:hint="eastAsia" w:ascii="宋体" w:hAnsi="宋体" w:eastAsia="宋体" w:cs="宋体"/>
          <w:bCs/>
          <w:color w:val="auto"/>
          <w:sz w:val="44"/>
          <w:highlight w:val="none"/>
        </w:rPr>
      </w:pPr>
    </w:p>
    <w:p w14:paraId="1F83D130">
      <w:pPr>
        <w:snapToGrid w:val="0"/>
        <w:spacing w:line="720" w:lineRule="auto"/>
        <w:rPr>
          <w:rFonts w:hint="eastAsia" w:ascii="宋体" w:hAnsi="宋体" w:eastAsia="宋体" w:cs="宋体"/>
          <w:bCs/>
          <w:color w:val="auto"/>
          <w:sz w:val="28"/>
          <w:szCs w:val="28"/>
          <w:highlight w:val="none"/>
          <w:u w:val="single"/>
        </w:rPr>
      </w:pPr>
      <w:r>
        <w:rPr>
          <w:rFonts w:hint="eastAsia" w:ascii="宋体" w:hAnsi="宋体" w:eastAsia="宋体" w:cs="宋体"/>
          <w:bCs/>
          <w:color w:val="auto"/>
          <w:spacing w:val="8"/>
          <w:sz w:val="28"/>
          <w:szCs w:val="28"/>
          <w:highlight w:val="none"/>
        </w:rPr>
        <w:t xml:space="preserve">招    标    </w:t>
      </w:r>
      <w:r>
        <w:rPr>
          <w:rFonts w:hint="eastAsia" w:ascii="宋体" w:hAnsi="宋体" w:eastAsia="宋体" w:cs="宋体"/>
          <w:bCs/>
          <w:color w:val="auto"/>
          <w:sz w:val="28"/>
          <w:szCs w:val="28"/>
          <w:highlight w:val="none"/>
        </w:rPr>
        <w:t>人：</w:t>
      </w:r>
      <w:r>
        <w:rPr>
          <w:rFonts w:hint="eastAsia" w:ascii="宋体" w:hAnsi="宋体" w:eastAsia="宋体" w:cs="宋体"/>
          <w:bCs/>
          <w:color w:val="auto"/>
          <w:sz w:val="28"/>
          <w:szCs w:val="28"/>
          <w:highlight w:val="none"/>
          <w:u w:val="single"/>
        </w:rPr>
        <w:t xml:space="preserve">                                         </w:t>
      </w:r>
    </w:p>
    <w:p w14:paraId="21BD6A51">
      <w:pPr>
        <w:snapToGrid w:val="0"/>
        <w:spacing w:line="720" w:lineRule="auto"/>
        <w:rPr>
          <w:rFonts w:hint="eastAsia" w:ascii="宋体" w:hAnsi="宋体" w:eastAsia="宋体" w:cs="宋体"/>
          <w:bCs/>
          <w:color w:val="auto"/>
          <w:sz w:val="28"/>
          <w:szCs w:val="28"/>
          <w:highlight w:val="none"/>
          <w:u w:val="single"/>
        </w:rPr>
      </w:pPr>
      <w:r>
        <w:rPr>
          <w:rFonts w:hint="eastAsia" w:ascii="宋体" w:hAnsi="宋体" w:eastAsia="宋体" w:cs="宋体"/>
          <w:bCs/>
          <w:color w:val="auto"/>
          <w:spacing w:val="8"/>
          <w:sz w:val="28"/>
          <w:szCs w:val="28"/>
          <w:highlight w:val="none"/>
        </w:rPr>
        <w:t xml:space="preserve">工  程  名  </w:t>
      </w:r>
      <w:r>
        <w:rPr>
          <w:rFonts w:hint="eastAsia" w:ascii="宋体" w:hAnsi="宋体" w:eastAsia="宋体" w:cs="宋体"/>
          <w:bCs/>
          <w:color w:val="auto"/>
          <w:sz w:val="28"/>
          <w:szCs w:val="28"/>
          <w:highlight w:val="none"/>
        </w:rPr>
        <w:t>称：</w:t>
      </w:r>
      <w:r>
        <w:rPr>
          <w:rFonts w:hint="eastAsia" w:ascii="宋体" w:hAnsi="宋体" w:eastAsia="宋体" w:cs="宋体"/>
          <w:bCs/>
          <w:color w:val="auto"/>
          <w:sz w:val="28"/>
          <w:szCs w:val="28"/>
          <w:highlight w:val="none"/>
          <w:u w:val="single"/>
        </w:rPr>
        <w:t xml:space="preserve">                                         </w:t>
      </w:r>
    </w:p>
    <w:p w14:paraId="5C978D02">
      <w:pPr>
        <w:snapToGrid w:val="0"/>
        <w:spacing w:line="720" w:lineRule="auto"/>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rPr>
        <w:t>投标总价（小写）：</w:t>
      </w:r>
      <w:r>
        <w:rPr>
          <w:rFonts w:hint="eastAsia" w:ascii="宋体" w:hAnsi="宋体" w:eastAsia="宋体" w:cs="宋体"/>
          <w:bCs/>
          <w:color w:val="auto"/>
          <w:sz w:val="28"/>
          <w:szCs w:val="28"/>
          <w:highlight w:val="none"/>
          <w:u w:val="single"/>
        </w:rPr>
        <w:t xml:space="preserve">                                         </w:t>
      </w:r>
    </w:p>
    <w:p w14:paraId="3663AAA6">
      <w:pPr>
        <w:snapToGrid w:val="0"/>
        <w:spacing w:line="720" w:lineRule="auto"/>
        <w:ind w:firstLine="1120" w:firstLineChars="400"/>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rPr>
        <w:t>（大写）：</w:t>
      </w:r>
      <w:r>
        <w:rPr>
          <w:rFonts w:hint="eastAsia" w:ascii="宋体" w:hAnsi="宋体" w:eastAsia="宋体" w:cs="宋体"/>
          <w:bCs/>
          <w:color w:val="auto"/>
          <w:sz w:val="28"/>
          <w:szCs w:val="28"/>
          <w:highlight w:val="none"/>
          <w:u w:val="single"/>
        </w:rPr>
        <w:t xml:space="preserve">                                         </w:t>
      </w:r>
    </w:p>
    <w:p w14:paraId="01A2A80B">
      <w:pPr>
        <w:rPr>
          <w:rFonts w:hint="eastAsia" w:ascii="宋体" w:hAnsi="宋体" w:eastAsia="宋体" w:cs="宋体"/>
          <w:color w:val="auto"/>
          <w:sz w:val="28"/>
          <w:szCs w:val="28"/>
          <w:highlight w:val="none"/>
        </w:rPr>
      </w:pPr>
    </w:p>
    <w:p w14:paraId="5874C28E">
      <w:pPr>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  标  人：</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(盖单位章)</w:t>
      </w:r>
    </w:p>
    <w:p w14:paraId="1061806C">
      <w:pPr>
        <w:ind w:firstLine="562" w:firstLineChars="200"/>
        <w:rPr>
          <w:rFonts w:hint="eastAsia" w:ascii="宋体" w:hAnsi="宋体" w:eastAsia="宋体" w:cs="宋体"/>
          <w:b/>
          <w:color w:val="auto"/>
          <w:sz w:val="28"/>
          <w:szCs w:val="28"/>
          <w:highlight w:val="none"/>
        </w:rPr>
      </w:pPr>
    </w:p>
    <w:p w14:paraId="003571A6">
      <w:pPr>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法定代表人或其委托代理人：</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(签字或盖章)</w:t>
      </w:r>
    </w:p>
    <w:p w14:paraId="6B685CEC">
      <w:pPr>
        <w:spacing w:line="360" w:lineRule="auto"/>
        <w:ind w:firstLine="560" w:firstLineChars="200"/>
        <w:rPr>
          <w:rFonts w:hint="eastAsia" w:ascii="宋体" w:hAnsi="宋体" w:eastAsia="宋体" w:cs="宋体"/>
          <w:color w:val="auto"/>
          <w:sz w:val="28"/>
          <w:szCs w:val="28"/>
          <w:highlight w:val="none"/>
        </w:rPr>
      </w:pPr>
    </w:p>
    <w:p w14:paraId="6464609A">
      <w:pPr>
        <w:ind w:firstLine="540" w:firstLineChars="150"/>
        <w:rPr>
          <w:rFonts w:hint="eastAsia" w:ascii="宋体" w:hAnsi="宋体" w:eastAsia="宋体" w:cs="宋体"/>
          <w:color w:val="auto"/>
          <w:sz w:val="28"/>
          <w:szCs w:val="28"/>
          <w:highlight w:val="none"/>
        </w:rPr>
      </w:pPr>
      <w:r>
        <w:rPr>
          <w:rFonts w:hint="eastAsia" w:ascii="宋体" w:hAnsi="宋体" w:eastAsia="宋体" w:cs="宋体"/>
          <w:color w:val="auto"/>
          <w:spacing w:val="40"/>
          <w:sz w:val="28"/>
          <w:szCs w:val="28"/>
          <w:highlight w:val="none"/>
        </w:rPr>
        <w:t>编制时间</w:t>
      </w:r>
      <w:r>
        <w:rPr>
          <w:rFonts w:hint="eastAsia" w:ascii="宋体" w:hAnsi="宋体" w:eastAsia="宋体" w:cs="宋体"/>
          <w:color w:val="auto"/>
          <w:sz w:val="28"/>
          <w:szCs w:val="28"/>
          <w:highlight w:val="none"/>
        </w:rPr>
        <w:t xml:space="preserve">：      年     月      日 </w:t>
      </w:r>
    </w:p>
    <w:p w14:paraId="0F29FF38">
      <w:pPr>
        <w:outlineLvl w:val="9"/>
        <w:rPr>
          <w:rFonts w:hint="eastAsia" w:ascii="宋体" w:hAnsi="宋体" w:eastAsia="宋体" w:cs="宋体"/>
          <w:color w:val="auto"/>
          <w:sz w:val="22"/>
          <w:szCs w:val="22"/>
          <w:highlight w:val="none"/>
        </w:rPr>
      </w:pPr>
    </w:p>
    <w:p w14:paraId="398D1D98">
      <w:pPr>
        <w:rPr>
          <w:rFonts w:hint="eastAsia" w:ascii="宋体" w:hAnsi="宋体" w:eastAsia="宋体" w:cs="宋体"/>
          <w:b/>
          <w:bCs/>
          <w:color w:val="auto"/>
          <w:sz w:val="28"/>
          <w:szCs w:val="28"/>
          <w:highlight w:val="none"/>
        </w:rPr>
      </w:pPr>
    </w:p>
    <w:p w14:paraId="01691519">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4417978D">
      <w:pPr>
        <w:pStyle w:val="343"/>
        <w:keepNext/>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bookmarkStart w:id="60" w:name="_Toc527143603"/>
    </w:p>
    <w:p w14:paraId="195CBCF4">
      <w:pPr>
        <w:pStyle w:val="343"/>
        <w:keepNext/>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编 制 说 明</w:t>
      </w:r>
      <w:bookmarkEnd w:id="60"/>
    </w:p>
    <w:p w14:paraId="1FB8AB9D">
      <w:pPr>
        <w:rPr>
          <w:rFonts w:hint="eastAsia" w:ascii="宋体" w:hAnsi="宋体" w:eastAsia="宋体" w:cs="宋体"/>
          <w:color w:val="auto"/>
          <w:highlight w:val="none"/>
        </w:rPr>
      </w:pPr>
      <w:r>
        <w:rPr>
          <w:rFonts w:hint="eastAsia" w:ascii="宋体" w:hAnsi="宋体" w:eastAsia="宋体" w:cs="宋体"/>
          <w:color w:val="auto"/>
          <w:highlight w:val="none"/>
        </w:rPr>
        <w:t>工程名称                                              第   页 共   页</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3"/>
      </w:tblGrid>
      <w:tr w14:paraId="2D2B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6" w:hRule="atLeast"/>
        </w:trPr>
        <w:tc>
          <w:tcPr>
            <w:tcW w:w="9753" w:type="dxa"/>
            <w:noWrap w:val="0"/>
            <w:vAlign w:val="top"/>
          </w:tcPr>
          <w:p w14:paraId="729C9270">
            <w:pPr>
              <w:rPr>
                <w:rFonts w:hint="eastAsia" w:ascii="宋体" w:hAnsi="宋体" w:eastAsia="宋体" w:cs="宋体"/>
                <w:color w:val="auto"/>
                <w:sz w:val="30"/>
                <w:highlight w:val="none"/>
              </w:rPr>
            </w:pPr>
          </w:p>
        </w:tc>
      </w:tr>
    </w:tbl>
    <w:p w14:paraId="6E1BDC53">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tbl>
      <w:tblPr>
        <w:tblStyle w:val="53"/>
        <w:tblW w:w="101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537"/>
        <w:gridCol w:w="2763"/>
        <w:gridCol w:w="3362"/>
        <w:gridCol w:w="1527"/>
        <w:gridCol w:w="1300"/>
      </w:tblGrid>
      <w:tr w14:paraId="2B512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915" w:type="dxa"/>
            <w:gridSpan w:val="3"/>
            <w:tcBorders>
              <w:top w:val="nil"/>
              <w:left w:val="nil"/>
              <w:bottom w:val="nil"/>
              <w:right w:val="nil"/>
            </w:tcBorders>
            <w:shd w:val="clear" w:color="auto" w:fill="FFFFFF"/>
            <w:vAlign w:val="center"/>
          </w:tcPr>
          <w:p w14:paraId="0B4C27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【表10.2.2-13】</w:t>
            </w:r>
          </w:p>
        </w:tc>
        <w:tc>
          <w:tcPr>
            <w:tcW w:w="3390" w:type="dxa"/>
            <w:tcBorders>
              <w:top w:val="nil"/>
              <w:left w:val="nil"/>
              <w:bottom w:val="nil"/>
              <w:right w:val="nil"/>
            </w:tcBorders>
            <w:shd w:val="clear" w:color="auto" w:fill="FFFFFF"/>
            <w:vAlign w:val="center"/>
          </w:tcPr>
          <w:p w14:paraId="44E51DFE">
            <w:pPr>
              <w:jc w:val="center"/>
              <w:rPr>
                <w:rFonts w:hint="eastAsia" w:ascii="宋体" w:hAnsi="宋体" w:eastAsia="宋体" w:cs="宋体"/>
                <w:i w:val="0"/>
                <w:iCs w:val="0"/>
                <w:color w:val="000000"/>
                <w:sz w:val="18"/>
                <w:szCs w:val="18"/>
                <w:u w:val="none"/>
              </w:rPr>
            </w:pPr>
          </w:p>
        </w:tc>
        <w:tc>
          <w:tcPr>
            <w:tcW w:w="1545" w:type="dxa"/>
            <w:tcBorders>
              <w:top w:val="nil"/>
              <w:left w:val="nil"/>
              <w:bottom w:val="nil"/>
              <w:right w:val="nil"/>
            </w:tcBorders>
            <w:shd w:val="clear" w:color="auto" w:fill="FFFFFF"/>
            <w:vAlign w:val="center"/>
          </w:tcPr>
          <w:p w14:paraId="2D0FA243">
            <w:pPr>
              <w:jc w:val="center"/>
              <w:rPr>
                <w:rFonts w:hint="eastAsia" w:ascii="宋体" w:hAnsi="宋体" w:eastAsia="宋体" w:cs="宋体"/>
                <w:i w:val="0"/>
                <w:iCs w:val="0"/>
                <w:color w:val="000000"/>
                <w:sz w:val="18"/>
                <w:szCs w:val="18"/>
                <w:u w:val="none"/>
              </w:rPr>
            </w:pPr>
          </w:p>
        </w:tc>
        <w:tc>
          <w:tcPr>
            <w:tcW w:w="1305" w:type="dxa"/>
            <w:tcBorders>
              <w:top w:val="nil"/>
              <w:left w:val="nil"/>
              <w:bottom w:val="nil"/>
              <w:right w:val="nil"/>
            </w:tcBorders>
            <w:shd w:val="clear" w:color="auto" w:fill="FFFFFF"/>
            <w:vAlign w:val="center"/>
          </w:tcPr>
          <w:p w14:paraId="3C3757D0">
            <w:pPr>
              <w:jc w:val="center"/>
              <w:rPr>
                <w:rFonts w:hint="eastAsia" w:ascii="宋体" w:hAnsi="宋体" w:eastAsia="宋体" w:cs="宋体"/>
                <w:i w:val="0"/>
                <w:iCs w:val="0"/>
                <w:color w:val="000000"/>
                <w:sz w:val="18"/>
                <w:szCs w:val="18"/>
                <w:u w:val="none"/>
              </w:rPr>
            </w:pPr>
          </w:p>
        </w:tc>
      </w:tr>
      <w:tr w14:paraId="34CA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155" w:type="dxa"/>
            <w:gridSpan w:val="6"/>
            <w:tcBorders>
              <w:top w:val="nil"/>
              <w:left w:val="nil"/>
              <w:bottom w:val="nil"/>
              <w:right w:val="nil"/>
            </w:tcBorders>
            <w:shd w:val="clear" w:color="auto" w:fill="FFFFFF"/>
            <w:vAlign w:val="center"/>
          </w:tcPr>
          <w:p w14:paraId="7487B5EA">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单位（专业）工程招标控制价费用表</w:t>
            </w:r>
          </w:p>
        </w:tc>
      </w:tr>
      <w:tr w14:paraId="62426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915" w:type="dxa"/>
            <w:gridSpan w:val="3"/>
            <w:tcBorders>
              <w:top w:val="nil"/>
              <w:left w:val="nil"/>
              <w:bottom w:val="nil"/>
              <w:right w:val="nil"/>
            </w:tcBorders>
            <w:shd w:val="clear" w:color="auto" w:fill="FFFFFF"/>
            <w:vAlign w:val="bottom"/>
          </w:tcPr>
          <w:p w14:paraId="4C2034E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工程名称:单项工程-市政保养工程</w:t>
            </w:r>
          </w:p>
        </w:tc>
        <w:tc>
          <w:tcPr>
            <w:tcW w:w="3390" w:type="dxa"/>
            <w:tcBorders>
              <w:top w:val="nil"/>
              <w:left w:val="nil"/>
              <w:bottom w:val="nil"/>
              <w:right w:val="nil"/>
            </w:tcBorders>
            <w:shd w:val="clear" w:color="auto" w:fill="FFFFFF"/>
            <w:vAlign w:val="bottom"/>
          </w:tcPr>
          <w:p w14:paraId="4473C16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850" w:type="dxa"/>
            <w:gridSpan w:val="2"/>
            <w:tcBorders>
              <w:top w:val="nil"/>
              <w:left w:val="nil"/>
              <w:bottom w:val="nil"/>
              <w:right w:val="nil"/>
            </w:tcBorders>
            <w:shd w:val="clear" w:color="auto" w:fill="FFFFFF"/>
            <w:vAlign w:val="bottom"/>
          </w:tcPr>
          <w:p w14:paraId="71F032C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25165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70" w:type="dxa"/>
            <w:tcBorders>
              <w:top w:val="single" w:color="000000" w:sz="4" w:space="0"/>
              <w:left w:val="single" w:color="000000" w:sz="4" w:space="0"/>
              <w:bottom w:val="nil"/>
              <w:right w:val="nil"/>
            </w:tcBorders>
            <w:shd w:val="clear" w:color="auto" w:fill="FFFFFF"/>
            <w:vAlign w:val="center"/>
          </w:tcPr>
          <w:p w14:paraId="2EB27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345" w:type="dxa"/>
            <w:gridSpan w:val="2"/>
            <w:tcBorders>
              <w:top w:val="single" w:color="000000" w:sz="4" w:space="0"/>
              <w:left w:val="single" w:color="000000" w:sz="4" w:space="0"/>
              <w:bottom w:val="nil"/>
              <w:right w:val="nil"/>
            </w:tcBorders>
            <w:shd w:val="clear" w:color="auto" w:fill="FFFFFF"/>
            <w:vAlign w:val="center"/>
          </w:tcPr>
          <w:p w14:paraId="4BA64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费用名称</w:t>
            </w:r>
          </w:p>
        </w:tc>
        <w:tc>
          <w:tcPr>
            <w:tcW w:w="3390" w:type="dxa"/>
            <w:tcBorders>
              <w:top w:val="single" w:color="000000" w:sz="4" w:space="0"/>
              <w:left w:val="single" w:color="000000" w:sz="4" w:space="0"/>
              <w:bottom w:val="nil"/>
              <w:right w:val="nil"/>
            </w:tcBorders>
            <w:shd w:val="clear" w:color="auto" w:fill="FFFFFF"/>
            <w:vAlign w:val="center"/>
          </w:tcPr>
          <w:p w14:paraId="540D6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计算公式</w:t>
            </w:r>
          </w:p>
        </w:tc>
        <w:tc>
          <w:tcPr>
            <w:tcW w:w="1545" w:type="dxa"/>
            <w:tcBorders>
              <w:top w:val="single" w:color="000000" w:sz="4" w:space="0"/>
              <w:left w:val="single" w:color="000000" w:sz="4" w:space="0"/>
              <w:bottom w:val="nil"/>
              <w:right w:val="nil"/>
            </w:tcBorders>
            <w:shd w:val="clear" w:color="auto" w:fill="FFFFFF"/>
            <w:vAlign w:val="center"/>
          </w:tcPr>
          <w:p w14:paraId="1DFF1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7F18A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56FF6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nil"/>
            </w:tcBorders>
            <w:shd w:val="clear" w:color="auto" w:fill="FFFFFF"/>
            <w:vAlign w:val="center"/>
          </w:tcPr>
          <w:p w14:paraId="4F9B7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45" w:type="dxa"/>
            <w:gridSpan w:val="2"/>
            <w:tcBorders>
              <w:top w:val="single" w:color="000000" w:sz="4" w:space="0"/>
              <w:left w:val="single" w:color="000000" w:sz="4" w:space="0"/>
              <w:bottom w:val="nil"/>
              <w:right w:val="nil"/>
            </w:tcBorders>
            <w:shd w:val="clear" w:color="auto" w:fill="FFFFFF"/>
            <w:vAlign w:val="center"/>
          </w:tcPr>
          <w:p w14:paraId="03A492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w:t>
            </w:r>
          </w:p>
        </w:tc>
        <w:tc>
          <w:tcPr>
            <w:tcW w:w="3390" w:type="dxa"/>
            <w:tcBorders>
              <w:top w:val="single" w:color="000000" w:sz="4" w:space="0"/>
              <w:left w:val="single" w:color="000000" w:sz="4" w:space="0"/>
              <w:bottom w:val="nil"/>
              <w:right w:val="nil"/>
            </w:tcBorders>
            <w:shd w:val="clear" w:color="auto" w:fill="FFFFFF"/>
            <w:vAlign w:val="center"/>
          </w:tcPr>
          <w:p w14:paraId="7380A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∑(分部分项工程量×综合单价）</w:t>
            </w:r>
          </w:p>
        </w:tc>
        <w:tc>
          <w:tcPr>
            <w:tcW w:w="1545" w:type="dxa"/>
            <w:tcBorders>
              <w:top w:val="single" w:color="000000" w:sz="4" w:space="0"/>
              <w:left w:val="single" w:color="000000" w:sz="4" w:space="0"/>
              <w:bottom w:val="nil"/>
              <w:right w:val="nil"/>
            </w:tcBorders>
            <w:shd w:val="clear" w:color="auto" w:fill="FFFFFF"/>
            <w:vAlign w:val="center"/>
          </w:tcPr>
          <w:p w14:paraId="0AB0A9BC">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2A8570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见表10.2.2-16</w:t>
            </w:r>
          </w:p>
        </w:tc>
      </w:tr>
      <w:tr w14:paraId="42322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nil"/>
            </w:tcBorders>
            <w:shd w:val="clear" w:color="auto" w:fill="FFFFFF"/>
            <w:vAlign w:val="center"/>
          </w:tcPr>
          <w:p w14:paraId="0D1B2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40" w:type="dxa"/>
            <w:tcBorders>
              <w:top w:val="single" w:color="000000" w:sz="4" w:space="0"/>
              <w:left w:val="single" w:color="000000" w:sz="4" w:space="0"/>
              <w:bottom w:val="nil"/>
              <w:right w:val="nil"/>
            </w:tcBorders>
            <w:shd w:val="clear" w:color="auto" w:fill="FFFFFF"/>
            <w:vAlign w:val="center"/>
          </w:tcPr>
          <w:p w14:paraId="14BCCC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805" w:type="dxa"/>
            <w:tcBorders>
              <w:top w:val="single" w:color="000000" w:sz="4" w:space="0"/>
              <w:left w:val="single" w:color="000000" w:sz="4" w:space="0"/>
              <w:bottom w:val="nil"/>
              <w:right w:val="nil"/>
            </w:tcBorders>
            <w:shd w:val="clear" w:color="auto" w:fill="FFFFFF"/>
            <w:vAlign w:val="center"/>
          </w:tcPr>
          <w:p w14:paraId="2EB3B6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人工费+机械费</w:t>
            </w:r>
          </w:p>
        </w:tc>
        <w:tc>
          <w:tcPr>
            <w:tcW w:w="3390" w:type="dxa"/>
            <w:tcBorders>
              <w:top w:val="single" w:color="000000" w:sz="4" w:space="0"/>
              <w:left w:val="single" w:color="000000" w:sz="4" w:space="0"/>
              <w:bottom w:val="nil"/>
              <w:right w:val="nil"/>
            </w:tcBorders>
            <w:shd w:val="clear" w:color="auto" w:fill="FFFFFF"/>
            <w:vAlign w:val="center"/>
          </w:tcPr>
          <w:p w14:paraId="2B820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∑分部分项（定额人工费+定额机械费）</w:t>
            </w:r>
          </w:p>
        </w:tc>
        <w:tc>
          <w:tcPr>
            <w:tcW w:w="1545" w:type="dxa"/>
            <w:tcBorders>
              <w:top w:val="single" w:color="000000" w:sz="4" w:space="0"/>
              <w:left w:val="single" w:color="000000" w:sz="4" w:space="0"/>
              <w:bottom w:val="nil"/>
              <w:right w:val="nil"/>
            </w:tcBorders>
            <w:shd w:val="clear" w:color="auto" w:fill="FFFFFF"/>
            <w:vAlign w:val="center"/>
          </w:tcPr>
          <w:p w14:paraId="6B513591">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20EB2647">
            <w:pPr>
              <w:jc w:val="left"/>
              <w:rPr>
                <w:rFonts w:hint="eastAsia" w:ascii="宋体" w:hAnsi="宋体" w:eastAsia="宋体" w:cs="宋体"/>
                <w:i w:val="0"/>
                <w:iCs w:val="0"/>
                <w:color w:val="000000"/>
                <w:sz w:val="18"/>
                <w:szCs w:val="18"/>
                <w:u w:val="none"/>
              </w:rPr>
            </w:pPr>
          </w:p>
        </w:tc>
      </w:tr>
      <w:tr w14:paraId="022AF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nil"/>
            </w:tcBorders>
            <w:shd w:val="clear" w:color="auto" w:fill="FFFFFF"/>
            <w:vAlign w:val="center"/>
          </w:tcPr>
          <w:p w14:paraId="0C079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45" w:type="dxa"/>
            <w:gridSpan w:val="2"/>
            <w:tcBorders>
              <w:top w:val="single" w:color="000000" w:sz="4" w:space="0"/>
              <w:left w:val="single" w:color="000000" w:sz="4" w:space="0"/>
              <w:bottom w:val="nil"/>
              <w:right w:val="nil"/>
            </w:tcBorders>
            <w:shd w:val="clear" w:color="auto" w:fill="FFFFFF"/>
            <w:vAlign w:val="center"/>
          </w:tcPr>
          <w:p w14:paraId="66A201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措施项目费</w:t>
            </w:r>
          </w:p>
        </w:tc>
        <w:tc>
          <w:tcPr>
            <w:tcW w:w="3390" w:type="dxa"/>
            <w:tcBorders>
              <w:top w:val="single" w:color="000000" w:sz="4" w:space="0"/>
              <w:left w:val="single" w:color="000000" w:sz="4" w:space="0"/>
              <w:bottom w:val="nil"/>
              <w:right w:val="nil"/>
            </w:tcBorders>
            <w:shd w:val="clear" w:color="auto" w:fill="FFFFFF"/>
            <w:vAlign w:val="center"/>
          </w:tcPr>
          <w:p w14:paraId="72BCA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（2.1+2.2）</w:t>
            </w:r>
          </w:p>
        </w:tc>
        <w:tc>
          <w:tcPr>
            <w:tcW w:w="1545" w:type="dxa"/>
            <w:tcBorders>
              <w:top w:val="single" w:color="000000" w:sz="4" w:space="0"/>
              <w:left w:val="single" w:color="000000" w:sz="4" w:space="0"/>
              <w:bottom w:val="nil"/>
              <w:right w:val="nil"/>
            </w:tcBorders>
            <w:shd w:val="clear" w:color="auto" w:fill="FFFFFF"/>
            <w:vAlign w:val="center"/>
          </w:tcPr>
          <w:p w14:paraId="1D7E5FE6">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31A46399">
            <w:pPr>
              <w:jc w:val="left"/>
              <w:rPr>
                <w:rFonts w:hint="eastAsia" w:ascii="宋体" w:hAnsi="宋体" w:eastAsia="宋体" w:cs="宋体"/>
                <w:i w:val="0"/>
                <w:iCs w:val="0"/>
                <w:color w:val="000000"/>
                <w:sz w:val="18"/>
                <w:szCs w:val="18"/>
                <w:u w:val="none"/>
              </w:rPr>
            </w:pPr>
          </w:p>
        </w:tc>
      </w:tr>
      <w:tr w14:paraId="64621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nil"/>
            </w:tcBorders>
            <w:shd w:val="clear" w:color="auto" w:fill="FFFFFF"/>
            <w:vAlign w:val="center"/>
          </w:tcPr>
          <w:p w14:paraId="61CB3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345" w:type="dxa"/>
            <w:gridSpan w:val="2"/>
            <w:tcBorders>
              <w:top w:val="single" w:color="000000" w:sz="4" w:space="0"/>
              <w:left w:val="single" w:color="000000" w:sz="4" w:space="0"/>
              <w:bottom w:val="nil"/>
              <w:right w:val="nil"/>
            </w:tcBorders>
            <w:shd w:val="clear" w:color="auto" w:fill="FFFFFF"/>
            <w:vAlign w:val="center"/>
          </w:tcPr>
          <w:p w14:paraId="25BDA2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施工技术措施项目费</w:t>
            </w:r>
          </w:p>
        </w:tc>
        <w:tc>
          <w:tcPr>
            <w:tcW w:w="3390" w:type="dxa"/>
            <w:tcBorders>
              <w:top w:val="single" w:color="000000" w:sz="4" w:space="0"/>
              <w:left w:val="single" w:color="000000" w:sz="4" w:space="0"/>
              <w:bottom w:val="nil"/>
              <w:right w:val="nil"/>
            </w:tcBorders>
            <w:shd w:val="clear" w:color="auto" w:fill="FFFFFF"/>
            <w:vAlign w:val="center"/>
          </w:tcPr>
          <w:p w14:paraId="4F76B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∑(技措项目工程量×综合单价）</w:t>
            </w:r>
          </w:p>
        </w:tc>
        <w:tc>
          <w:tcPr>
            <w:tcW w:w="1545" w:type="dxa"/>
            <w:tcBorders>
              <w:top w:val="single" w:color="000000" w:sz="4" w:space="0"/>
              <w:left w:val="single" w:color="000000" w:sz="4" w:space="0"/>
              <w:bottom w:val="nil"/>
              <w:right w:val="nil"/>
            </w:tcBorders>
            <w:shd w:val="clear" w:color="auto" w:fill="FFFFFF"/>
            <w:vAlign w:val="center"/>
          </w:tcPr>
          <w:p w14:paraId="71479DCF">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77E70E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见表10.2.2-16</w:t>
            </w:r>
          </w:p>
        </w:tc>
      </w:tr>
      <w:tr w14:paraId="66CF9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nil"/>
            </w:tcBorders>
            <w:shd w:val="clear" w:color="auto" w:fill="FFFFFF"/>
            <w:vAlign w:val="center"/>
          </w:tcPr>
          <w:p w14:paraId="47565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540" w:type="dxa"/>
            <w:tcBorders>
              <w:top w:val="single" w:color="000000" w:sz="4" w:space="0"/>
              <w:left w:val="single" w:color="000000" w:sz="4" w:space="0"/>
              <w:bottom w:val="nil"/>
              <w:right w:val="nil"/>
            </w:tcBorders>
            <w:shd w:val="clear" w:color="auto" w:fill="FFFFFF"/>
            <w:vAlign w:val="center"/>
          </w:tcPr>
          <w:p w14:paraId="31A78F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805" w:type="dxa"/>
            <w:tcBorders>
              <w:top w:val="single" w:color="000000" w:sz="4" w:space="0"/>
              <w:left w:val="single" w:color="000000" w:sz="4" w:space="0"/>
              <w:bottom w:val="nil"/>
              <w:right w:val="nil"/>
            </w:tcBorders>
            <w:shd w:val="clear" w:color="auto" w:fill="FFFFFF"/>
            <w:vAlign w:val="center"/>
          </w:tcPr>
          <w:p w14:paraId="20DE15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人工费+机械费</w:t>
            </w:r>
          </w:p>
        </w:tc>
        <w:tc>
          <w:tcPr>
            <w:tcW w:w="3390" w:type="dxa"/>
            <w:tcBorders>
              <w:top w:val="single" w:color="000000" w:sz="4" w:space="0"/>
              <w:left w:val="single" w:color="000000" w:sz="4" w:space="0"/>
              <w:bottom w:val="nil"/>
              <w:right w:val="nil"/>
            </w:tcBorders>
            <w:shd w:val="clear" w:color="auto" w:fill="FFFFFF"/>
            <w:vAlign w:val="center"/>
          </w:tcPr>
          <w:p w14:paraId="0C726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∑技措项目（定额人工费+定额机械费）</w:t>
            </w:r>
          </w:p>
        </w:tc>
        <w:tc>
          <w:tcPr>
            <w:tcW w:w="1545" w:type="dxa"/>
            <w:tcBorders>
              <w:top w:val="single" w:color="000000" w:sz="4" w:space="0"/>
              <w:left w:val="single" w:color="000000" w:sz="4" w:space="0"/>
              <w:bottom w:val="nil"/>
              <w:right w:val="nil"/>
            </w:tcBorders>
            <w:shd w:val="clear" w:color="auto" w:fill="FFFFFF"/>
            <w:vAlign w:val="center"/>
          </w:tcPr>
          <w:p w14:paraId="2F56C949">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04938ADF">
            <w:pPr>
              <w:jc w:val="left"/>
              <w:rPr>
                <w:rFonts w:hint="eastAsia" w:ascii="宋体" w:hAnsi="宋体" w:eastAsia="宋体" w:cs="宋体"/>
                <w:i w:val="0"/>
                <w:iCs w:val="0"/>
                <w:color w:val="000000"/>
                <w:sz w:val="18"/>
                <w:szCs w:val="18"/>
                <w:u w:val="none"/>
              </w:rPr>
            </w:pPr>
          </w:p>
        </w:tc>
      </w:tr>
      <w:tr w14:paraId="4E4F3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nil"/>
            </w:tcBorders>
            <w:shd w:val="clear" w:color="auto" w:fill="FFFFFF"/>
            <w:vAlign w:val="center"/>
          </w:tcPr>
          <w:p w14:paraId="704D95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345" w:type="dxa"/>
            <w:gridSpan w:val="2"/>
            <w:tcBorders>
              <w:top w:val="single" w:color="000000" w:sz="4" w:space="0"/>
              <w:left w:val="single" w:color="000000" w:sz="4" w:space="0"/>
              <w:bottom w:val="nil"/>
              <w:right w:val="nil"/>
            </w:tcBorders>
            <w:shd w:val="clear" w:color="auto" w:fill="FFFFFF"/>
            <w:vAlign w:val="center"/>
          </w:tcPr>
          <w:p w14:paraId="5562DE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施工组织措施项目费</w:t>
            </w:r>
          </w:p>
        </w:tc>
        <w:tc>
          <w:tcPr>
            <w:tcW w:w="3390" w:type="dxa"/>
            <w:tcBorders>
              <w:top w:val="single" w:color="000000" w:sz="4" w:space="0"/>
              <w:left w:val="single" w:color="000000" w:sz="4" w:space="0"/>
              <w:bottom w:val="nil"/>
              <w:right w:val="nil"/>
            </w:tcBorders>
            <w:shd w:val="clear" w:color="auto" w:fill="FFFFFF"/>
            <w:vAlign w:val="center"/>
          </w:tcPr>
          <w:p w14:paraId="2DA1A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(1.1+2.1.1)×费率</w:t>
            </w:r>
          </w:p>
        </w:tc>
        <w:tc>
          <w:tcPr>
            <w:tcW w:w="1545" w:type="dxa"/>
            <w:tcBorders>
              <w:top w:val="single" w:color="000000" w:sz="4" w:space="0"/>
              <w:left w:val="single" w:color="000000" w:sz="4" w:space="0"/>
              <w:bottom w:val="nil"/>
              <w:right w:val="nil"/>
            </w:tcBorders>
            <w:shd w:val="clear" w:color="auto" w:fill="FFFFFF"/>
            <w:vAlign w:val="center"/>
          </w:tcPr>
          <w:p w14:paraId="230453D9">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6875ED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见表10.2.2-20</w:t>
            </w:r>
          </w:p>
        </w:tc>
      </w:tr>
      <w:tr w14:paraId="2D8D9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nil"/>
            </w:tcBorders>
            <w:shd w:val="clear" w:color="auto" w:fill="FFFFFF"/>
            <w:vAlign w:val="center"/>
          </w:tcPr>
          <w:p w14:paraId="48AC9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540" w:type="dxa"/>
            <w:tcBorders>
              <w:top w:val="single" w:color="000000" w:sz="4" w:space="0"/>
              <w:left w:val="single" w:color="000000" w:sz="4" w:space="0"/>
              <w:bottom w:val="nil"/>
              <w:right w:val="nil"/>
            </w:tcBorders>
            <w:shd w:val="clear" w:color="auto" w:fill="FFFFFF"/>
            <w:vAlign w:val="center"/>
          </w:tcPr>
          <w:p w14:paraId="52F877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805" w:type="dxa"/>
            <w:tcBorders>
              <w:top w:val="single" w:color="000000" w:sz="4" w:space="0"/>
              <w:left w:val="single" w:color="000000" w:sz="4" w:space="0"/>
              <w:bottom w:val="nil"/>
              <w:right w:val="nil"/>
            </w:tcBorders>
            <w:shd w:val="clear" w:color="auto" w:fill="FFFFFF"/>
            <w:vAlign w:val="center"/>
          </w:tcPr>
          <w:p w14:paraId="3FC9CE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安全文明施工基本费</w:t>
            </w:r>
          </w:p>
        </w:tc>
        <w:tc>
          <w:tcPr>
            <w:tcW w:w="3390" w:type="dxa"/>
            <w:tcBorders>
              <w:top w:val="single" w:color="000000" w:sz="4" w:space="0"/>
              <w:left w:val="single" w:color="000000" w:sz="4" w:space="0"/>
              <w:bottom w:val="nil"/>
              <w:right w:val="nil"/>
            </w:tcBorders>
            <w:shd w:val="clear" w:color="auto" w:fill="FFFFFF"/>
            <w:vAlign w:val="center"/>
          </w:tcPr>
          <w:p w14:paraId="7DED2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(1.1+2.1.1)×费率</w:t>
            </w:r>
          </w:p>
        </w:tc>
        <w:tc>
          <w:tcPr>
            <w:tcW w:w="1545" w:type="dxa"/>
            <w:tcBorders>
              <w:top w:val="single" w:color="000000" w:sz="4" w:space="0"/>
              <w:left w:val="single" w:color="000000" w:sz="4" w:space="0"/>
              <w:bottom w:val="nil"/>
              <w:right w:val="nil"/>
            </w:tcBorders>
            <w:shd w:val="clear" w:color="auto" w:fill="FFFFFF"/>
            <w:vAlign w:val="center"/>
          </w:tcPr>
          <w:p w14:paraId="3E9A9492">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08F0CE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见表10.2.2-20</w:t>
            </w:r>
          </w:p>
        </w:tc>
      </w:tr>
      <w:tr w14:paraId="43F3B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nil"/>
            </w:tcBorders>
            <w:shd w:val="clear" w:color="auto" w:fill="FFFFFF"/>
            <w:vAlign w:val="center"/>
          </w:tcPr>
          <w:p w14:paraId="4F2B4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345" w:type="dxa"/>
            <w:gridSpan w:val="2"/>
            <w:tcBorders>
              <w:top w:val="single" w:color="000000" w:sz="4" w:space="0"/>
              <w:left w:val="single" w:color="000000" w:sz="4" w:space="0"/>
              <w:bottom w:val="nil"/>
              <w:right w:val="nil"/>
            </w:tcBorders>
            <w:shd w:val="clear" w:color="auto" w:fill="FFFFFF"/>
            <w:vAlign w:val="center"/>
          </w:tcPr>
          <w:p w14:paraId="2B49A9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其他项目费</w:t>
            </w:r>
          </w:p>
        </w:tc>
        <w:tc>
          <w:tcPr>
            <w:tcW w:w="3390" w:type="dxa"/>
            <w:tcBorders>
              <w:top w:val="single" w:color="000000" w:sz="4" w:space="0"/>
              <w:left w:val="single" w:color="000000" w:sz="4" w:space="0"/>
              <w:bottom w:val="nil"/>
              <w:right w:val="nil"/>
            </w:tcBorders>
            <w:shd w:val="clear" w:color="auto" w:fill="FFFFFF"/>
            <w:vAlign w:val="center"/>
          </w:tcPr>
          <w:p w14:paraId="5CA7C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（3.1+3.2+3.3+3.4）</w:t>
            </w:r>
          </w:p>
        </w:tc>
        <w:tc>
          <w:tcPr>
            <w:tcW w:w="1545" w:type="dxa"/>
            <w:tcBorders>
              <w:top w:val="single" w:color="000000" w:sz="4" w:space="0"/>
              <w:left w:val="single" w:color="000000" w:sz="4" w:space="0"/>
              <w:bottom w:val="nil"/>
              <w:right w:val="nil"/>
            </w:tcBorders>
            <w:shd w:val="clear" w:color="auto" w:fill="FFFFFF"/>
            <w:vAlign w:val="center"/>
          </w:tcPr>
          <w:p w14:paraId="2BAD984A">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4819106C">
            <w:pPr>
              <w:jc w:val="left"/>
              <w:rPr>
                <w:rFonts w:hint="eastAsia" w:ascii="宋体" w:hAnsi="宋体" w:eastAsia="宋体" w:cs="宋体"/>
                <w:i w:val="0"/>
                <w:iCs w:val="0"/>
                <w:color w:val="000000"/>
                <w:sz w:val="18"/>
                <w:szCs w:val="18"/>
                <w:u w:val="none"/>
              </w:rPr>
            </w:pPr>
          </w:p>
        </w:tc>
      </w:tr>
      <w:tr w14:paraId="032B0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nil"/>
            </w:tcBorders>
            <w:shd w:val="clear" w:color="auto" w:fill="FFFFFF"/>
            <w:vAlign w:val="center"/>
          </w:tcPr>
          <w:p w14:paraId="38C03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345" w:type="dxa"/>
            <w:gridSpan w:val="2"/>
            <w:tcBorders>
              <w:top w:val="single" w:color="000000" w:sz="4" w:space="0"/>
              <w:left w:val="single" w:color="000000" w:sz="4" w:space="0"/>
              <w:bottom w:val="nil"/>
              <w:right w:val="nil"/>
            </w:tcBorders>
            <w:shd w:val="clear" w:color="auto" w:fill="FFFFFF"/>
            <w:vAlign w:val="center"/>
          </w:tcPr>
          <w:p w14:paraId="671A11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3390" w:type="dxa"/>
            <w:tcBorders>
              <w:top w:val="single" w:color="000000" w:sz="4" w:space="0"/>
              <w:left w:val="single" w:color="000000" w:sz="4" w:space="0"/>
              <w:bottom w:val="nil"/>
              <w:right w:val="nil"/>
            </w:tcBorders>
            <w:shd w:val="clear" w:color="auto" w:fill="FFFFFF"/>
            <w:vAlign w:val="center"/>
          </w:tcPr>
          <w:p w14:paraId="24181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3.1.1+3.1.2+3.1.3</w:t>
            </w:r>
          </w:p>
        </w:tc>
        <w:tc>
          <w:tcPr>
            <w:tcW w:w="1545" w:type="dxa"/>
            <w:tcBorders>
              <w:top w:val="single" w:color="000000" w:sz="4" w:space="0"/>
              <w:left w:val="single" w:color="000000" w:sz="4" w:space="0"/>
              <w:bottom w:val="nil"/>
              <w:right w:val="nil"/>
            </w:tcBorders>
            <w:shd w:val="clear" w:color="auto" w:fill="FFFFFF"/>
            <w:vAlign w:val="center"/>
          </w:tcPr>
          <w:p w14:paraId="387E6550">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4F48C7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见表10.2.2-21</w:t>
            </w:r>
          </w:p>
        </w:tc>
      </w:tr>
      <w:tr w14:paraId="63153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nil"/>
            </w:tcBorders>
            <w:shd w:val="clear" w:color="auto" w:fill="FFFFFF"/>
            <w:vAlign w:val="center"/>
          </w:tcPr>
          <w:p w14:paraId="27188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540" w:type="dxa"/>
            <w:vMerge w:val="restart"/>
            <w:tcBorders>
              <w:top w:val="single" w:color="000000" w:sz="4" w:space="0"/>
              <w:left w:val="single" w:color="000000" w:sz="4" w:space="0"/>
              <w:bottom w:val="nil"/>
              <w:right w:val="nil"/>
            </w:tcBorders>
            <w:shd w:val="clear" w:color="auto" w:fill="FFFFFF"/>
            <w:vAlign w:val="center"/>
          </w:tcPr>
          <w:p w14:paraId="29A138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805" w:type="dxa"/>
            <w:tcBorders>
              <w:top w:val="single" w:color="000000" w:sz="4" w:space="0"/>
              <w:left w:val="single" w:color="000000" w:sz="4" w:space="0"/>
              <w:bottom w:val="nil"/>
              <w:right w:val="nil"/>
            </w:tcBorders>
            <w:shd w:val="clear" w:color="auto" w:fill="FFFFFF"/>
            <w:vAlign w:val="center"/>
          </w:tcPr>
          <w:p w14:paraId="164673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标化工地增加费</w:t>
            </w:r>
          </w:p>
        </w:tc>
        <w:tc>
          <w:tcPr>
            <w:tcW w:w="3390" w:type="dxa"/>
            <w:tcBorders>
              <w:top w:val="single" w:color="000000" w:sz="4" w:space="0"/>
              <w:left w:val="single" w:color="000000" w:sz="4" w:space="0"/>
              <w:bottom w:val="nil"/>
              <w:right w:val="nil"/>
            </w:tcBorders>
            <w:shd w:val="clear" w:color="auto" w:fill="FFFFFF"/>
            <w:vAlign w:val="center"/>
          </w:tcPr>
          <w:p w14:paraId="3952E5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545" w:type="dxa"/>
            <w:tcBorders>
              <w:top w:val="single" w:color="000000" w:sz="4" w:space="0"/>
              <w:left w:val="single" w:color="000000" w:sz="4" w:space="0"/>
              <w:bottom w:val="nil"/>
              <w:right w:val="nil"/>
            </w:tcBorders>
            <w:shd w:val="clear" w:color="auto" w:fill="FFFFFF"/>
            <w:vAlign w:val="center"/>
          </w:tcPr>
          <w:p w14:paraId="6EF91E38">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42A03B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见表10.2.2-22</w:t>
            </w:r>
          </w:p>
        </w:tc>
      </w:tr>
      <w:tr w14:paraId="4D92F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single" w:color="000000" w:sz="4" w:space="0"/>
            </w:tcBorders>
            <w:shd w:val="clear" w:color="auto" w:fill="FFFFFF"/>
            <w:vAlign w:val="center"/>
          </w:tcPr>
          <w:p w14:paraId="342AC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540" w:type="dxa"/>
            <w:vMerge w:val="continue"/>
            <w:tcBorders>
              <w:top w:val="single" w:color="000000" w:sz="4" w:space="0"/>
              <w:left w:val="single" w:color="000000" w:sz="4" w:space="0"/>
              <w:bottom w:val="nil"/>
              <w:right w:val="nil"/>
            </w:tcBorders>
            <w:shd w:val="clear" w:color="auto" w:fill="FFFFFF"/>
            <w:vAlign w:val="center"/>
          </w:tcPr>
          <w:p w14:paraId="4C2C90E4">
            <w:pPr>
              <w:jc w:val="left"/>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nil"/>
              <w:right w:val="nil"/>
            </w:tcBorders>
            <w:shd w:val="clear" w:color="auto" w:fill="FFFFFF"/>
            <w:vAlign w:val="center"/>
          </w:tcPr>
          <w:p w14:paraId="36E667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优质工程增加费</w:t>
            </w:r>
          </w:p>
        </w:tc>
        <w:tc>
          <w:tcPr>
            <w:tcW w:w="3390" w:type="dxa"/>
            <w:tcBorders>
              <w:top w:val="single" w:color="000000" w:sz="4" w:space="0"/>
              <w:left w:val="single" w:color="000000" w:sz="4" w:space="0"/>
              <w:bottom w:val="nil"/>
              <w:right w:val="nil"/>
            </w:tcBorders>
            <w:shd w:val="clear" w:color="auto" w:fill="FFFFFF"/>
            <w:vAlign w:val="center"/>
          </w:tcPr>
          <w:p w14:paraId="160C7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545" w:type="dxa"/>
            <w:tcBorders>
              <w:top w:val="single" w:color="000000" w:sz="4" w:space="0"/>
              <w:left w:val="single" w:color="000000" w:sz="4" w:space="0"/>
              <w:bottom w:val="nil"/>
              <w:right w:val="nil"/>
            </w:tcBorders>
            <w:shd w:val="clear" w:color="auto" w:fill="FFFFFF"/>
            <w:vAlign w:val="center"/>
          </w:tcPr>
          <w:p w14:paraId="67DB780B">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583709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见表10.2.2-22</w:t>
            </w:r>
          </w:p>
        </w:tc>
      </w:tr>
      <w:tr w14:paraId="15E50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single" w:color="000000" w:sz="4" w:space="0"/>
            </w:tcBorders>
            <w:shd w:val="clear" w:color="auto" w:fill="FFFFFF"/>
            <w:vAlign w:val="center"/>
          </w:tcPr>
          <w:p w14:paraId="032AF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540" w:type="dxa"/>
            <w:vMerge w:val="continue"/>
            <w:tcBorders>
              <w:top w:val="single" w:color="000000" w:sz="4" w:space="0"/>
              <w:left w:val="single" w:color="000000" w:sz="4" w:space="0"/>
              <w:bottom w:val="nil"/>
              <w:right w:val="nil"/>
            </w:tcBorders>
            <w:shd w:val="clear" w:color="auto" w:fill="FFFFFF"/>
            <w:vAlign w:val="center"/>
          </w:tcPr>
          <w:p w14:paraId="5B1A03D5">
            <w:pPr>
              <w:jc w:val="left"/>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nil"/>
              <w:right w:val="nil"/>
            </w:tcBorders>
            <w:shd w:val="clear" w:color="auto" w:fill="FFFFFF"/>
            <w:vAlign w:val="center"/>
          </w:tcPr>
          <w:p w14:paraId="160D08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其他暂列金额</w:t>
            </w:r>
          </w:p>
        </w:tc>
        <w:tc>
          <w:tcPr>
            <w:tcW w:w="3390" w:type="dxa"/>
            <w:tcBorders>
              <w:top w:val="single" w:color="000000" w:sz="4" w:space="0"/>
              <w:left w:val="single" w:color="000000" w:sz="4" w:space="0"/>
              <w:bottom w:val="nil"/>
              <w:right w:val="nil"/>
            </w:tcBorders>
            <w:shd w:val="clear" w:color="auto" w:fill="FFFFFF"/>
            <w:vAlign w:val="center"/>
          </w:tcPr>
          <w:p w14:paraId="5DAAE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545" w:type="dxa"/>
            <w:tcBorders>
              <w:top w:val="single" w:color="000000" w:sz="4" w:space="0"/>
              <w:left w:val="single" w:color="000000" w:sz="4" w:space="0"/>
              <w:bottom w:val="nil"/>
              <w:right w:val="nil"/>
            </w:tcBorders>
            <w:shd w:val="clear" w:color="auto" w:fill="FFFFFF"/>
            <w:vAlign w:val="center"/>
          </w:tcPr>
          <w:p w14:paraId="3087FF42">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6E6D25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见表10.2.2-22</w:t>
            </w:r>
          </w:p>
        </w:tc>
      </w:tr>
      <w:tr w14:paraId="01D2F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nil"/>
            </w:tcBorders>
            <w:shd w:val="clear" w:color="auto" w:fill="FFFFFF"/>
            <w:vAlign w:val="center"/>
          </w:tcPr>
          <w:p w14:paraId="0628F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345" w:type="dxa"/>
            <w:gridSpan w:val="2"/>
            <w:tcBorders>
              <w:top w:val="single" w:color="000000" w:sz="4" w:space="0"/>
              <w:left w:val="single" w:color="000000" w:sz="4" w:space="0"/>
              <w:bottom w:val="nil"/>
              <w:right w:val="nil"/>
            </w:tcBorders>
            <w:shd w:val="clear" w:color="auto" w:fill="FFFFFF"/>
            <w:vAlign w:val="center"/>
          </w:tcPr>
          <w:p w14:paraId="0F46FF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3390" w:type="dxa"/>
            <w:tcBorders>
              <w:top w:val="single" w:color="000000" w:sz="4" w:space="0"/>
              <w:left w:val="single" w:color="000000" w:sz="4" w:space="0"/>
              <w:bottom w:val="nil"/>
              <w:right w:val="nil"/>
            </w:tcBorders>
            <w:shd w:val="clear" w:color="auto" w:fill="FFFFFF"/>
            <w:vAlign w:val="center"/>
          </w:tcPr>
          <w:p w14:paraId="08613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3.2.1+3.2.2+3.2.3</w:t>
            </w:r>
          </w:p>
        </w:tc>
        <w:tc>
          <w:tcPr>
            <w:tcW w:w="1545" w:type="dxa"/>
            <w:tcBorders>
              <w:top w:val="single" w:color="000000" w:sz="4" w:space="0"/>
              <w:left w:val="single" w:color="000000" w:sz="4" w:space="0"/>
              <w:bottom w:val="nil"/>
              <w:right w:val="nil"/>
            </w:tcBorders>
            <w:shd w:val="clear" w:color="auto" w:fill="FFFFFF"/>
            <w:vAlign w:val="center"/>
          </w:tcPr>
          <w:p w14:paraId="72DBF5D4">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7B847E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见表10.2.2-21</w:t>
            </w:r>
          </w:p>
        </w:tc>
      </w:tr>
      <w:tr w14:paraId="3DC64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nil"/>
            </w:tcBorders>
            <w:shd w:val="clear" w:color="auto" w:fill="FFFFFF"/>
            <w:vAlign w:val="center"/>
          </w:tcPr>
          <w:p w14:paraId="412B7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w:t>
            </w:r>
          </w:p>
        </w:tc>
        <w:tc>
          <w:tcPr>
            <w:tcW w:w="540" w:type="dxa"/>
            <w:vMerge w:val="restart"/>
            <w:tcBorders>
              <w:top w:val="single" w:color="000000" w:sz="4" w:space="0"/>
              <w:left w:val="single" w:color="000000" w:sz="4" w:space="0"/>
              <w:bottom w:val="nil"/>
              <w:right w:val="nil"/>
            </w:tcBorders>
            <w:shd w:val="clear" w:color="auto" w:fill="FFFFFF"/>
            <w:vAlign w:val="center"/>
          </w:tcPr>
          <w:p w14:paraId="10962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805" w:type="dxa"/>
            <w:tcBorders>
              <w:top w:val="single" w:color="000000" w:sz="4" w:space="0"/>
              <w:left w:val="single" w:color="000000" w:sz="4" w:space="0"/>
              <w:bottom w:val="nil"/>
              <w:right w:val="nil"/>
            </w:tcBorders>
            <w:shd w:val="clear" w:color="auto" w:fill="FFFFFF"/>
            <w:vAlign w:val="center"/>
          </w:tcPr>
          <w:p w14:paraId="7AACF4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材料（工程设备）暂估价</w:t>
            </w:r>
          </w:p>
        </w:tc>
        <w:tc>
          <w:tcPr>
            <w:tcW w:w="3390" w:type="dxa"/>
            <w:tcBorders>
              <w:top w:val="single" w:color="000000" w:sz="4" w:space="0"/>
              <w:left w:val="single" w:color="000000" w:sz="4" w:space="0"/>
              <w:bottom w:val="nil"/>
              <w:right w:val="nil"/>
            </w:tcBorders>
            <w:shd w:val="clear" w:color="auto" w:fill="FFFFFF"/>
            <w:vAlign w:val="center"/>
          </w:tcPr>
          <w:p w14:paraId="74069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(或计入综合单价)</w:t>
            </w:r>
          </w:p>
        </w:tc>
        <w:tc>
          <w:tcPr>
            <w:tcW w:w="1545" w:type="dxa"/>
            <w:tcBorders>
              <w:top w:val="single" w:color="000000" w:sz="4" w:space="0"/>
              <w:left w:val="single" w:color="000000" w:sz="4" w:space="0"/>
              <w:bottom w:val="nil"/>
              <w:right w:val="nil"/>
            </w:tcBorders>
            <w:shd w:val="clear" w:color="auto" w:fill="FFFFFF"/>
            <w:vAlign w:val="center"/>
          </w:tcPr>
          <w:p w14:paraId="183010A8">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4F2E1A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见表10.2.2-23</w:t>
            </w:r>
          </w:p>
        </w:tc>
      </w:tr>
      <w:tr w14:paraId="28AF3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single" w:color="000000" w:sz="4" w:space="0"/>
            </w:tcBorders>
            <w:shd w:val="clear" w:color="auto" w:fill="FFFFFF"/>
            <w:vAlign w:val="center"/>
          </w:tcPr>
          <w:p w14:paraId="52FA0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w:t>
            </w:r>
          </w:p>
        </w:tc>
        <w:tc>
          <w:tcPr>
            <w:tcW w:w="540" w:type="dxa"/>
            <w:vMerge w:val="continue"/>
            <w:tcBorders>
              <w:top w:val="single" w:color="000000" w:sz="4" w:space="0"/>
              <w:left w:val="single" w:color="000000" w:sz="4" w:space="0"/>
              <w:bottom w:val="nil"/>
              <w:right w:val="nil"/>
            </w:tcBorders>
            <w:shd w:val="clear" w:color="auto" w:fill="FFFFFF"/>
            <w:vAlign w:val="center"/>
          </w:tcPr>
          <w:p w14:paraId="2165ACEA">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nil"/>
              <w:right w:val="nil"/>
            </w:tcBorders>
            <w:shd w:val="clear" w:color="auto" w:fill="FFFFFF"/>
            <w:vAlign w:val="center"/>
          </w:tcPr>
          <w:p w14:paraId="4B3716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3390" w:type="dxa"/>
            <w:tcBorders>
              <w:top w:val="single" w:color="000000" w:sz="4" w:space="0"/>
              <w:left w:val="single" w:color="000000" w:sz="4" w:space="0"/>
              <w:bottom w:val="nil"/>
              <w:right w:val="nil"/>
            </w:tcBorders>
            <w:shd w:val="clear" w:color="auto" w:fill="FFFFFF"/>
            <w:vAlign w:val="center"/>
          </w:tcPr>
          <w:p w14:paraId="54C6D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545" w:type="dxa"/>
            <w:tcBorders>
              <w:top w:val="single" w:color="000000" w:sz="4" w:space="0"/>
              <w:left w:val="single" w:color="000000" w:sz="4" w:space="0"/>
              <w:bottom w:val="nil"/>
              <w:right w:val="nil"/>
            </w:tcBorders>
            <w:shd w:val="clear" w:color="auto" w:fill="FFFFFF"/>
            <w:vAlign w:val="center"/>
          </w:tcPr>
          <w:p w14:paraId="42023AC3">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491196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见表10.2.2-24</w:t>
            </w:r>
          </w:p>
        </w:tc>
      </w:tr>
      <w:tr w14:paraId="39BC2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single" w:color="000000" w:sz="4" w:space="0"/>
            </w:tcBorders>
            <w:shd w:val="clear" w:color="auto" w:fill="FFFFFF"/>
            <w:vAlign w:val="center"/>
          </w:tcPr>
          <w:p w14:paraId="561C2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540" w:type="dxa"/>
            <w:vMerge w:val="continue"/>
            <w:tcBorders>
              <w:top w:val="single" w:color="000000" w:sz="4" w:space="0"/>
              <w:left w:val="single" w:color="000000" w:sz="4" w:space="0"/>
              <w:bottom w:val="nil"/>
              <w:right w:val="nil"/>
            </w:tcBorders>
            <w:shd w:val="clear" w:color="auto" w:fill="FFFFFF"/>
            <w:vAlign w:val="center"/>
          </w:tcPr>
          <w:p w14:paraId="422A51BD">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nil"/>
              <w:right w:val="nil"/>
            </w:tcBorders>
            <w:shd w:val="clear" w:color="auto" w:fill="FFFFFF"/>
            <w:vAlign w:val="center"/>
          </w:tcPr>
          <w:p w14:paraId="63A6A4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专项技术措施暂估价</w:t>
            </w:r>
          </w:p>
        </w:tc>
        <w:tc>
          <w:tcPr>
            <w:tcW w:w="3390" w:type="dxa"/>
            <w:tcBorders>
              <w:top w:val="single" w:color="000000" w:sz="4" w:space="0"/>
              <w:left w:val="single" w:color="000000" w:sz="4" w:space="0"/>
              <w:bottom w:val="nil"/>
              <w:right w:val="nil"/>
            </w:tcBorders>
            <w:shd w:val="clear" w:color="auto" w:fill="FFFFFF"/>
            <w:vAlign w:val="center"/>
          </w:tcPr>
          <w:p w14:paraId="29B57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545" w:type="dxa"/>
            <w:tcBorders>
              <w:top w:val="single" w:color="000000" w:sz="4" w:space="0"/>
              <w:left w:val="single" w:color="000000" w:sz="4" w:space="0"/>
              <w:bottom w:val="nil"/>
              <w:right w:val="nil"/>
            </w:tcBorders>
            <w:shd w:val="clear" w:color="auto" w:fill="FFFFFF"/>
            <w:vAlign w:val="center"/>
          </w:tcPr>
          <w:p w14:paraId="0CCF451F">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60374A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见表10.2.2-25</w:t>
            </w:r>
          </w:p>
        </w:tc>
      </w:tr>
      <w:tr w14:paraId="6A255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nil"/>
            </w:tcBorders>
            <w:shd w:val="clear" w:color="auto" w:fill="FFFFFF"/>
            <w:vAlign w:val="center"/>
          </w:tcPr>
          <w:p w14:paraId="41718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345" w:type="dxa"/>
            <w:gridSpan w:val="2"/>
            <w:tcBorders>
              <w:top w:val="single" w:color="000000" w:sz="4" w:space="0"/>
              <w:left w:val="single" w:color="000000" w:sz="4" w:space="0"/>
              <w:bottom w:val="nil"/>
              <w:right w:val="nil"/>
            </w:tcBorders>
            <w:shd w:val="clear" w:color="auto" w:fill="FFFFFF"/>
            <w:vAlign w:val="center"/>
          </w:tcPr>
          <w:p w14:paraId="41DF78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3390" w:type="dxa"/>
            <w:tcBorders>
              <w:top w:val="single" w:color="000000" w:sz="4" w:space="0"/>
              <w:left w:val="single" w:color="000000" w:sz="4" w:space="0"/>
              <w:bottom w:val="nil"/>
              <w:right w:val="nil"/>
            </w:tcBorders>
            <w:shd w:val="clear" w:color="auto" w:fill="FFFFFF"/>
            <w:vAlign w:val="center"/>
          </w:tcPr>
          <w:p w14:paraId="44D52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∑计日工(暂估数量×综合单价）</w:t>
            </w:r>
          </w:p>
        </w:tc>
        <w:tc>
          <w:tcPr>
            <w:tcW w:w="1545" w:type="dxa"/>
            <w:tcBorders>
              <w:top w:val="single" w:color="000000" w:sz="4" w:space="0"/>
              <w:left w:val="single" w:color="000000" w:sz="4" w:space="0"/>
              <w:bottom w:val="nil"/>
              <w:right w:val="nil"/>
            </w:tcBorders>
            <w:shd w:val="clear" w:color="auto" w:fill="FFFFFF"/>
            <w:vAlign w:val="center"/>
          </w:tcPr>
          <w:p w14:paraId="56F91E7C">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2644CA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见表10.2.2-21</w:t>
            </w:r>
          </w:p>
        </w:tc>
      </w:tr>
      <w:tr w14:paraId="432C8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nil"/>
            </w:tcBorders>
            <w:shd w:val="clear" w:color="auto" w:fill="FFFFFF"/>
            <w:vAlign w:val="center"/>
          </w:tcPr>
          <w:p w14:paraId="6A100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345" w:type="dxa"/>
            <w:gridSpan w:val="2"/>
            <w:tcBorders>
              <w:top w:val="single" w:color="000000" w:sz="4" w:space="0"/>
              <w:left w:val="single" w:color="000000" w:sz="4" w:space="0"/>
              <w:bottom w:val="nil"/>
              <w:right w:val="nil"/>
            </w:tcBorders>
            <w:shd w:val="clear" w:color="auto" w:fill="FFFFFF"/>
            <w:vAlign w:val="center"/>
          </w:tcPr>
          <w:p w14:paraId="0C6373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施工总承包服务费</w:t>
            </w:r>
          </w:p>
        </w:tc>
        <w:tc>
          <w:tcPr>
            <w:tcW w:w="3390" w:type="dxa"/>
            <w:tcBorders>
              <w:top w:val="single" w:color="000000" w:sz="4" w:space="0"/>
              <w:left w:val="single" w:color="000000" w:sz="4" w:space="0"/>
              <w:bottom w:val="nil"/>
              <w:right w:val="nil"/>
            </w:tcBorders>
            <w:shd w:val="clear" w:color="auto" w:fill="FFFFFF"/>
            <w:vAlign w:val="center"/>
          </w:tcPr>
          <w:p w14:paraId="19175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3.4.1+3.4.2</w:t>
            </w:r>
          </w:p>
        </w:tc>
        <w:tc>
          <w:tcPr>
            <w:tcW w:w="1545" w:type="dxa"/>
            <w:tcBorders>
              <w:top w:val="single" w:color="000000" w:sz="4" w:space="0"/>
              <w:left w:val="single" w:color="000000" w:sz="4" w:space="0"/>
              <w:bottom w:val="nil"/>
              <w:right w:val="nil"/>
            </w:tcBorders>
            <w:shd w:val="clear" w:color="auto" w:fill="FFFFFF"/>
            <w:vAlign w:val="center"/>
          </w:tcPr>
          <w:p w14:paraId="2911AB6B">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296321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见表10.2.2-21</w:t>
            </w:r>
          </w:p>
        </w:tc>
      </w:tr>
      <w:tr w14:paraId="1D0FD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nil"/>
            </w:tcBorders>
            <w:shd w:val="clear" w:color="auto" w:fill="FFFFFF"/>
            <w:vAlign w:val="center"/>
          </w:tcPr>
          <w:p w14:paraId="4282C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w:t>
            </w:r>
          </w:p>
        </w:tc>
        <w:tc>
          <w:tcPr>
            <w:tcW w:w="540" w:type="dxa"/>
            <w:vMerge w:val="restart"/>
            <w:tcBorders>
              <w:top w:val="single" w:color="000000" w:sz="4" w:space="0"/>
              <w:left w:val="single" w:color="000000" w:sz="4" w:space="0"/>
              <w:bottom w:val="nil"/>
              <w:right w:val="nil"/>
            </w:tcBorders>
            <w:shd w:val="clear" w:color="auto" w:fill="FFFFFF"/>
            <w:vAlign w:val="center"/>
          </w:tcPr>
          <w:p w14:paraId="200E3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805" w:type="dxa"/>
            <w:tcBorders>
              <w:top w:val="single" w:color="000000" w:sz="4" w:space="0"/>
              <w:left w:val="single" w:color="000000" w:sz="4" w:space="0"/>
              <w:bottom w:val="nil"/>
              <w:right w:val="nil"/>
            </w:tcBorders>
            <w:shd w:val="clear" w:color="auto" w:fill="FFFFFF"/>
            <w:vAlign w:val="center"/>
          </w:tcPr>
          <w:p w14:paraId="1B2E3B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专业发包工程管理费</w:t>
            </w:r>
          </w:p>
        </w:tc>
        <w:tc>
          <w:tcPr>
            <w:tcW w:w="3390" w:type="dxa"/>
            <w:tcBorders>
              <w:top w:val="single" w:color="000000" w:sz="4" w:space="0"/>
              <w:left w:val="single" w:color="000000" w:sz="4" w:space="0"/>
              <w:bottom w:val="nil"/>
              <w:right w:val="nil"/>
            </w:tcBorders>
            <w:shd w:val="clear" w:color="auto" w:fill="FFFFFF"/>
            <w:vAlign w:val="center"/>
          </w:tcPr>
          <w:p w14:paraId="7FAEA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∑专业发包工程（暂估金额×费率）</w:t>
            </w:r>
          </w:p>
        </w:tc>
        <w:tc>
          <w:tcPr>
            <w:tcW w:w="1545" w:type="dxa"/>
            <w:tcBorders>
              <w:top w:val="single" w:color="000000" w:sz="4" w:space="0"/>
              <w:left w:val="single" w:color="000000" w:sz="4" w:space="0"/>
              <w:bottom w:val="nil"/>
              <w:right w:val="nil"/>
            </w:tcBorders>
            <w:shd w:val="clear" w:color="auto" w:fill="FFFFFF"/>
            <w:vAlign w:val="center"/>
          </w:tcPr>
          <w:p w14:paraId="212B1B64">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2CC6B4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见表10.2.2-27</w:t>
            </w:r>
          </w:p>
        </w:tc>
      </w:tr>
      <w:tr w14:paraId="46780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single" w:color="000000" w:sz="4" w:space="0"/>
            </w:tcBorders>
            <w:shd w:val="clear" w:color="auto" w:fill="FFFFFF"/>
            <w:vAlign w:val="center"/>
          </w:tcPr>
          <w:p w14:paraId="6FA2E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540" w:type="dxa"/>
            <w:vMerge w:val="continue"/>
            <w:tcBorders>
              <w:top w:val="single" w:color="000000" w:sz="4" w:space="0"/>
              <w:left w:val="single" w:color="000000" w:sz="4" w:space="0"/>
              <w:bottom w:val="nil"/>
              <w:right w:val="nil"/>
            </w:tcBorders>
            <w:shd w:val="clear" w:color="auto" w:fill="FFFFFF"/>
            <w:vAlign w:val="center"/>
          </w:tcPr>
          <w:p w14:paraId="5BAC5A10">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nil"/>
              <w:right w:val="nil"/>
            </w:tcBorders>
            <w:shd w:val="clear" w:color="auto" w:fill="FFFFFF"/>
            <w:vAlign w:val="center"/>
          </w:tcPr>
          <w:p w14:paraId="653D58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甲供材料设备管理费</w:t>
            </w:r>
          </w:p>
        </w:tc>
        <w:tc>
          <w:tcPr>
            <w:tcW w:w="3390" w:type="dxa"/>
            <w:tcBorders>
              <w:top w:val="single" w:color="000000" w:sz="4" w:space="0"/>
              <w:left w:val="single" w:color="000000" w:sz="4" w:space="0"/>
              <w:bottom w:val="nil"/>
              <w:right w:val="nil"/>
            </w:tcBorders>
            <w:shd w:val="clear" w:color="auto" w:fill="FFFFFF"/>
            <w:vAlign w:val="center"/>
          </w:tcPr>
          <w:p w14:paraId="38263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甲供材料暂估金额×费率+甲供设备暂估金额×费率</w:t>
            </w:r>
          </w:p>
        </w:tc>
        <w:tc>
          <w:tcPr>
            <w:tcW w:w="1545" w:type="dxa"/>
            <w:tcBorders>
              <w:top w:val="single" w:color="000000" w:sz="4" w:space="0"/>
              <w:left w:val="single" w:color="000000" w:sz="4" w:space="0"/>
              <w:bottom w:val="nil"/>
              <w:right w:val="nil"/>
            </w:tcBorders>
            <w:shd w:val="clear" w:color="auto" w:fill="FFFFFF"/>
            <w:vAlign w:val="center"/>
          </w:tcPr>
          <w:p w14:paraId="7D0E9BB4">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14B96E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见表10.2.2-27</w:t>
            </w:r>
          </w:p>
        </w:tc>
      </w:tr>
      <w:tr w14:paraId="0ED7B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70" w:type="dxa"/>
            <w:tcBorders>
              <w:top w:val="single" w:color="000000" w:sz="4" w:space="0"/>
              <w:left w:val="single" w:color="000000" w:sz="4" w:space="0"/>
              <w:bottom w:val="nil"/>
              <w:right w:val="nil"/>
            </w:tcBorders>
            <w:shd w:val="clear" w:color="auto" w:fill="FFFFFF"/>
            <w:vAlign w:val="center"/>
          </w:tcPr>
          <w:p w14:paraId="7B85C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45" w:type="dxa"/>
            <w:gridSpan w:val="2"/>
            <w:tcBorders>
              <w:top w:val="single" w:color="000000" w:sz="4" w:space="0"/>
              <w:left w:val="single" w:color="000000" w:sz="4" w:space="0"/>
              <w:bottom w:val="nil"/>
              <w:right w:val="nil"/>
            </w:tcBorders>
            <w:shd w:val="clear" w:color="auto" w:fill="FFFFFF"/>
            <w:vAlign w:val="center"/>
          </w:tcPr>
          <w:p w14:paraId="53B932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3390" w:type="dxa"/>
            <w:tcBorders>
              <w:top w:val="single" w:color="000000" w:sz="4" w:space="0"/>
              <w:left w:val="single" w:color="000000" w:sz="4" w:space="0"/>
              <w:bottom w:val="nil"/>
              <w:right w:val="nil"/>
            </w:tcBorders>
            <w:shd w:val="clear" w:color="auto" w:fill="FFFFFF"/>
            <w:vAlign w:val="center"/>
          </w:tcPr>
          <w:p w14:paraId="5F5EA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(1.1+2.1.1)×费率</w:t>
            </w:r>
          </w:p>
        </w:tc>
        <w:tc>
          <w:tcPr>
            <w:tcW w:w="1545" w:type="dxa"/>
            <w:tcBorders>
              <w:top w:val="single" w:color="000000" w:sz="4" w:space="0"/>
              <w:left w:val="single" w:color="000000" w:sz="4" w:space="0"/>
              <w:bottom w:val="nil"/>
              <w:right w:val="nil"/>
            </w:tcBorders>
            <w:shd w:val="clear" w:color="auto" w:fill="FFFFFF"/>
            <w:vAlign w:val="center"/>
          </w:tcPr>
          <w:p w14:paraId="075CF2B8">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313B0BC4">
            <w:pPr>
              <w:jc w:val="left"/>
              <w:rPr>
                <w:rFonts w:hint="eastAsia" w:ascii="宋体" w:hAnsi="宋体" w:eastAsia="宋体" w:cs="宋体"/>
                <w:i w:val="0"/>
                <w:iCs w:val="0"/>
                <w:color w:val="000000"/>
                <w:sz w:val="18"/>
                <w:szCs w:val="18"/>
                <w:u w:val="none"/>
              </w:rPr>
            </w:pPr>
          </w:p>
        </w:tc>
      </w:tr>
      <w:tr w14:paraId="0BAC7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nil"/>
            </w:tcBorders>
            <w:shd w:val="clear" w:color="auto" w:fill="FFFFFF"/>
            <w:vAlign w:val="center"/>
          </w:tcPr>
          <w:p w14:paraId="34B90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45" w:type="dxa"/>
            <w:gridSpan w:val="2"/>
            <w:tcBorders>
              <w:top w:val="single" w:color="000000" w:sz="4" w:space="0"/>
              <w:left w:val="single" w:color="000000" w:sz="4" w:space="0"/>
              <w:bottom w:val="nil"/>
              <w:right w:val="nil"/>
            </w:tcBorders>
            <w:shd w:val="clear" w:color="auto" w:fill="FFFFFF"/>
            <w:vAlign w:val="center"/>
          </w:tcPr>
          <w:p w14:paraId="4B0E39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3390" w:type="dxa"/>
            <w:tcBorders>
              <w:top w:val="single" w:color="000000" w:sz="4" w:space="0"/>
              <w:left w:val="single" w:color="000000" w:sz="4" w:space="0"/>
              <w:bottom w:val="nil"/>
              <w:right w:val="nil"/>
            </w:tcBorders>
            <w:shd w:val="clear" w:color="auto" w:fill="FFFFFF"/>
            <w:vAlign w:val="center"/>
          </w:tcPr>
          <w:p w14:paraId="52FEA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(1+2+3+4)×税率</w:t>
            </w:r>
          </w:p>
        </w:tc>
        <w:tc>
          <w:tcPr>
            <w:tcW w:w="1545" w:type="dxa"/>
            <w:tcBorders>
              <w:top w:val="single" w:color="000000" w:sz="4" w:space="0"/>
              <w:left w:val="single" w:color="000000" w:sz="4" w:space="0"/>
              <w:bottom w:val="nil"/>
              <w:right w:val="nil"/>
            </w:tcBorders>
            <w:shd w:val="clear" w:color="auto" w:fill="FFFFFF"/>
            <w:vAlign w:val="center"/>
          </w:tcPr>
          <w:p w14:paraId="6E854FC5">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2421A726">
            <w:pPr>
              <w:jc w:val="left"/>
              <w:rPr>
                <w:rFonts w:hint="eastAsia" w:ascii="宋体" w:hAnsi="宋体" w:eastAsia="宋体" w:cs="宋体"/>
                <w:i w:val="0"/>
                <w:iCs w:val="0"/>
                <w:color w:val="000000"/>
                <w:sz w:val="18"/>
                <w:szCs w:val="18"/>
                <w:u w:val="none"/>
              </w:rPr>
            </w:pPr>
          </w:p>
        </w:tc>
      </w:tr>
      <w:tr w14:paraId="699BD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915" w:type="dxa"/>
            <w:gridSpan w:val="3"/>
            <w:tcBorders>
              <w:top w:val="single" w:color="000000" w:sz="4" w:space="0"/>
              <w:left w:val="single" w:color="000000" w:sz="4" w:space="0"/>
              <w:bottom w:val="single" w:color="000000" w:sz="4" w:space="0"/>
              <w:right w:val="nil"/>
            </w:tcBorders>
            <w:shd w:val="clear" w:color="auto" w:fill="FFFFFF"/>
            <w:vAlign w:val="center"/>
          </w:tcPr>
          <w:p w14:paraId="21841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招标控制价合计</w:t>
            </w:r>
          </w:p>
        </w:tc>
        <w:tc>
          <w:tcPr>
            <w:tcW w:w="3390" w:type="dxa"/>
            <w:tcBorders>
              <w:top w:val="single" w:color="000000" w:sz="4" w:space="0"/>
              <w:left w:val="single" w:color="000000" w:sz="4" w:space="0"/>
              <w:bottom w:val="single" w:color="000000" w:sz="4" w:space="0"/>
              <w:right w:val="nil"/>
            </w:tcBorders>
            <w:shd w:val="clear" w:color="auto" w:fill="FFFFFF"/>
            <w:vAlign w:val="center"/>
          </w:tcPr>
          <w:p w14:paraId="7599A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1+2+3+4+5</w:t>
            </w:r>
          </w:p>
        </w:tc>
        <w:tc>
          <w:tcPr>
            <w:tcW w:w="1545" w:type="dxa"/>
            <w:tcBorders>
              <w:top w:val="single" w:color="000000" w:sz="4" w:space="0"/>
              <w:left w:val="single" w:color="000000" w:sz="4" w:space="0"/>
              <w:bottom w:val="single" w:color="000000" w:sz="4" w:space="0"/>
              <w:right w:val="nil"/>
            </w:tcBorders>
            <w:shd w:val="clear" w:color="auto" w:fill="FFFFFF"/>
            <w:vAlign w:val="center"/>
          </w:tcPr>
          <w:p w14:paraId="7CB5899A">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E9B4A">
            <w:pPr>
              <w:jc w:val="left"/>
              <w:rPr>
                <w:rFonts w:hint="eastAsia" w:ascii="宋体" w:hAnsi="宋体" w:eastAsia="宋体" w:cs="宋体"/>
                <w:i w:val="0"/>
                <w:iCs w:val="0"/>
                <w:color w:val="000000"/>
                <w:sz w:val="18"/>
                <w:szCs w:val="18"/>
                <w:u w:val="none"/>
              </w:rPr>
            </w:pPr>
          </w:p>
        </w:tc>
      </w:tr>
    </w:tbl>
    <w:p w14:paraId="3BC01407">
      <w:pPr>
        <w:rPr>
          <w:color w:val="auto"/>
          <w:highlight w:val="none"/>
        </w:rPr>
        <w:sectPr>
          <w:pgSz w:w="11905" w:h="16837"/>
          <w:pgMar w:top="1134" w:right="1134" w:bottom="1134" w:left="1134" w:header="0" w:footer="0" w:gutter="0"/>
          <w:cols w:space="720" w:num="1"/>
        </w:sectPr>
      </w:pPr>
    </w:p>
    <w:tbl>
      <w:tblPr>
        <w:tblStyle w:val="53"/>
        <w:tblW w:w="15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1290"/>
        <w:gridCol w:w="2205"/>
        <w:gridCol w:w="3105"/>
        <w:gridCol w:w="675"/>
        <w:gridCol w:w="1065"/>
        <w:gridCol w:w="1080"/>
        <w:gridCol w:w="1035"/>
        <w:gridCol w:w="1005"/>
        <w:gridCol w:w="1095"/>
        <w:gridCol w:w="1170"/>
        <w:gridCol w:w="1290"/>
      </w:tblGrid>
      <w:tr w14:paraId="33CC3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095" w:type="dxa"/>
            <w:gridSpan w:val="3"/>
            <w:tcBorders>
              <w:top w:val="nil"/>
              <w:left w:val="nil"/>
              <w:bottom w:val="nil"/>
              <w:right w:val="nil"/>
            </w:tcBorders>
            <w:shd w:val="clear" w:color="auto" w:fill="FFFFFF"/>
            <w:vAlign w:val="center"/>
          </w:tcPr>
          <w:p w14:paraId="46B6C5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3105" w:type="dxa"/>
            <w:tcBorders>
              <w:top w:val="nil"/>
              <w:left w:val="nil"/>
              <w:bottom w:val="nil"/>
              <w:right w:val="nil"/>
            </w:tcBorders>
            <w:shd w:val="clear" w:color="auto" w:fill="FFFFFF"/>
            <w:vAlign w:val="bottom"/>
          </w:tcPr>
          <w:p w14:paraId="7724C09A">
            <w:pPr>
              <w:jc w:val="left"/>
              <w:rPr>
                <w:rFonts w:hint="eastAsia" w:ascii="宋体" w:hAnsi="宋体" w:eastAsia="宋体" w:cs="宋体"/>
                <w:i w:val="0"/>
                <w:iCs w:val="0"/>
                <w:color w:val="000000"/>
                <w:sz w:val="18"/>
                <w:szCs w:val="18"/>
                <w:u w:val="none"/>
              </w:rPr>
            </w:pPr>
          </w:p>
        </w:tc>
        <w:tc>
          <w:tcPr>
            <w:tcW w:w="675" w:type="dxa"/>
            <w:tcBorders>
              <w:top w:val="nil"/>
              <w:left w:val="nil"/>
              <w:bottom w:val="nil"/>
              <w:right w:val="nil"/>
            </w:tcBorders>
            <w:shd w:val="clear" w:color="auto" w:fill="FFFFFF"/>
            <w:vAlign w:val="bottom"/>
          </w:tcPr>
          <w:p w14:paraId="456AEC1C">
            <w:pPr>
              <w:jc w:val="left"/>
              <w:rPr>
                <w:rFonts w:hint="eastAsia" w:ascii="宋体" w:hAnsi="宋体" w:eastAsia="宋体" w:cs="宋体"/>
                <w:i w:val="0"/>
                <w:iCs w:val="0"/>
                <w:color w:val="000000"/>
                <w:sz w:val="18"/>
                <w:szCs w:val="18"/>
                <w:u w:val="none"/>
              </w:rPr>
            </w:pPr>
          </w:p>
        </w:tc>
        <w:tc>
          <w:tcPr>
            <w:tcW w:w="1065" w:type="dxa"/>
            <w:tcBorders>
              <w:top w:val="nil"/>
              <w:left w:val="nil"/>
              <w:bottom w:val="nil"/>
              <w:right w:val="nil"/>
            </w:tcBorders>
            <w:shd w:val="clear" w:color="auto" w:fill="FFFFFF"/>
            <w:vAlign w:val="bottom"/>
          </w:tcPr>
          <w:p w14:paraId="27CFE3AC">
            <w:pPr>
              <w:jc w:val="left"/>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FFFFFF"/>
            <w:vAlign w:val="bottom"/>
          </w:tcPr>
          <w:p w14:paraId="0689EB8F">
            <w:pPr>
              <w:jc w:val="left"/>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FFFFFF"/>
            <w:vAlign w:val="bottom"/>
          </w:tcPr>
          <w:p w14:paraId="48746EC6">
            <w:pPr>
              <w:jc w:val="left"/>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FFFFFF"/>
            <w:vAlign w:val="bottom"/>
          </w:tcPr>
          <w:p w14:paraId="0510C8F4">
            <w:pPr>
              <w:jc w:val="left"/>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FFFFFF"/>
            <w:vAlign w:val="bottom"/>
          </w:tcPr>
          <w:p w14:paraId="12104057">
            <w:pPr>
              <w:jc w:val="left"/>
              <w:rPr>
                <w:rFonts w:hint="eastAsia" w:ascii="宋体" w:hAnsi="宋体" w:eastAsia="宋体" w:cs="宋体"/>
                <w:i w:val="0"/>
                <w:iCs w:val="0"/>
                <w:color w:val="000000"/>
                <w:sz w:val="18"/>
                <w:szCs w:val="18"/>
                <w:u w:val="none"/>
              </w:rPr>
            </w:pPr>
          </w:p>
        </w:tc>
        <w:tc>
          <w:tcPr>
            <w:tcW w:w="1170" w:type="dxa"/>
            <w:tcBorders>
              <w:top w:val="nil"/>
              <w:left w:val="nil"/>
              <w:bottom w:val="nil"/>
              <w:right w:val="nil"/>
            </w:tcBorders>
            <w:shd w:val="clear" w:color="auto" w:fill="FFFFFF"/>
            <w:vAlign w:val="bottom"/>
          </w:tcPr>
          <w:p w14:paraId="61AB3C0B">
            <w:pPr>
              <w:jc w:val="left"/>
              <w:rPr>
                <w:rFonts w:hint="eastAsia" w:ascii="宋体" w:hAnsi="宋体" w:eastAsia="宋体" w:cs="宋体"/>
                <w:i w:val="0"/>
                <w:iCs w:val="0"/>
                <w:color w:val="000000"/>
                <w:sz w:val="18"/>
                <w:szCs w:val="18"/>
                <w:u w:val="none"/>
              </w:rPr>
            </w:pPr>
          </w:p>
        </w:tc>
        <w:tc>
          <w:tcPr>
            <w:tcW w:w="1290" w:type="dxa"/>
            <w:tcBorders>
              <w:top w:val="nil"/>
              <w:left w:val="nil"/>
              <w:bottom w:val="nil"/>
              <w:right w:val="nil"/>
            </w:tcBorders>
            <w:shd w:val="clear" w:color="auto" w:fill="FFFFFF"/>
            <w:vAlign w:val="bottom"/>
          </w:tcPr>
          <w:p w14:paraId="7009F2FD">
            <w:pPr>
              <w:jc w:val="left"/>
              <w:rPr>
                <w:rFonts w:hint="eastAsia" w:ascii="宋体" w:hAnsi="宋体" w:eastAsia="宋体" w:cs="宋体"/>
                <w:i w:val="0"/>
                <w:iCs w:val="0"/>
                <w:color w:val="000000"/>
                <w:sz w:val="18"/>
                <w:szCs w:val="18"/>
                <w:u w:val="none"/>
              </w:rPr>
            </w:pPr>
          </w:p>
        </w:tc>
      </w:tr>
      <w:tr w14:paraId="37121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615" w:type="dxa"/>
            <w:gridSpan w:val="12"/>
            <w:tcBorders>
              <w:top w:val="nil"/>
              <w:left w:val="nil"/>
              <w:bottom w:val="nil"/>
              <w:right w:val="nil"/>
            </w:tcBorders>
            <w:shd w:val="clear" w:color="auto" w:fill="FFFFFF"/>
            <w:vAlign w:val="center"/>
          </w:tcPr>
          <w:p w14:paraId="28EC704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39670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940" w:type="dxa"/>
            <w:gridSpan w:val="6"/>
            <w:tcBorders>
              <w:top w:val="nil"/>
              <w:left w:val="nil"/>
              <w:bottom w:val="nil"/>
              <w:right w:val="nil"/>
            </w:tcBorders>
            <w:shd w:val="clear" w:color="auto" w:fill="FFFFFF"/>
            <w:vAlign w:val="bottom"/>
          </w:tcPr>
          <w:p w14:paraId="0107229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单位(专业)工程名称:单项工程-市政保养工程</w:t>
            </w:r>
          </w:p>
        </w:tc>
        <w:tc>
          <w:tcPr>
            <w:tcW w:w="3120" w:type="dxa"/>
            <w:gridSpan w:val="3"/>
            <w:tcBorders>
              <w:top w:val="nil"/>
              <w:left w:val="nil"/>
              <w:bottom w:val="nil"/>
              <w:right w:val="nil"/>
            </w:tcBorders>
            <w:shd w:val="clear" w:color="auto" w:fill="FFFFFF"/>
            <w:vAlign w:val="bottom"/>
          </w:tcPr>
          <w:p w14:paraId="35560D8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3555" w:type="dxa"/>
            <w:gridSpan w:val="3"/>
            <w:tcBorders>
              <w:top w:val="nil"/>
              <w:left w:val="nil"/>
              <w:bottom w:val="nil"/>
              <w:right w:val="nil"/>
            </w:tcBorders>
            <w:shd w:val="clear" w:color="auto" w:fill="FFFFFF"/>
            <w:vAlign w:val="bottom"/>
          </w:tcPr>
          <w:p w14:paraId="2A8611A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共3页</w:t>
            </w:r>
          </w:p>
        </w:tc>
      </w:tr>
      <w:tr w14:paraId="6FD7B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vMerge w:val="restart"/>
            <w:tcBorders>
              <w:top w:val="single" w:color="000000" w:sz="4" w:space="0"/>
              <w:left w:val="single" w:color="000000" w:sz="4" w:space="0"/>
              <w:bottom w:val="nil"/>
              <w:right w:val="nil"/>
            </w:tcBorders>
            <w:shd w:val="clear" w:color="auto" w:fill="FFFFFF"/>
            <w:vAlign w:val="center"/>
          </w:tcPr>
          <w:p w14:paraId="19DCA1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0" w:type="dxa"/>
            <w:vMerge w:val="restart"/>
            <w:tcBorders>
              <w:top w:val="single" w:color="000000" w:sz="4" w:space="0"/>
              <w:left w:val="single" w:color="000000" w:sz="4" w:space="0"/>
              <w:bottom w:val="nil"/>
              <w:right w:val="nil"/>
            </w:tcBorders>
            <w:shd w:val="clear" w:color="auto" w:fill="FFFFFF"/>
            <w:vAlign w:val="center"/>
          </w:tcPr>
          <w:p w14:paraId="4C8D7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205" w:type="dxa"/>
            <w:vMerge w:val="restart"/>
            <w:tcBorders>
              <w:top w:val="single" w:color="000000" w:sz="4" w:space="0"/>
              <w:left w:val="single" w:color="000000" w:sz="4" w:space="0"/>
              <w:bottom w:val="nil"/>
              <w:right w:val="nil"/>
            </w:tcBorders>
            <w:shd w:val="clear" w:color="auto" w:fill="FFFFFF"/>
            <w:vAlign w:val="center"/>
          </w:tcPr>
          <w:p w14:paraId="543ED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105" w:type="dxa"/>
            <w:vMerge w:val="restart"/>
            <w:tcBorders>
              <w:top w:val="single" w:color="000000" w:sz="4" w:space="0"/>
              <w:left w:val="single" w:color="000000" w:sz="4" w:space="0"/>
              <w:bottom w:val="nil"/>
              <w:right w:val="nil"/>
            </w:tcBorders>
            <w:shd w:val="clear" w:color="auto" w:fill="FFFFFF"/>
            <w:vAlign w:val="center"/>
          </w:tcPr>
          <w:p w14:paraId="7B73D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75" w:type="dxa"/>
            <w:vMerge w:val="restart"/>
            <w:tcBorders>
              <w:top w:val="single" w:color="000000" w:sz="4" w:space="0"/>
              <w:left w:val="single" w:color="000000" w:sz="4" w:space="0"/>
              <w:bottom w:val="nil"/>
              <w:right w:val="nil"/>
            </w:tcBorders>
            <w:shd w:val="clear" w:color="auto" w:fill="FFFFFF"/>
            <w:vAlign w:val="center"/>
          </w:tcPr>
          <w:p w14:paraId="32892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065" w:type="dxa"/>
            <w:vMerge w:val="restart"/>
            <w:tcBorders>
              <w:top w:val="single" w:color="000000" w:sz="4" w:space="0"/>
              <w:left w:val="single" w:color="000000" w:sz="4" w:space="0"/>
              <w:bottom w:val="nil"/>
              <w:right w:val="nil"/>
            </w:tcBorders>
            <w:shd w:val="clear" w:color="auto" w:fill="FFFFFF"/>
            <w:vAlign w:val="center"/>
          </w:tcPr>
          <w:p w14:paraId="584B3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385" w:type="dxa"/>
            <w:gridSpan w:val="5"/>
            <w:tcBorders>
              <w:top w:val="single" w:color="000000" w:sz="4" w:space="0"/>
              <w:left w:val="single" w:color="000000" w:sz="4" w:space="0"/>
              <w:bottom w:val="nil"/>
              <w:right w:val="nil"/>
            </w:tcBorders>
            <w:shd w:val="clear" w:color="auto" w:fill="FFFFFF"/>
            <w:vAlign w:val="center"/>
          </w:tcPr>
          <w:p w14:paraId="5AD57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1290" w:type="dxa"/>
            <w:vMerge w:val="restart"/>
            <w:tcBorders>
              <w:top w:val="single" w:color="000000" w:sz="4" w:space="0"/>
              <w:left w:val="single" w:color="000000" w:sz="4" w:space="0"/>
              <w:bottom w:val="nil"/>
              <w:right w:val="single" w:color="000000" w:sz="4" w:space="0"/>
            </w:tcBorders>
            <w:shd w:val="clear" w:color="auto" w:fill="FFFFFF"/>
            <w:vAlign w:val="center"/>
          </w:tcPr>
          <w:p w14:paraId="089C6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E9CC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vMerge w:val="continue"/>
            <w:tcBorders>
              <w:top w:val="single" w:color="000000" w:sz="4" w:space="0"/>
              <w:left w:val="single" w:color="000000" w:sz="4" w:space="0"/>
              <w:bottom w:val="nil"/>
              <w:right w:val="nil"/>
            </w:tcBorders>
            <w:shd w:val="clear" w:color="auto" w:fill="FFFFFF"/>
            <w:vAlign w:val="center"/>
          </w:tcPr>
          <w:p w14:paraId="5C82EB41">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nil"/>
              <w:right w:val="nil"/>
            </w:tcBorders>
            <w:shd w:val="clear" w:color="auto" w:fill="FFFFFF"/>
            <w:vAlign w:val="center"/>
          </w:tcPr>
          <w:p w14:paraId="3D726DDF">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nil"/>
              <w:right w:val="nil"/>
            </w:tcBorders>
            <w:shd w:val="clear" w:color="auto" w:fill="FFFFFF"/>
            <w:vAlign w:val="center"/>
          </w:tcPr>
          <w:p w14:paraId="042C50FA">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nil"/>
              <w:right w:val="nil"/>
            </w:tcBorders>
            <w:shd w:val="clear" w:color="auto" w:fill="FFFFFF"/>
            <w:vAlign w:val="center"/>
          </w:tcPr>
          <w:p w14:paraId="05856B50">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nil"/>
              <w:right w:val="nil"/>
            </w:tcBorders>
            <w:shd w:val="clear" w:color="auto" w:fill="FFFFFF"/>
            <w:vAlign w:val="center"/>
          </w:tcPr>
          <w:p w14:paraId="54591C5E">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nil"/>
              <w:right w:val="nil"/>
            </w:tcBorders>
            <w:shd w:val="clear" w:color="auto" w:fill="FFFFFF"/>
            <w:vAlign w:val="center"/>
          </w:tcPr>
          <w:p w14:paraId="1926F4C0">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nil"/>
              <w:right w:val="nil"/>
            </w:tcBorders>
            <w:shd w:val="clear" w:color="auto" w:fill="FFFFFF"/>
            <w:vAlign w:val="center"/>
          </w:tcPr>
          <w:p w14:paraId="0534D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035" w:type="dxa"/>
            <w:vMerge w:val="restart"/>
            <w:tcBorders>
              <w:top w:val="single" w:color="000000" w:sz="4" w:space="0"/>
              <w:left w:val="single" w:color="000000" w:sz="4" w:space="0"/>
              <w:bottom w:val="nil"/>
              <w:right w:val="nil"/>
            </w:tcBorders>
            <w:shd w:val="clear" w:color="auto" w:fill="FFFFFF"/>
            <w:vAlign w:val="center"/>
          </w:tcPr>
          <w:p w14:paraId="32DF0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270" w:type="dxa"/>
            <w:gridSpan w:val="3"/>
            <w:tcBorders>
              <w:top w:val="single" w:color="000000" w:sz="4" w:space="0"/>
              <w:left w:val="single" w:color="000000" w:sz="4" w:space="0"/>
              <w:bottom w:val="nil"/>
              <w:right w:val="single" w:color="000000" w:sz="4" w:space="0"/>
            </w:tcBorders>
            <w:shd w:val="clear" w:color="auto" w:fill="FFFFFF"/>
            <w:vAlign w:val="center"/>
          </w:tcPr>
          <w:p w14:paraId="36C1D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1290" w:type="dxa"/>
            <w:vMerge w:val="continue"/>
            <w:tcBorders>
              <w:top w:val="single" w:color="000000" w:sz="4" w:space="0"/>
              <w:left w:val="single" w:color="000000" w:sz="4" w:space="0"/>
              <w:bottom w:val="nil"/>
              <w:right w:val="single" w:color="000000" w:sz="4" w:space="0"/>
            </w:tcBorders>
            <w:shd w:val="clear" w:color="auto" w:fill="FFFFFF"/>
            <w:vAlign w:val="center"/>
          </w:tcPr>
          <w:p w14:paraId="7AB1CE5A">
            <w:pPr>
              <w:jc w:val="center"/>
              <w:rPr>
                <w:rFonts w:hint="eastAsia" w:ascii="宋体" w:hAnsi="宋体" w:eastAsia="宋体" w:cs="宋体"/>
                <w:i w:val="0"/>
                <w:iCs w:val="0"/>
                <w:color w:val="000000"/>
                <w:sz w:val="18"/>
                <w:szCs w:val="18"/>
                <w:u w:val="none"/>
              </w:rPr>
            </w:pPr>
          </w:p>
        </w:tc>
      </w:tr>
      <w:tr w14:paraId="4C04A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vMerge w:val="continue"/>
            <w:tcBorders>
              <w:top w:val="single" w:color="000000" w:sz="4" w:space="0"/>
              <w:left w:val="single" w:color="000000" w:sz="4" w:space="0"/>
              <w:bottom w:val="nil"/>
              <w:right w:val="nil"/>
            </w:tcBorders>
            <w:shd w:val="clear" w:color="auto" w:fill="FFFFFF"/>
            <w:vAlign w:val="center"/>
          </w:tcPr>
          <w:p w14:paraId="421DCF53">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nil"/>
              <w:right w:val="nil"/>
            </w:tcBorders>
            <w:shd w:val="clear" w:color="auto" w:fill="FFFFFF"/>
            <w:vAlign w:val="center"/>
          </w:tcPr>
          <w:p w14:paraId="373407D0">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nil"/>
              <w:right w:val="nil"/>
            </w:tcBorders>
            <w:shd w:val="clear" w:color="auto" w:fill="FFFFFF"/>
            <w:vAlign w:val="center"/>
          </w:tcPr>
          <w:p w14:paraId="12B588F2">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nil"/>
              <w:right w:val="nil"/>
            </w:tcBorders>
            <w:shd w:val="clear" w:color="auto" w:fill="FFFFFF"/>
            <w:vAlign w:val="center"/>
          </w:tcPr>
          <w:p w14:paraId="13C685F0">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nil"/>
              <w:right w:val="nil"/>
            </w:tcBorders>
            <w:shd w:val="clear" w:color="auto" w:fill="FFFFFF"/>
            <w:vAlign w:val="center"/>
          </w:tcPr>
          <w:p w14:paraId="37DBECE5">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nil"/>
              <w:right w:val="nil"/>
            </w:tcBorders>
            <w:shd w:val="clear" w:color="auto" w:fill="FFFFFF"/>
            <w:vAlign w:val="center"/>
          </w:tcPr>
          <w:p w14:paraId="6692EA55">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nil"/>
              <w:right w:val="nil"/>
            </w:tcBorders>
            <w:shd w:val="clear" w:color="auto" w:fill="FFFFFF"/>
            <w:vAlign w:val="center"/>
          </w:tcPr>
          <w:p w14:paraId="66C59501">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nil"/>
              <w:right w:val="nil"/>
            </w:tcBorders>
            <w:shd w:val="clear" w:color="auto" w:fill="FFFFFF"/>
            <w:vAlign w:val="center"/>
          </w:tcPr>
          <w:p w14:paraId="353083C8">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18BD9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1095" w:type="dxa"/>
            <w:tcBorders>
              <w:top w:val="single" w:color="000000" w:sz="4" w:space="0"/>
              <w:left w:val="single" w:color="000000" w:sz="4" w:space="0"/>
              <w:bottom w:val="nil"/>
              <w:right w:val="nil"/>
            </w:tcBorders>
            <w:shd w:val="clear" w:color="auto" w:fill="FFFFFF"/>
            <w:vAlign w:val="center"/>
          </w:tcPr>
          <w:p w14:paraId="7FB9F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1170" w:type="dxa"/>
            <w:tcBorders>
              <w:top w:val="single" w:color="000000" w:sz="4" w:space="0"/>
              <w:left w:val="single" w:color="000000" w:sz="4" w:space="0"/>
              <w:bottom w:val="nil"/>
              <w:right w:val="single" w:color="000000" w:sz="4" w:space="0"/>
            </w:tcBorders>
            <w:shd w:val="clear" w:color="auto" w:fill="FFFFFF"/>
            <w:vAlign w:val="center"/>
          </w:tcPr>
          <w:p w14:paraId="6DDCC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1290" w:type="dxa"/>
            <w:vMerge w:val="continue"/>
            <w:tcBorders>
              <w:top w:val="single" w:color="000000" w:sz="4" w:space="0"/>
              <w:left w:val="single" w:color="000000" w:sz="4" w:space="0"/>
              <w:bottom w:val="nil"/>
              <w:right w:val="single" w:color="000000" w:sz="4" w:space="0"/>
            </w:tcBorders>
            <w:shd w:val="clear" w:color="auto" w:fill="FFFFFF"/>
            <w:vAlign w:val="center"/>
          </w:tcPr>
          <w:p w14:paraId="72F3F709">
            <w:pPr>
              <w:jc w:val="center"/>
              <w:rPr>
                <w:rFonts w:hint="eastAsia" w:ascii="宋体" w:hAnsi="宋体" w:eastAsia="宋体" w:cs="宋体"/>
                <w:i w:val="0"/>
                <w:iCs w:val="0"/>
                <w:color w:val="000000"/>
                <w:sz w:val="18"/>
                <w:szCs w:val="18"/>
                <w:u w:val="none"/>
              </w:rPr>
            </w:pPr>
          </w:p>
        </w:tc>
      </w:tr>
      <w:tr w14:paraId="0889C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12250777">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nil"/>
            </w:tcBorders>
            <w:shd w:val="clear" w:color="auto" w:fill="FFFFFF"/>
            <w:vAlign w:val="center"/>
          </w:tcPr>
          <w:p w14:paraId="4ADB1873">
            <w:pPr>
              <w:jc w:val="left"/>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625276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[请输入分部名称]</w:t>
            </w:r>
          </w:p>
        </w:tc>
        <w:tc>
          <w:tcPr>
            <w:tcW w:w="3105" w:type="dxa"/>
            <w:tcBorders>
              <w:top w:val="single" w:color="000000" w:sz="4" w:space="0"/>
              <w:left w:val="single" w:color="000000" w:sz="4" w:space="0"/>
              <w:bottom w:val="nil"/>
              <w:right w:val="nil"/>
            </w:tcBorders>
            <w:shd w:val="clear" w:color="auto" w:fill="FFFFFF"/>
            <w:vAlign w:val="center"/>
          </w:tcPr>
          <w:p w14:paraId="30CB7524">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43787BC8">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51A80674">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nil"/>
              <w:right w:val="nil"/>
            </w:tcBorders>
            <w:shd w:val="clear" w:color="auto" w:fill="FFFFFF"/>
            <w:vAlign w:val="center"/>
          </w:tcPr>
          <w:p w14:paraId="2C13FBC7">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3F0B7947">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03D226DF">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0931AB7A">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259BFB1C">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34A5E342">
            <w:pPr>
              <w:jc w:val="left"/>
              <w:rPr>
                <w:rFonts w:hint="eastAsia" w:ascii="宋体" w:hAnsi="宋体" w:eastAsia="宋体" w:cs="宋体"/>
                <w:i w:val="0"/>
                <w:iCs w:val="0"/>
                <w:color w:val="000000"/>
                <w:sz w:val="18"/>
                <w:szCs w:val="18"/>
                <w:u w:val="none"/>
              </w:rPr>
            </w:pPr>
          </w:p>
        </w:tc>
      </w:tr>
      <w:tr w14:paraId="02F15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5" w:hRule="atLeast"/>
        </w:trPr>
        <w:tc>
          <w:tcPr>
            <w:tcW w:w="600" w:type="dxa"/>
            <w:tcBorders>
              <w:top w:val="single" w:color="000000" w:sz="4" w:space="0"/>
              <w:left w:val="single" w:color="000000" w:sz="4" w:space="0"/>
              <w:bottom w:val="nil"/>
              <w:right w:val="nil"/>
            </w:tcBorders>
            <w:shd w:val="clear" w:color="auto" w:fill="FFFFFF"/>
            <w:vAlign w:val="center"/>
          </w:tcPr>
          <w:p w14:paraId="4520E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nil"/>
            </w:tcBorders>
            <w:shd w:val="clear" w:color="auto" w:fill="FFFFFF"/>
            <w:vAlign w:val="center"/>
          </w:tcPr>
          <w:p w14:paraId="7B4C6D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04B001</w:t>
            </w:r>
          </w:p>
        </w:tc>
        <w:tc>
          <w:tcPr>
            <w:tcW w:w="2205" w:type="dxa"/>
            <w:tcBorders>
              <w:top w:val="single" w:color="000000" w:sz="4" w:space="0"/>
              <w:left w:val="single" w:color="000000" w:sz="4" w:space="0"/>
              <w:bottom w:val="nil"/>
              <w:right w:val="nil"/>
            </w:tcBorders>
            <w:shd w:val="clear" w:color="auto" w:fill="FFFFFF"/>
            <w:vAlign w:val="center"/>
          </w:tcPr>
          <w:p w14:paraId="599FBB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日常巡查</w:t>
            </w:r>
          </w:p>
        </w:tc>
        <w:tc>
          <w:tcPr>
            <w:tcW w:w="3105" w:type="dxa"/>
            <w:tcBorders>
              <w:top w:val="single" w:color="000000" w:sz="4" w:space="0"/>
              <w:left w:val="single" w:color="000000" w:sz="4" w:space="0"/>
              <w:bottom w:val="nil"/>
              <w:right w:val="nil"/>
            </w:tcBorders>
            <w:shd w:val="clear" w:color="auto" w:fill="FFFFFF"/>
            <w:vAlign w:val="center"/>
          </w:tcPr>
          <w:p w14:paraId="683943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城镇道路养护技术规范》（CJJ36-2016）、《城市桥梁养护技术标准》（CJJ99-2017）要求对承包范围内全线道路、桥梁、隧道及附属设施实施一日一巡。主线高架路灯、地面道路路灯设施每月一巡（巡查内容包含亮灯情况、完好情况），设施管理用房实施24小时值守，特殊情况需加密巡查。日常巡查应按照规范要求，采用摄像及目测结合的方式对路面外观变化、结构变化、道路施工作业情况及附属设施等状况进行检查，并做好相应记录。巡查过程中，对发现设施明显损坏或影响车辆和行人安全的情况，应及时采取相应措施，并及时向管理单位报告。</w:t>
            </w:r>
          </w:p>
        </w:tc>
        <w:tc>
          <w:tcPr>
            <w:tcW w:w="675" w:type="dxa"/>
            <w:tcBorders>
              <w:top w:val="single" w:color="000000" w:sz="4" w:space="0"/>
              <w:left w:val="single" w:color="000000" w:sz="4" w:space="0"/>
              <w:bottom w:val="nil"/>
              <w:right w:val="nil"/>
            </w:tcBorders>
            <w:shd w:val="clear" w:color="auto" w:fill="FFFFFF"/>
            <w:vAlign w:val="center"/>
          </w:tcPr>
          <w:p w14:paraId="5C5D7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km*次</w:t>
            </w:r>
          </w:p>
        </w:tc>
        <w:tc>
          <w:tcPr>
            <w:tcW w:w="1065" w:type="dxa"/>
            <w:tcBorders>
              <w:top w:val="single" w:color="000000" w:sz="4" w:space="0"/>
              <w:left w:val="single" w:color="000000" w:sz="4" w:space="0"/>
              <w:bottom w:val="nil"/>
              <w:right w:val="nil"/>
            </w:tcBorders>
            <w:shd w:val="clear" w:color="auto" w:fill="FFFFFF"/>
            <w:vAlign w:val="center"/>
          </w:tcPr>
          <w:p w14:paraId="6F5CA7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1080" w:type="dxa"/>
            <w:tcBorders>
              <w:top w:val="single" w:color="000000" w:sz="4" w:space="0"/>
              <w:left w:val="single" w:color="000000" w:sz="4" w:space="0"/>
              <w:bottom w:val="nil"/>
              <w:right w:val="nil"/>
            </w:tcBorders>
            <w:shd w:val="clear" w:color="auto" w:fill="FFFFFF"/>
            <w:vAlign w:val="center"/>
          </w:tcPr>
          <w:p w14:paraId="5B0E84C3">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1B017ACD">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1AC2C1A0">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5CC5DC74">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4B9A1139">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92C20A8">
            <w:pPr>
              <w:jc w:val="left"/>
              <w:rPr>
                <w:rFonts w:hint="eastAsia" w:ascii="宋体" w:hAnsi="宋体" w:eastAsia="宋体" w:cs="宋体"/>
                <w:i w:val="0"/>
                <w:iCs w:val="0"/>
                <w:color w:val="000000"/>
                <w:sz w:val="18"/>
                <w:szCs w:val="18"/>
                <w:u w:val="none"/>
              </w:rPr>
            </w:pPr>
          </w:p>
        </w:tc>
      </w:tr>
      <w:tr w14:paraId="4B9FF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020" w:type="dxa"/>
            <w:gridSpan w:val="7"/>
            <w:tcBorders>
              <w:top w:val="single" w:color="000000" w:sz="4" w:space="0"/>
              <w:left w:val="single" w:color="000000" w:sz="4" w:space="0"/>
              <w:bottom w:val="single" w:color="000000" w:sz="4" w:space="0"/>
              <w:right w:val="nil"/>
            </w:tcBorders>
            <w:shd w:val="clear" w:color="auto" w:fill="FFFFFF"/>
            <w:vAlign w:val="center"/>
          </w:tcPr>
          <w:p w14:paraId="6D73A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035" w:type="dxa"/>
            <w:tcBorders>
              <w:top w:val="single" w:color="000000" w:sz="4" w:space="0"/>
              <w:left w:val="single" w:color="000000" w:sz="4" w:space="0"/>
              <w:bottom w:val="single" w:color="000000" w:sz="4" w:space="0"/>
              <w:right w:val="nil"/>
            </w:tcBorders>
            <w:shd w:val="clear" w:color="auto" w:fill="FFFFFF"/>
            <w:vAlign w:val="center"/>
          </w:tcPr>
          <w:p w14:paraId="6593D2F4">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nil"/>
            </w:tcBorders>
            <w:shd w:val="clear" w:color="auto" w:fill="FFFFFF"/>
            <w:vAlign w:val="center"/>
          </w:tcPr>
          <w:p w14:paraId="2FCB26B1">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nil"/>
            </w:tcBorders>
            <w:shd w:val="clear" w:color="auto" w:fill="FFFFFF"/>
            <w:vAlign w:val="center"/>
          </w:tcPr>
          <w:p w14:paraId="256D0145">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nil"/>
            </w:tcBorders>
            <w:shd w:val="clear" w:color="auto" w:fill="FFFFFF"/>
            <w:vAlign w:val="center"/>
          </w:tcPr>
          <w:p w14:paraId="49D6CAEA">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4CF91">
            <w:pPr>
              <w:jc w:val="center"/>
              <w:rPr>
                <w:rFonts w:hint="eastAsia" w:ascii="宋体" w:hAnsi="宋体" w:eastAsia="宋体" w:cs="宋体"/>
                <w:i w:val="0"/>
                <w:iCs w:val="0"/>
                <w:color w:val="000000"/>
                <w:sz w:val="18"/>
                <w:szCs w:val="18"/>
                <w:u w:val="none"/>
              </w:rPr>
            </w:pPr>
          </w:p>
        </w:tc>
      </w:tr>
      <w:tr w14:paraId="71886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0" w:type="auto"/>
            <w:tcBorders>
              <w:top w:val="nil"/>
              <w:left w:val="nil"/>
              <w:bottom w:val="nil"/>
              <w:right w:val="nil"/>
            </w:tcBorders>
            <w:shd w:val="clear" w:color="auto" w:fill="auto"/>
            <w:noWrap/>
            <w:vAlign w:val="bottom"/>
          </w:tcPr>
          <w:p w14:paraId="3EF0A8E1">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EF3D056">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6DB9F7F">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60B9E11">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8131D57">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20EC6FF">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83F8113">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6C740D0">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E48E5FF">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5839CD7">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3AE3815">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389FBED">
            <w:pPr>
              <w:rPr>
                <w:rFonts w:hint="default" w:ascii="Arial" w:hAnsi="Arial" w:cs="Arial"/>
                <w:i w:val="0"/>
                <w:iCs w:val="0"/>
                <w:color w:val="000000"/>
                <w:sz w:val="20"/>
                <w:szCs w:val="20"/>
                <w:u w:val="none"/>
              </w:rPr>
            </w:pPr>
          </w:p>
        </w:tc>
      </w:tr>
      <w:tr w14:paraId="0C18A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nil"/>
              <w:left w:val="nil"/>
              <w:bottom w:val="nil"/>
              <w:right w:val="nil"/>
            </w:tcBorders>
            <w:shd w:val="clear" w:color="auto" w:fill="FFFFFF"/>
            <w:vAlign w:val="center"/>
          </w:tcPr>
          <w:p w14:paraId="2B7A144B">
            <w:pPr>
              <w:jc w:val="center"/>
              <w:rPr>
                <w:rFonts w:hint="eastAsia" w:ascii="宋体" w:hAnsi="宋体" w:eastAsia="宋体" w:cs="宋体"/>
                <w:i w:val="0"/>
                <w:iCs w:val="0"/>
                <w:color w:val="000000"/>
                <w:sz w:val="18"/>
                <w:szCs w:val="18"/>
                <w:u w:val="none"/>
              </w:rPr>
            </w:pPr>
          </w:p>
        </w:tc>
        <w:tc>
          <w:tcPr>
            <w:tcW w:w="1290" w:type="dxa"/>
            <w:tcBorders>
              <w:top w:val="nil"/>
              <w:left w:val="nil"/>
              <w:bottom w:val="nil"/>
              <w:right w:val="nil"/>
            </w:tcBorders>
            <w:shd w:val="clear" w:color="auto" w:fill="FFFFFF"/>
            <w:vAlign w:val="center"/>
          </w:tcPr>
          <w:p w14:paraId="0BC22F12">
            <w:pPr>
              <w:jc w:val="center"/>
              <w:rPr>
                <w:rFonts w:hint="eastAsia" w:ascii="宋体" w:hAnsi="宋体" w:eastAsia="宋体" w:cs="宋体"/>
                <w:i w:val="0"/>
                <w:iCs w:val="0"/>
                <w:color w:val="000000"/>
                <w:sz w:val="18"/>
                <w:szCs w:val="18"/>
                <w:u w:val="none"/>
              </w:rPr>
            </w:pPr>
          </w:p>
        </w:tc>
        <w:tc>
          <w:tcPr>
            <w:tcW w:w="2205" w:type="dxa"/>
            <w:tcBorders>
              <w:top w:val="nil"/>
              <w:left w:val="nil"/>
              <w:bottom w:val="nil"/>
              <w:right w:val="nil"/>
            </w:tcBorders>
            <w:shd w:val="clear" w:color="auto" w:fill="FFFFFF"/>
            <w:vAlign w:val="center"/>
          </w:tcPr>
          <w:p w14:paraId="6250A280">
            <w:pPr>
              <w:jc w:val="center"/>
              <w:rPr>
                <w:rFonts w:hint="eastAsia" w:ascii="宋体" w:hAnsi="宋体" w:eastAsia="宋体" w:cs="宋体"/>
                <w:i w:val="0"/>
                <w:iCs w:val="0"/>
                <w:color w:val="000000"/>
                <w:sz w:val="18"/>
                <w:szCs w:val="18"/>
                <w:u w:val="none"/>
              </w:rPr>
            </w:pPr>
          </w:p>
        </w:tc>
        <w:tc>
          <w:tcPr>
            <w:tcW w:w="3105" w:type="dxa"/>
            <w:tcBorders>
              <w:top w:val="nil"/>
              <w:left w:val="nil"/>
              <w:bottom w:val="nil"/>
              <w:right w:val="nil"/>
            </w:tcBorders>
            <w:shd w:val="clear" w:color="auto" w:fill="FFFFFF"/>
            <w:vAlign w:val="center"/>
          </w:tcPr>
          <w:p w14:paraId="7879EC33">
            <w:pPr>
              <w:jc w:val="center"/>
              <w:rPr>
                <w:rFonts w:hint="eastAsia" w:ascii="宋体" w:hAnsi="宋体" w:eastAsia="宋体" w:cs="宋体"/>
                <w:i w:val="0"/>
                <w:iCs w:val="0"/>
                <w:color w:val="000000"/>
                <w:sz w:val="18"/>
                <w:szCs w:val="18"/>
                <w:u w:val="none"/>
              </w:rPr>
            </w:pPr>
          </w:p>
        </w:tc>
        <w:tc>
          <w:tcPr>
            <w:tcW w:w="675" w:type="dxa"/>
            <w:tcBorders>
              <w:top w:val="nil"/>
              <w:left w:val="nil"/>
              <w:bottom w:val="nil"/>
              <w:right w:val="nil"/>
            </w:tcBorders>
            <w:shd w:val="clear" w:color="auto" w:fill="FFFFFF"/>
            <w:vAlign w:val="center"/>
          </w:tcPr>
          <w:p w14:paraId="3882122B">
            <w:pPr>
              <w:jc w:val="center"/>
              <w:rPr>
                <w:rFonts w:hint="eastAsia" w:ascii="宋体" w:hAnsi="宋体" w:eastAsia="宋体" w:cs="宋体"/>
                <w:i w:val="0"/>
                <w:iCs w:val="0"/>
                <w:color w:val="000000"/>
                <w:sz w:val="18"/>
                <w:szCs w:val="18"/>
                <w:u w:val="none"/>
              </w:rPr>
            </w:pPr>
          </w:p>
        </w:tc>
        <w:tc>
          <w:tcPr>
            <w:tcW w:w="1065" w:type="dxa"/>
            <w:tcBorders>
              <w:top w:val="nil"/>
              <w:left w:val="nil"/>
              <w:bottom w:val="nil"/>
              <w:right w:val="nil"/>
            </w:tcBorders>
            <w:shd w:val="clear" w:color="auto" w:fill="FFFFFF"/>
            <w:vAlign w:val="center"/>
          </w:tcPr>
          <w:p w14:paraId="6BA11E1F">
            <w:pPr>
              <w:jc w:val="cente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FFFFFF"/>
            <w:vAlign w:val="center"/>
          </w:tcPr>
          <w:p w14:paraId="0BAA8545">
            <w:pPr>
              <w:jc w:val="cente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FFFFFF"/>
            <w:vAlign w:val="center"/>
          </w:tcPr>
          <w:p w14:paraId="0ED9B588">
            <w:pPr>
              <w:jc w:val="cente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FFFFFF"/>
            <w:vAlign w:val="center"/>
          </w:tcPr>
          <w:p w14:paraId="215466F3">
            <w:pPr>
              <w:jc w:val="cente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FFFFFF"/>
            <w:vAlign w:val="center"/>
          </w:tcPr>
          <w:p w14:paraId="6FF18EE7">
            <w:pPr>
              <w:jc w:val="center"/>
              <w:rPr>
                <w:rFonts w:hint="eastAsia" w:ascii="宋体" w:hAnsi="宋体" w:eastAsia="宋体" w:cs="宋体"/>
                <w:i w:val="0"/>
                <w:iCs w:val="0"/>
                <w:color w:val="000000"/>
                <w:sz w:val="18"/>
                <w:szCs w:val="18"/>
                <w:u w:val="none"/>
              </w:rPr>
            </w:pPr>
          </w:p>
        </w:tc>
        <w:tc>
          <w:tcPr>
            <w:tcW w:w="1170" w:type="dxa"/>
            <w:tcBorders>
              <w:top w:val="nil"/>
              <w:left w:val="nil"/>
              <w:bottom w:val="nil"/>
              <w:right w:val="nil"/>
            </w:tcBorders>
            <w:shd w:val="clear" w:color="auto" w:fill="FFFFFF"/>
            <w:vAlign w:val="center"/>
          </w:tcPr>
          <w:p w14:paraId="1CD24F83">
            <w:pPr>
              <w:jc w:val="center"/>
              <w:rPr>
                <w:rFonts w:hint="eastAsia" w:ascii="宋体" w:hAnsi="宋体" w:eastAsia="宋体" w:cs="宋体"/>
                <w:i w:val="0"/>
                <w:iCs w:val="0"/>
                <w:color w:val="000000"/>
                <w:sz w:val="18"/>
                <w:szCs w:val="18"/>
                <w:u w:val="none"/>
              </w:rPr>
            </w:pPr>
          </w:p>
        </w:tc>
        <w:tc>
          <w:tcPr>
            <w:tcW w:w="1290" w:type="dxa"/>
            <w:tcBorders>
              <w:top w:val="nil"/>
              <w:left w:val="nil"/>
              <w:bottom w:val="nil"/>
              <w:right w:val="nil"/>
            </w:tcBorders>
            <w:shd w:val="clear" w:color="auto" w:fill="FFFFFF"/>
            <w:vAlign w:val="center"/>
          </w:tcPr>
          <w:p w14:paraId="7CC91BFA">
            <w:pPr>
              <w:jc w:val="center"/>
              <w:rPr>
                <w:rFonts w:hint="eastAsia" w:ascii="宋体" w:hAnsi="宋体" w:eastAsia="宋体" w:cs="宋体"/>
                <w:i w:val="0"/>
                <w:iCs w:val="0"/>
                <w:color w:val="000000"/>
                <w:sz w:val="18"/>
                <w:szCs w:val="18"/>
                <w:u w:val="none"/>
              </w:rPr>
            </w:pPr>
          </w:p>
        </w:tc>
      </w:tr>
      <w:tr w14:paraId="1B483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0" w:type="auto"/>
            <w:tcBorders>
              <w:top w:val="nil"/>
              <w:left w:val="nil"/>
              <w:bottom w:val="nil"/>
              <w:right w:val="nil"/>
            </w:tcBorders>
            <w:shd w:val="clear" w:color="auto" w:fill="auto"/>
            <w:noWrap/>
            <w:vAlign w:val="bottom"/>
          </w:tcPr>
          <w:p w14:paraId="45C71671">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1D6495D">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18FE584">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3777C86">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D3B2D76">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06A9B9D">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A99B073">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7D6D22B">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5B2CC0E">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DE30604">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EA52A01">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662A9B4">
            <w:pPr>
              <w:rPr>
                <w:rFonts w:hint="default" w:ascii="Arial" w:hAnsi="Arial" w:cs="Arial"/>
                <w:i w:val="0"/>
                <w:iCs w:val="0"/>
                <w:color w:val="000000"/>
                <w:sz w:val="20"/>
                <w:szCs w:val="20"/>
                <w:u w:val="none"/>
              </w:rPr>
            </w:pPr>
          </w:p>
        </w:tc>
      </w:tr>
      <w:tr w14:paraId="51A6C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95" w:type="dxa"/>
            <w:gridSpan w:val="3"/>
            <w:tcBorders>
              <w:top w:val="nil"/>
              <w:left w:val="nil"/>
              <w:bottom w:val="nil"/>
              <w:right w:val="nil"/>
            </w:tcBorders>
            <w:shd w:val="clear" w:color="auto" w:fill="FFFFFF"/>
            <w:vAlign w:val="center"/>
          </w:tcPr>
          <w:p w14:paraId="2E2A9A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3105" w:type="dxa"/>
            <w:tcBorders>
              <w:top w:val="nil"/>
              <w:left w:val="nil"/>
              <w:bottom w:val="nil"/>
              <w:right w:val="nil"/>
            </w:tcBorders>
            <w:shd w:val="clear" w:color="auto" w:fill="FFFFFF"/>
            <w:vAlign w:val="bottom"/>
          </w:tcPr>
          <w:p w14:paraId="2CEFABE6">
            <w:pPr>
              <w:jc w:val="left"/>
              <w:rPr>
                <w:rFonts w:hint="eastAsia" w:ascii="宋体" w:hAnsi="宋体" w:eastAsia="宋体" w:cs="宋体"/>
                <w:i w:val="0"/>
                <w:iCs w:val="0"/>
                <w:color w:val="000000"/>
                <w:sz w:val="18"/>
                <w:szCs w:val="18"/>
                <w:u w:val="none"/>
              </w:rPr>
            </w:pPr>
          </w:p>
        </w:tc>
        <w:tc>
          <w:tcPr>
            <w:tcW w:w="675" w:type="dxa"/>
            <w:tcBorders>
              <w:top w:val="nil"/>
              <w:left w:val="nil"/>
              <w:bottom w:val="nil"/>
              <w:right w:val="nil"/>
            </w:tcBorders>
            <w:shd w:val="clear" w:color="auto" w:fill="FFFFFF"/>
            <w:vAlign w:val="bottom"/>
          </w:tcPr>
          <w:p w14:paraId="5AAD076D">
            <w:pPr>
              <w:jc w:val="left"/>
              <w:rPr>
                <w:rFonts w:hint="eastAsia" w:ascii="宋体" w:hAnsi="宋体" w:eastAsia="宋体" w:cs="宋体"/>
                <w:i w:val="0"/>
                <w:iCs w:val="0"/>
                <w:color w:val="000000"/>
                <w:sz w:val="18"/>
                <w:szCs w:val="18"/>
                <w:u w:val="none"/>
              </w:rPr>
            </w:pPr>
          </w:p>
        </w:tc>
        <w:tc>
          <w:tcPr>
            <w:tcW w:w="1065" w:type="dxa"/>
            <w:tcBorders>
              <w:top w:val="nil"/>
              <w:left w:val="nil"/>
              <w:bottom w:val="nil"/>
              <w:right w:val="nil"/>
            </w:tcBorders>
            <w:shd w:val="clear" w:color="auto" w:fill="FFFFFF"/>
            <w:vAlign w:val="bottom"/>
          </w:tcPr>
          <w:p w14:paraId="574CC30D">
            <w:pPr>
              <w:jc w:val="left"/>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FFFFFF"/>
            <w:vAlign w:val="bottom"/>
          </w:tcPr>
          <w:p w14:paraId="3F3DB558">
            <w:pPr>
              <w:jc w:val="left"/>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FFFFFF"/>
            <w:vAlign w:val="bottom"/>
          </w:tcPr>
          <w:p w14:paraId="0DB3E380">
            <w:pPr>
              <w:jc w:val="left"/>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FFFFFF"/>
            <w:vAlign w:val="bottom"/>
          </w:tcPr>
          <w:p w14:paraId="580941D1">
            <w:pPr>
              <w:jc w:val="left"/>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FFFFFF"/>
            <w:vAlign w:val="bottom"/>
          </w:tcPr>
          <w:p w14:paraId="5935039E">
            <w:pPr>
              <w:jc w:val="left"/>
              <w:rPr>
                <w:rFonts w:hint="eastAsia" w:ascii="宋体" w:hAnsi="宋体" w:eastAsia="宋体" w:cs="宋体"/>
                <w:i w:val="0"/>
                <w:iCs w:val="0"/>
                <w:color w:val="000000"/>
                <w:sz w:val="18"/>
                <w:szCs w:val="18"/>
                <w:u w:val="none"/>
              </w:rPr>
            </w:pPr>
          </w:p>
        </w:tc>
        <w:tc>
          <w:tcPr>
            <w:tcW w:w="1170" w:type="dxa"/>
            <w:tcBorders>
              <w:top w:val="nil"/>
              <w:left w:val="nil"/>
              <w:bottom w:val="nil"/>
              <w:right w:val="nil"/>
            </w:tcBorders>
            <w:shd w:val="clear" w:color="auto" w:fill="FFFFFF"/>
            <w:vAlign w:val="bottom"/>
          </w:tcPr>
          <w:p w14:paraId="19C642CB">
            <w:pPr>
              <w:jc w:val="left"/>
              <w:rPr>
                <w:rFonts w:hint="eastAsia" w:ascii="宋体" w:hAnsi="宋体" w:eastAsia="宋体" w:cs="宋体"/>
                <w:i w:val="0"/>
                <w:iCs w:val="0"/>
                <w:color w:val="000000"/>
                <w:sz w:val="18"/>
                <w:szCs w:val="18"/>
                <w:u w:val="none"/>
              </w:rPr>
            </w:pPr>
          </w:p>
        </w:tc>
        <w:tc>
          <w:tcPr>
            <w:tcW w:w="1290" w:type="dxa"/>
            <w:tcBorders>
              <w:top w:val="nil"/>
              <w:left w:val="nil"/>
              <w:bottom w:val="nil"/>
              <w:right w:val="nil"/>
            </w:tcBorders>
            <w:shd w:val="clear" w:color="auto" w:fill="FFFFFF"/>
            <w:vAlign w:val="bottom"/>
          </w:tcPr>
          <w:p w14:paraId="674BED95">
            <w:pPr>
              <w:jc w:val="left"/>
              <w:rPr>
                <w:rFonts w:hint="eastAsia" w:ascii="宋体" w:hAnsi="宋体" w:eastAsia="宋体" w:cs="宋体"/>
                <w:i w:val="0"/>
                <w:iCs w:val="0"/>
                <w:color w:val="000000"/>
                <w:sz w:val="18"/>
                <w:szCs w:val="18"/>
                <w:u w:val="none"/>
              </w:rPr>
            </w:pPr>
          </w:p>
        </w:tc>
      </w:tr>
      <w:tr w14:paraId="4C17D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615" w:type="dxa"/>
            <w:gridSpan w:val="12"/>
            <w:tcBorders>
              <w:top w:val="nil"/>
              <w:left w:val="nil"/>
              <w:bottom w:val="nil"/>
              <w:right w:val="nil"/>
            </w:tcBorders>
            <w:shd w:val="clear" w:color="auto" w:fill="FFFFFF"/>
            <w:vAlign w:val="center"/>
          </w:tcPr>
          <w:p w14:paraId="6D130CC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52856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940" w:type="dxa"/>
            <w:gridSpan w:val="6"/>
            <w:tcBorders>
              <w:top w:val="nil"/>
              <w:left w:val="nil"/>
              <w:bottom w:val="nil"/>
              <w:right w:val="nil"/>
            </w:tcBorders>
            <w:shd w:val="clear" w:color="auto" w:fill="FFFFFF"/>
            <w:vAlign w:val="bottom"/>
          </w:tcPr>
          <w:p w14:paraId="230A247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单位(专业)工程名称:单项工程-市政保养工程</w:t>
            </w:r>
          </w:p>
        </w:tc>
        <w:tc>
          <w:tcPr>
            <w:tcW w:w="3120" w:type="dxa"/>
            <w:gridSpan w:val="3"/>
            <w:tcBorders>
              <w:top w:val="nil"/>
              <w:left w:val="nil"/>
              <w:bottom w:val="nil"/>
              <w:right w:val="nil"/>
            </w:tcBorders>
            <w:shd w:val="clear" w:color="auto" w:fill="FFFFFF"/>
            <w:vAlign w:val="bottom"/>
          </w:tcPr>
          <w:p w14:paraId="3B6162D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3555" w:type="dxa"/>
            <w:gridSpan w:val="3"/>
            <w:tcBorders>
              <w:top w:val="nil"/>
              <w:left w:val="nil"/>
              <w:bottom w:val="nil"/>
              <w:right w:val="nil"/>
            </w:tcBorders>
            <w:shd w:val="clear" w:color="auto" w:fill="FFFFFF"/>
            <w:vAlign w:val="bottom"/>
          </w:tcPr>
          <w:p w14:paraId="3D3D4F5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第2页 共3页</w:t>
            </w:r>
          </w:p>
        </w:tc>
      </w:tr>
      <w:tr w14:paraId="49098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vMerge w:val="restart"/>
            <w:tcBorders>
              <w:top w:val="single" w:color="000000" w:sz="4" w:space="0"/>
              <w:left w:val="single" w:color="000000" w:sz="4" w:space="0"/>
              <w:bottom w:val="nil"/>
              <w:right w:val="nil"/>
            </w:tcBorders>
            <w:shd w:val="clear" w:color="auto" w:fill="FFFFFF"/>
            <w:vAlign w:val="center"/>
          </w:tcPr>
          <w:p w14:paraId="17607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0" w:type="dxa"/>
            <w:vMerge w:val="restart"/>
            <w:tcBorders>
              <w:top w:val="single" w:color="000000" w:sz="4" w:space="0"/>
              <w:left w:val="single" w:color="000000" w:sz="4" w:space="0"/>
              <w:bottom w:val="nil"/>
              <w:right w:val="nil"/>
            </w:tcBorders>
            <w:shd w:val="clear" w:color="auto" w:fill="FFFFFF"/>
            <w:vAlign w:val="center"/>
          </w:tcPr>
          <w:p w14:paraId="151A7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205" w:type="dxa"/>
            <w:vMerge w:val="restart"/>
            <w:tcBorders>
              <w:top w:val="single" w:color="000000" w:sz="4" w:space="0"/>
              <w:left w:val="single" w:color="000000" w:sz="4" w:space="0"/>
              <w:bottom w:val="nil"/>
              <w:right w:val="nil"/>
            </w:tcBorders>
            <w:shd w:val="clear" w:color="auto" w:fill="FFFFFF"/>
            <w:vAlign w:val="center"/>
          </w:tcPr>
          <w:p w14:paraId="3EF3A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105" w:type="dxa"/>
            <w:vMerge w:val="restart"/>
            <w:tcBorders>
              <w:top w:val="single" w:color="000000" w:sz="4" w:space="0"/>
              <w:left w:val="single" w:color="000000" w:sz="4" w:space="0"/>
              <w:bottom w:val="nil"/>
              <w:right w:val="nil"/>
            </w:tcBorders>
            <w:shd w:val="clear" w:color="auto" w:fill="FFFFFF"/>
            <w:vAlign w:val="center"/>
          </w:tcPr>
          <w:p w14:paraId="47BFB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75" w:type="dxa"/>
            <w:vMerge w:val="restart"/>
            <w:tcBorders>
              <w:top w:val="single" w:color="000000" w:sz="4" w:space="0"/>
              <w:left w:val="single" w:color="000000" w:sz="4" w:space="0"/>
              <w:bottom w:val="nil"/>
              <w:right w:val="nil"/>
            </w:tcBorders>
            <w:shd w:val="clear" w:color="auto" w:fill="FFFFFF"/>
            <w:vAlign w:val="center"/>
          </w:tcPr>
          <w:p w14:paraId="4EA468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065" w:type="dxa"/>
            <w:vMerge w:val="restart"/>
            <w:tcBorders>
              <w:top w:val="single" w:color="000000" w:sz="4" w:space="0"/>
              <w:left w:val="single" w:color="000000" w:sz="4" w:space="0"/>
              <w:bottom w:val="nil"/>
              <w:right w:val="nil"/>
            </w:tcBorders>
            <w:shd w:val="clear" w:color="auto" w:fill="FFFFFF"/>
            <w:vAlign w:val="center"/>
          </w:tcPr>
          <w:p w14:paraId="71143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385" w:type="dxa"/>
            <w:gridSpan w:val="5"/>
            <w:tcBorders>
              <w:top w:val="single" w:color="000000" w:sz="4" w:space="0"/>
              <w:left w:val="single" w:color="000000" w:sz="4" w:space="0"/>
              <w:bottom w:val="nil"/>
              <w:right w:val="nil"/>
            </w:tcBorders>
            <w:shd w:val="clear" w:color="auto" w:fill="FFFFFF"/>
            <w:vAlign w:val="center"/>
          </w:tcPr>
          <w:p w14:paraId="6722D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1290" w:type="dxa"/>
            <w:vMerge w:val="restart"/>
            <w:tcBorders>
              <w:top w:val="single" w:color="000000" w:sz="4" w:space="0"/>
              <w:left w:val="single" w:color="000000" w:sz="4" w:space="0"/>
              <w:bottom w:val="nil"/>
              <w:right w:val="single" w:color="000000" w:sz="4" w:space="0"/>
            </w:tcBorders>
            <w:shd w:val="clear" w:color="auto" w:fill="FFFFFF"/>
            <w:vAlign w:val="center"/>
          </w:tcPr>
          <w:p w14:paraId="0BA90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9623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vMerge w:val="continue"/>
            <w:tcBorders>
              <w:top w:val="single" w:color="000000" w:sz="4" w:space="0"/>
              <w:left w:val="single" w:color="000000" w:sz="4" w:space="0"/>
              <w:bottom w:val="nil"/>
              <w:right w:val="nil"/>
            </w:tcBorders>
            <w:shd w:val="clear" w:color="auto" w:fill="FFFFFF"/>
            <w:vAlign w:val="center"/>
          </w:tcPr>
          <w:p w14:paraId="664C04D2">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nil"/>
              <w:right w:val="nil"/>
            </w:tcBorders>
            <w:shd w:val="clear" w:color="auto" w:fill="FFFFFF"/>
            <w:vAlign w:val="center"/>
          </w:tcPr>
          <w:p w14:paraId="5D654849">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nil"/>
              <w:right w:val="nil"/>
            </w:tcBorders>
            <w:shd w:val="clear" w:color="auto" w:fill="FFFFFF"/>
            <w:vAlign w:val="center"/>
          </w:tcPr>
          <w:p w14:paraId="4D27D4D1">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nil"/>
              <w:right w:val="nil"/>
            </w:tcBorders>
            <w:shd w:val="clear" w:color="auto" w:fill="FFFFFF"/>
            <w:vAlign w:val="center"/>
          </w:tcPr>
          <w:p w14:paraId="273AEF9C">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nil"/>
              <w:right w:val="nil"/>
            </w:tcBorders>
            <w:shd w:val="clear" w:color="auto" w:fill="FFFFFF"/>
            <w:vAlign w:val="center"/>
          </w:tcPr>
          <w:p w14:paraId="5DD282AA">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nil"/>
              <w:right w:val="nil"/>
            </w:tcBorders>
            <w:shd w:val="clear" w:color="auto" w:fill="FFFFFF"/>
            <w:vAlign w:val="center"/>
          </w:tcPr>
          <w:p w14:paraId="0B4A7265">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nil"/>
              <w:right w:val="nil"/>
            </w:tcBorders>
            <w:shd w:val="clear" w:color="auto" w:fill="FFFFFF"/>
            <w:vAlign w:val="center"/>
          </w:tcPr>
          <w:p w14:paraId="54439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035" w:type="dxa"/>
            <w:vMerge w:val="restart"/>
            <w:tcBorders>
              <w:top w:val="single" w:color="000000" w:sz="4" w:space="0"/>
              <w:left w:val="single" w:color="000000" w:sz="4" w:space="0"/>
              <w:bottom w:val="nil"/>
              <w:right w:val="nil"/>
            </w:tcBorders>
            <w:shd w:val="clear" w:color="auto" w:fill="FFFFFF"/>
            <w:vAlign w:val="center"/>
          </w:tcPr>
          <w:p w14:paraId="62E35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270" w:type="dxa"/>
            <w:gridSpan w:val="3"/>
            <w:tcBorders>
              <w:top w:val="single" w:color="000000" w:sz="4" w:space="0"/>
              <w:left w:val="single" w:color="000000" w:sz="4" w:space="0"/>
              <w:bottom w:val="nil"/>
              <w:right w:val="single" w:color="000000" w:sz="4" w:space="0"/>
            </w:tcBorders>
            <w:shd w:val="clear" w:color="auto" w:fill="FFFFFF"/>
            <w:vAlign w:val="center"/>
          </w:tcPr>
          <w:p w14:paraId="52D75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1290" w:type="dxa"/>
            <w:vMerge w:val="continue"/>
            <w:tcBorders>
              <w:top w:val="single" w:color="000000" w:sz="4" w:space="0"/>
              <w:left w:val="single" w:color="000000" w:sz="4" w:space="0"/>
              <w:bottom w:val="nil"/>
              <w:right w:val="single" w:color="000000" w:sz="4" w:space="0"/>
            </w:tcBorders>
            <w:shd w:val="clear" w:color="auto" w:fill="FFFFFF"/>
            <w:vAlign w:val="center"/>
          </w:tcPr>
          <w:p w14:paraId="5E6A1B1F">
            <w:pPr>
              <w:jc w:val="center"/>
              <w:rPr>
                <w:rFonts w:hint="eastAsia" w:ascii="宋体" w:hAnsi="宋体" w:eastAsia="宋体" w:cs="宋体"/>
                <w:i w:val="0"/>
                <w:iCs w:val="0"/>
                <w:color w:val="000000"/>
                <w:sz w:val="18"/>
                <w:szCs w:val="18"/>
                <w:u w:val="none"/>
              </w:rPr>
            </w:pPr>
          </w:p>
        </w:tc>
      </w:tr>
      <w:tr w14:paraId="47525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vMerge w:val="continue"/>
            <w:tcBorders>
              <w:top w:val="single" w:color="000000" w:sz="4" w:space="0"/>
              <w:left w:val="single" w:color="000000" w:sz="4" w:space="0"/>
              <w:bottom w:val="nil"/>
              <w:right w:val="nil"/>
            </w:tcBorders>
            <w:shd w:val="clear" w:color="auto" w:fill="FFFFFF"/>
            <w:vAlign w:val="center"/>
          </w:tcPr>
          <w:p w14:paraId="5A520612">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nil"/>
              <w:right w:val="nil"/>
            </w:tcBorders>
            <w:shd w:val="clear" w:color="auto" w:fill="FFFFFF"/>
            <w:vAlign w:val="center"/>
          </w:tcPr>
          <w:p w14:paraId="6BB05B75">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nil"/>
              <w:right w:val="nil"/>
            </w:tcBorders>
            <w:shd w:val="clear" w:color="auto" w:fill="FFFFFF"/>
            <w:vAlign w:val="center"/>
          </w:tcPr>
          <w:p w14:paraId="6A926783">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nil"/>
              <w:right w:val="nil"/>
            </w:tcBorders>
            <w:shd w:val="clear" w:color="auto" w:fill="FFFFFF"/>
            <w:vAlign w:val="center"/>
          </w:tcPr>
          <w:p w14:paraId="489221DD">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nil"/>
              <w:right w:val="nil"/>
            </w:tcBorders>
            <w:shd w:val="clear" w:color="auto" w:fill="FFFFFF"/>
            <w:vAlign w:val="center"/>
          </w:tcPr>
          <w:p w14:paraId="77763AC4">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nil"/>
              <w:right w:val="nil"/>
            </w:tcBorders>
            <w:shd w:val="clear" w:color="auto" w:fill="FFFFFF"/>
            <w:vAlign w:val="center"/>
          </w:tcPr>
          <w:p w14:paraId="2876D2C1">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nil"/>
              <w:right w:val="nil"/>
            </w:tcBorders>
            <w:shd w:val="clear" w:color="auto" w:fill="FFFFFF"/>
            <w:vAlign w:val="center"/>
          </w:tcPr>
          <w:p w14:paraId="1CD7417E">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nil"/>
              <w:right w:val="nil"/>
            </w:tcBorders>
            <w:shd w:val="clear" w:color="auto" w:fill="FFFFFF"/>
            <w:vAlign w:val="center"/>
          </w:tcPr>
          <w:p w14:paraId="60B01B20">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39387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1095" w:type="dxa"/>
            <w:tcBorders>
              <w:top w:val="single" w:color="000000" w:sz="4" w:space="0"/>
              <w:left w:val="single" w:color="000000" w:sz="4" w:space="0"/>
              <w:bottom w:val="nil"/>
              <w:right w:val="nil"/>
            </w:tcBorders>
            <w:shd w:val="clear" w:color="auto" w:fill="FFFFFF"/>
            <w:vAlign w:val="center"/>
          </w:tcPr>
          <w:p w14:paraId="7E11B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1170" w:type="dxa"/>
            <w:tcBorders>
              <w:top w:val="single" w:color="000000" w:sz="4" w:space="0"/>
              <w:left w:val="single" w:color="000000" w:sz="4" w:space="0"/>
              <w:bottom w:val="nil"/>
              <w:right w:val="single" w:color="000000" w:sz="4" w:space="0"/>
            </w:tcBorders>
            <w:shd w:val="clear" w:color="auto" w:fill="FFFFFF"/>
            <w:vAlign w:val="center"/>
          </w:tcPr>
          <w:p w14:paraId="11E40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1290" w:type="dxa"/>
            <w:vMerge w:val="continue"/>
            <w:tcBorders>
              <w:top w:val="single" w:color="000000" w:sz="4" w:space="0"/>
              <w:left w:val="single" w:color="000000" w:sz="4" w:space="0"/>
              <w:bottom w:val="nil"/>
              <w:right w:val="single" w:color="000000" w:sz="4" w:space="0"/>
            </w:tcBorders>
            <w:shd w:val="clear" w:color="auto" w:fill="FFFFFF"/>
            <w:vAlign w:val="center"/>
          </w:tcPr>
          <w:p w14:paraId="50829787">
            <w:pPr>
              <w:jc w:val="center"/>
              <w:rPr>
                <w:rFonts w:hint="eastAsia" w:ascii="宋体" w:hAnsi="宋体" w:eastAsia="宋体" w:cs="宋体"/>
                <w:i w:val="0"/>
                <w:iCs w:val="0"/>
                <w:color w:val="000000"/>
                <w:sz w:val="18"/>
                <w:szCs w:val="18"/>
                <w:u w:val="none"/>
              </w:rPr>
            </w:pPr>
          </w:p>
        </w:tc>
      </w:tr>
      <w:tr w14:paraId="55460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5" w:hRule="atLeast"/>
        </w:trPr>
        <w:tc>
          <w:tcPr>
            <w:tcW w:w="600" w:type="dxa"/>
            <w:tcBorders>
              <w:top w:val="single" w:color="000000" w:sz="4" w:space="0"/>
              <w:left w:val="single" w:color="000000" w:sz="4" w:space="0"/>
              <w:bottom w:val="nil"/>
              <w:right w:val="nil"/>
            </w:tcBorders>
            <w:shd w:val="clear" w:color="auto" w:fill="FFFFFF"/>
            <w:vAlign w:val="center"/>
          </w:tcPr>
          <w:p w14:paraId="4A939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0" w:type="dxa"/>
            <w:tcBorders>
              <w:top w:val="single" w:color="000000" w:sz="4" w:space="0"/>
              <w:left w:val="single" w:color="000000" w:sz="4" w:space="0"/>
              <w:bottom w:val="nil"/>
              <w:right w:val="nil"/>
            </w:tcBorders>
            <w:shd w:val="clear" w:color="auto" w:fill="FFFFFF"/>
            <w:vAlign w:val="center"/>
          </w:tcPr>
          <w:p w14:paraId="032C85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04B002</w:t>
            </w:r>
          </w:p>
        </w:tc>
        <w:tc>
          <w:tcPr>
            <w:tcW w:w="2205" w:type="dxa"/>
            <w:tcBorders>
              <w:top w:val="single" w:color="000000" w:sz="4" w:space="0"/>
              <w:left w:val="single" w:color="000000" w:sz="4" w:space="0"/>
              <w:bottom w:val="nil"/>
              <w:right w:val="nil"/>
            </w:tcBorders>
            <w:shd w:val="clear" w:color="auto" w:fill="FFFFFF"/>
            <w:vAlign w:val="center"/>
          </w:tcPr>
          <w:p w14:paraId="6ADBDF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桥梁段日常巡查</w:t>
            </w:r>
          </w:p>
        </w:tc>
        <w:tc>
          <w:tcPr>
            <w:tcW w:w="3105" w:type="dxa"/>
            <w:tcBorders>
              <w:top w:val="single" w:color="000000" w:sz="4" w:space="0"/>
              <w:left w:val="single" w:color="000000" w:sz="4" w:space="0"/>
              <w:bottom w:val="nil"/>
              <w:right w:val="nil"/>
            </w:tcBorders>
            <w:shd w:val="clear" w:color="auto" w:fill="FFFFFF"/>
            <w:vAlign w:val="center"/>
          </w:tcPr>
          <w:p w14:paraId="57CFAC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城镇道路养护技术规范》（CJJ36-2016）、《城市桥梁养护技术标准》（CJJ99-2017）要求对承包范围内全线道路、桥梁、隧道及附属设施实施一日一巡。主线高架路灯、地面道路路灯设施每月一巡（巡查内容包含亮灯情况、完好情况），设施管理用房实施24小时值守，特殊情况需加密巡查。日常巡查应按照规范要求，采用摄像及目测结合的方式对路面外观变化、结构变化、道路施工作业情况及附属设施等状况进行检查，并做好相应记录。巡查过程中，对发现设施明显损坏或影响车辆和行人安全的情况，应及时采取相应措施，并及时向管理单位报告。</w:t>
            </w:r>
          </w:p>
        </w:tc>
        <w:tc>
          <w:tcPr>
            <w:tcW w:w="675" w:type="dxa"/>
            <w:tcBorders>
              <w:top w:val="single" w:color="000000" w:sz="4" w:space="0"/>
              <w:left w:val="single" w:color="000000" w:sz="4" w:space="0"/>
              <w:bottom w:val="nil"/>
              <w:right w:val="nil"/>
            </w:tcBorders>
            <w:shd w:val="clear" w:color="auto" w:fill="FFFFFF"/>
            <w:vAlign w:val="center"/>
          </w:tcPr>
          <w:p w14:paraId="2C7C0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65" w:type="dxa"/>
            <w:tcBorders>
              <w:top w:val="single" w:color="000000" w:sz="4" w:space="0"/>
              <w:left w:val="single" w:color="000000" w:sz="4" w:space="0"/>
              <w:bottom w:val="nil"/>
              <w:right w:val="nil"/>
            </w:tcBorders>
            <w:shd w:val="clear" w:color="auto" w:fill="FFFFFF"/>
            <w:vAlign w:val="center"/>
          </w:tcPr>
          <w:p w14:paraId="30BE40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4380</w:t>
            </w:r>
          </w:p>
        </w:tc>
        <w:tc>
          <w:tcPr>
            <w:tcW w:w="1080" w:type="dxa"/>
            <w:tcBorders>
              <w:top w:val="single" w:color="000000" w:sz="4" w:space="0"/>
              <w:left w:val="single" w:color="000000" w:sz="4" w:space="0"/>
              <w:bottom w:val="nil"/>
              <w:right w:val="nil"/>
            </w:tcBorders>
            <w:shd w:val="clear" w:color="auto" w:fill="FFFFFF"/>
            <w:vAlign w:val="center"/>
          </w:tcPr>
          <w:p w14:paraId="71AD99A3">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0C7D82A4">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19314A59">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6205B060">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5FBF725A">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F37D5DD">
            <w:pPr>
              <w:jc w:val="left"/>
              <w:rPr>
                <w:rFonts w:hint="eastAsia" w:ascii="宋体" w:hAnsi="宋体" w:eastAsia="宋体" w:cs="宋体"/>
                <w:i w:val="0"/>
                <w:iCs w:val="0"/>
                <w:color w:val="000000"/>
                <w:sz w:val="18"/>
                <w:szCs w:val="18"/>
                <w:u w:val="none"/>
              </w:rPr>
            </w:pPr>
          </w:p>
        </w:tc>
      </w:tr>
      <w:tr w14:paraId="7792D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02E57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0" w:type="dxa"/>
            <w:tcBorders>
              <w:top w:val="single" w:color="000000" w:sz="4" w:space="0"/>
              <w:left w:val="single" w:color="000000" w:sz="4" w:space="0"/>
              <w:bottom w:val="nil"/>
              <w:right w:val="nil"/>
            </w:tcBorders>
            <w:shd w:val="clear" w:color="auto" w:fill="FFFFFF"/>
            <w:vAlign w:val="center"/>
          </w:tcPr>
          <w:p w14:paraId="25B034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04B003</w:t>
            </w:r>
          </w:p>
        </w:tc>
        <w:tc>
          <w:tcPr>
            <w:tcW w:w="2205" w:type="dxa"/>
            <w:tcBorders>
              <w:top w:val="single" w:color="000000" w:sz="4" w:space="0"/>
              <w:left w:val="single" w:color="000000" w:sz="4" w:space="0"/>
              <w:bottom w:val="nil"/>
              <w:right w:val="nil"/>
            </w:tcBorders>
            <w:shd w:val="clear" w:color="auto" w:fill="FFFFFF"/>
            <w:vAlign w:val="center"/>
          </w:tcPr>
          <w:p w14:paraId="216679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伸缩缝清理</w:t>
            </w:r>
          </w:p>
        </w:tc>
        <w:tc>
          <w:tcPr>
            <w:tcW w:w="3105" w:type="dxa"/>
            <w:tcBorders>
              <w:top w:val="single" w:color="000000" w:sz="4" w:space="0"/>
              <w:left w:val="single" w:color="000000" w:sz="4" w:space="0"/>
              <w:bottom w:val="nil"/>
              <w:right w:val="nil"/>
            </w:tcBorders>
            <w:shd w:val="clear" w:color="auto" w:fill="FFFFFF"/>
            <w:vAlign w:val="center"/>
          </w:tcPr>
          <w:p w14:paraId="5B05EA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定期清理伸缩缝内垃圾，保证伸缩缝功能有效，含各类40型、80型、160型伸缩缝</w:t>
            </w:r>
          </w:p>
        </w:tc>
        <w:tc>
          <w:tcPr>
            <w:tcW w:w="675" w:type="dxa"/>
            <w:tcBorders>
              <w:top w:val="single" w:color="000000" w:sz="4" w:space="0"/>
              <w:left w:val="single" w:color="000000" w:sz="4" w:space="0"/>
              <w:bottom w:val="nil"/>
              <w:right w:val="nil"/>
            </w:tcBorders>
            <w:shd w:val="clear" w:color="auto" w:fill="FFFFFF"/>
            <w:vAlign w:val="center"/>
          </w:tcPr>
          <w:p w14:paraId="531E8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141E35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2766.34</w:t>
            </w:r>
          </w:p>
        </w:tc>
        <w:tc>
          <w:tcPr>
            <w:tcW w:w="1080" w:type="dxa"/>
            <w:tcBorders>
              <w:top w:val="single" w:color="000000" w:sz="4" w:space="0"/>
              <w:left w:val="single" w:color="000000" w:sz="4" w:space="0"/>
              <w:bottom w:val="nil"/>
              <w:right w:val="nil"/>
            </w:tcBorders>
            <w:shd w:val="clear" w:color="auto" w:fill="FFFFFF"/>
            <w:vAlign w:val="center"/>
          </w:tcPr>
          <w:p w14:paraId="5AE4568B">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6DFD0818">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303A6428">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15741446">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2C3592F4">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36703D6">
            <w:pPr>
              <w:jc w:val="left"/>
              <w:rPr>
                <w:rFonts w:hint="eastAsia" w:ascii="宋体" w:hAnsi="宋体" w:eastAsia="宋体" w:cs="宋体"/>
                <w:i w:val="0"/>
                <w:iCs w:val="0"/>
                <w:color w:val="000000"/>
                <w:sz w:val="18"/>
                <w:szCs w:val="18"/>
                <w:u w:val="none"/>
              </w:rPr>
            </w:pPr>
          </w:p>
        </w:tc>
      </w:tr>
      <w:tr w14:paraId="4A191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69B15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0" w:type="dxa"/>
            <w:tcBorders>
              <w:top w:val="single" w:color="000000" w:sz="4" w:space="0"/>
              <w:left w:val="single" w:color="000000" w:sz="4" w:space="0"/>
              <w:bottom w:val="nil"/>
              <w:right w:val="nil"/>
            </w:tcBorders>
            <w:shd w:val="clear" w:color="auto" w:fill="FFFFFF"/>
            <w:vAlign w:val="center"/>
          </w:tcPr>
          <w:p w14:paraId="49FFB4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04B004</w:t>
            </w:r>
          </w:p>
        </w:tc>
        <w:tc>
          <w:tcPr>
            <w:tcW w:w="2205" w:type="dxa"/>
            <w:tcBorders>
              <w:top w:val="single" w:color="000000" w:sz="4" w:space="0"/>
              <w:left w:val="single" w:color="000000" w:sz="4" w:space="0"/>
              <w:bottom w:val="nil"/>
              <w:right w:val="nil"/>
            </w:tcBorders>
            <w:shd w:val="clear" w:color="auto" w:fill="FFFFFF"/>
            <w:vAlign w:val="center"/>
          </w:tcPr>
          <w:p w14:paraId="5EAB7D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桥梁支座保养</w:t>
            </w:r>
          </w:p>
        </w:tc>
        <w:tc>
          <w:tcPr>
            <w:tcW w:w="3105" w:type="dxa"/>
            <w:tcBorders>
              <w:top w:val="single" w:color="000000" w:sz="4" w:space="0"/>
              <w:left w:val="single" w:color="000000" w:sz="4" w:space="0"/>
              <w:bottom w:val="nil"/>
              <w:right w:val="nil"/>
            </w:tcBorders>
            <w:shd w:val="clear" w:color="auto" w:fill="FFFFFF"/>
            <w:vAlign w:val="center"/>
          </w:tcPr>
          <w:p w14:paraId="064781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盆式支座、橡胶支座进行日常保养，工作内容包含：清除支座周围垃圾，除锈，加油，维养。</w:t>
            </w:r>
          </w:p>
        </w:tc>
        <w:tc>
          <w:tcPr>
            <w:tcW w:w="675" w:type="dxa"/>
            <w:tcBorders>
              <w:top w:val="single" w:color="000000" w:sz="4" w:space="0"/>
              <w:left w:val="single" w:color="000000" w:sz="4" w:space="0"/>
              <w:bottom w:val="nil"/>
              <w:right w:val="nil"/>
            </w:tcBorders>
            <w:shd w:val="clear" w:color="auto" w:fill="FFFFFF"/>
            <w:vAlign w:val="center"/>
          </w:tcPr>
          <w:p w14:paraId="214A0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nil"/>
              <w:right w:val="nil"/>
            </w:tcBorders>
            <w:shd w:val="clear" w:color="auto" w:fill="FFFFFF"/>
            <w:vAlign w:val="center"/>
          </w:tcPr>
          <w:p w14:paraId="765861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1080" w:type="dxa"/>
            <w:tcBorders>
              <w:top w:val="single" w:color="000000" w:sz="4" w:space="0"/>
              <w:left w:val="single" w:color="000000" w:sz="4" w:space="0"/>
              <w:bottom w:val="nil"/>
              <w:right w:val="nil"/>
            </w:tcBorders>
            <w:shd w:val="clear" w:color="auto" w:fill="FFFFFF"/>
            <w:vAlign w:val="center"/>
          </w:tcPr>
          <w:p w14:paraId="6C334875">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0104468A">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03A94D96">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41CA0754">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2DEF38B2">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1F3A876">
            <w:pPr>
              <w:jc w:val="left"/>
              <w:rPr>
                <w:rFonts w:hint="eastAsia" w:ascii="宋体" w:hAnsi="宋体" w:eastAsia="宋体" w:cs="宋体"/>
                <w:i w:val="0"/>
                <w:iCs w:val="0"/>
                <w:color w:val="000000"/>
                <w:sz w:val="18"/>
                <w:szCs w:val="18"/>
                <w:u w:val="none"/>
              </w:rPr>
            </w:pPr>
          </w:p>
        </w:tc>
      </w:tr>
      <w:tr w14:paraId="20F43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20" w:type="dxa"/>
            <w:gridSpan w:val="7"/>
            <w:tcBorders>
              <w:top w:val="single" w:color="000000" w:sz="4" w:space="0"/>
              <w:left w:val="single" w:color="000000" w:sz="4" w:space="0"/>
              <w:bottom w:val="single" w:color="000000" w:sz="4" w:space="0"/>
              <w:right w:val="nil"/>
            </w:tcBorders>
            <w:shd w:val="clear" w:color="auto" w:fill="FFFFFF"/>
            <w:vAlign w:val="center"/>
          </w:tcPr>
          <w:p w14:paraId="07EB4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035" w:type="dxa"/>
            <w:tcBorders>
              <w:top w:val="single" w:color="000000" w:sz="4" w:space="0"/>
              <w:left w:val="single" w:color="000000" w:sz="4" w:space="0"/>
              <w:bottom w:val="single" w:color="000000" w:sz="4" w:space="0"/>
              <w:right w:val="nil"/>
            </w:tcBorders>
            <w:shd w:val="clear" w:color="auto" w:fill="FFFFFF"/>
            <w:vAlign w:val="center"/>
          </w:tcPr>
          <w:p w14:paraId="470E7049">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nil"/>
            </w:tcBorders>
            <w:shd w:val="clear" w:color="auto" w:fill="FFFFFF"/>
            <w:vAlign w:val="center"/>
          </w:tcPr>
          <w:p w14:paraId="5DF38A8F">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nil"/>
            </w:tcBorders>
            <w:shd w:val="clear" w:color="auto" w:fill="FFFFFF"/>
            <w:vAlign w:val="center"/>
          </w:tcPr>
          <w:p w14:paraId="14FE90C0">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nil"/>
            </w:tcBorders>
            <w:shd w:val="clear" w:color="auto" w:fill="FFFFFF"/>
            <w:vAlign w:val="center"/>
          </w:tcPr>
          <w:p w14:paraId="2FF29C1C">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3EB89">
            <w:pPr>
              <w:jc w:val="center"/>
              <w:rPr>
                <w:rFonts w:hint="eastAsia" w:ascii="宋体" w:hAnsi="宋体" w:eastAsia="宋体" w:cs="宋体"/>
                <w:i w:val="0"/>
                <w:iCs w:val="0"/>
                <w:color w:val="000000"/>
                <w:sz w:val="18"/>
                <w:szCs w:val="18"/>
                <w:u w:val="none"/>
              </w:rPr>
            </w:pPr>
          </w:p>
        </w:tc>
      </w:tr>
      <w:tr w14:paraId="6787E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rPr>
        <w:tc>
          <w:tcPr>
            <w:tcW w:w="0" w:type="auto"/>
            <w:tcBorders>
              <w:top w:val="nil"/>
              <w:left w:val="nil"/>
              <w:bottom w:val="nil"/>
              <w:right w:val="nil"/>
            </w:tcBorders>
            <w:shd w:val="clear" w:color="auto" w:fill="auto"/>
            <w:noWrap/>
            <w:vAlign w:val="bottom"/>
          </w:tcPr>
          <w:p w14:paraId="4762ADCE">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AAB36BE">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6B146DA">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F03437C">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C481AC8">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29E50E8">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F68EC94">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395C78A">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56332E5">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1B0910F">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15106D9">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5161A2B">
            <w:pPr>
              <w:rPr>
                <w:rFonts w:hint="default" w:ascii="Arial" w:hAnsi="Arial" w:cs="Arial"/>
                <w:i w:val="0"/>
                <w:iCs w:val="0"/>
                <w:color w:val="000000"/>
                <w:sz w:val="20"/>
                <w:szCs w:val="20"/>
                <w:u w:val="none"/>
              </w:rPr>
            </w:pPr>
          </w:p>
        </w:tc>
      </w:tr>
      <w:tr w14:paraId="778B5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nil"/>
              <w:left w:val="nil"/>
              <w:bottom w:val="nil"/>
              <w:right w:val="nil"/>
            </w:tcBorders>
            <w:shd w:val="clear" w:color="auto" w:fill="FFFFFF"/>
            <w:vAlign w:val="center"/>
          </w:tcPr>
          <w:p w14:paraId="62062EAF">
            <w:pPr>
              <w:jc w:val="center"/>
              <w:rPr>
                <w:rFonts w:hint="eastAsia" w:ascii="宋体" w:hAnsi="宋体" w:eastAsia="宋体" w:cs="宋体"/>
                <w:i w:val="0"/>
                <w:iCs w:val="0"/>
                <w:color w:val="000000"/>
                <w:sz w:val="18"/>
                <w:szCs w:val="18"/>
                <w:u w:val="none"/>
              </w:rPr>
            </w:pPr>
          </w:p>
        </w:tc>
        <w:tc>
          <w:tcPr>
            <w:tcW w:w="1290" w:type="dxa"/>
            <w:tcBorders>
              <w:top w:val="nil"/>
              <w:left w:val="nil"/>
              <w:bottom w:val="nil"/>
              <w:right w:val="nil"/>
            </w:tcBorders>
            <w:shd w:val="clear" w:color="auto" w:fill="FFFFFF"/>
            <w:vAlign w:val="center"/>
          </w:tcPr>
          <w:p w14:paraId="27D2FD88">
            <w:pPr>
              <w:jc w:val="center"/>
              <w:rPr>
                <w:rFonts w:hint="eastAsia" w:ascii="宋体" w:hAnsi="宋体" w:eastAsia="宋体" w:cs="宋体"/>
                <w:i w:val="0"/>
                <w:iCs w:val="0"/>
                <w:color w:val="000000"/>
                <w:sz w:val="18"/>
                <w:szCs w:val="18"/>
                <w:u w:val="none"/>
              </w:rPr>
            </w:pPr>
          </w:p>
        </w:tc>
        <w:tc>
          <w:tcPr>
            <w:tcW w:w="2205" w:type="dxa"/>
            <w:tcBorders>
              <w:top w:val="nil"/>
              <w:left w:val="nil"/>
              <w:bottom w:val="nil"/>
              <w:right w:val="nil"/>
            </w:tcBorders>
            <w:shd w:val="clear" w:color="auto" w:fill="FFFFFF"/>
            <w:vAlign w:val="center"/>
          </w:tcPr>
          <w:p w14:paraId="41DFF1BE">
            <w:pPr>
              <w:jc w:val="center"/>
              <w:rPr>
                <w:rFonts w:hint="eastAsia" w:ascii="宋体" w:hAnsi="宋体" w:eastAsia="宋体" w:cs="宋体"/>
                <w:i w:val="0"/>
                <w:iCs w:val="0"/>
                <w:color w:val="000000"/>
                <w:sz w:val="18"/>
                <w:szCs w:val="18"/>
                <w:u w:val="none"/>
              </w:rPr>
            </w:pPr>
          </w:p>
        </w:tc>
        <w:tc>
          <w:tcPr>
            <w:tcW w:w="3105" w:type="dxa"/>
            <w:tcBorders>
              <w:top w:val="nil"/>
              <w:left w:val="nil"/>
              <w:bottom w:val="nil"/>
              <w:right w:val="nil"/>
            </w:tcBorders>
            <w:shd w:val="clear" w:color="auto" w:fill="FFFFFF"/>
            <w:vAlign w:val="center"/>
          </w:tcPr>
          <w:p w14:paraId="18BFCB4F">
            <w:pPr>
              <w:jc w:val="center"/>
              <w:rPr>
                <w:rFonts w:hint="eastAsia" w:ascii="宋体" w:hAnsi="宋体" w:eastAsia="宋体" w:cs="宋体"/>
                <w:i w:val="0"/>
                <w:iCs w:val="0"/>
                <w:color w:val="000000"/>
                <w:sz w:val="18"/>
                <w:szCs w:val="18"/>
                <w:u w:val="none"/>
              </w:rPr>
            </w:pPr>
          </w:p>
        </w:tc>
        <w:tc>
          <w:tcPr>
            <w:tcW w:w="675" w:type="dxa"/>
            <w:tcBorders>
              <w:top w:val="nil"/>
              <w:left w:val="nil"/>
              <w:bottom w:val="nil"/>
              <w:right w:val="nil"/>
            </w:tcBorders>
            <w:shd w:val="clear" w:color="auto" w:fill="FFFFFF"/>
            <w:vAlign w:val="center"/>
          </w:tcPr>
          <w:p w14:paraId="5B421441">
            <w:pPr>
              <w:jc w:val="center"/>
              <w:rPr>
                <w:rFonts w:hint="eastAsia" w:ascii="宋体" w:hAnsi="宋体" w:eastAsia="宋体" w:cs="宋体"/>
                <w:i w:val="0"/>
                <w:iCs w:val="0"/>
                <w:color w:val="000000"/>
                <w:sz w:val="18"/>
                <w:szCs w:val="18"/>
                <w:u w:val="none"/>
              </w:rPr>
            </w:pPr>
          </w:p>
        </w:tc>
        <w:tc>
          <w:tcPr>
            <w:tcW w:w="1065" w:type="dxa"/>
            <w:tcBorders>
              <w:top w:val="nil"/>
              <w:left w:val="nil"/>
              <w:bottom w:val="nil"/>
              <w:right w:val="nil"/>
            </w:tcBorders>
            <w:shd w:val="clear" w:color="auto" w:fill="FFFFFF"/>
            <w:vAlign w:val="center"/>
          </w:tcPr>
          <w:p w14:paraId="205B81E3">
            <w:pPr>
              <w:jc w:val="cente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FFFFFF"/>
            <w:vAlign w:val="center"/>
          </w:tcPr>
          <w:p w14:paraId="7B00501C">
            <w:pPr>
              <w:jc w:val="cente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FFFFFF"/>
            <w:vAlign w:val="center"/>
          </w:tcPr>
          <w:p w14:paraId="3D8730F9">
            <w:pPr>
              <w:jc w:val="cente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FFFFFF"/>
            <w:vAlign w:val="center"/>
          </w:tcPr>
          <w:p w14:paraId="3328DFB5">
            <w:pPr>
              <w:jc w:val="cente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FFFFFF"/>
            <w:vAlign w:val="center"/>
          </w:tcPr>
          <w:p w14:paraId="175D51AD">
            <w:pPr>
              <w:jc w:val="center"/>
              <w:rPr>
                <w:rFonts w:hint="eastAsia" w:ascii="宋体" w:hAnsi="宋体" w:eastAsia="宋体" w:cs="宋体"/>
                <w:i w:val="0"/>
                <w:iCs w:val="0"/>
                <w:color w:val="000000"/>
                <w:sz w:val="18"/>
                <w:szCs w:val="18"/>
                <w:u w:val="none"/>
              </w:rPr>
            </w:pPr>
          </w:p>
        </w:tc>
        <w:tc>
          <w:tcPr>
            <w:tcW w:w="1170" w:type="dxa"/>
            <w:tcBorders>
              <w:top w:val="nil"/>
              <w:left w:val="nil"/>
              <w:bottom w:val="nil"/>
              <w:right w:val="nil"/>
            </w:tcBorders>
            <w:shd w:val="clear" w:color="auto" w:fill="FFFFFF"/>
            <w:vAlign w:val="center"/>
          </w:tcPr>
          <w:p w14:paraId="75DA80EA">
            <w:pPr>
              <w:jc w:val="center"/>
              <w:rPr>
                <w:rFonts w:hint="eastAsia" w:ascii="宋体" w:hAnsi="宋体" w:eastAsia="宋体" w:cs="宋体"/>
                <w:i w:val="0"/>
                <w:iCs w:val="0"/>
                <w:color w:val="000000"/>
                <w:sz w:val="18"/>
                <w:szCs w:val="18"/>
                <w:u w:val="none"/>
              </w:rPr>
            </w:pPr>
          </w:p>
        </w:tc>
        <w:tc>
          <w:tcPr>
            <w:tcW w:w="1290" w:type="dxa"/>
            <w:tcBorders>
              <w:top w:val="nil"/>
              <w:left w:val="nil"/>
              <w:bottom w:val="nil"/>
              <w:right w:val="nil"/>
            </w:tcBorders>
            <w:shd w:val="clear" w:color="auto" w:fill="FFFFFF"/>
            <w:vAlign w:val="center"/>
          </w:tcPr>
          <w:p w14:paraId="2B5822BF">
            <w:pPr>
              <w:jc w:val="center"/>
              <w:rPr>
                <w:rFonts w:hint="eastAsia" w:ascii="宋体" w:hAnsi="宋体" w:eastAsia="宋体" w:cs="宋体"/>
                <w:i w:val="0"/>
                <w:iCs w:val="0"/>
                <w:color w:val="000000"/>
                <w:sz w:val="18"/>
                <w:szCs w:val="18"/>
                <w:u w:val="none"/>
              </w:rPr>
            </w:pPr>
          </w:p>
        </w:tc>
      </w:tr>
      <w:tr w14:paraId="69215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0" w:type="auto"/>
            <w:tcBorders>
              <w:top w:val="nil"/>
              <w:left w:val="nil"/>
              <w:bottom w:val="nil"/>
              <w:right w:val="nil"/>
            </w:tcBorders>
            <w:shd w:val="clear" w:color="auto" w:fill="auto"/>
            <w:noWrap/>
            <w:vAlign w:val="bottom"/>
          </w:tcPr>
          <w:p w14:paraId="20F58855">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9EEB4D7">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66904F7">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35C2842">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95122C5">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29CABA0">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FB5B584">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6F81455">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0AA328C">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D27E551">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D5FCE22">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44C460E">
            <w:pPr>
              <w:rPr>
                <w:rFonts w:hint="default" w:ascii="Arial" w:hAnsi="Arial" w:cs="Arial"/>
                <w:i w:val="0"/>
                <w:iCs w:val="0"/>
                <w:color w:val="000000"/>
                <w:sz w:val="20"/>
                <w:szCs w:val="20"/>
                <w:u w:val="none"/>
              </w:rPr>
            </w:pPr>
          </w:p>
        </w:tc>
      </w:tr>
      <w:tr w14:paraId="6D444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95" w:type="dxa"/>
            <w:gridSpan w:val="3"/>
            <w:tcBorders>
              <w:top w:val="nil"/>
              <w:left w:val="nil"/>
              <w:bottom w:val="nil"/>
              <w:right w:val="nil"/>
            </w:tcBorders>
            <w:shd w:val="clear" w:color="auto" w:fill="FFFFFF"/>
            <w:vAlign w:val="center"/>
          </w:tcPr>
          <w:p w14:paraId="1481B3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3105" w:type="dxa"/>
            <w:tcBorders>
              <w:top w:val="nil"/>
              <w:left w:val="nil"/>
              <w:bottom w:val="nil"/>
              <w:right w:val="nil"/>
            </w:tcBorders>
            <w:shd w:val="clear" w:color="auto" w:fill="FFFFFF"/>
            <w:vAlign w:val="bottom"/>
          </w:tcPr>
          <w:p w14:paraId="524ECD58">
            <w:pPr>
              <w:jc w:val="left"/>
              <w:rPr>
                <w:rFonts w:hint="eastAsia" w:ascii="宋体" w:hAnsi="宋体" w:eastAsia="宋体" w:cs="宋体"/>
                <w:i w:val="0"/>
                <w:iCs w:val="0"/>
                <w:color w:val="000000"/>
                <w:sz w:val="18"/>
                <w:szCs w:val="18"/>
                <w:u w:val="none"/>
              </w:rPr>
            </w:pPr>
          </w:p>
        </w:tc>
        <w:tc>
          <w:tcPr>
            <w:tcW w:w="675" w:type="dxa"/>
            <w:tcBorders>
              <w:top w:val="nil"/>
              <w:left w:val="nil"/>
              <w:bottom w:val="nil"/>
              <w:right w:val="nil"/>
            </w:tcBorders>
            <w:shd w:val="clear" w:color="auto" w:fill="FFFFFF"/>
            <w:vAlign w:val="bottom"/>
          </w:tcPr>
          <w:p w14:paraId="6A98B770">
            <w:pPr>
              <w:jc w:val="left"/>
              <w:rPr>
                <w:rFonts w:hint="eastAsia" w:ascii="宋体" w:hAnsi="宋体" w:eastAsia="宋体" w:cs="宋体"/>
                <w:i w:val="0"/>
                <w:iCs w:val="0"/>
                <w:color w:val="000000"/>
                <w:sz w:val="18"/>
                <w:szCs w:val="18"/>
                <w:u w:val="none"/>
              </w:rPr>
            </w:pPr>
          </w:p>
        </w:tc>
        <w:tc>
          <w:tcPr>
            <w:tcW w:w="1065" w:type="dxa"/>
            <w:tcBorders>
              <w:top w:val="nil"/>
              <w:left w:val="nil"/>
              <w:bottom w:val="nil"/>
              <w:right w:val="nil"/>
            </w:tcBorders>
            <w:shd w:val="clear" w:color="auto" w:fill="FFFFFF"/>
            <w:vAlign w:val="bottom"/>
          </w:tcPr>
          <w:p w14:paraId="207674DE">
            <w:pPr>
              <w:jc w:val="left"/>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FFFFFF"/>
            <w:vAlign w:val="bottom"/>
          </w:tcPr>
          <w:p w14:paraId="64BD3C5C">
            <w:pPr>
              <w:jc w:val="left"/>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FFFFFF"/>
            <w:vAlign w:val="bottom"/>
          </w:tcPr>
          <w:p w14:paraId="02A113E3">
            <w:pPr>
              <w:jc w:val="left"/>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FFFFFF"/>
            <w:vAlign w:val="bottom"/>
          </w:tcPr>
          <w:p w14:paraId="6F42D739">
            <w:pPr>
              <w:jc w:val="left"/>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FFFFFF"/>
            <w:vAlign w:val="bottom"/>
          </w:tcPr>
          <w:p w14:paraId="163A4CAD">
            <w:pPr>
              <w:jc w:val="left"/>
              <w:rPr>
                <w:rFonts w:hint="eastAsia" w:ascii="宋体" w:hAnsi="宋体" w:eastAsia="宋体" w:cs="宋体"/>
                <w:i w:val="0"/>
                <w:iCs w:val="0"/>
                <w:color w:val="000000"/>
                <w:sz w:val="18"/>
                <w:szCs w:val="18"/>
                <w:u w:val="none"/>
              </w:rPr>
            </w:pPr>
          </w:p>
        </w:tc>
        <w:tc>
          <w:tcPr>
            <w:tcW w:w="1170" w:type="dxa"/>
            <w:tcBorders>
              <w:top w:val="nil"/>
              <w:left w:val="nil"/>
              <w:bottom w:val="nil"/>
              <w:right w:val="nil"/>
            </w:tcBorders>
            <w:shd w:val="clear" w:color="auto" w:fill="FFFFFF"/>
            <w:vAlign w:val="bottom"/>
          </w:tcPr>
          <w:p w14:paraId="4E0B64FF">
            <w:pPr>
              <w:jc w:val="left"/>
              <w:rPr>
                <w:rFonts w:hint="eastAsia" w:ascii="宋体" w:hAnsi="宋体" w:eastAsia="宋体" w:cs="宋体"/>
                <w:i w:val="0"/>
                <w:iCs w:val="0"/>
                <w:color w:val="000000"/>
                <w:sz w:val="18"/>
                <w:szCs w:val="18"/>
                <w:u w:val="none"/>
              </w:rPr>
            </w:pPr>
          </w:p>
        </w:tc>
        <w:tc>
          <w:tcPr>
            <w:tcW w:w="1290" w:type="dxa"/>
            <w:tcBorders>
              <w:top w:val="nil"/>
              <w:left w:val="nil"/>
              <w:bottom w:val="nil"/>
              <w:right w:val="nil"/>
            </w:tcBorders>
            <w:shd w:val="clear" w:color="auto" w:fill="FFFFFF"/>
            <w:vAlign w:val="bottom"/>
          </w:tcPr>
          <w:p w14:paraId="30D1984A">
            <w:pPr>
              <w:jc w:val="left"/>
              <w:rPr>
                <w:rFonts w:hint="eastAsia" w:ascii="宋体" w:hAnsi="宋体" w:eastAsia="宋体" w:cs="宋体"/>
                <w:i w:val="0"/>
                <w:iCs w:val="0"/>
                <w:color w:val="000000"/>
                <w:sz w:val="18"/>
                <w:szCs w:val="18"/>
                <w:u w:val="none"/>
              </w:rPr>
            </w:pPr>
          </w:p>
        </w:tc>
      </w:tr>
      <w:tr w14:paraId="1F4E3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615" w:type="dxa"/>
            <w:gridSpan w:val="12"/>
            <w:tcBorders>
              <w:top w:val="nil"/>
              <w:left w:val="nil"/>
              <w:bottom w:val="nil"/>
              <w:right w:val="nil"/>
            </w:tcBorders>
            <w:shd w:val="clear" w:color="auto" w:fill="FFFFFF"/>
            <w:vAlign w:val="center"/>
          </w:tcPr>
          <w:p w14:paraId="5BF135D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7EDEC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940" w:type="dxa"/>
            <w:gridSpan w:val="6"/>
            <w:tcBorders>
              <w:top w:val="nil"/>
              <w:left w:val="nil"/>
              <w:bottom w:val="nil"/>
              <w:right w:val="nil"/>
            </w:tcBorders>
            <w:shd w:val="clear" w:color="auto" w:fill="FFFFFF"/>
            <w:vAlign w:val="bottom"/>
          </w:tcPr>
          <w:p w14:paraId="7644B45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单位(专业)工程名称:单项工程-市政保养工程</w:t>
            </w:r>
          </w:p>
        </w:tc>
        <w:tc>
          <w:tcPr>
            <w:tcW w:w="3120" w:type="dxa"/>
            <w:gridSpan w:val="3"/>
            <w:tcBorders>
              <w:top w:val="nil"/>
              <w:left w:val="nil"/>
              <w:bottom w:val="nil"/>
              <w:right w:val="nil"/>
            </w:tcBorders>
            <w:shd w:val="clear" w:color="auto" w:fill="FFFFFF"/>
            <w:vAlign w:val="bottom"/>
          </w:tcPr>
          <w:p w14:paraId="0503A66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3555" w:type="dxa"/>
            <w:gridSpan w:val="3"/>
            <w:tcBorders>
              <w:top w:val="nil"/>
              <w:left w:val="nil"/>
              <w:bottom w:val="nil"/>
              <w:right w:val="nil"/>
            </w:tcBorders>
            <w:shd w:val="clear" w:color="auto" w:fill="FFFFFF"/>
            <w:vAlign w:val="bottom"/>
          </w:tcPr>
          <w:p w14:paraId="21BAFA3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第3页 共3页</w:t>
            </w:r>
          </w:p>
        </w:tc>
      </w:tr>
      <w:tr w14:paraId="34780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vMerge w:val="restart"/>
            <w:tcBorders>
              <w:top w:val="single" w:color="000000" w:sz="4" w:space="0"/>
              <w:left w:val="single" w:color="000000" w:sz="4" w:space="0"/>
              <w:bottom w:val="nil"/>
              <w:right w:val="nil"/>
            </w:tcBorders>
            <w:shd w:val="clear" w:color="auto" w:fill="FFFFFF"/>
            <w:vAlign w:val="center"/>
          </w:tcPr>
          <w:p w14:paraId="2E09A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0" w:type="dxa"/>
            <w:vMerge w:val="restart"/>
            <w:tcBorders>
              <w:top w:val="single" w:color="000000" w:sz="4" w:space="0"/>
              <w:left w:val="single" w:color="000000" w:sz="4" w:space="0"/>
              <w:bottom w:val="nil"/>
              <w:right w:val="nil"/>
            </w:tcBorders>
            <w:shd w:val="clear" w:color="auto" w:fill="FFFFFF"/>
            <w:vAlign w:val="center"/>
          </w:tcPr>
          <w:p w14:paraId="532BD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205" w:type="dxa"/>
            <w:vMerge w:val="restart"/>
            <w:tcBorders>
              <w:top w:val="single" w:color="000000" w:sz="4" w:space="0"/>
              <w:left w:val="single" w:color="000000" w:sz="4" w:space="0"/>
              <w:bottom w:val="nil"/>
              <w:right w:val="nil"/>
            </w:tcBorders>
            <w:shd w:val="clear" w:color="auto" w:fill="FFFFFF"/>
            <w:vAlign w:val="center"/>
          </w:tcPr>
          <w:p w14:paraId="6E41F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105" w:type="dxa"/>
            <w:vMerge w:val="restart"/>
            <w:tcBorders>
              <w:top w:val="single" w:color="000000" w:sz="4" w:space="0"/>
              <w:left w:val="single" w:color="000000" w:sz="4" w:space="0"/>
              <w:bottom w:val="nil"/>
              <w:right w:val="nil"/>
            </w:tcBorders>
            <w:shd w:val="clear" w:color="auto" w:fill="FFFFFF"/>
            <w:vAlign w:val="center"/>
          </w:tcPr>
          <w:p w14:paraId="64608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75" w:type="dxa"/>
            <w:vMerge w:val="restart"/>
            <w:tcBorders>
              <w:top w:val="single" w:color="000000" w:sz="4" w:space="0"/>
              <w:left w:val="single" w:color="000000" w:sz="4" w:space="0"/>
              <w:bottom w:val="nil"/>
              <w:right w:val="nil"/>
            </w:tcBorders>
            <w:shd w:val="clear" w:color="auto" w:fill="FFFFFF"/>
            <w:vAlign w:val="center"/>
          </w:tcPr>
          <w:p w14:paraId="68A7B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065" w:type="dxa"/>
            <w:vMerge w:val="restart"/>
            <w:tcBorders>
              <w:top w:val="single" w:color="000000" w:sz="4" w:space="0"/>
              <w:left w:val="single" w:color="000000" w:sz="4" w:space="0"/>
              <w:bottom w:val="nil"/>
              <w:right w:val="nil"/>
            </w:tcBorders>
            <w:shd w:val="clear" w:color="auto" w:fill="FFFFFF"/>
            <w:vAlign w:val="center"/>
          </w:tcPr>
          <w:p w14:paraId="0CA769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385" w:type="dxa"/>
            <w:gridSpan w:val="5"/>
            <w:tcBorders>
              <w:top w:val="single" w:color="000000" w:sz="4" w:space="0"/>
              <w:left w:val="single" w:color="000000" w:sz="4" w:space="0"/>
              <w:bottom w:val="nil"/>
              <w:right w:val="nil"/>
            </w:tcBorders>
            <w:shd w:val="clear" w:color="auto" w:fill="FFFFFF"/>
            <w:vAlign w:val="center"/>
          </w:tcPr>
          <w:p w14:paraId="10923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1290" w:type="dxa"/>
            <w:vMerge w:val="restart"/>
            <w:tcBorders>
              <w:top w:val="single" w:color="000000" w:sz="4" w:space="0"/>
              <w:left w:val="single" w:color="000000" w:sz="4" w:space="0"/>
              <w:bottom w:val="nil"/>
              <w:right w:val="single" w:color="000000" w:sz="4" w:space="0"/>
            </w:tcBorders>
            <w:shd w:val="clear" w:color="auto" w:fill="FFFFFF"/>
            <w:vAlign w:val="center"/>
          </w:tcPr>
          <w:p w14:paraId="59617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7481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vMerge w:val="continue"/>
            <w:tcBorders>
              <w:top w:val="single" w:color="000000" w:sz="4" w:space="0"/>
              <w:left w:val="single" w:color="000000" w:sz="4" w:space="0"/>
              <w:bottom w:val="nil"/>
              <w:right w:val="nil"/>
            </w:tcBorders>
            <w:shd w:val="clear" w:color="auto" w:fill="FFFFFF"/>
            <w:vAlign w:val="center"/>
          </w:tcPr>
          <w:p w14:paraId="790ABEFE">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nil"/>
              <w:right w:val="nil"/>
            </w:tcBorders>
            <w:shd w:val="clear" w:color="auto" w:fill="FFFFFF"/>
            <w:vAlign w:val="center"/>
          </w:tcPr>
          <w:p w14:paraId="3AAAB3DE">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nil"/>
              <w:right w:val="nil"/>
            </w:tcBorders>
            <w:shd w:val="clear" w:color="auto" w:fill="FFFFFF"/>
            <w:vAlign w:val="center"/>
          </w:tcPr>
          <w:p w14:paraId="74AA99E7">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nil"/>
              <w:right w:val="nil"/>
            </w:tcBorders>
            <w:shd w:val="clear" w:color="auto" w:fill="FFFFFF"/>
            <w:vAlign w:val="center"/>
          </w:tcPr>
          <w:p w14:paraId="75503A00">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nil"/>
              <w:right w:val="nil"/>
            </w:tcBorders>
            <w:shd w:val="clear" w:color="auto" w:fill="FFFFFF"/>
            <w:vAlign w:val="center"/>
          </w:tcPr>
          <w:p w14:paraId="0D11BEC9">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nil"/>
              <w:right w:val="nil"/>
            </w:tcBorders>
            <w:shd w:val="clear" w:color="auto" w:fill="FFFFFF"/>
            <w:vAlign w:val="center"/>
          </w:tcPr>
          <w:p w14:paraId="2C301913">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nil"/>
              <w:right w:val="nil"/>
            </w:tcBorders>
            <w:shd w:val="clear" w:color="auto" w:fill="FFFFFF"/>
            <w:vAlign w:val="center"/>
          </w:tcPr>
          <w:p w14:paraId="74A12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035" w:type="dxa"/>
            <w:vMerge w:val="restart"/>
            <w:tcBorders>
              <w:top w:val="single" w:color="000000" w:sz="4" w:space="0"/>
              <w:left w:val="single" w:color="000000" w:sz="4" w:space="0"/>
              <w:bottom w:val="nil"/>
              <w:right w:val="nil"/>
            </w:tcBorders>
            <w:shd w:val="clear" w:color="auto" w:fill="FFFFFF"/>
            <w:vAlign w:val="center"/>
          </w:tcPr>
          <w:p w14:paraId="1910E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270" w:type="dxa"/>
            <w:gridSpan w:val="3"/>
            <w:tcBorders>
              <w:top w:val="single" w:color="000000" w:sz="4" w:space="0"/>
              <w:left w:val="single" w:color="000000" w:sz="4" w:space="0"/>
              <w:bottom w:val="nil"/>
              <w:right w:val="single" w:color="000000" w:sz="4" w:space="0"/>
            </w:tcBorders>
            <w:shd w:val="clear" w:color="auto" w:fill="FFFFFF"/>
            <w:vAlign w:val="center"/>
          </w:tcPr>
          <w:p w14:paraId="23C1E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1290" w:type="dxa"/>
            <w:vMerge w:val="continue"/>
            <w:tcBorders>
              <w:top w:val="single" w:color="000000" w:sz="4" w:space="0"/>
              <w:left w:val="single" w:color="000000" w:sz="4" w:space="0"/>
              <w:bottom w:val="nil"/>
              <w:right w:val="single" w:color="000000" w:sz="4" w:space="0"/>
            </w:tcBorders>
            <w:shd w:val="clear" w:color="auto" w:fill="FFFFFF"/>
            <w:vAlign w:val="center"/>
          </w:tcPr>
          <w:p w14:paraId="0474421E">
            <w:pPr>
              <w:jc w:val="center"/>
              <w:rPr>
                <w:rFonts w:hint="eastAsia" w:ascii="宋体" w:hAnsi="宋体" w:eastAsia="宋体" w:cs="宋体"/>
                <w:i w:val="0"/>
                <w:iCs w:val="0"/>
                <w:color w:val="000000"/>
                <w:sz w:val="18"/>
                <w:szCs w:val="18"/>
                <w:u w:val="none"/>
              </w:rPr>
            </w:pPr>
          </w:p>
        </w:tc>
      </w:tr>
      <w:tr w14:paraId="5B33F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vMerge w:val="continue"/>
            <w:tcBorders>
              <w:top w:val="single" w:color="000000" w:sz="4" w:space="0"/>
              <w:left w:val="single" w:color="000000" w:sz="4" w:space="0"/>
              <w:bottom w:val="nil"/>
              <w:right w:val="nil"/>
            </w:tcBorders>
            <w:shd w:val="clear" w:color="auto" w:fill="FFFFFF"/>
            <w:vAlign w:val="center"/>
          </w:tcPr>
          <w:p w14:paraId="7A3B9A38">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nil"/>
              <w:right w:val="nil"/>
            </w:tcBorders>
            <w:shd w:val="clear" w:color="auto" w:fill="FFFFFF"/>
            <w:vAlign w:val="center"/>
          </w:tcPr>
          <w:p w14:paraId="28125BDC">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nil"/>
              <w:right w:val="nil"/>
            </w:tcBorders>
            <w:shd w:val="clear" w:color="auto" w:fill="FFFFFF"/>
            <w:vAlign w:val="center"/>
          </w:tcPr>
          <w:p w14:paraId="05219CD8">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nil"/>
              <w:right w:val="nil"/>
            </w:tcBorders>
            <w:shd w:val="clear" w:color="auto" w:fill="FFFFFF"/>
            <w:vAlign w:val="center"/>
          </w:tcPr>
          <w:p w14:paraId="2A5CFCD5">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nil"/>
              <w:right w:val="nil"/>
            </w:tcBorders>
            <w:shd w:val="clear" w:color="auto" w:fill="FFFFFF"/>
            <w:vAlign w:val="center"/>
          </w:tcPr>
          <w:p w14:paraId="406067EA">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nil"/>
              <w:right w:val="nil"/>
            </w:tcBorders>
            <w:shd w:val="clear" w:color="auto" w:fill="FFFFFF"/>
            <w:vAlign w:val="center"/>
          </w:tcPr>
          <w:p w14:paraId="04CC9A0A">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nil"/>
              <w:right w:val="nil"/>
            </w:tcBorders>
            <w:shd w:val="clear" w:color="auto" w:fill="FFFFFF"/>
            <w:vAlign w:val="center"/>
          </w:tcPr>
          <w:p w14:paraId="51C9A6FC">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nil"/>
              <w:right w:val="nil"/>
            </w:tcBorders>
            <w:shd w:val="clear" w:color="auto" w:fill="FFFFFF"/>
            <w:vAlign w:val="center"/>
          </w:tcPr>
          <w:p w14:paraId="32880A03">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09B73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1095" w:type="dxa"/>
            <w:tcBorders>
              <w:top w:val="single" w:color="000000" w:sz="4" w:space="0"/>
              <w:left w:val="single" w:color="000000" w:sz="4" w:space="0"/>
              <w:bottom w:val="nil"/>
              <w:right w:val="nil"/>
            </w:tcBorders>
            <w:shd w:val="clear" w:color="auto" w:fill="FFFFFF"/>
            <w:vAlign w:val="center"/>
          </w:tcPr>
          <w:p w14:paraId="719DF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1170" w:type="dxa"/>
            <w:tcBorders>
              <w:top w:val="single" w:color="000000" w:sz="4" w:space="0"/>
              <w:left w:val="single" w:color="000000" w:sz="4" w:space="0"/>
              <w:bottom w:val="nil"/>
              <w:right w:val="single" w:color="000000" w:sz="4" w:space="0"/>
            </w:tcBorders>
            <w:shd w:val="clear" w:color="auto" w:fill="FFFFFF"/>
            <w:vAlign w:val="center"/>
          </w:tcPr>
          <w:p w14:paraId="5684A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1290" w:type="dxa"/>
            <w:vMerge w:val="continue"/>
            <w:tcBorders>
              <w:top w:val="single" w:color="000000" w:sz="4" w:space="0"/>
              <w:left w:val="single" w:color="000000" w:sz="4" w:space="0"/>
              <w:bottom w:val="nil"/>
              <w:right w:val="single" w:color="000000" w:sz="4" w:space="0"/>
            </w:tcBorders>
            <w:shd w:val="clear" w:color="auto" w:fill="FFFFFF"/>
            <w:vAlign w:val="center"/>
          </w:tcPr>
          <w:p w14:paraId="74433275">
            <w:pPr>
              <w:jc w:val="center"/>
              <w:rPr>
                <w:rFonts w:hint="eastAsia" w:ascii="宋体" w:hAnsi="宋体" w:eastAsia="宋体" w:cs="宋体"/>
                <w:i w:val="0"/>
                <w:iCs w:val="0"/>
                <w:color w:val="000000"/>
                <w:sz w:val="18"/>
                <w:szCs w:val="18"/>
                <w:u w:val="none"/>
              </w:rPr>
            </w:pPr>
          </w:p>
        </w:tc>
      </w:tr>
      <w:tr w14:paraId="4E23F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5" w:hRule="atLeast"/>
        </w:trPr>
        <w:tc>
          <w:tcPr>
            <w:tcW w:w="600" w:type="dxa"/>
            <w:tcBorders>
              <w:top w:val="single" w:color="000000" w:sz="4" w:space="0"/>
              <w:left w:val="single" w:color="000000" w:sz="4" w:space="0"/>
              <w:bottom w:val="nil"/>
              <w:right w:val="nil"/>
            </w:tcBorders>
            <w:shd w:val="clear" w:color="auto" w:fill="FFFFFF"/>
            <w:vAlign w:val="center"/>
          </w:tcPr>
          <w:p w14:paraId="4F84F0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0" w:type="dxa"/>
            <w:tcBorders>
              <w:top w:val="single" w:color="000000" w:sz="4" w:space="0"/>
              <w:left w:val="single" w:color="000000" w:sz="4" w:space="0"/>
              <w:bottom w:val="nil"/>
              <w:right w:val="nil"/>
            </w:tcBorders>
            <w:shd w:val="clear" w:color="auto" w:fill="FFFFFF"/>
            <w:vAlign w:val="center"/>
          </w:tcPr>
          <w:p w14:paraId="417ACB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04B005</w:t>
            </w:r>
          </w:p>
        </w:tc>
        <w:tc>
          <w:tcPr>
            <w:tcW w:w="2205" w:type="dxa"/>
            <w:tcBorders>
              <w:top w:val="single" w:color="000000" w:sz="4" w:space="0"/>
              <w:left w:val="single" w:color="000000" w:sz="4" w:space="0"/>
              <w:bottom w:val="nil"/>
              <w:right w:val="nil"/>
            </w:tcBorders>
            <w:shd w:val="clear" w:color="auto" w:fill="FFFFFF"/>
            <w:vAlign w:val="center"/>
          </w:tcPr>
          <w:p w14:paraId="0072F3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隔音屏及声屏障保养</w:t>
            </w:r>
          </w:p>
        </w:tc>
        <w:tc>
          <w:tcPr>
            <w:tcW w:w="3105" w:type="dxa"/>
            <w:tcBorders>
              <w:top w:val="single" w:color="000000" w:sz="4" w:space="0"/>
              <w:left w:val="single" w:color="000000" w:sz="4" w:space="0"/>
              <w:bottom w:val="nil"/>
              <w:right w:val="nil"/>
            </w:tcBorders>
            <w:shd w:val="clear" w:color="auto" w:fill="FFFFFF"/>
            <w:vAlign w:val="center"/>
          </w:tcPr>
          <w:p w14:paraId="2DAF91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按技术规程、规范进行日常保养：每半年对整体安装结构、地脚连接构件和相连接构结构进行一次检查。日常维修：表面除锈处理，涂料破损修补。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高度范围为1.0~2.8米，长度总计9814.62米</w:t>
            </w:r>
          </w:p>
        </w:tc>
        <w:tc>
          <w:tcPr>
            <w:tcW w:w="675" w:type="dxa"/>
            <w:tcBorders>
              <w:top w:val="single" w:color="000000" w:sz="4" w:space="0"/>
              <w:left w:val="single" w:color="000000" w:sz="4" w:space="0"/>
              <w:bottom w:val="nil"/>
              <w:right w:val="nil"/>
            </w:tcBorders>
            <w:shd w:val="clear" w:color="auto" w:fill="FFFFFF"/>
            <w:vAlign w:val="center"/>
          </w:tcPr>
          <w:p w14:paraId="3DE80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4E8C9F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9814.62</w:t>
            </w:r>
          </w:p>
        </w:tc>
        <w:tc>
          <w:tcPr>
            <w:tcW w:w="1080" w:type="dxa"/>
            <w:tcBorders>
              <w:top w:val="single" w:color="000000" w:sz="4" w:space="0"/>
              <w:left w:val="single" w:color="000000" w:sz="4" w:space="0"/>
              <w:bottom w:val="nil"/>
              <w:right w:val="nil"/>
            </w:tcBorders>
            <w:shd w:val="clear" w:color="auto" w:fill="FFFFFF"/>
            <w:vAlign w:val="center"/>
          </w:tcPr>
          <w:p w14:paraId="12BF9B3D">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1A5AE628">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51D41EB5">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1022E848">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6E6F3E2D">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CA3DFF8">
            <w:pPr>
              <w:jc w:val="left"/>
              <w:rPr>
                <w:rFonts w:hint="eastAsia" w:ascii="宋体" w:hAnsi="宋体" w:eastAsia="宋体" w:cs="宋体"/>
                <w:i w:val="0"/>
                <w:iCs w:val="0"/>
                <w:color w:val="000000"/>
                <w:sz w:val="18"/>
                <w:szCs w:val="18"/>
                <w:u w:val="none"/>
              </w:rPr>
            </w:pPr>
          </w:p>
        </w:tc>
      </w:tr>
      <w:tr w14:paraId="56BAE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nil"/>
              <w:right w:val="nil"/>
            </w:tcBorders>
            <w:shd w:val="clear" w:color="auto" w:fill="FFFFFF"/>
            <w:vAlign w:val="center"/>
          </w:tcPr>
          <w:p w14:paraId="6DE3F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0" w:type="dxa"/>
            <w:tcBorders>
              <w:top w:val="single" w:color="000000" w:sz="4" w:space="0"/>
              <w:left w:val="single" w:color="000000" w:sz="4" w:space="0"/>
              <w:bottom w:val="nil"/>
              <w:right w:val="nil"/>
            </w:tcBorders>
            <w:shd w:val="clear" w:color="auto" w:fill="FFFFFF"/>
            <w:vAlign w:val="center"/>
          </w:tcPr>
          <w:p w14:paraId="5F5AF9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04B006</w:t>
            </w:r>
          </w:p>
        </w:tc>
        <w:tc>
          <w:tcPr>
            <w:tcW w:w="2205" w:type="dxa"/>
            <w:tcBorders>
              <w:top w:val="single" w:color="000000" w:sz="4" w:space="0"/>
              <w:left w:val="single" w:color="000000" w:sz="4" w:space="0"/>
              <w:bottom w:val="nil"/>
              <w:right w:val="nil"/>
            </w:tcBorders>
            <w:shd w:val="clear" w:color="auto" w:fill="FFFFFF"/>
            <w:vAlign w:val="center"/>
          </w:tcPr>
          <w:p w14:paraId="7501D4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主道排水系统保养</w:t>
            </w:r>
          </w:p>
        </w:tc>
        <w:tc>
          <w:tcPr>
            <w:tcW w:w="3105" w:type="dxa"/>
            <w:tcBorders>
              <w:top w:val="single" w:color="000000" w:sz="4" w:space="0"/>
              <w:left w:val="single" w:color="000000" w:sz="4" w:space="0"/>
              <w:bottom w:val="nil"/>
              <w:right w:val="nil"/>
            </w:tcBorders>
            <w:shd w:val="clear" w:color="auto" w:fill="FFFFFF"/>
            <w:vAlign w:val="center"/>
          </w:tcPr>
          <w:p w14:paraId="018C95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清淤、疏通一月一次，保持沟内清洁，排水管调换。工作内容包括：拆除原排水管，疏通管道，放样，打眼钻孔，安装PVC管，接口涂胶封口等。</w:t>
            </w:r>
          </w:p>
        </w:tc>
        <w:tc>
          <w:tcPr>
            <w:tcW w:w="675" w:type="dxa"/>
            <w:tcBorders>
              <w:top w:val="single" w:color="000000" w:sz="4" w:space="0"/>
              <w:left w:val="single" w:color="000000" w:sz="4" w:space="0"/>
              <w:bottom w:val="nil"/>
              <w:right w:val="nil"/>
            </w:tcBorders>
            <w:shd w:val="clear" w:color="auto" w:fill="FFFFFF"/>
            <w:vAlign w:val="center"/>
          </w:tcPr>
          <w:p w14:paraId="45F30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48DF4B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396217.68</w:t>
            </w:r>
          </w:p>
        </w:tc>
        <w:tc>
          <w:tcPr>
            <w:tcW w:w="1080" w:type="dxa"/>
            <w:tcBorders>
              <w:top w:val="single" w:color="000000" w:sz="4" w:space="0"/>
              <w:left w:val="single" w:color="000000" w:sz="4" w:space="0"/>
              <w:bottom w:val="nil"/>
              <w:right w:val="nil"/>
            </w:tcBorders>
            <w:shd w:val="clear" w:color="auto" w:fill="FFFFFF"/>
            <w:vAlign w:val="center"/>
          </w:tcPr>
          <w:p w14:paraId="032B0EBB">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21604823">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6A234D6F">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402F02D2">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47975952">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BCFA09F">
            <w:pPr>
              <w:jc w:val="left"/>
              <w:rPr>
                <w:rFonts w:hint="eastAsia" w:ascii="宋体" w:hAnsi="宋体" w:eastAsia="宋体" w:cs="宋体"/>
                <w:i w:val="0"/>
                <w:iCs w:val="0"/>
                <w:color w:val="000000"/>
                <w:sz w:val="18"/>
                <w:szCs w:val="18"/>
                <w:u w:val="none"/>
              </w:rPr>
            </w:pPr>
          </w:p>
        </w:tc>
      </w:tr>
      <w:tr w14:paraId="16826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nil"/>
              <w:right w:val="nil"/>
            </w:tcBorders>
            <w:shd w:val="clear" w:color="auto" w:fill="FFFFFF"/>
            <w:vAlign w:val="center"/>
          </w:tcPr>
          <w:p w14:paraId="76929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0" w:type="dxa"/>
            <w:tcBorders>
              <w:top w:val="single" w:color="000000" w:sz="4" w:space="0"/>
              <w:left w:val="single" w:color="000000" w:sz="4" w:space="0"/>
              <w:bottom w:val="nil"/>
              <w:right w:val="nil"/>
            </w:tcBorders>
            <w:shd w:val="clear" w:color="auto" w:fill="FFFFFF"/>
            <w:vAlign w:val="center"/>
          </w:tcPr>
          <w:p w14:paraId="160407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04B007</w:t>
            </w:r>
          </w:p>
        </w:tc>
        <w:tc>
          <w:tcPr>
            <w:tcW w:w="2205" w:type="dxa"/>
            <w:tcBorders>
              <w:top w:val="single" w:color="000000" w:sz="4" w:space="0"/>
              <w:left w:val="single" w:color="000000" w:sz="4" w:space="0"/>
              <w:bottom w:val="nil"/>
              <w:right w:val="nil"/>
            </w:tcBorders>
            <w:shd w:val="clear" w:color="auto" w:fill="FFFFFF"/>
            <w:vAlign w:val="center"/>
          </w:tcPr>
          <w:p w14:paraId="503E0A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桥梁检测</w:t>
            </w:r>
          </w:p>
        </w:tc>
        <w:tc>
          <w:tcPr>
            <w:tcW w:w="3105" w:type="dxa"/>
            <w:tcBorders>
              <w:top w:val="single" w:color="000000" w:sz="4" w:space="0"/>
              <w:left w:val="single" w:color="000000" w:sz="4" w:space="0"/>
              <w:bottom w:val="nil"/>
              <w:right w:val="nil"/>
            </w:tcBorders>
            <w:shd w:val="clear" w:color="auto" w:fill="FFFFFF"/>
            <w:vAlign w:val="center"/>
          </w:tcPr>
          <w:p w14:paraId="1BB4B1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根据《城市桥梁养护技术标准》，对范围内设施进行1次定期检测。高架主道桥检测范围包含附属匝道桥。并按照《浙江省城市桥梁隧道安全风险防范技术导则》要求进行安全风险评估。</w:t>
            </w:r>
          </w:p>
        </w:tc>
        <w:tc>
          <w:tcPr>
            <w:tcW w:w="675" w:type="dxa"/>
            <w:tcBorders>
              <w:top w:val="single" w:color="000000" w:sz="4" w:space="0"/>
              <w:left w:val="single" w:color="000000" w:sz="4" w:space="0"/>
              <w:bottom w:val="nil"/>
              <w:right w:val="nil"/>
            </w:tcBorders>
            <w:shd w:val="clear" w:color="auto" w:fill="FFFFFF"/>
            <w:vAlign w:val="center"/>
          </w:tcPr>
          <w:p w14:paraId="5B06A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5" w:type="dxa"/>
            <w:tcBorders>
              <w:top w:val="single" w:color="000000" w:sz="4" w:space="0"/>
              <w:left w:val="single" w:color="000000" w:sz="4" w:space="0"/>
              <w:bottom w:val="nil"/>
              <w:right w:val="nil"/>
            </w:tcBorders>
            <w:shd w:val="clear" w:color="auto" w:fill="FFFFFF"/>
            <w:vAlign w:val="center"/>
          </w:tcPr>
          <w:p w14:paraId="6D5E56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nil"/>
              <w:right w:val="nil"/>
            </w:tcBorders>
            <w:shd w:val="clear" w:color="auto" w:fill="FFFFFF"/>
            <w:vAlign w:val="center"/>
          </w:tcPr>
          <w:p w14:paraId="7740A670">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73FEFEB6">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23363093">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4C791083">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7D2C844A">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8F283EC">
            <w:pPr>
              <w:jc w:val="left"/>
              <w:rPr>
                <w:rFonts w:hint="eastAsia" w:ascii="宋体" w:hAnsi="宋体" w:eastAsia="宋体" w:cs="宋体"/>
                <w:i w:val="0"/>
                <w:iCs w:val="0"/>
                <w:color w:val="000000"/>
                <w:sz w:val="18"/>
                <w:szCs w:val="18"/>
                <w:u w:val="none"/>
              </w:rPr>
            </w:pPr>
          </w:p>
        </w:tc>
      </w:tr>
      <w:tr w14:paraId="5F4AC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28250FB0">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nil"/>
            </w:tcBorders>
            <w:shd w:val="clear" w:color="auto" w:fill="FFFFFF"/>
            <w:vAlign w:val="center"/>
          </w:tcPr>
          <w:p w14:paraId="7AF433B8">
            <w:pPr>
              <w:jc w:val="left"/>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354FDF21">
            <w:pPr>
              <w:jc w:val="left"/>
              <w:rPr>
                <w:rFonts w:hint="eastAsia" w:ascii="宋体" w:hAnsi="宋体" w:eastAsia="宋体" w:cs="宋体"/>
                <w:i w:val="0"/>
                <w:iCs w:val="0"/>
                <w:color w:val="000000"/>
                <w:sz w:val="18"/>
                <w:szCs w:val="18"/>
                <w:u w:val="none"/>
              </w:rPr>
            </w:pPr>
          </w:p>
        </w:tc>
        <w:tc>
          <w:tcPr>
            <w:tcW w:w="3105" w:type="dxa"/>
            <w:tcBorders>
              <w:top w:val="single" w:color="000000" w:sz="4" w:space="0"/>
              <w:left w:val="single" w:color="000000" w:sz="4" w:space="0"/>
              <w:bottom w:val="nil"/>
              <w:right w:val="nil"/>
            </w:tcBorders>
            <w:shd w:val="clear" w:color="auto" w:fill="FFFFFF"/>
            <w:vAlign w:val="center"/>
          </w:tcPr>
          <w:p w14:paraId="3B92961D">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47064DAB">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0CA2401A">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nil"/>
              <w:right w:val="nil"/>
            </w:tcBorders>
            <w:shd w:val="clear" w:color="auto" w:fill="FFFFFF"/>
            <w:vAlign w:val="center"/>
          </w:tcPr>
          <w:p w14:paraId="31E4E6E7">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3F0FFAF1">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671DE71D">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5CD8ADF7">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49500A97">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6AAB549">
            <w:pPr>
              <w:jc w:val="left"/>
              <w:rPr>
                <w:rFonts w:hint="eastAsia" w:ascii="宋体" w:hAnsi="宋体" w:eastAsia="宋体" w:cs="宋体"/>
                <w:i w:val="0"/>
                <w:iCs w:val="0"/>
                <w:color w:val="000000"/>
                <w:sz w:val="18"/>
                <w:szCs w:val="18"/>
                <w:u w:val="none"/>
              </w:rPr>
            </w:pPr>
          </w:p>
        </w:tc>
      </w:tr>
      <w:tr w14:paraId="169C5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3B35ECE8">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nil"/>
            </w:tcBorders>
            <w:shd w:val="clear" w:color="auto" w:fill="FFFFFF"/>
            <w:vAlign w:val="center"/>
          </w:tcPr>
          <w:p w14:paraId="29B22178">
            <w:pPr>
              <w:jc w:val="left"/>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581CF9B2">
            <w:pPr>
              <w:jc w:val="left"/>
              <w:rPr>
                <w:rFonts w:hint="eastAsia" w:ascii="宋体" w:hAnsi="宋体" w:eastAsia="宋体" w:cs="宋体"/>
                <w:i w:val="0"/>
                <w:iCs w:val="0"/>
                <w:color w:val="000000"/>
                <w:sz w:val="18"/>
                <w:szCs w:val="18"/>
                <w:u w:val="none"/>
              </w:rPr>
            </w:pPr>
          </w:p>
        </w:tc>
        <w:tc>
          <w:tcPr>
            <w:tcW w:w="3105" w:type="dxa"/>
            <w:tcBorders>
              <w:top w:val="single" w:color="000000" w:sz="4" w:space="0"/>
              <w:left w:val="single" w:color="000000" w:sz="4" w:space="0"/>
              <w:bottom w:val="nil"/>
              <w:right w:val="nil"/>
            </w:tcBorders>
            <w:shd w:val="clear" w:color="auto" w:fill="FFFFFF"/>
            <w:vAlign w:val="center"/>
          </w:tcPr>
          <w:p w14:paraId="51D1D7EA">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00DE877A">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276BD7ED">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nil"/>
              <w:right w:val="nil"/>
            </w:tcBorders>
            <w:shd w:val="clear" w:color="auto" w:fill="FFFFFF"/>
            <w:vAlign w:val="center"/>
          </w:tcPr>
          <w:p w14:paraId="42E36028">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3B75C30D">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7BC7F476">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6BDB3F5C">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157B0000">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493B73F">
            <w:pPr>
              <w:jc w:val="left"/>
              <w:rPr>
                <w:rFonts w:hint="eastAsia" w:ascii="宋体" w:hAnsi="宋体" w:eastAsia="宋体" w:cs="宋体"/>
                <w:i w:val="0"/>
                <w:iCs w:val="0"/>
                <w:color w:val="000000"/>
                <w:sz w:val="18"/>
                <w:szCs w:val="18"/>
                <w:u w:val="none"/>
              </w:rPr>
            </w:pPr>
          </w:p>
        </w:tc>
      </w:tr>
      <w:tr w14:paraId="6262F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78AFCFD0">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nil"/>
            </w:tcBorders>
            <w:shd w:val="clear" w:color="auto" w:fill="FFFFFF"/>
            <w:vAlign w:val="center"/>
          </w:tcPr>
          <w:p w14:paraId="7AC2ED4C">
            <w:pPr>
              <w:jc w:val="left"/>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22070A1B">
            <w:pPr>
              <w:jc w:val="left"/>
              <w:rPr>
                <w:rFonts w:hint="eastAsia" w:ascii="宋体" w:hAnsi="宋体" w:eastAsia="宋体" w:cs="宋体"/>
                <w:i w:val="0"/>
                <w:iCs w:val="0"/>
                <w:color w:val="000000"/>
                <w:sz w:val="18"/>
                <w:szCs w:val="18"/>
                <w:u w:val="none"/>
              </w:rPr>
            </w:pPr>
          </w:p>
        </w:tc>
        <w:tc>
          <w:tcPr>
            <w:tcW w:w="3105" w:type="dxa"/>
            <w:tcBorders>
              <w:top w:val="single" w:color="000000" w:sz="4" w:space="0"/>
              <w:left w:val="single" w:color="000000" w:sz="4" w:space="0"/>
              <w:bottom w:val="nil"/>
              <w:right w:val="nil"/>
            </w:tcBorders>
            <w:shd w:val="clear" w:color="auto" w:fill="FFFFFF"/>
            <w:vAlign w:val="center"/>
          </w:tcPr>
          <w:p w14:paraId="429B98F5">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51EFF422">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7D578B12">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nil"/>
              <w:right w:val="nil"/>
            </w:tcBorders>
            <w:shd w:val="clear" w:color="auto" w:fill="FFFFFF"/>
            <w:vAlign w:val="center"/>
          </w:tcPr>
          <w:p w14:paraId="212C92C9">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1F83CDA6">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2861CE51">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73CBE3C7">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5A0A3FF1">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99D6F2B">
            <w:pPr>
              <w:jc w:val="left"/>
              <w:rPr>
                <w:rFonts w:hint="eastAsia" w:ascii="宋体" w:hAnsi="宋体" w:eastAsia="宋体" w:cs="宋体"/>
                <w:i w:val="0"/>
                <w:iCs w:val="0"/>
                <w:color w:val="000000"/>
                <w:sz w:val="18"/>
                <w:szCs w:val="18"/>
                <w:u w:val="none"/>
              </w:rPr>
            </w:pPr>
          </w:p>
        </w:tc>
      </w:tr>
      <w:tr w14:paraId="79F13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76207FDB">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nil"/>
            </w:tcBorders>
            <w:shd w:val="clear" w:color="auto" w:fill="FFFFFF"/>
            <w:vAlign w:val="center"/>
          </w:tcPr>
          <w:p w14:paraId="7B3234FC">
            <w:pPr>
              <w:jc w:val="left"/>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7E35E897">
            <w:pPr>
              <w:jc w:val="left"/>
              <w:rPr>
                <w:rFonts w:hint="eastAsia" w:ascii="宋体" w:hAnsi="宋体" w:eastAsia="宋体" w:cs="宋体"/>
                <w:i w:val="0"/>
                <w:iCs w:val="0"/>
                <w:color w:val="000000"/>
                <w:sz w:val="18"/>
                <w:szCs w:val="18"/>
                <w:u w:val="none"/>
              </w:rPr>
            </w:pPr>
          </w:p>
        </w:tc>
        <w:tc>
          <w:tcPr>
            <w:tcW w:w="3105" w:type="dxa"/>
            <w:tcBorders>
              <w:top w:val="single" w:color="000000" w:sz="4" w:space="0"/>
              <w:left w:val="single" w:color="000000" w:sz="4" w:space="0"/>
              <w:bottom w:val="nil"/>
              <w:right w:val="nil"/>
            </w:tcBorders>
            <w:shd w:val="clear" w:color="auto" w:fill="FFFFFF"/>
            <w:vAlign w:val="center"/>
          </w:tcPr>
          <w:p w14:paraId="225CD118">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571E0806">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0B90664D">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nil"/>
              <w:right w:val="nil"/>
            </w:tcBorders>
            <w:shd w:val="clear" w:color="auto" w:fill="FFFFFF"/>
            <w:vAlign w:val="center"/>
          </w:tcPr>
          <w:p w14:paraId="5B3435DE">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4B6A9841">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47546E8F">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62AA1C09">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1982397E">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B455C86">
            <w:pPr>
              <w:jc w:val="left"/>
              <w:rPr>
                <w:rFonts w:hint="eastAsia" w:ascii="宋体" w:hAnsi="宋体" w:eastAsia="宋体" w:cs="宋体"/>
                <w:i w:val="0"/>
                <w:iCs w:val="0"/>
                <w:color w:val="000000"/>
                <w:sz w:val="18"/>
                <w:szCs w:val="18"/>
                <w:u w:val="none"/>
              </w:rPr>
            </w:pPr>
          </w:p>
        </w:tc>
      </w:tr>
      <w:tr w14:paraId="6AE27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20" w:type="dxa"/>
            <w:gridSpan w:val="7"/>
            <w:tcBorders>
              <w:top w:val="single" w:color="000000" w:sz="4" w:space="0"/>
              <w:left w:val="single" w:color="000000" w:sz="4" w:space="0"/>
              <w:bottom w:val="nil"/>
              <w:right w:val="nil"/>
            </w:tcBorders>
            <w:shd w:val="clear" w:color="auto" w:fill="FFFFFF"/>
            <w:vAlign w:val="center"/>
          </w:tcPr>
          <w:p w14:paraId="54758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035" w:type="dxa"/>
            <w:tcBorders>
              <w:top w:val="single" w:color="000000" w:sz="4" w:space="0"/>
              <w:left w:val="single" w:color="000000" w:sz="4" w:space="0"/>
              <w:bottom w:val="nil"/>
              <w:right w:val="nil"/>
            </w:tcBorders>
            <w:shd w:val="clear" w:color="auto" w:fill="FFFFFF"/>
            <w:vAlign w:val="center"/>
          </w:tcPr>
          <w:p w14:paraId="79897E60">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22E6AD8A">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439B754F">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5F4596FB">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B020355">
            <w:pPr>
              <w:jc w:val="center"/>
              <w:rPr>
                <w:rFonts w:hint="eastAsia" w:ascii="宋体" w:hAnsi="宋体" w:eastAsia="宋体" w:cs="宋体"/>
                <w:i w:val="0"/>
                <w:iCs w:val="0"/>
                <w:color w:val="000000"/>
                <w:sz w:val="18"/>
                <w:szCs w:val="18"/>
                <w:u w:val="none"/>
              </w:rPr>
            </w:pPr>
          </w:p>
        </w:tc>
      </w:tr>
      <w:tr w14:paraId="0D397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20" w:type="dxa"/>
            <w:gridSpan w:val="7"/>
            <w:tcBorders>
              <w:top w:val="single" w:color="000000" w:sz="4" w:space="0"/>
              <w:left w:val="single" w:color="000000" w:sz="4" w:space="0"/>
              <w:bottom w:val="single" w:color="000000" w:sz="4" w:space="0"/>
              <w:right w:val="nil"/>
            </w:tcBorders>
            <w:shd w:val="clear" w:color="auto" w:fill="FFFFFF"/>
            <w:vAlign w:val="center"/>
          </w:tcPr>
          <w:p w14:paraId="186C0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35" w:type="dxa"/>
            <w:tcBorders>
              <w:top w:val="single" w:color="000000" w:sz="4" w:space="0"/>
              <w:left w:val="single" w:color="000000" w:sz="4" w:space="0"/>
              <w:bottom w:val="single" w:color="000000" w:sz="4" w:space="0"/>
              <w:right w:val="nil"/>
            </w:tcBorders>
            <w:shd w:val="clear" w:color="auto" w:fill="FFFFFF"/>
            <w:vAlign w:val="center"/>
          </w:tcPr>
          <w:p w14:paraId="72E974E1">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nil"/>
            </w:tcBorders>
            <w:shd w:val="clear" w:color="auto" w:fill="FFFFFF"/>
            <w:vAlign w:val="center"/>
          </w:tcPr>
          <w:p w14:paraId="49C0A520">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nil"/>
            </w:tcBorders>
            <w:shd w:val="clear" w:color="auto" w:fill="FFFFFF"/>
            <w:vAlign w:val="center"/>
          </w:tcPr>
          <w:p w14:paraId="71E17891">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nil"/>
            </w:tcBorders>
            <w:shd w:val="clear" w:color="auto" w:fill="FFFFFF"/>
            <w:vAlign w:val="center"/>
          </w:tcPr>
          <w:p w14:paraId="570C40C1">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635B0">
            <w:pPr>
              <w:jc w:val="center"/>
              <w:rPr>
                <w:rFonts w:hint="eastAsia" w:ascii="宋体" w:hAnsi="宋体" w:eastAsia="宋体" w:cs="宋体"/>
                <w:i w:val="0"/>
                <w:iCs w:val="0"/>
                <w:color w:val="000000"/>
                <w:sz w:val="18"/>
                <w:szCs w:val="18"/>
                <w:u w:val="none"/>
              </w:rPr>
            </w:pPr>
          </w:p>
        </w:tc>
      </w:tr>
    </w:tbl>
    <w:p w14:paraId="1466D251">
      <w:pPr>
        <w:rPr>
          <w:color w:val="auto"/>
          <w:highlight w:val="none"/>
        </w:rPr>
      </w:pPr>
      <w:r>
        <w:rPr>
          <w:color w:val="auto"/>
          <w:highlight w:val="none"/>
        </w:rPr>
        <w:br w:type="page"/>
      </w:r>
    </w:p>
    <w:tbl>
      <w:tblPr>
        <w:tblStyle w:val="53"/>
        <w:tblW w:w="15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8"/>
        <w:gridCol w:w="1296"/>
        <w:gridCol w:w="2189"/>
        <w:gridCol w:w="3081"/>
        <w:gridCol w:w="756"/>
        <w:gridCol w:w="1060"/>
        <w:gridCol w:w="1074"/>
        <w:gridCol w:w="1029"/>
        <w:gridCol w:w="999"/>
        <w:gridCol w:w="1088"/>
        <w:gridCol w:w="1163"/>
        <w:gridCol w:w="1282"/>
      </w:tblGrid>
      <w:tr w14:paraId="7D5A6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95" w:type="dxa"/>
            <w:gridSpan w:val="3"/>
            <w:tcBorders>
              <w:top w:val="nil"/>
              <w:left w:val="nil"/>
              <w:bottom w:val="nil"/>
              <w:right w:val="nil"/>
            </w:tcBorders>
            <w:shd w:val="clear" w:color="auto" w:fill="FFFFFF"/>
            <w:vAlign w:val="center"/>
          </w:tcPr>
          <w:p w14:paraId="7548CA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3105" w:type="dxa"/>
            <w:tcBorders>
              <w:top w:val="nil"/>
              <w:left w:val="nil"/>
              <w:bottom w:val="nil"/>
              <w:right w:val="nil"/>
            </w:tcBorders>
            <w:shd w:val="clear" w:color="auto" w:fill="FFFFFF"/>
            <w:vAlign w:val="bottom"/>
          </w:tcPr>
          <w:p w14:paraId="016553D5">
            <w:pPr>
              <w:jc w:val="left"/>
              <w:rPr>
                <w:rFonts w:hint="eastAsia" w:ascii="宋体" w:hAnsi="宋体" w:eastAsia="宋体" w:cs="宋体"/>
                <w:i w:val="0"/>
                <w:iCs w:val="0"/>
                <w:color w:val="000000"/>
                <w:sz w:val="18"/>
                <w:szCs w:val="18"/>
                <w:u w:val="none"/>
              </w:rPr>
            </w:pPr>
          </w:p>
        </w:tc>
        <w:tc>
          <w:tcPr>
            <w:tcW w:w="675" w:type="dxa"/>
            <w:tcBorders>
              <w:top w:val="nil"/>
              <w:left w:val="nil"/>
              <w:bottom w:val="nil"/>
              <w:right w:val="nil"/>
            </w:tcBorders>
            <w:shd w:val="clear" w:color="auto" w:fill="FFFFFF"/>
            <w:vAlign w:val="bottom"/>
          </w:tcPr>
          <w:p w14:paraId="13DEECE3">
            <w:pPr>
              <w:jc w:val="left"/>
              <w:rPr>
                <w:rFonts w:hint="eastAsia" w:ascii="宋体" w:hAnsi="宋体" w:eastAsia="宋体" w:cs="宋体"/>
                <w:i w:val="0"/>
                <w:iCs w:val="0"/>
                <w:color w:val="000000"/>
                <w:sz w:val="18"/>
                <w:szCs w:val="18"/>
                <w:u w:val="none"/>
              </w:rPr>
            </w:pPr>
          </w:p>
        </w:tc>
        <w:tc>
          <w:tcPr>
            <w:tcW w:w="1065" w:type="dxa"/>
            <w:tcBorders>
              <w:top w:val="nil"/>
              <w:left w:val="nil"/>
              <w:bottom w:val="nil"/>
              <w:right w:val="nil"/>
            </w:tcBorders>
            <w:shd w:val="clear" w:color="auto" w:fill="FFFFFF"/>
            <w:vAlign w:val="bottom"/>
          </w:tcPr>
          <w:p w14:paraId="35A3D4CF">
            <w:pPr>
              <w:jc w:val="left"/>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FFFFFF"/>
            <w:vAlign w:val="bottom"/>
          </w:tcPr>
          <w:p w14:paraId="3F94B3D9">
            <w:pPr>
              <w:jc w:val="left"/>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FFFFFF"/>
            <w:vAlign w:val="bottom"/>
          </w:tcPr>
          <w:p w14:paraId="5229B5D0">
            <w:pPr>
              <w:jc w:val="left"/>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FFFFFF"/>
            <w:vAlign w:val="bottom"/>
          </w:tcPr>
          <w:p w14:paraId="2A246686">
            <w:pPr>
              <w:jc w:val="left"/>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FFFFFF"/>
            <w:vAlign w:val="bottom"/>
          </w:tcPr>
          <w:p w14:paraId="3A8984AC">
            <w:pPr>
              <w:jc w:val="left"/>
              <w:rPr>
                <w:rFonts w:hint="eastAsia" w:ascii="宋体" w:hAnsi="宋体" w:eastAsia="宋体" w:cs="宋体"/>
                <w:i w:val="0"/>
                <w:iCs w:val="0"/>
                <w:color w:val="000000"/>
                <w:sz w:val="18"/>
                <w:szCs w:val="18"/>
                <w:u w:val="none"/>
              </w:rPr>
            </w:pPr>
          </w:p>
        </w:tc>
        <w:tc>
          <w:tcPr>
            <w:tcW w:w="1170" w:type="dxa"/>
            <w:tcBorders>
              <w:top w:val="nil"/>
              <w:left w:val="nil"/>
              <w:bottom w:val="nil"/>
              <w:right w:val="nil"/>
            </w:tcBorders>
            <w:shd w:val="clear" w:color="auto" w:fill="FFFFFF"/>
            <w:vAlign w:val="bottom"/>
          </w:tcPr>
          <w:p w14:paraId="7B6D7D53">
            <w:pPr>
              <w:jc w:val="left"/>
              <w:rPr>
                <w:rFonts w:hint="eastAsia" w:ascii="宋体" w:hAnsi="宋体" w:eastAsia="宋体" w:cs="宋体"/>
                <w:i w:val="0"/>
                <w:iCs w:val="0"/>
                <w:color w:val="000000"/>
                <w:sz w:val="18"/>
                <w:szCs w:val="18"/>
                <w:u w:val="none"/>
              </w:rPr>
            </w:pPr>
          </w:p>
        </w:tc>
        <w:tc>
          <w:tcPr>
            <w:tcW w:w="1290" w:type="dxa"/>
            <w:tcBorders>
              <w:top w:val="nil"/>
              <w:left w:val="nil"/>
              <w:bottom w:val="nil"/>
              <w:right w:val="nil"/>
            </w:tcBorders>
            <w:shd w:val="clear" w:color="auto" w:fill="FFFFFF"/>
            <w:vAlign w:val="bottom"/>
          </w:tcPr>
          <w:p w14:paraId="07B1244D">
            <w:pPr>
              <w:jc w:val="left"/>
              <w:rPr>
                <w:rFonts w:hint="eastAsia" w:ascii="宋体" w:hAnsi="宋体" w:eastAsia="宋体" w:cs="宋体"/>
                <w:i w:val="0"/>
                <w:iCs w:val="0"/>
                <w:color w:val="000000"/>
                <w:sz w:val="18"/>
                <w:szCs w:val="18"/>
                <w:u w:val="none"/>
              </w:rPr>
            </w:pPr>
          </w:p>
        </w:tc>
      </w:tr>
      <w:tr w14:paraId="5029E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615" w:type="dxa"/>
            <w:gridSpan w:val="12"/>
            <w:tcBorders>
              <w:top w:val="nil"/>
              <w:left w:val="nil"/>
              <w:bottom w:val="nil"/>
              <w:right w:val="nil"/>
            </w:tcBorders>
            <w:shd w:val="clear" w:color="auto" w:fill="FFFFFF"/>
            <w:vAlign w:val="center"/>
          </w:tcPr>
          <w:p w14:paraId="5F1E191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施工技术措施项目清单与计价表</w:t>
            </w:r>
          </w:p>
        </w:tc>
      </w:tr>
      <w:tr w14:paraId="0E7F7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940" w:type="dxa"/>
            <w:gridSpan w:val="6"/>
            <w:tcBorders>
              <w:top w:val="nil"/>
              <w:left w:val="nil"/>
              <w:bottom w:val="nil"/>
              <w:right w:val="nil"/>
            </w:tcBorders>
            <w:shd w:val="clear" w:color="auto" w:fill="FFFFFF"/>
            <w:vAlign w:val="bottom"/>
          </w:tcPr>
          <w:p w14:paraId="16A36E5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单位(专业)工程名称:单项工程-市政保养工程</w:t>
            </w:r>
          </w:p>
        </w:tc>
        <w:tc>
          <w:tcPr>
            <w:tcW w:w="3120" w:type="dxa"/>
            <w:gridSpan w:val="3"/>
            <w:tcBorders>
              <w:top w:val="nil"/>
              <w:left w:val="nil"/>
              <w:bottom w:val="nil"/>
              <w:right w:val="nil"/>
            </w:tcBorders>
            <w:shd w:val="clear" w:color="auto" w:fill="FFFFFF"/>
            <w:vAlign w:val="bottom"/>
          </w:tcPr>
          <w:p w14:paraId="6F48CDC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3555" w:type="dxa"/>
            <w:gridSpan w:val="3"/>
            <w:tcBorders>
              <w:top w:val="nil"/>
              <w:left w:val="nil"/>
              <w:bottom w:val="nil"/>
              <w:right w:val="nil"/>
            </w:tcBorders>
            <w:shd w:val="clear" w:color="auto" w:fill="FFFFFF"/>
            <w:vAlign w:val="bottom"/>
          </w:tcPr>
          <w:p w14:paraId="14F4026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57565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vMerge w:val="restart"/>
            <w:tcBorders>
              <w:top w:val="single" w:color="000000" w:sz="4" w:space="0"/>
              <w:left w:val="single" w:color="000000" w:sz="4" w:space="0"/>
              <w:bottom w:val="nil"/>
              <w:right w:val="nil"/>
            </w:tcBorders>
            <w:shd w:val="clear" w:color="auto" w:fill="FFFFFF"/>
            <w:vAlign w:val="center"/>
          </w:tcPr>
          <w:p w14:paraId="75830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0" w:type="dxa"/>
            <w:vMerge w:val="restart"/>
            <w:tcBorders>
              <w:top w:val="single" w:color="000000" w:sz="4" w:space="0"/>
              <w:left w:val="single" w:color="000000" w:sz="4" w:space="0"/>
              <w:bottom w:val="nil"/>
              <w:right w:val="nil"/>
            </w:tcBorders>
            <w:shd w:val="clear" w:color="auto" w:fill="FFFFFF"/>
            <w:vAlign w:val="center"/>
          </w:tcPr>
          <w:p w14:paraId="50985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205" w:type="dxa"/>
            <w:vMerge w:val="restart"/>
            <w:tcBorders>
              <w:top w:val="single" w:color="000000" w:sz="4" w:space="0"/>
              <w:left w:val="single" w:color="000000" w:sz="4" w:space="0"/>
              <w:bottom w:val="nil"/>
              <w:right w:val="nil"/>
            </w:tcBorders>
            <w:shd w:val="clear" w:color="auto" w:fill="FFFFFF"/>
            <w:vAlign w:val="center"/>
          </w:tcPr>
          <w:p w14:paraId="42D20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105" w:type="dxa"/>
            <w:vMerge w:val="restart"/>
            <w:tcBorders>
              <w:top w:val="single" w:color="000000" w:sz="4" w:space="0"/>
              <w:left w:val="single" w:color="000000" w:sz="4" w:space="0"/>
              <w:bottom w:val="nil"/>
              <w:right w:val="nil"/>
            </w:tcBorders>
            <w:shd w:val="clear" w:color="auto" w:fill="FFFFFF"/>
            <w:vAlign w:val="center"/>
          </w:tcPr>
          <w:p w14:paraId="76D8B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75" w:type="dxa"/>
            <w:vMerge w:val="restart"/>
            <w:tcBorders>
              <w:top w:val="single" w:color="000000" w:sz="4" w:space="0"/>
              <w:left w:val="single" w:color="000000" w:sz="4" w:space="0"/>
              <w:bottom w:val="nil"/>
              <w:right w:val="nil"/>
            </w:tcBorders>
            <w:shd w:val="clear" w:color="auto" w:fill="FFFFFF"/>
            <w:vAlign w:val="center"/>
          </w:tcPr>
          <w:p w14:paraId="525CE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065" w:type="dxa"/>
            <w:vMerge w:val="restart"/>
            <w:tcBorders>
              <w:top w:val="single" w:color="000000" w:sz="4" w:space="0"/>
              <w:left w:val="single" w:color="000000" w:sz="4" w:space="0"/>
              <w:bottom w:val="nil"/>
              <w:right w:val="nil"/>
            </w:tcBorders>
            <w:shd w:val="clear" w:color="auto" w:fill="FFFFFF"/>
            <w:vAlign w:val="center"/>
          </w:tcPr>
          <w:p w14:paraId="28F24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385" w:type="dxa"/>
            <w:gridSpan w:val="5"/>
            <w:tcBorders>
              <w:top w:val="single" w:color="000000" w:sz="4" w:space="0"/>
              <w:left w:val="single" w:color="000000" w:sz="4" w:space="0"/>
              <w:bottom w:val="nil"/>
              <w:right w:val="nil"/>
            </w:tcBorders>
            <w:shd w:val="clear" w:color="auto" w:fill="FFFFFF"/>
            <w:vAlign w:val="center"/>
          </w:tcPr>
          <w:p w14:paraId="2F0AE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1290" w:type="dxa"/>
            <w:vMerge w:val="restart"/>
            <w:tcBorders>
              <w:top w:val="single" w:color="000000" w:sz="4" w:space="0"/>
              <w:left w:val="single" w:color="000000" w:sz="4" w:space="0"/>
              <w:bottom w:val="nil"/>
              <w:right w:val="single" w:color="000000" w:sz="4" w:space="0"/>
            </w:tcBorders>
            <w:shd w:val="clear" w:color="auto" w:fill="FFFFFF"/>
            <w:vAlign w:val="center"/>
          </w:tcPr>
          <w:p w14:paraId="61FE0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7B2F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vMerge w:val="continue"/>
            <w:tcBorders>
              <w:top w:val="single" w:color="000000" w:sz="4" w:space="0"/>
              <w:left w:val="single" w:color="000000" w:sz="4" w:space="0"/>
              <w:bottom w:val="nil"/>
              <w:right w:val="nil"/>
            </w:tcBorders>
            <w:shd w:val="clear" w:color="auto" w:fill="FFFFFF"/>
            <w:vAlign w:val="center"/>
          </w:tcPr>
          <w:p w14:paraId="3BBD9E76">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nil"/>
              <w:right w:val="nil"/>
            </w:tcBorders>
            <w:shd w:val="clear" w:color="auto" w:fill="FFFFFF"/>
            <w:vAlign w:val="center"/>
          </w:tcPr>
          <w:p w14:paraId="3380725E">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nil"/>
              <w:right w:val="nil"/>
            </w:tcBorders>
            <w:shd w:val="clear" w:color="auto" w:fill="FFFFFF"/>
            <w:vAlign w:val="center"/>
          </w:tcPr>
          <w:p w14:paraId="3ABDAC2F">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nil"/>
              <w:right w:val="nil"/>
            </w:tcBorders>
            <w:shd w:val="clear" w:color="auto" w:fill="FFFFFF"/>
            <w:vAlign w:val="center"/>
          </w:tcPr>
          <w:p w14:paraId="2D72AB2A">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nil"/>
              <w:right w:val="nil"/>
            </w:tcBorders>
            <w:shd w:val="clear" w:color="auto" w:fill="FFFFFF"/>
            <w:vAlign w:val="center"/>
          </w:tcPr>
          <w:p w14:paraId="3AEB778D">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nil"/>
              <w:right w:val="nil"/>
            </w:tcBorders>
            <w:shd w:val="clear" w:color="auto" w:fill="FFFFFF"/>
            <w:vAlign w:val="center"/>
          </w:tcPr>
          <w:p w14:paraId="75F593B4">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nil"/>
              <w:right w:val="nil"/>
            </w:tcBorders>
            <w:shd w:val="clear" w:color="auto" w:fill="FFFFFF"/>
            <w:vAlign w:val="center"/>
          </w:tcPr>
          <w:p w14:paraId="106B7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035" w:type="dxa"/>
            <w:vMerge w:val="restart"/>
            <w:tcBorders>
              <w:top w:val="single" w:color="000000" w:sz="4" w:space="0"/>
              <w:left w:val="single" w:color="000000" w:sz="4" w:space="0"/>
              <w:bottom w:val="nil"/>
              <w:right w:val="nil"/>
            </w:tcBorders>
            <w:shd w:val="clear" w:color="auto" w:fill="FFFFFF"/>
            <w:vAlign w:val="center"/>
          </w:tcPr>
          <w:p w14:paraId="0F2B6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270" w:type="dxa"/>
            <w:gridSpan w:val="3"/>
            <w:tcBorders>
              <w:top w:val="single" w:color="000000" w:sz="4" w:space="0"/>
              <w:left w:val="single" w:color="000000" w:sz="4" w:space="0"/>
              <w:bottom w:val="nil"/>
              <w:right w:val="single" w:color="000000" w:sz="4" w:space="0"/>
            </w:tcBorders>
            <w:shd w:val="clear" w:color="auto" w:fill="FFFFFF"/>
            <w:vAlign w:val="center"/>
          </w:tcPr>
          <w:p w14:paraId="0E202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1290" w:type="dxa"/>
            <w:vMerge w:val="continue"/>
            <w:tcBorders>
              <w:top w:val="single" w:color="000000" w:sz="4" w:space="0"/>
              <w:left w:val="single" w:color="000000" w:sz="4" w:space="0"/>
              <w:bottom w:val="nil"/>
              <w:right w:val="single" w:color="000000" w:sz="4" w:space="0"/>
            </w:tcBorders>
            <w:shd w:val="clear" w:color="auto" w:fill="FFFFFF"/>
            <w:vAlign w:val="center"/>
          </w:tcPr>
          <w:p w14:paraId="27FCF3C3">
            <w:pPr>
              <w:jc w:val="center"/>
              <w:rPr>
                <w:rFonts w:hint="eastAsia" w:ascii="宋体" w:hAnsi="宋体" w:eastAsia="宋体" w:cs="宋体"/>
                <w:i w:val="0"/>
                <w:iCs w:val="0"/>
                <w:color w:val="000000"/>
                <w:sz w:val="18"/>
                <w:szCs w:val="18"/>
                <w:u w:val="none"/>
              </w:rPr>
            </w:pPr>
          </w:p>
        </w:tc>
      </w:tr>
      <w:tr w14:paraId="52627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vMerge w:val="continue"/>
            <w:tcBorders>
              <w:top w:val="single" w:color="000000" w:sz="4" w:space="0"/>
              <w:left w:val="single" w:color="000000" w:sz="4" w:space="0"/>
              <w:bottom w:val="nil"/>
              <w:right w:val="nil"/>
            </w:tcBorders>
            <w:shd w:val="clear" w:color="auto" w:fill="FFFFFF"/>
            <w:vAlign w:val="center"/>
          </w:tcPr>
          <w:p w14:paraId="01AB1B03">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nil"/>
              <w:right w:val="nil"/>
            </w:tcBorders>
            <w:shd w:val="clear" w:color="auto" w:fill="FFFFFF"/>
            <w:vAlign w:val="center"/>
          </w:tcPr>
          <w:p w14:paraId="56062F03">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nil"/>
              <w:right w:val="nil"/>
            </w:tcBorders>
            <w:shd w:val="clear" w:color="auto" w:fill="FFFFFF"/>
            <w:vAlign w:val="center"/>
          </w:tcPr>
          <w:p w14:paraId="424C31E4">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nil"/>
              <w:right w:val="nil"/>
            </w:tcBorders>
            <w:shd w:val="clear" w:color="auto" w:fill="FFFFFF"/>
            <w:vAlign w:val="center"/>
          </w:tcPr>
          <w:p w14:paraId="0F699FC9">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nil"/>
              <w:right w:val="nil"/>
            </w:tcBorders>
            <w:shd w:val="clear" w:color="auto" w:fill="FFFFFF"/>
            <w:vAlign w:val="center"/>
          </w:tcPr>
          <w:p w14:paraId="48DF432F">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nil"/>
              <w:right w:val="nil"/>
            </w:tcBorders>
            <w:shd w:val="clear" w:color="auto" w:fill="FFFFFF"/>
            <w:vAlign w:val="center"/>
          </w:tcPr>
          <w:p w14:paraId="626F7642">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nil"/>
              <w:right w:val="nil"/>
            </w:tcBorders>
            <w:shd w:val="clear" w:color="auto" w:fill="FFFFFF"/>
            <w:vAlign w:val="center"/>
          </w:tcPr>
          <w:p w14:paraId="39E61610">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nil"/>
              <w:right w:val="nil"/>
            </w:tcBorders>
            <w:shd w:val="clear" w:color="auto" w:fill="FFFFFF"/>
            <w:vAlign w:val="center"/>
          </w:tcPr>
          <w:p w14:paraId="67F35FD8">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4A82A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1095" w:type="dxa"/>
            <w:tcBorders>
              <w:top w:val="single" w:color="000000" w:sz="4" w:space="0"/>
              <w:left w:val="single" w:color="000000" w:sz="4" w:space="0"/>
              <w:bottom w:val="nil"/>
              <w:right w:val="nil"/>
            </w:tcBorders>
            <w:shd w:val="clear" w:color="auto" w:fill="FFFFFF"/>
            <w:vAlign w:val="center"/>
          </w:tcPr>
          <w:p w14:paraId="47B56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1170" w:type="dxa"/>
            <w:tcBorders>
              <w:top w:val="single" w:color="000000" w:sz="4" w:space="0"/>
              <w:left w:val="single" w:color="000000" w:sz="4" w:space="0"/>
              <w:bottom w:val="nil"/>
              <w:right w:val="single" w:color="000000" w:sz="4" w:space="0"/>
            </w:tcBorders>
            <w:shd w:val="clear" w:color="auto" w:fill="FFFFFF"/>
            <w:vAlign w:val="center"/>
          </w:tcPr>
          <w:p w14:paraId="633DE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1290" w:type="dxa"/>
            <w:vMerge w:val="continue"/>
            <w:tcBorders>
              <w:top w:val="single" w:color="000000" w:sz="4" w:space="0"/>
              <w:left w:val="single" w:color="000000" w:sz="4" w:space="0"/>
              <w:bottom w:val="nil"/>
              <w:right w:val="single" w:color="000000" w:sz="4" w:space="0"/>
            </w:tcBorders>
            <w:shd w:val="clear" w:color="auto" w:fill="FFFFFF"/>
            <w:vAlign w:val="center"/>
          </w:tcPr>
          <w:p w14:paraId="51CFB3A2">
            <w:pPr>
              <w:jc w:val="center"/>
              <w:rPr>
                <w:rFonts w:hint="eastAsia" w:ascii="宋体" w:hAnsi="宋体" w:eastAsia="宋体" w:cs="宋体"/>
                <w:i w:val="0"/>
                <w:iCs w:val="0"/>
                <w:color w:val="000000"/>
                <w:sz w:val="18"/>
                <w:szCs w:val="18"/>
                <w:u w:val="none"/>
              </w:rPr>
            </w:pPr>
          </w:p>
        </w:tc>
      </w:tr>
      <w:tr w14:paraId="39340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0B219EEB">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nil"/>
            </w:tcBorders>
            <w:shd w:val="clear" w:color="auto" w:fill="FFFFFF"/>
            <w:vAlign w:val="center"/>
          </w:tcPr>
          <w:p w14:paraId="2DBB6A77">
            <w:pPr>
              <w:jc w:val="left"/>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6CB198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[请输入分部名称]</w:t>
            </w:r>
          </w:p>
        </w:tc>
        <w:tc>
          <w:tcPr>
            <w:tcW w:w="3105" w:type="dxa"/>
            <w:tcBorders>
              <w:top w:val="single" w:color="000000" w:sz="4" w:space="0"/>
              <w:left w:val="single" w:color="000000" w:sz="4" w:space="0"/>
              <w:bottom w:val="nil"/>
              <w:right w:val="nil"/>
            </w:tcBorders>
            <w:shd w:val="clear" w:color="auto" w:fill="FFFFFF"/>
            <w:vAlign w:val="center"/>
          </w:tcPr>
          <w:p w14:paraId="3663CBA2">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410F7496">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71CF848B">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nil"/>
              <w:right w:val="nil"/>
            </w:tcBorders>
            <w:shd w:val="clear" w:color="auto" w:fill="FFFFFF"/>
            <w:vAlign w:val="center"/>
          </w:tcPr>
          <w:p w14:paraId="7FF91C49">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6B23AA00">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6370D5BB">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17766076">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2C91A6F2">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30CDBE25">
            <w:pPr>
              <w:jc w:val="left"/>
              <w:rPr>
                <w:rFonts w:hint="eastAsia" w:ascii="宋体" w:hAnsi="宋体" w:eastAsia="宋体" w:cs="宋体"/>
                <w:i w:val="0"/>
                <w:iCs w:val="0"/>
                <w:color w:val="000000"/>
                <w:sz w:val="18"/>
                <w:szCs w:val="18"/>
                <w:u w:val="none"/>
              </w:rPr>
            </w:pPr>
          </w:p>
        </w:tc>
      </w:tr>
      <w:tr w14:paraId="21C75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3EDC0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nil"/>
            </w:tcBorders>
            <w:shd w:val="clear" w:color="auto" w:fill="FFFFFF"/>
            <w:vAlign w:val="center"/>
          </w:tcPr>
          <w:p w14:paraId="301A77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04B008</w:t>
            </w:r>
          </w:p>
        </w:tc>
        <w:tc>
          <w:tcPr>
            <w:tcW w:w="2205" w:type="dxa"/>
            <w:tcBorders>
              <w:top w:val="single" w:color="000000" w:sz="4" w:space="0"/>
              <w:left w:val="single" w:color="000000" w:sz="4" w:space="0"/>
              <w:bottom w:val="nil"/>
              <w:right w:val="nil"/>
            </w:tcBorders>
            <w:shd w:val="clear" w:color="auto" w:fill="FFFFFF"/>
            <w:vAlign w:val="center"/>
          </w:tcPr>
          <w:p w14:paraId="648D84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生产设施常备</w:t>
            </w:r>
          </w:p>
        </w:tc>
        <w:tc>
          <w:tcPr>
            <w:tcW w:w="3105" w:type="dxa"/>
            <w:tcBorders>
              <w:top w:val="single" w:color="000000" w:sz="4" w:space="0"/>
              <w:left w:val="single" w:color="000000" w:sz="4" w:space="0"/>
              <w:bottom w:val="nil"/>
              <w:right w:val="nil"/>
            </w:tcBorders>
            <w:shd w:val="clear" w:color="auto" w:fill="FFFFFF"/>
            <w:vAlign w:val="center"/>
          </w:tcPr>
          <w:p w14:paraId="5A72F5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必须常备生产设施：100个标准反光锥、50个标准水码、20个反光作业指示牌、20个标有导向箭头或限速标志的反光交通指示牌、20盏防爆警示灯、10个防撞桶，费用包干。</w:t>
            </w:r>
          </w:p>
        </w:tc>
        <w:tc>
          <w:tcPr>
            <w:tcW w:w="675" w:type="dxa"/>
            <w:tcBorders>
              <w:top w:val="single" w:color="000000" w:sz="4" w:space="0"/>
              <w:left w:val="single" w:color="000000" w:sz="4" w:space="0"/>
              <w:bottom w:val="nil"/>
              <w:right w:val="nil"/>
            </w:tcBorders>
            <w:shd w:val="clear" w:color="auto" w:fill="FFFFFF"/>
            <w:vAlign w:val="center"/>
          </w:tcPr>
          <w:p w14:paraId="539CC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5" w:type="dxa"/>
            <w:tcBorders>
              <w:top w:val="single" w:color="000000" w:sz="4" w:space="0"/>
              <w:left w:val="single" w:color="000000" w:sz="4" w:space="0"/>
              <w:bottom w:val="nil"/>
              <w:right w:val="nil"/>
            </w:tcBorders>
            <w:shd w:val="clear" w:color="auto" w:fill="FFFFFF"/>
            <w:vAlign w:val="center"/>
          </w:tcPr>
          <w:p w14:paraId="75F812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nil"/>
              <w:right w:val="nil"/>
            </w:tcBorders>
            <w:shd w:val="clear" w:color="auto" w:fill="FFFFFF"/>
            <w:vAlign w:val="center"/>
          </w:tcPr>
          <w:p w14:paraId="441B85EC">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0FF99D01">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14F5B1D8">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04CCFA23">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174538A7">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E3DFB5F">
            <w:pPr>
              <w:jc w:val="left"/>
              <w:rPr>
                <w:rFonts w:hint="eastAsia" w:ascii="宋体" w:hAnsi="宋体" w:eastAsia="宋体" w:cs="宋体"/>
                <w:i w:val="0"/>
                <w:iCs w:val="0"/>
                <w:color w:val="000000"/>
                <w:sz w:val="18"/>
                <w:szCs w:val="18"/>
                <w:u w:val="none"/>
              </w:rPr>
            </w:pPr>
          </w:p>
        </w:tc>
      </w:tr>
      <w:tr w14:paraId="25193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0E1FE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0" w:type="dxa"/>
            <w:tcBorders>
              <w:top w:val="single" w:color="000000" w:sz="4" w:space="0"/>
              <w:left w:val="single" w:color="000000" w:sz="4" w:space="0"/>
              <w:bottom w:val="nil"/>
              <w:right w:val="nil"/>
            </w:tcBorders>
            <w:shd w:val="clear" w:color="auto" w:fill="FFFFFF"/>
            <w:vAlign w:val="center"/>
          </w:tcPr>
          <w:p w14:paraId="244B54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04B009</w:t>
            </w:r>
          </w:p>
        </w:tc>
        <w:tc>
          <w:tcPr>
            <w:tcW w:w="2205" w:type="dxa"/>
            <w:tcBorders>
              <w:top w:val="single" w:color="000000" w:sz="4" w:space="0"/>
              <w:left w:val="single" w:color="000000" w:sz="4" w:space="0"/>
              <w:bottom w:val="nil"/>
              <w:right w:val="nil"/>
            </w:tcBorders>
            <w:shd w:val="clear" w:color="auto" w:fill="FFFFFF"/>
            <w:vAlign w:val="center"/>
          </w:tcPr>
          <w:p w14:paraId="246D81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应急物资常备</w:t>
            </w:r>
          </w:p>
        </w:tc>
        <w:tc>
          <w:tcPr>
            <w:tcW w:w="3105" w:type="dxa"/>
            <w:tcBorders>
              <w:top w:val="single" w:color="000000" w:sz="4" w:space="0"/>
              <w:left w:val="single" w:color="000000" w:sz="4" w:space="0"/>
              <w:bottom w:val="nil"/>
              <w:right w:val="nil"/>
            </w:tcBorders>
            <w:shd w:val="clear" w:color="auto" w:fill="FFFFFF"/>
            <w:vAlign w:val="center"/>
          </w:tcPr>
          <w:p w14:paraId="2A72D3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不少于5吨的防冻盐、不少于200个沙袋，费用包干。</w:t>
            </w:r>
          </w:p>
        </w:tc>
        <w:tc>
          <w:tcPr>
            <w:tcW w:w="675" w:type="dxa"/>
            <w:tcBorders>
              <w:top w:val="single" w:color="000000" w:sz="4" w:space="0"/>
              <w:left w:val="single" w:color="000000" w:sz="4" w:space="0"/>
              <w:bottom w:val="nil"/>
              <w:right w:val="nil"/>
            </w:tcBorders>
            <w:shd w:val="clear" w:color="auto" w:fill="FFFFFF"/>
            <w:vAlign w:val="center"/>
          </w:tcPr>
          <w:p w14:paraId="2ED5F0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5" w:type="dxa"/>
            <w:tcBorders>
              <w:top w:val="single" w:color="000000" w:sz="4" w:space="0"/>
              <w:left w:val="single" w:color="000000" w:sz="4" w:space="0"/>
              <w:bottom w:val="nil"/>
              <w:right w:val="nil"/>
            </w:tcBorders>
            <w:shd w:val="clear" w:color="auto" w:fill="FFFFFF"/>
            <w:vAlign w:val="center"/>
          </w:tcPr>
          <w:p w14:paraId="74EC31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nil"/>
              <w:right w:val="nil"/>
            </w:tcBorders>
            <w:shd w:val="clear" w:color="auto" w:fill="FFFFFF"/>
            <w:vAlign w:val="center"/>
          </w:tcPr>
          <w:p w14:paraId="7F46B69F">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10F696C0">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487360D2">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2EE27BD4">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3C524187">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E10E389">
            <w:pPr>
              <w:jc w:val="left"/>
              <w:rPr>
                <w:rFonts w:hint="eastAsia" w:ascii="宋体" w:hAnsi="宋体" w:eastAsia="宋体" w:cs="宋体"/>
                <w:i w:val="0"/>
                <w:iCs w:val="0"/>
                <w:color w:val="000000"/>
                <w:sz w:val="18"/>
                <w:szCs w:val="18"/>
                <w:u w:val="none"/>
              </w:rPr>
            </w:pPr>
          </w:p>
        </w:tc>
      </w:tr>
      <w:tr w14:paraId="25A65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03956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0" w:type="dxa"/>
            <w:tcBorders>
              <w:top w:val="single" w:color="000000" w:sz="4" w:space="0"/>
              <w:left w:val="single" w:color="000000" w:sz="4" w:space="0"/>
              <w:bottom w:val="nil"/>
              <w:right w:val="nil"/>
            </w:tcBorders>
            <w:shd w:val="clear" w:color="auto" w:fill="FFFFFF"/>
            <w:vAlign w:val="center"/>
          </w:tcPr>
          <w:p w14:paraId="6503E5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04B010</w:t>
            </w:r>
          </w:p>
        </w:tc>
        <w:tc>
          <w:tcPr>
            <w:tcW w:w="2205" w:type="dxa"/>
            <w:tcBorders>
              <w:top w:val="single" w:color="000000" w:sz="4" w:space="0"/>
              <w:left w:val="single" w:color="000000" w:sz="4" w:space="0"/>
              <w:bottom w:val="nil"/>
              <w:right w:val="nil"/>
            </w:tcBorders>
            <w:shd w:val="clear" w:color="auto" w:fill="FFFFFF"/>
            <w:vAlign w:val="center"/>
          </w:tcPr>
          <w:p w14:paraId="290557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编号牌</w:t>
            </w:r>
          </w:p>
        </w:tc>
        <w:tc>
          <w:tcPr>
            <w:tcW w:w="3105" w:type="dxa"/>
            <w:tcBorders>
              <w:top w:val="single" w:color="000000" w:sz="4" w:space="0"/>
              <w:left w:val="single" w:color="000000" w:sz="4" w:space="0"/>
              <w:bottom w:val="nil"/>
              <w:right w:val="nil"/>
            </w:tcBorders>
            <w:shd w:val="clear" w:color="auto" w:fill="FFFFFF"/>
            <w:vAlign w:val="center"/>
          </w:tcPr>
          <w:p w14:paraId="3A8792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在伸缩缝及桥墩上增设设施编号牌</w:t>
            </w:r>
          </w:p>
        </w:tc>
        <w:tc>
          <w:tcPr>
            <w:tcW w:w="675" w:type="dxa"/>
            <w:tcBorders>
              <w:top w:val="single" w:color="000000" w:sz="4" w:space="0"/>
              <w:left w:val="single" w:color="000000" w:sz="4" w:space="0"/>
              <w:bottom w:val="nil"/>
              <w:right w:val="nil"/>
            </w:tcBorders>
            <w:shd w:val="clear" w:color="auto" w:fill="FFFFFF"/>
            <w:vAlign w:val="center"/>
          </w:tcPr>
          <w:p w14:paraId="6E0EE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nil"/>
              <w:right w:val="nil"/>
            </w:tcBorders>
            <w:shd w:val="clear" w:color="auto" w:fill="FFFFFF"/>
            <w:vAlign w:val="center"/>
          </w:tcPr>
          <w:p w14:paraId="655324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080" w:type="dxa"/>
            <w:tcBorders>
              <w:top w:val="single" w:color="000000" w:sz="4" w:space="0"/>
              <w:left w:val="single" w:color="000000" w:sz="4" w:space="0"/>
              <w:bottom w:val="nil"/>
              <w:right w:val="nil"/>
            </w:tcBorders>
            <w:shd w:val="clear" w:color="auto" w:fill="FFFFFF"/>
            <w:vAlign w:val="center"/>
          </w:tcPr>
          <w:p w14:paraId="75538DBC">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31F6CBDB">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6940EAF4">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4E399E88">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1CCFFBBF">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285ADE8">
            <w:pPr>
              <w:jc w:val="left"/>
              <w:rPr>
                <w:rFonts w:hint="eastAsia" w:ascii="宋体" w:hAnsi="宋体" w:eastAsia="宋体" w:cs="宋体"/>
                <w:i w:val="0"/>
                <w:iCs w:val="0"/>
                <w:color w:val="000000"/>
                <w:sz w:val="18"/>
                <w:szCs w:val="18"/>
                <w:u w:val="none"/>
              </w:rPr>
            </w:pPr>
          </w:p>
        </w:tc>
      </w:tr>
      <w:tr w14:paraId="5CC1D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75501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0" w:type="dxa"/>
            <w:tcBorders>
              <w:top w:val="single" w:color="000000" w:sz="4" w:space="0"/>
              <w:left w:val="single" w:color="000000" w:sz="4" w:space="0"/>
              <w:bottom w:val="nil"/>
              <w:right w:val="nil"/>
            </w:tcBorders>
            <w:shd w:val="clear" w:color="auto" w:fill="FFFFFF"/>
            <w:vAlign w:val="center"/>
          </w:tcPr>
          <w:p w14:paraId="529BC6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041106001001</w:t>
            </w:r>
          </w:p>
        </w:tc>
        <w:tc>
          <w:tcPr>
            <w:tcW w:w="2205" w:type="dxa"/>
            <w:tcBorders>
              <w:top w:val="single" w:color="000000" w:sz="4" w:space="0"/>
              <w:left w:val="single" w:color="000000" w:sz="4" w:space="0"/>
              <w:bottom w:val="nil"/>
              <w:right w:val="nil"/>
            </w:tcBorders>
            <w:shd w:val="clear" w:color="auto" w:fill="FFFFFF"/>
            <w:vAlign w:val="center"/>
          </w:tcPr>
          <w:p w14:paraId="4A6BAE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3105" w:type="dxa"/>
            <w:tcBorders>
              <w:top w:val="single" w:color="000000" w:sz="4" w:space="0"/>
              <w:left w:val="single" w:color="000000" w:sz="4" w:space="0"/>
              <w:bottom w:val="nil"/>
              <w:right w:val="nil"/>
            </w:tcBorders>
            <w:shd w:val="clear" w:color="auto" w:fill="FFFFFF"/>
            <w:vAlign w:val="center"/>
          </w:tcPr>
          <w:p w14:paraId="73E17C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675" w:type="dxa"/>
            <w:tcBorders>
              <w:top w:val="single" w:color="000000" w:sz="4" w:space="0"/>
              <w:left w:val="single" w:color="000000" w:sz="4" w:space="0"/>
              <w:bottom w:val="nil"/>
              <w:right w:val="nil"/>
            </w:tcBorders>
            <w:shd w:val="clear" w:color="auto" w:fill="FFFFFF"/>
            <w:vAlign w:val="center"/>
          </w:tcPr>
          <w:p w14:paraId="4CFC3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台·次</w:t>
            </w:r>
          </w:p>
        </w:tc>
        <w:tc>
          <w:tcPr>
            <w:tcW w:w="1065" w:type="dxa"/>
            <w:tcBorders>
              <w:top w:val="single" w:color="000000" w:sz="4" w:space="0"/>
              <w:left w:val="single" w:color="000000" w:sz="4" w:space="0"/>
              <w:bottom w:val="nil"/>
              <w:right w:val="nil"/>
            </w:tcBorders>
            <w:shd w:val="clear" w:color="auto" w:fill="FFFFFF"/>
            <w:vAlign w:val="center"/>
          </w:tcPr>
          <w:p w14:paraId="26D657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nil"/>
              <w:right w:val="nil"/>
            </w:tcBorders>
            <w:shd w:val="clear" w:color="auto" w:fill="FFFFFF"/>
            <w:vAlign w:val="center"/>
          </w:tcPr>
          <w:p w14:paraId="637B01E1">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15E17954">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043899AA">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51B73531">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0DE09D6F">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E9C39EA">
            <w:pPr>
              <w:jc w:val="left"/>
              <w:rPr>
                <w:rFonts w:hint="eastAsia" w:ascii="宋体" w:hAnsi="宋体" w:eastAsia="宋体" w:cs="宋体"/>
                <w:i w:val="0"/>
                <w:iCs w:val="0"/>
                <w:color w:val="000000"/>
                <w:sz w:val="18"/>
                <w:szCs w:val="18"/>
                <w:u w:val="none"/>
              </w:rPr>
            </w:pPr>
          </w:p>
        </w:tc>
      </w:tr>
      <w:tr w14:paraId="196E4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56C43634">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nil"/>
            </w:tcBorders>
            <w:shd w:val="clear" w:color="auto" w:fill="FFFFFF"/>
            <w:vAlign w:val="center"/>
          </w:tcPr>
          <w:p w14:paraId="327BEDA8">
            <w:pPr>
              <w:jc w:val="left"/>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51C6DA5A">
            <w:pPr>
              <w:jc w:val="left"/>
              <w:rPr>
                <w:rFonts w:hint="eastAsia" w:ascii="宋体" w:hAnsi="宋体" w:eastAsia="宋体" w:cs="宋体"/>
                <w:i w:val="0"/>
                <w:iCs w:val="0"/>
                <w:color w:val="000000"/>
                <w:sz w:val="18"/>
                <w:szCs w:val="18"/>
                <w:u w:val="none"/>
              </w:rPr>
            </w:pPr>
          </w:p>
        </w:tc>
        <w:tc>
          <w:tcPr>
            <w:tcW w:w="3105" w:type="dxa"/>
            <w:tcBorders>
              <w:top w:val="single" w:color="000000" w:sz="4" w:space="0"/>
              <w:left w:val="single" w:color="000000" w:sz="4" w:space="0"/>
              <w:bottom w:val="nil"/>
              <w:right w:val="nil"/>
            </w:tcBorders>
            <w:shd w:val="clear" w:color="auto" w:fill="FFFFFF"/>
            <w:vAlign w:val="center"/>
          </w:tcPr>
          <w:p w14:paraId="150B456E">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4171C4E2">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26767E66">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nil"/>
              <w:right w:val="nil"/>
            </w:tcBorders>
            <w:shd w:val="clear" w:color="auto" w:fill="FFFFFF"/>
            <w:vAlign w:val="center"/>
          </w:tcPr>
          <w:p w14:paraId="6EC4EB00">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64CC3445">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7C149DD0">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43376416">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52142313">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E1B089D">
            <w:pPr>
              <w:jc w:val="left"/>
              <w:rPr>
                <w:rFonts w:hint="eastAsia" w:ascii="宋体" w:hAnsi="宋体" w:eastAsia="宋体" w:cs="宋体"/>
                <w:i w:val="0"/>
                <w:iCs w:val="0"/>
                <w:color w:val="000000"/>
                <w:sz w:val="18"/>
                <w:szCs w:val="18"/>
                <w:u w:val="none"/>
              </w:rPr>
            </w:pPr>
          </w:p>
        </w:tc>
      </w:tr>
      <w:tr w14:paraId="705C2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3B32B382">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nil"/>
            </w:tcBorders>
            <w:shd w:val="clear" w:color="auto" w:fill="FFFFFF"/>
            <w:vAlign w:val="center"/>
          </w:tcPr>
          <w:p w14:paraId="49759139">
            <w:pPr>
              <w:jc w:val="left"/>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7D447CBD">
            <w:pPr>
              <w:jc w:val="left"/>
              <w:rPr>
                <w:rFonts w:hint="eastAsia" w:ascii="宋体" w:hAnsi="宋体" w:eastAsia="宋体" w:cs="宋体"/>
                <w:i w:val="0"/>
                <w:iCs w:val="0"/>
                <w:color w:val="000000"/>
                <w:sz w:val="18"/>
                <w:szCs w:val="18"/>
                <w:u w:val="none"/>
              </w:rPr>
            </w:pPr>
          </w:p>
        </w:tc>
        <w:tc>
          <w:tcPr>
            <w:tcW w:w="3105" w:type="dxa"/>
            <w:tcBorders>
              <w:top w:val="single" w:color="000000" w:sz="4" w:space="0"/>
              <w:left w:val="single" w:color="000000" w:sz="4" w:space="0"/>
              <w:bottom w:val="nil"/>
              <w:right w:val="nil"/>
            </w:tcBorders>
            <w:shd w:val="clear" w:color="auto" w:fill="FFFFFF"/>
            <w:vAlign w:val="center"/>
          </w:tcPr>
          <w:p w14:paraId="6081E6F2">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65AF697A">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04ECC054">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nil"/>
              <w:right w:val="nil"/>
            </w:tcBorders>
            <w:shd w:val="clear" w:color="auto" w:fill="FFFFFF"/>
            <w:vAlign w:val="center"/>
          </w:tcPr>
          <w:p w14:paraId="7BB7CBA5">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57B0298D">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36BA8963">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73D8D3E4">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09EB1358">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9A1E311">
            <w:pPr>
              <w:jc w:val="left"/>
              <w:rPr>
                <w:rFonts w:hint="eastAsia" w:ascii="宋体" w:hAnsi="宋体" w:eastAsia="宋体" w:cs="宋体"/>
                <w:i w:val="0"/>
                <w:iCs w:val="0"/>
                <w:color w:val="000000"/>
                <w:sz w:val="18"/>
                <w:szCs w:val="18"/>
                <w:u w:val="none"/>
              </w:rPr>
            </w:pPr>
          </w:p>
        </w:tc>
      </w:tr>
      <w:tr w14:paraId="11376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7EA6CC61">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nil"/>
            </w:tcBorders>
            <w:shd w:val="clear" w:color="auto" w:fill="FFFFFF"/>
            <w:vAlign w:val="center"/>
          </w:tcPr>
          <w:p w14:paraId="7F883F08">
            <w:pPr>
              <w:jc w:val="left"/>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56230E37">
            <w:pPr>
              <w:jc w:val="left"/>
              <w:rPr>
                <w:rFonts w:hint="eastAsia" w:ascii="宋体" w:hAnsi="宋体" w:eastAsia="宋体" w:cs="宋体"/>
                <w:i w:val="0"/>
                <w:iCs w:val="0"/>
                <w:color w:val="000000"/>
                <w:sz w:val="18"/>
                <w:szCs w:val="18"/>
                <w:u w:val="none"/>
              </w:rPr>
            </w:pPr>
          </w:p>
        </w:tc>
        <w:tc>
          <w:tcPr>
            <w:tcW w:w="3105" w:type="dxa"/>
            <w:tcBorders>
              <w:top w:val="single" w:color="000000" w:sz="4" w:space="0"/>
              <w:left w:val="single" w:color="000000" w:sz="4" w:space="0"/>
              <w:bottom w:val="nil"/>
              <w:right w:val="nil"/>
            </w:tcBorders>
            <w:shd w:val="clear" w:color="auto" w:fill="FFFFFF"/>
            <w:vAlign w:val="center"/>
          </w:tcPr>
          <w:p w14:paraId="5E54C7E0">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4A802643">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452819E6">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nil"/>
              <w:right w:val="nil"/>
            </w:tcBorders>
            <w:shd w:val="clear" w:color="auto" w:fill="FFFFFF"/>
            <w:vAlign w:val="center"/>
          </w:tcPr>
          <w:p w14:paraId="577A656D">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41EA2D96">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4839C49C">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04594CD8">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14758831">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80A3E76">
            <w:pPr>
              <w:jc w:val="left"/>
              <w:rPr>
                <w:rFonts w:hint="eastAsia" w:ascii="宋体" w:hAnsi="宋体" w:eastAsia="宋体" w:cs="宋体"/>
                <w:i w:val="0"/>
                <w:iCs w:val="0"/>
                <w:color w:val="000000"/>
                <w:sz w:val="18"/>
                <w:szCs w:val="18"/>
                <w:u w:val="none"/>
              </w:rPr>
            </w:pPr>
          </w:p>
        </w:tc>
      </w:tr>
      <w:tr w14:paraId="772E8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3F1A2010">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nil"/>
            </w:tcBorders>
            <w:shd w:val="clear" w:color="auto" w:fill="FFFFFF"/>
            <w:vAlign w:val="center"/>
          </w:tcPr>
          <w:p w14:paraId="008907A7">
            <w:pPr>
              <w:jc w:val="left"/>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20D75303">
            <w:pPr>
              <w:jc w:val="left"/>
              <w:rPr>
                <w:rFonts w:hint="eastAsia" w:ascii="宋体" w:hAnsi="宋体" w:eastAsia="宋体" w:cs="宋体"/>
                <w:i w:val="0"/>
                <w:iCs w:val="0"/>
                <w:color w:val="000000"/>
                <w:sz w:val="18"/>
                <w:szCs w:val="18"/>
                <w:u w:val="none"/>
              </w:rPr>
            </w:pPr>
          </w:p>
        </w:tc>
        <w:tc>
          <w:tcPr>
            <w:tcW w:w="3105" w:type="dxa"/>
            <w:tcBorders>
              <w:top w:val="single" w:color="000000" w:sz="4" w:space="0"/>
              <w:left w:val="single" w:color="000000" w:sz="4" w:space="0"/>
              <w:bottom w:val="nil"/>
              <w:right w:val="nil"/>
            </w:tcBorders>
            <w:shd w:val="clear" w:color="auto" w:fill="FFFFFF"/>
            <w:vAlign w:val="center"/>
          </w:tcPr>
          <w:p w14:paraId="271564F7">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5193DB8E">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68BB1BD6">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nil"/>
              <w:right w:val="nil"/>
            </w:tcBorders>
            <w:shd w:val="clear" w:color="auto" w:fill="FFFFFF"/>
            <w:vAlign w:val="center"/>
          </w:tcPr>
          <w:p w14:paraId="423C3AFE">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23D1610B">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4741B4AB">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2BFE01A7">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5D16815D">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05AA948">
            <w:pPr>
              <w:jc w:val="left"/>
              <w:rPr>
                <w:rFonts w:hint="eastAsia" w:ascii="宋体" w:hAnsi="宋体" w:eastAsia="宋体" w:cs="宋体"/>
                <w:i w:val="0"/>
                <w:iCs w:val="0"/>
                <w:color w:val="000000"/>
                <w:sz w:val="18"/>
                <w:szCs w:val="18"/>
                <w:u w:val="none"/>
              </w:rPr>
            </w:pPr>
          </w:p>
        </w:tc>
      </w:tr>
      <w:tr w14:paraId="0B20F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73CED669">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nil"/>
            </w:tcBorders>
            <w:shd w:val="clear" w:color="auto" w:fill="FFFFFF"/>
            <w:vAlign w:val="center"/>
          </w:tcPr>
          <w:p w14:paraId="568067B0">
            <w:pPr>
              <w:jc w:val="left"/>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67CE8DAE">
            <w:pPr>
              <w:jc w:val="left"/>
              <w:rPr>
                <w:rFonts w:hint="eastAsia" w:ascii="宋体" w:hAnsi="宋体" w:eastAsia="宋体" w:cs="宋体"/>
                <w:i w:val="0"/>
                <w:iCs w:val="0"/>
                <w:color w:val="000000"/>
                <w:sz w:val="18"/>
                <w:szCs w:val="18"/>
                <w:u w:val="none"/>
              </w:rPr>
            </w:pPr>
          </w:p>
        </w:tc>
        <w:tc>
          <w:tcPr>
            <w:tcW w:w="3105" w:type="dxa"/>
            <w:tcBorders>
              <w:top w:val="single" w:color="000000" w:sz="4" w:space="0"/>
              <w:left w:val="single" w:color="000000" w:sz="4" w:space="0"/>
              <w:bottom w:val="nil"/>
              <w:right w:val="nil"/>
            </w:tcBorders>
            <w:shd w:val="clear" w:color="auto" w:fill="FFFFFF"/>
            <w:vAlign w:val="center"/>
          </w:tcPr>
          <w:p w14:paraId="5FED3F21">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7E7DF76D">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350826C0">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nil"/>
              <w:right w:val="nil"/>
            </w:tcBorders>
            <w:shd w:val="clear" w:color="auto" w:fill="FFFFFF"/>
            <w:vAlign w:val="center"/>
          </w:tcPr>
          <w:p w14:paraId="00865211">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6404E4D0">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18C4C2E0">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325C8A8B">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5EE37C9F">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802E0E5">
            <w:pPr>
              <w:jc w:val="left"/>
              <w:rPr>
                <w:rFonts w:hint="eastAsia" w:ascii="宋体" w:hAnsi="宋体" w:eastAsia="宋体" w:cs="宋体"/>
                <w:i w:val="0"/>
                <w:iCs w:val="0"/>
                <w:color w:val="000000"/>
                <w:sz w:val="18"/>
                <w:szCs w:val="18"/>
                <w:u w:val="none"/>
              </w:rPr>
            </w:pPr>
          </w:p>
        </w:tc>
      </w:tr>
      <w:tr w14:paraId="28821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6379B774">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nil"/>
            </w:tcBorders>
            <w:shd w:val="clear" w:color="auto" w:fill="FFFFFF"/>
            <w:vAlign w:val="center"/>
          </w:tcPr>
          <w:p w14:paraId="6E389E00">
            <w:pPr>
              <w:jc w:val="left"/>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04773837">
            <w:pPr>
              <w:jc w:val="left"/>
              <w:rPr>
                <w:rFonts w:hint="eastAsia" w:ascii="宋体" w:hAnsi="宋体" w:eastAsia="宋体" w:cs="宋体"/>
                <w:i w:val="0"/>
                <w:iCs w:val="0"/>
                <w:color w:val="000000"/>
                <w:sz w:val="18"/>
                <w:szCs w:val="18"/>
                <w:u w:val="none"/>
              </w:rPr>
            </w:pPr>
          </w:p>
        </w:tc>
        <w:tc>
          <w:tcPr>
            <w:tcW w:w="3105" w:type="dxa"/>
            <w:tcBorders>
              <w:top w:val="single" w:color="000000" w:sz="4" w:space="0"/>
              <w:left w:val="single" w:color="000000" w:sz="4" w:space="0"/>
              <w:bottom w:val="nil"/>
              <w:right w:val="nil"/>
            </w:tcBorders>
            <w:shd w:val="clear" w:color="auto" w:fill="FFFFFF"/>
            <w:vAlign w:val="center"/>
          </w:tcPr>
          <w:p w14:paraId="71672FA0">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6238C014">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737F4CCF">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nil"/>
              <w:right w:val="nil"/>
            </w:tcBorders>
            <w:shd w:val="clear" w:color="auto" w:fill="FFFFFF"/>
            <w:vAlign w:val="center"/>
          </w:tcPr>
          <w:p w14:paraId="2943B095">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50A1D459">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2003C350">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4F292CA0">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070DCBD8">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2CAD0A9">
            <w:pPr>
              <w:jc w:val="left"/>
              <w:rPr>
                <w:rFonts w:hint="eastAsia" w:ascii="宋体" w:hAnsi="宋体" w:eastAsia="宋体" w:cs="宋体"/>
                <w:i w:val="0"/>
                <w:iCs w:val="0"/>
                <w:color w:val="000000"/>
                <w:sz w:val="18"/>
                <w:szCs w:val="18"/>
                <w:u w:val="none"/>
              </w:rPr>
            </w:pPr>
          </w:p>
        </w:tc>
      </w:tr>
      <w:tr w14:paraId="65446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020" w:type="dxa"/>
            <w:gridSpan w:val="7"/>
            <w:tcBorders>
              <w:top w:val="single" w:color="000000" w:sz="4" w:space="0"/>
              <w:left w:val="single" w:color="000000" w:sz="4" w:space="0"/>
              <w:bottom w:val="nil"/>
              <w:right w:val="nil"/>
            </w:tcBorders>
            <w:shd w:val="clear" w:color="auto" w:fill="FFFFFF"/>
            <w:vAlign w:val="center"/>
          </w:tcPr>
          <w:p w14:paraId="60C63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035" w:type="dxa"/>
            <w:tcBorders>
              <w:top w:val="single" w:color="000000" w:sz="4" w:space="0"/>
              <w:left w:val="single" w:color="000000" w:sz="4" w:space="0"/>
              <w:bottom w:val="nil"/>
              <w:right w:val="nil"/>
            </w:tcBorders>
            <w:shd w:val="clear" w:color="auto" w:fill="FFFFFF"/>
            <w:vAlign w:val="center"/>
          </w:tcPr>
          <w:p w14:paraId="7C898BB2">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44965142">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6DFC9F90">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2BB6C25E">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856230A">
            <w:pPr>
              <w:jc w:val="center"/>
              <w:rPr>
                <w:rFonts w:hint="eastAsia" w:ascii="宋体" w:hAnsi="宋体" w:eastAsia="宋体" w:cs="宋体"/>
                <w:i w:val="0"/>
                <w:iCs w:val="0"/>
                <w:color w:val="000000"/>
                <w:sz w:val="18"/>
                <w:szCs w:val="18"/>
                <w:u w:val="none"/>
              </w:rPr>
            </w:pPr>
          </w:p>
        </w:tc>
      </w:tr>
      <w:tr w14:paraId="00D71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20" w:type="dxa"/>
            <w:gridSpan w:val="7"/>
            <w:tcBorders>
              <w:top w:val="single" w:color="000000" w:sz="4" w:space="0"/>
              <w:left w:val="single" w:color="000000" w:sz="4" w:space="0"/>
              <w:bottom w:val="single" w:color="000000" w:sz="4" w:space="0"/>
              <w:right w:val="nil"/>
            </w:tcBorders>
            <w:shd w:val="clear" w:color="auto" w:fill="FFFFFF"/>
            <w:vAlign w:val="center"/>
          </w:tcPr>
          <w:p w14:paraId="4CF2D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35" w:type="dxa"/>
            <w:tcBorders>
              <w:top w:val="single" w:color="000000" w:sz="4" w:space="0"/>
              <w:left w:val="single" w:color="000000" w:sz="4" w:space="0"/>
              <w:bottom w:val="single" w:color="000000" w:sz="4" w:space="0"/>
              <w:right w:val="nil"/>
            </w:tcBorders>
            <w:shd w:val="clear" w:color="auto" w:fill="FFFFFF"/>
            <w:vAlign w:val="center"/>
          </w:tcPr>
          <w:p w14:paraId="589E75D3">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nil"/>
            </w:tcBorders>
            <w:shd w:val="clear" w:color="auto" w:fill="FFFFFF"/>
            <w:vAlign w:val="center"/>
          </w:tcPr>
          <w:p w14:paraId="51FEDB4A">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nil"/>
            </w:tcBorders>
            <w:shd w:val="clear" w:color="auto" w:fill="FFFFFF"/>
            <w:vAlign w:val="center"/>
          </w:tcPr>
          <w:p w14:paraId="560A449D">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nil"/>
            </w:tcBorders>
            <w:shd w:val="clear" w:color="auto" w:fill="FFFFFF"/>
            <w:vAlign w:val="center"/>
          </w:tcPr>
          <w:p w14:paraId="21DF91E1">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305E9">
            <w:pPr>
              <w:jc w:val="center"/>
              <w:rPr>
                <w:rFonts w:hint="eastAsia" w:ascii="宋体" w:hAnsi="宋体" w:eastAsia="宋体" w:cs="宋体"/>
                <w:i w:val="0"/>
                <w:iCs w:val="0"/>
                <w:color w:val="000000"/>
                <w:sz w:val="18"/>
                <w:szCs w:val="18"/>
                <w:u w:val="none"/>
              </w:rPr>
            </w:pPr>
          </w:p>
        </w:tc>
      </w:tr>
    </w:tbl>
    <w:p w14:paraId="19D99FEB">
      <w:pPr>
        <w:pStyle w:val="21"/>
        <w:rPr>
          <w:color w:val="auto"/>
          <w:highlight w:val="none"/>
        </w:rPr>
      </w:pPr>
    </w:p>
    <w:p w14:paraId="6B8FB347">
      <w:pPr>
        <w:rPr>
          <w:color w:val="auto"/>
          <w:highlight w:val="none"/>
        </w:rPr>
        <w:sectPr>
          <w:pgSz w:w="16837" w:h="11905"/>
          <w:pgMar w:top="626" w:right="621" w:bottom="0" w:left="601" w:header="0" w:footer="0" w:gutter="0"/>
          <w:cols w:space="720" w:num="1"/>
        </w:sectPr>
      </w:pPr>
    </w:p>
    <w:tbl>
      <w:tblPr>
        <w:tblStyle w:val="53"/>
        <w:tblW w:w="101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4"/>
        <w:gridCol w:w="119"/>
        <w:gridCol w:w="74"/>
        <w:gridCol w:w="89"/>
        <w:gridCol w:w="1296"/>
        <w:gridCol w:w="1146"/>
        <w:gridCol w:w="313"/>
        <w:gridCol w:w="283"/>
        <w:gridCol w:w="493"/>
        <w:gridCol w:w="179"/>
        <w:gridCol w:w="30"/>
        <w:gridCol w:w="45"/>
        <w:gridCol w:w="775"/>
        <w:gridCol w:w="209"/>
        <w:gridCol w:w="298"/>
        <w:gridCol w:w="715"/>
        <w:gridCol w:w="224"/>
        <w:gridCol w:w="254"/>
        <w:gridCol w:w="389"/>
        <w:gridCol w:w="45"/>
        <w:gridCol w:w="986"/>
        <w:gridCol w:w="15"/>
        <w:gridCol w:w="358"/>
        <w:gridCol w:w="372"/>
        <w:gridCol w:w="969"/>
        <w:gridCol w:w="15"/>
      </w:tblGrid>
      <w:tr w14:paraId="4782F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85" w:hRule="atLeast"/>
        </w:trPr>
        <w:tc>
          <w:tcPr>
            <w:tcW w:w="4425" w:type="dxa"/>
            <w:gridSpan w:val="10"/>
            <w:tcBorders>
              <w:top w:val="nil"/>
              <w:left w:val="nil"/>
              <w:bottom w:val="nil"/>
              <w:right w:val="nil"/>
            </w:tcBorders>
            <w:shd w:val="clear" w:color="auto" w:fill="FFFFFF"/>
            <w:vAlign w:val="center"/>
          </w:tcPr>
          <w:p w14:paraId="617655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【表10.2.2-20】</w:t>
            </w:r>
          </w:p>
        </w:tc>
        <w:tc>
          <w:tcPr>
            <w:tcW w:w="2085" w:type="dxa"/>
            <w:gridSpan w:val="6"/>
            <w:tcBorders>
              <w:top w:val="nil"/>
              <w:left w:val="nil"/>
              <w:bottom w:val="nil"/>
              <w:right w:val="nil"/>
            </w:tcBorders>
            <w:shd w:val="clear" w:color="auto" w:fill="FFFFFF"/>
            <w:vAlign w:val="bottom"/>
          </w:tcPr>
          <w:p w14:paraId="0500F71A">
            <w:pPr>
              <w:jc w:val="left"/>
              <w:rPr>
                <w:rFonts w:hint="eastAsia" w:ascii="宋体" w:hAnsi="宋体" w:eastAsia="宋体" w:cs="宋体"/>
                <w:i w:val="0"/>
                <w:iCs w:val="0"/>
                <w:color w:val="000000"/>
                <w:sz w:val="18"/>
                <w:szCs w:val="18"/>
                <w:u w:val="none"/>
              </w:rPr>
            </w:pPr>
          </w:p>
        </w:tc>
        <w:tc>
          <w:tcPr>
            <w:tcW w:w="870" w:type="dxa"/>
            <w:gridSpan w:val="3"/>
            <w:tcBorders>
              <w:top w:val="nil"/>
              <w:left w:val="nil"/>
              <w:bottom w:val="nil"/>
              <w:right w:val="nil"/>
            </w:tcBorders>
            <w:shd w:val="clear" w:color="auto" w:fill="FFFFFF"/>
            <w:vAlign w:val="center"/>
          </w:tcPr>
          <w:p w14:paraId="767DC170">
            <w:pPr>
              <w:jc w:val="center"/>
              <w:rPr>
                <w:rFonts w:hint="eastAsia" w:ascii="宋体" w:hAnsi="宋体" w:eastAsia="宋体" w:cs="宋体"/>
                <w:i w:val="0"/>
                <w:iCs w:val="0"/>
                <w:color w:val="000000"/>
                <w:sz w:val="18"/>
                <w:szCs w:val="18"/>
                <w:u w:val="none"/>
              </w:rPr>
            </w:pPr>
          </w:p>
        </w:tc>
        <w:tc>
          <w:tcPr>
            <w:tcW w:w="1785" w:type="dxa"/>
            <w:gridSpan w:val="5"/>
            <w:tcBorders>
              <w:top w:val="nil"/>
              <w:left w:val="nil"/>
              <w:bottom w:val="nil"/>
              <w:right w:val="nil"/>
            </w:tcBorders>
            <w:shd w:val="clear" w:color="auto" w:fill="FFFFFF"/>
            <w:vAlign w:val="bottom"/>
          </w:tcPr>
          <w:p w14:paraId="67842D6E">
            <w:pPr>
              <w:jc w:val="left"/>
              <w:rPr>
                <w:rFonts w:hint="eastAsia" w:ascii="宋体" w:hAnsi="宋体" w:eastAsia="宋体" w:cs="宋体"/>
                <w:i w:val="0"/>
                <w:iCs w:val="0"/>
                <w:color w:val="000000"/>
                <w:sz w:val="18"/>
                <w:szCs w:val="18"/>
                <w:u w:val="none"/>
              </w:rPr>
            </w:pPr>
          </w:p>
        </w:tc>
        <w:tc>
          <w:tcPr>
            <w:tcW w:w="975" w:type="dxa"/>
            <w:tcBorders>
              <w:top w:val="nil"/>
              <w:left w:val="nil"/>
              <w:bottom w:val="nil"/>
              <w:right w:val="nil"/>
            </w:tcBorders>
            <w:shd w:val="clear" w:color="auto" w:fill="FFFFFF"/>
            <w:vAlign w:val="center"/>
          </w:tcPr>
          <w:p w14:paraId="2DB65948">
            <w:pPr>
              <w:jc w:val="center"/>
              <w:rPr>
                <w:rFonts w:hint="eastAsia" w:ascii="宋体" w:hAnsi="宋体" w:eastAsia="宋体" w:cs="宋体"/>
                <w:i w:val="0"/>
                <w:iCs w:val="0"/>
                <w:color w:val="000000"/>
                <w:sz w:val="18"/>
                <w:szCs w:val="18"/>
                <w:u w:val="none"/>
              </w:rPr>
            </w:pPr>
          </w:p>
        </w:tc>
      </w:tr>
      <w:tr w14:paraId="45AB8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900" w:hRule="atLeast"/>
        </w:trPr>
        <w:tc>
          <w:tcPr>
            <w:tcW w:w="10140" w:type="dxa"/>
            <w:gridSpan w:val="25"/>
            <w:tcBorders>
              <w:top w:val="nil"/>
              <w:left w:val="nil"/>
              <w:bottom w:val="nil"/>
              <w:right w:val="nil"/>
            </w:tcBorders>
            <w:shd w:val="clear" w:color="auto" w:fill="FFFFFF"/>
            <w:vAlign w:val="center"/>
          </w:tcPr>
          <w:p w14:paraId="0264A8F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施工组织（总价）措施项目清单与计价表</w:t>
            </w:r>
          </w:p>
        </w:tc>
      </w:tr>
      <w:tr w14:paraId="46A84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435" w:hRule="atLeast"/>
        </w:trPr>
        <w:tc>
          <w:tcPr>
            <w:tcW w:w="4425" w:type="dxa"/>
            <w:gridSpan w:val="10"/>
            <w:tcBorders>
              <w:top w:val="nil"/>
              <w:left w:val="nil"/>
              <w:bottom w:val="nil"/>
              <w:right w:val="nil"/>
            </w:tcBorders>
            <w:shd w:val="clear" w:color="auto" w:fill="FFFFFF"/>
            <w:vAlign w:val="bottom"/>
          </w:tcPr>
          <w:p w14:paraId="18B65FA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工程名称:市政保养工程</w:t>
            </w:r>
          </w:p>
        </w:tc>
        <w:tc>
          <w:tcPr>
            <w:tcW w:w="2085" w:type="dxa"/>
            <w:gridSpan w:val="6"/>
            <w:tcBorders>
              <w:top w:val="nil"/>
              <w:left w:val="nil"/>
              <w:bottom w:val="nil"/>
              <w:right w:val="nil"/>
            </w:tcBorders>
            <w:shd w:val="clear" w:color="auto" w:fill="FFFFFF"/>
            <w:vAlign w:val="bottom"/>
          </w:tcPr>
          <w:p w14:paraId="0E9E6D7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3630" w:type="dxa"/>
            <w:gridSpan w:val="9"/>
            <w:tcBorders>
              <w:top w:val="nil"/>
              <w:left w:val="nil"/>
              <w:bottom w:val="nil"/>
              <w:right w:val="nil"/>
            </w:tcBorders>
            <w:shd w:val="clear" w:color="auto" w:fill="FFFFFF"/>
            <w:vAlign w:val="bottom"/>
          </w:tcPr>
          <w:p w14:paraId="59A6418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44FF1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855"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62D24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45" w:type="dxa"/>
            <w:tcBorders>
              <w:top w:val="single" w:color="000000" w:sz="4" w:space="0"/>
              <w:left w:val="single" w:color="000000" w:sz="4" w:space="0"/>
              <w:bottom w:val="nil"/>
              <w:right w:val="nil"/>
            </w:tcBorders>
            <w:shd w:val="clear" w:color="auto" w:fill="FFFFFF"/>
            <w:vAlign w:val="center"/>
          </w:tcPr>
          <w:p w14:paraId="3E5B7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项目编号</w:t>
            </w:r>
          </w:p>
        </w:tc>
        <w:tc>
          <w:tcPr>
            <w:tcW w:w="2430" w:type="dxa"/>
            <w:gridSpan w:val="5"/>
            <w:tcBorders>
              <w:top w:val="single" w:color="000000" w:sz="4" w:space="0"/>
              <w:left w:val="single" w:color="000000" w:sz="4" w:space="0"/>
              <w:bottom w:val="nil"/>
              <w:right w:val="nil"/>
            </w:tcBorders>
            <w:shd w:val="clear" w:color="auto" w:fill="FFFFFF"/>
            <w:vAlign w:val="center"/>
          </w:tcPr>
          <w:p w14:paraId="646A5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085" w:type="dxa"/>
            <w:gridSpan w:val="6"/>
            <w:tcBorders>
              <w:top w:val="single" w:color="000000" w:sz="4" w:space="0"/>
              <w:left w:val="single" w:color="000000" w:sz="4" w:space="0"/>
              <w:bottom w:val="nil"/>
              <w:right w:val="nil"/>
            </w:tcBorders>
            <w:shd w:val="clear" w:color="auto" w:fill="FFFFFF"/>
            <w:vAlign w:val="center"/>
          </w:tcPr>
          <w:p w14:paraId="757C4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870" w:type="dxa"/>
            <w:gridSpan w:val="3"/>
            <w:tcBorders>
              <w:top w:val="single" w:color="000000" w:sz="4" w:space="0"/>
              <w:left w:val="single" w:color="000000" w:sz="4" w:space="0"/>
              <w:bottom w:val="nil"/>
              <w:right w:val="nil"/>
            </w:tcBorders>
            <w:shd w:val="clear" w:color="auto" w:fill="FFFFFF"/>
            <w:vAlign w:val="center"/>
          </w:tcPr>
          <w:p w14:paraId="2BEFE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p>
        </w:tc>
        <w:tc>
          <w:tcPr>
            <w:tcW w:w="1785" w:type="dxa"/>
            <w:gridSpan w:val="5"/>
            <w:tcBorders>
              <w:top w:val="single" w:color="000000" w:sz="4" w:space="0"/>
              <w:left w:val="single" w:color="000000" w:sz="4" w:space="0"/>
              <w:bottom w:val="nil"/>
              <w:right w:val="nil"/>
            </w:tcBorders>
            <w:shd w:val="clear" w:color="auto" w:fill="FFFFFF"/>
            <w:vAlign w:val="center"/>
          </w:tcPr>
          <w:p w14:paraId="3480D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5DA3A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CEB9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49B6A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5" w:type="dxa"/>
            <w:tcBorders>
              <w:top w:val="single" w:color="000000" w:sz="4" w:space="0"/>
              <w:left w:val="single" w:color="000000" w:sz="4" w:space="0"/>
              <w:bottom w:val="nil"/>
              <w:right w:val="nil"/>
            </w:tcBorders>
            <w:shd w:val="clear" w:color="auto" w:fill="FFFFFF"/>
            <w:vAlign w:val="center"/>
          </w:tcPr>
          <w:p w14:paraId="573A6A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041109001001</w:t>
            </w:r>
          </w:p>
        </w:tc>
        <w:tc>
          <w:tcPr>
            <w:tcW w:w="2430" w:type="dxa"/>
            <w:gridSpan w:val="5"/>
            <w:tcBorders>
              <w:top w:val="single" w:color="000000" w:sz="4" w:space="0"/>
              <w:left w:val="single" w:color="000000" w:sz="4" w:space="0"/>
              <w:bottom w:val="nil"/>
              <w:right w:val="nil"/>
            </w:tcBorders>
            <w:shd w:val="clear" w:color="auto" w:fill="FFFFFF"/>
            <w:vAlign w:val="center"/>
          </w:tcPr>
          <w:p w14:paraId="7BE3EF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2085" w:type="dxa"/>
            <w:gridSpan w:val="6"/>
            <w:tcBorders>
              <w:top w:val="single" w:color="000000" w:sz="4" w:space="0"/>
              <w:left w:val="single" w:color="000000" w:sz="4" w:space="0"/>
              <w:bottom w:val="nil"/>
              <w:right w:val="nil"/>
            </w:tcBorders>
            <w:shd w:val="clear" w:color="auto" w:fill="FFFFFF"/>
            <w:vAlign w:val="center"/>
          </w:tcPr>
          <w:p w14:paraId="10FA46DD">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462EC886">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226D3829">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043F2C70">
            <w:pPr>
              <w:jc w:val="center"/>
              <w:rPr>
                <w:rFonts w:hint="eastAsia" w:ascii="宋体" w:hAnsi="宋体" w:eastAsia="宋体" w:cs="宋体"/>
                <w:i w:val="0"/>
                <w:iCs w:val="0"/>
                <w:color w:val="000000"/>
                <w:sz w:val="18"/>
                <w:szCs w:val="18"/>
                <w:u w:val="none"/>
              </w:rPr>
            </w:pPr>
          </w:p>
        </w:tc>
      </w:tr>
      <w:tr w14:paraId="1A1D1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1C7B4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45" w:type="dxa"/>
            <w:tcBorders>
              <w:top w:val="single" w:color="000000" w:sz="4" w:space="0"/>
              <w:left w:val="single" w:color="000000" w:sz="4" w:space="0"/>
              <w:bottom w:val="nil"/>
              <w:right w:val="nil"/>
            </w:tcBorders>
            <w:shd w:val="clear" w:color="auto" w:fill="FFFFFF"/>
            <w:vAlign w:val="center"/>
          </w:tcPr>
          <w:p w14:paraId="20634B51">
            <w:pPr>
              <w:jc w:val="left"/>
              <w:rPr>
                <w:rFonts w:hint="eastAsia" w:ascii="宋体" w:hAnsi="宋体" w:eastAsia="宋体" w:cs="宋体"/>
                <w:i w:val="0"/>
                <w:iCs w:val="0"/>
                <w:color w:val="000000"/>
                <w:sz w:val="18"/>
                <w:szCs w:val="18"/>
                <w:u w:val="none"/>
              </w:rPr>
            </w:pPr>
          </w:p>
        </w:tc>
        <w:tc>
          <w:tcPr>
            <w:tcW w:w="2430" w:type="dxa"/>
            <w:gridSpan w:val="5"/>
            <w:tcBorders>
              <w:top w:val="single" w:color="000000" w:sz="4" w:space="0"/>
              <w:left w:val="single" w:color="000000" w:sz="4" w:space="0"/>
              <w:bottom w:val="nil"/>
              <w:right w:val="nil"/>
            </w:tcBorders>
            <w:shd w:val="clear" w:color="auto" w:fill="FFFFFF"/>
            <w:vAlign w:val="center"/>
          </w:tcPr>
          <w:p w14:paraId="5C5901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安全文明施工基本费</w:t>
            </w:r>
          </w:p>
        </w:tc>
        <w:tc>
          <w:tcPr>
            <w:tcW w:w="2085" w:type="dxa"/>
            <w:gridSpan w:val="6"/>
            <w:tcBorders>
              <w:top w:val="single" w:color="000000" w:sz="4" w:space="0"/>
              <w:left w:val="single" w:color="000000" w:sz="4" w:space="0"/>
              <w:bottom w:val="nil"/>
              <w:right w:val="nil"/>
            </w:tcBorders>
            <w:shd w:val="clear" w:color="auto" w:fill="FFFFFF"/>
            <w:vAlign w:val="center"/>
          </w:tcPr>
          <w:p w14:paraId="1BF0C539">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bottom"/>
          </w:tcPr>
          <w:p w14:paraId="13F75205">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5B039F8A">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4F8EE53F">
            <w:pPr>
              <w:jc w:val="center"/>
              <w:rPr>
                <w:rFonts w:hint="eastAsia" w:ascii="宋体" w:hAnsi="宋体" w:eastAsia="宋体" w:cs="宋体"/>
                <w:i w:val="0"/>
                <w:iCs w:val="0"/>
                <w:color w:val="000000"/>
                <w:sz w:val="18"/>
                <w:szCs w:val="18"/>
                <w:u w:val="none"/>
              </w:rPr>
            </w:pPr>
          </w:p>
        </w:tc>
      </w:tr>
      <w:tr w14:paraId="57365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4F74A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45" w:type="dxa"/>
            <w:tcBorders>
              <w:top w:val="single" w:color="000000" w:sz="4" w:space="0"/>
              <w:left w:val="single" w:color="000000" w:sz="4" w:space="0"/>
              <w:bottom w:val="nil"/>
              <w:right w:val="nil"/>
            </w:tcBorders>
            <w:shd w:val="clear" w:color="auto" w:fill="FFFFFF"/>
            <w:vAlign w:val="center"/>
          </w:tcPr>
          <w:p w14:paraId="6590DD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Z04110900801</w:t>
            </w:r>
          </w:p>
        </w:tc>
        <w:tc>
          <w:tcPr>
            <w:tcW w:w="2430" w:type="dxa"/>
            <w:gridSpan w:val="5"/>
            <w:tcBorders>
              <w:top w:val="single" w:color="000000" w:sz="4" w:space="0"/>
              <w:left w:val="single" w:color="000000" w:sz="4" w:space="0"/>
              <w:bottom w:val="nil"/>
              <w:right w:val="nil"/>
            </w:tcBorders>
            <w:shd w:val="clear" w:color="auto" w:fill="FFFFFF"/>
            <w:vAlign w:val="center"/>
          </w:tcPr>
          <w:p w14:paraId="28EFAD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提前竣工增加费</w:t>
            </w:r>
          </w:p>
        </w:tc>
        <w:tc>
          <w:tcPr>
            <w:tcW w:w="2085" w:type="dxa"/>
            <w:gridSpan w:val="6"/>
            <w:tcBorders>
              <w:top w:val="single" w:color="000000" w:sz="4" w:space="0"/>
              <w:left w:val="single" w:color="000000" w:sz="4" w:space="0"/>
              <w:bottom w:val="nil"/>
              <w:right w:val="nil"/>
            </w:tcBorders>
            <w:shd w:val="clear" w:color="auto" w:fill="FFFFFF"/>
            <w:vAlign w:val="center"/>
          </w:tcPr>
          <w:p w14:paraId="2D725CF8">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221AAF50">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14A958DA">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300B63C3">
            <w:pPr>
              <w:jc w:val="center"/>
              <w:rPr>
                <w:rFonts w:hint="eastAsia" w:ascii="宋体" w:hAnsi="宋体" w:eastAsia="宋体" w:cs="宋体"/>
                <w:i w:val="0"/>
                <w:iCs w:val="0"/>
                <w:color w:val="000000"/>
                <w:sz w:val="18"/>
                <w:szCs w:val="18"/>
                <w:u w:val="none"/>
              </w:rPr>
            </w:pPr>
          </w:p>
        </w:tc>
      </w:tr>
      <w:tr w14:paraId="7BC42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44276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45" w:type="dxa"/>
            <w:tcBorders>
              <w:top w:val="single" w:color="000000" w:sz="4" w:space="0"/>
              <w:left w:val="single" w:color="000000" w:sz="4" w:space="0"/>
              <w:bottom w:val="nil"/>
              <w:right w:val="nil"/>
            </w:tcBorders>
            <w:shd w:val="clear" w:color="auto" w:fill="FFFFFF"/>
            <w:vAlign w:val="center"/>
          </w:tcPr>
          <w:p w14:paraId="3101B4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041109003001</w:t>
            </w:r>
          </w:p>
        </w:tc>
        <w:tc>
          <w:tcPr>
            <w:tcW w:w="2430" w:type="dxa"/>
            <w:gridSpan w:val="5"/>
            <w:tcBorders>
              <w:top w:val="single" w:color="000000" w:sz="4" w:space="0"/>
              <w:left w:val="single" w:color="000000" w:sz="4" w:space="0"/>
              <w:bottom w:val="nil"/>
              <w:right w:val="nil"/>
            </w:tcBorders>
            <w:shd w:val="clear" w:color="auto" w:fill="FFFFFF"/>
            <w:vAlign w:val="center"/>
          </w:tcPr>
          <w:p w14:paraId="06E19D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2085" w:type="dxa"/>
            <w:gridSpan w:val="6"/>
            <w:tcBorders>
              <w:top w:val="single" w:color="000000" w:sz="4" w:space="0"/>
              <w:left w:val="single" w:color="000000" w:sz="4" w:space="0"/>
              <w:bottom w:val="nil"/>
              <w:right w:val="nil"/>
            </w:tcBorders>
            <w:shd w:val="clear" w:color="auto" w:fill="FFFFFF"/>
            <w:vAlign w:val="center"/>
          </w:tcPr>
          <w:p w14:paraId="436D716A">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3F80EFD1">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1295184E">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2CC7A90F">
            <w:pPr>
              <w:jc w:val="center"/>
              <w:rPr>
                <w:rFonts w:hint="eastAsia" w:ascii="宋体" w:hAnsi="宋体" w:eastAsia="宋体" w:cs="宋体"/>
                <w:i w:val="0"/>
                <w:iCs w:val="0"/>
                <w:color w:val="000000"/>
                <w:sz w:val="18"/>
                <w:szCs w:val="18"/>
                <w:u w:val="none"/>
              </w:rPr>
            </w:pPr>
          </w:p>
        </w:tc>
      </w:tr>
      <w:tr w14:paraId="11320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2E7FF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45" w:type="dxa"/>
            <w:tcBorders>
              <w:top w:val="single" w:color="000000" w:sz="4" w:space="0"/>
              <w:left w:val="single" w:color="000000" w:sz="4" w:space="0"/>
              <w:bottom w:val="nil"/>
              <w:right w:val="nil"/>
            </w:tcBorders>
            <w:shd w:val="clear" w:color="auto" w:fill="FFFFFF"/>
            <w:vAlign w:val="center"/>
          </w:tcPr>
          <w:p w14:paraId="67CB3C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041109004001</w:t>
            </w:r>
          </w:p>
        </w:tc>
        <w:tc>
          <w:tcPr>
            <w:tcW w:w="2430" w:type="dxa"/>
            <w:gridSpan w:val="5"/>
            <w:tcBorders>
              <w:top w:val="single" w:color="000000" w:sz="4" w:space="0"/>
              <w:left w:val="single" w:color="000000" w:sz="4" w:space="0"/>
              <w:bottom w:val="nil"/>
              <w:right w:val="nil"/>
            </w:tcBorders>
            <w:shd w:val="clear" w:color="auto" w:fill="FFFFFF"/>
            <w:vAlign w:val="center"/>
          </w:tcPr>
          <w:p w14:paraId="6135A1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2085" w:type="dxa"/>
            <w:gridSpan w:val="6"/>
            <w:tcBorders>
              <w:top w:val="single" w:color="000000" w:sz="4" w:space="0"/>
              <w:left w:val="single" w:color="000000" w:sz="4" w:space="0"/>
              <w:bottom w:val="nil"/>
              <w:right w:val="nil"/>
            </w:tcBorders>
            <w:shd w:val="clear" w:color="auto" w:fill="FFFFFF"/>
            <w:vAlign w:val="center"/>
          </w:tcPr>
          <w:p w14:paraId="4F3C46A0">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31D220AA">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1FC01F8B">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2AAC33F6">
            <w:pPr>
              <w:jc w:val="center"/>
              <w:rPr>
                <w:rFonts w:hint="eastAsia" w:ascii="宋体" w:hAnsi="宋体" w:eastAsia="宋体" w:cs="宋体"/>
                <w:i w:val="0"/>
                <w:iCs w:val="0"/>
                <w:color w:val="000000"/>
                <w:sz w:val="18"/>
                <w:szCs w:val="18"/>
                <w:u w:val="none"/>
              </w:rPr>
            </w:pPr>
          </w:p>
        </w:tc>
      </w:tr>
      <w:tr w14:paraId="5822E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1B34A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45" w:type="dxa"/>
            <w:tcBorders>
              <w:top w:val="single" w:color="000000" w:sz="4" w:space="0"/>
              <w:left w:val="single" w:color="000000" w:sz="4" w:space="0"/>
              <w:bottom w:val="nil"/>
              <w:right w:val="nil"/>
            </w:tcBorders>
            <w:shd w:val="clear" w:color="auto" w:fill="FFFFFF"/>
            <w:vAlign w:val="center"/>
          </w:tcPr>
          <w:p w14:paraId="1EEC08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041109005001</w:t>
            </w:r>
          </w:p>
        </w:tc>
        <w:tc>
          <w:tcPr>
            <w:tcW w:w="2430" w:type="dxa"/>
            <w:gridSpan w:val="5"/>
            <w:tcBorders>
              <w:top w:val="single" w:color="000000" w:sz="4" w:space="0"/>
              <w:left w:val="single" w:color="000000" w:sz="4" w:space="0"/>
              <w:bottom w:val="nil"/>
              <w:right w:val="nil"/>
            </w:tcBorders>
            <w:shd w:val="clear" w:color="auto" w:fill="FFFFFF"/>
            <w:vAlign w:val="center"/>
          </w:tcPr>
          <w:p w14:paraId="781799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行车、行人干扰增加费</w:t>
            </w:r>
          </w:p>
        </w:tc>
        <w:tc>
          <w:tcPr>
            <w:tcW w:w="2085" w:type="dxa"/>
            <w:gridSpan w:val="6"/>
            <w:tcBorders>
              <w:top w:val="single" w:color="000000" w:sz="4" w:space="0"/>
              <w:left w:val="single" w:color="000000" w:sz="4" w:space="0"/>
              <w:bottom w:val="nil"/>
              <w:right w:val="nil"/>
            </w:tcBorders>
            <w:shd w:val="clear" w:color="auto" w:fill="FFFFFF"/>
            <w:vAlign w:val="center"/>
          </w:tcPr>
          <w:p w14:paraId="375C6D46">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06E1FB59">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68EF13DC">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3A0491F1">
            <w:pPr>
              <w:jc w:val="center"/>
              <w:rPr>
                <w:rFonts w:hint="eastAsia" w:ascii="宋体" w:hAnsi="宋体" w:eastAsia="宋体" w:cs="宋体"/>
                <w:i w:val="0"/>
                <w:iCs w:val="0"/>
                <w:color w:val="000000"/>
                <w:sz w:val="18"/>
                <w:szCs w:val="18"/>
                <w:u w:val="none"/>
              </w:rPr>
            </w:pPr>
          </w:p>
        </w:tc>
      </w:tr>
      <w:tr w14:paraId="0F8D7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60BB4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45" w:type="dxa"/>
            <w:tcBorders>
              <w:top w:val="single" w:color="000000" w:sz="4" w:space="0"/>
              <w:left w:val="single" w:color="000000" w:sz="4" w:space="0"/>
              <w:bottom w:val="nil"/>
              <w:right w:val="nil"/>
            </w:tcBorders>
            <w:shd w:val="clear" w:color="auto" w:fill="FFFFFF"/>
            <w:vAlign w:val="center"/>
          </w:tcPr>
          <w:p w14:paraId="78F99164">
            <w:pPr>
              <w:jc w:val="left"/>
              <w:rPr>
                <w:rFonts w:hint="eastAsia" w:ascii="宋体" w:hAnsi="宋体" w:eastAsia="宋体" w:cs="宋体"/>
                <w:i w:val="0"/>
                <w:iCs w:val="0"/>
                <w:color w:val="000000"/>
                <w:sz w:val="18"/>
                <w:szCs w:val="18"/>
                <w:u w:val="none"/>
              </w:rPr>
            </w:pPr>
          </w:p>
        </w:tc>
        <w:tc>
          <w:tcPr>
            <w:tcW w:w="2430" w:type="dxa"/>
            <w:gridSpan w:val="5"/>
            <w:tcBorders>
              <w:top w:val="single" w:color="000000" w:sz="4" w:space="0"/>
              <w:left w:val="single" w:color="000000" w:sz="4" w:space="0"/>
              <w:bottom w:val="nil"/>
              <w:right w:val="nil"/>
            </w:tcBorders>
            <w:shd w:val="clear" w:color="auto" w:fill="FFFFFF"/>
            <w:vAlign w:val="center"/>
          </w:tcPr>
          <w:p w14:paraId="495FEF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其他施工组织措施费</w:t>
            </w:r>
          </w:p>
        </w:tc>
        <w:tc>
          <w:tcPr>
            <w:tcW w:w="2085" w:type="dxa"/>
            <w:gridSpan w:val="6"/>
            <w:tcBorders>
              <w:top w:val="single" w:color="000000" w:sz="4" w:space="0"/>
              <w:left w:val="single" w:color="000000" w:sz="4" w:space="0"/>
              <w:bottom w:val="nil"/>
              <w:right w:val="nil"/>
            </w:tcBorders>
            <w:shd w:val="clear" w:color="auto" w:fill="FFFFFF"/>
            <w:vAlign w:val="center"/>
          </w:tcPr>
          <w:p w14:paraId="3964EE28">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300C0F92">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33159C5E">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73FE6511">
            <w:pPr>
              <w:jc w:val="center"/>
              <w:rPr>
                <w:rFonts w:hint="eastAsia" w:ascii="宋体" w:hAnsi="宋体" w:eastAsia="宋体" w:cs="宋体"/>
                <w:i w:val="0"/>
                <w:iCs w:val="0"/>
                <w:color w:val="000000"/>
                <w:sz w:val="18"/>
                <w:szCs w:val="18"/>
                <w:u w:val="none"/>
              </w:rPr>
            </w:pPr>
          </w:p>
        </w:tc>
      </w:tr>
      <w:tr w14:paraId="3E56D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1DE3B900">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nil"/>
              <w:right w:val="nil"/>
            </w:tcBorders>
            <w:shd w:val="clear" w:color="auto" w:fill="FFFFFF"/>
            <w:vAlign w:val="center"/>
          </w:tcPr>
          <w:p w14:paraId="40FEFDF7">
            <w:pPr>
              <w:jc w:val="left"/>
              <w:rPr>
                <w:rFonts w:hint="eastAsia" w:ascii="宋体" w:hAnsi="宋体" w:eastAsia="宋体" w:cs="宋体"/>
                <w:i w:val="0"/>
                <w:iCs w:val="0"/>
                <w:color w:val="000000"/>
                <w:sz w:val="18"/>
                <w:szCs w:val="18"/>
                <w:u w:val="none"/>
              </w:rPr>
            </w:pPr>
          </w:p>
        </w:tc>
        <w:tc>
          <w:tcPr>
            <w:tcW w:w="2430" w:type="dxa"/>
            <w:gridSpan w:val="5"/>
            <w:tcBorders>
              <w:top w:val="single" w:color="000000" w:sz="4" w:space="0"/>
              <w:left w:val="single" w:color="000000" w:sz="4" w:space="0"/>
              <w:bottom w:val="nil"/>
              <w:right w:val="nil"/>
            </w:tcBorders>
            <w:shd w:val="clear" w:color="auto" w:fill="FFFFFF"/>
            <w:vAlign w:val="center"/>
          </w:tcPr>
          <w:p w14:paraId="3AAA580C">
            <w:pPr>
              <w:jc w:val="left"/>
              <w:rPr>
                <w:rFonts w:hint="eastAsia" w:ascii="宋体" w:hAnsi="宋体" w:eastAsia="宋体" w:cs="宋体"/>
                <w:i w:val="0"/>
                <w:iCs w:val="0"/>
                <w:color w:val="000000"/>
                <w:sz w:val="18"/>
                <w:szCs w:val="18"/>
                <w:u w:val="none"/>
              </w:rPr>
            </w:pPr>
          </w:p>
        </w:tc>
        <w:tc>
          <w:tcPr>
            <w:tcW w:w="2085" w:type="dxa"/>
            <w:gridSpan w:val="6"/>
            <w:tcBorders>
              <w:top w:val="single" w:color="000000" w:sz="4" w:space="0"/>
              <w:left w:val="single" w:color="000000" w:sz="4" w:space="0"/>
              <w:bottom w:val="nil"/>
              <w:right w:val="nil"/>
            </w:tcBorders>
            <w:shd w:val="clear" w:color="auto" w:fill="FFFFFF"/>
            <w:vAlign w:val="center"/>
          </w:tcPr>
          <w:p w14:paraId="58D75037">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4C98F957">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0C3EF038">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418FBA16">
            <w:pPr>
              <w:jc w:val="center"/>
              <w:rPr>
                <w:rFonts w:hint="eastAsia" w:ascii="宋体" w:hAnsi="宋体" w:eastAsia="宋体" w:cs="宋体"/>
                <w:i w:val="0"/>
                <w:iCs w:val="0"/>
                <w:color w:val="000000"/>
                <w:sz w:val="18"/>
                <w:szCs w:val="18"/>
                <w:u w:val="none"/>
              </w:rPr>
            </w:pPr>
          </w:p>
        </w:tc>
      </w:tr>
      <w:tr w14:paraId="31922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3635A09C">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nil"/>
              <w:right w:val="nil"/>
            </w:tcBorders>
            <w:shd w:val="clear" w:color="auto" w:fill="FFFFFF"/>
            <w:vAlign w:val="center"/>
          </w:tcPr>
          <w:p w14:paraId="6C790850">
            <w:pPr>
              <w:jc w:val="left"/>
              <w:rPr>
                <w:rFonts w:hint="eastAsia" w:ascii="宋体" w:hAnsi="宋体" w:eastAsia="宋体" w:cs="宋体"/>
                <w:i w:val="0"/>
                <w:iCs w:val="0"/>
                <w:color w:val="000000"/>
                <w:sz w:val="18"/>
                <w:szCs w:val="18"/>
                <w:u w:val="none"/>
              </w:rPr>
            </w:pPr>
          </w:p>
        </w:tc>
        <w:tc>
          <w:tcPr>
            <w:tcW w:w="2430" w:type="dxa"/>
            <w:gridSpan w:val="5"/>
            <w:tcBorders>
              <w:top w:val="single" w:color="000000" w:sz="4" w:space="0"/>
              <w:left w:val="single" w:color="000000" w:sz="4" w:space="0"/>
              <w:bottom w:val="nil"/>
              <w:right w:val="nil"/>
            </w:tcBorders>
            <w:shd w:val="clear" w:color="auto" w:fill="FFFFFF"/>
            <w:vAlign w:val="center"/>
          </w:tcPr>
          <w:p w14:paraId="6CB48F63">
            <w:pPr>
              <w:jc w:val="left"/>
              <w:rPr>
                <w:rFonts w:hint="eastAsia" w:ascii="宋体" w:hAnsi="宋体" w:eastAsia="宋体" w:cs="宋体"/>
                <w:i w:val="0"/>
                <w:iCs w:val="0"/>
                <w:color w:val="000000"/>
                <w:sz w:val="18"/>
                <w:szCs w:val="18"/>
                <w:u w:val="none"/>
              </w:rPr>
            </w:pPr>
          </w:p>
        </w:tc>
        <w:tc>
          <w:tcPr>
            <w:tcW w:w="2085" w:type="dxa"/>
            <w:gridSpan w:val="6"/>
            <w:tcBorders>
              <w:top w:val="single" w:color="000000" w:sz="4" w:space="0"/>
              <w:left w:val="single" w:color="000000" w:sz="4" w:space="0"/>
              <w:bottom w:val="nil"/>
              <w:right w:val="nil"/>
            </w:tcBorders>
            <w:shd w:val="clear" w:color="auto" w:fill="FFFFFF"/>
            <w:vAlign w:val="center"/>
          </w:tcPr>
          <w:p w14:paraId="3FF04A19">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04D1BF06">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423EC0FD">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3CFCEA1E">
            <w:pPr>
              <w:jc w:val="center"/>
              <w:rPr>
                <w:rFonts w:hint="eastAsia" w:ascii="宋体" w:hAnsi="宋体" w:eastAsia="宋体" w:cs="宋体"/>
                <w:i w:val="0"/>
                <w:iCs w:val="0"/>
                <w:color w:val="000000"/>
                <w:sz w:val="18"/>
                <w:szCs w:val="18"/>
                <w:u w:val="none"/>
              </w:rPr>
            </w:pPr>
          </w:p>
        </w:tc>
      </w:tr>
      <w:tr w14:paraId="099D2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34B07B2C">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nil"/>
              <w:right w:val="nil"/>
            </w:tcBorders>
            <w:shd w:val="clear" w:color="auto" w:fill="FFFFFF"/>
            <w:vAlign w:val="center"/>
          </w:tcPr>
          <w:p w14:paraId="7D9F8BD9">
            <w:pPr>
              <w:jc w:val="left"/>
              <w:rPr>
                <w:rFonts w:hint="eastAsia" w:ascii="宋体" w:hAnsi="宋体" w:eastAsia="宋体" w:cs="宋体"/>
                <w:i w:val="0"/>
                <w:iCs w:val="0"/>
                <w:color w:val="000000"/>
                <w:sz w:val="18"/>
                <w:szCs w:val="18"/>
                <w:u w:val="none"/>
              </w:rPr>
            </w:pPr>
          </w:p>
        </w:tc>
        <w:tc>
          <w:tcPr>
            <w:tcW w:w="2430" w:type="dxa"/>
            <w:gridSpan w:val="5"/>
            <w:tcBorders>
              <w:top w:val="single" w:color="000000" w:sz="4" w:space="0"/>
              <w:left w:val="single" w:color="000000" w:sz="4" w:space="0"/>
              <w:bottom w:val="nil"/>
              <w:right w:val="nil"/>
            </w:tcBorders>
            <w:shd w:val="clear" w:color="auto" w:fill="FFFFFF"/>
            <w:vAlign w:val="center"/>
          </w:tcPr>
          <w:p w14:paraId="542FA381">
            <w:pPr>
              <w:jc w:val="left"/>
              <w:rPr>
                <w:rFonts w:hint="eastAsia" w:ascii="宋体" w:hAnsi="宋体" w:eastAsia="宋体" w:cs="宋体"/>
                <w:i w:val="0"/>
                <w:iCs w:val="0"/>
                <w:color w:val="000000"/>
                <w:sz w:val="18"/>
                <w:szCs w:val="18"/>
                <w:u w:val="none"/>
              </w:rPr>
            </w:pPr>
          </w:p>
        </w:tc>
        <w:tc>
          <w:tcPr>
            <w:tcW w:w="2085" w:type="dxa"/>
            <w:gridSpan w:val="6"/>
            <w:tcBorders>
              <w:top w:val="single" w:color="000000" w:sz="4" w:space="0"/>
              <w:left w:val="single" w:color="000000" w:sz="4" w:space="0"/>
              <w:bottom w:val="nil"/>
              <w:right w:val="nil"/>
            </w:tcBorders>
            <w:shd w:val="clear" w:color="auto" w:fill="FFFFFF"/>
            <w:vAlign w:val="center"/>
          </w:tcPr>
          <w:p w14:paraId="2162DB2D">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386B0DE7">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00F5E7C5">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38D977DB">
            <w:pPr>
              <w:jc w:val="center"/>
              <w:rPr>
                <w:rFonts w:hint="eastAsia" w:ascii="宋体" w:hAnsi="宋体" w:eastAsia="宋体" w:cs="宋体"/>
                <w:i w:val="0"/>
                <w:iCs w:val="0"/>
                <w:color w:val="000000"/>
                <w:sz w:val="18"/>
                <w:szCs w:val="18"/>
                <w:u w:val="none"/>
              </w:rPr>
            </w:pPr>
          </w:p>
        </w:tc>
      </w:tr>
      <w:tr w14:paraId="744B8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63CB1CD0">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nil"/>
              <w:right w:val="nil"/>
            </w:tcBorders>
            <w:shd w:val="clear" w:color="auto" w:fill="FFFFFF"/>
            <w:vAlign w:val="center"/>
          </w:tcPr>
          <w:p w14:paraId="27E2F131">
            <w:pPr>
              <w:jc w:val="left"/>
              <w:rPr>
                <w:rFonts w:hint="eastAsia" w:ascii="宋体" w:hAnsi="宋体" w:eastAsia="宋体" w:cs="宋体"/>
                <w:i w:val="0"/>
                <w:iCs w:val="0"/>
                <w:color w:val="000000"/>
                <w:sz w:val="18"/>
                <w:szCs w:val="18"/>
                <w:u w:val="none"/>
              </w:rPr>
            </w:pPr>
          </w:p>
        </w:tc>
        <w:tc>
          <w:tcPr>
            <w:tcW w:w="2430" w:type="dxa"/>
            <w:gridSpan w:val="5"/>
            <w:tcBorders>
              <w:top w:val="single" w:color="000000" w:sz="4" w:space="0"/>
              <w:left w:val="single" w:color="000000" w:sz="4" w:space="0"/>
              <w:bottom w:val="nil"/>
              <w:right w:val="nil"/>
            </w:tcBorders>
            <w:shd w:val="clear" w:color="auto" w:fill="FFFFFF"/>
            <w:vAlign w:val="center"/>
          </w:tcPr>
          <w:p w14:paraId="7C75939B">
            <w:pPr>
              <w:jc w:val="left"/>
              <w:rPr>
                <w:rFonts w:hint="eastAsia" w:ascii="宋体" w:hAnsi="宋体" w:eastAsia="宋体" w:cs="宋体"/>
                <w:i w:val="0"/>
                <w:iCs w:val="0"/>
                <w:color w:val="000000"/>
                <w:sz w:val="18"/>
                <w:szCs w:val="18"/>
                <w:u w:val="none"/>
              </w:rPr>
            </w:pPr>
          </w:p>
        </w:tc>
        <w:tc>
          <w:tcPr>
            <w:tcW w:w="2085" w:type="dxa"/>
            <w:gridSpan w:val="6"/>
            <w:tcBorders>
              <w:top w:val="single" w:color="000000" w:sz="4" w:space="0"/>
              <w:left w:val="single" w:color="000000" w:sz="4" w:space="0"/>
              <w:bottom w:val="nil"/>
              <w:right w:val="nil"/>
            </w:tcBorders>
            <w:shd w:val="clear" w:color="auto" w:fill="FFFFFF"/>
            <w:vAlign w:val="center"/>
          </w:tcPr>
          <w:p w14:paraId="6C0DBC97">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52F4BFC0">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3B1424C8">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7447D2C3">
            <w:pPr>
              <w:jc w:val="center"/>
              <w:rPr>
                <w:rFonts w:hint="eastAsia" w:ascii="宋体" w:hAnsi="宋体" w:eastAsia="宋体" w:cs="宋体"/>
                <w:i w:val="0"/>
                <w:iCs w:val="0"/>
                <w:color w:val="000000"/>
                <w:sz w:val="18"/>
                <w:szCs w:val="18"/>
                <w:u w:val="none"/>
              </w:rPr>
            </w:pPr>
          </w:p>
        </w:tc>
      </w:tr>
      <w:tr w14:paraId="30F7A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7BEE4B56">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nil"/>
              <w:right w:val="nil"/>
            </w:tcBorders>
            <w:shd w:val="clear" w:color="auto" w:fill="FFFFFF"/>
            <w:vAlign w:val="center"/>
          </w:tcPr>
          <w:p w14:paraId="23400A54">
            <w:pPr>
              <w:jc w:val="left"/>
              <w:rPr>
                <w:rFonts w:hint="eastAsia" w:ascii="宋体" w:hAnsi="宋体" w:eastAsia="宋体" w:cs="宋体"/>
                <w:i w:val="0"/>
                <w:iCs w:val="0"/>
                <w:color w:val="000000"/>
                <w:sz w:val="18"/>
                <w:szCs w:val="18"/>
                <w:u w:val="none"/>
              </w:rPr>
            </w:pPr>
          </w:p>
        </w:tc>
        <w:tc>
          <w:tcPr>
            <w:tcW w:w="2430" w:type="dxa"/>
            <w:gridSpan w:val="5"/>
            <w:tcBorders>
              <w:top w:val="single" w:color="000000" w:sz="4" w:space="0"/>
              <w:left w:val="single" w:color="000000" w:sz="4" w:space="0"/>
              <w:bottom w:val="nil"/>
              <w:right w:val="nil"/>
            </w:tcBorders>
            <w:shd w:val="clear" w:color="auto" w:fill="FFFFFF"/>
            <w:vAlign w:val="center"/>
          </w:tcPr>
          <w:p w14:paraId="68B08104">
            <w:pPr>
              <w:jc w:val="left"/>
              <w:rPr>
                <w:rFonts w:hint="eastAsia" w:ascii="宋体" w:hAnsi="宋体" w:eastAsia="宋体" w:cs="宋体"/>
                <w:i w:val="0"/>
                <w:iCs w:val="0"/>
                <w:color w:val="000000"/>
                <w:sz w:val="18"/>
                <w:szCs w:val="18"/>
                <w:u w:val="none"/>
              </w:rPr>
            </w:pPr>
          </w:p>
        </w:tc>
        <w:tc>
          <w:tcPr>
            <w:tcW w:w="2085" w:type="dxa"/>
            <w:gridSpan w:val="6"/>
            <w:tcBorders>
              <w:top w:val="single" w:color="000000" w:sz="4" w:space="0"/>
              <w:left w:val="single" w:color="000000" w:sz="4" w:space="0"/>
              <w:bottom w:val="nil"/>
              <w:right w:val="nil"/>
            </w:tcBorders>
            <w:shd w:val="clear" w:color="auto" w:fill="FFFFFF"/>
            <w:vAlign w:val="center"/>
          </w:tcPr>
          <w:p w14:paraId="6AA87634">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129BAA8A">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7CE82CE5">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3AAEF48A">
            <w:pPr>
              <w:jc w:val="center"/>
              <w:rPr>
                <w:rFonts w:hint="eastAsia" w:ascii="宋体" w:hAnsi="宋体" w:eastAsia="宋体" w:cs="宋体"/>
                <w:i w:val="0"/>
                <w:iCs w:val="0"/>
                <w:color w:val="000000"/>
                <w:sz w:val="18"/>
                <w:szCs w:val="18"/>
                <w:u w:val="none"/>
              </w:rPr>
            </w:pPr>
          </w:p>
        </w:tc>
      </w:tr>
      <w:tr w14:paraId="27B47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41D9740A">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nil"/>
              <w:right w:val="nil"/>
            </w:tcBorders>
            <w:shd w:val="clear" w:color="auto" w:fill="FFFFFF"/>
            <w:vAlign w:val="center"/>
          </w:tcPr>
          <w:p w14:paraId="2D59A71A">
            <w:pPr>
              <w:jc w:val="left"/>
              <w:rPr>
                <w:rFonts w:hint="eastAsia" w:ascii="宋体" w:hAnsi="宋体" w:eastAsia="宋体" w:cs="宋体"/>
                <w:i w:val="0"/>
                <w:iCs w:val="0"/>
                <w:color w:val="000000"/>
                <w:sz w:val="18"/>
                <w:szCs w:val="18"/>
                <w:u w:val="none"/>
              </w:rPr>
            </w:pPr>
          </w:p>
        </w:tc>
        <w:tc>
          <w:tcPr>
            <w:tcW w:w="2430" w:type="dxa"/>
            <w:gridSpan w:val="5"/>
            <w:tcBorders>
              <w:top w:val="single" w:color="000000" w:sz="4" w:space="0"/>
              <w:left w:val="single" w:color="000000" w:sz="4" w:space="0"/>
              <w:bottom w:val="nil"/>
              <w:right w:val="nil"/>
            </w:tcBorders>
            <w:shd w:val="clear" w:color="auto" w:fill="FFFFFF"/>
            <w:vAlign w:val="center"/>
          </w:tcPr>
          <w:p w14:paraId="02DC358E">
            <w:pPr>
              <w:jc w:val="left"/>
              <w:rPr>
                <w:rFonts w:hint="eastAsia" w:ascii="宋体" w:hAnsi="宋体" w:eastAsia="宋体" w:cs="宋体"/>
                <w:i w:val="0"/>
                <w:iCs w:val="0"/>
                <w:color w:val="000000"/>
                <w:sz w:val="18"/>
                <w:szCs w:val="18"/>
                <w:u w:val="none"/>
              </w:rPr>
            </w:pPr>
          </w:p>
        </w:tc>
        <w:tc>
          <w:tcPr>
            <w:tcW w:w="2085" w:type="dxa"/>
            <w:gridSpan w:val="6"/>
            <w:tcBorders>
              <w:top w:val="single" w:color="000000" w:sz="4" w:space="0"/>
              <w:left w:val="single" w:color="000000" w:sz="4" w:space="0"/>
              <w:bottom w:val="nil"/>
              <w:right w:val="nil"/>
            </w:tcBorders>
            <w:shd w:val="clear" w:color="auto" w:fill="FFFFFF"/>
            <w:vAlign w:val="center"/>
          </w:tcPr>
          <w:p w14:paraId="738927B4">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69FAB9AD">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18952B46">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642A76E9">
            <w:pPr>
              <w:jc w:val="center"/>
              <w:rPr>
                <w:rFonts w:hint="eastAsia" w:ascii="宋体" w:hAnsi="宋体" w:eastAsia="宋体" w:cs="宋体"/>
                <w:i w:val="0"/>
                <w:iCs w:val="0"/>
                <w:color w:val="000000"/>
                <w:sz w:val="18"/>
                <w:szCs w:val="18"/>
                <w:u w:val="none"/>
              </w:rPr>
            </w:pPr>
          </w:p>
        </w:tc>
      </w:tr>
      <w:tr w14:paraId="11E55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3109C8F8">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nil"/>
              <w:right w:val="nil"/>
            </w:tcBorders>
            <w:shd w:val="clear" w:color="auto" w:fill="FFFFFF"/>
            <w:vAlign w:val="center"/>
          </w:tcPr>
          <w:p w14:paraId="7228D5B3">
            <w:pPr>
              <w:jc w:val="left"/>
              <w:rPr>
                <w:rFonts w:hint="eastAsia" w:ascii="宋体" w:hAnsi="宋体" w:eastAsia="宋体" w:cs="宋体"/>
                <w:i w:val="0"/>
                <w:iCs w:val="0"/>
                <w:color w:val="000000"/>
                <w:sz w:val="18"/>
                <w:szCs w:val="18"/>
                <w:u w:val="none"/>
              </w:rPr>
            </w:pPr>
          </w:p>
        </w:tc>
        <w:tc>
          <w:tcPr>
            <w:tcW w:w="2430" w:type="dxa"/>
            <w:gridSpan w:val="5"/>
            <w:tcBorders>
              <w:top w:val="single" w:color="000000" w:sz="4" w:space="0"/>
              <w:left w:val="single" w:color="000000" w:sz="4" w:space="0"/>
              <w:bottom w:val="nil"/>
              <w:right w:val="nil"/>
            </w:tcBorders>
            <w:shd w:val="clear" w:color="auto" w:fill="FFFFFF"/>
            <w:vAlign w:val="center"/>
          </w:tcPr>
          <w:p w14:paraId="02A703DF">
            <w:pPr>
              <w:jc w:val="left"/>
              <w:rPr>
                <w:rFonts w:hint="eastAsia" w:ascii="宋体" w:hAnsi="宋体" w:eastAsia="宋体" w:cs="宋体"/>
                <w:i w:val="0"/>
                <w:iCs w:val="0"/>
                <w:color w:val="000000"/>
                <w:sz w:val="18"/>
                <w:szCs w:val="18"/>
                <w:u w:val="none"/>
              </w:rPr>
            </w:pPr>
          </w:p>
        </w:tc>
        <w:tc>
          <w:tcPr>
            <w:tcW w:w="2085" w:type="dxa"/>
            <w:gridSpan w:val="6"/>
            <w:tcBorders>
              <w:top w:val="single" w:color="000000" w:sz="4" w:space="0"/>
              <w:left w:val="single" w:color="000000" w:sz="4" w:space="0"/>
              <w:bottom w:val="nil"/>
              <w:right w:val="nil"/>
            </w:tcBorders>
            <w:shd w:val="clear" w:color="auto" w:fill="FFFFFF"/>
            <w:vAlign w:val="center"/>
          </w:tcPr>
          <w:p w14:paraId="3AD9F0E0">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63068F48">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7949DE53">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6B073584">
            <w:pPr>
              <w:jc w:val="center"/>
              <w:rPr>
                <w:rFonts w:hint="eastAsia" w:ascii="宋体" w:hAnsi="宋体" w:eastAsia="宋体" w:cs="宋体"/>
                <w:i w:val="0"/>
                <w:iCs w:val="0"/>
                <w:color w:val="000000"/>
                <w:sz w:val="18"/>
                <w:szCs w:val="18"/>
                <w:u w:val="none"/>
              </w:rPr>
            </w:pPr>
          </w:p>
        </w:tc>
      </w:tr>
      <w:tr w14:paraId="163C2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17DF6816">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nil"/>
              <w:right w:val="nil"/>
            </w:tcBorders>
            <w:shd w:val="clear" w:color="auto" w:fill="FFFFFF"/>
            <w:vAlign w:val="center"/>
          </w:tcPr>
          <w:p w14:paraId="6AEFDED9">
            <w:pPr>
              <w:jc w:val="left"/>
              <w:rPr>
                <w:rFonts w:hint="eastAsia" w:ascii="宋体" w:hAnsi="宋体" w:eastAsia="宋体" w:cs="宋体"/>
                <w:i w:val="0"/>
                <w:iCs w:val="0"/>
                <w:color w:val="000000"/>
                <w:sz w:val="18"/>
                <w:szCs w:val="18"/>
                <w:u w:val="none"/>
              </w:rPr>
            </w:pPr>
          </w:p>
        </w:tc>
        <w:tc>
          <w:tcPr>
            <w:tcW w:w="2430" w:type="dxa"/>
            <w:gridSpan w:val="5"/>
            <w:tcBorders>
              <w:top w:val="single" w:color="000000" w:sz="4" w:space="0"/>
              <w:left w:val="single" w:color="000000" w:sz="4" w:space="0"/>
              <w:bottom w:val="nil"/>
              <w:right w:val="nil"/>
            </w:tcBorders>
            <w:shd w:val="clear" w:color="auto" w:fill="FFFFFF"/>
            <w:vAlign w:val="center"/>
          </w:tcPr>
          <w:p w14:paraId="25B724FC">
            <w:pPr>
              <w:jc w:val="left"/>
              <w:rPr>
                <w:rFonts w:hint="eastAsia" w:ascii="宋体" w:hAnsi="宋体" w:eastAsia="宋体" w:cs="宋体"/>
                <w:i w:val="0"/>
                <w:iCs w:val="0"/>
                <w:color w:val="000000"/>
                <w:sz w:val="18"/>
                <w:szCs w:val="18"/>
                <w:u w:val="none"/>
              </w:rPr>
            </w:pPr>
          </w:p>
        </w:tc>
        <w:tc>
          <w:tcPr>
            <w:tcW w:w="2085" w:type="dxa"/>
            <w:gridSpan w:val="6"/>
            <w:tcBorders>
              <w:top w:val="single" w:color="000000" w:sz="4" w:space="0"/>
              <w:left w:val="single" w:color="000000" w:sz="4" w:space="0"/>
              <w:bottom w:val="nil"/>
              <w:right w:val="nil"/>
            </w:tcBorders>
            <w:shd w:val="clear" w:color="auto" w:fill="FFFFFF"/>
            <w:vAlign w:val="center"/>
          </w:tcPr>
          <w:p w14:paraId="400AF2BD">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7F45B8D7">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1BAB3BE9">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53B108D3">
            <w:pPr>
              <w:jc w:val="center"/>
              <w:rPr>
                <w:rFonts w:hint="eastAsia" w:ascii="宋体" w:hAnsi="宋体" w:eastAsia="宋体" w:cs="宋体"/>
                <w:i w:val="0"/>
                <w:iCs w:val="0"/>
                <w:color w:val="000000"/>
                <w:sz w:val="18"/>
                <w:szCs w:val="18"/>
                <w:u w:val="none"/>
              </w:rPr>
            </w:pPr>
          </w:p>
        </w:tc>
      </w:tr>
      <w:tr w14:paraId="136B6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496F1B8C">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nil"/>
              <w:right w:val="nil"/>
            </w:tcBorders>
            <w:shd w:val="clear" w:color="auto" w:fill="FFFFFF"/>
            <w:vAlign w:val="center"/>
          </w:tcPr>
          <w:p w14:paraId="3C010F57">
            <w:pPr>
              <w:jc w:val="left"/>
              <w:rPr>
                <w:rFonts w:hint="eastAsia" w:ascii="宋体" w:hAnsi="宋体" w:eastAsia="宋体" w:cs="宋体"/>
                <w:i w:val="0"/>
                <w:iCs w:val="0"/>
                <w:color w:val="000000"/>
                <w:sz w:val="18"/>
                <w:szCs w:val="18"/>
                <w:u w:val="none"/>
              </w:rPr>
            </w:pPr>
          </w:p>
        </w:tc>
        <w:tc>
          <w:tcPr>
            <w:tcW w:w="2430" w:type="dxa"/>
            <w:gridSpan w:val="5"/>
            <w:tcBorders>
              <w:top w:val="single" w:color="000000" w:sz="4" w:space="0"/>
              <w:left w:val="single" w:color="000000" w:sz="4" w:space="0"/>
              <w:bottom w:val="nil"/>
              <w:right w:val="nil"/>
            </w:tcBorders>
            <w:shd w:val="clear" w:color="auto" w:fill="FFFFFF"/>
            <w:vAlign w:val="center"/>
          </w:tcPr>
          <w:p w14:paraId="7E1AC5D4">
            <w:pPr>
              <w:jc w:val="left"/>
              <w:rPr>
                <w:rFonts w:hint="eastAsia" w:ascii="宋体" w:hAnsi="宋体" w:eastAsia="宋体" w:cs="宋体"/>
                <w:i w:val="0"/>
                <w:iCs w:val="0"/>
                <w:color w:val="000000"/>
                <w:sz w:val="18"/>
                <w:szCs w:val="18"/>
                <w:u w:val="none"/>
              </w:rPr>
            </w:pPr>
          </w:p>
        </w:tc>
        <w:tc>
          <w:tcPr>
            <w:tcW w:w="2085" w:type="dxa"/>
            <w:gridSpan w:val="6"/>
            <w:tcBorders>
              <w:top w:val="single" w:color="000000" w:sz="4" w:space="0"/>
              <w:left w:val="single" w:color="000000" w:sz="4" w:space="0"/>
              <w:bottom w:val="nil"/>
              <w:right w:val="nil"/>
            </w:tcBorders>
            <w:shd w:val="clear" w:color="auto" w:fill="FFFFFF"/>
            <w:vAlign w:val="center"/>
          </w:tcPr>
          <w:p w14:paraId="600D6190">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1BD1CA62">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77F2CA97">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6B40113A">
            <w:pPr>
              <w:jc w:val="center"/>
              <w:rPr>
                <w:rFonts w:hint="eastAsia" w:ascii="宋体" w:hAnsi="宋体" w:eastAsia="宋体" w:cs="宋体"/>
                <w:i w:val="0"/>
                <w:iCs w:val="0"/>
                <w:color w:val="000000"/>
                <w:sz w:val="18"/>
                <w:szCs w:val="18"/>
                <w:u w:val="none"/>
              </w:rPr>
            </w:pPr>
          </w:p>
        </w:tc>
      </w:tr>
      <w:tr w14:paraId="53B04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4928B5DC">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nil"/>
              <w:right w:val="nil"/>
            </w:tcBorders>
            <w:shd w:val="clear" w:color="auto" w:fill="FFFFFF"/>
            <w:vAlign w:val="center"/>
          </w:tcPr>
          <w:p w14:paraId="50BDB098">
            <w:pPr>
              <w:jc w:val="left"/>
              <w:rPr>
                <w:rFonts w:hint="eastAsia" w:ascii="宋体" w:hAnsi="宋体" w:eastAsia="宋体" w:cs="宋体"/>
                <w:i w:val="0"/>
                <w:iCs w:val="0"/>
                <w:color w:val="000000"/>
                <w:sz w:val="18"/>
                <w:szCs w:val="18"/>
                <w:u w:val="none"/>
              </w:rPr>
            </w:pPr>
          </w:p>
        </w:tc>
        <w:tc>
          <w:tcPr>
            <w:tcW w:w="2430" w:type="dxa"/>
            <w:gridSpan w:val="5"/>
            <w:tcBorders>
              <w:top w:val="single" w:color="000000" w:sz="4" w:space="0"/>
              <w:left w:val="single" w:color="000000" w:sz="4" w:space="0"/>
              <w:bottom w:val="nil"/>
              <w:right w:val="nil"/>
            </w:tcBorders>
            <w:shd w:val="clear" w:color="auto" w:fill="FFFFFF"/>
            <w:vAlign w:val="center"/>
          </w:tcPr>
          <w:p w14:paraId="1615FA66">
            <w:pPr>
              <w:jc w:val="left"/>
              <w:rPr>
                <w:rFonts w:hint="eastAsia" w:ascii="宋体" w:hAnsi="宋体" w:eastAsia="宋体" w:cs="宋体"/>
                <w:i w:val="0"/>
                <w:iCs w:val="0"/>
                <w:color w:val="000000"/>
                <w:sz w:val="18"/>
                <w:szCs w:val="18"/>
                <w:u w:val="none"/>
              </w:rPr>
            </w:pPr>
          </w:p>
        </w:tc>
        <w:tc>
          <w:tcPr>
            <w:tcW w:w="2085" w:type="dxa"/>
            <w:gridSpan w:val="6"/>
            <w:tcBorders>
              <w:top w:val="single" w:color="000000" w:sz="4" w:space="0"/>
              <w:left w:val="single" w:color="000000" w:sz="4" w:space="0"/>
              <w:bottom w:val="nil"/>
              <w:right w:val="nil"/>
            </w:tcBorders>
            <w:shd w:val="clear" w:color="auto" w:fill="FFFFFF"/>
            <w:vAlign w:val="center"/>
          </w:tcPr>
          <w:p w14:paraId="55D2DAB8">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29E256EB">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08234234">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16EB3C5A">
            <w:pPr>
              <w:jc w:val="center"/>
              <w:rPr>
                <w:rFonts w:hint="eastAsia" w:ascii="宋体" w:hAnsi="宋体" w:eastAsia="宋体" w:cs="宋体"/>
                <w:i w:val="0"/>
                <w:iCs w:val="0"/>
                <w:color w:val="000000"/>
                <w:sz w:val="18"/>
                <w:szCs w:val="18"/>
                <w:u w:val="none"/>
              </w:rPr>
            </w:pPr>
          </w:p>
        </w:tc>
      </w:tr>
      <w:tr w14:paraId="34472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40AD270A">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nil"/>
              <w:right w:val="nil"/>
            </w:tcBorders>
            <w:shd w:val="clear" w:color="auto" w:fill="FFFFFF"/>
            <w:vAlign w:val="center"/>
          </w:tcPr>
          <w:p w14:paraId="41A04AE1">
            <w:pPr>
              <w:jc w:val="left"/>
              <w:rPr>
                <w:rFonts w:hint="eastAsia" w:ascii="宋体" w:hAnsi="宋体" w:eastAsia="宋体" w:cs="宋体"/>
                <w:i w:val="0"/>
                <w:iCs w:val="0"/>
                <w:color w:val="000000"/>
                <w:sz w:val="18"/>
                <w:szCs w:val="18"/>
                <w:u w:val="none"/>
              </w:rPr>
            </w:pPr>
          </w:p>
        </w:tc>
        <w:tc>
          <w:tcPr>
            <w:tcW w:w="2430" w:type="dxa"/>
            <w:gridSpan w:val="5"/>
            <w:tcBorders>
              <w:top w:val="single" w:color="000000" w:sz="4" w:space="0"/>
              <w:left w:val="single" w:color="000000" w:sz="4" w:space="0"/>
              <w:bottom w:val="nil"/>
              <w:right w:val="nil"/>
            </w:tcBorders>
            <w:shd w:val="clear" w:color="auto" w:fill="FFFFFF"/>
            <w:vAlign w:val="center"/>
          </w:tcPr>
          <w:p w14:paraId="5288ECAA">
            <w:pPr>
              <w:jc w:val="left"/>
              <w:rPr>
                <w:rFonts w:hint="eastAsia" w:ascii="宋体" w:hAnsi="宋体" w:eastAsia="宋体" w:cs="宋体"/>
                <w:i w:val="0"/>
                <w:iCs w:val="0"/>
                <w:color w:val="000000"/>
                <w:sz w:val="18"/>
                <w:szCs w:val="18"/>
                <w:u w:val="none"/>
              </w:rPr>
            </w:pPr>
          </w:p>
        </w:tc>
        <w:tc>
          <w:tcPr>
            <w:tcW w:w="2085" w:type="dxa"/>
            <w:gridSpan w:val="6"/>
            <w:tcBorders>
              <w:top w:val="single" w:color="000000" w:sz="4" w:space="0"/>
              <w:left w:val="single" w:color="000000" w:sz="4" w:space="0"/>
              <w:bottom w:val="nil"/>
              <w:right w:val="nil"/>
            </w:tcBorders>
            <w:shd w:val="clear" w:color="auto" w:fill="FFFFFF"/>
            <w:vAlign w:val="center"/>
          </w:tcPr>
          <w:p w14:paraId="50486387">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63F23BCE">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0800324C">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6E847B8E">
            <w:pPr>
              <w:jc w:val="center"/>
              <w:rPr>
                <w:rFonts w:hint="eastAsia" w:ascii="宋体" w:hAnsi="宋体" w:eastAsia="宋体" w:cs="宋体"/>
                <w:i w:val="0"/>
                <w:iCs w:val="0"/>
                <w:color w:val="000000"/>
                <w:sz w:val="18"/>
                <w:szCs w:val="18"/>
                <w:u w:val="none"/>
              </w:rPr>
            </w:pPr>
          </w:p>
        </w:tc>
      </w:tr>
      <w:tr w14:paraId="79853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4F70D894">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nil"/>
              <w:right w:val="nil"/>
            </w:tcBorders>
            <w:shd w:val="clear" w:color="auto" w:fill="FFFFFF"/>
            <w:vAlign w:val="center"/>
          </w:tcPr>
          <w:p w14:paraId="23AF00BD">
            <w:pPr>
              <w:jc w:val="left"/>
              <w:rPr>
                <w:rFonts w:hint="eastAsia" w:ascii="宋体" w:hAnsi="宋体" w:eastAsia="宋体" w:cs="宋体"/>
                <w:i w:val="0"/>
                <w:iCs w:val="0"/>
                <w:color w:val="000000"/>
                <w:sz w:val="18"/>
                <w:szCs w:val="18"/>
                <w:u w:val="none"/>
              </w:rPr>
            </w:pPr>
          </w:p>
        </w:tc>
        <w:tc>
          <w:tcPr>
            <w:tcW w:w="2430" w:type="dxa"/>
            <w:gridSpan w:val="5"/>
            <w:tcBorders>
              <w:top w:val="single" w:color="000000" w:sz="4" w:space="0"/>
              <w:left w:val="single" w:color="000000" w:sz="4" w:space="0"/>
              <w:bottom w:val="nil"/>
              <w:right w:val="nil"/>
            </w:tcBorders>
            <w:shd w:val="clear" w:color="auto" w:fill="FFFFFF"/>
            <w:vAlign w:val="center"/>
          </w:tcPr>
          <w:p w14:paraId="3AFFB6EC">
            <w:pPr>
              <w:jc w:val="left"/>
              <w:rPr>
                <w:rFonts w:hint="eastAsia" w:ascii="宋体" w:hAnsi="宋体" w:eastAsia="宋体" w:cs="宋体"/>
                <w:i w:val="0"/>
                <w:iCs w:val="0"/>
                <w:color w:val="000000"/>
                <w:sz w:val="18"/>
                <w:szCs w:val="18"/>
                <w:u w:val="none"/>
              </w:rPr>
            </w:pPr>
          </w:p>
        </w:tc>
        <w:tc>
          <w:tcPr>
            <w:tcW w:w="2085" w:type="dxa"/>
            <w:gridSpan w:val="6"/>
            <w:tcBorders>
              <w:top w:val="single" w:color="000000" w:sz="4" w:space="0"/>
              <w:left w:val="single" w:color="000000" w:sz="4" w:space="0"/>
              <w:bottom w:val="nil"/>
              <w:right w:val="nil"/>
            </w:tcBorders>
            <w:shd w:val="clear" w:color="auto" w:fill="FFFFFF"/>
            <w:vAlign w:val="center"/>
          </w:tcPr>
          <w:p w14:paraId="6B63A6C1">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283B324A">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4B295117">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2DEE6742">
            <w:pPr>
              <w:jc w:val="center"/>
              <w:rPr>
                <w:rFonts w:hint="eastAsia" w:ascii="宋体" w:hAnsi="宋体" w:eastAsia="宋体" w:cs="宋体"/>
                <w:i w:val="0"/>
                <w:iCs w:val="0"/>
                <w:color w:val="000000"/>
                <w:sz w:val="18"/>
                <w:szCs w:val="18"/>
                <w:u w:val="none"/>
              </w:rPr>
            </w:pPr>
          </w:p>
        </w:tc>
      </w:tr>
      <w:tr w14:paraId="7D2D7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495" w:hRule="atLeast"/>
        </w:trPr>
        <w:tc>
          <w:tcPr>
            <w:tcW w:w="7380" w:type="dxa"/>
            <w:gridSpan w:val="19"/>
            <w:tcBorders>
              <w:top w:val="single" w:color="000000" w:sz="4" w:space="0"/>
              <w:left w:val="single" w:color="000000" w:sz="4" w:space="0"/>
              <w:bottom w:val="single" w:color="000000" w:sz="4" w:space="0"/>
              <w:right w:val="nil"/>
            </w:tcBorders>
            <w:shd w:val="clear" w:color="auto" w:fill="FFFFFF"/>
            <w:vAlign w:val="center"/>
          </w:tcPr>
          <w:p w14:paraId="02AAAA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785" w:type="dxa"/>
            <w:gridSpan w:val="5"/>
            <w:tcBorders>
              <w:top w:val="single" w:color="000000" w:sz="4" w:space="0"/>
              <w:left w:val="single" w:color="000000" w:sz="4" w:space="0"/>
              <w:bottom w:val="single" w:color="000000" w:sz="4" w:space="0"/>
              <w:right w:val="nil"/>
            </w:tcBorders>
            <w:shd w:val="clear" w:color="auto" w:fill="FFFFFF"/>
            <w:vAlign w:val="center"/>
          </w:tcPr>
          <w:p w14:paraId="71828579">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B5AD0">
            <w:pPr>
              <w:jc w:val="center"/>
              <w:rPr>
                <w:rFonts w:hint="eastAsia" w:ascii="宋体" w:hAnsi="宋体" w:eastAsia="宋体" w:cs="宋体"/>
                <w:i w:val="0"/>
                <w:iCs w:val="0"/>
                <w:color w:val="000000"/>
                <w:sz w:val="18"/>
                <w:szCs w:val="18"/>
                <w:u w:val="none"/>
              </w:rPr>
            </w:pPr>
          </w:p>
        </w:tc>
      </w:tr>
      <w:tr w14:paraId="58E11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465" w:type="dxa"/>
            <w:gridSpan w:val="7"/>
            <w:tcBorders>
              <w:top w:val="nil"/>
              <w:left w:val="nil"/>
              <w:bottom w:val="nil"/>
              <w:right w:val="nil"/>
            </w:tcBorders>
            <w:shd w:val="clear" w:color="auto" w:fill="FFFFFF"/>
            <w:vAlign w:val="center"/>
          </w:tcPr>
          <w:p w14:paraId="72FB90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【表10.2.2-29】</w:t>
            </w:r>
          </w:p>
        </w:tc>
        <w:tc>
          <w:tcPr>
            <w:tcW w:w="990" w:type="dxa"/>
            <w:gridSpan w:val="4"/>
            <w:tcBorders>
              <w:top w:val="nil"/>
              <w:left w:val="nil"/>
              <w:bottom w:val="nil"/>
              <w:right w:val="nil"/>
            </w:tcBorders>
            <w:shd w:val="clear" w:color="auto" w:fill="FFFFFF"/>
            <w:vAlign w:val="bottom"/>
          </w:tcPr>
          <w:p w14:paraId="1F4D75C4">
            <w:pPr>
              <w:jc w:val="left"/>
              <w:rPr>
                <w:rFonts w:hint="eastAsia" w:ascii="宋体" w:hAnsi="宋体" w:eastAsia="宋体" w:cs="宋体"/>
                <w:i w:val="0"/>
                <w:iCs w:val="0"/>
                <w:color w:val="000000"/>
                <w:sz w:val="18"/>
                <w:szCs w:val="18"/>
                <w:u w:val="none"/>
              </w:rPr>
            </w:pPr>
          </w:p>
        </w:tc>
        <w:tc>
          <w:tcPr>
            <w:tcW w:w="1035" w:type="dxa"/>
            <w:gridSpan w:val="3"/>
            <w:tcBorders>
              <w:top w:val="nil"/>
              <w:left w:val="nil"/>
              <w:bottom w:val="nil"/>
              <w:right w:val="nil"/>
            </w:tcBorders>
            <w:shd w:val="clear" w:color="auto" w:fill="FFFFFF"/>
            <w:vAlign w:val="bottom"/>
          </w:tcPr>
          <w:p w14:paraId="3EE7D9D9">
            <w:pPr>
              <w:jc w:val="left"/>
              <w:rPr>
                <w:rFonts w:hint="eastAsia" w:ascii="宋体" w:hAnsi="宋体" w:eastAsia="宋体" w:cs="宋体"/>
                <w:i w:val="0"/>
                <w:iCs w:val="0"/>
                <w:color w:val="000000"/>
                <w:sz w:val="18"/>
                <w:szCs w:val="18"/>
                <w:u w:val="none"/>
              </w:rPr>
            </w:pPr>
          </w:p>
        </w:tc>
        <w:tc>
          <w:tcPr>
            <w:tcW w:w="1500" w:type="dxa"/>
            <w:gridSpan w:val="4"/>
            <w:tcBorders>
              <w:top w:val="nil"/>
              <w:left w:val="nil"/>
              <w:bottom w:val="nil"/>
              <w:right w:val="nil"/>
            </w:tcBorders>
            <w:shd w:val="clear" w:color="auto" w:fill="FFFFFF"/>
            <w:vAlign w:val="bottom"/>
          </w:tcPr>
          <w:p w14:paraId="7CABF014">
            <w:pPr>
              <w:jc w:val="left"/>
              <w:rPr>
                <w:rFonts w:hint="eastAsia" w:ascii="宋体" w:hAnsi="宋体" w:eastAsia="宋体" w:cs="宋体"/>
                <w:i w:val="0"/>
                <w:iCs w:val="0"/>
                <w:color w:val="000000"/>
                <w:sz w:val="18"/>
                <w:szCs w:val="18"/>
                <w:u w:val="none"/>
              </w:rPr>
            </w:pPr>
          </w:p>
        </w:tc>
        <w:tc>
          <w:tcPr>
            <w:tcW w:w="1440" w:type="dxa"/>
            <w:gridSpan w:val="4"/>
            <w:tcBorders>
              <w:top w:val="nil"/>
              <w:left w:val="nil"/>
              <w:bottom w:val="nil"/>
              <w:right w:val="nil"/>
            </w:tcBorders>
            <w:shd w:val="clear" w:color="auto" w:fill="FFFFFF"/>
            <w:vAlign w:val="center"/>
          </w:tcPr>
          <w:p w14:paraId="324F1DC3">
            <w:pPr>
              <w:jc w:val="center"/>
              <w:rPr>
                <w:rFonts w:hint="eastAsia" w:ascii="宋体" w:hAnsi="宋体" w:eastAsia="宋体" w:cs="宋体"/>
                <w:i w:val="0"/>
                <w:iCs w:val="0"/>
                <w:color w:val="000000"/>
                <w:sz w:val="18"/>
                <w:szCs w:val="18"/>
                <w:u w:val="none"/>
              </w:rPr>
            </w:pPr>
          </w:p>
        </w:tc>
        <w:tc>
          <w:tcPr>
            <w:tcW w:w="1725" w:type="dxa"/>
            <w:gridSpan w:val="4"/>
            <w:tcBorders>
              <w:top w:val="nil"/>
              <w:left w:val="nil"/>
              <w:bottom w:val="nil"/>
              <w:right w:val="nil"/>
            </w:tcBorders>
            <w:shd w:val="clear" w:color="auto" w:fill="FFFFFF"/>
            <w:vAlign w:val="center"/>
          </w:tcPr>
          <w:p w14:paraId="3562AFB4">
            <w:pPr>
              <w:jc w:val="center"/>
              <w:rPr>
                <w:rFonts w:hint="eastAsia" w:ascii="宋体" w:hAnsi="宋体" w:eastAsia="宋体" w:cs="宋体"/>
                <w:i w:val="0"/>
                <w:iCs w:val="0"/>
                <w:color w:val="000000"/>
                <w:sz w:val="18"/>
                <w:szCs w:val="18"/>
                <w:u w:val="none"/>
              </w:rPr>
            </w:pPr>
          </w:p>
        </w:tc>
      </w:tr>
      <w:tr w14:paraId="3916F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155" w:type="dxa"/>
            <w:gridSpan w:val="26"/>
            <w:tcBorders>
              <w:top w:val="nil"/>
              <w:left w:val="nil"/>
              <w:bottom w:val="nil"/>
              <w:right w:val="nil"/>
            </w:tcBorders>
            <w:shd w:val="clear" w:color="auto" w:fill="FFFFFF"/>
            <w:vAlign w:val="center"/>
          </w:tcPr>
          <w:p w14:paraId="01E8634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主要工日一览表</w:t>
            </w:r>
          </w:p>
        </w:tc>
      </w:tr>
      <w:tr w14:paraId="17820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55" w:type="dxa"/>
            <w:gridSpan w:val="11"/>
            <w:tcBorders>
              <w:top w:val="nil"/>
              <w:left w:val="nil"/>
              <w:bottom w:val="nil"/>
              <w:right w:val="nil"/>
            </w:tcBorders>
            <w:shd w:val="clear" w:color="auto" w:fill="FFFFFF"/>
            <w:vAlign w:val="bottom"/>
          </w:tcPr>
          <w:p w14:paraId="4320251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工程名称:市政保养工程</w:t>
            </w:r>
          </w:p>
        </w:tc>
        <w:tc>
          <w:tcPr>
            <w:tcW w:w="2535" w:type="dxa"/>
            <w:gridSpan w:val="7"/>
            <w:tcBorders>
              <w:top w:val="nil"/>
              <w:left w:val="nil"/>
              <w:bottom w:val="nil"/>
              <w:right w:val="nil"/>
            </w:tcBorders>
            <w:shd w:val="clear" w:color="auto" w:fill="FFFFFF"/>
            <w:vAlign w:val="bottom"/>
          </w:tcPr>
          <w:p w14:paraId="4E95DA0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3165" w:type="dxa"/>
            <w:gridSpan w:val="8"/>
            <w:tcBorders>
              <w:top w:val="nil"/>
              <w:left w:val="nil"/>
              <w:bottom w:val="nil"/>
              <w:right w:val="nil"/>
            </w:tcBorders>
            <w:shd w:val="clear" w:color="auto" w:fill="FFFFFF"/>
            <w:vAlign w:val="bottom"/>
          </w:tcPr>
          <w:p w14:paraId="53EB0BC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03C9A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65D32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880" w:type="dxa"/>
            <w:gridSpan w:val="5"/>
            <w:tcBorders>
              <w:top w:val="single" w:color="000000" w:sz="4" w:space="0"/>
              <w:left w:val="single" w:color="000000" w:sz="4" w:space="0"/>
              <w:bottom w:val="nil"/>
              <w:right w:val="nil"/>
            </w:tcBorders>
            <w:shd w:val="clear" w:color="auto" w:fill="FFFFFF"/>
            <w:vAlign w:val="center"/>
          </w:tcPr>
          <w:p w14:paraId="7439B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工日名称（类别）</w:t>
            </w:r>
          </w:p>
        </w:tc>
        <w:tc>
          <w:tcPr>
            <w:tcW w:w="990" w:type="dxa"/>
            <w:gridSpan w:val="4"/>
            <w:tcBorders>
              <w:top w:val="single" w:color="000000" w:sz="4" w:space="0"/>
              <w:left w:val="single" w:color="000000" w:sz="4" w:space="0"/>
              <w:bottom w:val="nil"/>
              <w:right w:val="nil"/>
            </w:tcBorders>
            <w:shd w:val="clear" w:color="auto" w:fill="FFFFFF"/>
            <w:vAlign w:val="center"/>
          </w:tcPr>
          <w:p w14:paraId="3BA51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035" w:type="dxa"/>
            <w:gridSpan w:val="3"/>
            <w:tcBorders>
              <w:top w:val="single" w:color="000000" w:sz="4" w:space="0"/>
              <w:left w:val="single" w:color="000000" w:sz="4" w:space="0"/>
              <w:bottom w:val="nil"/>
              <w:right w:val="nil"/>
            </w:tcBorders>
            <w:shd w:val="clear" w:color="auto" w:fill="FFFFFF"/>
            <w:vAlign w:val="center"/>
          </w:tcPr>
          <w:p w14:paraId="368D5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500" w:type="dxa"/>
            <w:gridSpan w:val="4"/>
            <w:tcBorders>
              <w:top w:val="single" w:color="000000" w:sz="4" w:space="0"/>
              <w:left w:val="single" w:color="000000" w:sz="4" w:space="0"/>
              <w:bottom w:val="nil"/>
              <w:right w:val="nil"/>
            </w:tcBorders>
            <w:shd w:val="clear" w:color="auto" w:fill="FFFFFF"/>
            <w:vAlign w:val="center"/>
          </w:tcPr>
          <w:p w14:paraId="451BC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440" w:type="dxa"/>
            <w:gridSpan w:val="4"/>
            <w:tcBorders>
              <w:top w:val="single" w:color="000000" w:sz="4" w:space="0"/>
              <w:left w:val="single" w:color="000000" w:sz="4" w:space="0"/>
              <w:bottom w:val="nil"/>
              <w:right w:val="nil"/>
            </w:tcBorders>
            <w:shd w:val="clear" w:color="auto" w:fill="FFFFFF"/>
            <w:vAlign w:val="center"/>
          </w:tcPr>
          <w:p w14:paraId="04AAF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43E3C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C68F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311E7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0" w:type="dxa"/>
            <w:gridSpan w:val="5"/>
            <w:tcBorders>
              <w:top w:val="single" w:color="000000" w:sz="4" w:space="0"/>
              <w:left w:val="single" w:color="000000" w:sz="4" w:space="0"/>
              <w:bottom w:val="nil"/>
              <w:right w:val="nil"/>
            </w:tcBorders>
            <w:shd w:val="clear" w:color="auto" w:fill="FFFFFF"/>
            <w:vAlign w:val="center"/>
          </w:tcPr>
          <w:p w14:paraId="21DBCA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二类人工</w:t>
            </w:r>
          </w:p>
        </w:tc>
        <w:tc>
          <w:tcPr>
            <w:tcW w:w="990" w:type="dxa"/>
            <w:gridSpan w:val="4"/>
            <w:tcBorders>
              <w:top w:val="single" w:color="000000" w:sz="4" w:space="0"/>
              <w:left w:val="single" w:color="000000" w:sz="4" w:space="0"/>
              <w:bottom w:val="nil"/>
              <w:right w:val="nil"/>
            </w:tcBorders>
            <w:shd w:val="clear" w:color="auto" w:fill="FFFFFF"/>
            <w:vAlign w:val="center"/>
          </w:tcPr>
          <w:p w14:paraId="291EB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1035" w:type="dxa"/>
            <w:gridSpan w:val="3"/>
            <w:tcBorders>
              <w:top w:val="single" w:color="000000" w:sz="4" w:space="0"/>
              <w:left w:val="single" w:color="000000" w:sz="4" w:space="0"/>
              <w:bottom w:val="nil"/>
              <w:right w:val="nil"/>
            </w:tcBorders>
            <w:shd w:val="clear" w:color="auto" w:fill="FFFFFF"/>
            <w:vAlign w:val="center"/>
          </w:tcPr>
          <w:p w14:paraId="0B2ED8A5">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2948AD56">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1A4C4DDD">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47294EF8">
            <w:pPr>
              <w:jc w:val="left"/>
              <w:rPr>
                <w:rFonts w:hint="eastAsia" w:ascii="宋体" w:hAnsi="宋体" w:eastAsia="宋体" w:cs="宋体"/>
                <w:i w:val="0"/>
                <w:iCs w:val="0"/>
                <w:color w:val="000000"/>
                <w:sz w:val="18"/>
                <w:szCs w:val="18"/>
                <w:u w:val="none"/>
              </w:rPr>
            </w:pPr>
          </w:p>
        </w:tc>
      </w:tr>
      <w:tr w14:paraId="35565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2F0AC54B">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1A0088FA">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3E005E81">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259F83BB">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08DFD5DA">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77F88873">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7A4136DF">
            <w:pPr>
              <w:jc w:val="left"/>
              <w:rPr>
                <w:rFonts w:hint="eastAsia" w:ascii="宋体" w:hAnsi="宋体" w:eastAsia="宋体" w:cs="宋体"/>
                <w:i w:val="0"/>
                <w:iCs w:val="0"/>
                <w:color w:val="000000"/>
                <w:sz w:val="18"/>
                <w:szCs w:val="18"/>
                <w:u w:val="none"/>
              </w:rPr>
            </w:pPr>
          </w:p>
        </w:tc>
      </w:tr>
      <w:tr w14:paraId="43EF3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4AD7B7BB">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5B426D9D">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41EE2C4A">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1EA71F0C">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2D4189CF">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034694A0">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75EB2CD3">
            <w:pPr>
              <w:jc w:val="left"/>
              <w:rPr>
                <w:rFonts w:hint="eastAsia" w:ascii="宋体" w:hAnsi="宋体" w:eastAsia="宋体" w:cs="宋体"/>
                <w:i w:val="0"/>
                <w:iCs w:val="0"/>
                <w:color w:val="000000"/>
                <w:sz w:val="18"/>
                <w:szCs w:val="18"/>
                <w:u w:val="none"/>
              </w:rPr>
            </w:pPr>
          </w:p>
        </w:tc>
      </w:tr>
      <w:tr w14:paraId="7EE0F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38994E72">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3F91B66E">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752C6399">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6565574F">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0C53537B">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69AE75CF">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695FFD1E">
            <w:pPr>
              <w:jc w:val="left"/>
              <w:rPr>
                <w:rFonts w:hint="eastAsia" w:ascii="宋体" w:hAnsi="宋体" w:eastAsia="宋体" w:cs="宋体"/>
                <w:i w:val="0"/>
                <w:iCs w:val="0"/>
                <w:color w:val="000000"/>
                <w:sz w:val="18"/>
                <w:szCs w:val="18"/>
                <w:u w:val="none"/>
              </w:rPr>
            </w:pPr>
          </w:p>
        </w:tc>
      </w:tr>
      <w:tr w14:paraId="40726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6B0ED9EA">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18F18AC9">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52EA9FA2">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222FF0FA">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04C4D268">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0D00FEE8">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435CD749">
            <w:pPr>
              <w:jc w:val="left"/>
              <w:rPr>
                <w:rFonts w:hint="eastAsia" w:ascii="宋体" w:hAnsi="宋体" w:eastAsia="宋体" w:cs="宋体"/>
                <w:i w:val="0"/>
                <w:iCs w:val="0"/>
                <w:color w:val="000000"/>
                <w:sz w:val="18"/>
                <w:szCs w:val="18"/>
                <w:u w:val="none"/>
              </w:rPr>
            </w:pPr>
          </w:p>
        </w:tc>
      </w:tr>
      <w:tr w14:paraId="72F08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14638DDD">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2C4D0220">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6AC5EEFA">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1FF94478">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79657C2E">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1A48AEE8">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3F8B1BD3">
            <w:pPr>
              <w:jc w:val="left"/>
              <w:rPr>
                <w:rFonts w:hint="eastAsia" w:ascii="宋体" w:hAnsi="宋体" w:eastAsia="宋体" w:cs="宋体"/>
                <w:i w:val="0"/>
                <w:iCs w:val="0"/>
                <w:color w:val="000000"/>
                <w:sz w:val="18"/>
                <w:szCs w:val="18"/>
                <w:u w:val="none"/>
              </w:rPr>
            </w:pPr>
          </w:p>
        </w:tc>
      </w:tr>
      <w:tr w14:paraId="14EBB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73C2490A">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1B91951B">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33464788">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19FE8CE7">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31EEBCD4">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2B7359D5">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474FD9C7">
            <w:pPr>
              <w:jc w:val="left"/>
              <w:rPr>
                <w:rFonts w:hint="eastAsia" w:ascii="宋体" w:hAnsi="宋体" w:eastAsia="宋体" w:cs="宋体"/>
                <w:i w:val="0"/>
                <w:iCs w:val="0"/>
                <w:color w:val="000000"/>
                <w:sz w:val="18"/>
                <w:szCs w:val="18"/>
                <w:u w:val="none"/>
              </w:rPr>
            </w:pPr>
          </w:p>
        </w:tc>
      </w:tr>
      <w:tr w14:paraId="15EA3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6A661E3A">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193B58FB">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22E0C637">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4A712ECA">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7FA1333F">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1DD331C9">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09309DF8">
            <w:pPr>
              <w:jc w:val="left"/>
              <w:rPr>
                <w:rFonts w:hint="eastAsia" w:ascii="宋体" w:hAnsi="宋体" w:eastAsia="宋体" w:cs="宋体"/>
                <w:i w:val="0"/>
                <w:iCs w:val="0"/>
                <w:color w:val="000000"/>
                <w:sz w:val="18"/>
                <w:szCs w:val="18"/>
                <w:u w:val="none"/>
              </w:rPr>
            </w:pPr>
          </w:p>
        </w:tc>
      </w:tr>
      <w:tr w14:paraId="401B9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5C93B5F1">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742F5702">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6E858896">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553CCBD7">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5C95C15A">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25B9073E">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5C057800">
            <w:pPr>
              <w:jc w:val="left"/>
              <w:rPr>
                <w:rFonts w:hint="eastAsia" w:ascii="宋体" w:hAnsi="宋体" w:eastAsia="宋体" w:cs="宋体"/>
                <w:i w:val="0"/>
                <w:iCs w:val="0"/>
                <w:color w:val="000000"/>
                <w:sz w:val="18"/>
                <w:szCs w:val="18"/>
                <w:u w:val="none"/>
              </w:rPr>
            </w:pPr>
          </w:p>
        </w:tc>
      </w:tr>
      <w:tr w14:paraId="2EFA9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249F98A7">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2E9BE170">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0810ADB7">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197E55BB">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3B24B707">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0E9AAE30">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61E295BF">
            <w:pPr>
              <w:jc w:val="left"/>
              <w:rPr>
                <w:rFonts w:hint="eastAsia" w:ascii="宋体" w:hAnsi="宋体" w:eastAsia="宋体" w:cs="宋体"/>
                <w:i w:val="0"/>
                <w:iCs w:val="0"/>
                <w:color w:val="000000"/>
                <w:sz w:val="18"/>
                <w:szCs w:val="18"/>
                <w:u w:val="none"/>
              </w:rPr>
            </w:pPr>
          </w:p>
        </w:tc>
      </w:tr>
      <w:tr w14:paraId="0D103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18619DCA">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24F3D524">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46BB7271">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5D1940DC">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7091BB35">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02F8E1FA">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30D3739B">
            <w:pPr>
              <w:jc w:val="left"/>
              <w:rPr>
                <w:rFonts w:hint="eastAsia" w:ascii="宋体" w:hAnsi="宋体" w:eastAsia="宋体" w:cs="宋体"/>
                <w:i w:val="0"/>
                <w:iCs w:val="0"/>
                <w:color w:val="000000"/>
                <w:sz w:val="18"/>
                <w:szCs w:val="18"/>
                <w:u w:val="none"/>
              </w:rPr>
            </w:pPr>
          </w:p>
        </w:tc>
      </w:tr>
      <w:tr w14:paraId="6785D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6008ECB2">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6E86CD20">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5EFB3322">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798526DE">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71FEF6CE">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7B1237A4">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5108EB64">
            <w:pPr>
              <w:jc w:val="left"/>
              <w:rPr>
                <w:rFonts w:hint="eastAsia" w:ascii="宋体" w:hAnsi="宋体" w:eastAsia="宋体" w:cs="宋体"/>
                <w:i w:val="0"/>
                <w:iCs w:val="0"/>
                <w:color w:val="000000"/>
                <w:sz w:val="18"/>
                <w:szCs w:val="18"/>
                <w:u w:val="none"/>
              </w:rPr>
            </w:pPr>
          </w:p>
        </w:tc>
      </w:tr>
      <w:tr w14:paraId="3EB2B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1A707067">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0201FBB6">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7A406D56">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4C9D5E13">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2B96E16B">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42DDE4FD">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323C7538">
            <w:pPr>
              <w:jc w:val="left"/>
              <w:rPr>
                <w:rFonts w:hint="eastAsia" w:ascii="宋体" w:hAnsi="宋体" w:eastAsia="宋体" w:cs="宋体"/>
                <w:i w:val="0"/>
                <w:iCs w:val="0"/>
                <w:color w:val="000000"/>
                <w:sz w:val="18"/>
                <w:szCs w:val="18"/>
                <w:u w:val="none"/>
              </w:rPr>
            </w:pPr>
          </w:p>
        </w:tc>
      </w:tr>
      <w:tr w14:paraId="25682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12493FE4">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3DA8DFB1">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5380DFCC">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44B21CA2">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419737A7">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25BFA6DD">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47884DFA">
            <w:pPr>
              <w:jc w:val="left"/>
              <w:rPr>
                <w:rFonts w:hint="eastAsia" w:ascii="宋体" w:hAnsi="宋体" w:eastAsia="宋体" w:cs="宋体"/>
                <w:i w:val="0"/>
                <w:iCs w:val="0"/>
                <w:color w:val="000000"/>
                <w:sz w:val="18"/>
                <w:szCs w:val="18"/>
                <w:u w:val="none"/>
              </w:rPr>
            </w:pPr>
          </w:p>
        </w:tc>
      </w:tr>
      <w:tr w14:paraId="2A5B4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6F2D57D8">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0F94EC01">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76FF8814">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7A39ABD7">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75BD76F5">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33D44852">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35FF6885">
            <w:pPr>
              <w:jc w:val="left"/>
              <w:rPr>
                <w:rFonts w:hint="eastAsia" w:ascii="宋体" w:hAnsi="宋体" w:eastAsia="宋体" w:cs="宋体"/>
                <w:i w:val="0"/>
                <w:iCs w:val="0"/>
                <w:color w:val="000000"/>
                <w:sz w:val="18"/>
                <w:szCs w:val="18"/>
                <w:u w:val="none"/>
              </w:rPr>
            </w:pPr>
          </w:p>
        </w:tc>
      </w:tr>
      <w:tr w14:paraId="73419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7D4D61C9">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5251BCEB">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11409788">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571E0F75">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1898EA73">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28497FB8">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30FC4D15">
            <w:pPr>
              <w:jc w:val="left"/>
              <w:rPr>
                <w:rFonts w:hint="eastAsia" w:ascii="宋体" w:hAnsi="宋体" w:eastAsia="宋体" w:cs="宋体"/>
                <w:i w:val="0"/>
                <w:iCs w:val="0"/>
                <w:color w:val="000000"/>
                <w:sz w:val="18"/>
                <w:szCs w:val="18"/>
                <w:u w:val="none"/>
              </w:rPr>
            </w:pPr>
          </w:p>
        </w:tc>
      </w:tr>
      <w:tr w14:paraId="531A7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6707CE24">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030BD878">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6A3FEB27">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675D8DAA">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3D7BAD1B">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6931090F">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553A6BEE">
            <w:pPr>
              <w:jc w:val="left"/>
              <w:rPr>
                <w:rFonts w:hint="eastAsia" w:ascii="宋体" w:hAnsi="宋体" w:eastAsia="宋体" w:cs="宋体"/>
                <w:i w:val="0"/>
                <w:iCs w:val="0"/>
                <w:color w:val="000000"/>
                <w:sz w:val="18"/>
                <w:szCs w:val="18"/>
                <w:u w:val="none"/>
              </w:rPr>
            </w:pPr>
          </w:p>
        </w:tc>
      </w:tr>
      <w:tr w14:paraId="4198F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0876F080">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2B91BBB8">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2BBE21EE">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7EE51FC7">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53E13D5F">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12DF5486">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7C3E0511">
            <w:pPr>
              <w:jc w:val="left"/>
              <w:rPr>
                <w:rFonts w:hint="eastAsia" w:ascii="宋体" w:hAnsi="宋体" w:eastAsia="宋体" w:cs="宋体"/>
                <w:i w:val="0"/>
                <w:iCs w:val="0"/>
                <w:color w:val="000000"/>
                <w:sz w:val="18"/>
                <w:szCs w:val="18"/>
                <w:u w:val="none"/>
              </w:rPr>
            </w:pPr>
          </w:p>
        </w:tc>
      </w:tr>
      <w:tr w14:paraId="7F6CD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5258DA6F">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075799A7">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26318AC7">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57E0CB86">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4912B19A">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7ADCF825">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4C30A5BB">
            <w:pPr>
              <w:jc w:val="left"/>
              <w:rPr>
                <w:rFonts w:hint="eastAsia" w:ascii="宋体" w:hAnsi="宋体" w:eastAsia="宋体" w:cs="宋体"/>
                <w:i w:val="0"/>
                <w:iCs w:val="0"/>
                <w:color w:val="000000"/>
                <w:sz w:val="18"/>
                <w:szCs w:val="18"/>
                <w:u w:val="none"/>
              </w:rPr>
            </w:pPr>
          </w:p>
        </w:tc>
      </w:tr>
      <w:tr w14:paraId="42FFF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3AC95A00">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224E937E">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45C60EA7">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1ADCF0C9">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7C418603">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6140A5CE">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3738E3E8">
            <w:pPr>
              <w:jc w:val="left"/>
              <w:rPr>
                <w:rFonts w:hint="eastAsia" w:ascii="宋体" w:hAnsi="宋体" w:eastAsia="宋体" w:cs="宋体"/>
                <w:i w:val="0"/>
                <w:iCs w:val="0"/>
                <w:color w:val="000000"/>
                <w:sz w:val="18"/>
                <w:szCs w:val="18"/>
                <w:u w:val="none"/>
              </w:rPr>
            </w:pPr>
          </w:p>
        </w:tc>
      </w:tr>
      <w:tr w14:paraId="3AC7E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3C2D9DE9">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27BF90E4">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6BC2ABC9">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666C962D">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2BE44C90">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506BFA56">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0F2DC23B">
            <w:pPr>
              <w:jc w:val="left"/>
              <w:rPr>
                <w:rFonts w:hint="eastAsia" w:ascii="宋体" w:hAnsi="宋体" w:eastAsia="宋体" w:cs="宋体"/>
                <w:i w:val="0"/>
                <w:iCs w:val="0"/>
                <w:color w:val="000000"/>
                <w:sz w:val="18"/>
                <w:szCs w:val="18"/>
                <w:u w:val="none"/>
              </w:rPr>
            </w:pPr>
          </w:p>
        </w:tc>
      </w:tr>
      <w:tr w14:paraId="6026C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5958650C">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592001F6">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3E5F3AD5">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30D8D0AA">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2C8D4CBC">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4B9B3B73">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02950E45">
            <w:pPr>
              <w:jc w:val="left"/>
              <w:rPr>
                <w:rFonts w:hint="eastAsia" w:ascii="宋体" w:hAnsi="宋体" w:eastAsia="宋体" w:cs="宋体"/>
                <w:i w:val="0"/>
                <w:iCs w:val="0"/>
                <w:color w:val="000000"/>
                <w:sz w:val="18"/>
                <w:szCs w:val="18"/>
                <w:u w:val="none"/>
              </w:rPr>
            </w:pPr>
          </w:p>
        </w:tc>
      </w:tr>
      <w:tr w14:paraId="2122F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2EEE1355">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72E4323D">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3AB4E6A1">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2C51EAFB">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4F48BDE8">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207195FF">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173DFAC7">
            <w:pPr>
              <w:jc w:val="left"/>
              <w:rPr>
                <w:rFonts w:hint="eastAsia" w:ascii="宋体" w:hAnsi="宋体" w:eastAsia="宋体" w:cs="宋体"/>
                <w:i w:val="0"/>
                <w:iCs w:val="0"/>
                <w:color w:val="000000"/>
                <w:sz w:val="18"/>
                <w:szCs w:val="18"/>
                <w:u w:val="none"/>
              </w:rPr>
            </w:pPr>
          </w:p>
        </w:tc>
      </w:tr>
      <w:tr w14:paraId="4B900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2C3DE37C">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3B4AB101">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7712E6FA">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71AF640E">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5D98C54B">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1DC296CD">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01A847E2">
            <w:pPr>
              <w:jc w:val="left"/>
              <w:rPr>
                <w:rFonts w:hint="eastAsia" w:ascii="宋体" w:hAnsi="宋体" w:eastAsia="宋体" w:cs="宋体"/>
                <w:i w:val="0"/>
                <w:iCs w:val="0"/>
                <w:color w:val="000000"/>
                <w:sz w:val="18"/>
                <w:szCs w:val="18"/>
                <w:u w:val="none"/>
              </w:rPr>
            </w:pPr>
          </w:p>
        </w:tc>
      </w:tr>
      <w:tr w14:paraId="757E1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1FE9F015">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534547E1">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53E0DB78">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58E0A5D0">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2CD8CB8A">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1FCC4551">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0F061D1C">
            <w:pPr>
              <w:jc w:val="left"/>
              <w:rPr>
                <w:rFonts w:hint="eastAsia" w:ascii="宋体" w:hAnsi="宋体" w:eastAsia="宋体" w:cs="宋体"/>
                <w:i w:val="0"/>
                <w:iCs w:val="0"/>
                <w:color w:val="000000"/>
                <w:sz w:val="18"/>
                <w:szCs w:val="18"/>
                <w:u w:val="none"/>
              </w:rPr>
            </w:pPr>
          </w:p>
        </w:tc>
      </w:tr>
      <w:tr w14:paraId="03F33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2F7F7B5F">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6A84435D">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176DD98A">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431F834B">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21AF2711">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65A61A78">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7983BF7E">
            <w:pPr>
              <w:jc w:val="left"/>
              <w:rPr>
                <w:rFonts w:hint="eastAsia" w:ascii="宋体" w:hAnsi="宋体" w:eastAsia="宋体" w:cs="宋体"/>
                <w:i w:val="0"/>
                <w:iCs w:val="0"/>
                <w:color w:val="000000"/>
                <w:sz w:val="18"/>
                <w:szCs w:val="18"/>
                <w:u w:val="none"/>
              </w:rPr>
            </w:pPr>
          </w:p>
        </w:tc>
      </w:tr>
      <w:tr w14:paraId="4B5C6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509B82AE">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2C9375BF">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5430839D">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32D4ED5E">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28C6BD2A">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3047E6C1">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2EAD6BB8">
            <w:pPr>
              <w:jc w:val="left"/>
              <w:rPr>
                <w:rFonts w:hint="eastAsia" w:ascii="宋体" w:hAnsi="宋体" w:eastAsia="宋体" w:cs="宋体"/>
                <w:i w:val="0"/>
                <w:iCs w:val="0"/>
                <w:color w:val="000000"/>
                <w:sz w:val="18"/>
                <w:szCs w:val="18"/>
                <w:u w:val="none"/>
              </w:rPr>
            </w:pPr>
          </w:p>
        </w:tc>
      </w:tr>
      <w:tr w14:paraId="1BC31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5E1A1D6A">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0AE7F89C">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57F8F83D">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44E99FFB">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29528715">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5CD0E82D">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6B818980">
            <w:pPr>
              <w:jc w:val="left"/>
              <w:rPr>
                <w:rFonts w:hint="eastAsia" w:ascii="宋体" w:hAnsi="宋体" w:eastAsia="宋体" w:cs="宋体"/>
                <w:i w:val="0"/>
                <w:iCs w:val="0"/>
                <w:color w:val="000000"/>
                <w:sz w:val="18"/>
                <w:szCs w:val="18"/>
                <w:u w:val="none"/>
              </w:rPr>
            </w:pPr>
          </w:p>
        </w:tc>
      </w:tr>
      <w:tr w14:paraId="16BBB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53C1A2CC">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6D2C7B96">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08D9D432">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5E845A01">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624F86AD">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24FBA615">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259D3AA7">
            <w:pPr>
              <w:jc w:val="left"/>
              <w:rPr>
                <w:rFonts w:hint="eastAsia" w:ascii="宋体" w:hAnsi="宋体" w:eastAsia="宋体" w:cs="宋体"/>
                <w:i w:val="0"/>
                <w:iCs w:val="0"/>
                <w:color w:val="000000"/>
                <w:sz w:val="18"/>
                <w:szCs w:val="18"/>
                <w:u w:val="none"/>
              </w:rPr>
            </w:pPr>
          </w:p>
        </w:tc>
      </w:tr>
      <w:tr w14:paraId="61570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2BE38748">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1D05395A">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02239934">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4D2D5DAF">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0D9DAE14">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6A51A90E">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51B81244">
            <w:pPr>
              <w:jc w:val="left"/>
              <w:rPr>
                <w:rFonts w:hint="eastAsia" w:ascii="宋体" w:hAnsi="宋体" w:eastAsia="宋体" w:cs="宋体"/>
                <w:i w:val="0"/>
                <w:iCs w:val="0"/>
                <w:color w:val="000000"/>
                <w:sz w:val="18"/>
                <w:szCs w:val="18"/>
                <w:u w:val="none"/>
              </w:rPr>
            </w:pPr>
          </w:p>
        </w:tc>
      </w:tr>
      <w:tr w14:paraId="18060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13F5C958">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3B2F7E9F">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60FF3C7F">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67F00E38">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4CB49DEF">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515DCE9B">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1F74C3A6">
            <w:pPr>
              <w:jc w:val="left"/>
              <w:rPr>
                <w:rFonts w:hint="eastAsia" w:ascii="宋体" w:hAnsi="宋体" w:eastAsia="宋体" w:cs="宋体"/>
                <w:i w:val="0"/>
                <w:iCs w:val="0"/>
                <w:color w:val="000000"/>
                <w:sz w:val="18"/>
                <w:szCs w:val="18"/>
                <w:u w:val="none"/>
              </w:rPr>
            </w:pPr>
          </w:p>
        </w:tc>
      </w:tr>
      <w:tr w14:paraId="44072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1530AB79">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6309B575">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4181ABAB">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56051D79">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0394CAA2">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384F485A">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0FD239C0">
            <w:pPr>
              <w:jc w:val="left"/>
              <w:rPr>
                <w:rFonts w:hint="eastAsia" w:ascii="宋体" w:hAnsi="宋体" w:eastAsia="宋体" w:cs="宋体"/>
                <w:i w:val="0"/>
                <w:iCs w:val="0"/>
                <w:color w:val="000000"/>
                <w:sz w:val="18"/>
                <w:szCs w:val="18"/>
                <w:u w:val="none"/>
              </w:rPr>
            </w:pPr>
          </w:p>
        </w:tc>
      </w:tr>
      <w:tr w14:paraId="4870B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2E87EE90">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23D43A60">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5D723BDB">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6F38600E">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409FCB33">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7C334E77">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714D8AA6">
            <w:pPr>
              <w:jc w:val="left"/>
              <w:rPr>
                <w:rFonts w:hint="eastAsia" w:ascii="宋体" w:hAnsi="宋体" w:eastAsia="宋体" w:cs="宋体"/>
                <w:i w:val="0"/>
                <w:iCs w:val="0"/>
                <w:color w:val="000000"/>
                <w:sz w:val="18"/>
                <w:szCs w:val="18"/>
                <w:u w:val="none"/>
              </w:rPr>
            </w:pPr>
          </w:p>
        </w:tc>
      </w:tr>
      <w:tr w14:paraId="44B9F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50" w:type="dxa"/>
            <w:gridSpan w:val="6"/>
            <w:tcBorders>
              <w:top w:val="nil"/>
              <w:left w:val="nil"/>
              <w:bottom w:val="nil"/>
              <w:right w:val="nil"/>
            </w:tcBorders>
            <w:shd w:val="clear" w:color="auto" w:fill="FFFFFF"/>
            <w:vAlign w:val="center"/>
          </w:tcPr>
          <w:p w14:paraId="2E5154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【表10.2.2-31】</w:t>
            </w:r>
          </w:p>
        </w:tc>
        <w:tc>
          <w:tcPr>
            <w:tcW w:w="1095" w:type="dxa"/>
            <w:gridSpan w:val="3"/>
            <w:tcBorders>
              <w:top w:val="nil"/>
              <w:left w:val="nil"/>
              <w:bottom w:val="nil"/>
              <w:right w:val="nil"/>
            </w:tcBorders>
            <w:shd w:val="clear" w:color="auto" w:fill="FFFFFF"/>
            <w:vAlign w:val="bottom"/>
          </w:tcPr>
          <w:p w14:paraId="1F3C1DCF">
            <w:pPr>
              <w:jc w:val="left"/>
              <w:rPr>
                <w:rFonts w:hint="eastAsia" w:ascii="宋体" w:hAnsi="宋体" w:eastAsia="宋体" w:cs="宋体"/>
                <w:i w:val="0"/>
                <w:iCs w:val="0"/>
                <w:color w:val="000000"/>
                <w:sz w:val="18"/>
                <w:szCs w:val="18"/>
                <w:u w:val="none"/>
              </w:rPr>
            </w:pPr>
          </w:p>
        </w:tc>
        <w:tc>
          <w:tcPr>
            <w:tcW w:w="1035" w:type="dxa"/>
            <w:gridSpan w:val="4"/>
            <w:tcBorders>
              <w:top w:val="nil"/>
              <w:left w:val="nil"/>
              <w:bottom w:val="nil"/>
              <w:right w:val="nil"/>
            </w:tcBorders>
            <w:shd w:val="clear" w:color="auto" w:fill="FFFFFF"/>
            <w:vAlign w:val="bottom"/>
          </w:tcPr>
          <w:p w14:paraId="0A32949A">
            <w:pPr>
              <w:jc w:val="left"/>
              <w:rPr>
                <w:rFonts w:hint="eastAsia" w:ascii="宋体" w:hAnsi="宋体" w:eastAsia="宋体" w:cs="宋体"/>
                <w:i w:val="0"/>
                <w:iCs w:val="0"/>
                <w:color w:val="000000"/>
                <w:sz w:val="18"/>
                <w:szCs w:val="18"/>
                <w:u w:val="none"/>
              </w:rPr>
            </w:pPr>
          </w:p>
        </w:tc>
        <w:tc>
          <w:tcPr>
            <w:tcW w:w="1455" w:type="dxa"/>
            <w:gridSpan w:val="4"/>
            <w:tcBorders>
              <w:top w:val="nil"/>
              <w:left w:val="nil"/>
              <w:bottom w:val="nil"/>
              <w:right w:val="nil"/>
            </w:tcBorders>
            <w:shd w:val="clear" w:color="auto" w:fill="FFFFFF"/>
            <w:vAlign w:val="bottom"/>
          </w:tcPr>
          <w:p w14:paraId="6C0EE8AE">
            <w:pPr>
              <w:jc w:val="left"/>
              <w:rPr>
                <w:rFonts w:hint="eastAsia" w:ascii="宋体" w:hAnsi="宋体" w:eastAsia="宋体" w:cs="宋体"/>
                <w:i w:val="0"/>
                <w:iCs w:val="0"/>
                <w:color w:val="000000"/>
                <w:sz w:val="18"/>
                <w:szCs w:val="18"/>
                <w:u w:val="none"/>
              </w:rPr>
            </w:pPr>
          </w:p>
        </w:tc>
        <w:tc>
          <w:tcPr>
            <w:tcW w:w="1680" w:type="dxa"/>
            <w:gridSpan w:val="4"/>
            <w:tcBorders>
              <w:top w:val="nil"/>
              <w:left w:val="nil"/>
              <w:bottom w:val="nil"/>
              <w:right w:val="nil"/>
            </w:tcBorders>
            <w:shd w:val="clear" w:color="auto" w:fill="FFFFFF"/>
            <w:vAlign w:val="bottom"/>
          </w:tcPr>
          <w:p w14:paraId="2F979E5C">
            <w:pPr>
              <w:jc w:val="left"/>
              <w:rPr>
                <w:rFonts w:hint="eastAsia" w:ascii="宋体" w:hAnsi="宋体" w:eastAsia="宋体" w:cs="宋体"/>
                <w:i w:val="0"/>
                <w:iCs w:val="0"/>
                <w:color w:val="000000"/>
                <w:sz w:val="18"/>
                <w:szCs w:val="18"/>
                <w:u w:val="none"/>
              </w:rPr>
            </w:pPr>
          </w:p>
        </w:tc>
        <w:tc>
          <w:tcPr>
            <w:tcW w:w="1740" w:type="dxa"/>
            <w:gridSpan w:val="5"/>
            <w:tcBorders>
              <w:top w:val="nil"/>
              <w:left w:val="nil"/>
              <w:bottom w:val="nil"/>
              <w:right w:val="nil"/>
            </w:tcBorders>
            <w:shd w:val="clear" w:color="auto" w:fill="FFFFFF"/>
            <w:vAlign w:val="bottom"/>
          </w:tcPr>
          <w:p w14:paraId="79826899">
            <w:pPr>
              <w:jc w:val="left"/>
              <w:rPr>
                <w:rFonts w:hint="eastAsia" w:ascii="宋体" w:hAnsi="宋体" w:eastAsia="宋体" w:cs="宋体"/>
                <w:i w:val="0"/>
                <w:iCs w:val="0"/>
                <w:color w:val="000000"/>
                <w:sz w:val="18"/>
                <w:szCs w:val="18"/>
                <w:u w:val="none"/>
              </w:rPr>
            </w:pPr>
          </w:p>
        </w:tc>
      </w:tr>
      <w:tr w14:paraId="0D6A8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155" w:type="dxa"/>
            <w:gridSpan w:val="26"/>
            <w:tcBorders>
              <w:top w:val="nil"/>
              <w:left w:val="nil"/>
              <w:bottom w:val="nil"/>
              <w:right w:val="nil"/>
            </w:tcBorders>
            <w:shd w:val="clear" w:color="auto" w:fill="FFFFFF"/>
            <w:vAlign w:val="center"/>
          </w:tcPr>
          <w:p w14:paraId="5874F13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主要材料和工程设备一览表</w:t>
            </w:r>
          </w:p>
        </w:tc>
      </w:tr>
      <w:tr w14:paraId="71789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280" w:type="dxa"/>
            <w:gridSpan w:val="13"/>
            <w:tcBorders>
              <w:top w:val="nil"/>
              <w:left w:val="nil"/>
              <w:bottom w:val="nil"/>
              <w:right w:val="nil"/>
            </w:tcBorders>
            <w:shd w:val="clear" w:color="auto" w:fill="FFFFFF"/>
            <w:vAlign w:val="bottom"/>
          </w:tcPr>
          <w:p w14:paraId="5EBDB46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工程名称:市政保养工程</w:t>
            </w:r>
          </w:p>
        </w:tc>
        <w:tc>
          <w:tcPr>
            <w:tcW w:w="1455" w:type="dxa"/>
            <w:gridSpan w:val="4"/>
            <w:tcBorders>
              <w:top w:val="nil"/>
              <w:left w:val="nil"/>
              <w:bottom w:val="nil"/>
              <w:right w:val="nil"/>
            </w:tcBorders>
            <w:shd w:val="clear" w:color="auto" w:fill="FFFFFF"/>
            <w:vAlign w:val="bottom"/>
          </w:tcPr>
          <w:p w14:paraId="6E251C7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680" w:type="dxa"/>
            <w:gridSpan w:val="4"/>
            <w:tcBorders>
              <w:top w:val="nil"/>
              <w:left w:val="nil"/>
              <w:bottom w:val="nil"/>
              <w:right w:val="nil"/>
            </w:tcBorders>
            <w:shd w:val="clear" w:color="auto" w:fill="FFFFFF"/>
            <w:vAlign w:val="bottom"/>
          </w:tcPr>
          <w:p w14:paraId="7B396D88">
            <w:pPr>
              <w:jc w:val="right"/>
              <w:rPr>
                <w:rFonts w:hint="eastAsia" w:ascii="宋体" w:hAnsi="宋体" w:eastAsia="宋体" w:cs="宋体"/>
                <w:i w:val="0"/>
                <w:iCs w:val="0"/>
                <w:color w:val="000000"/>
                <w:sz w:val="18"/>
                <w:szCs w:val="18"/>
                <w:u w:val="none"/>
              </w:rPr>
            </w:pPr>
          </w:p>
        </w:tc>
        <w:tc>
          <w:tcPr>
            <w:tcW w:w="1740" w:type="dxa"/>
            <w:gridSpan w:val="5"/>
            <w:tcBorders>
              <w:top w:val="nil"/>
              <w:left w:val="nil"/>
              <w:bottom w:val="nil"/>
              <w:right w:val="nil"/>
            </w:tcBorders>
            <w:shd w:val="clear" w:color="auto" w:fill="FFFFFF"/>
            <w:vAlign w:val="bottom"/>
          </w:tcPr>
          <w:p w14:paraId="241CCE3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4B43F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18F39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490" w:type="dxa"/>
            <w:gridSpan w:val="3"/>
            <w:tcBorders>
              <w:top w:val="single" w:color="000000" w:sz="4" w:space="0"/>
              <w:left w:val="single" w:color="000000" w:sz="4" w:space="0"/>
              <w:bottom w:val="nil"/>
              <w:right w:val="nil"/>
            </w:tcBorders>
            <w:shd w:val="clear" w:color="auto" w:fill="FFFFFF"/>
            <w:vAlign w:val="center"/>
          </w:tcPr>
          <w:p w14:paraId="25562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名称、规格、型号</w:t>
            </w:r>
          </w:p>
        </w:tc>
        <w:tc>
          <w:tcPr>
            <w:tcW w:w="1095" w:type="dxa"/>
            <w:gridSpan w:val="3"/>
            <w:tcBorders>
              <w:top w:val="single" w:color="000000" w:sz="4" w:space="0"/>
              <w:left w:val="single" w:color="000000" w:sz="4" w:space="0"/>
              <w:bottom w:val="nil"/>
              <w:right w:val="nil"/>
            </w:tcBorders>
            <w:shd w:val="clear" w:color="auto" w:fill="FFFFFF"/>
            <w:vAlign w:val="center"/>
          </w:tcPr>
          <w:p w14:paraId="0F50D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035" w:type="dxa"/>
            <w:gridSpan w:val="4"/>
            <w:tcBorders>
              <w:top w:val="single" w:color="000000" w:sz="4" w:space="0"/>
              <w:left w:val="single" w:color="000000" w:sz="4" w:space="0"/>
              <w:bottom w:val="nil"/>
              <w:right w:val="nil"/>
            </w:tcBorders>
            <w:shd w:val="clear" w:color="auto" w:fill="FFFFFF"/>
            <w:vAlign w:val="center"/>
          </w:tcPr>
          <w:p w14:paraId="5AFBD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455" w:type="dxa"/>
            <w:gridSpan w:val="4"/>
            <w:tcBorders>
              <w:top w:val="single" w:color="000000" w:sz="4" w:space="0"/>
              <w:left w:val="single" w:color="000000" w:sz="4" w:space="0"/>
              <w:bottom w:val="nil"/>
              <w:right w:val="nil"/>
            </w:tcBorders>
            <w:shd w:val="clear" w:color="auto" w:fill="FFFFFF"/>
            <w:vAlign w:val="center"/>
          </w:tcPr>
          <w:p w14:paraId="61EE7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680" w:type="dxa"/>
            <w:gridSpan w:val="4"/>
            <w:tcBorders>
              <w:top w:val="single" w:color="000000" w:sz="4" w:space="0"/>
              <w:left w:val="single" w:color="000000" w:sz="4" w:space="0"/>
              <w:bottom w:val="nil"/>
              <w:right w:val="nil"/>
            </w:tcBorders>
            <w:shd w:val="clear" w:color="auto" w:fill="FFFFFF"/>
            <w:vAlign w:val="center"/>
          </w:tcPr>
          <w:p w14:paraId="7FC5A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4CADC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D811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06F34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90" w:type="dxa"/>
            <w:gridSpan w:val="3"/>
            <w:tcBorders>
              <w:top w:val="single" w:color="000000" w:sz="4" w:space="0"/>
              <w:left w:val="single" w:color="000000" w:sz="4" w:space="0"/>
              <w:bottom w:val="nil"/>
              <w:right w:val="nil"/>
            </w:tcBorders>
            <w:shd w:val="clear" w:color="auto" w:fill="FFFFFF"/>
            <w:vAlign w:val="center"/>
          </w:tcPr>
          <w:p w14:paraId="712C8E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镀锌铁丝综合</w:t>
            </w:r>
          </w:p>
        </w:tc>
        <w:tc>
          <w:tcPr>
            <w:tcW w:w="1095" w:type="dxa"/>
            <w:gridSpan w:val="3"/>
            <w:tcBorders>
              <w:top w:val="single" w:color="000000" w:sz="4" w:space="0"/>
              <w:left w:val="single" w:color="000000" w:sz="4" w:space="0"/>
              <w:bottom w:val="nil"/>
              <w:right w:val="nil"/>
            </w:tcBorders>
            <w:shd w:val="clear" w:color="auto" w:fill="FFFFFF"/>
            <w:vAlign w:val="center"/>
          </w:tcPr>
          <w:p w14:paraId="451F4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35" w:type="dxa"/>
            <w:gridSpan w:val="4"/>
            <w:tcBorders>
              <w:top w:val="single" w:color="000000" w:sz="4" w:space="0"/>
              <w:left w:val="single" w:color="000000" w:sz="4" w:space="0"/>
              <w:bottom w:val="nil"/>
              <w:right w:val="nil"/>
            </w:tcBorders>
            <w:shd w:val="clear" w:color="auto" w:fill="FFFFFF"/>
            <w:vAlign w:val="center"/>
          </w:tcPr>
          <w:p w14:paraId="2E88A2E3">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5DFE7B35">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1278C9F7">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70DDAEAB">
            <w:pPr>
              <w:jc w:val="left"/>
              <w:rPr>
                <w:rFonts w:hint="eastAsia" w:ascii="宋体" w:hAnsi="宋体" w:eastAsia="宋体" w:cs="宋体"/>
                <w:i w:val="0"/>
                <w:iCs w:val="0"/>
                <w:color w:val="000000"/>
                <w:sz w:val="18"/>
                <w:szCs w:val="18"/>
                <w:u w:val="none"/>
              </w:rPr>
            </w:pPr>
          </w:p>
        </w:tc>
      </w:tr>
      <w:tr w14:paraId="0AE17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396800B0">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192F2519">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68D82DBB">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2C0FB182">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47B10698">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18AC49BB">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18C9FFD1">
            <w:pPr>
              <w:jc w:val="left"/>
              <w:rPr>
                <w:rFonts w:hint="eastAsia" w:ascii="宋体" w:hAnsi="宋体" w:eastAsia="宋体" w:cs="宋体"/>
                <w:i w:val="0"/>
                <w:iCs w:val="0"/>
                <w:color w:val="000000"/>
                <w:sz w:val="18"/>
                <w:szCs w:val="18"/>
                <w:u w:val="none"/>
              </w:rPr>
            </w:pPr>
          </w:p>
        </w:tc>
      </w:tr>
      <w:tr w14:paraId="6CA79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66CD342C">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0E95D466">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49ABC708">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0C792546">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53E75163">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10E525C4">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7FB6624A">
            <w:pPr>
              <w:jc w:val="left"/>
              <w:rPr>
                <w:rFonts w:hint="eastAsia" w:ascii="宋体" w:hAnsi="宋体" w:eastAsia="宋体" w:cs="宋体"/>
                <w:i w:val="0"/>
                <w:iCs w:val="0"/>
                <w:color w:val="000000"/>
                <w:sz w:val="18"/>
                <w:szCs w:val="18"/>
                <w:u w:val="none"/>
              </w:rPr>
            </w:pPr>
          </w:p>
        </w:tc>
      </w:tr>
      <w:tr w14:paraId="5D10A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06151F55">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142910BF">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462853FB">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16407A95">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1BCF081F">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0A7EE68F">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05849C86">
            <w:pPr>
              <w:jc w:val="left"/>
              <w:rPr>
                <w:rFonts w:hint="eastAsia" w:ascii="宋体" w:hAnsi="宋体" w:eastAsia="宋体" w:cs="宋体"/>
                <w:i w:val="0"/>
                <w:iCs w:val="0"/>
                <w:color w:val="000000"/>
                <w:sz w:val="18"/>
                <w:szCs w:val="18"/>
                <w:u w:val="none"/>
              </w:rPr>
            </w:pPr>
          </w:p>
        </w:tc>
      </w:tr>
      <w:tr w14:paraId="64B6C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468D23AE">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6B15AB69">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247BCF87">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2F427D9F">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0DFBB373">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37D888C6">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22F782F3">
            <w:pPr>
              <w:jc w:val="left"/>
              <w:rPr>
                <w:rFonts w:hint="eastAsia" w:ascii="宋体" w:hAnsi="宋体" w:eastAsia="宋体" w:cs="宋体"/>
                <w:i w:val="0"/>
                <w:iCs w:val="0"/>
                <w:color w:val="000000"/>
                <w:sz w:val="18"/>
                <w:szCs w:val="18"/>
                <w:u w:val="none"/>
              </w:rPr>
            </w:pPr>
          </w:p>
        </w:tc>
      </w:tr>
      <w:tr w14:paraId="7CA32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5AAA1273">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7BA7B97C">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6FD54D9E">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60FB9F91">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614AC882">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3C285F99">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506FB603">
            <w:pPr>
              <w:jc w:val="left"/>
              <w:rPr>
                <w:rFonts w:hint="eastAsia" w:ascii="宋体" w:hAnsi="宋体" w:eastAsia="宋体" w:cs="宋体"/>
                <w:i w:val="0"/>
                <w:iCs w:val="0"/>
                <w:color w:val="000000"/>
                <w:sz w:val="18"/>
                <w:szCs w:val="18"/>
                <w:u w:val="none"/>
              </w:rPr>
            </w:pPr>
          </w:p>
        </w:tc>
      </w:tr>
      <w:tr w14:paraId="3D0EE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120A2578">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25298D2B">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4DA7AF37">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383D6E07">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4BBFDD7C">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2D7B1CAD">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73C167F0">
            <w:pPr>
              <w:jc w:val="left"/>
              <w:rPr>
                <w:rFonts w:hint="eastAsia" w:ascii="宋体" w:hAnsi="宋体" w:eastAsia="宋体" w:cs="宋体"/>
                <w:i w:val="0"/>
                <w:iCs w:val="0"/>
                <w:color w:val="000000"/>
                <w:sz w:val="18"/>
                <w:szCs w:val="18"/>
                <w:u w:val="none"/>
              </w:rPr>
            </w:pPr>
          </w:p>
        </w:tc>
      </w:tr>
      <w:tr w14:paraId="21E73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15A6368B">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2FD2A84E">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13238EF7">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59726CBF">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22E7F3E1">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38CB9713">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313970E3">
            <w:pPr>
              <w:jc w:val="left"/>
              <w:rPr>
                <w:rFonts w:hint="eastAsia" w:ascii="宋体" w:hAnsi="宋体" w:eastAsia="宋体" w:cs="宋体"/>
                <w:i w:val="0"/>
                <w:iCs w:val="0"/>
                <w:color w:val="000000"/>
                <w:sz w:val="18"/>
                <w:szCs w:val="18"/>
                <w:u w:val="none"/>
              </w:rPr>
            </w:pPr>
          </w:p>
        </w:tc>
      </w:tr>
      <w:tr w14:paraId="5A940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10F92E34">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60C455D6">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6AB8AA58">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17BE9B0B">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0CB07DAB">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11756F88">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576C8CD9">
            <w:pPr>
              <w:jc w:val="left"/>
              <w:rPr>
                <w:rFonts w:hint="eastAsia" w:ascii="宋体" w:hAnsi="宋体" w:eastAsia="宋体" w:cs="宋体"/>
                <w:i w:val="0"/>
                <w:iCs w:val="0"/>
                <w:color w:val="000000"/>
                <w:sz w:val="18"/>
                <w:szCs w:val="18"/>
                <w:u w:val="none"/>
              </w:rPr>
            </w:pPr>
          </w:p>
        </w:tc>
      </w:tr>
      <w:tr w14:paraId="10158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6B184EBA">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5B5380F5">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5490C1C2">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38866BDA">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10BC2684">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7F97ADCA">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13805444">
            <w:pPr>
              <w:jc w:val="left"/>
              <w:rPr>
                <w:rFonts w:hint="eastAsia" w:ascii="宋体" w:hAnsi="宋体" w:eastAsia="宋体" w:cs="宋体"/>
                <w:i w:val="0"/>
                <w:iCs w:val="0"/>
                <w:color w:val="000000"/>
                <w:sz w:val="18"/>
                <w:szCs w:val="18"/>
                <w:u w:val="none"/>
              </w:rPr>
            </w:pPr>
          </w:p>
        </w:tc>
      </w:tr>
      <w:tr w14:paraId="49D4D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07721872">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3546776B">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0EE627E7">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012A515B">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57A2A8CC">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582E80D2">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16477C2A">
            <w:pPr>
              <w:jc w:val="left"/>
              <w:rPr>
                <w:rFonts w:hint="eastAsia" w:ascii="宋体" w:hAnsi="宋体" w:eastAsia="宋体" w:cs="宋体"/>
                <w:i w:val="0"/>
                <w:iCs w:val="0"/>
                <w:color w:val="000000"/>
                <w:sz w:val="18"/>
                <w:szCs w:val="18"/>
                <w:u w:val="none"/>
              </w:rPr>
            </w:pPr>
          </w:p>
        </w:tc>
      </w:tr>
      <w:tr w14:paraId="6DA76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30B1F575">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287E998A">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3936F127">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1190A3B6">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20AB01A4">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26047CBE">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5A6FEDA0">
            <w:pPr>
              <w:jc w:val="left"/>
              <w:rPr>
                <w:rFonts w:hint="eastAsia" w:ascii="宋体" w:hAnsi="宋体" w:eastAsia="宋体" w:cs="宋体"/>
                <w:i w:val="0"/>
                <w:iCs w:val="0"/>
                <w:color w:val="000000"/>
                <w:sz w:val="18"/>
                <w:szCs w:val="18"/>
                <w:u w:val="none"/>
              </w:rPr>
            </w:pPr>
          </w:p>
        </w:tc>
      </w:tr>
      <w:tr w14:paraId="43138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4425BAB7">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266AB04F">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04788A75">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37235101">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7F471C6D">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03566747">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5D39835B">
            <w:pPr>
              <w:jc w:val="left"/>
              <w:rPr>
                <w:rFonts w:hint="eastAsia" w:ascii="宋体" w:hAnsi="宋体" w:eastAsia="宋体" w:cs="宋体"/>
                <w:i w:val="0"/>
                <w:iCs w:val="0"/>
                <w:color w:val="000000"/>
                <w:sz w:val="18"/>
                <w:szCs w:val="18"/>
                <w:u w:val="none"/>
              </w:rPr>
            </w:pPr>
          </w:p>
        </w:tc>
      </w:tr>
      <w:tr w14:paraId="54C2D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4E70AF1D">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1CCD5DFE">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63E973CE">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6AD8FEB9">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1BE5C6F3">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4064B80D">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46171F14">
            <w:pPr>
              <w:jc w:val="left"/>
              <w:rPr>
                <w:rFonts w:hint="eastAsia" w:ascii="宋体" w:hAnsi="宋体" w:eastAsia="宋体" w:cs="宋体"/>
                <w:i w:val="0"/>
                <w:iCs w:val="0"/>
                <w:color w:val="000000"/>
                <w:sz w:val="18"/>
                <w:szCs w:val="18"/>
                <w:u w:val="none"/>
              </w:rPr>
            </w:pPr>
          </w:p>
        </w:tc>
      </w:tr>
      <w:tr w14:paraId="32C1F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72B1CA8C">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362C3D17">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74B9FF61">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041B2F31">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256209B0">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0DACCE74">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4D670527">
            <w:pPr>
              <w:jc w:val="left"/>
              <w:rPr>
                <w:rFonts w:hint="eastAsia" w:ascii="宋体" w:hAnsi="宋体" w:eastAsia="宋体" w:cs="宋体"/>
                <w:i w:val="0"/>
                <w:iCs w:val="0"/>
                <w:color w:val="000000"/>
                <w:sz w:val="18"/>
                <w:szCs w:val="18"/>
                <w:u w:val="none"/>
              </w:rPr>
            </w:pPr>
          </w:p>
        </w:tc>
      </w:tr>
      <w:tr w14:paraId="5EC1E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7AE3DBCC">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6EC1B5EF">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42967770">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6F916B53">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77D62DE8">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20D3A461">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5AF728DB">
            <w:pPr>
              <w:jc w:val="left"/>
              <w:rPr>
                <w:rFonts w:hint="eastAsia" w:ascii="宋体" w:hAnsi="宋体" w:eastAsia="宋体" w:cs="宋体"/>
                <w:i w:val="0"/>
                <w:iCs w:val="0"/>
                <w:color w:val="000000"/>
                <w:sz w:val="18"/>
                <w:szCs w:val="18"/>
                <w:u w:val="none"/>
              </w:rPr>
            </w:pPr>
          </w:p>
        </w:tc>
      </w:tr>
      <w:tr w14:paraId="18999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3142920F">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1C588600">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09AEBE3E">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2558F1AF">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1942C680">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7D8E9FC0">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611C6BD7">
            <w:pPr>
              <w:jc w:val="left"/>
              <w:rPr>
                <w:rFonts w:hint="eastAsia" w:ascii="宋体" w:hAnsi="宋体" w:eastAsia="宋体" w:cs="宋体"/>
                <w:i w:val="0"/>
                <w:iCs w:val="0"/>
                <w:color w:val="000000"/>
                <w:sz w:val="18"/>
                <w:szCs w:val="18"/>
                <w:u w:val="none"/>
              </w:rPr>
            </w:pPr>
          </w:p>
        </w:tc>
      </w:tr>
      <w:tr w14:paraId="167C1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388FBD8F">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707BD8CC">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3957C91A">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70DF1542">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3859F78D">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539BDB52">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5B85E7ED">
            <w:pPr>
              <w:jc w:val="left"/>
              <w:rPr>
                <w:rFonts w:hint="eastAsia" w:ascii="宋体" w:hAnsi="宋体" w:eastAsia="宋体" w:cs="宋体"/>
                <w:i w:val="0"/>
                <w:iCs w:val="0"/>
                <w:color w:val="000000"/>
                <w:sz w:val="18"/>
                <w:szCs w:val="18"/>
                <w:u w:val="none"/>
              </w:rPr>
            </w:pPr>
          </w:p>
        </w:tc>
      </w:tr>
      <w:tr w14:paraId="05996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531B3571">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76907E18">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415AE7BD">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4DF94F64">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75CFF9C3">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25BD90E9">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14BA9F51">
            <w:pPr>
              <w:jc w:val="left"/>
              <w:rPr>
                <w:rFonts w:hint="eastAsia" w:ascii="宋体" w:hAnsi="宋体" w:eastAsia="宋体" w:cs="宋体"/>
                <w:i w:val="0"/>
                <w:iCs w:val="0"/>
                <w:color w:val="000000"/>
                <w:sz w:val="18"/>
                <w:szCs w:val="18"/>
                <w:u w:val="none"/>
              </w:rPr>
            </w:pPr>
          </w:p>
        </w:tc>
      </w:tr>
      <w:tr w14:paraId="3547E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6099508E">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1065B2DF">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384216C0">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37FEB2B1">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231D80A5">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690B29DF">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37713308">
            <w:pPr>
              <w:jc w:val="left"/>
              <w:rPr>
                <w:rFonts w:hint="eastAsia" w:ascii="宋体" w:hAnsi="宋体" w:eastAsia="宋体" w:cs="宋体"/>
                <w:i w:val="0"/>
                <w:iCs w:val="0"/>
                <w:color w:val="000000"/>
                <w:sz w:val="18"/>
                <w:szCs w:val="18"/>
                <w:u w:val="none"/>
              </w:rPr>
            </w:pPr>
          </w:p>
        </w:tc>
      </w:tr>
      <w:tr w14:paraId="6ADE0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52ED34F9">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43E3D6E2">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37B02F7C">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2144B57F">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3B4C8D48">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68D39963">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73EA7022">
            <w:pPr>
              <w:jc w:val="left"/>
              <w:rPr>
                <w:rFonts w:hint="eastAsia" w:ascii="宋体" w:hAnsi="宋体" w:eastAsia="宋体" w:cs="宋体"/>
                <w:i w:val="0"/>
                <w:iCs w:val="0"/>
                <w:color w:val="000000"/>
                <w:sz w:val="18"/>
                <w:szCs w:val="18"/>
                <w:u w:val="none"/>
              </w:rPr>
            </w:pPr>
          </w:p>
        </w:tc>
      </w:tr>
      <w:tr w14:paraId="5D5E1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66E45D40">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49AFFD28">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4F4F2DD3">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600C6B2A">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4B7F231B">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386AA435">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5CF42BB5">
            <w:pPr>
              <w:jc w:val="left"/>
              <w:rPr>
                <w:rFonts w:hint="eastAsia" w:ascii="宋体" w:hAnsi="宋体" w:eastAsia="宋体" w:cs="宋体"/>
                <w:i w:val="0"/>
                <w:iCs w:val="0"/>
                <w:color w:val="000000"/>
                <w:sz w:val="18"/>
                <w:szCs w:val="18"/>
                <w:u w:val="none"/>
              </w:rPr>
            </w:pPr>
          </w:p>
        </w:tc>
      </w:tr>
      <w:tr w14:paraId="2A590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6FFD40D9">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684FCA6D">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6300EBB7">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0939FC8B">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7B830829">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4E9F5D72">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1D8B018C">
            <w:pPr>
              <w:jc w:val="left"/>
              <w:rPr>
                <w:rFonts w:hint="eastAsia" w:ascii="宋体" w:hAnsi="宋体" w:eastAsia="宋体" w:cs="宋体"/>
                <w:i w:val="0"/>
                <w:iCs w:val="0"/>
                <w:color w:val="000000"/>
                <w:sz w:val="18"/>
                <w:szCs w:val="18"/>
                <w:u w:val="none"/>
              </w:rPr>
            </w:pPr>
          </w:p>
        </w:tc>
      </w:tr>
      <w:tr w14:paraId="05446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4C34504D">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4ED56A09">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16A59239">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151B70A2">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236449F1">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4EFC103F">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2AFE7E14">
            <w:pPr>
              <w:jc w:val="left"/>
              <w:rPr>
                <w:rFonts w:hint="eastAsia" w:ascii="宋体" w:hAnsi="宋体" w:eastAsia="宋体" w:cs="宋体"/>
                <w:i w:val="0"/>
                <w:iCs w:val="0"/>
                <w:color w:val="000000"/>
                <w:sz w:val="18"/>
                <w:szCs w:val="18"/>
                <w:u w:val="none"/>
              </w:rPr>
            </w:pPr>
          </w:p>
        </w:tc>
      </w:tr>
      <w:tr w14:paraId="6BE85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60BAED35">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0C020539">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560407A9">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57BCE776">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72B269B1">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2241D056">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53221BE2">
            <w:pPr>
              <w:jc w:val="left"/>
              <w:rPr>
                <w:rFonts w:hint="eastAsia" w:ascii="宋体" w:hAnsi="宋体" w:eastAsia="宋体" w:cs="宋体"/>
                <w:i w:val="0"/>
                <w:iCs w:val="0"/>
                <w:color w:val="000000"/>
                <w:sz w:val="18"/>
                <w:szCs w:val="18"/>
                <w:u w:val="none"/>
              </w:rPr>
            </w:pPr>
          </w:p>
        </w:tc>
      </w:tr>
      <w:tr w14:paraId="3F0E5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162CE29B">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02A2F25B">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6BE3EDE7">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5B43A746">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1CA9DB76">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19D0FE07">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5FA4E954">
            <w:pPr>
              <w:jc w:val="left"/>
              <w:rPr>
                <w:rFonts w:hint="eastAsia" w:ascii="宋体" w:hAnsi="宋体" w:eastAsia="宋体" w:cs="宋体"/>
                <w:i w:val="0"/>
                <w:iCs w:val="0"/>
                <w:color w:val="000000"/>
                <w:sz w:val="18"/>
                <w:szCs w:val="18"/>
                <w:u w:val="none"/>
              </w:rPr>
            </w:pPr>
          </w:p>
        </w:tc>
      </w:tr>
      <w:tr w14:paraId="00290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36DBA28E">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70DFB2BB">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61522F0F">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417A0382">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36152AF8">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1A26F516">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4F542150">
            <w:pPr>
              <w:jc w:val="left"/>
              <w:rPr>
                <w:rFonts w:hint="eastAsia" w:ascii="宋体" w:hAnsi="宋体" w:eastAsia="宋体" w:cs="宋体"/>
                <w:i w:val="0"/>
                <w:iCs w:val="0"/>
                <w:color w:val="000000"/>
                <w:sz w:val="18"/>
                <w:szCs w:val="18"/>
                <w:u w:val="none"/>
              </w:rPr>
            </w:pPr>
          </w:p>
        </w:tc>
      </w:tr>
      <w:tr w14:paraId="4C13A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6D6E7AD8">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42F27AA9">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674EB675">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530E4C0D">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30A8CAC9">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35828FB8">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06EF2F8D">
            <w:pPr>
              <w:jc w:val="left"/>
              <w:rPr>
                <w:rFonts w:hint="eastAsia" w:ascii="宋体" w:hAnsi="宋体" w:eastAsia="宋体" w:cs="宋体"/>
                <w:i w:val="0"/>
                <w:iCs w:val="0"/>
                <w:color w:val="000000"/>
                <w:sz w:val="18"/>
                <w:szCs w:val="18"/>
                <w:u w:val="none"/>
              </w:rPr>
            </w:pPr>
          </w:p>
        </w:tc>
      </w:tr>
      <w:tr w14:paraId="7D592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4F89B578">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56314D2B">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6898D546">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43CC5897">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363A7B10">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482F8A3A">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2E12FA6A">
            <w:pPr>
              <w:jc w:val="left"/>
              <w:rPr>
                <w:rFonts w:hint="eastAsia" w:ascii="宋体" w:hAnsi="宋体" w:eastAsia="宋体" w:cs="宋体"/>
                <w:i w:val="0"/>
                <w:iCs w:val="0"/>
                <w:color w:val="000000"/>
                <w:sz w:val="18"/>
                <w:szCs w:val="18"/>
                <w:u w:val="none"/>
              </w:rPr>
            </w:pPr>
          </w:p>
        </w:tc>
      </w:tr>
      <w:tr w14:paraId="260E6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750" w:type="dxa"/>
            <w:gridSpan w:val="8"/>
            <w:tcBorders>
              <w:top w:val="nil"/>
              <w:left w:val="nil"/>
              <w:bottom w:val="nil"/>
              <w:right w:val="nil"/>
            </w:tcBorders>
            <w:shd w:val="clear" w:color="auto" w:fill="FFFFFF"/>
            <w:vAlign w:val="center"/>
          </w:tcPr>
          <w:p w14:paraId="42A5A6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【表10.2.2-32】</w:t>
            </w:r>
          </w:p>
        </w:tc>
        <w:tc>
          <w:tcPr>
            <w:tcW w:w="750" w:type="dxa"/>
            <w:gridSpan w:val="4"/>
            <w:tcBorders>
              <w:top w:val="nil"/>
              <w:left w:val="nil"/>
              <w:bottom w:val="nil"/>
              <w:right w:val="nil"/>
            </w:tcBorders>
            <w:shd w:val="clear" w:color="auto" w:fill="FFFFFF"/>
            <w:vAlign w:val="bottom"/>
          </w:tcPr>
          <w:p w14:paraId="246F3EA8">
            <w:pPr>
              <w:jc w:val="left"/>
              <w:rPr>
                <w:rFonts w:hint="eastAsia" w:ascii="宋体" w:hAnsi="宋体" w:eastAsia="宋体" w:cs="宋体"/>
                <w:i w:val="0"/>
                <w:iCs w:val="0"/>
                <w:color w:val="000000"/>
                <w:sz w:val="18"/>
                <w:szCs w:val="18"/>
                <w:u w:val="none"/>
              </w:rPr>
            </w:pPr>
          </w:p>
        </w:tc>
        <w:tc>
          <w:tcPr>
            <w:tcW w:w="1290" w:type="dxa"/>
            <w:gridSpan w:val="3"/>
            <w:tcBorders>
              <w:top w:val="nil"/>
              <w:left w:val="nil"/>
              <w:bottom w:val="nil"/>
              <w:right w:val="nil"/>
            </w:tcBorders>
            <w:shd w:val="clear" w:color="auto" w:fill="FFFFFF"/>
            <w:vAlign w:val="bottom"/>
          </w:tcPr>
          <w:p w14:paraId="40F38167">
            <w:pPr>
              <w:jc w:val="left"/>
              <w:rPr>
                <w:rFonts w:hint="eastAsia" w:ascii="宋体" w:hAnsi="宋体" w:eastAsia="宋体" w:cs="宋体"/>
                <w:i w:val="0"/>
                <w:iCs w:val="0"/>
                <w:color w:val="000000"/>
                <w:sz w:val="18"/>
                <w:szCs w:val="18"/>
                <w:u w:val="none"/>
              </w:rPr>
            </w:pPr>
          </w:p>
        </w:tc>
        <w:tc>
          <w:tcPr>
            <w:tcW w:w="1635" w:type="dxa"/>
            <w:gridSpan w:val="5"/>
            <w:tcBorders>
              <w:top w:val="nil"/>
              <w:left w:val="nil"/>
              <w:bottom w:val="nil"/>
              <w:right w:val="nil"/>
            </w:tcBorders>
            <w:shd w:val="clear" w:color="auto" w:fill="FFFFFF"/>
            <w:vAlign w:val="bottom"/>
          </w:tcPr>
          <w:p w14:paraId="4DC154DE">
            <w:pPr>
              <w:jc w:val="left"/>
              <w:rPr>
                <w:rFonts w:hint="eastAsia" w:ascii="宋体" w:hAnsi="宋体" w:eastAsia="宋体" w:cs="宋体"/>
                <w:i w:val="0"/>
                <w:iCs w:val="0"/>
                <w:color w:val="000000"/>
                <w:sz w:val="18"/>
                <w:szCs w:val="18"/>
                <w:u w:val="none"/>
              </w:rPr>
            </w:pPr>
          </w:p>
        </w:tc>
        <w:tc>
          <w:tcPr>
            <w:tcW w:w="1365" w:type="dxa"/>
            <w:gridSpan w:val="3"/>
            <w:tcBorders>
              <w:top w:val="nil"/>
              <w:left w:val="nil"/>
              <w:bottom w:val="nil"/>
              <w:right w:val="nil"/>
            </w:tcBorders>
            <w:shd w:val="clear" w:color="auto" w:fill="FFFFFF"/>
            <w:vAlign w:val="center"/>
          </w:tcPr>
          <w:p w14:paraId="47EBD27A">
            <w:pPr>
              <w:jc w:val="center"/>
              <w:rPr>
                <w:rFonts w:hint="eastAsia" w:ascii="宋体" w:hAnsi="宋体" w:eastAsia="宋体" w:cs="宋体"/>
                <w:i w:val="0"/>
                <w:iCs w:val="0"/>
                <w:color w:val="000000"/>
                <w:sz w:val="18"/>
                <w:szCs w:val="18"/>
                <w:u w:val="none"/>
              </w:rPr>
            </w:pPr>
          </w:p>
        </w:tc>
        <w:tc>
          <w:tcPr>
            <w:tcW w:w="1365" w:type="dxa"/>
            <w:gridSpan w:val="3"/>
            <w:tcBorders>
              <w:top w:val="nil"/>
              <w:left w:val="nil"/>
              <w:bottom w:val="nil"/>
              <w:right w:val="nil"/>
            </w:tcBorders>
            <w:shd w:val="clear" w:color="auto" w:fill="FFFFFF"/>
            <w:vAlign w:val="center"/>
          </w:tcPr>
          <w:p w14:paraId="3717B3F5">
            <w:pPr>
              <w:jc w:val="center"/>
              <w:rPr>
                <w:rFonts w:hint="eastAsia" w:ascii="宋体" w:hAnsi="宋体" w:eastAsia="宋体" w:cs="宋体"/>
                <w:i w:val="0"/>
                <w:iCs w:val="0"/>
                <w:color w:val="000000"/>
                <w:sz w:val="18"/>
                <w:szCs w:val="18"/>
                <w:u w:val="none"/>
              </w:rPr>
            </w:pPr>
          </w:p>
        </w:tc>
      </w:tr>
      <w:tr w14:paraId="683B4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155" w:type="dxa"/>
            <w:gridSpan w:val="26"/>
            <w:tcBorders>
              <w:top w:val="nil"/>
              <w:left w:val="nil"/>
              <w:bottom w:val="nil"/>
              <w:right w:val="nil"/>
            </w:tcBorders>
            <w:shd w:val="clear" w:color="auto" w:fill="FFFFFF"/>
            <w:vAlign w:val="center"/>
          </w:tcPr>
          <w:p w14:paraId="3A22842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主要机械台班一览表</w:t>
            </w:r>
          </w:p>
        </w:tc>
      </w:tr>
      <w:tr w14:paraId="185A9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00" w:type="dxa"/>
            <w:gridSpan w:val="12"/>
            <w:tcBorders>
              <w:top w:val="nil"/>
              <w:left w:val="nil"/>
              <w:bottom w:val="nil"/>
              <w:right w:val="nil"/>
            </w:tcBorders>
            <w:shd w:val="clear" w:color="auto" w:fill="FFFFFF"/>
            <w:vAlign w:val="bottom"/>
          </w:tcPr>
          <w:p w14:paraId="3BD2ACF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工程名称:市政保养工程</w:t>
            </w:r>
          </w:p>
        </w:tc>
        <w:tc>
          <w:tcPr>
            <w:tcW w:w="1290" w:type="dxa"/>
            <w:gridSpan w:val="3"/>
            <w:tcBorders>
              <w:top w:val="nil"/>
              <w:left w:val="nil"/>
              <w:bottom w:val="nil"/>
              <w:right w:val="nil"/>
            </w:tcBorders>
            <w:shd w:val="clear" w:color="auto" w:fill="FFFFFF"/>
            <w:vAlign w:val="bottom"/>
          </w:tcPr>
          <w:p w14:paraId="0F2CEAE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635" w:type="dxa"/>
            <w:gridSpan w:val="5"/>
            <w:tcBorders>
              <w:top w:val="nil"/>
              <w:left w:val="nil"/>
              <w:bottom w:val="nil"/>
              <w:right w:val="nil"/>
            </w:tcBorders>
            <w:shd w:val="clear" w:color="auto" w:fill="FFFFFF"/>
            <w:vAlign w:val="bottom"/>
          </w:tcPr>
          <w:p w14:paraId="15E28A74">
            <w:pPr>
              <w:jc w:val="right"/>
              <w:rPr>
                <w:rFonts w:hint="eastAsia" w:ascii="Arial" w:hAnsi="Arial" w:cs="Arial"/>
                <w:i w:val="0"/>
                <w:iCs w:val="0"/>
                <w:color w:val="000000"/>
                <w:sz w:val="18"/>
                <w:szCs w:val="18"/>
                <w:u w:val="none"/>
              </w:rPr>
            </w:pPr>
          </w:p>
        </w:tc>
        <w:tc>
          <w:tcPr>
            <w:tcW w:w="2730" w:type="dxa"/>
            <w:gridSpan w:val="6"/>
            <w:tcBorders>
              <w:top w:val="nil"/>
              <w:left w:val="nil"/>
              <w:bottom w:val="nil"/>
              <w:right w:val="nil"/>
            </w:tcBorders>
            <w:shd w:val="clear" w:color="auto" w:fill="FFFFFF"/>
            <w:vAlign w:val="bottom"/>
          </w:tcPr>
          <w:p w14:paraId="486DB45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50C27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667BF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285" w:type="dxa"/>
            <w:gridSpan w:val="7"/>
            <w:tcBorders>
              <w:top w:val="single" w:color="000000" w:sz="4" w:space="0"/>
              <w:left w:val="single" w:color="000000" w:sz="4" w:space="0"/>
              <w:bottom w:val="nil"/>
              <w:right w:val="nil"/>
            </w:tcBorders>
            <w:shd w:val="clear" w:color="auto" w:fill="FFFFFF"/>
            <w:vAlign w:val="center"/>
          </w:tcPr>
          <w:p w14:paraId="353B2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机械名称、规格、型号</w:t>
            </w:r>
          </w:p>
        </w:tc>
        <w:tc>
          <w:tcPr>
            <w:tcW w:w="750" w:type="dxa"/>
            <w:gridSpan w:val="4"/>
            <w:tcBorders>
              <w:top w:val="single" w:color="000000" w:sz="4" w:space="0"/>
              <w:left w:val="single" w:color="000000" w:sz="4" w:space="0"/>
              <w:bottom w:val="nil"/>
              <w:right w:val="nil"/>
            </w:tcBorders>
            <w:shd w:val="clear" w:color="auto" w:fill="FFFFFF"/>
            <w:vAlign w:val="center"/>
          </w:tcPr>
          <w:p w14:paraId="7ACFE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290" w:type="dxa"/>
            <w:gridSpan w:val="3"/>
            <w:tcBorders>
              <w:top w:val="single" w:color="000000" w:sz="4" w:space="0"/>
              <w:left w:val="single" w:color="000000" w:sz="4" w:space="0"/>
              <w:bottom w:val="nil"/>
              <w:right w:val="nil"/>
            </w:tcBorders>
            <w:shd w:val="clear" w:color="auto" w:fill="FFFFFF"/>
            <w:vAlign w:val="center"/>
          </w:tcPr>
          <w:p w14:paraId="20731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1635" w:type="dxa"/>
            <w:gridSpan w:val="5"/>
            <w:tcBorders>
              <w:top w:val="single" w:color="000000" w:sz="4" w:space="0"/>
              <w:left w:val="single" w:color="000000" w:sz="4" w:space="0"/>
              <w:bottom w:val="nil"/>
              <w:right w:val="nil"/>
            </w:tcBorders>
            <w:shd w:val="clear" w:color="auto" w:fill="FFFFFF"/>
            <w:vAlign w:val="center"/>
          </w:tcPr>
          <w:p w14:paraId="1A4CC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365" w:type="dxa"/>
            <w:gridSpan w:val="3"/>
            <w:tcBorders>
              <w:top w:val="single" w:color="000000" w:sz="4" w:space="0"/>
              <w:left w:val="single" w:color="000000" w:sz="4" w:space="0"/>
              <w:bottom w:val="nil"/>
              <w:right w:val="nil"/>
            </w:tcBorders>
            <w:shd w:val="clear" w:color="auto" w:fill="FFFFFF"/>
            <w:vAlign w:val="center"/>
          </w:tcPr>
          <w:p w14:paraId="3EF88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79B45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7E34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29169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85" w:type="dxa"/>
            <w:gridSpan w:val="7"/>
            <w:tcBorders>
              <w:top w:val="single" w:color="000000" w:sz="4" w:space="0"/>
              <w:left w:val="single" w:color="000000" w:sz="4" w:space="0"/>
              <w:bottom w:val="nil"/>
              <w:right w:val="nil"/>
            </w:tcBorders>
            <w:shd w:val="clear" w:color="auto" w:fill="FFFFFF"/>
            <w:vAlign w:val="center"/>
          </w:tcPr>
          <w:p w14:paraId="33D9D9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履带式单斗液压挖掘机1m3</w:t>
            </w:r>
          </w:p>
        </w:tc>
        <w:tc>
          <w:tcPr>
            <w:tcW w:w="750" w:type="dxa"/>
            <w:gridSpan w:val="4"/>
            <w:tcBorders>
              <w:top w:val="single" w:color="000000" w:sz="4" w:space="0"/>
              <w:left w:val="single" w:color="000000" w:sz="4" w:space="0"/>
              <w:bottom w:val="nil"/>
              <w:right w:val="nil"/>
            </w:tcBorders>
            <w:shd w:val="clear" w:color="auto" w:fill="FFFFFF"/>
            <w:vAlign w:val="center"/>
          </w:tcPr>
          <w:p w14:paraId="59ABC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3"/>
            <w:tcBorders>
              <w:top w:val="single" w:color="000000" w:sz="4" w:space="0"/>
              <w:left w:val="single" w:color="000000" w:sz="4" w:space="0"/>
              <w:bottom w:val="nil"/>
              <w:right w:val="nil"/>
            </w:tcBorders>
            <w:shd w:val="clear" w:color="auto" w:fill="FFFFFF"/>
            <w:vAlign w:val="center"/>
          </w:tcPr>
          <w:p w14:paraId="2D2C9C0E">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7C6C80CF">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648921AD">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68B03884">
            <w:pPr>
              <w:jc w:val="center"/>
              <w:rPr>
                <w:rFonts w:hint="eastAsia" w:ascii="宋体" w:hAnsi="宋体" w:eastAsia="宋体" w:cs="宋体"/>
                <w:i w:val="0"/>
                <w:iCs w:val="0"/>
                <w:color w:val="000000"/>
                <w:sz w:val="18"/>
                <w:szCs w:val="18"/>
                <w:u w:val="none"/>
              </w:rPr>
            </w:pPr>
          </w:p>
        </w:tc>
      </w:tr>
      <w:tr w14:paraId="30898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261B8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85" w:type="dxa"/>
            <w:gridSpan w:val="7"/>
            <w:tcBorders>
              <w:top w:val="single" w:color="000000" w:sz="4" w:space="0"/>
              <w:left w:val="single" w:color="000000" w:sz="4" w:space="0"/>
              <w:bottom w:val="nil"/>
              <w:right w:val="nil"/>
            </w:tcBorders>
            <w:shd w:val="clear" w:color="auto" w:fill="FFFFFF"/>
            <w:vAlign w:val="center"/>
          </w:tcPr>
          <w:p w14:paraId="7F3F48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沥青混凝土摊铺机15t</w:t>
            </w:r>
          </w:p>
        </w:tc>
        <w:tc>
          <w:tcPr>
            <w:tcW w:w="750" w:type="dxa"/>
            <w:gridSpan w:val="4"/>
            <w:tcBorders>
              <w:top w:val="single" w:color="000000" w:sz="4" w:space="0"/>
              <w:left w:val="single" w:color="000000" w:sz="4" w:space="0"/>
              <w:bottom w:val="nil"/>
              <w:right w:val="nil"/>
            </w:tcBorders>
            <w:shd w:val="clear" w:color="auto" w:fill="FFFFFF"/>
            <w:vAlign w:val="center"/>
          </w:tcPr>
          <w:p w14:paraId="5EC06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3"/>
            <w:tcBorders>
              <w:top w:val="single" w:color="000000" w:sz="4" w:space="0"/>
              <w:left w:val="single" w:color="000000" w:sz="4" w:space="0"/>
              <w:bottom w:val="nil"/>
              <w:right w:val="nil"/>
            </w:tcBorders>
            <w:shd w:val="clear" w:color="auto" w:fill="FFFFFF"/>
            <w:vAlign w:val="center"/>
          </w:tcPr>
          <w:p w14:paraId="0967F5F2">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6BEAC6FC">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46B7F5E4">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6F09C475">
            <w:pPr>
              <w:jc w:val="center"/>
              <w:rPr>
                <w:rFonts w:hint="eastAsia" w:ascii="宋体" w:hAnsi="宋体" w:eastAsia="宋体" w:cs="宋体"/>
                <w:i w:val="0"/>
                <w:iCs w:val="0"/>
                <w:color w:val="000000"/>
                <w:sz w:val="18"/>
                <w:szCs w:val="18"/>
                <w:u w:val="none"/>
              </w:rPr>
            </w:pPr>
          </w:p>
        </w:tc>
      </w:tr>
      <w:tr w14:paraId="14A0C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6E7EC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85" w:type="dxa"/>
            <w:gridSpan w:val="7"/>
            <w:tcBorders>
              <w:top w:val="single" w:color="000000" w:sz="4" w:space="0"/>
              <w:left w:val="single" w:color="000000" w:sz="4" w:space="0"/>
              <w:bottom w:val="nil"/>
              <w:right w:val="nil"/>
            </w:tcBorders>
            <w:shd w:val="clear" w:color="auto" w:fill="FFFFFF"/>
            <w:vAlign w:val="center"/>
          </w:tcPr>
          <w:p w14:paraId="4FA5B1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载货汽车2t</w:t>
            </w:r>
          </w:p>
        </w:tc>
        <w:tc>
          <w:tcPr>
            <w:tcW w:w="750" w:type="dxa"/>
            <w:gridSpan w:val="4"/>
            <w:tcBorders>
              <w:top w:val="single" w:color="000000" w:sz="4" w:space="0"/>
              <w:left w:val="single" w:color="000000" w:sz="4" w:space="0"/>
              <w:bottom w:val="nil"/>
              <w:right w:val="nil"/>
            </w:tcBorders>
            <w:shd w:val="clear" w:color="auto" w:fill="FFFFFF"/>
            <w:vAlign w:val="center"/>
          </w:tcPr>
          <w:p w14:paraId="21F2C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3"/>
            <w:tcBorders>
              <w:top w:val="single" w:color="000000" w:sz="4" w:space="0"/>
              <w:left w:val="single" w:color="000000" w:sz="4" w:space="0"/>
              <w:bottom w:val="nil"/>
              <w:right w:val="nil"/>
            </w:tcBorders>
            <w:shd w:val="clear" w:color="auto" w:fill="FFFFFF"/>
            <w:vAlign w:val="center"/>
          </w:tcPr>
          <w:p w14:paraId="2A89DFA9">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4EEB3779">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13D4A0CA">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5C5E45EE">
            <w:pPr>
              <w:jc w:val="center"/>
              <w:rPr>
                <w:rFonts w:hint="eastAsia" w:ascii="宋体" w:hAnsi="宋体" w:eastAsia="宋体" w:cs="宋体"/>
                <w:i w:val="0"/>
                <w:iCs w:val="0"/>
                <w:color w:val="000000"/>
                <w:sz w:val="18"/>
                <w:szCs w:val="18"/>
                <w:u w:val="none"/>
              </w:rPr>
            </w:pPr>
          </w:p>
        </w:tc>
      </w:tr>
      <w:tr w14:paraId="689A5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0F134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85" w:type="dxa"/>
            <w:gridSpan w:val="7"/>
            <w:tcBorders>
              <w:top w:val="single" w:color="000000" w:sz="4" w:space="0"/>
              <w:left w:val="single" w:color="000000" w:sz="4" w:space="0"/>
              <w:bottom w:val="nil"/>
              <w:right w:val="nil"/>
            </w:tcBorders>
            <w:shd w:val="clear" w:color="auto" w:fill="FFFFFF"/>
            <w:vAlign w:val="center"/>
          </w:tcPr>
          <w:p w14:paraId="55B7D0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载货汽车4t</w:t>
            </w:r>
          </w:p>
        </w:tc>
        <w:tc>
          <w:tcPr>
            <w:tcW w:w="750" w:type="dxa"/>
            <w:gridSpan w:val="4"/>
            <w:tcBorders>
              <w:top w:val="single" w:color="000000" w:sz="4" w:space="0"/>
              <w:left w:val="single" w:color="000000" w:sz="4" w:space="0"/>
              <w:bottom w:val="nil"/>
              <w:right w:val="nil"/>
            </w:tcBorders>
            <w:shd w:val="clear" w:color="auto" w:fill="FFFFFF"/>
            <w:vAlign w:val="center"/>
          </w:tcPr>
          <w:p w14:paraId="68B42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3"/>
            <w:tcBorders>
              <w:top w:val="single" w:color="000000" w:sz="4" w:space="0"/>
              <w:left w:val="single" w:color="000000" w:sz="4" w:space="0"/>
              <w:bottom w:val="nil"/>
              <w:right w:val="nil"/>
            </w:tcBorders>
            <w:shd w:val="clear" w:color="auto" w:fill="FFFFFF"/>
            <w:vAlign w:val="center"/>
          </w:tcPr>
          <w:p w14:paraId="46EEFC7E">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4BAC91B2">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74BC42DA">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15DB1048">
            <w:pPr>
              <w:jc w:val="center"/>
              <w:rPr>
                <w:rFonts w:hint="eastAsia" w:ascii="宋体" w:hAnsi="宋体" w:eastAsia="宋体" w:cs="宋体"/>
                <w:i w:val="0"/>
                <w:iCs w:val="0"/>
                <w:color w:val="000000"/>
                <w:sz w:val="18"/>
                <w:szCs w:val="18"/>
                <w:u w:val="none"/>
              </w:rPr>
            </w:pPr>
          </w:p>
        </w:tc>
      </w:tr>
      <w:tr w14:paraId="02A9D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490DA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85" w:type="dxa"/>
            <w:gridSpan w:val="7"/>
            <w:tcBorders>
              <w:top w:val="single" w:color="000000" w:sz="4" w:space="0"/>
              <w:left w:val="single" w:color="000000" w:sz="4" w:space="0"/>
              <w:bottom w:val="nil"/>
              <w:right w:val="nil"/>
            </w:tcBorders>
            <w:shd w:val="clear" w:color="auto" w:fill="FFFFFF"/>
            <w:vAlign w:val="center"/>
          </w:tcPr>
          <w:p w14:paraId="797912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平板拖车组40t</w:t>
            </w:r>
          </w:p>
        </w:tc>
        <w:tc>
          <w:tcPr>
            <w:tcW w:w="750" w:type="dxa"/>
            <w:gridSpan w:val="4"/>
            <w:tcBorders>
              <w:top w:val="single" w:color="000000" w:sz="4" w:space="0"/>
              <w:left w:val="single" w:color="000000" w:sz="4" w:space="0"/>
              <w:bottom w:val="nil"/>
              <w:right w:val="nil"/>
            </w:tcBorders>
            <w:shd w:val="clear" w:color="auto" w:fill="FFFFFF"/>
            <w:vAlign w:val="center"/>
          </w:tcPr>
          <w:p w14:paraId="3971A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3"/>
            <w:tcBorders>
              <w:top w:val="single" w:color="000000" w:sz="4" w:space="0"/>
              <w:left w:val="single" w:color="000000" w:sz="4" w:space="0"/>
              <w:bottom w:val="nil"/>
              <w:right w:val="nil"/>
            </w:tcBorders>
            <w:shd w:val="clear" w:color="auto" w:fill="FFFFFF"/>
            <w:vAlign w:val="center"/>
          </w:tcPr>
          <w:p w14:paraId="361BADC4">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753C82BE">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55324C4D">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42A24E63">
            <w:pPr>
              <w:jc w:val="center"/>
              <w:rPr>
                <w:rFonts w:hint="eastAsia" w:ascii="宋体" w:hAnsi="宋体" w:eastAsia="宋体" w:cs="宋体"/>
                <w:i w:val="0"/>
                <w:iCs w:val="0"/>
                <w:color w:val="000000"/>
                <w:sz w:val="18"/>
                <w:szCs w:val="18"/>
                <w:u w:val="none"/>
              </w:rPr>
            </w:pPr>
          </w:p>
        </w:tc>
      </w:tr>
      <w:tr w14:paraId="5360D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16A67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85" w:type="dxa"/>
            <w:gridSpan w:val="7"/>
            <w:tcBorders>
              <w:top w:val="single" w:color="000000" w:sz="4" w:space="0"/>
              <w:left w:val="single" w:color="000000" w:sz="4" w:space="0"/>
              <w:bottom w:val="nil"/>
              <w:right w:val="nil"/>
            </w:tcBorders>
            <w:shd w:val="clear" w:color="auto" w:fill="FFFFFF"/>
            <w:vAlign w:val="center"/>
          </w:tcPr>
          <w:p w14:paraId="033781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载货汽车 4t</w:t>
            </w:r>
          </w:p>
        </w:tc>
        <w:tc>
          <w:tcPr>
            <w:tcW w:w="750" w:type="dxa"/>
            <w:gridSpan w:val="4"/>
            <w:tcBorders>
              <w:top w:val="single" w:color="000000" w:sz="4" w:space="0"/>
              <w:left w:val="single" w:color="000000" w:sz="4" w:space="0"/>
              <w:bottom w:val="nil"/>
              <w:right w:val="nil"/>
            </w:tcBorders>
            <w:shd w:val="clear" w:color="auto" w:fill="FFFFFF"/>
            <w:vAlign w:val="center"/>
          </w:tcPr>
          <w:p w14:paraId="0D64D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3"/>
            <w:tcBorders>
              <w:top w:val="single" w:color="000000" w:sz="4" w:space="0"/>
              <w:left w:val="single" w:color="000000" w:sz="4" w:space="0"/>
              <w:bottom w:val="nil"/>
              <w:right w:val="nil"/>
            </w:tcBorders>
            <w:shd w:val="clear" w:color="auto" w:fill="FFFFFF"/>
            <w:vAlign w:val="center"/>
          </w:tcPr>
          <w:p w14:paraId="201BB256">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33201D20">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46D88055">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60F14DF8">
            <w:pPr>
              <w:jc w:val="center"/>
              <w:rPr>
                <w:rFonts w:hint="eastAsia" w:ascii="宋体" w:hAnsi="宋体" w:eastAsia="宋体" w:cs="宋体"/>
                <w:i w:val="0"/>
                <w:iCs w:val="0"/>
                <w:color w:val="000000"/>
                <w:sz w:val="18"/>
                <w:szCs w:val="18"/>
                <w:u w:val="none"/>
              </w:rPr>
            </w:pPr>
          </w:p>
        </w:tc>
      </w:tr>
      <w:tr w14:paraId="394DC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34496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285" w:type="dxa"/>
            <w:gridSpan w:val="7"/>
            <w:tcBorders>
              <w:top w:val="single" w:color="000000" w:sz="4" w:space="0"/>
              <w:left w:val="single" w:color="000000" w:sz="4" w:space="0"/>
              <w:bottom w:val="nil"/>
              <w:right w:val="nil"/>
            </w:tcBorders>
            <w:shd w:val="clear" w:color="auto" w:fill="FFFFFF"/>
            <w:vAlign w:val="center"/>
          </w:tcPr>
          <w:p w14:paraId="253E22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曲臂登高车</w:t>
            </w:r>
          </w:p>
        </w:tc>
        <w:tc>
          <w:tcPr>
            <w:tcW w:w="750" w:type="dxa"/>
            <w:gridSpan w:val="4"/>
            <w:tcBorders>
              <w:top w:val="single" w:color="000000" w:sz="4" w:space="0"/>
              <w:left w:val="single" w:color="000000" w:sz="4" w:space="0"/>
              <w:bottom w:val="nil"/>
              <w:right w:val="nil"/>
            </w:tcBorders>
            <w:shd w:val="clear" w:color="auto" w:fill="FFFFFF"/>
            <w:vAlign w:val="center"/>
          </w:tcPr>
          <w:p w14:paraId="2BB08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3"/>
            <w:tcBorders>
              <w:top w:val="single" w:color="000000" w:sz="4" w:space="0"/>
              <w:left w:val="single" w:color="000000" w:sz="4" w:space="0"/>
              <w:bottom w:val="nil"/>
              <w:right w:val="nil"/>
            </w:tcBorders>
            <w:shd w:val="clear" w:color="auto" w:fill="FFFFFF"/>
            <w:vAlign w:val="center"/>
          </w:tcPr>
          <w:p w14:paraId="6A6C6158">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106B4B47">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4CB8ECFD">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44FEFFBE">
            <w:pPr>
              <w:jc w:val="center"/>
              <w:rPr>
                <w:rFonts w:hint="eastAsia" w:ascii="宋体" w:hAnsi="宋体" w:eastAsia="宋体" w:cs="宋体"/>
                <w:i w:val="0"/>
                <w:iCs w:val="0"/>
                <w:color w:val="000000"/>
                <w:sz w:val="18"/>
                <w:szCs w:val="18"/>
                <w:u w:val="none"/>
              </w:rPr>
            </w:pPr>
          </w:p>
        </w:tc>
      </w:tr>
      <w:tr w14:paraId="709C5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540810C7">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58DE56B0">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0C764EEB">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6119160E">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0EA4ECAF">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02BBEA10">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08CB9614">
            <w:pPr>
              <w:jc w:val="center"/>
              <w:rPr>
                <w:rFonts w:hint="eastAsia" w:ascii="宋体" w:hAnsi="宋体" w:eastAsia="宋体" w:cs="宋体"/>
                <w:i w:val="0"/>
                <w:iCs w:val="0"/>
                <w:color w:val="000000"/>
                <w:sz w:val="18"/>
                <w:szCs w:val="18"/>
                <w:u w:val="none"/>
              </w:rPr>
            </w:pPr>
          </w:p>
        </w:tc>
      </w:tr>
      <w:tr w14:paraId="1C01E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3859CD35">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73FAAE21">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51261826">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1C9D3306">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5285DAB9">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6A652C77">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385107D7">
            <w:pPr>
              <w:jc w:val="center"/>
              <w:rPr>
                <w:rFonts w:hint="eastAsia" w:ascii="宋体" w:hAnsi="宋体" w:eastAsia="宋体" w:cs="宋体"/>
                <w:i w:val="0"/>
                <w:iCs w:val="0"/>
                <w:color w:val="000000"/>
                <w:sz w:val="18"/>
                <w:szCs w:val="18"/>
                <w:u w:val="none"/>
              </w:rPr>
            </w:pPr>
          </w:p>
        </w:tc>
      </w:tr>
      <w:tr w14:paraId="764DB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11052BA6">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78D941EA">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23E01278">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1DCC726F">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7BA51E4A">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053F5363">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2E3B7249">
            <w:pPr>
              <w:jc w:val="center"/>
              <w:rPr>
                <w:rFonts w:hint="eastAsia" w:ascii="宋体" w:hAnsi="宋体" w:eastAsia="宋体" w:cs="宋体"/>
                <w:i w:val="0"/>
                <w:iCs w:val="0"/>
                <w:color w:val="000000"/>
                <w:sz w:val="18"/>
                <w:szCs w:val="18"/>
                <w:u w:val="none"/>
              </w:rPr>
            </w:pPr>
          </w:p>
        </w:tc>
      </w:tr>
      <w:tr w14:paraId="4CFF5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6757D23C">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21FAC98B">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4C9B7FB4">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34C50236">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12F2AA0A">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2B178B1B">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4D4E5065">
            <w:pPr>
              <w:jc w:val="center"/>
              <w:rPr>
                <w:rFonts w:hint="eastAsia" w:ascii="宋体" w:hAnsi="宋体" w:eastAsia="宋体" w:cs="宋体"/>
                <w:i w:val="0"/>
                <w:iCs w:val="0"/>
                <w:color w:val="000000"/>
                <w:sz w:val="18"/>
                <w:szCs w:val="18"/>
                <w:u w:val="none"/>
              </w:rPr>
            </w:pPr>
          </w:p>
        </w:tc>
      </w:tr>
      <w:tr w14:paraId="0D3A3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1DE57AEC">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155D2BC5">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312531EC">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2C378447">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47D22054">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586CFD2C">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3EF1CE57">
            <w:pPr>
              <w:jc w:val="center"/>
              <w:rPr>
                <w:rFonts w:hint="eastAsia" w:ascii="宋体" w:hAnsi="宋体" w:eastAsia="宋体" w:cs="宋体"/>
                <w:i w:val="0"/>
                <w:iCs w:val="0"/>
                <w:color w:val="000000"/>
                <w:sz w:val="18"/>
                <w:szCs w:val="18"/>
                <w:u w:val="none"/>
              </w:rPr>
            </w:pPr>
          </w:p>
        </w:tc>
      </w:tr>
      <w:tr w14:paraId="2351D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3D68AB8D">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7784C9F7">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5AA3C968">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4E1E0D06">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384B8393">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49F1E830">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5FEE4A00">
            <w:pPr>
              <w:jc w:val="center"/>
              <w:rPr>
                <w:rFonts w:hint="eastAsia" w:ascii="宋体" w:hAnsi="宋体" w:eastAsia="宋体" w:cs="宋体"/>
                <w:i w:val="0"/>
                <w:iCs w:val="0"/>
                <w:color w:val="000000"/>
                <w:sz w:val="18"/>
                <w:szCs w:val="18"/>
                <w:u w:val="none"/>
              </w:rPr>
            </w:pPr>
          </w:p>
        </w:tc>
      </w:tr>
      <w:tr w14:paraId="3DC6B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4F6CB23B">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4798658B">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4784E00D">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4919C0E7">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489599BF">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5CAA81A9">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02F6E0E0">
            <w:pPr>
              <w:jc w:val="center"/>
              <w:rPr>
                <w:rFonts w:hint="eastAsia" w:ascii="宋体" w:hAnsi="宋体" w:eastAsia="宋体" w:cs="宋体"/>
                <w:i w:val="0"/>
                <w:iCs w:val="0"/>
                <w:color w:val="000000"/>
                <w:sz w:val="18"/>
                <w:szCs w:val="18"/>
                <w:u w:val="none"/>
              </w:rPr>
            </w:pPr>
          </w:p>
        </w:tc>
      </w:tr>
      <w:tr w14:paraId="7FBA6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196A8B6D">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34BB767F">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6ACAFF7F">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586EF94E">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051EEFED">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5A82D31C">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520630D1">
            <w:pPr>
              <w:jc w:val="center"/>
              <w:rPr>
                <w:rFonts w:hint="eastAsia" w:ascii="宋体" w:hAnsi="宋体" w:eastAsia="宋体" w:cs="宋体"/>
                <w:i w:val="0"/>
                <w:iCs w:val="0"/>
                <w:color w:val="000000"/>
                <w:sz w:val="18"/>
                <w:szCs w:val="18"/>
                <w:u w:val="none"/>
              </w:rPr>
            </w:pPr>
          </w:p>
        </w:tc>
      </w:tr>
      <w:tr w14:paraId="241DB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1565B499">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0546750F">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47AC4569">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2940E9EB">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6DC563AC">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36DDCD92">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043A723E">
            <w:pPr>
              <w:jc w:val="center"/>
              <w:rPr>
                <w:rFonts w:hint="eastAsia" w:ascii="宋体" w:hAnsi="宋体" w:eastAsia="宋体" w:cs="宋体"/>
                <w:i w:val="0"/>
                <w:iCs w:val="0"/>
                <w:color w:val="000000"/>
                <w:sz w:val="18"/>
                <w:szCs w:val="18"/>
                <w:u w:val="none"/>
              </w:rPr>
            </w:pPr>
          </w:p>
        </w:tc>
      </w:tr>
      <w:tr w14:paraId="47684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0A7D2A6F">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0CA4A579">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41F00CD7">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2EB98D07">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5AB88506">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24F7884C">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405E44FE">
            <w:pPr>
              <w:jc w:val="center"/>
              <w:rPr>
                <w:rFonts w:hint="eastAsia" w:ascii="宋体" w:hAnsi="宋体" w:eastAsia="宋体" w:cs="宋体"/>
                <w:i w:val="0"/>
                <w:iCs w:val="0"/>
                <w:color w:val="000000"/>
                <w:sz w:val="18"/>
                <w:szCs w:val="18"/>
                <w:u w:val="none"/>
              </w:rPr>
            </w:pPr>
          </w:p>
        </w:tc>
      </w:tr>
      <w:tr w14:paraId="49D08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116ACE82">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50B7A170">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50457D31">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430C4FAB">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0E2F6BFB">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3B78129C">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55EA1522">
            <w:pPr>
              <w:jc w:val="center"/>
              <w:rPr>
                <w:rFonts w:hint="eastAsia" w:ascii="宋体" w:hAnsi="宋体" w:eastAsia="宋体" w:cs="宋体"/>
                <w:i w:val="0"/>
                <w:iCs w:val="0"/>
                <w:color w:val="000000"/>
                <w:sz w:val="18"/>
                <w:szCs w:val="18"/>
                <w:u w:val="none"/>
              </w:rPr>
            </w:pPr>
          </w:p>
        </w:tc>
      </w:tr>
      <w:tr w14:paraId="2A520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387724B9">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00C87252">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06E1BA6C">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158F1530">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33D6F995">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5DA83E4C">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00AD7A0B">
            <w:pPr>
              <w:jc w:val="center"/>
              <w:rPr>
                <w:rFonts w:hint="eastAsia" w:ascii="宋体" w:hAnsi="宋体" w:eastAsia="宋体" w:cs="宋体"/>
                <w:i w:val="0"/>
                <w:iCs w:val="0"/>
                <w:color w:val="000000"/>
                <w:sz w:val="18"/>
                <w:szCs w:val="18"/>
                <w:u w:val="none"/>
              </w:rPr>
            </w:pPr>
          </w:p>
        </w:tc>
      </w:tr>
      <w:tr w14:paraId="412CB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1AF6F195">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5616F74F">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6F0EAFE6">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139F1767">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44518557">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2605EE55">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77D52675">
            <w:pPr>
              <w:jc w:val="center"/>
              <w:rPr>
                <w:rFonts w:hint="eastAsia" w:ascii="宋体" w:hAnsi="宋体" w:eastAsia="宋体" w:cs="宋体"/>
                <w:i w:val="0"/>
                <w:iCs w:val="0"/>
                <w:color w:val="000000"/>
                <w:sz w:val="18"/>
                <w:szCs w:val="18"/>
                <w:u w:val="none"/>
              </w:rPr>
            </w:pPr>
          </w:p>
        </w:tc>
      </w:tr>
      <w:tr w14:paraId="4F397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44A35E73">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0B09DB94">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072C6B7D">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74B4871B">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6EB86870">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012348B6">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4A2FF695">
            <w:pPr>
              <w:jc w:val="center"/>
              <w:rPr>
                <w:rFonts w:hint="eastAsia" w:ascii="宋体" w:hAnsi="宋体" w:eastAsia="宋体" w:cs="宋体"/>
                <w:i w:val="0"/>
                <w:iCs w:val="0"/>
                <w:color w:val="000000"/>
                <w:sz w:val="18"/>
                <w:szCs w:val="18"/>
                <w:u w:val="none"/>
              </w:rPr>
            </w:pPr>
          </w:p>
        </w:tc>
      </w:tr>
      <w:tr w14:paraId="1B70F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6BFA001C">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05145385">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18813FA4">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279858C8">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45A8DD2A">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3AE96082">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0E81E53A">
            <w:pPr>
              <w:jc w:val="center"/>
              <w:rPr>
                <w:rFonts w:hint="eastAsia" w:ascii="宋体" w:hAnsi="宋体" w:eastAsia="宋体" w:cs="宋体"/>
                <w:i w:val="0"/>
                <w:iCs w:val="0"/>
                <w:color w:val="000000"/>
                <w:sz w:val="18"/>
                <w:szCs w:val="18"/>
                <w:u w:val="none"/>
              </w:rPr>
            </w:pPr>
          </w:p>
        </w:tc>
      </w:tr>
      <w:tr w14:paraId="4C054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6A470DFC">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18D766F4">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4FAA90D4">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3C7357A0">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621BEFC1">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14E94EFB">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7E49E32B">
            <w:pPr>
              <w:jc w:val="center"/>
              <w:rPr>
                <w:rFonts w:hint="eastAsia" w:ascii="宋体" w:hAnsi="宋体" w:eastAsia="宋体" w:cs="宋体"/>
                <w:i w:val="0"/>
                <w:iCs w:val="0"/>
                <w:color w:val="000000"/>
                <w:sz w:val="18"/>
                <w:szCs w:val="18"/>
                <w:u w:val="none"/>
              </w:rPr>
            </w:pPr>
          </w:p>
        </w:tc>
      </w:tr>
      <w:tr w14:paraId="7BD78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74D37E4F">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6FC25EA6">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7D2FE859">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78DAC718">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657DC6FC">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31EF08F6">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39B7860F">
            <w:pPr>
              <w:jc w:val="center"/>
              <w:rPr>
                <w:rFonts w:hint="eastAsia" w:ascii="宋体" w:hAnsi="宋体" w:eastAsia="宋体" w:cs="宋体"/>
                <w:i w:val="0"/>
                <w:iCs w:val="0"/>
                <w:color w:val="000000"/>
                <w:sz w:val="18"/>
                <w:szCs w:val="18"/>
                <w:u w:val="none"/>
              </w:rPr>
            </w:pPr>
          </w:p>
        </w:tc>
      </w:tr>
      <w:tr w14:paraId="24609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24A18326">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40D1161E">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298C4B00">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09FD4C35">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6F53186F">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1C207773">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431C9B67">
            <w:pPr>
              <w:jc w:val="center"/>
              <w:rPr>
                <w:rFonts w:hint="eastAsia" w:ascii="宋体" w:hAnsi="宋体" w:eastAsia="宋体" w:cs="宋体"/>
                <w:i w:val="0"/>
                <w:iCs w:val="0"/>
                <w:color w:val="000000"/>
                <w:sz w:val="18"/>
                <w:szCs w:val="18"/>
                <w:u w:val="none"/>
              </w:rPr>
            </w:pPr>
          </w:p>
        </w:tc>
      </w:tr>
      <w:tr w14:paraId="3E7A2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27F240A5">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1EE4B4DF">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4AF2428D">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77029C0D">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329B5129">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18804BE3">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71D2FA6A">
            <w:pPr>
              <w:jc w:val="center"/>
              <w:rPr>
                <w:rFonts w:hint="eastAsia" w:ascii="宋体" w:hAnsi="宋体" w:eastAsia="宋体" w:cs="宋体"/>
                <w:i w:val="0"/>
                <w:iCs w:val="0"/>
                <w:color w:val="000000"/>
                <w:sz w:val="18"/>
                <w:szCs w:val="18"/>
                <w:u w:val="none"/>
              </w:rPr>
            </w:pPr>
          </w:p>
        </w:tc>
      </w:tr>
      <w:tr w14:paraId="0B3E2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09A304DB">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22F8653F">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5A83BCD1">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4A3AE510">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0D5AFA24">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1442214D">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28975AFC">
            <w:pPr>
              <w:jc w:val="center"/>
              <w:rPr>
                <w:rFonts w:hint="eastAsia" w:ascii="宋体" w:hAnsi="宋体" w:eastAsia="宋体" w:cs="宋体"/>
                <w:i w:val="0"/>
                <w:iCs w:val="0"/>
                <w:color w:val="000000"/>
                <w:sz w:val="18"/>
                <w:szCs w:val="18"/>
                <w:u w:val="none"/>
              </w:rPr>
            </w:pPr>
          </w:p>
        </w:tc>
      </w:tr>
      <w:tr w14:paraId="70063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3944952A">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722BEF02">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7E404CBB">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5D6605E3">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1D23AAD1">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5771572A">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4AF264E9">
            <w:pPr>
              <w:jc w:val="center"/>
              <w:rPr>
                <w:rFonts w:hint="eastAsia" w:ascii="宋体" w:hAnsi="宋体" w:eastAsia="宋体" w:cs="宋体"/>
                <w:i w:val="0"/>
                <w:iCs w:val="0"/>
                <w:color w:val="000000"/>
                <w:sz w:val="18"/>
                <w:szCs w:val="18"/>
                <w:u w:val="none"/>
              </w:rPr>
            </w:pPr>
          </w:p>
        </w:tc>
      </w:tr>
      <w:tr w14:paraId="72838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7DB5A7B6">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2D3C03CF">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134F5463">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3B070EA0">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2595DF7F">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1A2CA12A">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4C56791D">
            <w:pPr>
              <w:jc w:val="center"/>
              <w:rPr>
                <w:rFonts w:hint="eastAsia" w:ascii="宋体" w:hAnsi="宋体" w:eastAsia="宋体" w:cs="宋体"/>
                <w:i w:val="0"/>
                <w:iCs w:val="0"/>
                <w:color w:val="000000"/>
                <w:sz w:val="18"/>
                <w:szCs w:val="18"/>
                <w:u w:val="none"/>
              </w:rPr>
            </w:pPr>
          </w:p>
        </w:tc>
      </w:tr>
    </w:tbl>
    <w:p w14:paraId="40F43BF2">
      <w:pPr>
        <w:pStyle w:val="21"/>
        <w:rPr>
          <w:color w:val="auto"/>
          <w:highlight w:val="none"/>
        </w:rPr>
      </w:pPr>
    </w:p>
    <w:p w14:paraId="33DD9AC7">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3E2F07EC">
      <w:pPr>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4、监狱企业的相关证明材料</w:t>
      </w:r>
    </w:p>
    <w:p w14:paraId="2260E431">
      <w:pPr>
        <w:spacing w:line="460" w:lineRule="exact"/>
        <w:ind w:firstLine="571" w:firstLineChars="245"/>
        <w:rPr>
          <w:rFonts w:hint="eastAsia" w:ascii="宋体" w:hAnsi="宋体" w:eastAsia="宋体" w:cs="宋体"/>
          <w:b/>
          <w:bCs/>
          <w:color w:val="auto"/>
          <w:sz w:val="22"/>
          <w:szCs w:val="22"/>
          <w:highlight w:val="none"/>
          <w:u w:val="single"/>
          <w:lang w:val="zh-CN"/>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是监狱企业的按非监狱企业处理，所提供的证明材料应为最新的最近的</w:t>
      </w:r>
      <w:r>
        <w:rPr>
          <w:rFonts w:hint="eastAsia" w:ascii="宋体" w:hAnsi="宋体" w:eastAsia="宋体" w:cs="宋体"/>
          <w:b/>
          <w:bCs/>
          <w:color w:val="auto"/>
          <w:sz w:val="22"/>
          <w:szCs w:val="22"/>
          <w:highlight w:val="none"/>
          <w:u w:val="single"/>
          <w:lang w:val="zh-CN"/>
        </w:rPr>
        <w:t>。</w:t>
      </w:r>
    </w:p>
    <w:p w14:paraId="1C07523D">
      <w:pPr>
        <w:adjustRightInd w:val="0"/>
        <w:snapToGrid w:val="0"/>
        <w:spacing w:line="300" w:lineRule="auto"/>
        <w:jc w:val="center"/>
        <w:rPr>
          <w:rFonts w:hint="eastAsia" w:ascii="宋体" w:hAnsi="宋体" w:eastAsia="宋体" w:cs="宋体"/>
          <w:b/>
          <w:color w:val="auto"/>
          <w:spacing w:val="6"/>
          <w:sz w:val="22"/>
          <w:szCs w:val="22"/>
          <w:highlight w:val="none"/>
        </w:rPr>
      </w:pPr>
    </w:p>
    <w:p w14:paraId="6557BAED">
      <w:pPr>
        <w:adjustRightInd w:val="0"/>
        <w:snapToGrid w:val="0"/>
        <w:spacing w:line="300" w:lineRule="auto"/>
        <w:jc w:val="center"/>
        <w:rPr>
          <w:rFonts w:hint="eastAsia" w:ascii="宋体" w:hAnsi="宋体" w:eastAsia="宋体" w:cs="宋体"/>
          <w:b/>
          <w:color w:val="auto"/>
          <w:spacing w:val="6"/>
          <w:sz w:val="22"/>
          <w:szCs w:val="22"/>
          <w:highlight w:val="none"/>
        </w:rPr>
      </w:pPr>
    </w:p>
    <w:p w14:paraId="2B6F5EA6">
      <w:pPr>
        <w:adjustRightInd w:val="0"/>
        <w:snapToGrid w:val="0"/>
        <w:spacing w:line="300" w:lineRule="auto"/>
        <w:jc w:val="center"/>
        <w:rPr>
          <w:rFonts w:hint="eastAsia" w:ascii="宋体" w:hAnsi="宋体" w:eastAsia="宋体" w:cs="宋体"/>
          <w:b/>
          <w:color w:val="auto"/>
          <w:spacing w:val="6"/>
          <w:sz w:val="22"/>
          <w:szCs w:val="22"/>
          <w:highlight w:val="none"/>
        </w:rPr>
      </w:pPr>
    </w:p>
    <w:p w14:paraId="1A0321EE">
      <w:pPr>
        <w:adjustRightInd w:val="0"/>
        <w:snapToGrid w:val="0"/>
        <w:spacing w:line="300" w:lineRule="auto"/>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pacing w:val="6"/>
          <w:sz w:val="22"/>
          <w:szCs w:val="22"/>
          <w:highlight w:val="none"/>
        </w:rPr>
        <w:t>监狱企业声明函</w:t>
      </w:r>
    </w:p>
    <w:p w14:paraId="0095F321">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【非监狱企业不用提供】</w:t>
      </w:r>
    </w:p>
    <w:p w14:paraId="57DE5A2E">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本企业郑重声明，根据《关于政府采购支持监狱企业发展有关问题的通知》（财库[2014]68号）的规定，本企业为监狱企业。 </w:t>
      </w:r>
    </w:p>
    <w:p w14:paraId="3CAC148D">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根据上述标准，我企业属于监狱企业的理由为：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 </w:t>
      </w:r>
    </w:p>
    <w:p w14:paraId="71DD5567">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本企业为参加（招标项目名称</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）（招标编号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）采购活动并承担本工程。 </w:t>
      </w:r>
    </w:p>
    <w:p w14:paraId="0FABC81C">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本企业对上述声明的真实性负责。如有虚假，将依法承担相应责任。  </w:t>
      </w:r>
    </w:p>
    <w:p w14:paraId="507DE703">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 xml:space="preserve">                   </w:t>
      </w:r>
    </w:p>
    <w:p w14:paraId="29110630">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日期：    年    月   日 </w:t>
      </w:r>
    </w:p>
    <w:p w14:paraId="00406C45">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2CFFF07A">
      <w:pPr>
        <w:adjustRightInd w:val="0"/>
        <w:snapToGrid w:val="0"/>
        <w:spacing w:line="460" w:lineRule="exact"/>
        <w:ind w:firstLine="464"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264381D">
      <w:pPr>
        <w:spacing w:line="460" w:lineRule="exact"/>
        <w:rPr>
          <w:rFonts w:hint="eastAsia" w:ascii="宋体" w:hAnsi="宋体" w:eastAsia="宋体" w:cs="宋体"/>
          <w:color w:val="auto"/>
          <w:spacing w:val="20"/>
          <w:sz w:val="22"/>
          <w:szCs w:val="22"/>
          <w:highlight w:val="none"/>
        </w:rPr>
      </w:pPr>
    </w:p>
    <w:p w14:paraId="518AB757">
      <w:pPr>
        <w:spacing w:line="460" w:lineRule="exact"/>
        <w:rPr>
          <w:rFonts w:hint="eastAsia" w:ascii="宋体" w:hAnsi="宋体" w:eastAsia="宋体" w:cs="宋体"/>
          <w:color w:val="auto"/>
          <w:spacing w:val="20"/>
          <w:sz w:val="22"/>
          <w:szCs w:val="22"/>
          <w:highlight w:val="none"/>
        </w:rPr>
      </w:pPr>
    </w:p>
    <w:p w14:paraId="0F303992">
      <w:pPr>
        <w:spacing w:line="380" w:lineRule="exact"/>
        <w:rPr>
          <w:rFonts w:hint="eastAsia" w:ascii="宋体" w:hAnsi="宋体" w:eastAsia="宋体" w:cs="宋体"/>
          <w:color w:val="auto"/>
          <w:sz w:val="22"/>
          <w:szCs w:val="22"/>
          <w:highlight w:val="none"/>
        </w:rPr>
      </w:pPr>
    </w:p>
    <w:p w14:paraId="3A3A6F91">
      <w:pPr>
        <w:spacing w:line="380" w:lineRule="exact"/>
        <w:rPr>
          <w:rFonts w:hint="eastAsia" w:ascii="宋体" w:hAnsi="宋体" w:eastAsia="宋体" w:cs="宋体"/>
          <w:color w:val="auto"/>
          <w:sz w:val="22"/>
          <w:szCs w:val="22"/>
          <w:highlight w:val="none"/>
        </w:rPr>
      </w:pPr>
    </w:p>
    <w:p w14:paraId="092860CD">
      <w:pPr>
        <w:spacing w:line="380" w:lineRule="exact"/>
        <w:rPr>
          <w:rFonts w:hint="eastAsia" w:ascii="宋体" w:hAnsi="宋体" w:eastAsia="宋体" w:cs="宋体"/>
          <w:color w:val="auto"/>
          <w:sz w:val="22"/>
          <w:szCs w:val="22"/>
          <w:highlight w:val="none"/>
        </w:rPr>
      </w:pPr>
    </w:p>
    <w:p w14:paraId="78651BF4">
      <w:pPr>
        <w:spacing w:line="380" w:lineRule="exact"/>
        <w:rPr>
          <w:rFonts w:hint="eastAsia" w:ascii="宋体" w:hAnsi="宋体" w:eastAsia="宋体" w:cs="宋体"/>
          <w:color w:val="auto"/>
          <w:sz w:val="22"/>
          <w:szCs w:val="22"/>
          <w:highlight w:val="none"/>
        </w:rPr>
      </w:pPr>
    </w:p>
    <w:p w14:paraId="42C005F5">
      <w:pPr>
        <w:spacing w:line="380" w:lineRule="exact"/>
        <w:rPr>
          <w:rFonts w:hint="eastAsia" w:ascii="宋体" w:hAnsi="宋体" w:eastAsia="宋体" w:cs="宋体"/>
          <w:color w:val="auto"/>
          <w:sz w:val="22"/>
          <w:szCs w:val="22"/>
          <w:highlight w:val="none"/>
        </w:rPr>
      </w:pPr>
    </w:p>
    <w:p w14:paraId="2A5D6A43">
      <w:pPr>
        <w:spacing w:line="380" w:lineRule="exact"/>
        <w:rPr>
          <w:rFonts w:hint="eastAsia" w:ascii="宋体" w:hAnsi="宋体" w:eastAsia="宋体" w:cs="宋体"/>
          <w:color w:val="auto"/>
          <w:sz w:val="22"/>
          <w:szCs w:val="22"/>
          <w:highlight w:val="none"/>
        </w:rPr>
      </w:pPr>
    </w:p>
    <w:p w14:paraId="68ECBE3D">
      <w:pPr>
        <w:spacing w:line="380" w:lineRule="exact"/>
        <w:rPr>
          <w:rFonts w:hint="eastAsia" w:ascii="宋体" w:hAnsi="宋体" w:eastAsia="宋体" w:cs="宋体"/>
          <w:color w:val="auto"/>
          <w:sz w:val="22"/>
          <w:szCs w:val="22"/>
          <w:highlight w:val="none"/>
        </w:rPr>
      </w:pPr>
    </w:p>
    <w:p w14:paraId="690B0DF4">
      <w:pPr>
        <w:spacing w:line="380" w:lineRule="exact"/>
        <w:rPr>
          <w:rFonts w:hint="eastAsia" w:ascii="宋体" w:hAnsi="宋体" w:eastAsia="宋体" w:cs="宋体"/>
          <w:color w:val="auto"/>
          <w:sz w:val="22"/>
          <w:szCs w:val="22"/>
          <w:highlight w:val="none"/>
        </w:rPr>
      </w:pPr>
    </w:p>
    <w:p w14:paraId="77EADFB6">
      <w:pPr>
        <w:pStyle w:val="22"/>
        <w:rPr>
          <w:rFonts w:hint="eastAsia" w:ascii="宋体" w:hAnsi="宋体" w:eastAsia="宋体" w:cs="宋体"/>
          <w:color w:val="auto"/>
          <w:highlight w:val="none"/>
        </w:rPr>
      </w:pPr>
    </w:p>
    <w:p w14:paraId="7F4C3155">
      <w:pPr>
        <w:pStyle w:val="22"/>
        <w:rPr>
          <w:rFonts w:hint="eastAsia" w:ascii="宋体" w:hAnsi="宋体" w:eastAsia="宋体" w:cs="宋体"/>
          <w:color w:val="auto"/>
          <w:highlight w:val="none"/>
        </w:rPr>
      </w:pPr>
    </w:p>
    <w:p w14:paraId="72E8D781">
      <w:pPr>
        <w:tabs>
          <w:tab w:val="left" w:pos="1620"/>
        </w:tabs>
        <w:spacing w:line="460" w:lineRule="exact"/>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5、中小企业的相关证明材料</w:t>
      </w:r>
    </w:p>
    <w:p w14:paraId="23B00A05">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w:t>
      </w:r>
      <w:r>
        <w:rPr>
          <w:rFonts w:hint="eastAsia" w:ascii="宋体" w:hAnsi="宋体" w:eastAsia="宋体" w:cs="宋体"/>
          <w:color w:val="auto"/>
          <w:spacing w:val="6"/>
          <w:sz w:val="22"/>
          <w:szCs w:val="22"/>
          <w:highlight w:val="none"/>
          <w:lang w:val="zh-CN"/>
        </w:rPr>
        <w:t>小型、微型</w:t>
      </w:r>
      <w:r>
        <w:rPr>
          <w:rFonts w:hint="eastAsia" w:ascii="宋体" w:hAnsi="宋体" w:eastAsia="宋体" w:cs="宋体"/>
          <w:color w:val="auto"/>
          <w:spacing w:val="6"/>
          <w:sz w:val="22"/>
          <w:szCs w:val="22"/>
          <w:highlight w:val="none"/>
        </w:rPr>
        <w:t>企业不用提供】</w:t>
      </w:r>
    </w:p>
    <w:p w14:paraId="71EDA471">
      <w:pPr>
        <w:spacing w:line="380" w:lineRule="exact"/>
        <w:rPr>
          <w:rFonts w:hint="eastAsia" w:ascii="宋体" w:hAnsi="宋体" w:eastAsia="宋体" w:cs="宋体"/>
          <w:color w:val="auto"/>
          <w:sz w:val="22"/>
          <w:szCs w:val="22"/>
          <w:highlight w:val="none"/>
        </w:rPr>
      </w:pPr>
    </w:p>
    <w:p w14:paraId="42CA20B2">
      <w:pPr>
        <w:spacing w:line="460" w:lineRule="exact"/>
        <w:ind w:firstLine="539" w:firstLineChars="245"/>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根据《政府采购促进中小企业发展管理办法》（财库﹝2020﹞46号），</w:t>
      </w:r>
      <w:r>
        <w:rPr>
          <w:rFonts w:hint="eastAsia" w:ascii="新宋体" w:hAnsi="新宋体" w:eastAsia="新宋体"/>
          <w:b w:val="0"/>
          <w:bCs w:val="0"/>
          <w:color w:val="auto"/>
          <w:sz w:val="22"/>
          <w:szCs w:val="22"/>
          <w:highlight w:val="none"/>
          <w:lang w:val="zh-CN"/>
        </w:rPr>
        <w:t>对</w:t>
      </w:r>
      <w:r>
        <w:rPr>
          <w:rFonts w:hint="eastAsia" w:ascii="新宋体" w:hAnsi="新宋体" w:eastAsia="新宋体"/>
          <w:b w:val="0"/>
          <w:bCs w:val="0"/>
          <w:color w:val="auto"/>
          <w:sz w:val="22"/>
          <w:szCs w:val="22"/>
          <w:highlight w:val="none"/>
          <w:lang w:val="en-US" w:eastAsia="zh-CN"/>
        </w:rPr>
        <w:t>货物类项目</w:t>
      </w:r>
      <w:r>
        <w:rPr>
          <w:rFonts w:hint="eastAsia" w:ascii="新宋体" w:hAnsi="新宋体" w:eastAsia="新宋体"/>
          <w:b w:val="0"/>
          <w:bCs w:val="0"/>
          <w:color w:val="auto"/>
          <w:sz w:val="22"/>
          <w:szCs w:val="22"/>
          <w:highlight w:val="none"/>
          <w:lang w:val="zh-CN"/>
        </w:rPr>
        <w:t>投标产品为小型或微型企业生产的，</w:t>
      </w:r>
      <w:r>
        <w:rPr>
          <w:rFonts w:hint="eastAsia" w:ascii="新宋体" w:hAnsi="新宋体" w:eastAsia="新宋体"/>
          <w:b w:val="0"/>
          <w:bCs w:val="0"/>
          <w:color w:val="auto"/>
          <w:sz w:val="22"/>
          <w:szCs w:val="22"/>
          <w:highlight w:val="none"/>
          <w:lang w:val="en-US" w:eastAsia="zh-CN"/>
        </w:rPr>
        <w:t>工程、服务类项目由小型或微型企业承建、承接的</w:t>
      </w:r>
      <w:r>
        <w:rPr>
          <w:rFonts w:hint="eastAsia" w:ascii="新宋体" w:hAnsi="新宋体" w:eastAsia="新宋体"/>
          <w:b w:val="0"/>
          <w:bCs w:val="0"/>
          <w:color w:val="auto"/>
          <w:sz w:val="22"/>
          <w:szCs w:val="22"/>
          <w:highlight w:val="none"/>
          <w:lang w:val="zh-CN"/>
        </w:rPr>
        <w:t>，</w:t>
      </w:r>
      <w:r>
        <w:rPr>
          <w:rFonts w:hint="eastAsia" w:ascii="新宋体" w:hAnsi="新宋体" w:eastAsia="新宋体"/>
          <w:b w:val="0"/>
          <w:bCs w:val="0"/>
          <w:color w:val="auto"/>
          <w:sz w:val="22"/>
          <w:szCs w:val="22"/>
          <w:highlight w:val="none"/>
          <w:u w:val="single"/>
          <w:lang w:val="zh-CN"/>
        </w:rPr>
        <w:t>价格给予</w:t>
      </w:r>
      <w:r>
        <w:rPr>
          <w:rFonts w:hint="eastAsia" w:ascii="新宋体" w:hAnsi="新宋体" w:eastAsia="新宋体"/>
          <w:b w:val="0"/>
          <w:bCs w:val="0"/>
          <w:color w:val="auto"/>
          <w:sz w:val="22"/>
          <w:szCs w:val="22"/>
          <w:highlight w:val="none"/>
          <w:u w:val="single"/>
          <w:lang w:val="en-US" w:eastAsia="zh-CN"/>
        </w:rPr>
        <w:t>1</w:t>
      </w:r>
      <w:r>
        <w:rPr>
          <w:rFonts w:hint="eastAsia" w:ascii="新宋体" w:hAnsi="新宋体" w:eastAsia="新宋体"/>
          <w:b w:val="0"/>
          <w:bCs w:val="0"/>
          <w:color w:val="auto"/>
          <w:sz w:val="22"/>
          <w:szCs w:val="22"/>
          <w:highlight w:val="none"/>
          <w:u w:val="single"/>
        </w:rPr>
        <w:t>0</w:t>
      </w:r>
      <w:r>
        <w:rPr>
          <w:rFonts w:hint="eastAsia" w:ascii="新宋体" w:hAnsi="新宋体" w:eastAsia="新宋体"/>
          <w:b w:val="0"/>
          <w:bCs w:val="0"/>
          <w:color w:val="auto"/>
          <w:sz w:val="22"/>
          <w:szCs w:val="22"/>
          <w:highlight w:val="none"/>
          <w:u w:val="single"/>
          <w:lang w:val="zh-CN"/>
        </w:rPr>
        <w:t>%的扣除</w:t>
      </w:r>
      <w:r>
        <w:rPr>
          <w:rFonts w:hint="eastAsia" w:ascii="宋体" w:hAnsi="宋体" w:eastAsia="宋体" w:cs="宋体"/>
          <w:color w:val="auto"/>
          <w:sz w:val="22"/>
          <w:szCs w:val="22"/>
          <w:highlight w:val="none"/>
          <w:lang w:val="zh-CN"/>
        </w:rPr>
        <w:t>，用扣除后的价格参与价格评分。</w:t>
      </w:r>
    </w:p>
    <w:p w14:paraId="51EEB42E">
      <w:pPr>
        <w:spacing w:line="460" w:lineRule="exact"/>
        <w:ind w:firstLine="541" w:firstLineChars="245"/>
        <w:rPr>
          <w:rFonts w:hint="eastAsia" w:ascii="宋体" w:hAnsi="宋体" w:eastAsia="宋体" w:cs="宋体"/>
          <w:color w:val="auto"/>
          <w:sz w:val="22"/>
          <w:szCs w:val="22"/>
          <w:highlight w:val="none"/>
          <w:lang w:val="zh-CN"/>
        </w:rPr>
      </w:pPr>
      <w:r>
        <w:rPr>
          <w:rFonts w:hint="eastAsia" w:ascii="宋体" w:hAnsi="宋体" w:eastAsia="宋体" w:cs="宋体"/>
          <w:b/>
          <w:bCs/>
          <w:color w:val="auto"/>
          <w:sz w:val="22"/>
          <w:szCs w:val="22"/>
          <w:highlight w:val="none"/>
          <w:u w:val="single"/>
          <w:lang w:val="en-US" w:eastAsia="zh-CN"/>
        </w:rPr>
        <w:t>同时</w:t>
      </w:r>
      <w:r>
        <w:rPr>
          <w:rFonts w:hint="eastAsia" w:ascii="宋体" w:hAnsi="宋体" w:eastAsia="宋体" w:cs="宋体"/>
          <w:b/>
          <w:bCs/>
          <w:color w:val="auto"/>
          <w:sz w:val="22"/>
          <w:szCs w:val="22"/>
          <w:highlight w:val="none"/>
          <w:u w:val="single"/>
          <w:lang w:val="zh-CN"/>
        </w:rPr>
        <w:t>符合以下所有要求的投标人被认定为小型、微型企业：</w:t>
      </w:r>
    </w:p>
    <w:p w14:paraId="1F15ADA9">
      <w:pPr>
        <w:spacing w:line="460" w:lineRule="exact"/>
        <w:ind w:firstLine="541" w:firstLineChars="245"/>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①企业按照《关于印发中小企业划型标准规定的通知》（工信部联企业〔2011〕300号）的所属行业规定为小型、微型企业。</w:t>
      </w:r>
    </w:p>
    <w:p w14:paraId="099A0538">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single"/>
          <w:lang w:val="en-US" w:eastAsia="zh-CN"/>
        </w:rPr>
        <w:t>②</w:t>
      </w:r>
      <w:r>
        <w:rPr>
          <w:rFonts w:hint="eastAsia" w:ascii="宋体" w:hAnsi="宋体" w:eastAsia="宋体" w:cs="宋体"/>
          <w:b/>
          <w:bCs/>
          <w:color w:val="auto"/>
          <w:sz w:val="22"/>
          <w:szCs w:val="22"/>
          <w:highlight w:val="none"/>
          <w:u w:val="single"/>
          <w:lang w:val="zh-CN"/>
        </w:rPr>
        <w:t>投标文件中必须提供《中小企业声明函》。</w:t>
      </w:r>
    </w:p>
    <w:p w14:paraId="58FAA087">
      <w:pPr>
        <w:pStyle w:val="9"/>
        <w:ind w:left="0" w:leftChars="0" w:firstLine="0" w:firstLineChars="0"/>
        <w:rPr>
          <w:rFonts w:hint="eastAsia" w:ascii="宋体" w:hAnsi="宋体" w:eastAsia="宋体" w:cs="宋体"/>
          <w:color w:val="auto"/>
          <w:spacing w:val="20"/>
          <w:sz w:val="22"/>
          <w:szCs w:val="22"/>
          <w:highlight w:val="none"/>
        </w:rPr>
      </w:pPr>
    </w:p>
    <w:p w14:paraId="4F31F4C6">
      <w:pPr>
        <w:rPr>
          <w:rFonts w:hint="eastAsia" w:ascii="宋体" w:hAnsi="宋体" w:eastAsia="宋体" w:cs="宋体"/>
          <w:color w:val="auto"/>
          <w:spacing w:val="20"/>
          <w:sz w:val="22"/>
          <w:szCs w:val="22"/>
          <w:highlight w:val="none"/>
        </w:rPr>
      </w:pPr>
    </w:p>
    <w:p w14:paraId="5AE1DE77">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中小企业声明函（工程、服务）</w:t>
      </w:r>
      <w:r>
        <w:rPr>
          <w:rFonts w:hint="eastAsia" w:ascii="宋体" w:hAnsi="宋体" w:eastAsia="宋体" w:cs="宋体"/>
          <w:b/>
          <w:bCs/>
          <w:color w:val="auto"/>
          <w:sz w:val="24"/>
          <w:szCs w:val="24"/>
          <w:highlight w:val="none"/>
          <w:lang w:eastAsia="zh-CN"/>
        </w:rPr>
        <w:t>》</w:t>
      </w:r>
    </w:p>
    <w:p w14:paraId="7D22D5B3">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14:paraId="5ED536FA">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73E21F5E">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1.</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 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 xml:space="preserve">； </w:t>
      </w:r>
    </w:p>
    <w:p w14:paraId="13DCA522">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w:t>
      </w:r>
    </w:p>
    <w:p w14:paraId="0FDBB6F8">
      <w:pPr>
        <w:spacing w:line="460" w:lineRule="exact"/>
        <w:ind w:firstLine="639" w:firstLineChars="245"/>
        <w:rPr>
          <w:rFonts w:hint="eastAsia" w:ascii="宋体" w:hAnsi="宋体" w:eastAsia="宋体" w:cs="宋体"/>
          <w:b/>
          <w:bCs/>
          <w:color w:val="auto"/>
          <w:spacing w:val="20"/>
          <w:sz w:val="22"/>
          <w:szCs w:val="22"/>
          <w:highlight w:val="none"/>
        </w:rPr>
      </w:pPr>
      <w:r>
        <w:rPr>
          <w:rFonts w:hint="eastAsia" w:ascii="宋体" w:hAnsi="宋体" w:eastAsia="宋体" w:cs="宋体"/>
          <w:b/>
          <w:bCs/>
          <w:color w:val="auto"/>
          <w:spacing w:val="20"/>
          <w:sz w:val="22"/>
          <w:szCs w:val="22"/>
          <w:highlight w:val="none"/>
        </w:rPr>
        <w:t>……</w:t>
      </w:r>
    </w:p>
    <w:p w14:paraId="2A491F38">
      <w:pPr>
        <w:spacing w:line="460" w:lineRule="exact"/>
        <w:ind w:firstLine="637" w:firstLineChars="245"/>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14:paraId="07E0DF34">
      <w:pPr>
        <w:spacing w:line="460" w:lineRule="exact"/>
        <w:jc w:val="center"/>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lang w:val="en-US" w:eastAsia="zh-CN"/>
        </w:rPr>
        <w:t xml:space="preserve">           企业</w:t>
      </w:r>
      <w:r>
        <w:rPr>
          <w:rFonts w:hint="eastAsia" w:ascii="宋体" w:hAnsi="宋体" w:eastAsia="宋体" w:cs="宋体"/>
          <w:color w:val="auto"/>
          <w:spacing w:val="20"/>
          <w:sz w:val="22"/>
          <w:szCs w:val="22"/>
          <w:highlight w:val="none"/>
        </w:rPr>
        <w:t>名称（盖章）：</w:t>
      </w:r>
    </w:p>
    <w:p w14:paraId="6693241B">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日</w:t>
      </w:r>
      <w:r>
        <w:rPr>
          <w:rFonts w:hint="eastAsia" w:ascii="宋体" w:hAnsi="宋体" w:eastAsia="宋体" w:cs="宋体"/>
          <w:color w:val="auto"/>
          <w:spacing w:val="20"/>
          <w:sz w:val="22"/>
          <w:szCs w:val="22"/>
          <w:highlight w:val="none"/>
        </w:rPr>
        <w:t xml:space="preserve"> 期：</w:t>
      </w:r>
    </w:p>
    <w:p w14:paraId="07CC4C15">
      <w:pPr>
        <w:spacing w:line="460" w:lineRule="exact"/>
        <w:rPr>
          <w:rFonts w:hint="eastAsia" w:ascii="宋体" w:hAnsi="宋体" w:eastAsia="宋体" w:cs="宋体"/>
          <w:color w:val="auto"/>
          <w:spacing w:val="20"/>
          <w:sz w:val="22"/>
          <w:szCs w:val="22"/>
          <w:highlight w:val="none"/>
        </w:rPr>
      </w:pPr>
    </w:p>
    <w:p w14:paraId="0E2DB601">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6A524C63">
      <w:pPr>
        <w:spacing w:line="420" w:lineRule="exact"/>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6、残疾人福利性单位的相关证明材料</w:t>
      </w:r>
    </w:p>
    <w:p w14:paraId="7AD3802B">
      <w:pPr>
        <w:spacing w:line="460" w:lineRule="exact"/>
        <w:ind w:firstLine="699" w:firstLineChars="300"/>
        <w:rPr>
          <w:rFonts w:hint="eastAsia" w:ascii="宋体" w:hAnsi="宋体" w:eastAsia="宋体" w:cs="宋体"/>
          <w:color w:val="auto"/>
          <w:spacing w:val="20"/>
          <w:sz w:val="22"/>
          <w:szCs w:val="22"/>
          <w:highlight w:val="none"/>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是残疾人福利性单位的按非残疾人福利性单位处理，所提供的证明材料应为最新的最近的</w:t>
      </w:r>
      <w:r>
        <w:rPr>
          <w:rFonts w:hint="eastAsia" w:ascii="宋体" w:hAnsi="宋体" w:eastAsia="宋体" w:cs="宋体"/>
          <w:b/>
          <w:bCs/>
          <w:color w:val="auto"/>
          <w:sz w:val="22"/>
          <w:szCs w:val="22"/>
          <w:highlight w:val="none"/>
          <w:u w:val="single"/>
          <w:lang w:val="zh-CN"/>
        </w:rPr>
        <w:t>。</w:t>
      </w:r>
    </w:p>
    <w:p w14:paraId="1DA092FD">
      <w:pPr>
        <w:spacing w:line="460" w:lineRule="exact"/>
        <w:rPr>
          <w:rFonts w:hint="eastAsia" w:ascii="宋体" w:hAnsi="宋体" w:eastAsia="宋体" w:cs="宋体"/>
          <w:color w:val="auto"/>
          <w:spacing w:val="20"/>
          <w:sz w:val="22"/>
          <w:szCs w:val="22"/>
          <w:highlight w:val="none"/>
        </w:rPr>
      </w:pPr>
    </w:p>
    <w:p w14:paraId="721E335F">
      <w:pPr>
        <w:spacing w:line="460" w:lineRule="exact"/>
        <w:rPr>
          <w:rFonts w:hint="eastAsia" w:ascii="宋体" w:hAnsi="宋体" w:eastAsia="宋体" w:cs="宋体"/>
          <w:color w:val="auto"/>
          <w:spacing w:val="20"/>
          <w:sz w:val="22"/>
          <w:szCs w:val="22"/>
          <w:highlight w:val="none"/>
        </w:rPr>
      </w:pPr>
    </w:p>
    <w:p w14:paraId="376EA5DC">
      <w:pPr>
        <w:spacing w:line="460" w:lineRule="exact"/>
        <w:jc w:val="center"/>
        <w:rPr>
          <w:rFonts w:hint="eastAsia" w:ascii="宋体" w:hAnsi="宋体" w:eastAsia="宋体" w:cs="宋体"/>
          <w:color w:val="auto"/>
          <w:spacing w:val="6"/>
          <w:sz w:val="22"/>
          <w:szCs w:val="22"/>
          <w:highlight w:val="none"/>
        </w:rPr>
      </w:pPr>
      <w:r>
        <w:rPr>
          <w:rFonts w:hint="eastAsia" w:ascii="宋体" w:hAnsi="宋体" w:eastAsia="宋体" w:cs="宋体"/>
          <w:b/>
          <w:color w:val="auto"/>
          <w:spacing w:val="6"/>
          <w:sz w:val="22"/>
          <w:szCs w:val="22"/>
          <w:highlight w:val="none"/>
        </w:rPr>
        <w:t>残疾人福利性单位声明函</w:t>
      </w:r>
    </w:p>
    <w:p w14:paraId="464DD19A">
      <w:pPr>
        <w:widowControl/>
        <w:adjustRightInd w:val="0"/>
        <w:snapToGrid w:val="0"/>
        <w:spacing w:line="460" w:lineRule="exact"/>
        <w:ind w:firstLine="440" w:firstLineChars="20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【不属于残疾人福利性单位的无需填写、递交】</w:t>
      </w:r>
    </w:p>
    <w:p w14:paraId="1A90E209">
      <w:pPr>
        <w:snapToGrid w:val="0"/>
        <w:spacing w:line="460" w:lineRule="exact"/>
        <w:jc w:val="center"/>
        <w:rPr>
          <w:rFonts w:hint="eastAsia" w:ascii="宋体" w:hAnsi="宋体" w:eastAsia="宋体" w:cs="宋体"/>
          <w:b/>
          <w:bCs/>
          <w:color w:val="auto"/>
          <w:sz w:val="22"/>
          <w:szCs w:val="22"/>
          <w:highlight w:val="none"/>
        </w:rPr>
      </w:pPr>
    </w:p>
    <w:p w14:paraId="78F2A459">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eastAsia="宋体" w:cs="宋体"/>
          <w:color w:val="auto"/>
          <w:sz w:val="22"/>
          <w:szCs w:val="22"/>
          <w:highlight w:val="none"/>
        </w:rPr>
        <w:t>〔2017〕141</w:t>
      </w:r>
      <w:r>
        <w:rPr>
          <w:rFonts w:hint="eastAsia" w:ascii="宋体" w:hAnsi="宋体" w:eastAsia="宋体" w:cs="宋体"/>
          <w:color w:val="auto"/>
          <w:spacing w:val="6"/>
          <w:sz w:val="22"/>
          <w:szCs w:val="22"/>
          <w:highlight w:val="none"/>
        </w:rPr>
        <w:t>号）的规定，本单位为符合条件的残疾人福利性单位，且本单位参加</w:t>
      </w:r>
      <w:r>
        <w:rPr>
          <w:rFonts w:hint="eastAsia" w:ascii="宋体" w:hAnsi="宋体" w:eastAsia="宋体" w:cs="宋体"/>
          <w:color w:val="auto"/>
          <w:spacing w:val="6"/>
          <w:sz w:val="22"/>
          <w:szCs w:val="22"/>
          <w:highlight w:val="none"/>
          <w:u w:val="single"/>
        </w:rPr>
        <w:t>（招标人名称）</w:t>
      </w:r>
      <w:r>
        <w:rPr>
          <w:rFonts w:hint="eastAsia" w:ascii="宋体" w:hAnsi="宋体" w:eastAsia="宋体" w:cs="宋体"/>
          <w:color w:val="auto"/>
          <w:spacing w:val="6"/>
          <w:sz w:val="22"/>
          <w:szCs w:val="22"/>
          <w:highlight w:val="none"/>
        </w:rPr>
        <w:t>单位的</w:t>
      </w:r>
      <w:r>
        <w:rPr>
          <w:rFonts w:hint="eastAsia" w:ascii="宋体" w:hAnsi="宋体" w:eastAsia="宋体" w:cs="宋体"/>
          <w:color w:val="auto"/>
          <w:spacing w:val="6"/>
          <w:sz w:val="22"/>
          <w:szCs w:val="22"/>
          <w:highlight w:val="none"/>
          <w:u w:val="single"/>
        </w:rPr>
        <w:t>（招标项目名称）</w:t>
      </w:r>
      <w:r>
        <w:rPr>
          <w:rFonts w:hint="eastAsia" w:ascii="宋体" w:hAnsi="宋体" w:eastAsia="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7FDC5018">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14:paraId="53CD6E00">
      <w:pPr>
        <w:snapToGrid w:val="0"/>
        <w:spacing w:line="460" w:lineRule="exact"/>
        <w:ind w:firstLine="464" w:firstLineChars="200"/>
        <w:rPr>
          <w:rFonts w:hint="eastAsia" w:ascii="宋体" w:hAnsi="宋体" w:eastAsia="宋体" w:cs="宋体"/>
          <w:color w:val="auto"/>
          <w:spacing w:val="6"/>
          <w:sz w:val="22"/>
          <w:szCs w:val="22"/>
          <w:highlight w:val="none"/>
        </w:rPr>
      </w:pPr>
    </w:p>
    <w:p w14:paraId="427DE752">
      <w:pPr>
        <w:snapToGrid w:val="0"/>
        <w:spacing w:line="460" w:lineRule="exact"/>
        <w:ind w:firstLine="464" w:firstLineChars="200"/>
        <w:rPr>
          <w:rFonts w:hint="eastAsia" w:ascii="宋体" w:hAnsi="宋体" w:eastAsia="宋体" w:cs="宋体"/>
          <w:color w:val="auto"/>
          <w:spacing w:val="6"/>
          <w:sz w:val="22"/>
          <w:szCs w:val="22"/>
          <w:highlight w:val="none"/>
        </w:rPr>
      </w:pPr>
    </w:p>
    <w:p w14:paraId="1D9B6B26">
      <w:pPr>
        <w:adjustRightInd w:val="0"/>
        <w:snapToGrid w:val="0"/>
        <w:spacing w:line="460" w:lineRule="exact"/>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p>
    <w:p w14:paraId="6ADD406D">
      <w:pPr>
        <w:pStyle w:val="22"/>
        <w:spacing w:line="460" w:lineRule="exact"/>
        <w:ind w:left="437" w:leftChars="208"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47DDCA86">
      <w:pPr>
        <w:pStyle w:val="22"/>
        <w:spacing w:line="460" w:lineRule="exact"/>
        <w:ind w:left="440" w:hanging="440"/>
        <w:rPr>
          <w:rFonts w:hint="eastAsia" w:ascii="宋体" w:hAnsi="宋体" w:eastAsia="宋体" w:cs="宋体"/>
          <w:color w:val="auto"/>
          <w:kern w:val="0"/>
          <w:sz w:val="22"/>
          <w:szCs w:val="22"/>
          <w:highlight w:val="none"/>
        </w:rPr>
      </w:pPr>
    </w:p>
    <w:p w14:paraId="317518C8">
      <w:pPr>
        <w:pStyle w:val="22"/>
        <w:ind w:left="440" w:hanging="440"/>
        <w:rPr>
          <w:rFonts w:hint="eastAsia" w:ascii="宋体" w:hAnsi="宋体" w:eastAsia="宋体" w:cs="宋体"/>
          <w:color w:val="auto"/>
          <w:kern w:val="0"/>
          <w:sz w:val="22"/>
          <w:szCs w:val="22"/>
          <w:highlight w:val="none"/>
        </w:rPr>
      </w:pPr>
    </w:p>
    <w:p w14:paraId="1B43186F">
      <w:pPr>
        <w:pStyle w:val="22"/>
        <w:ind w:left="440" w:hanging="440"/>
        <w:rPr>
          <w:rFonts w:hint="eastAsia" w:ascii="宋体" w:hAnsi="宋体" w:eastAsia="宋体" w:cs="宋体"/>
          <w:color w:val="auto"/>
          <w:kern w:val="0"/>
          <w:sz w:val="22"/>
          <w:szCs w:val="22"/>
          <w:highlight w:val="none"/>
        </w:rPr>
      </w:pPr>
    </w:p>
    <w:p w14:paraId="6C8C5F9A">
      <w:pPr>
        <w:pStyle w:val="22"/>
        <w:ind w:left="440" w:hanging="440"/>
        <w:rPr>
          <w:rFonts w:hint="eastAsia" w:ascii="宋体" w:hAnsi="宋体" w:eastAsia="宋体" w:cs="宋体"/>
          <w:color w:val="auto"/>
          <w:kern w:val="0"/>
          <w:sz w:val="22"/>
          <w:szCs w:val="22"/>
          <w:highlight w:val="none"/>
        </w:rPr>
      </w:pPr>
    </w:p>
    <w:p w14:paraId="300B1214">
      <w:pPr>
        <w:pStyle w:val="22"/>
        <w:ind w:left="440" w:hanging="440"/>
        <w:rPr>
          <w:rFonts w:hint="eastAsia" w:ascii="宋体" w:hAnsi="宋体" w:eastAsia="宋体" w:cs="宋体"/>
          <w:color w:val="auto"/>
          <w:kern w:val="0"/>
          <w:sz w:val="22"/>
          <w:szCs w:val="22"/>
          <w:highlight w:val="none"/>
        </w:rPr>
      </w:pPr>
    </w:p>
    <w:p w14:paraId="50028A50">
      <w:pPr>
        <w:pStyle w:val="22"/>
        <w:ind w:left="440" w:hanging="440"/>
        <w:rPr>
          <w:rFonts w:hint="eastAsia" w:ascii="宋体" w:hAnsi="宋体" w:eastAsia="宋体" w:cs="宋体"/>
          <w:color w:val="auto"/>
          <w:kern w:val="0"/>
          <w:sz w:val="22"/>
          <w:szCs w:val="22"/>
          <w:highlight w:val="none"/>
        </w:rPr>
      </w:pPr>
    </w:p>
    <w:p w14:paraId="1B4A6656">
      <w:pPr>
        <w:pStyle w:val="22"/>
        <w:ind w:left="440" w:hanging="440"/>
        <w:rPr>
          <w:rFonts w:hint="eastAsia" w:ascii="宋体" w:hAnsi="宋体" w:eastAsia="宋体" w:cs="宋体"/>
          <w:color w:val="auto"/>
          <w:kern w:val="0"/>
          <w:sz w:val="22"/>
          <w:szCs w:val="22"/>
          <w:highlight w:val="none"/>
        </w:rPr>
      </w:pPr>
    </w:p>
    <w:p w14:paraId="7B862D7C">
      <w:pPr>
        <w:pStyle w:val="22"/>
        <w:ind w:left="440" w:hanging="440"/>
        <w:rPr>
          <w:rFonts w:hint="eastAsia" w:ascii="宋体" w:hAnsi="宋体" w:eastAsia="宋体" w:cs="宋体"/>
          <w:color w:val="auto"/>
          <w:kern w:val="0"/>
          <w:sz w:val="22"/>
          <w:szCs w:val="22"/>
          <w:highlight w:val="none"/>
        </w:rPr>
      </w:pPr>
    </w:p>
    <w:p w14:paraId="3E950CF3">
      <w:pPr>
        <w:pStyle w:val="22"/>
        <w:ind w:left="440" w:hanging="440"/>
        <w:rPr>
          <w:rFonts w:hint="eastAsia" w:ascii="宋体" w:hAnsi="宋体" w:eastAsia="宋体" w:cs="宋体"/>
          <w:color w:val="auto"/>
          <w:kern w:val="0"/>
          <w:sz w:val="22"/>
          <w:szCs w:val="22"/>
          <w:highlight w:val="none"/>
        </w:rPr>
      </w:pPr>
    </w:p>
    <w:p w14:paraId="5554876C">
      <w:pPr>
        <w:pStyle w:val="22"/>
        <w:ind w:left="440" w:hanging="440"/>
        <w:rPr>
          <w:rFonts w:hint="eastAsia" w:ascii="宋体" w:hAnsi="宋体" w:eastAsia="宋体" w:cs="宋体"/>
          <w:color w:val="auto"/>
          <w:kern w:val="0"/>
          <w:sz w:val="22"/>
          <w:szCs w:val="22"/>
          <w:highlight w:val="none"/>
        </w:rPr>
      </w:pPr>
    </w:p>
    <w:p w14:paraId="234A8B3A">
      <w:pPr>
        <w:pStyle w:val="22"/>
        <w:ind w:left="440" w:hanging="440"/>
        <w:rPr>
          <w:rFonts w:hint="eastAsia" w:ascii="宋体" w:hAnsi="宋体" w:eastAsia="宋体" w:cs="宋体"/>
          <w:color w:val="auto"/>
          <w:kern w:val="0"/>
          <w:sz w:val="22"/>
          <w:szCs w:val="22"/>
          <w:highlight w:val="none"/>
        </w:rPr>
      </w:pPr>
    </w:p>
    <w:p w14:paraId="5B169A2B">
      <w:pPr>
        <w:pStyle w:val="22"/>
        <w:ind w:left="440" w:hanging="440"/>
        <w:rPr>
          <w:rFonts w:hint="eastAsia" w:ascii="宋体" w:hAnsi="宋体" w:eastAsia="宋体" w:cs="宋体"/>
          <w:color w:val="auto"/>
          <w:kern w:val="0"/>
          <w:sz w:val="22"/>
          <w:szCs w:val="22"/>
          <w:highlight w:val="none"/>
        </w:rPr>
      </w:pPr>
    </w:p>
    <w:p w14:paraId="6EA6F097">
      <w:pPr>
        <w:pStyle w:val="22"/>
        <w:ind w:left="440" w:hanging="440"/>
        <w:rPr>
          <w:rFonts w:hint="eastAsia" w:ascii="宋体" w:hAnsi="宋体" w:eastAsia="宋体" w:cs="宋体"/>
          <w:color w:val="auto"/>
          <w:kern w:val="0"/>
          <w:sz w:val="22"/>
          <w:szCs w:val="22"/>
          <w:highlight w:val="none"/>
        </w:rPr>
      </w:pPr>
    </w:p>
    <w:p w14:paraId="157602BE">
      <w:pPr>
        <w:pStyle w:val="22"/>
        <w:ind w:left="440" w:hanging="440"/>
        <w:rPr>
          <w:rFonts w:hint="eastAsia" w:ascii="宋体" w:hAnsi="宋体" w:eastAsia="宋体" w:cs="宋体"/>
          <w:color w:val="auto"/>
          <w:kern w:val="0"/>
          <w:sz w:val="22"/>
          <w:szCs w:val="22"/>
          <w:highlight w:val="none"/>
        </w:rPr>
      </w:pPr>
    </w:p>
    <w:p w14:paraId="3F259B9E">
      <w:pPr>
        <w:pStyle w:val="22"/>
        <w:ind w:left="440" w:hanging="440"/>
        <w:rPr>
          <w:rFonts w:hint="eastAsia" w:ascii="宋体" w:hAnsi="宋体" w:eastAsia="宋体" w:cs="宋体"/>
          <w:color w:val="auto"/>
          <w:kern w:val="0"/>
          <w:sz w:val="22"/>
          <w:szCs w:val="22"/>
          <w:highlight w:val="none"/>
        </w:rPr>
      </w:pPr>
    </w:p>
    <w:p w14:paraId="2D313AC1">
      <w:pPr>
        <w:pStyle w:val="22"/>
        <w:ind w:left="440" w:hanging="440"/>
        <w:rPr>
          <w:rFonts w:hint="eastAsia" w:ascii="宋体" w:hAnsi="宋体" w:eastAsia="宋体" w:cs="宋体"/>
          <w:color w:val="auto"/>
          <w:kern w:val="0"/>
          <w:sz w:val="22"/>
          <w:szCs w:val="22"/>
          <w:highlight w:val="none"/>
        </w:rPr>
      </w:pPr>
    </w:p>
    <w:p w14:paraId="35C0CF2D">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14:paraId="0D9982FF">
      <w:pPr>
        <w:pStyle w:val="22"/>
        <w:spacing w:line="460" w:lineRule="exact"/>
        <w:ind w:left="433" w:hanging="433" w:hangingChars="196"/>
        <w:outlineLvl w:val="1"/>
        <w:rPr>
          <w:rFonts w:hint="eastAsia" w:ascii="宋体" w:hAnsi="宋体" w:eastAsia="宋体" w:cs="宋体"/>
          <w:b/>
          <w:color w:val="auto"/>
          <w:sz w:val="22"/>
          <w:szCs w:val="22"/>
          <w:highlight w:val="none"/>
        </w:rPr>
      </w:pPr>
      <w:bookmarkStart w:id="61" w:name="_Toc12035"/>
      <w:bookmarkStart w:id="62" w:name="_Toc19402"/>
      <w:r>
        <w:rPr>
          <w:rFonts w:hint="eastAsia" w:ascii="宋体" w:hAnsi="宋体" w:eastAsia="宋体" w:cs="宋体"/>
          <w:b/>
          <w:color w:val="auto"/>
          <w:sz w:val="22"/>
          <w:szCs w:val="22"/>
          <w:highlight w:val="none"/>
        </w:rPr>
        <w:t>附件二</w:t>
      </w:r>
      <w:bookmarkEnd w:id="61"/>
      <w:bookmarkEnd w:id="62"/>
    </w:p>
    <w:p w14:paraId="3EC4CEF5">
      <w:pPr>
        <w:spacing w:line="460" w:lineRule="exact"/>
        <w:jc w:val="center"/>
        <w:outlineLvl w:val="2"/>
        <w:rPr>
          <w:rFonts w:hint="eastAsia" w:ascii="宋体" w:hAnsi="宋体" w:eastAsia="宋体" w:cs="宋体"/>
          <w:color w:val="auto"/>
          <w:sz w:val="28"/>
          <w:szCs w:val="28"/>
          <w:highlight w:val="none"/>
        </w:rPr>
      </w:pPr>
      <w:bookmarkStart w:id="63" w:name="_Toc4718"/>
      <w:bookmarkStart w:id="64" w:name="_Toc25309"/>
      <w:r>
        <w:rPr>
          <w:rFonts w:hint="eastAsia" w:ascii="宋体" w:hAnsi="宋体" w:eastAsia="宋体" w:cs="宋体"/>
          <w:b/>
          <w:bCs/>
          <w:color w:val="auto"/>
          <w:sz w:val="32"/>
          <w:szCs w:val="32"/>
          <w:highlight w:val="none"/>
        </w:rPr>
        <w:t>资格证明文件</w:t>
      </w:r>
      <w:bookmarkEnd w:id="63"/>
      <w:bookmarkEnd w:id="64"/>
      <w:r>
        <w:rPr>
          <w:rFonts w:hint="eastAsia" w:ascii="宋体" w:hAnsi="宋体" w:eastAsia="宋体" w:cs="宋体"/>
          <w:color w:val="auto"/>
          <w:sz w:val="28"/>
          <w:szCs w:val="28"/>
          <w:highlight w:val="none"/>
        </w:rPr>
        <w:t xml:space="preserve"> </w:t>
      </w:r>
    </w:p>
    <w:p w14:paraId="5C2BB41E">
      <w:pPr>
        <w:pStyle w:val="47"/>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9"/>
        <w:rPr>
          <w:rFonts w:hint="eastAsia" w:cs="宋体"/>
          <w:b/>
          <w:bCs w:val="0"/>
          <w:color w:val="auto"/>
          <w:kern w:val="0"/>
          <w:sz w:val="32"/>
          <w:szCs w:val="32"/>
          <w:highlight w:val="none"/>
          <w:lang w:val="en-US" w:eastAsia="zh-CN" w:bidi="ar-SA"/>
        </w:rPr>
      </w:pPr>
      <w:bookmarkStart w:id="65" w:name="_Toc16516"/>
      <w:bookmarkStart w:id="66" w:name="_Toc31356"/>
    </w:p>
    <w:p w14:paraId="48901F9F">
      <w:pPr>
        <w:pStyle w:val="47"/>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ascii="宋体" w:hAnsi="宋体" w:eastAsia="宋体" w:cs="宋体"/>
          <w:b/>
          <w:bCs w:val="0"/>
          <w:color w:val="auto"/>
          <w:sz w:val="28"/>
          <w:szCs w:val="28"/>
          <w:highlight w:val="none"/>
        </w:rPr>
      </w:pPr>
      <w:r>
        <w:rPr>
          <w:rFonts w:hint="eastAsia" w:cs="宋体"/>
          <w:b/>
          <w:bCs w:val="0"/>
          <w:color w:val="auto"/>
          <w:kern w:val="0"/>
          <w:sz w:val="28"/>
          <w:szCs w:val="28"/>
          <w:highlight w:val="none"/>
          <w:lang w:val="en-US" w:eastAsia="zh-CN" w:bidi="ar-SA"/>
        </w:rPr>
        <w:t>1、</w:t>
      </w:r>
      <w:r>
        <w:rPr>
          <w:rFonts w:hint="eastAsia" w:ascii="宋体" w:hAnsi="宋体" w:eastAsia="宋体" w:cs="宋体"/>
          <w:b/>
          <w:bCs w:val="0"/>
          <w:color w:val="auto"/>
          <w:kern w:val="0"/>
          <w:sz w:val="28"/>
          <w:szCs w:val="28"/>
          <w:highlight w:val="none"/>
          <w:lang w:val="en-US" w:eastAsia="zh-CN" w:bidi="ar-SA"/>
        </w:rPr>
        <w:t>资格条件承诺函</w:t>
      </w:r>
    </w:p>
    <w:p w14:paraId="42440489">
      <w:pPr>
        <w:shd w:val="clear" w:color="auto" w:fill="FFFFFF"/>
        <w:snapToGrid w:val="0"/>
        <w:spacing w:line="44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温州市市政管理中心</w:t>
      </w:r>
      <w:r>
        <w:rPr>
          <w:rFonts w:hint="eastAsia" w:ascii="宋体" w:hAnsi="宋体" w:eastAsia="宋体" w:cs="宋体"/>
          <w:color w:val="auto"/>
          <w:sz w:val="22"/>
          <w:szCs w:val="22"/>
          <w:highlight w:val="none"/>
        </w:rPr>
        <w:t>、温州历程招标有限公司：</w:t>
      </w:r>
    </w:p>
    <w:p w14:paraId="0625CF92">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（采购项目名称、编号）投标，现郑重承诺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rPr>
        <w:t>参加本次政府采购活动前3年内</w:t>
      </w:r>
      <w:r>
        <w:rPr>
          <w:rFonts w:hint="eastAsia" w:ascii="宋体" w:hAnsi="宋体" w:eastAsia="宋体" w:cs="宋体"/>
          <w:color w:val="auto"/>
          <w:sz w:val="22"/>
          <w:szCs w:val="22"/>
          <w:highlight w:val="none"/>
        </w:rPr>
        <w:t>：</w:t>
      </w:r>
    </w:p>
    <w:p w14:paraId="40BE7508">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1、我方符合《中华人民共和国政府采购法》第22条规定的资格条件，即</w:t>
      </w:r>
    </w:p>
    <w:p w14:paraId="0CC1FD7D">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（1）我方具有独立承担民事责任的能力；</w:t>
      </w:r>
    </w:p>
    <w:p w14:paraId="06B76B7A">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（2）我方具有良好的商业信誉和健全的财务会计制度；</w:t>
      </w:r>
    </w:p>
    <w:p w14:paraId="225690F6">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（3）我方具有履行合同所必需的设备和专业技术能力；</w:t>
      </w:r>
    </w:p>
    <w:p w14:paraId="1DD1AB47">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（4）我方有依法缴纳税收和社会保障资金的良好记录；</w:t>
      </w:r>
    </w:p>
    <w:p w14:paraId="20AF1388">
      <w:pPr>
        <w:widowControl/>
        <w:snapToGrid w:val="0"/>
        <w:spacing w:line="440" w:lineRule="exact"/>
        <w:ind w:left="989" w:leftChars="314" w:hanging="330" w:hangingChars="15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28C11CA1">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2、到本项目投标截止时间为止，我方未被“信用中国（</w:t>
      </w: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HYPERLINK "http://www.creditchina.gov.cn）、" </w:instrText>
      </w:r>
      <w:r>
        <w:rPr>
          <w:rFonts w:hint="eastAsia" w:ascii="宋体" w:hAnsi="宋体" w:eastAsia="宋体" w:cs="宋体"/>
          <w:color w:val="auto"/>
          <w:kern w:val="0"/>
          <w:sz w:val="22"/>
          <w:szCs w:val="22"/>
          <w:highlight w:val="none"/>
        </w:rPr>
        <w:fldChar w:fldCharType="separate"/>
      </w:r>
      <w:r>
        <w:rPr>
          <w:rFonts w:hint="eastAsia" w:ascii="宋体" w:hAnsi="宋体" w:eastAsia="宋体" w:cs="宋体"/>
          <w:color w:val="auto"/>
          <w:kern w:val="0"/>
          <w:sz w:val="22"/>
          <w:szCs w:val="22"/>
          <w:highlight w:val="none"/>
        </w:rPr>
        <w:t>www.creditchina.gov.cn）、</w: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795E58FE">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3、我方与参加本次项目同一合同项下政府采购活动的其他供应商不存在单位负责人为同一人或者直接控股、管理关系。</w:t>
      </w:r>
    </w:p>
    <w:p w14:paraId="46CD62FC">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4、我方</w:t>
      </w:r>
      <w:r>
        <w:rPr>
          <w:rFonts w:hint="eastAsia" w:ascii="宋体" w:hAnsi="宋体" w:eastAsia="宋体" w:cs="宋体"/>
          <w:color w:val="auto"/>
          <w:kern w:val="0"/>
          <w:sz w:val="22"/>
          <w:szCs w:val="22"/>
          <w:highlight w:val="none"/>
        </w:rPr>
        <w:t>不属于公益一类事业单位。</w:t>
      </w:r>
    </w:p>
    <w:p w14:paraId="54433124">
      <w:pPr>
        <w:widowControl/>
        <w:snapToGrid w:val="0"/>
        <w:spacing w:line="440" w:lineRule="exact"/>
        <w:ind w:firstLine="440" w:firstLineChars="200"/>
        <w:jc w:val="left"/>
        <w:rPr>
          <w:rFonts w:hint="eastAsia" w:ascii="宋体" w:hAnsi="宋体" w:eastAsia="宋体" w:cs="宋体"/>
          <w:color w:val="auto"/>
          <w:kern w:val="0"/>
          <w:sz w:val="22"/>
          <w:szCs w:val="22"/>
          <w:highlight w:val="none"/>
          <w:lang w:val="en-US" w:eastAsia="zh-CN"/>
        </w:rPr>
      </w:pPr>
    </w:p>
    <w:p w14:paraId="297070EC">
      <w:pPr>
        <w:widowControl/>
        <w:snapToGrid w:val="0"/>
        <w:spacing w:line="440" w:lineRule="exact"/>
        <w:ind w:left="210" w:leftChars="100"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以上承诺如有虚假，</w:t>
      </w:r>
      <w:r>
        <w:rPr>
          <w:rFonts w:hint="eastAsia" w:ascii="宋体" w:hAnsi="宋体" w:eastAsia="宋体" w:cs="宋体"/>
          <w:color w:val="auto"/>
          <w:sz w:val="22"/>
          <w:szCs w:val="22"/>
          <w:highlight w:val="none"/>
        </w:rPr>
        <w:t>愿接受取消</w:t>
      </w:r>
      <w:r>
        <w:rPr>
          <w:rFonts w:hint="eastAsia" w:ascii="宋体" w:hAnsi="宋体" w:eastAsia="宋体" w:cs="宋体"/>
          <w:color w:val="auto"/>
          <w:kern w:val="0"/>
          <w:sz w:val="22"/>
          <w:szCs w:val="22"/>
          <w:highlight w:val="none"/>
        </w:rPr>
        <w:t>我方任何资格（投标/成交/签订合同）</w:t>
      </w:r>
      <w:r>
        <w:rPr>
          <w:rFonts w:hint="eastAsia" w:ascii="宋体" w:hAnsi="宋体" w:eastAsia="宋体" w:cs="宋体"/>
          <w:color w:val="auto"/>
          <w:sz w:val="22"/>
          <w:szCs w:val="22"/>
          <w:highlight w:val="none"/>
        </w:rPr>
        <w:t>及其他任何形式的处理。</w:t>
      </w:r>
    </w:p>
    <w:p w14:paraId="37F418CE">
      <w:pPr>
        <w:widowControl/>
        <w:snapToGrid w:val="0"/>
        <w:spacing w:line="440" w:lineRule="exact"/>
        <w:ind w:firstLine="440" w:firstLineChars="200"/>
        <w:jc w:val="left"/>
        <w:rPr>
          <w:rFonts w:hint="eastAsia" w:ascii="宋体" w:hAnsi="宋体" w:eastAsia="宋体" w:cs="宋体"/>
          <w:color w:val="auto"/>
          <w:kern w:val="0"/>
          <w:sz w:val="22"/>
          <w:szCs w:val="22"/>
          <w:highlight w:val="none"/>
        </w:rPr>
      </w:pPr>
    </w:p>
    <w:p w14:paraId="255E1577">
      <w:pPr>
        <w:snapToGrid w:val="0"/>
        <w:spacing w:line="360" w:lineRule="auto"/>
        <w:ind w:firstLine="5060" w:firstLineChars="2300"/>
        <w:rPr>
          <w:rFonts w:hint="eastAsia" w:ascii="宋体" w:hAnsi="宋体" w:eastAsia="宋体" w:cs="宋体"/>
          <w:color w:val="auto"/>
          <w:kern w:val="0"/>
          <w:sz w:val="22"/>
          <w:szCs w:val="22"/>
          <w:highlight w:val="none"/>
          <w:lang w:val="zh-CN"/>
        </w:rPr>
      </w:pPr>
    </w:p>
    <w:p w14:paraId="40C977B7">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14:paraId="7FF97383">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14:paraId="44CE87A6">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14:paraId="39369B3B">
      <w:pPr>
        <w:pStyle w:val="22"/>
        <w:spacing w:line="460" w:lineRule="exact"/>
        <w:ind w:left="479" w:leftChars="228" w:firstLine="5280" w:firstLineChars="24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1DB603CA">
      <w:pPr>
        <w:rPr>
          <w:rFonts w:hint="eastAsia" w:ascii="宋体" w:hAnsi="宋体" w:eastAsia="宋体" w:cs="宋体"/>
          <w:color w:val="auto"/>
          <w:highlight w:val="none"/>
        </w:rPr>
      </w:pPr>
    </w:p>
    <w:p w14:paraId="7ECB60A5">
      <w:pPr>
        <w:pStyle w:val="47"/>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ascii="宋体" w:hAnsi="宋体" w:eastAsia="宋体" w:cs="宋体"/>
          <w:b/>
          <w:bCs w:val="0"/>
          <w:color w:val="auto"/>
          <w:sz w:val="28"/>
          <w:szCs w:val="28"/>
          <w:highlight w:val="none"/>
        </w:rPr>
      </w:pPr>
    </w:p>
    <w:p w14:paraId="7CCF2A2B">
      <w:pPr>
        <w:rPr>
          <w:rFonts w:hint="eastAsia" w:ascii="宋体" w:hAnsi="宋体" w:eastAsia="宋体" w:cs="宋体"/>
          <w:b/>
          <w:bCs w:val="0"/>
          <w:color w:val="auto"/>
          <w:kern w:val="0"/>
          <w:sz w:val="32"/>
          <w:szCs w:val="32"/>
          <w:highlight w:val="none"/>
          <w:lang w:val="en-US" w:eastAsia="zh-CN" w:bidi="ar-SA"/>
        </w:rPr>
      </w:pPr>
      <w:r>
        <w:rPr>
          <w:rFonts w:hint="eastAsia" w:ascii="宋体" w:hAnsi="宋体" w:eastAsia="宋体" w:cs="宋体"/>
          <w:b/>
          <w:bCs w:val="0"/>
          <w:color w:val="auto"/>
          <w:kern w:val="0"/>
          <w:sz w:val="32"/>
          <w:szCs w:val="32"/>
          <w:highlight w:val="none"/>
          <w:lang w:val="en-US" w:eastAsia="zh-CN" w:bidi="ar-SA"/>
        </w:rPr>
        <w:br w:type="page"/>
      </w:r>
    </w:p>
    <w:p w14:paraId="0C33ADE7">
      <w:pPr>
        <w:pStyle w:val="47"/>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2、有效营业执照</w:t>
      </w:r>
    </w:p>
    <w:p w14:paraId="0D4F223D">
      <w:pPr>
        <w:pStyle w:val="47"/>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4"/>
          <w:szCs w:val="24"/>
          <w:highlight w:val="none"/>
        </w:rPr>
      </w:pPr>
    </w:p>
    <w:p w14:paraId="2D1D47C9">
      <w:pPr>
        <w:pStyle w:val="47"/>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投标人须在投标文件中出具符合以下情况的证明材料复印件（五选一）：</w:t>
      </w:r>
    </w:p>
    <w:p w14:paraId="0AA81AC3">
      <w:pPr>
        <w:pStyle w:val="47"/>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①</w:t>
      </w:r>
      <w:r>
        <w:rPr>
          <w:rFonts w:hint="eastAsia" w:ascii="宋体" w:hAnsi="宋体" w:eastAsia="宋体" w:cs="宋体"/>
          <w:bCs/>
          <w:color w:val="auto"/>
          <w:sz w:val="22"/>
          <w:szCs w:val="22"/>
          <w:highlight w:val="none"/>
        </w:rPr>
        <w:t>如投标人是企业（包括合伙企业），提供在工商部门注册的有效“企业法人营业执照”或“营业执照”；</w:t>
      </w:r>
    </w:p>
    <w:p w14:paraId="415D0E1F">
      <w:pPr>
        <w:pStyle w:val="47"/>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②</w:t>
      </w:r>
      <w:r>
        <w:rPr>
          <w:rFonts w:hint="eastAsia" w:ascii="宋体" w:hAnsi="宋体" w:eastAsia="宋体" w:cs="宋体"/>
          <w:bCs/>
          <w:color w:val="auto"/>
          <w:sz w:val="22"/>
          <w:szCs w:val="22"/>
          <w:highlight w:val="none"/>
        </w:rPr>
        <w:t>如投标人是事业单位，提供有效的“事业单位法人证书”；</w:t>
      </w:r>
    </w:p>
    <w:p w14:paraId="50D304C4">
      <w:pPr>
        <w:pStyle w:val="47"/>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③</w:t>
      </w:r>
      <w:r>
        <w:rPr>
          <w:rFonts w:hint="eastAsia" w:ascii="宋体" w:hAnsi="宋体" w:eastAsia="宋体" w:cs="宋体"/>
          <w:bCs/>
          <w:color w:val="auto"/>
          <w:sz w:val="22"/>
          <w:szCs w:val="22"/>
          <w:highlight w:val="none"/>
        </w:rPr>
        <w:t>如投标人是非企业专业服务机构的，提供执业许可证等证明文件；</w:t>
      </w:r>
    </w:p>
    <w:p w14:paraId="65335AD5">
      <w:pPr>
        <w:pStyle w:val="47"/>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④</w:t>
      </w:r>
      <w:r>
        <w:rPr>
          <w:rFonts w:hint="eastAsia" w:ascii="宋体" w:hAnsi="宋体" w:eastAsia="宋体" w:cs="宋体"/>
          <w:bCs/>
          <w:color w:val="auto"/>
          <w:sz w:val="22"/>
          <w:szCs w:val="22"/>
          <w:highlight w:val="none"/>
        </w:rPr>
        <w:t>如投标人是个体工商户，提供有效的“个体工商户营业执照”；</w:t>
      </w:r>
    </w:p>
    <w:p w14:paraId="63AE0F26">
      <w:pPr>
        <w:pStyle w:val="47"/>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⑤</w:t>
      </w:r>
      <w:r>
        <w:rPr>
          <w:rFonts w:hint="eastAsia" w:ascii="宋体" w:hAnsi="宋体" w:eastAsia="宋体" w:cs="宋体"/>
          <w:bCs/>
          <w:color w:val="auto"/>
          <w:sz w:val="22"/>
          <w:szCs w:val="22"/>
          <w:highlight w:val="none"/>
        </w:rPr>
        <w:t>如投标人是自然人，提供有效的自然人身份证明（居民身份证正反面或公安机关出具的临时居民身份证正反面或港澳台胞证或护照）。</w:t>
      </w:r>
    </w:p>
    <w:p w14:paraId="05888942">
      <w:pPr>
        <w:pStyle w:val="47"/>
        <w:tabs>
          <w:tab w:val="left" w:pos="312"/>
        </w:tabs>
        <w:adjustRightInd w:val="0"/>
        <w:snapToGrid w:val="0"/>
        <w:spacing w:before="0" w:beforeAutospacing="0" w:after="0" w:afterAutospacing="0" w:line="360" w:lineRule="auto"/>
        <w:rPr>
          <w:rFonts w:hint="eastAsia" w:ascii="宋体" w:hAnsi="宋体" w:eastAsia="宋体" w:cs="宋体"/>
          <w:bCs/>
          <w:color w:val="auto"/>
          <w:sz w:val="22"/>
          <w:szCs w:val="22"/>
          <w:highlight w:val="none"/>
        </w:rPr>
      </w:pPr>
    </w:p>
    <w:p w14:paraId="558D3158">
      <w:pPr>
        <w:pStyle w:val="219"/>
        <w:tabs>
          <w:tab w:val="left" w:pos="1212"/>
          <w:tab w:val="left" w:pos="3888"/>
        </w:tabs>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3FB7E3FB">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0411BB1D">
      <w:pPr>
        <w:rPr>
          <w:rFonts w:hint="eastAsia" w:ascii="宋体" w:hAnsi="宋体" w:eastAsia="宋体" w:cs="宋体"/>
          <w:color w:val="auto"/>
          <w:highlight w:val="none"/>
        </w:rPr>
      </w:pPr>
    </w:p>
    <w:p w14:paraId="102B5F9A">
      <w:pPr>
        <w:pStyle w:val="47"/>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3、投标人信用查询</w:t>
      </w:r>
    </w:p>
    <w:p w14:paraId="54CBECCD">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1、投标人信用信息查询的查询渠道：“信用中国”(www.creditchina.gov.cn)；“中国政府采购网”（http://www.ccgp.gov.cn/）；</w:t>
      </w:r>
    </w:p>
    <w:p w14:paraId="47BFD5DF">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14:paraId="63DDA9C9">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w:t>
      </w:r>
      <w:r>
        <w:rPr>
          <w:rFonts w:hint="eastAsia" w:ascii="宋体" w:hAnsi="宋体" w:eastAsia="宋体" w:cs="宋体"/>
          <w:b/>
          <w:bCs/>
          <w:color w:val="auto"/>
          <w:sz w:val="22"/>
          <w:highlight w:val="none"/>
        </w:rPr>
        <w:t>网页截图</w:t>
      </w:r>
      <w:r>
        <w:rPr>
          <w:rFonts w:hint="eastAsia" w:ascii="宋体" w:hAnsi="宋体" w:eastAsia="宋体" w:cs="宋体"/>
          <w:color w:val="auto"/>
          <w:sz w:val="22"/>
          <w:highlight w:val="none"/>
        </w:rPr>
        <w:t>；</w:t>
      </w:r>
    </w:p>
    <w:p w14:paraId="5AC606C1">
      <w:pPr>
        <w:tabs>
          <w:tab w:val="left" w:pos="360"/>
        </w:tabs>
        <w:spacing w:line="460" w:lineRule="exact"/>
        <w:ind w:firstLine="550" w:firstLineChars="250"/>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highlight w:val="none"/>
          <w:u w:val="none"/>
        </w:rPr>
        <w:t>4、信用信息的使用规则：对列入失信被执行人、重大税收违法案件当事人名单、政府采购严重违法失信行为记录名单的投标人，其投标将作无效标处理。</w:t>
      </w:r>
    </w:p>
    <w:p w14:paraId="4D863EDC">
      <w:pPr>
        <w:rPr>
          <w:rFonts w:hint="eastAsia" w:cs="宋体"/>
          <w:b/>
          <w:bCs w:val="0"/>
          <w:color w:val="auto"/>
          <w:kern w:val="0"/>
          <w:sz w:val="28"/>
          <w:szCs w:val="28"/>
          <w:highlight w:val="none"/>
          <w:lang w:val="en-US" w:eastAsia="zh-CN" w:bidi="ar-SA"/>
        </w:rPr>
      </w:pPr>
    </w:p>
    <w:p w14:paraId="41DEF617">
      <w:pPr>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br w:type="page"/>
      </w:r>
    </w:p>
    <w:p w14:paraId="1D6A8040">
      <w:pPr>
        <w:pStyle w:val="47"/>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4、政府采购活动现场确认声明书</w:t>
      </w:r>
    </w:p>
    <w:p w14:paraId="518F2531">
      <w:pPr>
        <w:spacing w:line="460" w:lineRule="exact"/>
        <w:rPr>
          <w:rFonts w:hint="eastAsia" w:ascii="宋体" w:hAnsi="宋体" w:eastAsia="宋体" w:cs="宋体"/>
          <w:b/>
          <w:bCs/>
          <w:color w:val="auto"/>
          <w:sz w:val="22"/>
          <w:szCs w:val="22"/>
          <w:highlight w:val="none"/>
        </w:rPr>
      </w:pPr>
    </w:p>
    <w:p w14:paraId="76CE08B3">
      <w:pPr>
        <w:spacing w:line="46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lang w:eastAsia="zh-CN"/>
        </w:rPr>
        <w:t>温州历程招标有限公司</w:t>
      </w:r>
      <w:r>
        <w:rPr>
          <w:rFonts w:hint="eastAsia" w:ascii="宋体" w:hAnsi="宋体" w:eastAsia="宋体" w:cs="宋体"/>
          <w:color w:val="auto"/>
          <w:sz w:val="22"/>
          <w:szCs w:val="22"/>
          <w:highlight w:val="none"/>
        </w:rPr>
        <w:t>：</w:t>
      </w:r>
    </w:p>
    <w:p w14:paraId="0EC47E15">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本人经由</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（供应商名称）负责人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（姓名）合法授权参加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项目（编号：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）采购活动，经与本单位法人代表（负责人）联系确认，现就有关公平竞争事项郑重声明如下：</w:t>
      </w:r>
    </w:p>
    <w:p w14:paraId="6F33632F">
      <w:pPr>
        <w:numPr>
          <w:ilvl w:val="0"/>
          <w:numId w:val="3"/>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本单位与招标人之间 □不存在利害关系 □存在下列利害关系：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A.投资关系    </w:t>
      </w:r>
    </w:p>
    <w:p w14:paraId="3331164A">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B.行政隶属关系    </w:t>
      </w:r>
    </w:p>
    <w:p w14:paraId="60BA9EFD">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C.业务指导关系  </w:t>
      </w:r>
    </w:p>
    <w:p w14:paraId="44CDED8A">
      <w:pPr>
        <w:spacing w:line="4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D.其他可能影响采购公正的利害关系</w:t>
      </w:r>
      <w:r>
        <w:rPr>
          <w:rStyle w:val="333"/>
          <w:rFonts w:hint="eastAsia" w:ascii="宋体" w:hAnsi="宋体" w:eastAsia="宋体" w:cs="宋体"/>
          <w:color w:val="auto"/>
          <w:sz w:val="22"/>
          <w:szCs w:val="22"/>
          <w:highlight w:val="none"/>
        </w:rPr>
        <w:t xml:space="preserve">（如有，请如实说明）                 </w:t>
      </w:r>
      <w:r>
        <w:rPr>
          <w:rFonts w:hint="eastAsia" w:ascii="宋体" w:hAnsi="宋体" w:eastAsia="宋体" w:cs="宋体"/>
          <w:color w:val="auto"/>
          <w:kern w:val="0"/>
          <w:sz w:val="22"/>
          <w:szCs w:val="22"/>
          <w:highlight w:val="none"/>
        </w:rPr>
        <w:t>。</w:t>
      </w:r>
    </w:p>
    <w:p w14:paraId="44A41F05">
      <w:pPr>
        <w:numPr>
          <w:ilvl w:val="0"/>
          <w:numId w:val="3"/>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现已清楚知道参加本项目采购活动的其他所有供应商名称，本单位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□与其他所有供应商之间均不存在利害关系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□与</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A.法定代表人或负责人或实际控制人是同一人</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B.法定代表人或负责人或实际控制人是夫妻关系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C.法定代表人或负责人或实际控制人是直系血亲关系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D.法定代表人或负责人或实际控制人存在三代以内旁系血亲关系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E.法定代表人或负责人或实际控制人存在近姻亲关系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F.法定代表人或负责人或实际控制人存在股份控制或实际控制关系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G.存在共同直接或间接投资设立子公司、联营企业和合营企业情况</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I.其他利害关系情况</w:t>
      </w:r>
      <w:r>
        <w:rPr>
          <w:rFonts w:hint="eastAsia" w:ascii="宋体" w:hAnsi="宋体" w:eastAsia="宋体" w:cs="宋体"/>
          <w:color w:val="auto"/>
          <w:kern w:val="0"/>
          <w:sz w:val="22"/>
          <w:szCs w:val="22"/>
          <w:highlight w:val="none"/>
          <w:u w:val="single"/>
        </w:rPr>
        <w:t xml:space="preserve">                              。</w:t>
      </w:r>
    </w:p>
    <w:p w14:paraId="568292CF">
      <w:pPr>
        <w:pStyle w:val="22"/>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（三）现已清楚知道并严格遵守政府采购法律法规和现场纪律</w:t>
      </w:r>
    </w:p>
    <w:p w14:paraId="35E9B714">
      <w:pPr>
        <w:pStyle w:val="22"/>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（四）我发现</w:t>
      </w:r>
      <w:r>
        <w:rPr>
          <w:rStyle w:val="333"/>
          <w:rFonts w:hint="eastAsia" w:ascii="宋体" w:hAnsi="宋体" w:eastAsia="宋体" w:cs="宋体"/>
          <w:color w:val="auto"/>
          <w:sz w:val="22"/>
          <w:szCs w:val="22"/>
          <w:highlight w:val="none"/>
          <w:u w:val="single"/>
        </w:rPr>
        <w:t xml:space="preserve">                  </w:t>
      </w:r>
      <w:r>
        <w:rPr>
          <w:rStyle w:val="333"/>
          <w:rFonts w:hint="eastAsia" w:ascii="宋体" w:hAnsi="宋体" w:eastAsia="宋体" w:cs="宋体"/>
          <w:color w:val="auto"/>
          <w:sz w:val="22"/>
          <w:szCs w:val="22"/>
          <w:highlight w:val="none"/>
        </w:rPr>
        <w:t>与</w:t>
      </w:r>
      <w:r>
        <w:rPr>
          <w:rStyle w:val="333"/>
          <w:rFonts w:hint="eastAsia" w:ascii="宋体" w:hAnsi="宋体" w:eastAsia="宋体" w:cs="宋体"/>
          <w:color w:val="auto"/>
          <w:sz w:val="22"/>
          <w:szCs w:val="22"/>
          <w:highlight w:val="none"/>
          <w:u w:val="single"/>
        </w:rPr>
        <w:t xml:space="preserve">                  </w:t>
      </w:r>
      <w:r>
        <w:rPr>
          <w:rStyle w:val="333"/>
          <w:rFonts w:hint="eastAsia" w:ascii="宋体" w:hAnsi="宋体" w:eastAsia="宋体" w:cs="宋体"/>
          <w:color w:val="auto"/>
          <w:sz w:val="22"/>
          <w:szCs w:val="22"/>
          <w:highlight w:val="none"/>
        </w:rPr>
        <w:t>（供应商名称）</w:t>
      </w:r>
      <w:r>
        <w:rPr>
          <w:rFonts w:hint="eastAsia" w:ascii="宋体" w:hAnsi="宋体" w:eastAsia="宋体" w:cs="宋体"/>
          <w:color w:val="auto"/>
          <w:kern w:val="0"/>
          <w:sz w:val="22"/>
          <w:szCs w:val="22"/>
          <w:highlight w:val="none"/>
        </w:rPr>
        <w:t>之间存在或可能存在上述第二条第</w:t>
      </w:r>
      <w:r>
        <w:rPr>
          <w:rStyle w:val="333"/>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166E39D0">
      <w:pPr>
        <w:pStyle w:val="22"/>
        <w:spacing w:line="460" w:lineRule="exact"/>
        <w:ind w:left="0" w:firstLine="0" w:firstLineChars="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供应商代表签名:</w:t>
      </w:r>
    </w:p>
    <w:p w14:paraId="60A3CC03">
      <w:pPr>
        <w:pStyle w:val="22"/>
        <w:spacing w:line="460" w:lineRule="exact"/>
        <w:ind w:left="0" w:firstLine="0" w:firstLineChars="0"/>
        <w:jc w:val="right"/>
        <w:rPr>
          <w:rFonts w:hint="eastAsia" w:ascii="宋体" w:hAnsi="宋体" w:eastAsia="宋体" w:cs="宋体"/>
          <w:b/>
          <w:bCs/>
          <w:color w:val="auto"/>
          <w:sz w:val="22"/>
          <w:szCs w:val="22"/>
          <w:highlight w:val="none"/>
        </w:rPr>
      </w:pPr>
      <w:r>
        <w:rPr>
          <w:rFonts w:hint="eastAsia" w:ascii="宋体" w:hAnsi="宋体" w:eastAsia="宋体" w:cs="宋体"/>
          <w:b/>
          <w:color w:val="auto"/>
          <w:kern w:val="0"/>
          <w:sz w:val="22"/>
          <w:szCs w:val="22"/>
          <w:highlight w:val="none"/>
        </w:rPr>
        <w:t>日期:202</w:t>
      </w:r>
      <w:r>
        <w:rPr>
          <w:rFonts w:hint="eastAsia" w:ascii="宋体" w:hAnsi="宋体" w:eastAsia="宋体" w:cs="宋体"/>
          <w:b/>
          <w:color w:val="auto"/>
          <w:kern w:val="0"/>
          <w:sz w:val="22"/>
          <w:szCs w:val="22"/>
          <w:highlight w:val="none"/>
          <w:lang w:val="en-US" w:eastAsia="zh-CN"/>
        </w:rPr>
        <w:t xml:space="preserve">  </w:t>
      </w:r>
      <w:r>
        <w:rPr>
          <w:rFonts w:hint="eastAsia" w:ascii="宋体" w:hAnsi="宋体" w:eastAsia="宋体" w:cs="宋体"/>
          <w:b/>
          <w:color w:val="auto"/>
          <w:kern w:val="0"/>
          <w:sz w:val="22"/>
          <w:szCs w:val="22"/>
          <w:highlight w:val="none"/>
        </w:rPr>
        <w:t>年    月    日</w:t>
      </w:r>
    </w:p>
    <w:p w14:paraId="1E55AC96">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702EC02A">
      <w:pPr>
        <w:pStyle w:val="47"/>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5、落实政府采购政策需满足的资格要求证明材料</w:t>
      </w:r>
    </w:p>
    <w:p w14:paraId="41C5F545">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如参加投标的供应商为大型企业或中型企业的，则要求以分包形式参加（分包企业不超过三家），并在投标文件中提供中小企业声明函和分包协议书（要求合同金额的40%预留给中小企业，其中给小微企业的预留比例不低于70%）；如果供应商本身提供所有标的均由小微企业承接（须提供中小企业声明函），视同符合资格条件。</w:t>
      </w:r>
    </w:p>
    <w:p w14:paraId="1AD283DB">
      <w:pPr>
        <w:spacing w:line="420" w:lineRule="exact"/>
        <w:jc w:val="center"/>
        <w:outlineLvl w:val="4"/>
        <w:rPr>
          <w:rFonts w:ascii="宋体" w:hAnsi="宋体" w:cs="宋体"/>
          <w:color w:val="auto"/>
          <w:spacing w:val="6"/>
          <w:sz w:val="22"/>
          <w:szCs w:val="22"/>
          <w:highlight w:val="none"/>
        </w:rPr>
      </w:pPr>
      <w:r>
        <w:rPr>
          <w:rFonts w:hint="eastAsia" w:ascii="宋体" w:hAnsi="宋体" w:cs="宋体"/>
          <w:b/>
          <w:bCs/>
          <w:color w:val="auto"/>
          <w:sz w:val="28"/>
          <w:szCs w:val="28"/>
          <w:highlight w:val="none"/>
        </w:rPr>
        <w:t>①中小企业的相关证明材料</w:t>
      </w:r>
    </w:p>
    <w:p w14:paraId="5F66ED24">
      <w:pPr>
        <w:spacing w:line="380" w:lineRule="exact"/>
        <w:rPr>
          <w:rFonts w:ascii="宋体" w:hAnsi="宋体" w:cs="宋体"/>
          <w:color w:val="auto"/>
          <w:sz w:val="22"/>
          <w:szCs w:val="22"/>
          <w:highlight w:val="none"/>
        </w:rPr>
      </w:pPr>
    </w:p>
    <w:p w14:paraId="6EF10AB0">
      <w:pPr>
        <w:spacing w:line="460" w:lineRule="exact"/>
        <w:jc w:val="center"/>
        <w:rPr>
          <w:rFonts w:ascii="宋体" w:hAnsi="宋体" w:cs="宋体"/>
          <w:b/>
          <w:bCs/>
          <w:color w:val="auto"/>
          <w:sz w:val="22"/>
          <w:szCs w:val="22"/>
          <w:highlight w:val="none"/>
        </w:rPr>
      </w:pPr>
    </w:p>
    <w:p w14:paraId="443F8D8D">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中小企业声明函（工程、服务）</w:t>
      </w:r>
      <w:r>
        <w:rPr>
          <w:rFonts w:hint="eastAsia" w:ascii="宋体" w:hAnsi="宋体" w:eastAsia="宋体" w:cs="宋体"/>
          <w:b/>
          <w:bCs/>
          <w:color w:val="auto"/>
          <w:sz w:val="24"/>
          <w:szCs w:val="24"/>
          <w:highlight w:val="none"/>
          <w:lang w:eastAsia="zh-CN"/>
        </w:rPr>
        <w:t>》</w:t>
      </w:r>
    </w:p>
    <w:p w14:paraId="6948509A">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14:paraId="748D17A1">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3909785F">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1.</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 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 xml:space="preserve">； </w:t>
      </w:r>
    </w:p>
    <w:p w14:paraId="63EBCFA1">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w:t>
      </w:r>
    </w:p>
    <w:p w14:paraId="00DDB259">
      <w:pPr>
        <w:spacing w:line="460" w:lineRule="exact"/>
        <w:ind w:firstLine="639" w:firstLineChars="245"/>
        <w:rPr>
          <w:rFonts w:hint="eastAsia" w:ascii="宋体" w:hAnsi="宋体" w:eastAsia="宋体" w:cs="宋体"/>
          <w:b/>
          <w:bCs/>
          <w:color w:val="auto"/>
          <w:spacing w:val="20"/>
          <w:sz w:val="22"/>
          <w:szCs w:val="22"/>
          <w:highlight w:val="none"/>
        </w:rPr>
      </w:pPr>
      <w:r>
        <w:rPr>
          <w:rFonts w:hint="eastAsia" w:ascii="宋体" w:hAnsi="宋体" w:eastAsia="宋体" w:cs="宋体"/>
          <w:b/>
          <w:bCs/>
          <w:color w:val="auto"/>
          <w:spacing w:val="20"/>
          <w:sz w:val="22"/>
          <w:szCs w:val="22"/>
          <w:highlight w:val="none"/>
        </w:rPr>
        <w:t>……</w:t>
      </w:r>
    </w:p>
    <w:p w14:paraId="766C29B8">
      <w:pPr>
        <w:spacing w:line="460" w:lineRule="exact"/>
        <w:ind w:firstLine="637" w:firstLineChars="245"/>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14:paraId="6C2A7863">
      <w:pPr>
        <w:spacing w:line="460" w:lineRule="exact"/>
        <w:jc w:val="center"/>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lang w:val="en-US" w:eastAsia="zh-CN"/>
        </w:rPr>
        <w:t xml:space="preserve">           企业</w:t>
      </w:r>
      <w:r>
        <w:rPr>
          <w:rFonts w:hint="eastAsia" w:ascii="宋体" w:hAnsi="宋体" w:eastAsia="宋体" w:cs="宋体"/>
          <w:color w:val="auto"/>
          <w:spacing w:val="20"/>
          <w:sz w:val="22"/>
          <w:szCs w:val="22"/>
          <w:highlight w:val="none"/>
        </w:rPr>
        <w:t>名称（盖章）：</w:t>
      </w:r>
    </w:p>
    <w:p w14:paraId="0041F5D8">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日</w:t>
      </w:r>
      <w:r>
        <w:rPr>
          <w:rFonts w:hint="eastAsia" w:ascii="宋体" w:hAnsi="宋体" w:eastAsia="宋体" w:cs="宋体"/>
          <w:color w:val="auto"/>
          <w:spacing w:val="20"/>
          <w:sz w:val="22"/>
          <w:szCs w:val="22"/>
          <w:highlight w:val="none"/>
        </w:rPr>
        <w:t xml:space="preserve"> 期：</w:t>
      </w:r>
    </w:p>
    <w:p w14:paraId="5A093677">
      <w:pPr>
        <w:spacing w:line="460" w:lineRule="exact"/>
        <w:rPr>
          <w:rFonts w:hint="eastAsia" w:ascii="宋体" w:hAnsi="宋体" w:eastAsia="宋体" w:cs="宋体"/>
          <w:color w:val="auto"/>
          <w:spacing w:val="20"/>
          <w:sz w:val="22"/>
          <w:szCs w:val="22"/>
          <w:highlight w:val="none"/>
        </w:rPr>
      </w:pPr>
    </w:p>
    <w:p w14:paraId="1D77F637">
      <w:pPr>
        <w:spacing w:line="420" w:lineRule="exact"/>
        <w:jc w:val="center"/>
        <w:outlineLvl w:val="4"/>
        <w:rPr>
          <w:rFonts w:ascii="宋体" w:hAnsi="宋体" w:cs="宋体"/>
          <w:b/>
          <w:bCs/>
          <w:color w:val="auto"/>
          <w:sz w:val="28"/>
          <w:szCs w:val="28"/>
          <w:highlight w:val="none"/>
        </w:rPr>
      </w:pPr>
      <w:r>
        <w:rPr>
          <w:rFonts w:hint="eastAsia" w:ascii="宋体" w:hAnsi="宋体" w:cs="宋体"/>
          <w:b/>
          <w:bCs/>
          <w:color w:val="auto"/>
          <w:sz w:val="22"/>
          <w:szCs w:val="22"/>
          <w:highlight w:val="none"/>
        </w:rPr>
        <w:br w:type="page"/>
      </w:r>
      <w:r>
        <w:rPr>
          <w:rFonts w:hint="eastAsia" w:ascii="宋体" w:hAnsi="宋体" w:cs="宋体"/>
          <w:b/>
          <w:bCs/>
          <w:color w:val="auto"/>
          <w:sz w:val="28"/>
          <w:szCs w:val="28"/>
          <w:highlight w:val="none"/>
        </w:rPr>
        <w:t>②监狱企业的相关证明材料</w:t>
      </w:r>
    </w:p>
    <w:p w14:paraId="504BD2A2">
      <w:pPr>
        <w:adjustRightInd w:val="0"/>
        <w:snapToGrid w:val="0"/>
        <w:spacing w:line="300" w:lineRule="auto"/>
        <w:jc w:val="center"/>
        <w:rPr>
          <w:rFonts w:ascii="宋体" w:hAnsi="宋体" w:cs="宋体"/>
          <w:b/>
          <w:color w:val="auto"/>
          <w:spacing w:val="6"/>
          <w:sz w:val="22"/>
          <w:szCs w:val="22"/>
          <w:highlight w:val="none"/>
        </w:rPr>
      </w:pPr>
    </w:p>
    <w:p w14:paraId="74D285F5">
      <w:pPr>
        <w:adjustRightInd w:val="0"/>
        <w:snapToGrid w:val="0"/>
        <w:spacing w:line="300" w:lineRule="auto"/>
        <w:jc w:val="center"/>
        <w:rPr>
          <w:rFonts w:ascii="宋体" w:hAnsi="宋体" w:cs="宋体"/>
          <w:b/>
          <w:color w:val="auto"/>
          <w:spacing w:val="6"/>
          <w:sz w:val="22"/>
          <w:szCs w:val="22"/>
          <w:highlight w:val="none"/>
        </w:rPr>
      </w:pPr>
    </w:p>
    <w:p w14:paraId="58BE1B18">
      <w:pPr>
        <w:adjustRightInd w:val="0"/>
        <w:snapToGrid w:val="0"/>
        <w:spacing w:line="300" w:lineRule="auto"/>
        <w:jc w:val="center"/>
        <w:rPr>
          <w:rFonts w:ascii="宋体" w:hAnsi="宋体" w:cs="宋体"/>
          <w:b/>
          <w:color w:val="auto"/>
          <w:spacing w:val="6"/>
          <w:sz w:val="22"/>
          <w:szCs w:val="22"/>
          <w:highlight w:val="none"/>
        </w:rPr>
      </w:pPr>
    </w:p>
    <w:p w14:paraId="65C972F7">
      <w:pPr>
        <w:adjustRightInd w:val="0"/>
        <w:snapToGrid w:val="0"/>
        <w:spacing w:line="300" w:lineRule="auto"/>
        <w:jc w:val="center"/>
        <w:rPr>
          <w:rFonts w:ascii="宋体" w:hAnsi="宋体" w:cs="宋体"/>
          <w:color w:val="auto"/>
          <w:kern w:val="0"/>
          <w:sz w:val="22"/>
          <w:szCs w:val="22"/>
          <w:highlight w:val="none"/>
        </w:rPr>
      </w:pPr>
      <w:r>
        <w:rPr>
          <w:rFonts w:hint="eastAsia" w:ascii="宋体" w:hAnsi="宋体" w:cs="宋体"/>
          <w:b/>
          <w:color w:val="auto"/>
          <w:spacing w:val="6"/>
          <w:sz w:val="22"/>
          <w:szCs w:val="22"/>
          <w:highlight w:val="none"/>
        </w:rPr>
        <w:t>监狱企业声明函</w:t>
      </w:r>
    </w:p>
    <w:p w14:paraId="32806DCF">
      <w:pPr>
        <w:snapToGrid w:val="0"/>
        <w:spacing w:line="460" w:lineRule="exact"/>
        <w:ind w:firstLine="464" w:firstLineChars="200"/>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【非监狱企业不用提供】</w:t>
      </w:r>
    </w:p>
    <w:p w14:paraId="637FA25B">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本企业郑重声明，根据《关于政府采购支持监狱企业发展有关问题的通知》（财库[2014]68号）的规定，本企业为监狱企业。 </w:t>
      </w:r>
    </w:p>
    <w:p w14:paraId="6B4D7420">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根据上述标准，我企业属于监狱企业的理由为：</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 xml:space="preserve">。 </w:t>
      </w:r>
    </w:p>
    <w:p w14:paraId="53830167">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本企业为参加（项目名称</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）（项目编号</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 xml:space="preserve">）采购活动并承担本工程。 </w:t>
      </w:r>
    </w:p>
    <w:p w14:paraId="56AEE0B8">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本企业对上述声明的真实性负责。如有虚假，将依法承担相应责任。  </w:t>
      </w:r>
    </w:p>
    <w:p w14:paraId="28C5DF42">
      <w:pPr>
        <w:adjustRightInd w:val="0"/>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供应商全称（盖章）：</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6A2A8A08">
      <w:pPr>
        <w:adjustRightInd w:val="0"/>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日期：    年    月   日 </w:t>
      </w:r>
    </w:p>
    <w:p w14:paraId="3F97913D">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3EA52560">
      <w:pPr>
        <w:adjustRightInd w:val="0"/>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BEFB177">
      <w:pPr>
        <w:spacing w:line="420" w:lineRule="exact"/>
        <w:jc w:val="center"/>
        <w:outlineLvl w:val="4"/>
        <w:rPr>
          <w:rFonts w:ascii="宋体" w:hAnsi="宋体" w:cs="宋体"/>
          <w:b/>
          <w:bCs/>
          <w:color w:val="auto"/>
          <w:sz w:val="22"/>
          <w:szCs w:val="22"/>
          <w:highlight w:val="none"/>
        </w:rPr>
      </w:pPr>
      <w:r>
        <w:rPr>
          <w:rFonts w:hint="eastAsia" w:ascii="宋体" w:hAnsi="宋体" w:cs="宋体"/>
          <w:b/>
          <w:bCs/>
          <w:color w:val="auto"/>
          <w:sz w:val="22"/>
          <w:szCs w:val="22"/>
          <w:highlight w:val="none"/>
        </w:rPr>
        <w:br w:type="page"/>
      </w:r>
      <w:r>
        <w:rPr>
          <w:rFonts w:hint="eastAsia" w:ascii="宋体" w:hAnsi="宋体" w:cs="宋体"/>
          <w:b/>
          <w:bCs/>
          <w:color w:val="auto"/>
          <w:sz w:val="28"/>
          <w:szCs w:val="28"/>
          <w:highlight w:val="none"/>
        </w:rPr>
        <w:t>③残疾人福利性单位的相关证明材料</w:t>
      </w:r>
    </w:p>
    <w:p w14:paraId="5F3CE00F">
      <w:pPr>
        <w:spacing w:line="460" w:lineRule="exact"/>
        <w:rPr>
          <w:rFonts w:ascii="宋体" w:hAnsi="宋体" w:cs="宋体"/>
          <w:color w:val="auto"/>
          <w:spacing w:val="20"/>
          <w:sz w:val="22"/>
          <w:szCs w:val="22"/>
          <w:highlight w:val="none"/>
        </w:rPr>
      </w:pPr>
    </w:p>
    <w:p w14:paraId="661F1C25">
      <w:pPr>
        <w:spacing w:line="460" w:lineRule="exact"/>
        <w:rPr>
          <w:rFonts w:ascii="宋体" w:hAnsi="宋体" w:cs="宋体"/>
          <w:color w:val="auto"/>
          <w:spacing w:val="20"/>
          <w:sz w:val="22"/>
          <w:szCs w:val="22"/>
          <w:highlight w:val="none"/>
        </w:rPr>
      </w:pPr>
    </w:p>
    <w:p w14:paraId="15B5C82E">
      <w:pPr>
        <w:spacing w:line="460" w:lineRule="exact"/>
        <w:jc w:val="center"/>
        <w:rPr>
          <w:rFonts w:ascii="宋体" w:hAnsi="宋体" w:cs="宋体"/>
          <w:color w:val="auto"/>
          <w:spacing w:val="6"/>
          <w:sz w:val="22"/>
          <w:szCs w:val="22"/>
          <w:highlight w:val="none"/>
        </w:rPr>
      </w:pPr>
      <w:r>
        <w:rPr>
          <w:rFonts w:hint="eastAsia" w:ascii="宋体" w:hAnsi="宋体" w:cs="宋体"/>
          <w:b/>
          <w:color w:val="auto"/>
          <w:spacing w:val="6"/>
          <w:sz w:val="22"/>
          <w:szCs w:val="22"/>
          <w:highlight w:val="none"/>
        </w:rPr>
        <w:t>残疾人福利性单位声明函</w:t>
      </w:r>
    </w:p>
    <w:p w14:paraId="086A57E0">
      <w:pPr>
        <w:widowControl/>
        <w:adjustRightInd w:val="0"/>
        <w:snapToGrid w:val="0"/>
        <w:spacing w:line="460" w:lineRule="exact"/>
        <w:ind w:firstLine="440" w:firstLineChars="20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【不属于残疾人福利性单位的无需填写、递交】</w:t>
      </w:r>
    </w:p>
    <w:p w14:paraId="73828BCA">
      <w:pPr>
        <w:snapToGrid w:val="0"/>
        <w:spacing w:line="460" w:lineRule="exact"/>
        <w:jc w:val="center"/>
        <w:rPr>
          <w:rFonts w:ascii="宋体" w:hAnsi="宋体" w:cs="宋体"/>
          <w:b/>
          <w:bCs/>
          <w:color w:val="auto"/>
          <w:sz w:val="22"/>
          <w:szCs w:val="22"/>
          <w:highlight w:val="none"/>
        </w:rPr>
      </w:pPr>
    </w:p>
    <w:p w14:paraId="1E062013">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cs="宋体"/>
          <w:color w:val="auto"/>
          <w:sz w:val="22"/>
          <w:szCs w:val="22"/>
          <w:highlight w:val="none"/>
        </w:rPr>
        <w:t>〔2017〕141</w:t>
      </w:r>
      <w:r>
        <w:rPr>
          <w:rFonts w:hint="eastAsia" w:ascii="宋体" w:hAnsi="宋体" w:cs="宋体"/>
          <w:color w:val="auto"/>
          <w:spacing w:val="6"/>
          <w:sz w:val="22"/>
          <w:szCs w:val="22"/>
          <w:highlight w:val="none"/>
        </w:rPr>
        <w:t>号）的规定，本单位为符合条件的残疾人福利性单位，且本单位参加</w:t>
      </w:r>
      <w:r>
        <w:rPr>
          <w:rFonts w:hint="eastAsia" w:ascii="宋体" w:hAnsi="宋体" w:cs="宋体"/>
          <w:color w:val="auto"/>
          <w:spacing w:val="6"/>
          <w:sz w:val="22"/>
          <w:szCs w:val="22"/>
          <w:highlight w:val="none"/>
          <w:u w:val="single"/>
        </w:rPr>
        <w:t>（采购人名称）</w:t>
      </w:r>
      <w:r>
        <w:rPr>
          <w:rFonts w:hint="eastAsia" w:ascii="宋体" w:hAnsi="宋体" w:cs="宋体"/>
          <w:color w:val="auto"/>
          <w:spacing w:val="6"/>
          <w:sz w:val="22"/>
          <w:szCs w:val="22"/>
          <w:highlight w:val="none"/>
        </w:rPr>
        <w:t>单位的</w:t>
      </w:r>
      <w:r>
        <w:rPr>
          <w:rFonts w:hint="eastAsia" w:ascii="宋体" w:hAnsi="宋体" w:cs="宋体"/>
          <w:color w:val="auto"/>
          <w:spacing w:val="6"/>
          <w:sz w:val="22"/>
          <w:szCs w:val="22"/>
          <w:highlight w:val="none"/>
          <w:u w:val="single"/>
        </w:rPr>
        <w:t>（项目名称）</w:t>
      </w:r>
      <w:r>
        <w:rPr>
          <w:rFonts w:hint="eastAsia" w:ascii="宋体" w:hAnsi="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25FF751E">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14:paraId="1DFE87F7">
      <w:pPr>
        <w:snapToGrid w:val="0"/>
        <w:spacing w:line="460" w:lineRule="exact"/>
        <w:ind w:firstLine="464" w:firstLineChars="200"/>
        <w:rPr>
          <w:rFonts w:ascii="宋体" w:hAnsi="宋体" w:cs="宋体"/>
          <w:color w:val="auto"/>
          <w:spacing w:val="6"/>
          <w:sz w:val="22"/>
          <w:szCs w:val="22"/>
          <w:highlight w:val="none"/>
        </w:rPr>
      </w:pPr>
    </w:p>
    <w:p w14:paraId="3A50C1E3">
      <w:pPr>
        <w:snapToGrid w:val="0"/>
        <w:spacing w:line="460" w:lineRule="exact"/>
        <w:ind w:firstLine="464" w:firstLineChars="200"/>
        <w:rPr>
          <w:rFonts w:ascii="宋体" w:hAnsi="宋体" w:cs="宋体"/>
          <w:color w:val="auto"/>
          <w:spacing w:val="6"/>
          <w:sz w:val="22"/>
          <w:szCs w:val="22"/>
          <w:highlight w:val="none"/>
        </w:rPr>
      </w:pPr>
    </w:p>
    <w:p w14:paraId="51A8F9E3">
      <w:pPr>
        <w:adjustRightInd w:val="0"/>
        <w:snapToGrid w:val="0"/>
        <w:spacing w:line="460" w:lineRule="exact"/>
        <w:ind w:firstLine="440" w:firstLineChars="20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供应商全称（盖章）：</w:t>
      </w:r>
      <w:r>
        <w:rPr>
          <w:rFonts w:hint="eastAsia" w:ascii="宋体" w:hAnsi="宋体" w:cs="宋体"/>
          <w:color w:val="auto"/>
          <w:kern w:val="0"/>
          <w:sz w:val="22"/>
          <w:szCs w:val="22"/>
          <w:highlight w:val="none"/>
          <w:u w:val="single"/>
        </w:rPr>
        <w:t xml:space="preserve">                    </w:t>
      </w:r>
    </w:p>
    <w:p w14:paraId="5E62F20A">
      <w:pPr>
        <w:adjustRightInd w:val="0"/>
        <w:snapToGrid w:val="0"/>
        <w:spacing w:line="4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560916E0">
      <w:pP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br w:type="page"/>
      </w:r>
    </w:p>
    <w:p w14:paraId="25AD48DD">
      <w:pPr>
        <w:spacing w:line="420" w:lineRule="exact"/>
        <w:jc w:val="center"/>
        <w:outlineLvl w:val="4"/>
        <w:rPr>
          <w:rFonts w:hint="default"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④分包协议（如有）</w:t>
      </w:r>
    </w:p>
    <w:p w14:paraId="433C965E">
      <w:pPr>
        <w:keepNext w:val="0"/>
        <w:keepLines w:val="0"/>
        <w:pageBreakBefore w:val="0"/>
        <w:kinsoku/>
        <w:wordWrap/>
        <w:overflowPunct/>
        <w:topLinePunct/>
        <w:bidi w:val="0"/>
        <w:snapToGrid/>
        <w:spacing w:line="460" w:lineRule="exact"/>
        <w:ind w:firstLine="440" w:firstLineChars="200"/>
        <w:textAlignment w:val="auto"/>
        <w:rPr>
          <w:rFonts w:hint="eastAsia" w:ascii="宋体" w:hAnsi="宋体" w:cs="宋体"/>
          <w:color w:val="auto"/>
          <w:sz w:val="22"/>
          <w:szCs w:val="22"/>
          <w:highlight w:val="none"/>
          <w:u w:val="single"/>
        </w:rPr>
      </w:pPr>
    </w:p>
    <w:p w14:paraId="1314CC08">
      <w:pPr>
        <w:keepNext w:val="0"/>
        <w:keepLines w:val="0"/>
        <w:pageBreakBefore w:val="0"/>
        <w:kinsoku/>
        <w:wordWrap/>
        <w:overflowPunct/>
        <w:topLinePunct/>
        <w:bidi w:val="0"/>
        <w:snapToGrid/>
        <w:spacing w:line="4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（分包承接单位名称）自愿承接</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（总包单位名称，即投标人）分包的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（项目名称）投标。现就分包投标事宜订立如下协议。</w:t>
      </w:r>
    </w:p>
    <w:p w14:paraId="238085AD">
      <w:pPr>
        <w:keepNext w:val="0"/>
        <w:keepLines w:val="0"/>
        <w:pageBreakBefore w:val="0"/>
        <w:kinsoku/>
        <w:wordWrap/>
        <w:overflowPunct/>
        <w:topLinePunct/>
        <w:bidi w:val="0"/>
        <w:snapToGrid/>
        <w:spacing w:line="4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（总包单位名称，即投标人）为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（项目名称）的分包牵头人。</w:t>
      </w:r>
    </w:p>
    <w:p w14:paraId="04FEF803">
      <w:pPr>
        <w:keepNext w:val="0"/>
        <w:keepLines w:val="0"/>
        <w:pageBreakBefore w:val="0"/>
        <w:kinsoku/>
        <w:wordWrap/>
        <w:overflowPunct/>
        <w:topLinePunct/>
        <w:bidi w:val="0"/>
        <w:snapToGrid/>
        <w:spacing w:line="4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分包牵头人合法代表总包单位、分包承接单位各成员负责本项目投标文件编制和合同谈判活动，并代表总包单位、分包承接单位各成员提交和接收相关的资料、信息及指示，并处理与之有关的一切事务，负责合同实施阶段的主办、组织和协调工作。</w:t>
      </w:r>
    </w:p>
    <w:p w14:paraId="45AC12C9">
      <w:pPr>
        <w:keepNext w:val="0"/>
        <w:keepLines w:val="0"/>
        <w:pageBreakBefore w:val="0"/>
        <w:kinsoku/>
        <w:wordWrap/>
        <w:overflowPunct/>
        <w:topLinePunct/>
        <w:bidi w:val="0"/>
        <w:snapToGrid/>
        <w:spacing w:line="4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3、总包单位、分包承接单位将严格按照招标文件的各项要求，递交投标文件，履行合同，并对外承担连带责任。</w:t>
      </w:r>
    </w:p>
    <w:p w14:paraId="0AF7F781">
      <w:pPr>
        <w:keepNext w:val="0"/>
        <w:keepLines w:val="0"/>
        <w:pageBreakBefore w:val="0"/>
        <w:kinsoku/>
        <w:wordWrap/>
        <w:overflowPunct/>
        <w:topLinePunct/>
        <w:bidi w:val="0"/>
        <w:snapToGrid/>
        <w:spacing w:line="460" w:lineRule="exact"/>
        <w:ind w:firstLine="440" w:firstLineChars="200"/>
        <w:textAlignment w:val="auto"/>
        <w:rPr>
          <w:rFonts w:hint="eastAsia" w:ascii="宋体" w:hAnsi="宋体" w:cs="宋体"/>
          <w:b/>
          <w:color w:val="auto"/>
          <w:sz w:val="22"/>
          <w:szCs w:val="22"/>
          <w:highlight w:val="none"/>
          <w:u w:val="single"/>
          <w:vertAlign w:val="baseline"/>
        </w:rPr>
      </w:pPr>
      <w:r>
        <w:rPr>
          <w:rFonts w:hint="eastAsia" w:ascii="宋体" w:hAnsi="宋体" w:cs="宋体"/>
          <w:color w:val="auto"/>
          <w:sz w:val="22"/>
          <w:szCs w:val="22"/>
          <w:highlight w:val="none"/>
        </w:rPr>
        <w:t>4、</w:t>
      </w:r>
      <w:r>
        <w:rPr>
          <w:rFonts w:hint="eastAsia" w:ascii="宋体" w:hAnsi="宋体" w:cs="宋体"/>
          <w:b/>
          <w:color w:val="auto"/>
          <w:sz w:val="22"/>
          <w:szCs w:val="22"/>
          <w:highlight w:val="none"/>
        </w:rPr>
        <w:t>总包单位、分包承接单位各成员单位内部的职责分工如下：</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3319"/>
        <w:gridCol w:w="3088"/>
        <w:gridCol w:w="2551"/>
      </w:tblGrid>
      <w:tr w14:paraId="21F5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noWrap w:val="0"/>
            <w:vAlign w:val="top"/>
          </w:tcPr>
          <w:p w14:paraId="78268A9E">
            <w:pPr>
              <w:keepNext w:val="0"/>
              <w:keepLines w:val="0"/>
              <w:pageBreakBefore w:val="0"/>
              <w:kinsoku/>
              <w:wordWrap/>
              <w:overflowPunct/>
              <w:topLinePunct/>
              <w:bidi w:val="0"/>
              <w:snapToGrid/>
              <w:spacing w:line="460" w:lineRule="exact"/>
              <w:textAlignment w:val="auto"/>
              <w:rPr>
                <w:rFonts w:hint="eastAsia" w:ascii="宋体" w:hAnsi="宋体" w:eastAsia="宋体" w:cs="宋体"/>
                <w:b/>
                <w:color w:val="auto"/>
                <w:sz w:val="22"/>
                <w:szCs w:val="22"/>
                <w:highlight w:val="none"/>
                <w:u w:val="single"/>
                <w:vertAlign w:val="baseline"/>
                <w:lang w:val="en-US" w:eastAsia="zh-CN"/>
              </w:rPr>
            </w:pPr>
            <w:r>
              <w:rPr>
                <w:rFonts w:hint="eastAsia" w:ascii="宋体" w:hAnsi="宋体" w:cs="宋体"/>
                <w:b/>
                <w:color w:val="auto"/>
                <w:sz w:val="22"/>
                <w:szCs w:val="22"/>
                <w:highlight w:val="none"/>
                <w:u w:val="single"/>
                <w:vertAlign w:val="baseline"/>
                <w:lang w:val="en-US" w:eastAsia="zh-CN"/>
              </w:rPr>
              <w:t>序号</w:t>
            </w:r>
          </w:p>
        </w:tc>
        <w:tc>
          <w:tcPr>
            <w:tcW w:w="3319" w:type="dxa"/>
            <w:noWrap w:val="0"/>
            <w:vAlign w:val="top"/>
          </w:tcPr>
          <w:p w14:paraId="743F3293">
            <w:pPr>
              <w:keepNext w:val="0"/>
              <w:keepLines w:val="0"/>
              <w:pageBreakBefore w:val="0"/>
              <w:kinsoku/>
              <w:wordWrap/>
              <w:overflowPunct/>
              <w:topLinePunct/>
              <w:bidi w:val="0"/>
              <w:snapToGrid/>
              <w:spacing w:line="460" w:lineRule="exact"/>
              <w:jc w:val="center"/>
              <w:textAlignment w:val="auto"/>
              <w:rPr>
                <w:rFonts w:hint="default" w:ascii="宋体" w:hAnsi="宋体" w:eastAsia="宋体" w:cs="宋体"/>
                <w:b/>
                <w:color w:val="auto"/>
                <w:sz w:val="22"/>
                <w:szCs w:val="22"/>
                <w:highlight w:val="none"/>
                <w:u w:val="single"/>
                <w:vertAlign w:val="baseline"/>
                <w:lang w:val="en-US" w:eastAsia="zh-CN"/>
              </w:rPr>
            </w:pPr>
            <w:r>
              <w:rPr>
                <w:rFonts w:hint="eastAsia" w:ascii="宋体" w:hAnsi="宋体" w:cs="宋体"/>
                <w:b/>
                <w:color w:val="auto"/>
                <w:sz w:val="22"/>
                <w:szCs w:val="22"/>
                <w:highlight w:val="none"/>
                <w:u w:val="single"/>
                <w:vertAlign w:val="baseline"/>
                <w:lang w:val="en-US" w:eastAsia="zh-CN"/>
              </w:rPr>
              <w:t>职责分工</w:t>
            </w:r>
          </w:p>
        </w:tc>
        <w:tc>
          <w:tcPr>
            <w:tcW w:w="3088" w:type="dxa"/>
            <w:noWrap w:val="0"/>
            <w:vAlign w:val="top"/>
          </w:tcPr>
          <w:p w14:paraId="5B03B5C8">
            <w:pPr>
              <w:keepNext w:val="0"/>
              <w:keepLines w:val="0"/>
              <w:pageBreakBefore w:val="0"/>
              <w:kinsoku/>
              <w:wordWrap/>
              <w:overflowPunct/>
              <w:topLinePunct/>
              <w:bidi w:val="0"/>
              <w:snapToGrid/>
              <w:spacing w:line="460" w:lineRule="exact"/>
              <w:jc w:val="center"/>
              <w:textAlignment w:val="auto"/>
              <w:rPr>
                <w:rFonts w:hint="eastAsia" w:ascii="宋体" w:hAnsi="宋体" w:eastAsia="宋体" w:cs="宋体"/>
                <w:b/>
                <w:color w:val="auto"/>
                <w:sz w:val="22"/>
                <w:szCs w:val="22"/>
                <w:highlight w:val="none"/>
                <w:u w:val="single"/>
                <w:vertAlign w:val="baseline"/>
                <w:lang w:val="en-US" w:eastAsia="zh-CN"/>
              </w:rPr>
            </w:pPr>
            <w:r>
              <w:rPr>
                <w:rFonts w:hint="eastAsia" w:ascii="宋体" w:hAnsi="宋体" w:cs="宋体"/>
                <w:b/>
                <w:color w:val="auto"/>
                <w:sz w:val="22"/>
                <w:szCs w:val="22"/>
                <w:highlight w:val="none"/>
                <w:u w:val="single"/>
                <w:vertAlign w:val="baseline"/>
                <w:lang w:val="en-US" w:eastAsia="zh-CN"/>
              </w:rPr>
              <w:t>金额占比比例</w:t>
            </w:r>
          </w:p>
        </w:tc>
        <w:tc>
          <w:tcPr>
            <w:tcW w:w="2551" w:type="dxa"/>
            <w:noWrap w:val="0"/>
            <w:vAlign w:val="top"/>
          </w:tcPr>
          <w:p w14:paraId="2242740E">
            <w:pPr>
              <w:keepNext w:val="0"/>
              <w:keepLines w:val="0"/>
              <w:pageBreakBefore w:val="0"/>
              <w:kinsoku/>
              <w:wordWrap/>
              <w:overflowPunct/>
              <w:topLinePunct/>
              <w:bidi w:val="0"/>
              <w:snapToGrid/>
              <w:spacing w:line="460" w:lineRule="exact"/>
              <w:jc w:val="center"/>
              <w:textAlignment w:val="auto"/>
              <w:rPr>
                <w:rFonts w:hint="default" w:ascii="宋体" w:hAnsi="宋体" w:eastAsia="宋体" w:cs="宋体"/>
                <w:b/>
                <w:color w:val="auto"/>
                <w:sz w:val="22"/>
                <w:szCs w:val="22"/>
                <w:highlight w:val="none"/>
                <w:u w:val="single"/>
                <w:vertAlign w:val="baseline"/>
                <w:lang w:val="en-US" w:eastAsia="zh-CN"/>
              </w:rPr>
            </w:pPr>
            <w:r>
              <w:rPr>
                <w:rFonts w:hint="eastAsia" w:ascii="宋体" w:hAnsi="宋体" w:cs="宋体"/>
                <w:b/>
                <w:color w:val="auto"/>
                <w:sz w:val="22"/>
                <w:szCs w:val="22"/>
                <w:highlight w:val="none"/>
                <w:u w:val="single"/>
                <w:vertAlign w:val="baseline"/>
                <w:lang w:val="en-US" w:eastAsia="zh-CN"/>
              </w:rPr>
              <w:t>承接单位</w:t>
            </w:r>
          </w:p>
        </w:tc>
      </w:tr>
      <w:tr w14:paraId="0B1C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noWrap w:val="0"/>
            <w:vAlign w:val="top"/>
          </w:tcPr>
          <w:p w14:paraId="4C9F2DDE">
            <w:pPr>
              <w:keepNext w:val="0"/>
              <w:keepLines w:val="0"/>
              <w:pageBreakBefore w:val="0"/>
              <w:kinsoku/>
              <w:wordWrap/>
              <w:overflowPunct/>
              <w:topLinePunct/>
              <w:bidi w:val="0"/>
              <w:snapToGrid/>
              <w:spacing w:line="460" w:lineRule="exact"/>
              <w:textAlignment w:val="auto"/>
              <w:rPr>
                <w:rFonts w:hint="eastAsia" w:ascii="宋体" w:hAnsi="宋体" w:eastAsia="宋体" w:cs="宋体"/>
                <w:b/>
                <w:color w:val="auto"/>
                <w:sz w:val="22"/>
                <w:szCs w:val="22"/>
                <w:highlight w:val="none"/>
                <w:u w:val="single"/>
                <w:vertAlign w:val="baseline"/>
                <w:lang w:val="en-US" w:eastAsia="zh-CN"/>
              </w:rPr>
            </w:pPr>
            <w:r>
              <w:rPr>
                <w:rFonts w:hint="eastAsia" w:ascii="宋体" w:hAnsi="宋体" w:cs="宋体"/>
                <w:b/>
                <w:color w:val="auto"/>
                <w:sz w:val="22"/>
                <w:szCs w:val="22"/>
                <w:highlight w:val="none"/>
                <w:u w:val="single"/>
                <w:vertAlign w:val="baseline"/>
                <w:lang w:val="en-US" w:eastAsia="zh-CN"/>
              </w:rPr>
              <w:t>1</w:t>
            </w:r>
          </w:p>
        </w:tc>
        <w:tc>
          <w:tcPr>
            <w:tcW w:w="3319" w:type="dxa"/>
            <w:noWrap w:val="0"/>
            <w:vAlign w:val="top"/>
          </w:tcPr>
          <w:p w14:paraId="5C6FB68D">
            <w:pPr>
              <w:keepNext w:val="0"/>
              <w:keepLines w:val="0"/>
              <w:pageBreakBefore w:val="0"/>
              <w:kinsoku/>
              <w:wordWrap/>
              <w:overflowPunct/>
              <w:topLinePunct/>
              <w:bidi w:val="0"/>
              <w:snapToGrid/>
              <w:spacing w:line="460" w:lineRule="exact"/>
              <w:textAlignment w:val="auto"/>
              <w:rPr>
                <w:rFonts w:hint="eastAsia" w:ascii="宋体" w:hAnsi="宋体" w:cs="宋体"/>
                <w:b/>
                <w:color w:val="auto"/>
                <w:sz w:val="22"/>
                <w:szCs w:val="22"/>
                <w:highlight w:val="none"/>
                <w:u w:val="single"/>
                <w:vertAlign w:val="baseline"/>
              </w:rPr>
            </w:pPr>
          </w:p>
        </w:tc>
        <w:tc>
          <w:tcPr>
            <w:tcW w:w="3088" w:type="dxa"/>
            <w:noWrap w:val="0"/>
            <w:vAlign w:val="top"/>
          </w:tcPr>
          <w:p w14:paraId="33B84017">
            <w:pPr>
              <w:keepNext w:val="0"/>
              <w:keepLines w:val="0"/>
              <w:pageBreakBefore w:val="0"/>
              <w:kinsoku/>
              <w:wordWrap/>
              <w:overflowPunct/>
              <w:topLinePunct/>
              <w:bidi w:val="0"/>
              <w:snapToGrid/>
              <w:spacing w:line="460" w:lineRule="exact"/>
              <w:textAlignment w:val="auto"/>
              <w:rPr>
                <w:rFonts w:hint="eastAsia" w:ascii="宋体" w:hAnsi="宋体" w:cs="宋体"/>
                <w:b/>
                <w:color w:val="auto"/>
                <w:sz w:val="22"/>
                <w:szCs w:val="22"/>
                <w:highlight w:val="none"/>
                <w:u w:val="single"/>
                <w:vertAlign w:val="baseline"/>
              </w:rPr>
            </w:pPr>
          </w:p>
        </w:tc>
        <w:tc>
          <w:tcPr>
            <w:tcW w:w="2551" w:type="dxa"/>
            <w:noWrap w:val="0"/>
            <w:vAlign w:val="top"/>
          </w:tcPr>
          <w:p w14:paraId="009AABA0">
            <w:pPr>
              <w:keepNext w:val="0"/>
              <w:keepLines w:val="0"/>
              <w:pageBreakBefore w:val="0"/>
              <w:kinsoku/>
              <w:wordWrap/>
              <w:overflowPunct/>
              <w:topLinePunct/>
              <w:bidi w:val="0"/>
              <w:snapToGrid/>
              <w:spacing w:line="460" w:lineRule="exact"/>
              <w:textAlignment w:val="auto"/>
              <w:rPr>
                <w:rFonts w:hint="eastAsia" w:ascii="宋体" w:hAnsi="宋体" w:cs="宋体"/>
                <w:b/>
                <w:color w:val="auto"/>
                <w:sz w:val="22"/>
                <w:szCs w:val="22"/>
                <w:highlight w:val="none"/>
                <w:u w:val="single"/>
                <w:vertAlign w:val="baseline"/>
              </w:rPr>
            </w:pPr>
          </w:p>
        </w:tc>
      </w:tr>
      <w:tr w14:paraId="5E45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noWrap w:val="0"/>
            <w:vAlign w:val="top"/>
          </w:tcPr>
          <w:p w14:paraId="11BBC955">
            <w:pPr>
              <w:keepNext w:val="0"/>
              <w:keepLines w:val="0"/>
              <w:pageBreakBefore w:val="0"/>
              <w:kinsoku/>
              <w:wordWrap/>
              <w:overflowPunct/>
              <w:topLinePunct/>
              <w:bidi w:val="0"/>
              <w:snapToGrid/>
              <w:spacing w:line="460" w:lineRule="exact"/>
              <w:textAlignment w:val="auto"/>
              <w:rPr>
                <w:rFonts w:hint="eastAsia" w:ascii="宋体" w:hAnsi="宋体" w:eastAsia="宋体" w:cs="宋体"/>
                <w:b/>
                <w:color w:val="auto"/>
                <w:sz w:val="22"/>
                <w:szCs w:val="22"/>
                <w:highlight w:val="none"/>
                <w:u w:val="single"/>
                <w:vertAlign w:val="baseline"/>
                <w:lang w:val="en-US" w:eastAsia="zh-CN"/>
              </w:rPr>
            </w:pPr>
            <w:r>
              <w:rPr>
                <w:rFonts w:hint="eastAsia" w:ascii="宋体" w:hAnsi="宋体" w:cs="宋体"/>
                <w:b/>
                <w:color w:val="auto"/>
                <w:sz w:val="22"/>
                <w:szCs w:val="22"/>
                <w:highlight w:val="none"/>
                <w:u w:val="single"/>
                <w:vertAlign w:val="baseline"/>
                <w:lang w:val="en-US" w:eastAsia="zh-CN"/>
              </w:rPr>
              <w:t>2</w:t>
            </w:r>
          </w:p>
        </w:tc>
        <w:tc>
          <w:tcPr>
            <w:tcW w:w="3319" w:type="dxa"/>
            <w:noWrap w:val="0"/>
            <w:vAlign w:val="top"/>
          </w:tcPr>
          <w:p w14:paraId="2E2A9DB7">
            <w:pPr>
              <w:keepNext w:val="0"/>
              <w:keepLines w:val="0"/>
              <w:pageBreakBefore w:val="0"/>
              <w:kinsoku/>
              <w:wordWrap/>
              <w:overflowPunct/>
              <w:topLinePunct/>
              <w:bidi w:val="0"/>
              <w:snapToGrid/>
              <w:spacing w:line="460" w:lineRule="exact"/>
              <w:textAlignment w:val="auto"/>
              <w:rPr>
                <w:rFonts w:hint="eastAsia" w:ascii="宋体" w:hAnsi="宋体" w:cs="宋体"/>
                <w:b/>
                <w:color w:val="auto"/>
                <w:sz w:val="22"/>
                <w:szCs w:val="22"/>
                <w:highlight w:val="none"/>
                <w:u w:val="single"/>
                <w:vertAlign w:val="baseline"/>
              </w:rPr>
            </w:pPr>
          </w:p>
        </w:tc>
        <w:tc>
          <w:tcPr>
            <w:tcW w:w="3088" w:type="dxa"/>
            <w:noWrap w:val="0"/>
            <w:vAlign w:val="top"/>
          </w:tcPr>
          <w:p w14:paraId="57615CCF">
            <w:pPr>
              <w:keepNext w:val="0"/>
              <w:keepLines w:val="0"/>
              <w:pageBreakBefore w:val="0"/>
              <w:kinsoku/>
              <w:wordWrap/>
              <w:overflowPunct/>
              <w:topLinePunct/>
              <w:bidi w:val="0"/>
              <w:snapToGrid/>
              <w:spacing w:line="460" w:lineRule="exact"/>
              <w:textAlignment w:val="auto"/>
              <w:rPr>
                <w:rFonts w:hint="eastAsia" w:ascii="宋体" w:hAnsi="宋体" w:cs="宋体"/>
                <w:b/>
                <w:color w:val="auto"/>
                <w:sz w:val="22"/>
                <w:szCs w:val="22"/>
                <w:highlight w:val="none"/>
                <w:u w:val="single"/>
                <w:vertAlign w:val="baseline"/>
              </w:rPr>
            </w:pPr>
          </w:p>
        </w:tc>
        <w:tc>
          <w:tcPr>
            <w:tcW w:w="2551" w:type="dxa"/>
            <w:noWrap w:val="0"/>
            <w:vAlign w:val="top"/>
          </w:tcPr>
          <w:p w14:paraId="23801C78">
            <w:pPr>
              <w:keepNext w:val="0"/>
              <w:keepLines w:val="0"/>
              <w:pageBreakBefore w:val="0"/>
              <w:kinsoku/>
              <w:wordWrap/>
              <w:overflowPunct/>
              <w:topLinePunct/>
              <w:bidi w:val="0"/>
              <w:snapToGrid/>
              <w:spacing w:line="460" w:lineRule="exact"/>
              <w:textAlignment w:val="auto"/>
              <w:rPr>
                <w:rFonts w:hint="eastAsia" w:ascii="宋体" w:hAnsi="宋体" w:cs="宋体"/>
                <w:b/>
                <w:color w:val="auto"/>
                <w:sz w:val="22"/>
                <w:szCs w:val="22"/>
                <w:highlight w:val="none"/>
                <w:u w:val="single"/>
                <w:vertAlign w:val="baseline"/>
              </w:rPr>
            </w:pPr>
          </w:p>
        </w:tc>
      </w:tr>
      <w:tr w14:paraId="4AE2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7" w:type="dxa"/>
            <w:noWrap w:val="0"/>
            <w:vAlign w:val="top"/>
          </w:tcPr>
          <w:p w14:paraId="65C3E1BF">
            <w:pPr>
              <w:keepNext w:val="0"/>
              <w:keepLines w:val="0"/>
              <w:pageBreakBefore w:val="0"/>
              <w:kinsoku/>
              <w:wordWrap/>
              <w:overflowPunct/>
              <w:topLinePunct/>
              <w:bidi w:val="0"/>
              <w:snapToGrid/>
              <w:spacing w:line="460" w:lineRule="exact"/>
              <w:textAlignment w:val="auto"/>
              <w:rPr>
                <w:rFonts w:hint="eastAsia" w:ascii="宋体" w:hAnsi="宋体" w:eastAsia="宋体" w:cs="宋体"/>
                <w:b/>
                <w:color w:val="auto"/>
                <w:sz w:val="22"/>
                <w:szCs w:val="22"/>
                <w:highlight w:val="none"/>
                <w:u w:val="single"/>
                <w:vertAlign w:val="baseline"/>
                <w:lang w:val="en-US" w:eastAsia="zh-CN"/>
              </w:rPr>
            </w:pPr>
            <w:r>
              <w:rPr>
                <w:rFonts w:hint="eastAsia" w:ascii="宋体" w:hAnsi="宋体" w:cs="宋体"/>
                <w:b/>
                <w:color w:val="auto"/>
                <w:sz w:val="22"/>
                <w:szCs w:val="22"/>
                <w:highlight w:val="none"/>
                <w:u w:val="single"/>
                <w:vertAlign w:val="baseline"/>
                <w:lang w:val="en-US" w:eastAsia="zh-CN"/>
              </w:rPr>
              <w:t>……</w:t>
            </w:r>
          </w:p>
        </w:tc>
        <w:tc>
          <w:tcPr>
            <w:tcW w:w="3319" w:type="dxa"/>
            <w:noWrap w:val="0"/>
            <w:vAlign w:val="top"/>
          </w:tcPr>
          <w:p w14:paraId="2693714F">
            <w:pPr>
              <w:keepNext w:val="0"/>
              <w:keepLines w:val="0"/>
              <w:pageBreakBefore w:val="0"/>
              <w:kinsoku/>
              <w:wordWrap/>
              <w:overflowPunct/>
              <w:topLinePunct/>
              <w:bidi w:val="0"/>
              <w:snapToGrid/>
              <w:spacing w:line="460" w:lineRule="exact"/>
              <w:textAlignment w:val="auto"/>
              <w:rPr>
                <w:rFonts w:hint="eastAsia" w:ascii="宋体" w:hAnsi="宋体" w:cs="宋体"/>
                <w:b/>
                <w:color w:val="auto"/>
                <w:sz w:val="22"/>
                <w:szCs w:val="22"/>
                <w:highlight w:val="none"/>
                <w:u w:val="single"/>
                <w:vertAlign w:val="baseline"/>
              </w:rPr>
            </w:pPr>
          </w:p>
        </w:tc>
        <w:tc>
          <w:tcPr>
            <w:tcW w:w="3088" w:type="dxa"/>
            <w:noWrap w:val="0"/>
            <w:vAlign w:val="top"/>
          </w:tcPr>
          <w:p w14:paraId="728790E6">
            <w:pPr>
              <w:keepNext w:val="0"/>
              <w:keepLines w:val="0"/>
              <w:pageBreakBefore w:val="0"/>
              <w:kinsoku/>
              <w:wordWrap/>
              <w:overflowPunct/>
              <w:topLinePunct/>
              <w:bidi w:val="0"/>
              <w:snapToGrid/>
              <w:spacing w:line="460" w:lineRule="exact"/>
              <w:textAlignment w:val="auto"/>
              <w:rPr>
                <w:rFonts w:hint="eastAsia" w:ascii="宋体" w:hAnsi="宋体" w:cs="宋体"/>
                <w:b/>
                <w:color w:val="auto"/>
                <w:sz w:val="22"/>
                <w:szCs w:val="22"/>
                <w:highlight w:val="none"/>
                <w:u w:val="single"/>
                <w:vertAlign w:val="baseline"/>
              </w:rPr>
            </w:pPr>
          </w:p>
        </w:tc>
        <w:tc>
          <w:tcPr>
            <w:tcW w:w="2551" w:type="dxa"/>
            <w:noWrap w:val="0"/>
            <w:vAlign w:val="top"/>
          </w:tcPr>
          <w:p w14:paraId="519B76B0">
            <w:pPr>
              <w:keepNext w:val="0"/>
              <w:keepLines w:val="0"/>
              <w:pageBreakBefore w:val="0"/>
              <w:kinsoku/>
              <w:wordWrap/>
              <w:overflowPunct/>
              <w:topLinePunct/>
              <w:bidi w:val="0"/>
              <w:snapToGrid/>
              <w:spacing w:line="460" w:lineRule="exact"/>
              <w:textAlignment w:val="auto"/>
              <w:rPr>
                <w:rFonts w:hint="eastAsia" w:ascii="宋体" w:hAnsi="宋体" w:cs="宋体"/>
                <w:b/>
                <w:color w:val="auto"/>
                <w:sz w:val="22"/>
                <w:szCs w:val="22"/>
                <w:highlight w:val="none"/>
                <w:u w:val="single"/>
                <w:vertAlign w:val="baseline"/>
              </w:rPr>
            </w:pPr>
          </w:p>
        </w:tc>
      </w:tr>
    </w:tbl>
    <w:p w14:paraId="5AA7C80C">
      <w:pPr>
        <w:keepNext w:val="0"/>
        <w:keepLines w:val="0"/>
        <w:pageBreakBefore w:val="0"/>
        <w:kinsoku/>
        <w:wordWrap/>
        <w:overflowPunct/>
        <w:topLinePunct/>
        <w:bidi w:val="0"/>
        <w:snapToGrid/>
        <w:spacing w:line="46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注：分包单位必须具备响应实施分包工程的相应资质。</w:t>
      </w:r>
    </w:p>
    <w:p w14:paraId="0890A8A1">
      <w:pPr>
        <w:keepNext w:val="0"/>
        <w:keepLines w:val="0"/>
        <w:pageBreakBefore w:val="0"/>
        <w:kinsoku/>
        <w:wordWrap/>
        <w:overflowPunct/>
        <w:topLinePunct/>
        <w:bidi w:val="0"/>
        <w:snapToGrid/>
        <w:spacing w:line="4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5、本协议书自签署之日起生效，合同履行完毕后自动失效。 </w:t>
      </w:r>
    </w:p>
    <w:p w14:paraId="3AA8D14B">
      <w:pPr>
        <w:keepNext w:val="0"/>
        <w:keepLines w:val="0"/>
        <w:pageBreakBefore w:val="0"/>
        <w:kinsoku/>
        <w:wordWrap/>
        <w:overflowPunct/>
        <w:topLinePunct/>
        <w:bidi w:val="0"/>
        <w:snapToGrid/>
        <w:spacing w:line="4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6、本协议书一式</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份，总包单位、分包承接单位各成员和采购人各执一份。</w:t>
      </w:r>
    </w:p>
    <w:p w14:paraId="50E0530D">
      <w:pPr>
        <w:keepNext w:val="0"/>
        <w:keepLines w:val="0"/>
        <w:pageBreakBefore w:val="0"/>
        <w:kinsoku/>
        <w:wordWrap/>
        <w:overflowPunct/>
        <w:topLinePunct/>
        <w:bidi w:val="0"/>
        <w:snapToGrid/>
        <w:spacing w:line="460" w:lineRule="exact"/>
        <w:textAlignment w:val="auto"/>
        <w:rPr>
          <w:rFonts w:hint="eastAsia" w:ascii="宋体" w:hAnsi="宋体" w:cs="宋体"/>
          <w:color w:val="auto"/>
          <w:sz w:val="22"/>
          <w:szCs w:val="22"/>
          <w:highlight w:val="none"/>
        </w:rPr>
      </w:pPr>
    </w:p>
    <w:p w14:paraId="7200E1EC">
      <w:pPr>
        <w:keepNext w:val="0"/>
        <w:keepLines w:val="0"/>
        <w:pageBreakBefore w:val="0"/>
        <w:kinsoku/>
        <w:wordWrap/>
        <w:overflowPunct/>
        <w:topLinePunct/>
        <w:bidi w:val="0"/>
        <w:snapToGrid/>
        <w:spacing w:line="4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注：本协议书由委托代理人签字的，应附法定代表人（负责人）签字的授权委托书。</w:t>
      </w:r>
    </w:p>
    <w:p w14:paraId="33FF6581">
      <w:pPr>
        <w:keepNext w:val="0"/>
        <w:keepLines w:val="0"/>
        <w:pageBreakBefore w:val="0"/>
        <w:kinsoku/>
        <w:wordWrap/>
        <w:overflowPunct/>
        <w:topLinePunct/>
        <w:bidi w:val="0"/>
        <w:snapToGrid/>
        <w:spacing w:line="460" w:lineRule="exact"/>
        <w:textAlignment w:val="auto"/>
        <w:rPr>
          <w:rFonts w:hint="eastAsia" w:ascii="宋体" w:hAnsi="宋体" w:cs="宋体"/>
          <w:color w:val="auto"/>
          <w:sz w:val="22"/>
          <w:szCs w:val="22"/>
          <w:highlight w:val="none"/>
        </w:rPr>
      </w:pPr>
    </w:p>
    <w:p w14:paraId="7EE38AE4">
      <w:pPr>
        <w:keepNext w:val="0"/>
        <w:keepLines w:val="0"/>
        <w:pageBreakBefore w:val="0"/>
        <w:kinsoku/>
        <w:wordWrap/>
        <w:overflowPunct/>
        <w:topLinePunct/>
        <w:bidi w:val="0"/>
        <w:snapToGrid/>
        <w:spacing w:line="46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牵头人名称：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（盖单位章）</w:t>
      </w:r>
    </w:p>
    <w:p w14:paraId="15FBCC52">
      <w:pPr>
        <w:keepNext w:val="0"/>
        <w:keepLines w:val="0"/>
        <w:pageBreakBefore w:val="0"/>
        <w:kinsoku/>
        <w:wordWrap/>
        <w:overflowPunct/>
        <w:topLinePunct/>
        <w:bidi w:val="0"/>
        <w:snapToGrid/>
        <w:spacing w:line="46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法定代表人（负责人）或其委托代理人：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（签字</w:t>
      </w:r>
      <w:r>
        <w:rPr>
          <w:rFonts w:hint="eastAsia" w:ascii="宋体" w:hAnsi="宋体" w:cs="宋体"/>
          <w:color w:val="auto"/>
          <w:sz w:val="22"/>
          <w:szCs w:val="22"/>
          <w:highlight w:val="none"/>
          <w:lang w:val="en-US" w:eastAsia="zh-CN"/>
        </w:rPr>
        <w:t>或盖章</w:t>
      </w:r>
      <w:r>
        <w:rPr>
          <w:rFonts w:hint="eastAsia" w:ascii="宋体" w:hAnsi="宋体" w:cs="宋体"/>
          <w:color w:val="auto"/>
          <w:sz w:val="22"/>
          <w:szCs w:val="22"/>
          <w:highlight w:val="none"/>
        </w:rPr>
        <w:t>）</w:t>
      </w:r>
    </w:p>
    <w:p w14:paraId="097284F6">
      <w:pPr>
        <w:keepNext w:val="0"/>
        <w:keepLines w:val="0"/>
        <w:pageBreakBefore w:val="0"/>
        <w:kinsoku/>
        <w:wordWrap/>
        <w:overflowPunct/>
        <w:topLinePunct/>
        <w:bidi w:val="0"/>
        <w:snapToGrid/>
        <w:spacing w:line="460" w:lineRule="exact"/>
        <w:textAlignment w:val="auto"/>
        <w:rPr>
          <w:rFonts w:hint="eastAsia" w:ascii="宋体" w:hAnsi="宋体" w:cs="宋体"/>
          <w:color w:val="auto"/>
          <w:sz w:val="22"/>
          <w:szCs w:val="22"/>
          <w:highlight w:val="none"/>
        </w:rPr>
      </w:pPr>
    </w:p>
    <w:p w14:paraId="44EA87AB">
      <w:pPr>
        <w:keepNext w:val="0"/>
        <w:keepLines w:val="0"/>
        <w:pageBreakBefore w:val="0"/>
        <w:kinsoku/>
        <w:wordWrap/>
        <w:overflowPunct/>
        <w:topLinePunct/>
        <w:bidi w:val="0"/>
        <w:snapToGrid/>
        <w:spacing w:line="46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成员一名称：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（盖单位章）</w:t>
      </w:r>
    </w:p>
    <w:p w14:paraId="41B771E7">
      <w:pPr>
        <w:keepNext w:val="0"/>
        <w:keepLines w:val="0"/>
        <w:pageBreakBefore w:val="0"/>
        <w:kinsoku/>
        <w:wordWrap/>
        <w:overflowPunct/>
        <w:topLinePunct/>
        <w:bidi w:val="0"/>
        <w:snapToGrid/>
        <w:spacing w:line="46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法定代表人（负责人）或其委托代理人：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（签字</w:t>
      </w:r>
      <w:r>
        <w:rPr>
          <w:rFonts w:hint="eastAsia" w:ascii="宋体" w:hAnsi="宋体" w:cs="宋体"/>
          <w:color w:val="auto"/>
          <w:sz w:val="22"/>
          <w:szCs w:val="22"/>
          <w:highlight w:val="none"/>
          <w:lang w:val="en-US" w:eastAsia="zh-CN"/>
        </w:rPr>
        <w:t>或盖章</w:t>
      </w:r>
      <w:r>
        <w:rPr>
          <w:rFonts w:hint="eastAsia" w:ascii="宋体" w:hAnsi="宋体" w:cs="宋体"/>
          <w:color w:val="auto"/>
          <w:sz w:val="22"/>
          <w:szCs w:val="22"/>
          <w:highlight w:val="none"/>
        </w:rPr>
        <w:t>）</w:t>
      </w:r>
    </w:p>
    <w:p w14:paraId="18D52DCB">
      <w:pPr>
        <w:keepNext w:val="0"/>
        <w:keepLines w:val="0"/>
        <w:pageBreakBefore w:val="0"/>
        <w:kinsoku/>
        <w:wordWrap/>
        <w:overflowPunct/>
        <w:topLinePunct/>
        <w:bidi w:val="0"/>
        <w:snapToGrid/>
        <w:spacing w:line="46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5616811E">
      <w:pPr>
        <w:keepNext w:val="0"/>
        <w:keepLines w:val="0"/>
        <w:pageBreakBefore w:val="0"/>
        <w:kinsoku/>
        <w:wordWrap/>
        <w:overflowPunct/>
        <w:topLinePunct/>
        <w:bidi w:val="0"/>
        <w:snapToGrid/>
        <w:spacing w:line="46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成员二名称：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（盖单位章）</w:t>
      </w:r>
    </w:p>
    <w:p w14:paraId="78E78DB6">
      <w:pPr>
        <w:keepNext w:val="0"/>
        <w:keepLines w:val="0"/>
        <w:pageBreakBefore w:val="0"/>
        <w:kinsoku/>
        <w:wordWrap/>
        <w:overflowPunct/>
        <w:topLinePunct/>
        <w:bidi w:val="0"/>
        <w:snapToGrid/>
        <w:spacing w:line="46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法定代表人（负责人）或其委托代理人：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（签字或盖章）</w:t>
      </w:r>
    </w:p>
    <w:p w14:paraId="59E402B0">
      <w:pPr>
        <w:keepNext w:val="0"/>
        <w:keepLines w:val="0"/>
        <w:pageBreakBefore w:val="0"/>
        <w:kinsoku/>
        <w:wordWrap/>
        <w:overflowPunct/>
        <w:topLinePunct/>
        <w:bidi w:val="0"/>
        <w:snapToGrid/>
        <w:spacing w:line="46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33EC521B">
      <w:pPr>
        <w:keepNext w:val="0"/>
        <w:keepLines w:val="0"/>
        <w:pageBreakBefore w:val="0"/>
        <w:kinsoku/>
        <w:wordWrap/>
        <w:overflowPunct/>
        <w:bidi w:val="0"/>
        <w:snapToGrid/>
        <w:spacing w:line="460" w:lineRule="exact"/>
        <w:ind w:firstLine="3016" w:firstLineChars="1371"/>
        <w:jc w:val="righ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5A8BFF84">
      <w:pPr>
        <w:keepNext w:val="0"/>
        <w:keepLines w:val="0"/>
        <w:pageBreakBefore w:val="0"/>
        <w:widowControl/>
        <w:kinsoku/>
        <w:wordWrap/>
        <w:overflowPunct/>
        <w:bidi w:val="0"/>
        <w:snapToGrid/>
        <w:spacing w:line="460" w:lineRule="exact"/>
        <w:jc w:val="left"/>
        <w:textAlignment w:val="auto"/>
        <w:rPr>
          <w:rFonts w:hint="eastAsia" w:ascii="宋体" w:hAnsi="宋体" w:cs="宋体"/>
          <w:bCs/>
          <w:color w:val="auto"/>
          <w:sz w:val="22"/>
          <w:szCs w:val="22"/>
          <w:highlight w:val="none"/>
        </w:rPr>
      </w:pPr>
    </w:p>
    <w:p w14:paraId="3E458718">
      <w:pPr>
        <w:pStyle w:val="51"/>
        <w:keepNext w:val="0"/>
        <w:keepLines w:val="0"/>
        <w:pageBreakBefore w:val="0"/>
        <w:kinsoku/>
        <w:wordWrap/>
        <w:overflowPunct/>
        <w:bidi w:val="0"/>
        <w:snapToGrid/>
        <w:spacing w:line="460" w:lineRule="exact"/>
        <w:ind w:firstLine="221"/>
        <w:textAlignment w:val="auto"/>
        <w:rPr>
          <w:rFonts w:hint="eastAsia" w:ascii="宋体" w:hAnsi="宋体" w:cs="宋体"/>
          <w:bCs/>
          <w:color w:val="auto"/>
          <w:sz w:val="22"/>
          <w:szCs w:val="22"/>
          <w:highlight w:val="none"/>
          <w:lang w:val="en-US"/>
        </w:rPr>
      </w:pPr>
      <w:r>
        <w:rPr>
          <w:rFonts w:hint="eastAsia" w:ascii="宋体" w:hAnsi="宋体" w:cs="宋体"/>
          <w:bCs/>
          <w:color w:val="auto"/>
          <w:sz w:val="22"/>
          <w:szCs w:val="22"/>
          <w:highlight w:val="none"/>
        </w:rPr>
        <w:t>注：接受大中型企业与小微企业组成联合体或者允许大中型企业向一家或者多家小微企业分包的采购项目，对于联合协议或者分包意向协议约定小微企业的合同份额占到合同总金额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宋体" w:hAnsi="宋体" w:cs="宋体"/>
          <w:bCs/>
          <w:color w:val="auto"/>
          <w:sz w:val="22"/>
          <w:szCs w:val="22"/>
          <w:highlight w:val="none"/>
          <w:lang w:val="en-US" w:eastAsia="zh-CN"/>
        </w:rPr>
        <w:t>4</w:t>
      </w:r>
      <w:r>
        <w:rPr>
          <w:rFonts w:hint="eastAsia" w:ascii="宋体" w:hAnsi="宋体" w:cs="宋体"/>
          <w:bCs/>
          <w:color w:val="auto"/>
          <w:sz w:val="22"/>
          <w:szCs w:val="22"/>
          <w:highlight w:val="none"/>
        </w:rPr>
        <w:t>%的扣除，用扣除后的价格参加评审。如采购项目为专门面向中小企业采购的，不再执行价格评审优惠的扶持政策。如投标人出现上述情况，须在《分包协议书》第4点职责分工中予以明确。</w:t>
      </w:r>
    </w:p>
    <w:p w14:paraId="31D28223">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58F774E8">
      <w:pPr>
        <w:keepNext w:val="0"/>
        <w:keepLines w:val="0"/>
        <w:pageBreakBefore w:val="0"/>
        <w:widowControl w:val="0"/>
        <w:tabs>
          <w:tab w:val="left" w:pos="774"/>
        </w:tabs>
        <w:kinsoku/>
        <w:wordWrap/>
        <w:overflowPunct/>
        <w:topLinePunct w:val="0"/>
        <w:autoSpaceDE w:val="0"/>
        <w:autoSpaceDN w:val="0"/>
        <w:bidi w:val="0"/>
        <w:adjustRightInd/>
        <w:snapToGrid/>
        <w:spacing w:before="240" w:line="276" w:lineRule="auto"/>
        <w:jc w:val="center"/>
        <w:textAlignment w:val="auto"/>
        <w:outlineLvl w:val="3"/>
        <w:rPr>
          <w:rFonts w:hint="eastAsia" w:ascii="宋体" w:hAnsi="宋体" w:eastAsia="宋体" w:cs="宋体"/>
          <w:b/>
          <w:color w:val="auto"/>
          <w:sz w:val="28"/>
          <w:szCs w:val="28"/>
          <w:highlight w:val="none"/>
          <w:lang w:val="zh-CN" w:eastAsia="zh-CN"/>
        </w:rPr>
      </w:pPr>
      <w:r>
        <w:rPr>
          <w:rFonts w:hint="eastAsia" w:ascii="宋体" w:hAnsi="宋体" w:eastAsia="宋体" w:cs="宋体"/>
          <w:b/>
          <w:color w:val="auto"/>
          <w:sz w:val="28"/>
          <w:szCs w:val="28"/>
          <w:highlight w:val="none"/>
          <w:lang w:val="en-US" w:eastAsia="zh-CN"/>
        </w:rPr>
        <w:t>6、本项目的特定资格要求</w:t>
      </w:r>
      <w:r>
        <w:rPr>
          <w:rFonts w:hint="eastAsia" w:ascii="宋体" w:hAnsi="宋体" w:cs="宋体"/>
          <w:b/>
          <w:color w:val="auto"/>
          <w:sz w:val="28"/>
          <w:szCs w:val="28"/>
          <w:highlight w:val="none"/>
          <w:lang w:val="zh-CN" w:eastAsia="zh-CN"/>
        </w:rPr>
        <w:t>。</w:t>
      </w:r>
    </w:p>
    <w:p w14:paraId="6386BAF8">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投标单位必须</w:t>
      </w:r>
      <w:r>
        <w:rPr>
          <w:rFonts w:hint="eastAsia"/>
          <w:sz w:val="22"/>
          <w:szCs w:val="22"/>
          <w:lang w:val="en-US" w:eastAsia="zh-CN"/>
        </w:rPr>
        <w:t>具有</w:t>
      </w:r>
      <w:r>
        <w:rPr>
          <w:rFonts w:hint="eastAsia"/>
          <w:color w:val="auto"/>
          <w:sz w:val="22"/>
          <w:szCs w:val="22"/>
          <w:highlight w:val="none"/>
          <w:u w:val="none"/>
          <w:lang w:val="en-US" w:eastAsia="zh-CN"/>
        </w:rPr>
        <w:t>：</w:t>
      </w:r>
    </w:p>
    <w:p w14:paraId="01318F45">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具有市政公用工程施工总承包企业资质贰级及以上资质或桥梁工程专业承包资质一级及以上。</w:t>
      </w:r>
    </w:p>
    <w:p w14:paraId="1274E96E">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lang w:val="en-US" w:eastAsia="zh-CN"/>
        </w:rPr>
      </w:pPr>
      <w:r>
        <w:rPr>
          <w:rFonts w:hint="eastAsia"/>
          <w:sz w:val="22"/>
          <w:szCs w:val="22"/>
          <w:lang w:val="en-US" w:eastAsia="zh-CN"/>
        </w:rPr>
        <w:t>投标单位或分包企业一家单位必须同时具有（1、3）或（2、3）资格：</w:t>
      </w:r>
    </w:p>
    <w:p w14:paraId="7B269196">
      <w:pPr>
        <w:pStyle w:val="4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color w:val="auto"/>
          <w:sz w:val="22"/>
          <w:szCs w:val="22"/>
          <w:highlight w:val="none"/>
        </w:rPr>
      </w:pPr>
      <w:r>
        <w:rPr>
          <w:rFonts w:hint="eastAsia" w:cs="宋体"/>
          <w:b w:val="0"/>
          <w:bCs w:val="0"/>
          <w:color w:val="auto"/>
          <w:sz w:val="22"/>
          <w:szCs w:val="22"/>
          <w:highlight w:val="none"/>
          <w:u w:val="none"/>
          <w:lang w:val="en-US" w:eastAsia="zh-CN"/>
        </w:rPr>
        <w:t>（1）</w:t>
      </w:r>
      <w:r>
        <w:rPr>
          <w:rFonts w:hint="eastAsia" w:ascii="宋体" w:hAnsi="宋体" w:eastAsia="宋体" w:cs="宋体"/>
          <w:b w:val="0"/>
          <w:bCs w:val="0"/>
          <w:color w:val="auto"/>
          <w:sz w:val="22"/>
          <w:szCs w:val="22"/>
          <w:highlight w:val="none"/>
          <w:u w:val="none"/>
          <w:lang w:val="en-US" w:eastAsia="zh-CN"/>
        </w:rPr>
        <w:t>具有省级及以上建设主管部门颁发的建设工程质量检测机构资质：有效的市政桥梁检测资质或桥梁与地下工程专项检测资质或检测机构综合资质；</w:t>
      </w:r>
    </w:p>
    <w:p w14:paraId="1EA4FEF0">
      <w:pPr>
        <w:pStyle w:val="4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ascii="宋体" w:hAnsi="宋体" w:cs="宋体"/>
          <w:b w:val="0"/>
          <w:bCs w:val="0"/>
          <w:color w:val="auto"/>
          <w:sz w:val="22"/>
          <w:szCs w:val="22"/>
          <w:highlight w:val="none"/>
          <w:u w:val="none"/>
          <w:lang w:val="en-US" w:eastAsia="zh-CN"/>
        </w:rPr>
      </w:pPr>
      <w:r>
        <w:rPr>
          <w:rFonts w:hint="eastAsia" w:cs="宋体"/>
          <w:b w:val="0"/>
          <w:bCs w:val="0"/>
          <w:color w:val="auto"/>
          <w:sz w:val="22"/>
          <w:szCs w:val="22"/>
          <w:highlight w:val="none"/>
          <w:u w:val="none"/>
          <w:lang w:val="en-US" w:eastAsia="zh-CN"/>
        </w:rPr>
        <w:t>（2）具有交通运输部门颁发的公路工程试验检测综合甲级资质或公路工程桥梁隧道工程专项检测资质</w:t>
      </w:r>
      <w:r>
        <w:rPr>
          <w:rFonts w:hint="eastAsia" w:ascii="宋体" w:hAnsi="宋体" w:cs="宋体"/>
          <w:b w:val="0"/>
          <w:bCs w:val="0"/>
          <w:color w:val="auto"/>
          <w:sz w:val="22"/>
          <w:szCs w:val="22"/>
          <w:highlight w:val="none"/>
          <w:u w:val="none"/>
          <w:lang w:val="en-US" w:eastAsia="zh-CN"/>
        </w:rPr>
        <w:t>，独立法人单位下属的非独立法人具有检测资质的视为该独立法人单位具有相应资质（证书需在有效期内，资质证书已到期，但在公路水运工程质量检测管理信息系统（https://www.ttiis.cn/）中相关证书状态显示有效的，本次投标予以认可。）</w:t>
      </w:r>
      <w:r>
        <w:rPr>
          <w:rFonts w:hint="eastAsia" w:cs="宋体"/>
          <w:b w:val="0"/>
          <w:bCs w:val="0"/>
          <w:color w:val="auto"/>
          <w:sz w:val="22"/>
          <w:szCs w:val="22"/>
          <w:highlight w:val="none"/>
          <w:u w:val="none"/>
          <w:lang w:val="en-US" w:eastAsia="zh-CN"/>
        </w:rPr>
        <w:t xml:space="preserve"> </w:t>
      </w:r>
    </w:p>
    <w:p w14:paraId="25DA6174">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cs="宋体"/>
          <w:b w:val="0"/>
          <w:bCs w:val="0"/>
          <w:color w:val="auto"/>
          <w:sz w:val="22"/>
          <w:szCs w:val="22"/>
          <w:highlight w:val="none"/>
          <w:u w:val="none"/>
          <w:lang w:val="en-US" w:eastAsia="zh-CN"/>
        </w:rPr>
      </w:pPr>
      <w:r>
        <w:rPr>
          <w:rFonts w:hint="eastAsia" w:cs="宋体"/>
          <w:b w:val="0"/>
          <w:bCs w:val="0"/>
          <w:color w:val="auto"/>
          <w:sz w:val="22"/>
          <w:szCs w:val="22"/>
          <w:highlight w:val="none"/>
          <w:u w:val="none"/>
          <w:lang w:val="en-US" w:eastAsia="zh-CN"/>
        </w:rPr>
        <w:t>（3）</w:t>
      </w:r>
      <w:r>
        <w:rPr>
          <w:rFonts w:hint="eastAsia" w:ascii="宋体" w:hAnsi="宋体" w:eastAsia="宋体" w:cs="宋体"/>
          <w:b w:val="0"/>
          <w:bCs w:val="0"/>
          <w:color w:val="auto"/>
          <w:sz w:val="22"/>
          <w:szCs w:val="22"/>
          <w:highlight w:val="none"/>
          <w:u w:val="none"/>
          <w:lang w:val="en-US" w:eastAsia="zh-CN"/>
        </w:rPr>
        <w:t>具有省级及以上计量主管部门颁发的有效CMA计量认证证书和含有桥梁检测相关项目的有效CMA计量认证证书附表</w:t>
      </w:r>
      <w:r>
        <w:rPr>
          <w:rFonts w:hint="eastAsia" w:ascii="宋体" w:hAnsi="宋体" w:cs="宋体"/>
          <w:b w:val="0"/>
          <w:bCs w:val="0"/>
          <w:color w:val="auto"/>
          <w:sz w:val="22"/>
          <w:szCs w:val="22"/>
          <w:highlight w:val="none"/>
          <w:u w:val="none"/>
          <w:lang w:val="en-US" w:eastAsia="zh-CN"/>
        </w:rPr>
        <w:t>；</w:t>
      </w:r>
    </w:p>
    <w:p w14:paraId="2AE192C0">
      <w:pPr>
        <w:rPr>
          <w:rFonts w:hint="eastAsia" w:ascii="宋体" w:hAnsi="宋体" w:eastAsia="宋体" w:cs="宋体"/>
          <w:b/>
          <w:bCs/>
          <w:color w:val="auto"/>
          <w:sz w:val="22"/>
          <w:szCs w:val="22"/>
          <w:highlight w:val="none"/>
        </w:rPr>
      </w:pPr>
    </w:p>
    <w:p w14:paraId="17E0FBC9">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4CFDFDAD">
      <w:pPr>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附件三</w:t>
      </w:r>
      <w:bookmarkEnd w:id="65"/>
      <w:bookmarkEnd w:id="66"/>
    </w:p>
    <w:p w14:paraId="4E363680">
      <w:pPr>
        <w:spacing w:line="460" w:lineRule="exact"/>
        <w:jc w:val="center"/>
        <w:outlineLvl w:val="2"/>
        <w:rPr>
          <w:rFonts w:hint="eastAsia" w:ascii="宋体" w:hAnsi="宋体" w:eastAsia="宋体" w:cs="宋体"/>
          <w:b/>
          <w:bCs/>
          <w:color w:val="auto"/>
          <w:sz w:val="28"/>
          <w:szCs w:val="28"/>
          <w:highlight w:val="none"/>
          <w:lang w:val="zh-CN"/>
        </w:rPr>
      </w:pPr>
      <w:bookmarkStart w:id="67" w:name="_Toc13639"/>
      <w:bookmarkStart w:id="68" w:name="_Toc29102"/>
      <w:r>
        <w:rPr>
          <w:rFonts w:hint="eastAsia" w:ascii="宋体" w:hAnsi="宋体" w:eastAsia="宋体" w:cs="宋体"/>
          <w:b/>
          <w:bCs/>
          <w:color w:val="auto"/>
          <w:sz w:val="28"/>
          <w:szCs w:val="28"/>
          <w:highlight w:val="none"/>
          <w:lang w:val="zh-CN"/>
        </w:rPr>
        <w:t>商务技术文件</w:t>
      </w:r>
      <w:bookmarkEnd w:id="67"/>
      <w:bookmarkEnd w:id="68"/>
    </w:p>
    <w:p w14:paraId="5818FC8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8"/>
          <w:szCs w:val="28"/>
          <w:highlight w:val="none"/>
          <w:lang w:val="en-US" w:eastAsia="zh-CN"/>
        </w:rPr>
      </w:pPr>
    </w:p>
    <w:p w14:paraId="77C6814D">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1、法定代表人身份证明或授权委托书</w:t>
      </w:r>
    </w:p>
    <w:p w14:paraId="63F92A69">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color w:val="auto"/>
          <w:sz w:val="28"/>
          <w:szCs w:val="28"/>
          <w:highlight w:val="none"/>
          <w:lang w:eastAsia="zh-CN"/>
        </w:rPr>
      </w:pPr>
    </w:p>
    <w:p w14:paraId="683C7A4F">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法定代表人资格证明书</w:t>
      </w:r>
    </w:p>
    <w:p w14:paraId="1054713D">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b/>
          <w:color w:val="auto"/>
          <w:sz w:val="22"/>
          <w:szCs w:val="22"/>
          <w:highlight w:val="none"/>
        </w:rPr>
      </w:pPr>
    </w:p>
    <w:p w14:paraId="0C28F9F2">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温州市市政管理中心、</w:t>
      </w:r>
      <w:r>
        <w:rPr>
          <w:rFonts w:hint="eastAsia" w:ascii="宋体" w:hAnsi="宋体" w:cs="宋体"/>
          <w:color w:val="auto"/>
          <w:sz w:val="22"/>
          <w:szCs w:val="22"/>
          <w:highlight w:val="none"/>
          <w:lang w:val="en-US" w:eastAsia="zh-CN"/>
        </w:rPr>
        <w:t>温州历程招标有限公司</w:t>
      </w:r>
      <w:r>
        <w:rPr>
          <w:rFonts w:hint="eastAsia" w:ascii="宋体" w:hAnsi="宋体" w:eastAsia="宋体" w:cs="宋体"/>
          <w:color w:val="auto"/>
          <w:sz w:val="22"/>
          <w:szCs w:val="22"/>
          <w:highlight w:val="none"/>
        </w:rPr>
        <w:t>：</w:t>
      </w:r>
    </w:p>
    <w:p w14:paraId="3A3AC2C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2"/>
          <w:szCs w:val="22"/>
          <w:highlight w:val="none"/>
          <w:u w:val="single"/>
        </w:rPr>
      </w:pPr>
    </w:p>
    <w:p w14:paraId="730F6C8D">
      <w:pPr>
        <w:keepNext w:val="0"/>
        <w:keepLines w:val="0"/>
        <w:pageBreakBefore w:val="0"/>
        <w:widowControl w:val="0"/>
        <w:kinsoku/>
        <w:wordWrap/>
        <w:overflowPunct/>
        <w:topLinePunct w:val="0"/>
        <w:autoSpaceDE/>
        <w:autoSpaceDN/>
        <w:bidi w:val="0"/>
        <w:adjustRightInd/>
        <w:snapToGrid/>
        <w:spacing w:line="500" w:lineRule="exact"/>
        <w:ind w:firstLine="220"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（姓名、性别、年龄</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电话</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在我单位任</w:t>
      </w:r>
      <w:r>
        <w:rPr>
          <w:rFonts w:hint="eastAsia" w:ascii="宋体" w:hAnsi="宋体" w:eastAsia="宋体" w:cs="宋体"/>
          <w:color w:val="auto"/>
          <w:sz w:val="22"/>
          <w:szCs w:val="22"/>
          <w:highlight w:val="none"/>
          <w:u w:val="single"/>
        </w:rPr>
        <w:t xml:space="preserve">                  （职务名称）</w:t>
      </w:r>
      <w:r>
        <w:rPr>
          <w:rFonts w:hint="eastAsia" w:ascii="宋体" w:hAnsi="宋体" w:eastAsia="宋体" w:cs="宋体"/>
          <w:color w:val="auto"/>
          <w:sz w:val="22"/>
          <w:szCs w:val="22"/>
          <w:highlight w:val="none"/>
        </w:rPr>
        <w:t>职务，是我单位的法定代表人。</w:t>
      </w:r>
    </w:p>
    <w:p w14:paraId="3B52C499">
      <w:pPr>
        <w:keepNext w:val="0"/>
        <w:keepLines w:val="0"/>
        <w:pageBreakBefore w:val="0"/>
        <w:widowControl w:val="0"/>
        <w:kinsoku/>
        <w:wordWrap/>
        <w:overflowPunct/>
        <w:topLinePunct w:val="0"/>
        <w:autoSpaceDE/>
        <w:autoSpaceDN/>
        <w:bidi w:val="0"/>
        <w:adjustRightInd/>
        <w:snapToGrid/>
        <w:spacing w:line="500" w:lineRule="exact"/>
        <w:ind w:firstLine="880" w:firstLineChars="4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特此证明。</w:t>
      </w:r>
    </w:p>
    <w:p w14:paraId="24C27176">
      <w:pPr>
        <w:spacing w:line="360" w:lineRule="auto"/>
        <w:jc w:val="left"/>
        <w:rPr>
          <w:rFonts w:hint="eastAsia" w:ascii="宋体" w:hAnsi="宋体" w:eastAsia="宋体" w:cs="宋体"/>
          <w:b/>
          <w:bCs/>
          <w:color w:val="auto"/>
          <w:sz w:val="22"/>
          <w:szCs w:val="22"/>
          <w:highlight w:val="none"/>
        </w:rPr>
      </w:pPr>
    </w:p>
    <w:p w14:paraId="091D6D26">
      <w:pPr>
        <w:spacing w:line="360" w:lineRule="auto"/>
        <w:jc w:val="left"/>
        <w:rPr>
          <w:rFonts w:hint="eastAsia" w:ascii="宋体" w:hAnsi="宋体" w:eastAsia="宋体" w:cs="宋体"/>
          <w:b w:val="0"/>
          <w:bCs w:val="0"/>
          <w:color w:val="auto"/>
          <w:sz w:val="22"/>
          <w:szCs w:val="22"/>
          <w:highlight w:val="none"/>
        </w:rPr>
      </w:pPr>
    </w:p>
    <w:p w14:paraId="730ACD84">
      <w:pPr>
        <w:spacing w:line="460" w:lineRule="exact"/>
        <w:ind w:firstLine="5060" w:firstLineChars="2300"/>
        <w:rPr>
          <w:rFonts w:hint="eastAsia" w:ascii="新宋体" w:hAnsi="新宋体" w:eastAsia="新宋体"/>
          <w:color w:val="auto"/>
          <w:sz w:val="22"/>
          <w:szCs w:val="22"/>
          <w:highlight w:val="none"/>
          <w:lang w:val="en-US" w:eastAsia="zh-CN"/>
        </w:rPr>
      </w:pPr>
      <w:r>
        <w:rPr>
          <w:rFonts w:hint="eastAsia" w:ascii="新宋体" w:hAnsi="新宋体" w:eastAsia="新宋体"/>
          <w:color w:val="auto"/>
          <w:sz w:val="22"/>
          <w:szCs w:val="22"/>
          <w:highlight w:val="none"/>
        </w:rPr>
        <w:t>投标人全称（盖章）：</w:t>
      </w:r>
      <w:r>
        <w:rPr>
          <w:rFonts w:hint="eastAsia" w:ascii="新宋体" w:hAnsi="新宋体" w:eastAsia="新宋体"/>
          <w:color w:val="auto"/>
          <w:sz w:val="22"/>
          <w:szCs w:val="22"/>
          <w:highlight w:val="none"/>
          <w:lang w:val="en-US" w:eastAsia="zh-CN"/>
        </w:rPr>
        <w:t xml:space="preserve"> </w:t>
      </w:r>
    </w:p>
    <w:p w14:paraId="020FF502">
      <w:pPr>
        <w:spacing w:line="460" w:lineRule="exact"/>
        <w:ind w:firstLine="5060" w:firstLineChars="23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日 期：   年  月  日</w:t>
      </w:r>
    </w:p>
    <w:p w14:paraId="0D42A7F0">
      <w:pPr>
        <w:rPr>
          <w:rFonts w:hint="eastAsia" w:ascii="宋体" w:hAnsi="宋体" w:eastAsia="宋体" w:cs="宋体"/>
          <w:b/>
          <w:bCs/>
          <w:color w:val="auto"/>
          <w:sz w:val="24"/>
          <w:highlight w:val="none"/>
        </w:rPr>
      </w:pPr>
    </w:p>
    <w:p w14:paraId="0E851325">
      <w:pPr>
        <w:rPr>
          <w:rFonts w:hint="eastAsia" w:ascii="宋体" w:hAnsi="宋体" w:eastAsia="宋体" w:cs="宋体"/>
          <w:b/>
          <w:bCs/>
          <w:color w:val="auto"/>
          <w:sz w:val="24"/>
          <w:highlight w:val="none"/>
        </w:rPr>
      </w:pPr>
    </w:p>
    <w:p w14:paraId="139F8E43">
      <w:pPr>
        <w:rPr>
          <w:rFonts w:hint="eastAsia" w:ascii="宋体" w:hAnsi="宋体" w:eastAsia="宋体" w:cs="宋体"/>
          <w:b/>
          <w:bCs/>
          <w:color w:val="auto"/>
          <w:sz w:val="24"/>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2336" behindDoc="0" locked="0" layoutInCell="1" allowOverlap="1">
                <wp:simplePos x="0" y="0"/>
                <wp:positionH relativeFrom="column">
                  <wp:posOffset>18415</wp:posOffset>
                </wp:positionH>
                <wp:positionV relativeFrom="paragraph">
                  <wp:posOffset>92710</wp:posOffset>
                </wp:positionV>
                <wp:extent cx="5978525" cy="2546985"/>
                <wp:effectExtent l="4445" t="4445" r="17780" b="20320"/>
                <wp:wrapNone/>
                <wp:docPr id="4" name="文本框 4"/>
                <wp:cNvGraphicFramePr/>
                <a:graphic xmlns:a="http://schemas.openxmlformats.org/drawingml/2006/main">
                  <a:graphicData uri="http://schemas.microsoft.com/office/word/2010/wordprocessingShape">
                    <wps:wsp>
                      <wps:cNvSpPr txBox="1"/>
                      <wps:spPr>
                        <a:xfrm>
                          <a:off x="0" y="0"/>
                          <a:ext cx="5978525" cy="25469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A49A60">
                            <w:r>
                              <w:rPr>
                                <w:rFonts w:hint="eastAsia" w:ascii="新宋体" w:hAnsi="新宋体" w:eastAsia="新宋体"/>
                                <w:sz w:val="22"/>
                                <w:szCs w:val="22"/>
                              </w:rPr>
                              <w:t>法定代表人身份证（正反面）：</w:t>
                            </w:r>
                          </w:p>
                        </w:txbxContent>
                      </wps:txbx>
                      <wps:bodyPr upright="1"/>
                    </wps:wsp>
                  </a:graphicData>
                </a:graphic>
              </wp:anchor>
            </w:drawing>
          </mc:Choice>
          <mc:Fallback>
            <w:pict>
              <v:shape id="_x0000_s1026" o:spid="_x0000_s1026" o:spt="202" type="#_x0000_t202" style="position:absolute;left:0pt;margin-left:1.45pt;margin-top:7.3pt;height:200.55pt;width:470.75pt;z-index:251662336;mso-width-relative:page;mso-height-relative:page;" fillcolor="#FFFFFF" filled="t" stroked="t" coordsize="21600,21600" o:gfxdata="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Vy9L/YAAAACAEAAA8AAAAAAAAAAQAgAAAA&#10;IgAAAGRycy9kb3ducmV2LnhtbFBLAQIUABQAAAAIAIdO4kBqtJx/CwIAADcEAAAOAAAAAAAAAAEA&#10;IAAAACcBAABkcnMvZTJvRG9jLnhtbFBLBQYAAAAABgAGAFkBAACkBQAAAAA=&#10;">
                <v:fill on="t" focussize="0,0"/>
                <v:stroke color="#000000" joinstyle="miter"/>
                <v:imagedata o:title=""/>
                <o:lock v:ext="edit" aspectratio="f"/>
                <v:textbox>
                  <w:txbxContent>
                    <w:p w14:paraId="59A49A60">
                      <w:r>
                        <w:rPr>
                          <w:rFonts w:hint="eastAsia" w:ascii="新宋体" w:hAnsi="新宋体" w:eastAsia="新宋体"/>
                          <w:sz w:val="22"/>
                          <w:szCs w:val="22"/>
                        </w:rPr>
                        <w:t>法定代表人身份证（正反面）：</w:t>
                      </w:r>
                    </w:p>
                  </w:txbxContent>
                </v:textbox>
              </v:shape>
            </w:pict>
          </mc:Fallback>
        </mc:AlternateContent>
      </w:r>
    </w:p>
    <w:p w14:paraId="7931B3B1">
      <w:pPr>
        <w:rPr>
          <w:rFonts w:hint="eastAsia" w:ascii="宋体" w:hAnsi="宋体" w:eastAsia="宋体" w:cs="宋体"/>
          <w:b/>
          <w:bCs/>
          <w:color w:val="auto"/>
          <w:sz w:val="24"/>
          <w:highlight w:val="none"/>
        </w:rPr>
      </w:pPr>
    </w:p>
    <w:p w14:paraId="4083AC9D">
      <w:pPr>
        <w:rPr>
          <w:rFonts w:hint="eastAsia" w:ascii="宋体" w:hAnsi="宋体" w:eastAsia="宋体" w:cs="宋体"/>
          <w:b/>
          <w:bCs/>
          <w:color w:val="auto"/>
          <w:sz w:val="24"/>
          <w:highlight w:val="none"/>
        </w:rPr>
      </w:pPr>
    </w:p>
    <w:p w14:paraId="158C284A">
      <w:pPr>
        <w:rPr>
          <w:rFonts w:hint="eastAsia" w:ascii="宋体" w:hAnsi="宋体" w:eastAsia="宋体" w:cs="宋体"/>
          <w:b/>
          <w:bCs/>
          <w:color w:val="auto"/>
          <w:sz w:val="24"/>
          <w:highlight w:val="none"/>
        </w:rPr>
      </w:pPr>
    </w:p>
    <w:p w14:paraId="3D25A7ED">
      <w:pPr>
        <w:rPr>
          <w:rFonts w:hint="eastAsia" w:ascii="宋体" w:hAnsi="宋体" w:eastAsia="宋体" w:cs="宋体"/>
          <w:b/>
          <w:bCs/>
          <w:color w:val="auto"/>
          <w:sz w:val="24"/>
          <w:highlight w:val="none"/>
        </w:rPr>
      </w:pPr>
    </w:p>
    <w:p w14:paraId="400B951C">
      <w:pPr>
        <w:rPr>
          <w:rFonts w:hint="eastAsia" w:ascii="宋体" w:hAnsi="宋体" w:eastAsia="宋体" w:cs="宋体"/>
          <w:b/>
          <w:bCs/>
          <w:color w:val="auto"/>
          <w:sz w:val="24"/>
          <w:highlight w:val="none"/>
        </w:rPr>
      </w:pPr>
    </w:p>
    <w:p w14:paraId="77C5B148">
      <w:pPr>
        <w:rPr>
          <w:rFonts w:hint="eastAsia" w:ascii="宋体" w:hAnsi="宋体" w:eastAsia="宋体" w:cs="宋体"/>
          <w:b/>
          <w:bCs/>
          <w:color w:val="auto"/>
          <w:sz w:val="24"/>
          <w:highlight w:val="none"/>
        </w:rPr>
      </w:pPr>
    </w:p>
    <w:p w14:paraId="4B53CFF1">
      <w:pPr>
        <w:rPr>
          <w:rFonts w:hint="eastAsia" w:ascii="宋体" w:hAnsi="宋体" w:eastAsia="宋体" w:cs="宋体"/>
          <w:b/>
          <w:bCs/>
          <w:color w:val="auto"/>
          <w:sz w:val="24"/>
          <w:highlight w:val="none"/>
        </w:rPr>
      </w:pPr>
    </w:p>
    <w:p w14:paraId="772C40A8">
      <w:pPr>
        <w:rPr>
          <w:rFonts w:hint="eastAsia" w:ascii="宋体" w:hAnsi="宋体" w:eastAsia="宋体" w:cs="宋体"/>
          <w:b/>
          <w:bCs/>
          <w:color w:val="auto"/>
          <w:sz w:val="24"/>
          <w:highlight w:val="none"/>
        </w:rPr>
      </w:pPr>
    </w:p>
    <w:p w14:paraId="0892F7C0">
      <w:pPr>
        <w:rPr>
          <w:rFonts w:hint="eastAsia" w:ascii="宋体" w:hAnsi="宋体" w:eastAsia="宋体" w:cs="宋体"/>
          <w:b/>
          <w:bCs/>
          <w:color w:val="auto"/>
          <w:sz w:val="24"/>
          <w:highlight w:val="none"/>
        </w:rPr>
      </w:pPr>
    </w:p>
    <w:p w14:paraId="6FCBC79B">
      <w:pPr>
        <w:rPr>
          <w:rFonts w:hint="eastAsia" w:ascii="宋体" w:hAnsi="宋体" w:eastAsia="宋体" w:cs="宋体"/>
          <w:b/>
          <w:bCs/>
          <w:color w:val="auto"/>
          <w:sz w:val="24"/>
          <w:highlight w:val="none"/>
        </w:rPr>
      </w:pPr>
    </w:p>
    <w:p w14:paraId="2139C951">
      <w:pPr>
        <w:rPr>
          <w:rFonts w:hint="eastAsia" w:ascii="宋体" w:hAnsi="宋体" w:eastAsia="宋体" w:cs="宋体"/>
          <w:b/>
          <w:bCs/>
          <w:color w:val="auto"/>
          <w:sz w:val="24"/>
          <w:highlight w:val="none"/>
        </w:rPr>
      </w:pPr>
    </w:p>
    <w:p w14:paraId="6A4D4289">
      <w:pPr>
        <w:snapToGrid w:val="0"/>
        <w:spacing w:before="120" w:beforeLines="50" w:after="50" w:line="460" w:lineRule="exact"/>
        <w:rPr>
          <w:rFonts w:hint="eastAsia" w:ascii="宋体" w:hAnsi="宋体" w:eastAsia="宋体" w:cs="宋体"/>
          <w:color w:val="auto"/>
          <w:sz w:val="24"/>
          <w:highlight w:val="none"/>
        </w:rPr>
      </w:pPr>
    </w:p>
    <w:p w14:paraId="6FC9A076">
      <w:pPr>
        <w:spacing w:line="360" w:lineRule="auto"/>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2"/>
          <w:szCs w:val="22"/>
          <w:highlight w:val="none"/>
        </w:rPr>
        <w:t>说明：供应商的法定代表人参加投标，提供法定代表人资格证明书；供应商的法定代表人委托授权代表参加投标，提供法定代表人授权</w:t>
      </w:r>
      <w:r>
        <w:rPr>
          <w:rFonts w:hint="eastAsia" w:ascii="宋体" w:hAnsi="宋体" w:eastAsia="宋体" w:cs="宋体"/>
          <w:b/>
          <w:bCs/>
          <w:color w:val="auto"/>
          <w:spacing w:val="-6"/>
          <w:sz w:val="22"/>
          <w:szCs w:val="22"/>
          <w:highlight w:val="none"/>
          <w:lang w:val="en-US" w:eastAsia="zh-CN"/>
        </w:rPr>
        <w:t>书</w:t>
      </w:r>
      <w:r>
        <w:rPr>
          <w:rFonts w:hint="eastAsia" w:ascii="宋体" w:hAnsi="宋体" w:eastAsia="宋体" w:cs="宋体"/>
          <w:b/>
          <w:bCs/>
          <w:color w:val="auto"/>
          <w:spacing w:val="-6"/>
          <w:sz w:val="22"/>
          <w:szCs w:val="22"/>
          <w:highlight w:val="none"/>
        </w:rPr>
        <w:t>。</w:t>
      </w:r>
    </w:p>
    <w:p w14:paraId="1EB08EB6">
      <w:pP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75B75380">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eastAsia="zh-CN"/>
        </w:rPr>
        <w:t>）法定代表人授权</w:t>
      </w:r>
      <w:r>
        <w:rPr>
          <w:rFonts w:hint="eastAsia" w:ascii="宋体" w:hAnsi="宋体" w:cs="宋体"/>
          <w:b/>
          <w:bCs/>
          <w:color w:val="auto"/>
          <w:sz w:val="28"/>
          <w:szCs w:val="28"/>
          <w:highlight w:val="none"/>
          <w:lang w:val="en-US" w:eastAsia="zh-CN"/>
        </w:rPr>
        <w:t>委托书</w:t>
      </w:r>
    </w:p>
    <w:p w14:paraId="48F33BCD">
      <w:pPr>
        <w:spacing w:line="460" w:lineRule="exact"/>
        <w:rPr>
          <w:rFonts w:hint="eastAsia" w:ascii="宋体" w:hAnsi="宋体" w:eastAsia="宋体" w:cs="宋体"/>
          <w:color w:val="auto"/>
          <w:sz w:val="22"/>
          <w:szCs w:val="22"/>
          <w:highlight w:val="none"/>
          <w:lang w:eastAsia="zh-CN"/>
        </w:rPr>
      </w:pPr>
    </w:p>
    <w:p w14:paraId="2CE37823">
      <w:pPr>
        <w:spacing w:line="460" w:lineRule="exact"/>
        <w:rPr>
          <w:rFonts w:hint="eastAsia" w:ascii="宋体" w:hAnsi="宋体" w:eastAsia="宋体" w:cs="宋体"/>
          <w:color w:val="auto"/>
          <w:sz w:val="22"/>
          <w:szCs w:val="22"/>
          <w:highlight w:val="none"/>
          <w:lang w:eastAsia="zh-CN"/>
        </w:rPr>
      </w:pPr>
    </w:p>
    <w:p w14:paraId="52483CA8">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温州市市政管理中心、</w:t>
      </w:r>
      <w:r>
        <w:rPr>
          <w:rFonts w:hint="eastAsia" w:ascii="宋体" w:hAnsi="宋体" w:cs="宋体"/>
          <w:color w:val="auto"/>
          <w:sz w:val="22"/>
          <w:szCs w:val="22"/>
          <w:highlight w:val="none"/>
          <w:lang w:val="en-US" w:eastAsia="zh-CN"/>
        </w:rPr>
        <w:t>温州历程招标有限公司</w:t>
      </w:r>
      <w:r>
        <w:rPr>
          <w:rFonts w:hint="eastAsia" w:ascii="宋体" w:hAnsi="宋体" w:eastAsia="宋体" w:cs="宋体"/>
          <w:color w:val="auto"/>
          <w:sz w:val="22"/>
          <w:szCs w:val="22"/>
          <w:highlight w:val="none"/>
        </w:rPr>
        <w:t>：</w:t>
      </w:r>
    </w:p>
    <w:p w14:paraId="0CDD9776">
      <w:pPr>
        <w:spacing w:line="460" w:lineRule="exact"/>
        <w:rPr>
          <w:rFonts w:hint="eastAsia" w:ascii="宋体" w:hAnsi="宋体" w:eastAsia="宋体" w:cs="宋体"/>
          <w:color w:val="auto"/>
          <w:sz w:val="22"/>
          <w:szCs w:val="22"/>
          <w:highlight w:val="none"/>
        </w:rPr>
      </w:pPr>
    </w:p>
    <w:p w14:paraId="0DF336B5">
      <w:pPr>
        <w:spacing w:line="460" w:lineRule="exact"/>
        <w:rPr>
          <w:rFonts w:hint="eastAsia" w:ascii="宋体" w:hAnsi="宋体" w:eastAsia="宋体" w:cs="宋体"/>
          <w:color w:val="auto"/>
          <w:sz w:val="22"/>
          <w:szCs w:val="22"/>
          <w:highlight w:val="none"/>
          <w:u w:val="single"/>
        </w:rPr>
      </w:pPr>
    </w:p>
    <w:p w14:paraId="26E9E936">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投标人</w:t>
      </w:r>
      <w:r>
        <w:rPr>
          <w:rFonts w:hint="eastAsia" w:ascii="宋体" w:hAnsi="宋体" w:eastAsia="宋体" w:cs="宋体"/>
          <w:color w:val="auto"/>
          <w:sz w:val="22"/>
          <w:szCs w:val="22"/>
          <w:highlight w:val="none"/>
        </w:rPr>
        <w:t>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职务、电话</w:t>
      </w:r>
      <w:r>
        <w:rPr>
          <w:rFonts w:hint="eastAsia" w:ascii="宋体" w:hAnsi="宋体" w:eastAsia="宋体" w:cs="宋体"/>
          <w:color w:val="auto"/>
          <w:sz w:val="22"/>
          <w:szCs w:val="22"/>
          <w:highlight w:val="none"/>
        </w:rPr>
        <w:t>）为全权代表，参加贵处组织的（项目名称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活动，全权代表我方处理</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活动中的一切事宜。</w:t>
      </w:r>
    </w:p>
    <w:p w14:paraId="5C707156">
      <w:pPr>
        <w:spacing w:line="460" w:lineRule="exact"/>
        <w:ind w:firstLine="2955"/>
        <w:rPr>
          <w:rFonts w:hint="eastAsia" w:ascii="宋体" w:hAnsi="宋体" w:eastAsia="宋体" w:cs="宋体"/>
          <w:color w:val="auto"/>
          <w:sz w:val="22"/>
          <w:szCs w:val="22"/>
          <w:highlight w:val="none"/>
        </w:rPr>
      </w:pPr>
    </w:p>
    <w:p w14:paraId="14C89A28">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4066BDDF">
      <w:pPr>
        <w:spacing w:line="460" w:lineRule="exact"/>
        <w:ind w:left="5034" w:leftChars="1903" w:hanging="1038" w:hangingChars="47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14:paraId="71964811">
      <w:pPr>
        <w:spacing w:line="460" w:lineRule="exact"/>
        <w:ind w:left="5034" w:leftChars="1903" w:hanging="1038" w:hangingChars="47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投标人全称（公章）：</w:t>
      </w:r>
    </w:p>
    <w:p w14:paraId="4384EEA0">
      <w:pPr>
        <w:spacing w:line="460" w:lineRule="exact"/>
        <w:ind w:left="5034" w:leftChars="1903" w:hanging="1038" w:hangingChars="47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3EF389BC">
      <w:pPr>
        <w:spacing w:line="380" w:lineRule="exact"/>
        <w:rPr>
          <w:rFonts w:hint="eastAsia" w:ascii="宋体" w:hAnsi="宋体" w:eastAsia="宋体" w:cs="宋体"/>
          <w:color w:val="auto"/>
          <w:sz w:val="22"/>
          <w:szCs w:val="22"/>
          <w:highlight w:val="none"/>
        </w:rPr>
      </w:pPr>
    </w:p>
    <w:p w14:paraId="3490AD4B">
      <w:pPr>
        <w:keepNext w:val="0"/>
        <w:keepLines w:val="0"/>
        <w:pageBreakBefore w:val="0"/>
        <w:widowControl w:val="0"/>
        <w:kinsoku/>
        <w:wordWrap/>
        <w:overflowPunct/>
        <w:topLinePunct w:val="0"/>
        <w:autoSpaceDE/>
        <w:autoSpaceDN/>
        <w:bidi w:val="0"/>
        <w:adjustRightInd/>
        <w:snapToGrid w:val="0"/>
        <w:spacing w:before="120" w:beforeLines="50" w:after="50" w:line="460" w:lineRule="exact"/>
        <w:ind w:firstLine="442" w:firstLineChars="200"/>
        <w:textAlignment w:val="auto"/>
        <w:rPr>
          <w:rStyle w:val="342"/>
          <w:rFonts w:hint="eastAsia" w:ascii="宋体" w:hAnsi="宋体" w:eastAsia="宋体" w:cs="宋体"/>
          <w:b/>
          <w:bCs/>
          <w:color w:val="auto"/>
          <w:sz w:val="22"/>
          <w:szCs w:val="22"/>
          <w:highlight w:val="none"/>
          <w:u w:val="single"/>
        </w:rPr>
      </w:pPr>
      <w:r>
        <w:rPr>
          <w:rStyle w:val="342"/>
          <w:rFonts w:hint="eastAsia" w:ascii="宋体" w:hAnsi="宋体" w:cs="宋体"/>
          <w:b/>
          <w:bCs/>
          <w:color w:val="auto"/>
          <w:sz w:val="22"/>
          <w:szCs w:val="22"/>
          <w:highlight w:val="none"/>
          <w:u w:val="single"/>
        </w:rPr>
        <w:t>▲</w:t>
      </w:r>
      <w:r>
        <w:rPr>
          <w:rStyle w:val="342"/>
          <w:rFonts w:hint="eastAsia" w:ascii="宋体" w:hAnsi="宋体" w:eastAsia="宋体" w:cs="宋体"/>
          <w:b/>
          <w:bCs/>
          <w:color w:val="auto"/>
          <w:sz w:val="22"/>
          <w:szCs w:val="22"/>
          <w:highlight w:val="none"/>
          <w:u w:val="single"/>
        </w:rPr>
        <w:t>1.投标委托：</w:t>
      </w:r>
    </w:p>
    <w:p w14:paraId="4A64756A">
      <w:pPr>
        <w:keepNext w:val="0"/>
        <w:keepLines w:val="0"/>
        <w:pageBreakBefore w:val="0"/>
        <w:widowControl w:val="0"/>
        <w:kinsoku/>
        <w:wordWrap/>
        <w:overflowPunct/>
        <w:topLinePunct w:val="0"/>
        <w:autoSpaceDE/>
        <w:autoSpaceDN/>
        <w:bidi w:val="0"/>
        <w:adjustRightInd/>
        <w:snapToGrid w:val="0"/>
        <w:spacing w:before="120" w:beforeLines="50" w:after="50" w:line="460" w:lineRule="exact"/>
        <w:ind w:firstLine="440" w:firstLineChars="200"/>
        <w:textAlignment w:val="auto"/>
        <w:rPr>
          <w:rStyle w:val="342"/>
          <w:rFonts w:hint="eastAsia" w:ascii="宋体" w:hAnsi="宋体" w:eastAsia="宋体" w:cs="宋体"/>
          <w:b w:val="0"/>
          <w:bCs w:val="0"/>
          <w:color w:val="auto"/>
          <w:sz w:val="22"/>
          <w:szCs w:val="22"/>
          <w:highlight w:val="none"/>
          <w:u w:val="single"/>
        </w:rPr>
      </w:pPr>
      <w:r>
        <w:rPr>
          <w:rStyle w:val="342"/>
          <w:rFonts w:hint="eastAsia" w:ascii="宋体" w:hAnsi="宋体" w:eastAsia="宋体" w:cs="宋体"/>
          <w:b w:val="0"/>
          <w:bCs w:val="0"/>
          <w:color w:val="auto"/>
          <w:sz w:val="22"/>
          <w:szCs w:val="22"/>
          <w:highlight w:val="none"/>
          <w:u w:val="single"/>
          <w:lang w:val="en-US"/>
        </w:rPr>
        <w:t>1.1</w:t>
      </w:r>
      <w:r>
        <w:rPr>
          <w:rStyle w:val="342"/>
          <w:rFonts w:hint="eastAsia" w:ascii="宋体" w:hAnsi="宋体" w:cs="宋体"/>
          <w:b w:val="0"/>
          <w:bCs w:val="0"/>
          <w:color w:val="auto"/>
          <w:sz w:val="22"/>
          <w:szCs w:val="22"/>
          <w:highlight w:val="none"/>
          <w:u w:val="single"/>
          <w:lang w:val="en-US"/>
        </w:rPr>
        <w:t>授权</w:t>
      </w:r>
      <w:r>
        <w:rPr>
          <w:rStyle w:val="342"/>
          <w:rFonts w:hint="eastAsia" w:ascii="宋体" w:hAnsi="宋体" w:eastAsia="宋体" w:cs="宋体"/>
          <w:b w:val="0"/>
          <w:bCs w:val="0"/>
          <w:color w:val="auto"/>
          <w:sz w:val="22"/>
          <w:szCs w:val="22"/>
          <w:highlight w:val="none"/>
          <w:u w:val="single"/>
        </w:rPr>
        <w:t>代表不是法定代表人（单位负责人、自然人本人）的，提供</w:t>
      </w:r>
      <w:r>
        <w:rPr>
          <w:rStyle w:val="342"/>
          <w:rFonts w:hint="eastAsia" w:ascii="宋体" w:hAnsi="宋体" w:eastAsia="宋体" w:cs="宋体"/>
          <w:b/>
          <w:bCs/>
          <w:color w:val="auto"/>
          <w:sz w:val="22"/>
          <w:szCs w:val="22"/>
          <w:highlight w:val="none"/>
          <w:u w:val="single"/>
        </w:rPr>
        <w:t>法定代表人授权书</w:t>
      </w:r>
      <w:r>
        <w:rPr>
          <w:rStyle w:val="342"/>
          <w:rFonts w:hint="eastAsia" w:ascii="宋体" w:hAnsi="宋体" w:eastAsia="宋体" w:cs="宋体"/>
          <w:b w:val="0"/>
          <w:bCs w:val="0"/>
          <w:color w:val="auto"/>
          <w:sz w:val="22"/>
          <w:szCs w:val="22"/>
          <w:highlight w:val="none"/>
          <w:u w:val="single"/>
        </w:rPr>
        <w:t>和授权代表</w:t>
      </w:r>
      <w:r>
        <w:rPr>
          <w:rStyle w:val="342"/>
          <w:rFonts w:hint="eastAsia" w:ascii="宋体" w:hAnsi="宋体" w:eastAsia="宋体" w:cs="宋体"/>
          <w:b/>
          <w:bCs/>
          <w:color w:val="auto"/>
          <w:sz w:val="22"/>
          <w:szCs w:val="22"/>
          <w:highlight w:val="none"/>
          <w:u w:val="single"/>
        </w:rPr>
        <w:t>社保缴纳证明</w:t>
      </w:r>
      <w:r>
        <w:rPr>
          <w:rStyle w:val="342"/>
          <w:rFonts w:hint="eastAsia" w:ascii="宋体" w:hAnsi="宋体" w:eastAsia="宋体" w:cs="宋体"/>
          <w:b w:val="0"/>
          <w:bCs w:val="0"/>
          <w:color w:val="auto"/>
          <w:sz w:val="22"/>
          <w:szCs w:val="22"/>
          <w:highlight w:val="none"/>
          <w:u w:val="single"/>
        </w:rPr>
        <w:t>（本项目投标文件提交截止时间止近一年任意一月）；</w:t>
      </w:r>
    </w:p>
    <w:p w14:paraId="1A326D8E">
      <w:pPr>
        <w:keepNext w:val="0"/>
        <w:keepLines w:val="0"/>
        <w:pageBreakBefore w:val="0"/>
        <w:widowControl w:val="0"/>
        <w:kinsoku/>
        <w:wordWrap/>
        <w:overflowPunct/>
        <w:topLinePunct w:val="0"/>
        <w:autoSpaceDE/>
        <w:autoSpaceDN/>
        <w:bidi w:val="0"/>
        <w:adjustRightInd/>
        <w:snapToGrid w:val="0"/>
        <w:spacing w:before="120" w:beforeLines="50" w:after="50" w:line="460" w:lineRule="exact"/>
        <w:ind w:firstLine="440" w:firstLineChars="200"/>
        <w:textAlignment w:val="auto"/>
        <w:rPr>
          <w:rStyle w:val="342"/>
          <w:rFonts w:hint="eastAsia" w:ascii="宋体" w:hAnsi="宋体" w:eastAsia="宋体" w:cs="宋体"/>
          <w:b w:val="0"/>
          <w:bCs w:val="0"/>
          <w:color w:val="auto"/>
          <w:sz w:val="22"/>
          <w:szCs w:val="22"/>
          <w:highlight w:val="none"/>
          <w:u w:val="single"/>
        </w:rPr>
      </w:pPr>
      <w:r>
        <w:rPr>
          <w:rStyle w:val="342"/>
          <w:rFonts w:hint="eastAsia" w:ascii="宋体" w:hAnsi="宋体" w:eastAsia="宋体" w:cs="宋体"/>
          <w:b w:val="0"/>
          <w:bCs w:val="0"/>
          <w:color w:val="auto"/>
          <w:sz w:val="22"/>
          <w:szCs w:val="22"/>
          <w:highlight w:val="none"/>
          <w:u w:val="single"/>
        </w:rPr>
        <w:t>1.</w:t>
      </w:r>
      <w:r>
        <w:rPr>
          <w:rStyle w:val="342"/>
          <w:rFonts w:hint="eastAsia" w:ascii="宋体" w:hAnsi="宋体" w:eastAsia="宋体" w:cs="宋体"/>
          <w:b w:val="0"/>
          <w:bCs w:val="0"/>
          <w:color w:val="auto"/>
          <w:sz w:val="22"/>
          <w:szCs w:val="22"/>
          <w:highlight w:val="none"/>
          <w:u w:val="single"/>
          <w:lang w:val="en-US"/>
        </w:rPr>
        <w:t>2</w:t>
      </w:r>
      <w:r>
        <w:rPr>
          <w:rStyle w:val="342"/>
          <w:rFonts w:hint="eastAsia" w:ascii="宋体" w:hAnsi="宋体" w:cs="宋体"/>
          <w:b w:val="0"/>
          <w:bCs w:val="0"/>
          <w:color w:val="auto"/>
          <w:sz w:val="22"/>
          <w:szCs w:val="22"/>
          <w:highlight w:val="none"/>
          <w:u w:val="single"/>
          <w:lang w:val="en-US"/>
        </w:rPr>
        <w:t>投标人</w:t>
      </w:r>
      <w:r>
        <w:rPr>
          <w:rStyle w:val="342"/>
          <w:rFonts w:hint="eastAsia" w:ascii="宋体" w:hAnsi="宋体" w:eastAsia="宋体" w:cs="宋体"/>
          <w:b w:val="0"/>
          <w:bCs w:val="0"/>
          <w:color w:val="auto"/>
          <w:sz w:val="22"/>
          <w:szCs w:val="22"/>
          <w:highlight w:val="none"/>
          <w:u w:val="single"/>
        </w:rPr>
        <w:t>委派不在本单位缴纳社保的人员作为授权代表的，应当在投标文件中，</w:t>
      </w:r>
      <w:r>
        <w:rPr>
          <w:rStyle w:val="342"/>
          <w:rFonts w:hint="eastAsia" w:ascii="宋体" w:hAnsi="宋体" w:eastAsia="宋体" w:cs="宋体"/>
          <w:b/>
          <w:bCs/>
          <w:color w:val="auto"/>
          <w:sz w:val="22"/>
          <w:szCs w:val="22"/>
          <w:highlight w:val="none"/>
          <w:u w:val="single"/>
        </w:rPr>
        <w:t>说明具体原因、授权代表缴纳社保的单位</w:t>
      </w:r>
      <w:r>
        <w:rPr>
          <w:rStyle w:val="342"/>
          <w:rFonts w:hint="eastAsia" w:ascii="宋体" w:hAnsi="宋体" w:eastAsia="宋体" w:cs="宋体"/>
          <w:b w:val="0"/>
          <w:bCs w:val="0"/>
          <w:color w:val="auto"/>
          <w:sz w:val="22"/>
          <w:szCs w:val="22"/>
          <w:highlight w:val="none"/>
          <w:u w:val="single"/>
        </w:rPr>
        <w:t>，并附列该授权代表</w:t>
      </w:r>
      <w:r>
        <w:rPr>
          <w:rStyle w:val="342"/>
          <w:rFonts w:hint="eastAsia" w:ascii="宋体" w:hAnsi="宋体" w:eastAsia="宋体" w:cs="宋体"/>
          <w:b/>
          <w:bCs/>
          <w:color w:val="auto"/>
          <w:sz w:val="22"/>
          <w:szCs w:val="22"/>
          <w:highlight w:val="none"/>
          <w:u w:val="single"/>
        </w:rPr>
        <w:t>社保缴纳证明</w:t>
      </w:r>
      <w:r>
        <w:rPr>
          <w:rStyle w:val="342"/>
          <w:rFonts w:hint="eastAsia" w:ascii="宋体" w:hAnsi="宋体" w:eastAsia="宋体" w:cs="宋体"/>
          <w:b w:val="0"/>
          <w:bCs w:val="0"/>
          <w:color w:val="auto"/>
          <w:sz w:val="22"/>
          <w:szCs w:val="22"/>
          <w:highlight w:val="none"/>
          <w:u w:val="single"/>
        </w:rPr>
        <w:t>（本项目投标文件提交截止时间止近一年任意一月）。</w:t>
      </w:r>
    </w:p>
    <w:p w14:paraId="6CD77BE3">
      <w:pPr>
        <w:spacing w:line="380" w:lineRule="exact"/>
        <w:rPr>
          <w:rFonts w:hint="eastAsia" w:ascii="宋体" w:hAnsi="宋体" w:eastAsia="宋体" w:cs="宋体"/>
          <w:color w:val="auto"/>
          <w:sz w:val="22"/>
          <w:szCs w:val="22"/>
          <w:highlight w:val="none"/>
        </w:rPr>
      </w:pPr>
    </w:p>
    <w:p w14:paraId="2A0ADC51">
      <w:pPr>
        <w:spacing w:line="460" w:lineRule="exact"/>
        <w:jc w:val="center"/>
        <w:rPr>
          <w:rFonts w:hint="eastAsia" w:ascii="宋体" w:hAnsi="宋体" w:eastAsia="宋体" w:cs="宋体"/>
          <w:b/>
          <w:bCs/>
          <w:color w:val="auto"/>
          <w:sz w:val="28"/>
          <w:szCs w:val="28"/>
          <w:highlight w:val="none"/>
        </w:rPr>
      </w:pPr>
    </w:p>
    <w:p w14:paraId="4463F939">
      <w:pPr>
        <w:spacing w:line="460" w:lineRule="exact"/>
        <w:jc w:val="center"/>
        <w:rPr>
          <w:rFonts w:hint="eastAsia" w:ascii="宋体" w:hAnsi="宋体" w:eastAsia="宋体" w:cs="宋体"/>
          <w:b/>
          <w:bCs/>
          <w:color w:val="auto"/>
          <w:sz w:val="28"/>
          <w:szCs w:val="28"/>
          <w:highlight w:val="none"/>
        </w:rPr>
      </w:pPr>
    </w:p>
    <w:p w14:paraId="4AB1D453">
      <w:pPr>
        <w:spacing w:line="460" w:lineRule="exact"/>
        <w:jc w:val="center"/>
        <w:rPr>
          <w:rFonts w:hint="eastAsia" w:ascii="宋体" w:hAnsi="宋体" w:eastAsia="宋体" w:cs="宋体"/>
          <w:b/>
          <w:bCs/>
          <w:color w:val="auto"/>
          <w:sz w:val="28"/>
          <w:szCs w:val="28"/>
          <w:highlight w:val="none"/>
        </w:rPr>
      </w:pPr>
    </w:p>
    <w:p w14:paraId="34CC6A2C">
      <w:pPr>
        <w:spacing w:line="460" w:lineRule="exact"/>
        <w:jc w:val="center"/>
        <w:rPr>
          <w:rFonts w:hint="eastAsia" w:ascii="宋体" w:hAnsi="宋体" w:eastAsia="宋体" w:cs="宋体"/>
          <w:b/>
          <w:bCs/>
          <w:color w:val="auto"/>
          <w:sz w:val="28"/>
          <w:szCs w:val="28"/>
          <w:highlight w:val="none"/>
        </w:rPr>
      </w:pPr>
    </w:p>
    <w:p w14:paraId="0FDBE4E6">
      <w:pPr>
        <w:spacing w:line="460" w:lineRule="exact"/>
        <w:jc w:val="center"/>
        <w:rPr>
          <w:rFonts w:hint="eastAsia" w:ascii="宋体" w:hAnsi="宋体" w:eastAsia="宋体" w:cs="宋体"/>
          <w:b/>
          <w:bCs/>
          <w:color w:val="auto"/>
          <w:sz w:val="28"/>
          <w:szCs w:val="28"/>
          <w:highlight w:val="none"/>
        </w:rPr>
      </w:pPr>
    </w:p>
    <w:p w14:paraId="1F28216B">
      <w:pPr>
        <w:spacing w:line="460" w:lineRule="exact"/>
        <w:jc w:val="center"/>
        <w:rPr>
          <w:rFonts w:hint="eastAsia" w:ascii="宋体" w:hAnsi="宋体" w:eastAsia="宋体" w:cs="宋体"/>
          <w:b/>
          <w:bCs/>
          <w:color w:val="auto"/>
          <w:sz w:val="28"/>
          <w:szCs w:val="28"/>
          <w:highlight w:val="none"/>
        </w:rPr>
      </w:pPr>
    </w:p>
    <w:p w14:paraId="29778EF7">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4E5C779D">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1312" behindDoc="0" locked="0" layoutInCell="1" allowOverlap="1">
                <wp:simplePos x="0" y="0"/>
                <wp:positionH relativeFrom="column">
                  <wp:posOffset>113665</wp:posOffset>
                </wp:positionH>
                <wp:positionV relativeFrom="paragraph">
                  <wp:posOffset>79375</wp:posOffset>
                </wp:positionV>
                <wp:extent cx="5920740" cy="3004185"/>
                <wp:effectExtent l="5080" t="4445" r="17780" b="20320"/>
                <wp:wrapNone/>
                <wp:docPr id="2" name="文本框 2"/>
                <wp:cNvGraphicFramePr/>
                <a:graphic xmlns:a="http://schemas.openxmlformats.org/drawingml/2006/main">
                  <a:graphicData uri="http://schemas.microsoft.com/office/word/2010/wordprocessingShape">
                    <wps:wsp>
                      <wps:cNvSpPr txBox="1"/>
                      <wps:spPr>
                        <a:xfrm>
                          <a:off x="0" y="0"/>
                          <a:ext cx="5920740" cy="30041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7F6C77">
                            <w:r>
                              <w:rPr>
                                <w:rFonts w:hint="eastAsia" w:ascii="新宋体" w:hAnsi="新宋体" w:eastAsia="新宋体"/>
                                <w:sz w:val="22"/>
                                <w:szCs w:val="22"/>
                              </w:rPr>
                              <w:t>法定代表人身份证（正反面）：</w:t>
                            </w:r>
                          </w:p>
                        </w:txbxContent>
                      </wps:txbx>
                      <wps:bodyPr upright="1"/>
                    </wps:wsp>
                  </a:graphicData>
                </a:graphic>
              </wp:anchor>
            </w:drawing>
          </mc:Choice>
          <mc:Fallback>
            <w:pict>
              <v:shape id="_x0000_s1026" o:spid="_x0000_s1026" o:spt="202" type="#_x0000_t202" style="position:absolute;left:0pt;margin-left:8.95pt;margin-top:6.25pt;height:236.55pt;width:466.2pt;z-index:251661312;mso-width-relative:page;mso-height-relative:page;" fillcolor="#FFFFFF" filled="t" stroked="t" coordsize="21600,21600" o:gfxdata="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1/Nyc2QAAAAkBAAAPAAAAAAAAAAEAIAAA&#10;ACIAAABkcnMvZG93bnJldi54bWxQSwECFAAUAAAACACHTuJACwZjeAsCAAA3BAAADgAAAAAAAAAB&#10;ACAAAAAoAQAAZHJzL2Uyb0RvYy54bWxQSwUGAAAAAAYABgBZAQAApQUAAAAA&#10;">
                <v:fill on="t" focussize="0,0"/>
                <v:stroke color="#000000" joinstyle="miter"/>
                <v:imagedata o:title=""/>
                <o:lock v:ext="edit" aspectratio="f"/>
                <v:textbox>
                  <w:txbxContent>
                    <w:p w14:paraId="647F6C77">
                      <w:r>
                        <w:rPr>
                          <w:rFonts w:hint="eastAsia" w:ascii="新宋体" w:hAnsi="新宋体" w:eastAsia="新宋体"/>
                          <w:sz w:val="22"/>
                          <w:szCs w:val="22"/>
                        </w:rPr>
                        <w:t>法定代表人身份证（正反面）：</w:t>
                      </w:r>
                    </w:p>
                  </w:txbxContent>
                </v:textbox>
              </v:shape>
            </w:pict>
          </mc:Fallback>
        </mc:AlternateContent>
      </w:r>
    </w:p>
    <w:p w14:paraId="1DCF7E82">
      <w:pPr>
        <w:spacing w:line="460" w:lineRule="exact"/>
        <w:jc w:val="center"/>
        <w:rPr>
          <w:rFonts w:hint="eastAsia" w:ascii="宋体" w:hAnsi="宋体" w:eastAsia="宋体" w:cs="宋体"/>
          <w:b/>
          <w:bCs/>
          <w:color w:val="auto"/>
          <w:sz w:val="28"/>
          <w:szCs w:val="28"/>
          <w:highlight w:val="none"/>
        </w:rPr>
      </w:pPr>
    </w:p>
    <w:p w14:paraId="2F9ED1B9">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2917825</wp:posOffset>
                </wp:positionV>
                <wp:extent cx="5941695" cy="3875405"/>
                <wp:effectExtent l="4445" t="5080" r="16510" b="5715"/>
                <wp:wrapNone/>
                <wp:docPr id="3" name="文本框 3"/>
                <wp:cNvGraphicFramePr/>
                <a:graphic xmlns:a="http://schemas.openxmlformats.org/drawingml/2006/main">
                  <a:graphicData uri="http://schemas.microsoft.com/office/word/2010/wordprocessingShape">
                    <wps:wsp>
                      <wps:cNvSpPr txBox="1"/>
                      <wps:spPr>
                        <a:xfrm>
                          <a:off x="0" y="0"/>
                          <a:ext cx="5941695" cy="38754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0BE983">
                            <w:r>
                              <w:rPr>
                                <w:rFonts w:hint="eastAsia" w:ascii="新宋体" w:hAnsi="新宋体" w:eastAsia="新宋体"/>
                                <w:sz w:val="22"/>
                                <w:szCs w:val="22"/>
                              </w:rPr>
                              <w:t>授权代表身份证（正反面）：</w:t>
                            </w:r>
                          </w:p>
                        </w:txbxContent>
                      </wps:txbx>
                      <wps:bodyPr upright="1"/>
                    </wps:wsp>
                  </a:graphicData>
                </a:graphic>
              </wp:anchor>
            </w:drawing>
          </mc:Choice>
          <mc:Fallback>
            <w:pict>
              <v:shape id="_x0000_s1026" o:spid="_x0000_s1026" o:spt="202" type="#_x0000_t202" style="position:absolute;left:0pt;margin-left:6.95pt;margin-top:229.75pt;height:305.15pt;width:467.85pt;z-index:251660288;mso-width-relative:page;mso-height-relative:page;" fillcolor="#FFFFFF" filled="t" stroked="t" coordsize="21600,21600" o:gfxdata="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0Kyg9kAAAALAQAADwAAAAAAAAABACAA&#10;AAAiAAAAZHJzL2Rvd25yZXYueG1sUEsBAhQAFAAAAAgAh07iQE7fWPYMAgAANwQAAA4AAAAAAAAA&#10;AQAgAAAAKAEAAGRycy9lMm9Eb2MueG1sUEsFBgAAAAAGAAYAWQEAAKYFAAAAAA==&#10;">
                <v:fill on="t" focussize="0,0"/>
                <v:stroke color="#000000" joinstyle="miter"/>
                <v:imagedata o:title=""/>
                <o:lock v:ext="edit" aspectratio="f"/>
                <v:textbox>
                  <w:txbxContent>
                    <w:p w14:paraId="120BE983">
                      <w:r>
                        <w:rPr>
                          <w:rFonts w:hint="eastAsia" w:ascii="新宋体" w:hAnsi="新宋体" w:eastAsia="新宋体"/>
                          <w:sz w:val="22"/>
                          <w:szCs w:val="22"/>
                        </w:rPr>
                        <w:t>授权代表身份证（正反面）：</w:t>
                      </w:r>
                    </w:p>
                  </w:txbxContent>
                </v:textbox>
              </v:shape>
            </w:pict>
          </mc:Fallback>
        </mc:AlternateContent>
      </w:r>
    </w:p>
    <w:p w14:paraId="1784728E">
      <w:pPr>
        <w:spacing w:line="460" w:lineRule="exact"/>
        <w:jc w:val="center"/>
        <w:rPr>
          <w:rFonts w:hint="eastAsia" w:ascii="宋体" w:hAnsi="宋体" w:eastAsia="宋体" w:cs="宋体"/>
          <w:b/>
          <w:bCs/>
          <w:color w:val="auto"/>
          <w:sz w:val="28"/>
          <w:szCs w:val="28"/>
          <w:highlight w:val="none"/>
        </w:rPr>
      </w:pPr>
    </w:p>
    <w:p w14:paraId="244E7D07">
      <w:pPr>
        <w:spacing w:line="460" w:lineRule="exact"/>
        <w:jc w:val="center"/>
        <w:rPr>
          <w:rFonts w:hint="eastAsia" w:ascii="宋体" w:hAnsi="宋体" w:eastAsia="宋体" w:cs="宋体"/>
          <w:b/>
          <w:bCs/>
          <w:color w:val="auto"/>
          <w:sz w:val="28"/>
          <w:szCs w:val="28"/>
          <w:highlight w:val="none"/>
        </w:rPr>
      </w:pPr>
    </w:p>
    <w:p w14:paraId="76E07DD7">
      <w:pPr>
        <w:spacing w:line="460" w:lineRule="exact"/>
        <w:jc w:val="center"/>
        <w:rPr>
          <w:rFonts w:hint="eastAsia" w:ascii="宋体" w:hAnsi="宋体" w:eastAsia="宋体" w:cs="宋体"/>
          <w:b/>
          <w:bCs/>
          <w:color w:val="auto"/>
          <w:sz w:val="28"/>
          <w:szCs w:val="28"/>
          <w:highlight w:val="none"/>
        </w:rPr>
      </w:pPr>
    </w:p>
    <w:p w14:paraId="36B010B0">
      <w:pPr>
        <w:spacing w:line="460" w:lineRule="exact"/>
        <w:jc w:val="center"/>
        <w:rPr>
          <w:rFonts w:hint="eastAsia" w:ascii="宋体" w:hAnsi="宋体" w:eastAsia="宋体" w:cs="宋体"/>
          <w:b/>
          <w:bCs/>
          <w:color w:val="auto"/>
          <w:sz w:val="28"/>
          <w:szCs w:val="28"/>
          <w:highlight w:val="none"/>
        </w:rPr>
      </w:pPr>
    </w:p>
    <w:p w14:paraId="44F41F52">
      <w:pPr>
        <w:spacing w:line="460" w:lineRule="exact"/>
        <w:jc w:val="center"/>
        <w:rPr>
          <w:rFonts w:hint="eastAsia" w:ascii="宋体" w:hAnsi="宋体" w:eastAsia="宋体" w:cs="宋体"/>
          <w:b/>
          <w:bCs/>
          <w:color w:val="auto"/>
          <w:sz w:val="28"/>
          <w:szCs w:val="28"/>
          <w:highlight w:val="none"/>
        </w:rPr>
      </w:pPr>
    </w:p>
    <w:p w14:paraId="5B686FBC">
      <w:pPr>
        <w:spacing w:line="460" w:lineRule="exact"/>
        <w:jc w:val="center"/>
        <w:rPr>
          <w:rFonts w:hint="eastAsia" w:ascii="宋体" w:hAnsi="宋体" w:eastAsia="宋体" w:cs="宋体"/>
          <w:b/>
          <w:bCs/>
          <w:color w:val="auto"/>
          <w:sz w:val="28"/>
          <w:szCs w:val="28"/>
          <w:highlight w:val="none"/>
        </w:rPr>
      </w:pPr>
    </w:p>
    <w:p w14:paraId="374483B9">
      <w:pPr>
        <w:spacing w:line="460" w:lineRule="exact"/>
        <w:jc w:val="center"/>
        <w:rPr>
          <w:rFonts w:hint="eastAsia" w:ascii="宋体" w:hAnsi="宋体" w:eastAsia="宋体" w:cs="宋体"/>
          <w:b/>
          <w:bCs/>
          <w:color w:val="auto"/>
          <w:sz w:val="28"/>
          <w:szCs w:val="28"/>
          <w:highlight w:val="none"/>
        </w:rPr>
      </w:pPr>
    </w:p>
    <w:p w14:paraId="3488D3F6">
      <w:pPr>
        <w:spacing w:line="460" w:lineRule="exact"/>
        <w:jc w:val="center"/>
        <w:rPr>
          <w:rFonts w:hint="eastAsia" w:ascii="宋体" w:hAnsi="宋体" w:eastAsia="宋体" w:cs="宋体"/>
          <w:b/>
          <w:bCs/>
          <w:color w:val="auto"/>
          <w:sz w:val="28"/>
          <w:szCs w:val="28"/>
          <w:highlight w:val="none"/>
        </w:rPr>
      </w:pPr>
    </w:p>
    <w:p w14:paraId="79B28B8B">
      <w:pPr>
        <w:spacing w:line="460" w:lineRule="exact"/>
        <w:jc w:val="center"/>
        <w:rPr>
          <w:rFonts w:hint="eastAsia" w:ascii="宋体" w:hAnsi="宋体" w:eastAsia="宋体" w:cs="宋体"/>
          <w:b/>
          <w:bCs/>
          <w:color w:val="auto"/>
          <w:sz w:val="28"/>
          <w:szCs w:val="28"/>
          <w:highlight w:val="none"/>
        </w:rPr>
      </w:pPr>
    </w:p>
    <w:p w14:paraId="2CD3F020">
      <w:pPr>
        <w:spacing w:line="460" w:lineRule="exact"/>
        <w:jc w:val="center"/>
        <w:rPr>
          <w:rFonts w:hint="eastAsia" w:ascii="宋体" w:hAnsi="宋体" w:eastAsia="宋体" w:cs="宋体"/>
          <w:b/>
          <w:bCs/>
          <w:color w:val="auto"/>
          <w:sz w:val="28"/>
          <w:szCs w:val="28"/>
          <w:highlight w:val="none"/>
        </w:rPr>
      </w:pPr>
    </w:p>
    <w:p w14:paraId="26C40023">
      <w:pPr>
        <w:spacing w:line="460" w:lineRule="exact"/>
        <w:jc w:val="center"/>
        <w:rPr>
          <w:rFonts w:hint="eastAsia" w:ascii="宋体" w:hAnsi="宋体" w:eastAsia="宋体" w:cs="宋体"/>
          <w:b/>
          <w:bCs/>
          <w:color w:val="auto"/>
          <w:sz w:val="28"/>
          <w:szCs w:val="28"/>
          <w:highlight w:val="none"/>
        </w:rPr>
      </w:pPr>
    </w:p>
    <w:p w14:paraId="6BE1A39E">
      <w:pPr>
        <w:spacing w:line="460" w:lineRule="exact"/>
        <w:jc w:val="center"/>
        <w:rPr>
          <w:rFonts w:hint="eastAsia" w:ascii="宋体" w:hAnsi="宋体" w:eastAsia="宋体" w:cs="宋体"/>
          <w:b/>
          <w:bCs/>
          <w:color w:val="auto"/>
          <w:sz w:val="28"/>
          <w:szCs w:val="28"/>
          <w:highlight w:val="none"/>
        </w:rPr>
      </w:pPr>
    </w:p>
    <w:p w14:paraId="7D10A384">
      <w:pPr>
        <w:spacing w:line="460" w:lineRule="exact"/>
        <w:jc w:val="center"/>
        <w:rPr>
          <w:rFonts w:hint="eastAsia" w:ascii="宋体" w:hAnsi="宋体" w:eastAsia="宋体" w:cs="宋体"/>
          <w:b/>
          <w:bCs/>
          <w:color w:val="auto"/>
          <w:sz w:val="28"/>
          <w:szCs w:val="28"/>
          <w:highlight w:val="none"/>
        </w:rPr>
      </w:pPr>
    </w:p>
    <w:p w14:paraId="117677F1">
      <w:pPr>
        <w:spacing w:line="460" w:lineRule="exact"/>
        <w:jc w:val="center"/>
        <w:rPr>
          <w:rFonts w:hint="eastAsia" w:ascii="宋体" w:hAnsi="宋体" w:eastAsia="宋体" w:cs="宋体"/>
          <w:b/>
          <w:bCs/>
          <w:color w:val="auto"/>
          <w:sz w:val="28"/>
          <w:szCs w:val="28"/>
          <w:highlight w:val="none"/>
        </w:rPr>
      </w:pPr>
    </w:p>
    <w:p w14:paraId="292185AE">
      <w:pPr>
        <w:spacing w:line="460" w:lineRule="exact"/>
        <w:jc w:val="center"/>
        <w:rPr>
          <w:rFonts w:hint="eastAsia" w:ascii="宋体" w:hAnsi="宋体" w:eastAsia="宋体" w:cs="宋体"/>
          <w:b/>
          <w:bCs/>
          <w:color w:val="auto"/>
          <w:sz w:val="28"/>
          <w:szCs w:val="28"/>
          <w:highlight w:val="none"/>
        </w:rPr>
      </w:pPr>
    </w:p>
    <w:p w14:paraId="38250B5F">
      <w:pPr>
        <w:spacing w:line="460" w:lineRule="exact"/>
        <w:jc w:val="center"/>
        <w:rPr>
          <w:rFonts w:hint="eastAsia" w:ascii="宋体" w:hAnsi="宋体" w:eastAsia="宋体" w:cs="宋体"/>
          <w:b/>
          <w:bCs/>
          <w:color w:val="auto"/>
          <w:sz w:val="28"/>
          <w:szCs w:val="28"/>
          <w:highlight w:val="none"/>
        </w:rPr>
      </w:pPr>
    </w:p>
    <w:p w14:paraId="34A29862">
      <w:pPr>
        <w:spacing w:line="460" w:lineRule="exact"/>
        <w:jc w:val="center"/>
        <w:rPr>
          <w:rFonts w:hint="eastAsia" w:ascii="宋体" w:hAnsi="宋体" w:eastAsia="宋体" w:cs="宋体"/>
          <w:b/>
          <w:bCs/>
          <w:color w:val="auto"/>
          <w:sz w:val="28"/>
          <w:szCs w:val="28"/>
          <w:highlight w:val="none"/>
        </w:rPr>
      </w:pPr>
    </w:p>
    <w:p w14:paraId="694D33F3">
      <w:pPr>
        <w:spacing w:line="460" w:lineRule="exact"/>
        <w:jc w:val="center"/>
        <w:rPr>
          <w:rFonts w:hint="eastAsia" w:ascii="宋体" w:hAnsi="宋体" w:eastAsia="宋体" w:cs="宋体"/>
          <w:b/>
          <w:bCs/>
          <w:color w:val="auto"/>
          <w:sz w:val="28"/>
          <w:szCs w:val="28"/>
          <w:highlight w:val="none"/>
        </w:rPr>
      </w:pPr>
    </w:p>
    <w:p w14:paraId="2ABE18B0">
      <w:pPr>
        <w:spacing w:line="460" w:lineRule="exact"/>
        <w:jc w:val="center"/>
        <w:rPr>
          <w:rFonts w:hint="eastAsia" w:ascii="宋体" w:hAnsi="宋体" w:eastAsia="宋体" w:cs="宋体"/>
          <w:b/>
          <w:bCs/>
          <w:color w:val="auto"/>
          <w:sz w:val="28"/>
          <w:szCs w:val="28"/>
          <w:highlight w:val="none"/>
        </w:rPr>
      </w:pPr>
    </w:p>
    <w:p w14:paraId="4EFCB0A9">
      <w:pPr>
        <w:spacing w:line="460" w:lineRule="exact"/>
        <w:jc w:val="center"/>
        <w:rPr>
          <w:rFonts w:hint="eastAsia" w:ascii="宋体" w:hAnsi="宋体" w:eastAsia="宋体" w:cs="宋体"/>
          <w:b/>
          <w:bCs/>
          <w:color w:val="auto"/>
          <w:sz w:val="28"/>
          <w:szCs w:val="28"/>
          <w:highlight w:val="none"/>
        </w:rPr>
      </w:pPr>
    </w:p>
    <w:p w14:paraId="3F95F353">
      <w:pPr>
        <w:spacing w:line="460" w:lineRule="exact"/>
        <w:jc w:val="center"/>
        <w:rPr>
          <w:rFonts w:hint="eastAsia" w:ascii="宋体" w:hAnsi="宋体" w:eastAsia="宋体" w:cs="宋体"/>
          <w:b/>
          <w:bCs/>
          <w:color w:val="auto"/>
          <w:sz w:val="28"/>
          <w:szCs w:val="28"/>
          <w:highlight w:val="none"/>
        </w:rPr>
      </w:pPr>
    </w:p>
    <w:p w14:paraId="25265BB7">
      <w:pPr>
        <w:spacing w:line="460" w:lineRule="exact"/>
        <w:jc w:val="center"/>
        <w:rPr>
          <w:rFonts w:hint="eastAsia" w:ascii="宋体" w:hAnsi="宋体" w:eastAsia="宋体" w:cs="宋体"/>
          <w:b/>
          <w:bCs/>
          <w:color w:val="auto"/>
          <w:sz w:val="28"/>
          <w:szCs w:val="28"/>
          <w:highlight w:val="none"/>
        </w:rPr>
      </w:pPr>
    </w:p>
    <w:p w14:paraId="28C40957">
      <w:pPr>
        <w:spacing w:line="460" w:lineRule="exact"/>
        <w:jc w:val="center"/>
        <w:rPr>
          <w:rFonts w:hint="eastAsia" w:ascii="宋体" w:hAnsi="宋体" w:eastAsia="宋体" w:cs="宋体"/>
          <w:b/>
          <w:bCs/>
          <w:color w:val="auto"/>
          <w:sz w:val="28"/>
          <w:szCs w:val="28"/>
          <w:highlight w:val="none"/>
        </w:rPr>
      </w:pPr>
    </w:p>
    <w:p w14:paraId="0A5478FD">
      <w:pPr>
        <w:spacing w:line="460" w:lineRule="exact"/>
        <w:jc w:val="center"/>
        <w:rPr>
          <w:rFonts w:hint="eastAsia" w:ascii="宋体" w:hAnsi="宋体" w:eastAsia="宋体" w:cs="宋体"/>
          <w:b/>
          <w:bCs/>
          <w:color w:val="auto"/>
          <w:sz w:val="28"/>
          <w:szCs w:val="28"/>
          <w:highlight w:val="none"/>
        </w:rPr>
      </w:pPr>
    </w:p>
    <w:p w14:paraId="47CFF355">
      <w:pPr>
        <w:spacing w:line="460" w:lineRule="exact"/>
        <w:jc w:val="center"/>
        <w:outlineLvl w:val="3"/>
        <w:rPr>
          <w:rFonts w:hint="eastAsia" w:ascii="宋体" w:hAnsi="宋体" w:eastAsia="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14:paraId="544FACFF">
      <w:pPr>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社保缴纳证明、非本单位缴纳社保的人员说明具体原因（如有）</w:t>
      </w:r>
    </w:p>
    <w:p w14:paraId="1D81FC57">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7667D6F7">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2、投标人情况表</w:t>
      </w:r>
    </w:p>
    <w:p w14:paraId="06FA042A">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WZLCZB（W）-2025-06054</w:t>
      </w:r>
    </w:p>
    <w:p w14:paraId="0A4B05BC">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瓯越大道接管期保养</w:t>
      </w:r>
    </w:p>
    <w:tbl>
      <w:tblPr>
        <w:tblStyle w:val="53"/>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839"/>
        <w:gridCol w:w="731"/>
        <w:gridCol w:w="1697"/>
        <w:gridCol w:w="976"/>
        <w:gridCol w:w="985"/>
        <w:gridCol w:w="1383"/>
        <w:gridCol w:w="1500"/>
      </w:tblGrid>
      <w:tr w14:paraId="08B3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04" w:type="dxa"/>
            <w:noWrap w:val="0"/>
            <w:vAlign w:val="center"/>
          </w:tcPr>
          <w:p w14:paraId="694D98EE">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单位名称</w:t>
            </w:r>
          </w:p>
        </w:tc>
        <w:tc>
          <w:tcPr>
            <w:tcW w:w="1839" w:type="dxa"/>
            <w:noWrap w:val="0"/>
            <w:vAlign w:val="center"/>
          </w:tcPr>
          <w:p w14:paraId="7F7B74F2">
            <w:pPr>
              <w:spacing w:line="480" w:lineRule="exact"/>
              <w:jc w:val="center"/>
              <w:rPr>
                <w:rFonts w:ascii="宋体" w:hAnsi="宋体" w:cs="宋体"/>
                <w:color w:val="auto"/>
                <w:sz w:val="22"/>
                <w:szCs w:val="22"/>
                <w:highlight w:val="none"/>
              </w:rPr>
            </w:pPr>
          </w:p>
        </w:tc>
        <w:tc>
          <w:tcPr>
            <w:tcW w:w="731" w:type="dxa"/>
            <w:noWrap w:val="0"/>
            <w:vAlign w:val="center"/>
          </w:tcPr>
          <w:p w14:paraId="3802561B">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电话</w:t>
            </w:r>
          </w:p>
        </w:tc>
        <w:tc>
          <w:tcPr>
            <w:tcW w:w="1697" w:type="dxa"/>
            <w:noWrap w:val="0"/>
            <w:vAlign w:val="center"/>
          </w:tcPr>
          <w:p w14:paraId="17D2C211">
            <w:pPr>
              <w:spacing w:line="480" w:lineRule="exact"/>
              <w:jc w:val="center"/>
              <w:rPr>
                <w:rFonts w:ascii="宋体" w:hAnsi="宋体" w:cs="宋体"/>
                <w:color w:val="auto"/>
                <w:sz w:val="22"/>
                <w:szCs w:val="22"/>
                <w:highlight w:val="none"/>
              </w:rPr>
            </w:pPr>
          </w:p>
        </w:tc>
        <w:tc>
          <w:tcPr>
            <w:tcW w:w="976" w:type="dxa"/>
            <w:noWrap w:val="0"/>
            <w:vAlign w:val="center"/>
          </w:tcPr>
          <w:p w14:paraId="155B3891">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主管部门</w:t>
            </w:r>
          </w:p>
        </w:tc>
        <w:tc>
          <w:tcPr>
            <w:tcW w:w="985" w:type="dxa"/>
            <w:noWrap w:val="0"/>
            <w:vAlign w:val="center"/>
          </w:tcPr>
          <w:p w14:paraId="5FC59F84">
            <w:pPr>
              <w:spacing w:line="480" w:lineRule="exact"/>
              <w:jc w:val="center"/>
              <w:rPr>
                <w:rFonts w:ascii="宋体" w:hAnsi="宋体" w:cs="宋体"/>
                <w:color w:val="auto"/>
                <w:sz w:val="22"/>
                <w:szCs w:val="22"/>
                <w:highlight w:val="none"/>
              </w:rPr>
            </w:pPr>
          </w:p>
        </w:tc>
        <w:tc>
          <w:tcPr>
            <w:tcW w:w="1383" w:type="dxa"/>
            <w:noWrap w:val="0"/>
            <w:vAlign w:val="center"/>
          </w:tcPr>
          <w:p w14:paraId="1E378499">
            <w:pPr>
              <w:spacing w:line="48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企业负责人</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职务</w:t>
            </w:r>
            <w:r>
              <w:rPr>
                <w:rFonts w:hint="eastAsia" w:ascii="宋体" w:hAnsi="宋体" w:cs="宋体"/>
                <w:color w:val="auto"/>
                <w:sz w:val="22"/>
                <w:szCs w:val="22"/>
                <w:highlight w:val="none"/>
                <w:lang w:eastAsia="zh-CN"/>
              </w:rPr>
              <w:t>）</w:t>
            </w:r>
          </w:p>
        </w:tc>
        <w:tc>
          <w:tcPr>
            <w:tcW w:w="1500" w:type="dxa"/>
            <w:noWrap w:val="0"/>
            <w:vAlign w:val="center"/>
          </w:tcPr>
          <w:p w14:paraId="20B8D32C">
            <w:pPr>
              <w:spacing w:line="480" w:lineRule="exact"/>
              <w:jc w:val="center"/>
              <w:rPr>
                <w:rFonts w:ascii="宋体" w:hAnsi="宋体" w:cs="宋体"/>
                <w:color w:val="auto"/>
                <w:sz w:val="22"/>
                <w:szCs w:val="22"/>
                <w:highlight w:val="none"/>
              </w:rPr>
            </w:pPr>
          </w:p>
        </w:tc>
      </w:tr>
      <w:tr w14:paraId="1C11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04" w:type="dxa"/>
            <w:noWrap w:val="0"/>
            <w:vAlign w:val="center"/>
          </w:tcPr>
          <w:p w14:paraId="44056882">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地址</w:t>
            </w:r>
          </w:p>
        </w:tc>
        <w:tc>
          <w:tcPr>
            <w:tcW w:w="1839" w:type="dxa"/>
            <w:noWrap w:val="0"/>
            <w:vAlign w:val="center"/>
          </w:tcPr>
          <w:p w14:paraId="648AFE77">
            <w:pPr>
              <w:spacing w:line="480" w:lineRule="exact"/>
              <w:jc w:val="center"/>
              <w:rPr>
                <w:rFonts w:ascii="宋体" w:hAnsi="宋体" w:cs="宋体"/>
                <w:color w:val="auto"/>
                <w:sz w:val="22"/>
                <w:szCs w:val="22"/>
                <w:highlight w:val="none"/>
              </w:rPr>
            </w:pPr>
          </w:p>
        </w:tc>
        <w:tc>
          <w:tcPr>
            <w:tcW w:w="731" w:type="dxa"/>
            <w:noWrap w:val="0"/>
            <w:vAlign w:val="center"/>
          </w:tcPr>
          <w:p w14:paraId="6E4128F6">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传真</w:t>
            </w:r>
          </w:p>
        </w:tc>
        <w:tc>
          <w:tcPr>
            <w:tcW w:w="1697" w:type="dxa"/>
            <w:noWrap w:val="0"/>
            <w:vAlign w:val="center"/>
          </w:tcPr>
          <w:p w14:paraId="55A43AD8">
            <w:pPr>
              <w:spacing w:line="480" w:lineRule="exact"/>
              <w:jc w:val="center"/>
              <w:rPr>
                <w:rFonts w:ascii="宋体" w:hAnsi="宋体" w:cs="宋体"/>
                <w:color w:val="auto"/>
                <w:sz w:val="22"/>
                <w:szCs w:val="22"/>
                <w:highlight w:val="none"/>
              </w:rPr>
            </w:pPr>
          </w:p>
        </w:tc>
        <w:tc>
          <w:tcPr>
            <w:tcW w:w="976" w:type="dxa"/>
            <w:noWrap w:val="0"/>
            <w:vAlign w:val="center"/>
          </w:tcPr>
          <w:p w14:paraId="5B3803EE">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企业性质</w:t>
            </w:r>
          </w:p>
        </w:tc>
        <w:tc>
          <w:tcPr>
            <w:tcW w:w="985" w:type="dxa"/>
            <w:noWrap w:val="0"/>
            <w:vAlign w:val="center"/>
          </w:tcPr>
          <w:p w14:paraId="24D31C70">
            <w:pPr>
              <w:spacing w:line="480" w:lineRule="exact"/>
              <w:jc w:val="center"/>
              <w:rPr>
                <w:rFonts w:ascii="宋体" w:hAnsi="宋体" w:cs="宋体"/>
                <w:color w:val="auto"/>
                <w:sz w:val="22"/>
                <w:szCs w:val="22"/>
                <w:highlight w:val="none"/>
              </w:rPr>
            </w:pPr>
          </w:p>
        </w:tc>
        <w:tc>
          <w:tcPr>
            <w:tcW w:w="1383" w:type="dxa"/>
            <w:noWrap w:val="0"/>
            <w:vAlign w:val="center"/>
          </w:tcPr>
          <w:p w14:paraId="0311CC2C">
            <w:pPr>
              <w:spacing w:line="48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授权代表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职务</w:t>
            </w:r>
            <w:r>
              <w:rPr>
                <w:rFonts w:hint="eastAsia" w:ascii="宋体" w:hAnsi="宋体" w:cs="宋体"/>
                <w:color w:val="auto"/>
                <w:sz w:val="22"/>
                <w:szCs w:val="22"/>
                <w:highlight w:val="none"/>
                <w:lang w:eastAsia="zh-CN"/>
              </w:rPr>
              <w:t>）</w:t>
            </w:r>
          </w:p>
        </w:tc>
        <w:tc>
          <w:tcPr>
            <w:tcW w:w="1500" w:type="dxa"/>
            <w:noWrap w:val="0"/>
            <w:vAlign w:val="center"/>
          </w:tcPr>
          <w:p w14:paraId="34C63C9B">
            <w:pPr>
              <w:spacing w:line="480" w:lineRule="exact"/>
              <w:jc w:val="center"/>
              <w:rPr>
                <w:rFonts w:ascii="宋体" w:hAnsi="宋体" w:cs="宋体"/>
                <w:color w:val="auto"/>
                <w:sz w:val="22"/>
                <w:szCs w:val="22"/>
                <w:highlight w:val="none"/>
              </w:rPr>
            </w:pPr>
          </w:p>
        </w:tc>
      </w:tr>
      <w:tr w14:paraId="520B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0" w:hRule="atLeast"/>
        </w:trPr>
        <w:tc>
          <w:tcPr>
            <w:tcW w:w="804" w:type="dxa"/>
            <w:noWrap w:val="0"/>
            <w:vAlign w:val="center"/>
          </w:tcPr>
          <w:p w14:paraId="6F4E8EBF">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单位简介</w:t>
            </w:r>
          </w:p>
          <w:p w14:paraId="394DC2D6">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及机构</w:t>
            </w:r>
          </w:p>
        </w:tc>
        <w:tc>
          <w:tcPr>
            <w:tcW w:w="9111" w:type="dxa"/>
            <w:gridSpan w:val="7"/>
            <w:noWrap w:val="0"/>
            <w:vAlign w:val="center"/>
          </w:tcPr>
          <w:p w14:paraId="4FA20013">
            <w:pPr>
              <w:spacing w:line="480" w:lineRule="exact"/>
              <w:rPr>
                <w:rFonts w:ascii="宋体" w:hAnsi="宋体" w:cs="宋体"/>
                <w:color w:val="auto"/>
                <w:sz w:val="22"/>
                <w:szCs w:val="22"/>
                <w:highlight w:val="none"/>
              </w:rPr>
            </w:pPr>
          </w:p>
        </w:tc>
      </w:tr>
    </w:tbl>
    <w:p w14:paraId="1C2CF590">
      <w:pPr>
        <w:pStyle w:val="6"/>
        <w:rPr>
          <w:rFonts w:hint="eastAsia"/>
          <w:color w:val="auto"/>
          <w:highlight w:val="none"/>
        </w:rPr>
        <w:sectPr>
          <w:pgSz w:w="11906" w:h="16838"/>
          <w:pgMar w:top="1134" w:right="1134" w:bottom="1134" w:left="1134" w:header="850" w:footer="992" w:gutter="0"/>
          <w:cols w:space="720" w:num="1"/>
          <w:docGrid w:type="lines" w:linePitch="321" w:charSpace="0"/>
        </w:sectPr>
      </w:pPr>
    </w:p>
    <w:p w14:paraId="0791E18B">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val="zh-CN" w:eastAsia="zh-CN"/>
        </w:rPr>
        <w:t>偏离表（</w:t>
      </w:r>
      <w:r>
        <w:rPr>
          <w:rFonts w:hint="eastAsia" w:ascii="宋体" w:hAnsi="宋体" w:eastAsia="宋体" w:cs="宋体"/>
          <w:b/>
          <w:bCs/>
          <w:color w:val="auto"/>
          <w:sz w:val="28"/>
          <w:szCs w:val="28"/>
          <w:highlight w:val="none"/>
          <w:lang w:val="en-US" w:eastAsia="zh-CN"/>
        </w:rPr>
        <w:t>商务、技术偏离</w:t>
      </w:r>
      <w:r>
        <w:rPr>
          <w:rFonts w:hint="eastAsia" w:ascii="宋体" w:hAnsi="宋体" w:eastAsia="宋体" w:cs="宋体"/>
          <w:b/>
          <w:bCs/>
          <w:color w:val="auto"/>
          <w:sz w:val="28"/>
          <w:szCs w:val="28"/>
          <w:highlight w:val="none"/>
          <w:lang w:val="zh-CN" w:eastAsia="zh-CN"/>
        </w:rPr>
        <w:t>）</w:t>
      </w:r>
    </w:p>
    <w:p w14:paraId="02B07880">
      <w:pPr>
        <w:spacing w:line="360" w:lineRule="auto"/>
        <w:rPr>
          <w:rFonts w:hint="eastAsia" w:ascii="宋体" w:hAnsi="宋体" w:eastAsia="宋体" w:cs="宋体"/>
          <w:b w:val="0"/>
          <w:bCs w:val="0"/>
          <w:color w:val="auto"/>
          <w:sz w:val="22"/>
          <w:szCs w:val="22"/>
          <w:highlight w:val="none"/>
        </w:rPr>
      </w:pPr>
    </w:p>
    <w:p w14:paraId="7CB3D0E7">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WZLCZB（W）-2025-06054</w:t>
      </w:r>
    </w:p>
    <w:p w14:paraId="21196AF3">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瓯越大道接管期保养</w:t>
      </w:r>
    </w:p>
    <w:tbl>
      <w:tblPr>
        <w:tblStyle w:val="53"/>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14:paraId="537D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14:paraId="4F7F632F">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  号</w:t>
            </w:r>
          </w:p>
        </w:tc>
        <w:tc>
          <w:tcPr>
            <w:tcW w:w="3687" w:type="dxa"/>
            <w:shd w:val="clear" w:color="auto" w:fill="FFFFFF"/>
            <w:vAlign w:val="center"/>
          </w:tcPr>
          <w:p w14:paraId="35830D1F">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14:paraId="1B46FAFF">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3402" w:type="dxa"/>
            <w:shd w:val="clear" w:color="auto" w:fill="FFFFFF"/>
            <w:vAlign w:val="center"/>
          </w:tcPr>
          <w:p w14:paraId="720E2AB2">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14:paraId="7871DD39">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580" w:type="dxa"/>
            <w:shd w:val="clear" w:color="auto" w:fill="FFFFFF"/>
            <w:vAlign w:val="center"/>
          </w:tcPr>
          <w:p w14:paraId="1FA100AF">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14:paraId="558F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14:paraId="4D407F55">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14:paraId="7AE70344">
            <w:pPr>
              <w:jc w:val="center"/>
              <w:rPr>
                <w:rFonts w:hint="eastAsia" w:ascii="宋体" w:hAnsi="宋体" w:eastAsia="宋体" w:cs="宋体"/>
                <w:color w:val="auto"/>
                <w:sz w:val="22"/>
                <w:szCs w:val="22"/>
                <w:highlight w:val="none"/>
              </w:rPr>
            </w:pPr>
          </w:p>
        </w:tc>
        <w:tc>
          <w:tcPr>
            <w:tcW w:w="3402" w:type="dxa"/>
            <w:vAlign w:val="center"/>
          </w:tcPr>
          <w:p w14:paraId="3FD9BA5D">
            <w:pPr>
              <w:jc w:val="center"/>
              <w:rPr>
                <w:rFonts w:hint="eastAsia" w:ascii="宋体" w:hAnsi="宋体" w:eastAsia="宋体" w:cs="宋体"/>
                <w:color w:val="auto"/>
                <w:sz w:val="22"/>
                <w:szCs w:val="22"/>
                <w:highlight w:val="none"/>
              </w:rPr>
            </w:pPr>
          </w:p>
        </w:tc>
        <w:tc>
          <w:tcPr>
            <w:tcW w:w="1580" w:type="dxa"/>
            <w:vAlign w:val="center"/>
          </w:tcPr>
          <w:p w14:paraId="465FB6F8">
            <w:pPr>
              <w:jc w:val="center"/>
              <w:rPr>
                <w:rFonts w:hint="eastAsia" w:ascii="宋体" w:hAnsi="宋体" w:eastAsia="宋体" w:cs="宋体"/>
                <w:color w:val="auto"/>
                <w:sz w:val="22"/>
                <w:szCs w:val="22"/>
                <w:highlight w:val="none"/>
              </w:rPr>
            </w:pPr>
          </w:p>
        </w:tc>
      </w:tr>
      <w:tr w14:paraId="365E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142B1AA3">
            <w:pPr>
              <w:jc w:val="center"/>
              <w:rPr>
                <w:rFonts w:hint="eastAsia" w:ascii="宋体" w:hAnsi="宋体" w:eastAsia="宋体" w:cs="宋体"/>
                <w:color w:val="auto"/>
                <w:sz w:val="22"/>
                <w:szCs w:val="22"/>
                <w:highlight w:val="none"/>
              </w:rPr>
            </w:pPr>
          </w:p>
        </w:tc>
        <w:tc>
          <w:tcPr>
            <w:tcW w:w="3687" w:type="dxa"/>
            <w:vAlign w:val="center"/>
          </w:tcPr>
          <w:p w14:paraId="393557AA">
            <w:pPr>
              <w:jc w:val="center"/>
              <w:rPr>
                <w:rFonts w:hint="eastAsia" w:ascii="宋体" w:hAnsi="宋体" w:eastAsia="宋体" w:cs="宋体"/>
                <w:color w:val="auto"/>
                <w:sz w:val="22"/>
                <w:szCs w:val="22"/>
                <w:highlight w:val="none"/>
              </w:rPr>
            </w:pPr>
          </w:p>
        </w:tc>
        <w:tc>
          <w:tcPr>
            <w:tcW w:w="3402" w:type="dxa"/>
            <w:vAlign w:val="center"/>
          </w:tcPr>
          <w:p w14:paraId="39EA3A59">
            <w:pPr>
              <w:jc w:val="center"/>
              <w:rPr>
                <w:rFonts w:hint="eastAsia" w:ascii="宋体" w:hAnsi="宋体" w:eastAsia="宋体" w:cs="宋体"/>
                <w:color w:val="auto"/>
                <w:sz w:val="22"/>
                <w:szCs w:val="22"/>
                <w:highlight w:val="none"/>
              </w:rPr>
            </w:pPr>
          </w:p>
        </w:tc>
        <w:tc>
          <w:tcPr>
            <w:tcW w:w="1580" w:type="dxa"/>
            <w:vAlign w:val="center"/>
          </w:tcPr>
          <w:p w14:paraId="5AB3478A">
            <w:pPr>
              <w:jc w:val="center"/>
              <w:rPr>
                <w:rFonts w:hint="eastAsia" w:ascii="宋体" w:hAnsi="宋体" w:eastAsia="宋体" w:cs="宋体"/>
                <w:color w:val="auto"/>
                <w:sz w:val="22"/>
                <w:szCs w:val="22"/>
                <w:highlight w:val="none"/>
              </w:rPr>
            </w:pPr>
          </w:p>
        </w:tc>
      </w:tr>
      <w:tr w14:paraId="4A06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03E5979F">
            <w:pPr>
              <w:jc w:val="center"/>
              <w:rPr>
                <w:rFonts w:hint="eastAsia" w:ascii="宋体" w:hAnsi="宋体" w:eastAsia="宋体" w:cs="宋体"/>
                <w:color w:val="auto"/>
                <w:sz w:val="22"/>
                <w:szCs w:val="22"/>
                <w:highlight w:val="none"/>
              </w:rPr>
            </w:pPr>
          </w:p>
        </w:tc>
        <w:tc>
          <w:tcPr>
            <w:tcW w:w="3687" w:type="dxa"/>
            <w:vAlign w:val="center"/>
          </w:tcPr>
          <w:p w14:paraId="1C1D5C49">
            <w:pPr>
              <w:jc w:val="center"/>
              <w:rPr>
                <w:rFonts w:hint="eastAsia" w:ascii="宋体" w:hAnsi="宋体" w:eastAsia="宋体" w:cs="宋体"/>
                <w:color w:val="auto"/>
                <w:sz w:val="22"/>
                <w:szCs w:val="22"/>
                <w:highlight w:val="none"/>
              </w:rPr>
            </w:pPr>
          </w:p>
        </w:tc>
        <w:tc>
          <w:tcPr>
            <w:tcW w:w="3402" w:type="dxa"/>
            <w:vAlign w:val="center"/>
          </w:tcPr>
          <w:p w14:paraId="6C12C5D6">
            <w:pPr>
              <w:jc w:val="center"/>
              <w:rPr>
                <w:rFonts w:hint="eastAsia" w:ascii="宋体" w:hAnsi="宋体" w:eastAsia="宋体" w:cs="宋体"/>
                <w:color w:val="auto"/>
                <w:sz w:val="22"/>
                <w:szCs w:val="22"/>
                <w:highlight w:val="none"/>
              </w:rPr>
            </w:pPr>
          </w:p>
        </w:tc>
        <w:tc>
          <w:tcPr>
            <w:tcW w:w="1580" w:type="dxa"/>
            <w:vAlign w:val="center"/>
          </w:tcPr>
          <w:p w14:paraId="48000AC9">
            <w:pPr>
              <w:jc w:val="center"/>
              <w:rPr>
                <w:rFonts w:hint="eastAsia" w:ascii="宋体" w:hAnsi="宋体" w:eastAsia="宋体" w:cs="宋体"/>
                <w:color w:val="auto"/>
                <w:sz w:val="22"/>
                <w:szCs w:val="22"/>
                <w:highlight w:val="none"/>
              </w:rPr>
            </w:pPr>
          </w:p>
        </w:tc>
      </w:tr>
      <w:tr w14:paraId="781A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03CEC1F">
            <w:pPr>
              <w:jc w:val="center"/>
              <w:rPr>
                <w:rFonts w:hint="eastAsia" w:ascii="宋体" w:hAnsi="宋体" w:eastAsia="宋体" w:cs="宋体"/>
                <w:color w:val="auto"/>
                <w:sz w:val="22"/>
                <w:szCs w:val="22"/>
                <w:highlight w:val="none"/>
              </w:rPr>
            </w:pPr>
          </w:p>
        </w:tc>
        <w:tc>
          <w:tcPr>
            <w:tcW w:w="3687" w:type="dxa"/>
            <w:vAlign w:val="center"/>
          </w:tcPr>
          <w:p w14:paraId="1F1A481B">
            <w:pPr>
              <w:jc w:val="center"/>
              <w:rPr>
                <w:rFonts w:hint="eastAsia" w:ascii="宋体" w:hAnsi="宋体" w:eastAsia="宋体" w:cs="宋体"/>
                <w:color w:val="auto"/>
                <w:sz w:val="22"/>
                <w:szCs w:val="22"/>
                <w:highlight w:val="none"/>
              </w:rPr>
            </w:pPr>
          </w:p>
        </w:tc>
        <w:tc>
          <w:tcPr>
            <w:tcW w:w="3402" w:type="dxa"/>
            <w:vAlign w:val="center"/>
          </w:tcPr>
          <w:p w14:paraId="33A0B148">
            <w:pPr>
              <w:jc w:val="center"/>
              <w:rPr>
                <w:rFonts w:hint="eastAsia" w:ascii="宋体" w:hAnsi="宋体" w:eastAsia="宋体" w:cs="宋体"/>
                <w:color w:val="auto"/>
                <w:sz w:val="22"/>
                <w:szCs w:val="22"/>
                <w:highlight w:val="none"/>
              </w:rPr>
            </w:pPr>
          </w:p>
        </w:tc>
        <w:tc>
          <w:tcPr>
            <w:tcW w:w="1580" w:type="dxa"/>
            <w:vAlign w:val="center"/>
          </w:tcPr>
          <w:p w14:paraId="2962971E">
            <w:pPr>
              <w:jc w:val="center"/>
              <w:rPr>
                <w:rFonts w:hint="eastAsia" w:ascii="宋体" w:hAnsi="宋体" w:eastAsia="宋体" w:cs="宋体"/>
                <w:color w:val="auto"/>
                <w:sz w:val="22"/>
                <w:szCs w:val="22"/>
                <w:highlight w:val="none"/>
              </w:rPr>
            </w:pPr>
          </w:p>
        </w:tc>
      </w:tr>
      <w:tr w14:paraId="715C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689BD8F1">
            <w:pPr>
              <w:jc w:val="center"/>
              <w:rPr>
                <w:rFonts w:hint="eastAsia" w:ascii="宋体" w:hAnsi="宋体" w:eastAsia="宋体" w:cs="宋体"/>
                <w:color w:val="auto"/>
                <w:sz w:val="22"/>
                <w:szCs w:val="22"/>
                <w:highlight w:val="none"/>
              </w:rPr>
            </w:pPr>
          </w:p>
        </w:tc>
        <w:tc>
          <w:tcPr>
            <w:tcW w:w="3687" w:type="dxa"/>
            <w:vAlign w:val="center"/>
          </w:tcPr>
          <w:p w14:paraId="3E1F9536">
            <w:pPr>
              <w:jc w:val="center"/>
              <w:rPr>
                <w:rFonts w:hint="eastAsia" w:ascii="宋体" w:hAnsi="宋体" w:eastAsia="宋体" w:cs="宋体"/>
                <w:color w:val="auto"/>
                <w:sz w:val="22"/>
                <w:szCs w:val="22"/>
                <w:highlight w:val="none"/>
              </w:rPr>
            </w:pPr>
          </w:p>
        </w:tc>
        <w:tc>
          <w:tcPr>
            <w:tcW w:w="3402" w:type="dxa"/>
            <w:vAlign w:val="center"/>
          </w:tcPr>
          <w:p w14:paraId="5E7B51D4">
            <w:pPr>
              <w:jc w:val="center"/>
              <w:rPr>
                <w:rFonts w:hint="eastAsia" w:ascii="宋体" w:hAnsi="宋体" w:eastAsia="宋体" w:cs="宋体"/>
                <w:color w:val="auto"/>
                <w:sz w:val="22"/>
                <w:szCs w:val="22"/>
                <w:highlight w:val="none"/>
              </w:rPr>
            </w:pPr>
          </w:p>
        </w:tc>
        <w:tc>
          <w:tcPr>
            <w:tcW w:w="1580" w:type="dxa"/>
            <w:vAlign w:val="center"/>
          </w:tcPr>
          <w:p w14:paraId="22D97897">
            <w:pPr>
              <w:jc w:val="center"/>
              <w:rPr>
                <w:rFonts w:hint="eastAsia" w:ascii="宋体" w:hAnsi="宋体" w:eastAsia="宋体" w:cs="宋体"/>
                <w:color w:val="auto"/>
                <w:sz w:val="22"/>
                <w:szCs w:val="22"/>
                <w:highlight w:val="none"/>
              </w:rPr>
            </w:pPr>
          </w:p>
        </w:tc>
      </w:tr>
      <w:tr w14:paraId="2177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EE32C4F">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14:paraId="4DC00D7B">
            <w:pPr>
              <w:jc w:val="center"/>
              <w:rPr>
                <w:rFonts w:hint="eastAsia" w:ascii="宋体" w:hAnsi="宋体" w:eastAsia="宋体" w:cs="宋体"/>
                <w:color w:val="auto"/>
                <w:sz w:val="22"/>
                <w:szCs w:val="22"/>
                <w:highlight w:val="none"/>
              </w:rPr>
            </w:pPr>
          </w:p>
        </w:tc>
        <w:tc>
          <w:tcPr>
            <w:tcW w:w="3402" w:type="dxa"/>
            <w:vAlign w:val="center"/>
          </w:tcPr>
          <w:p w14:paraId="384C2124">
            <w:pPr>
              <w:jc w:val="center"/>
              <w:rPr>
                <w:rFonts w:hint="eastAsia" w:ascii="宋体" w:hAnsi="宋体" w:eastAsia="宋体" w:cs="宋体"/>
                <w:color w:val="auto"/>
                <w:sz w:val="22"/>
                <w:szCs w:val="22"/>
                <w:highlight w:val="none"/>
              </w:rPr>
            </w:pPr>
          </w:p>
        </w:tc>
        <w:tc>
          <w:tcPr>
            <w:tcW w:w="1580" w:type="dxa"/>
            <w:vAlign w:val="center"/>
          </w:tcPr>
          <w:p w14:paraId="4FE37B2A">
            <w:pPr>
              <w:jc w:val="center"/>
              <w:rPr>
                <w:rFonts w:hint="eastAsia" w:ascii="宋体" w:hAnsi="宋体" w:eastAsia="宋体" w:cs="宋体"/>
                <w:color w:val="auto"/>
                <w:sz w:val="22"/>
                <w:szCs w:val="22"/>
                <w:highlight w:val="none"/>
              </w:rPr>
            </w:pPr>
          </w:p>
        </w:tc>
      </w:tr>
      <w:tr w14:paraId="5A7C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93D84AC">
            <w:pPr>
              <w:jc w:val="center"/>
              <w:rPr>
                <w:rFonts w:hint="eastAsia" w:ascii="宋体" w:hAnsi="宋体" w:eastAsia="宋体" w:cs="宋体"/>
                <w:color w:val="auto"/>
                <w:sz w:val="22"/>
                <w:szCs w:val="22"/>
                <w:highlight w:val="none"/>
              </w:rPr>
            </w:pPr>
          </w:p>
        </w:tc>
        <w:tc>
          <w:tcPr>
            <w:tcW w:w="3687" w:type="dxa"/>
            <w:vAlign w:val="center"/>
          </w:tcPr>
          <w:p w14:paraId="2A01AEC7">
            <w:pPr>
              <w:jc w:val="center"/>
              <w:rPr>
                <w:rFonts w:hint="eastAsia" w:ascii="宋体" w:hAnsi="宋体" w:eastAsia="宋体" w:cs="宋体"/>
                <w:color w:val="auto"/>
                <w:sz w:val="22"/>
                <w:szCs w:val="22"/>
                <w:highlight w:val="none"/>
              </w:rPr>
            </w:pPr>
          </w:p>
        </w:tc>
        <w:tc>
          <w:tcPr>
            <w:tcW w:w="3402" w:type="dxa"/>
            <w:vAlign w:val="center"/>
          </w:tcPr>
          <w:p w14:paraId="35531781">
            <w:pPr>
              <w:jc w:val="center"/>
              <w:rPr>
                <w:rFonts w:hint="eastAsia" w:ascii="宋体" w:hAnsi="宋体" w:eastAsia="宋体" w:cs="宋体"/>
                <w:color w:val="auto"/>
                <w:sz w:val="22"/>
                <w:szCs w:val="22"/>
                <w:highlight w:val="none"/>
              </w:rPr>
            </w:pPr>
          </w:p>
        </w:tc>
        <w:tc>
          <w:tcPr>
            <w:tcW w:w="1580" w:type="dxa"/>
            <w:vAlign w:val="center"/>
          </w:tcPr>
          <w:p w14:paraId="369BDB49">
            <w:pPr>
              <w:jc w:val="center"/>
              <w:rPr>
                <w:rFonts w:hint="eastAsia" w:ascii="宋体" w:hAnsi="宋体" w:eastAsia="宋体" w:cs="宋体"/>
                <w:color w:val="auto"/>
                <w:sz w:val="22"/>
                <w:szCs w:val="22"/>
                <w:highlight w:val="none"/>
              </w:rPr>
            </w:pPr>
          </w:p>
        </w:tc>
      </w:tr>
      <w:tr w14:paraId="7F0F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2CFB362">
            <w:pPr>
              <w:jc w:val="center"/>
              <w:rPr>
                <w:rFonts w:hint="eastAsia" w:ascii="宋体" w:hAnsi="宋体" w:eastAsia="宋体" w:cs="宋体"/>
                <w:color w:val="auto"/>
                <w:sz w:val="22"/>
                <w:szCs w:val="22"/>
                <w:highlight w:val="none"/>
              </w:rPr>
            </w:pPr>
          </w:p>
        </w:tc>
        <w:tc>
          <w:tcPr>
            <w:tcW w:w="3687" w:type="dxa"/>
            <w:vAlign w:val="center"/>
          </w:tcPr>
          <w:p w14:paraId="214F4AAE">
            <w:pPr>
              <w:jc w:val="center"/>
              <w:rPr>
                <w:rFonts w:hint="eastAsia" w:ascii="宋体" w:hAnsi="宋体" w:eastAsia="宋体" w:cs="宋体"/>
                <w:color w:val="auto"/>
                <w:sz w:val="22"/>
                <w:szCs w:val="22"/>
                <w:highlight w:val="none"/>
              </w:rPr>
            </w:pPr>
          </w:p>
        </w:tc>
        <w:tc>
          <w:tcPr>
            <w:tcW w:w="3402" w:type="dxa"/>
            <w:vAlign w:val="center"/>
          </w:tcPr>
          <w:p w14:paraId="288C666B">
            <w:pPr>
              <w:jc w:val="center"/>
              <w:rPr>
                <w:rFonts w:hint="eastAsia" w:ascii="宋体" w:hAnsi="宋体" w:eastAsia="宋体" w:cs="宋体"/>
                <w:color w:val="auto"/>
                <w:sz w:val="22"/>
                <w:szCs w:val="22"/>
                <w:highlight w:val="none"/>
              </w:rPr>
            </w:pPr>
          </w:p>
        </w:tc>
        <w:tc>
          <w:tcPr>
            <w:tcW w:w="1580" w:type="dxa"/>
            <w:vAlign w:val="center"/>
          </w:tcPr>
          <w:p w14:paraId="59B267B1">
            <w:pPr>
              <w:jc w:val="center"/>
              <w:rPr>
                <w:rFonts w:hint="eastAsia" w:ascii="宋体" w:hAnsi="宋体" w:eastAsia="宋体" w:cs="宋体"/>
                <w:color w:val="auto"/>
                <w:sz w:val="22"/>
                <w:szCs w:val="22"/>
                <w:highlight w:val="none"/>
              </w:rPr>
            </w:pPr>
          </w:p>
        </w:tc>
      </w:tr>
      <w:tr w14:paraId="3FAC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D935A7E">
            <w:pPr>
              <w:jc w:val="center"/>
              <w:rPr>
                <w:rFonts w:hint="eastAsia" w:ascii="宋体" w:hAnsi="宋体" w:eastAsia="宋体" w:cs="宋体"/>
                <w:color w:val="auto"/>
                <w:sz w:val="22"/>
                <w:szCs w:val="22"/>
                <w:highlight w:val="none"/>
              </w:rPr>
            </w:pPr>
          </w:p>
        </w:tc>
        <w:tc>
          <w:tcPr>
            <w:tcW w:w="3687" w:type="dxa"/>
            <w:vAlign w:val="center"/>
          </w:tcPr>
          <w:p w14:paraId="34D303C7">
            <w:pPr>
              <w:jc w:val="center"/>
              <w:rPr>
                <w:rFonts w:hint="eastAsia" w:ascii="宋体" w:hAnsi="宋体" w:eastAsia="宋体" w:cs="宋体"/>
                <w:color w:val="auto"/>
                <w:sz w:val="22"/>
                <w:szCs w:val="22"/>
                <w:highlight w:val="none"/>
              </w:rPr>
            </w:pPr>
          </w:p>
        </w:tc>
        <w:tc>
          <w:tcPr>
            <w:tcW w:w="3402" w:type="dxa"/>
            <w:vAlign w:val="center"/>
          </w:tcPr>
          <w:p w14:paraId="4686F0B1">
            <w:pPr>
              <w:jc w:val="center"/>
              <w:rPr>
                <w:rFonts w:hint="eastAsia" w:ascii="宋体" w:hAnsi="宋体" w:eastAsia="宋体" w:cs="宋体"/>
                <w:color w:val="auto"/>
                <w:sz w:val="22"/>
                <w:szCs w:val="22"/>
                <w:highlight w:val="none"/>
              </w:rPr>
            </w:pPr>
          </w:p>
        </w:tc>
        <w:tc>
          <w:tcPr>
            <w:tcW w:w="1580" w:type="dxa"/>
            <w:vAlign w:val="center"/>
          </w:tcPr>
          <w:p w14:paraId="11B9406C">
            <w:pPr>
              <w:jc w:val="center"/>
              <w:rPr>
                <w:rFonts w:hint="eastAsia" w:ascii="宋体" w:hAnsi="宋体" w:eastAsia="宋体" w:cs="宋体"/>
                <w:color w:val="auto"/>
                <w:sz w:val="22"/>
                <w:szCs w:val="22"/>
                <w:highlight w:val="none"/>
              </w:rPr>
            </w:pPr>
          </w:p>
        </w:tc>
      </w:tr>
    </w:tbl>
    <w:p w14:paraId="26CBE826">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注： 如有偏离，必须在偏离表中进行详细对比说明并注明正偏离和负偏离，如不说明偏离情况，视为完全响应采购文件要求无偏离</w:t>
      </w:r>
      <w:r>
        <w:rPr>
          <w:rFonts w:hint="eastAsia" w:ascii="宋体" w:hAnsi="宋体" w:cs="宋体"/>
          <w:b/>
          <w:bCs/>
          <w:color w:val="auto"/>
          <w:sz w:val="22"/>
          <w:szCs w:val="22"/>
          <w:highlight w:val="none"/>
          <w:lang w:eastAsia="zh-CN"/>
        </w:rPr>
        <w:t>。</w:t>
      </w:r>
    </w:p>
    <w:p w14:paraId="57FC06D5">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2A3B3763">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4377C55D">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14:paraId="4D993E49">
      <w:pPr>
        <w:rPr>
          <w:rFonts w:hint="eastAsia" w:ascii="宋体" w:hAnsi="宋体" w:eastAsia="宋体" w:cs="宋体"/>
          <w:b/>
          <w:color w:val="auto"/>
          <w:sz w:val="24"/>
          <w:highlight w:val="none"/>
        </w:rPr>
      </w:pPr>
      <w:bookmarkStart w:id="69" w:name="_Toc415152386"/>
      <w:r>
        <w:rPr>
          <w:rFonts w:hint="eastAsia" w:ascii="宋体" w:hAnsi="宋体" w:eastAsia="宋体" w:cs="宋体"/>
          <w:b/>
          <w:color w:val="auto"/>
          <w:sz w:val="24"/>
          <w:highlight w:val="none"/>
        </w:rPr>
        <w:br w:type="page"/>
      </w:r>
    </w:p>
    <w:p w14:paraId="1BDBB76C">
      <w:pPr>
        <w:spacing w:line="400" w:lineRule="exact"/>
        <w:jc w:val="center"/>
        <w:outlineLvl w:val="3"/>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lang w:val="zh-CN" w:eastAsia="zh-CN"/>
        </w:rPr>
        <w:t>体系认证证书</w:t>
      </w:r>
    </w:p>
    <w:p w14:paraId="39F19028">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WZLCZB（W）-2025-06054</w:t>
      </w:r>
    </w:p>
    <w:p w14:paraId="3B984DAA">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新宋体" w:hAnsi="新宋体" w:eastAsia="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瓯越大道接管期保养</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4F68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0A79411C">
            <w:pPr>
              <w:spacing w:line="360" w:lineRule="auto"/>
              <w:rPr>
                <w:rFonts w:hint="eastAsia" w:ascii="宋体" w:hAnsi="宋体" w:eastAsia="宋体" w:cs="宋体"/>
                <w:color w:val="auto"/>
                <w:sz w:val="22"/>
                <w:szCs w:val="22"/>
                <w:highlight w:val="none"/>
              </w:rPr>
            </w:pPr>
          </w:p>
        </w:tc>
      </w:tr>
    </w:tbl>
    <w:p w14:paraId="7446E369">
      <w:pPr>
        <w:pStyle w:val="28"/>
        <w:spacing w:line="400" w:lineRule="atLeast"/>
        <w:rPr>
          <w:rFonts w:ascii="新宋体" w:hAnsi="新宋体" w:eastAsia="新宋体"/>
          <w:color w:val="auto"/>
          <w:sz w:val="22"/>
          <w:szCs w:val="22"/>
          <w:highlight w:val="none"/>
        </w:rPr>
      </w:pPr>
    </w:p>
    <w:p w14:paraId="5CEAD29C">
      <w:pPr>
        <w:spacing w:line="460" w:lineRule="exact"/>
        <w:ind w:firstLine="5060" w:firstLineChars="23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14:paraId="4E3BC026">
      <w:pPr>
        <w:spacing w:line="460" w:lineRule="exact"/>
        <w:ind w:firstLine="5060" w:firstLineChars="2300"/>
        <w:rPr>
          <w:rFonts w:ascii="新宋体" w:hAnsi="新宋体" w:eastAsia="新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新宋体" w:hAnsi="新宋体" w:eastAsia="新宋体"/>
          <w:color w:val="auto"/>
          <w:sz w:val="22"/>
          <w:szCs w:val="22"/>
          <w:highlight w:val="none"/>
        </w:rPr>
        <w:t>：</w:t>
      </w:r>
    </w:p>
    <w:p w14:paraId="5FC0FD5F">
      <w:pPr>
        <w:spacing w:line="460" w:lineRule="exact"/>
        <w:ind w:firstLine="5060" w:firstLineChars="23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14:paraId="79C3D8AC">
      <w:pPr>
        <w:spacing w:line="460" w:lineRule="exact"/>
        <w:ind w:firstLine="5060" w:firstLineChars="2300"/>
        <w:rPr>
          <w:rFonts w:ascii="新宋体" w:hAnsi="新宋体" w:eastAsia="新宋体"/>
          <w:color w:val="auto"/>
          <w:sz w:val="22"/>
          <w:szCs w:val="22"/>
          <w:highlight w:val="none"/>
        </w:rPr>
      </w:pPr>
    </w:p>
    <w:p w14:paraId="7741BBE8">
      <w:pPr>
        <w:spacing w:line="460" w:lineRule="exact"/>
        <w:rPr>
          <w:rFonts w:ascii="新宋体" w:hAnsi="新宋体" w:eastAsia="新宋体"/>
          <w:color w:val="auto"/>
          <w:sz w:val="22"/>
          <w:szCs w:val="22"/>
          <w:highlight w:val="none"/>
        </w:rPr>
      </w:pPr>
    </w:p>
    <w:p w14:paraId="44D7BA6E">
      <w:pPr>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br w:type="page"/>
      </w:r>
    </w:p>
    <w:p w14:paraId="35B496DB">
      <w:pPr>
        <w:spacing w:line="400" w:lineRule="exact"/>
        <w:jc w:val="center"/>
        <w:outlineLvl w:val="3"/>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lang w:val="zh-CN" w:eastAsia="zh-CN"/>
        </w:rPr>
        <w:t>业绩</w:t>
      </w:r>
    </w:p>
    <w:p w14:paraId="25CEDF93">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WZLCZB（W）-2025-06054</w:t>
      </w:r>
    </w:p>
    <w:p w14:paraId="3D7427A7">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新宋体" w:hAnsi="新宋体" w:eastAsia="宋体" w:cs="新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瓯越大道接管期保养</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14:paraId="6C25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5BDB8FC7">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069" w:type="dxa"/>
            <w:noWrap w:val="0"/>
            <w:vAlign w:val="center"/>
          </w:tcPr>
          <w:p w14:paraId="30F8AA68">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用户名称</w:t>
            </w:r>
          </w:p>
        </w:tc>
        <w:tc>
          <w:tcPr>
            <w:tcW w:w="2437" w:type="dxa"/>
            <w:noWrap w:val="0"/>
            <w:vAlign w:val="center"/>
          </w:tcPr>
          <w:p w14:paraId="2CDAD500">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1737" w:type="dxa"/>
            <w:noWrap w:val="0"/>
            <w:vAlign w:val="center"/>
          </w:tcPr>
          <w:p w14:paraId="63AC601A">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合同金额</w:t>
            </w:r>
          </w:p>
        </w:tc>
        <w:tc>
          <w:tcPr>
            <w:tcW w:w="1737" w:type="dxa"/>
            <w:noWrap w:val="0"/>
            <w:vAlign w:val="center"/>
          </w:tcPr>
          <w:p w14:paraId="2E436BA6">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联系方式</w:t>
            </w:r>
          </w:p>
        </w:tc>
        <w:tc>
          <w:tcPr>
            <w:tcW w:w="926" w:type="dxa"/>
            <w:noWrap w:val="0"/>
            <w:vAlign w:val="center"/>
          </w:tcPr>
          <w:p w14:paraId="56B724C3">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14:paraId="6BD1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00CD80E0">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6923490F">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6741006F">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F979DE7">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41DB96F">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26EBB10A">
            <w:pPr>
              <w:spacing w:line="380" w:lineRule="exact"/>
              <w:ind w:left="442" w:hanging="442" w:hangingChars="200"/>
              <w:jc w:val="center"/>
              <w:rPr>
                <w:rFonts w:hint="eastAsia" w:ascii="宋体" w:hAnsi="宋体" w:eastAsia="宋体" w:cs="宋体"/>
                <w:b/>
                <w:bCs/>
                <w:color w:val="auto"/>
                <w:sz w:val="22"/>
                <w:szCs w:val="22"/>
                <w:highlight w:val="none"/>
              </w:rPr>
            </w:pPr>
          </w:p>
        </w:tc>
      </w:tr>
      <w:tr w14:paraId="72E0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7791FC73">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2FDBB374">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759CE3C1">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625CCC8">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B562548">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1BCF29CD">
            <w:pPr>
              <w:spacing w:line="380" w:lineRule="exact"/>
              <w:ind w:left="442" w:hanging="442" w:hangingChars="200"/>
              <w:jc w:val="center"/>
              <w:rPr>
                <w:rFonts w:hint="eastAsia" w:ascii="宋体" w:hAnsi="宋体" w:eastAsia="宋体" w:cs="宋体"/>
                <w:b/>
                <w:bCs/>
                <w:color w:val="auto"/>
                <w:sz w:val="22"/>
                <w:szCs w:val="22"/>
                <w:highlight w:val="none"/>
              </w:rPr>
            </w:pPr>
          </w:p>
        </w:tc>
      </w:tr>
      <w:tr w14:paraId="4B67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445EAB9C">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657BBAF0">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7F2E3B74">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828E63C">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67CBB120">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71F9D339">
            <w:pPr>
              <w:spacing w:line="380" w:lineRule="exact"/>
              <w:ind w:left="442" w:hanging="442" w:hangingChars="200"/>
              <w:jc w:val="center"/>
              <w:rPr>
                <w:rFonts w:hint="eastAsia" w:ascii="宋体" w:hAnsi="宋体" w:eastAsia="宋体" w:cs="宋体"/>
                <w:b/>
                <w:bCs/>
                <w:color w:val="auto"/>
                <w:sz w:val="22"/>
                <w:szCs w:val="22"/>
                <w:highlight w:val="none"/>
              </w:rPr>
            </w:pPr>
          </w:p>
        </w:tc>
      </w:tr>
      <w:tr w14:paraId="313D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27E5084A">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2A672E00">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64ED8182">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D2AF284">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65F96CD">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48B9E45D">
            <w:pPr>
              <w:spacing w:line="380" w:lineRule="exact"/>
              <w:ind w:left="442" w:hanging="442" w:hangingChars="200"/>
              <w:jc w:val="center"/>
              <w:rPr>
                <w:rFonts w:hint="eastAsia" w:ascii="宋体" w:hAnsi="宋体" w:eastAsia="宋体" w:cs="宋体"/>
                <w:b/>
                <w:bCs/>
                <w:color w:val="auto"/>
                <w:sz w:val="22"/>
                <w:szCs w:val="22"/>
                <w:highlight w:val="none"/>
              </w:rPr>
            </w:pPr>
          </w:p>
        </w:tc>
      </w:tr>
      <w:tr w14:paraId="2B04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761CAD8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26E3B447">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229A1FE7">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0F35A47">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FC7C41F">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66904A22">
            <w:pPr>
              <w:spacing w:line="380" w:lineRule="exact"/>
              <w:ind w:left="442" w:hanging="442" w:hangingChars="200"/>
              <w:jc w:val="center"/>
              <w:rPr>
                <w:rFonts w:hint="eastAsia" w:ascii="宋体" w:hAnsi="宋体" w:eastAsia="宋体" w:cs="宋体"/>
                <w:b/>
                <w:bCs/>
                <w:color w:val="auto"/>
                <w:sz w:val="22"/>
                <w:szCs w:val="22"/>
                <w:highlight w:val="none"/>
              </w:rPr>
            </w:pPr>
          </w:p>
        </w:tc>
      </w:tr>
      <w:tr w14:paraId="621C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1FB27563">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37E83ECB">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78FF83B5">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456753B">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62C8026">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4E87C9BE">
            <w:pPr>
              <w:spacing w:line="380" w:lineRule="exact"/>
              <w:ind w:left="442" w:hanging="442" w:hangingChars="200"/>
              <w:jc w:val="center"/>
              <w:rPr>
                <w:rFonts w:hint="eastAsia" w:ascii="宋体" w:hAnsi="宋体" w:eastAsia="宋体" w:cs="宋体"/>
                <w:b/>
                <w:bCs/>
                <w:color w:val="auto"/>
                <w:sz w:val="22"/>
                <w:szCs w:val="22"/>
                <w:highlight w:val="none"/>
              </w:rPr>
            </w:pPr>
          </w:p>
        </w:tc>
      </w:tr>
      <w:tr w14:paraId="6E7C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B0C3B8F">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563627E4">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342E671E">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81D0904">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1D76E2F">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78F65B4C">
            <w:pPr>
              <w:spacing w:line="380" w:lineRule="exact"/>
              <w:ind w:left="442" w:hanging="442" w:hangingChars="200"/>
              <w:jc w:val="center"/>
              <w:rPr>
                <w:rFonts w:hint="eastAsia" w:ascii="宋体" w:hAnsi="宋体" w:eastAsia="宋体" w:cs="宋体"/>
                <w:b/>
                <w:bCs/>
                <w:color w:val="auto"/>
                <w:sz w:val="22"/>
                <w:szCs w:val="22"/>
                <w:highlight w:val="none"/>
              </w:rPr>
            </w:pPr>
          </w:p>
        </w:tc>
      </w:tr>
      <w:tr w14:paraId="0AEB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1D2743B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2FF3A70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2AFDECA4">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6052D0D9">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8CA8D4C">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6AE5DE83">
            <w:pPr>
              <w:spacing w:line="380" w:lineRule="exact"/>
              <w:ind w:left="442" w:hanging="442" w:hangingChars="200"/>
              <w:jc w:val="center"/>
              <w:rPr>
                <w:rFonts w:hint="eastAsia" w:ascii="宋体" w:hAnsi="宋体" w:eastAsia="宋体" w:cs="宋体"/>
                <w:b/>
                <w:bCs/>
                <w:color w:val="auto"/>
                <w:sz w:val="22"/>
                <w:szCs w:val="22"/>
                <w:highlight w:val="none"/>
              </w:rPr>
            </w:pPr>
          </w:p>
        </w:tc>
      </w:tr>
      <w:tr w14:paraId="1195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065919EA">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5FF1260C">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5A878F69">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FBA277D">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376E7A5">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605520FF">
            <w:pPr>
              <w:spacing w:line="380" w:lineRule="exact"/>
              <w:ind w:left="442" w:hanging="442" w:hangingChars="200"/>
              <w:jc w:val="center"/>
              <w:rPr>
                <w:rFonts w:hint="eastAsia" w:ascii="宋体" w:hAnsi="宋体" w:eastAsia="宋体" w:cs="宋体"/>
                <w:b/>
                <w:bCs/>
                <w:color w:val="auto"/>
                <w:sz w:val="22"/>
                <w:szCs w:val="22"/>
                <w:highlight w:val="none"/>
              </w:rPr>
            </w:pPr>
          </w:p>
        </w:tc>
      </w:tr>
      <w:tr w14:paraId="2A067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68891B8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3D6B5083">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7C9CE006">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131A0EAE">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F3B06AF">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456B7086">
            <w:pPr>
              <w:spacing w:line="380" w:lineRule="exact"/>
              <w:ind w:left="442" w:hanging="442" w:hangingChars="200"/>
              <w:jc w:val="center"/>
              <w:rPr>
                <w:rFonts w:hint="eastAsia" w:ascii="宋体" w:hAnsi="宋体" w:eastAsia="宋体" w:cs="宋体"/>
                <w:b/>
                <w:bCs/>
                <w:color w:val="auto"/>
                <w:sz w:val="22"/>
                <w:szCs w:val="22"/>
                <w:highlight w:val="none"/>
              </w:rPr>
            </w:pPr>
          </w:p>
        </w:tc>
      </w:tr>
      <w:tr w14:paraId="4D43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13DEDEE">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165EF405">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691768DB">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6040C2C">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6EDD26C5">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1004751">
            <w:pPr>
              <w:spacing w:line="380" w:lineRule="exact"/>
              <w:ind w:left="442" w:hanging="442" w:hangingChars="200"/>
              <w:jc w:val="center"/>
              <w:rPr>
                <w:rFonts w:hint="eastAsia" w:ascii="宋体" w:hAnsi="宋体" w:eastAsia="宋体" w:cs="宋体"/>
                <w:b/>
                <w:bCs/>
                <w:color w:val="auto"/>
                <w:sz w:val="22"/>
                <w:szCs w:val="22"/>
                <w:highlight w:val="none"/>
              </w:rPr>
            </w:pPr>
          </w:p>
        </w:tc>
      </w:tr>
      <w:tr w14:paraId="2DB2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622970D7">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78369AD0">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237C0C1D">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55FCFF3">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B13CA9E">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72505EC">
            <w:pPr>
              <w:spacing w:line="380" w:lineRule="exact"/>
              <w:ind w:left="442" w:hanging="442" w:hangingChars="200"/>
              <w:jc w:val="center"/>
              <w:rPr>
                <w:rFonts w:hint="eastAsia" w:ascii="宋体" w:hAnsi="宋体" w:eastAsia="宋体" w:cs="宋体"/>
                <w:b/>
                <w:bCs/>
                <w:color w:val="auto"/>
                <w:sz w:val="22"/>
                <w:szCs w:val="22"/>
                <w:highlight w:val="none"/>
              </w:rPr>
            </w:pPr>
          </w:p>
        </w:tc>
      </w:tr>
      <w:tr w14:paraId="7979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2E130A6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269FD51D">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099BDDB9">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42642B1">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3111278">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1D468D3A">
            <w:pPr>
              <w:spacing w:line="380" w:lineRule="exact"/>
              <w:ind w:left="442" w:hanging="442" w:hangingChars="200"/>
              <w:jc w:val="center"/>
              <w:rPr>
                <w:rFonts w:hint="eastAsia" w:ascii="宋体" w:hAnsi="宋体" w:eastAsia="宋体" w:cs="宋体"/>
                <w:b/>
                <w:bCs/>
                <w:color w:val="auto"/>
                <w:sz w:val="22"/>
                <w:szCs w:val="22"/>
                <w:highlight w:val="none"/>
              </w:rPr>
            </w:pPr>
          </w:p>
        </w:tc>
      </w:tr>
      <w:tr w14:paraId="7ABC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4738DDC2">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0E22498C">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2F5147D2">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72C1799">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B7811D3">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37DDFD8">
            <w:pPr>
              <w:spacing w:line="380" w:lineRule="exact"/>
              <w:ind w:left="442" w:hanging="442" w:hangingChars="200"/>
              <w:jc w:val="center"/>
              <w:rPr>
                <w:rFonts w:hint="eastAsia" w:ascii="宋体" w:hAnsi="宋体" w:eastAsia="宋体" w:cs="宋体"/>
                <w:b/>
                <w:bCs/>
                <w:color w:val="auto"/>
                <w:sz w:val="22"/>
                <w:szCs w:val="22"/>
                <w:highlight w:val="none"/>
              </w:rPr>
            </w:pPr>
          </w:p>
        </w:tc>
      </w:tr>
    </w:tbl>
    <w:p w14:paraId="4B28EC56">
      <w:pPr>
        <w:spacing w:line="400" w:lineRule="exact"/>
        <w:ind w:firstLine="4620" w:firstLineChars="2100"/>
        <w:rPr>
          <w:rFonts w:ascii="新宋体" w:hAnsi="新宋体" w:eastAsia="新宋体" w:cs="新宋体"/>
          <w:color w:val="auto"/>
          <w:sz w:val="22"/>
          <w:szCs w:val="22"/>
          <w:highlight w:val="none"/>
        </w:rPr>
      </w:pPr>
    </w:p>
    <w:p w14:paraId="42044023">
      <w:pPr>
        <w:spacing w:line="360" w:lineRule="auto"/>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0D061537">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hint="eastAsia" w:ascii="宋体" w:hAnsi="宋体" w:eastAsia="宋体" w:cs="宋体"/>
          <w:color w:val="auto"/>
          <w:kern w:val="0"/>
          <w:sz w:val="22"/>
          <w:szCs w:val="22"/>
          <w:highlight w:val="none"/>
        </w:rPr>
        <w:t>法定代表人或其授权代表（签字或盖章）</w:t>
      </w:r>
      <w:r>
        <w:rPr>
          <w:rFonts w:hint="eastAsia" w:ascii="新宋体" w:hAnsi="新宋体" w:eastAsia="新宋体" w:cs="新宋体"/>
          <w:color w:val="auto"/>
          <w:sz w:val="22"/>
          <w:szCs w:val="22"/>
          <w:highlight w:val="none"/>
        </w:rPr>
        <w:t>：</w:t>
      </w:r>
    </w:p>
    <w:p w14:paraId="6A66EAEF">
      <w:pPr>
        <w:spacing w:line="360" w:lineRule="auto"/>
        <w:rPr>
          <w:rFonts w:hint="eastAsia" w:ascii="宋体" w:hAnsi="宋体" w:eastAsia="宋体" w:cs="宋体"/>
          <w:b/>
          <w:bCs/>
          <w:color w:val="auto"/>
          <w:sz w:val="28"/>
          <w:szCs w:val="28"/>
          <w:highlight w:val="none"/>
          <w:lang w:val="en-US" w:eastAsia="zh-CN"/>
        </w:rPr>
      </w:pPr>
      <w:r>
        <w:rPr>
          <w:rFonts w:hint="eastAsia" w:ascii="新宋体" w:hAnsi="新宋体" w:eastAsia="新宋体" w:cs="新宋体"/>
          <w:color w:val="auto"/>
          <w:sz w:val="22"/>
          <w:szCs w:val="22"/>
          <w:highlight w:val="none"/>
        </w:rPr>
        <w:t xml:space="preserve">                                                日    期：</w:t>
      </w:r>
    </w:p>
    <w:p w14:paraId="348E00CA">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1DC7403A">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val="en-US" w:eastAsia="zh-CN"/>
        </w:rPr>
        <w:t>、</w:t>
      </w:r>
      <w:bookmarkEnd w:id="69"/>
      <w:r>
        <w:rPr>
          <w:rFonts w:hint="eastAsia" w:ascii="宋体" w:hAnsi="宋体" w:eastAsia="宋体" w:cs="宋体"/>
          <w:b/>
          <w:bCs/>
          <w:color w:val="auto"/>
          <w:sz w:val="28"/>
          <w:szCs w:val="28"/>
          <w:highlight w:val="none"/>
          <w:lang w:val="en-US" w:eastAsia="zh-CN"/>
        </w:rPr>
        <w:t>项目实施团队情况</w:t>
      </w:r>
    </w:p>
    <w:p w14:paraId="2F0F4091">
      <w:pPr>
        <w:pStyle w:val="28"/>
        <w:spacing w:line="400" w:lineRule="atLeast"/>
        <w:rPr>
          <w:rFonts w:hint="eastAsia" w:ascii="宋体" w:hAnsi="宋体" w:eastAsia="宋体" w:cs="宋体"/>
          <w:color w:val="auto"/>
          <w:sz w:val="22"/>
          <w:szCs w:val="22"/>
          <w:highlight w:val="none"/>
        </w:rPr>
      </w:pPr>
    </w:p>
    <w:p w14:paraId="478E3ECC">
      <w:pPr>
        <w:spacing w:line="460" w:lineRule="exact"/>
        <w:jc w:val="center"/>
        <w:outlineLvl w:val="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（1）项目负责人情况表</w:t>
      </w:r>
    </w:p>
    <w:p w14:paraId="798588D5">
      <w:pPr>
        <w:spacing w:line="360" w:lineRule="auto"/>
        <w:jc w:val="left"/>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项 目 编 号：</w:t>
      </w:r>
      <w:r>
        <w:rPr>
          <w:rFonts w:hint="eastAsia" w:ascii="宋体" w:hAnsi="宋体" w:cs="宋体"/>
          <w:bCs/>
          <w:color w:val="auto"/>
          <w:sz w:val="22"/>
          <w:szCs w:val="22"/>
          <w:highlight w:val="none"/>
          <w:lang w:eastAsia="zh-CN"/>
        </w:rPr>
        <w:t>WZLCZB（W）-2025-06054</w:t>
      </w:r>
    </w:p>
    <w:p w14:paraId="7C119E68">
      <w:pPr>
        <w:spacing w:line="360" w:lineRule="auto"/>
        <w:rPr>
          <w:rFonts w:hint="eastAsia" w:ascii="宋体" w:hAnsi="宋体" w:eastAsia="宋体" w:cs="宋体"/>
          <w:b/>
          <w:bCs/>
          <w:color w:val="auto"/>
          <w:sz w:val="32"/>
          <w:highlight w:val="none"/>
        </w:rPr>
      </w:pPr>
      <w:r>
        <w:rPr>
          <w:rFonts w:hint="eastAsia" w:ascii="宋体" w:hAnsi="宋体" w:eastAsia="宋体" w:cs="宋体"/>
          <w:bCs/>
          <w:color w:val="auto"/>
          <w:sz w:val="22"/>
          <w:szCs w:val="22"/>
          <w:highlight w:val="none"/>
        </w:rPr>
        <w:t>项 目 名 称：</w:t>
      </w:r>
      <w:r>
        <w:rPr>
          <w:rFonts w:hint="eastAsia" w:ascii="宋体" w:hAnsi="宋体" w:cs="宋体"/>
          <w:bCs/>
          <w:color w:val="auto"/>
          <w:sz w:val="22"/>
          <w:szCs w:val="22"/>
          <w:highlight w:val="none"/>
          <w:lang w:eastAsia="zh-CN"/>
        </w:rPr>
        <w:t>瓯越大道接管期保养</w:t>
      </w:r>
      <w:r>
        <w:rPr>
          <w:rFonts w:hint="eastAsia" w:ascii="宋体" w:hAnsi="宋体" w:eastAsia="宋体" w:cs="宋体"/>
          <w:bCs/>
          <w:color w:val="auto"/>
          <w:sz w:val="22"/>
          <w:szCs w:val="22"/>
          <w:highlight w:val="none"/>
          <w:lang w:val="en-US" w:eastAsia="zh-CN"/>
        </w:rPr>
        <w:t xml:space="preserve"> </w:t>
      </w:r>
      <w:r>
        <w:rPr>
          <w:rFonts w:hint="eastAsia" w:ascii="宋体" w:hAnsi="宋体" w:eastAsia="宋体" w:cs="宋体"/>
          <w:color w:val="auto"/>
          <w:highlight w:val="none"/>
        </w:rPr>
        <w:t xml:space="preserve">    </w:t>
      </w:r>
    </w:p>
    <w:tbl>
      <w:tblPr>
        <w:tblStyle w:val="53"/>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1833"/>
        <w:gridCol w:w="5880"/>
      </w:tblGrid>
      <w:tr w14:paraId="2DEB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027" w:type="dxa"/>
            <w:noWrap w:val="0"/>
            <w:vAlign w:val="center"/>
          </w:tcPr>
          <w:p w14:paraId="39120A54">
            <w:pPr>
              <w:pStyle w:val="201"/>
              <w:autoSpaceDE w:val="0"/>
              <w:autoSpaceDN w:val="0"/>
              <w:adjustRightInd w:val="0"/>
              <w:spacing w:line="24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姓名</w:t>
            </w:r>
          </w:p>
        </w:tc>
        <w:tc>
          <w:tcPr>
            <w:tcW w:w="1833" w:type="dxa"/>
            <w:noWrap w:val="0"/>
            <w:vAlign w:val="center"/>
          </w:tcPr>
          <w:p w14:paraId="4C621DE0">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5880" w:type="dxa"/>
            <w:noWrap w:val="0"/>
            <w:vAlign w:val="center"/>
          </w:tcPr>
          <w:p w14:paraId="5C513318">
            <w:pPr>
              <w:pStyle w:val="201"/>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kern w:val="0"/>
                <w:sz w:val="22"/>
                <w:szCs w:val="22"/>
                <w:highlight w:val="none"/>
              </w:rPr>
              <w:t>自</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月</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日以来负责的相关项目经验</w:t>
            </w:r>
          </w:p>
        </w:tc>
      </w:tr>
      <w:tr w14:paraId="015F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2027" w:type="dxa"/>
            <w:noWrap w:val="0"/>
            <w:vAlign w:val="center"/>
          </w:tcPr>
          <w:p w14:paraId="038C9539">
            <w:pPr>
              <w:pStyle w:val="201"/>
              <w:autoSpaceDE w:val="0"/>
              <w:autoSpaceDN w:val="0"/>
              <w:adjustRightInd w:val="0"/>
              <w:spacing w:line="24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1寸免冠照片</w:t>
            </w:r>
          </w:p>
        </w:tc>
        <w:tc>
          <w:tcPr>
            <w:tcW w:w="1833" w:type="dxa"/>
            <w:noWrap w:val="0"/>
            <w:vAlign w:val="center"/>
          </w:tcPr>
          <w:p w14:paraId="6EAC651C">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5880" w:type="dxa"/>
            <w:vMerge w:val="restart"/>
            <w:noWrap w:val="0"/>
            <w:vAlign w:val="center"/>
          </w:tcPr>
          <w:p w14:paraId="0577D3B8">
            <w:pPr>
              <w:pStyle w:val="268"/>
              <w:widowControl w:val="0"/>
              <w:autoSpaceDE w:val="0"/>
              <w:autoSpaceDN w:val="0"/>
              <w:adjustRightInd w:val="0"/>
              <w:spacing w:before="0" w:beforeAutospacing="0" w:after="0" w:afterAutospacing="0" w:line="36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2"/>
                <w:sz w:val="22"/>
                <w:szCs w:val="22"/>
                <w:highlight w:val="none"/>
              </w:rPr>
              <w:t>注：相关项目经验应提供旁证材料</w:t>
            </w:r>
          </w:p>
        </w:tc>
      </w:tr>
      <w:tr w14:paraId="18275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27" w:type="dxa"/>
            <w:noWrap w:val="0"/>
            <w:vAlign w:val="center"/>
          </w:tcPr>
          <w:p w14:paraId="70150239">
            <w:pPr>
              <w:autoSpaceDE w:val="0"/>
              <w:autoSpaceDN w:val="0"/>
              <w:adjustRightInd w:val="0"/>
              <w:jc w:val="center"/>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性别</w:t>
            </w:r>
          </w:p>
        </w:tc>
        <w:tc>
          <w:tcPr>
            <w:tcW w:w="1833" w:type="dxa"/>
            <w:noWrap w:val="0"/>
            <w:vAlign w:val="center"/>
          </w:tcPr>
          <w:p w14:paraId="308FE9F4">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5880" w:type="dxa"/>
            <w:vMerge w:val="continue"/>
            <w:noWrap w:val="0"/>
            <w:vAlign w:val="center"/>
          </w:tcPr>
          <w:p w14:paraId="78665344">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r w14:paraId="64B5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27" w:type="dxa"/>
            <w:noWrap w:val="0"/>
            <w:vAlign w:val="center"/>
          </w:tcPr>
          <w:p w14:paraId="6D1DE7CD">
            <w:pPr>
              <w:autoSpaceDE w:val="0"/>
              <w:autoSpaceDN w:val="0"/>
              <w:adjustRightInd w:val="0"/>
              <w:jc w:val="center"/>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年龄</w:t>
            </w:r>
          </w:p>
        </w:tc>
        <w:tc>
          <w:tcPr>
            <w:tcW w:w="1833" w:type="dxa"/>
            <w:noWrap w:val="0"/>
            <w:vAlign w:val="center"/>
          </w:tcPr>
          <w:p w14:paraId="68FA6305">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5880" w:type="dxa"/>
            <w:vMerge w:val="continue"/>
            <w:noWrap w:val="0"/>
            <w:vAlign w:val="center"/>
          </w:tcPr>
          <w:p w14:paraId="4AF36F73">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r w14:paraId="5874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27" w:type="dxa"/>
            <w:noWrap w:val="0"/>
            <w:vAlign w:val="center"/>
          </w:tcPr>
          <w:p w14:paraId="5CDADCC3">
            <w:pPr>
              <w:autoSpaceDE w:val="0"/>
              <w:autoSpaceDN w:val="0"/>
              <w:adjustRightInd w:val="0"/>
              <w:jc w:val="center"/>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职称</w:t>
            </w:r>
          </w:p>
        </w:tc>
        <w:tc>
          <w:tcPr>
            <w:tcW w:w="1833" w:type="dxa"/>
            <w:noWrap w:val="0"/>
            <w:vAlign w:val="center"/>
          </w:tcPr>
          <w:p w14:paraId="23CEEDC2">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5880" w:type="dxa"/>
            <w:vMerge w:val="continue"/>
            <w:noWrap w:val="0"/>
            <w:vAlign w:val="center"/>
          </w:tcPr>
          <w:p w14:paraId="77B90C2A">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r w14:paraId="4495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2027" w:type="dxa"/>
            <w:noWrap w:val="0"/>
            <w:vAlign w:val="center"/>
          </w:tcPr>
          <w:p w14:paraId="12623162">
            <w:pPr>
              <w:autoSpaceDE w:val="0"/>
              <w:autoSpaceDN w:val="0"/>
              <w:adjustRightInd w:val="0"/>
              <w:jc w:val="center"/>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毕业院校系及专业</w:t>
            </w:r>
          </w:p>
        </w:tc>
        <w:tc>
          <w:tcPr>
            <w:tcW w:w="1833" w:type="dxa"/>
            <w:noWrap w:val="0"/>
            <w:vAlign w:val="center"/>
          </w:tcPr>
          <w:p w14:paraId="5B0225C2">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5880" w:type="dxa"/>
            <w:vMerge w:val="continue"/>
            <w:noWrap w:val="0"/>
            <w:vAlign w:val="center"/>
          </w:tcPr>
          <w:p w14:paraId="58481249">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r w14:paraId="3C7C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2027" w:type="dxa"/>
            <w:noWrap w:val="0"/>
            <w:vAlign w:val="center"/>
          </w:tcPr>
          <w:p w14:paraId="4BCC7FBF">
            <w:pPr>
              <w:autoSpaceDE w:val="0"/>
              <w:autoSpaceDN w:val="0"/>
              <w:adjustRightInd w:val="0"/>
              <w:jc w:val="center"/>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毕业时间</w:t>
            </w:r>
          </w:p>
        </w:tc>
        <w:tc>
          <w:tcPr>
            <w:tcW w:w="1833" w:type="dxa"/>
            <w:noWrap w:val="0"/>
            <w:vAlign w:val="center"/>
          </w:tcPr>
          <w:p w14:paraId="4932AA2A">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5880" w:type="dxa"/>
            <w:vMerge w:val="continue"/>
            <w:noWrap w:val="0"/>
            <w:vAlign w:val="center"/>
          </w:tcPr>
          <w:p w14:paraId="2C041796">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r w14:paraId="5627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2027" w:type="dxa"/>
            <w:noWrap w:val="0"/>
            <w:vAlign w:val="center"/>
          </w:tcPr>
          <w:p w14:paraId="14BC5FD6">
            <w:pPr>
              <w:autoSpaceDE w:val="0"/>
              <w:autoSpaceDN w:val="0"/>
              <w:adjustRightInd w:val="0"/>
              <w:jc w:val="center"/>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最高学历</w:t>
            </w:r>
          </w:p>
        </w:tc>
        <w:tc>
          <w:tcPr>
            <w:tcW w:w="1833" w:type="dxa"/>
            <w:noWrap w:val="0"/>
            <w:vAlign w:val="center"/>
          </w:tcPr>
          <w:p w14:paraId="291AC818">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5880" w:type="dxa"/>
            <w:vMerge w:val="continue"/>
            <w:noWrap w:val="0"/>
            <w:vAlign w:val="center"/>
          </w:tcPr>
          <w:p w14:paraId="04DA381E">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r w14:paraId="6C1CA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2027" w:type="dxa"/>
            <w:noWrap w:val="0"/>
            <w:vAlign w:val="center"/>
          </w:tcPr>
          <w:p w14:paraId="3B749756">
            <w:pPr>
              <w:autoSpaceDE w:val="0"/>
              <w:autoSpaceDN w:val="0"/>
              <w:adjustRightInd w:val="0"/>
              <w:jc w:val="center"/>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联系电话</w:t>
            </w:r>
          </w:p>
        </w:tc>
        <w:tc>
          <w:tcPr>
            <w:tcW w:w="1833" w:type="dxa"/>
            <w:noWrap w:val="0"/>
            <w:vAlign w:val="center"/>
          </w:tcPr>
          <w:p w14:paraId="7A5ACCD9">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5880" w:type="dxa"/>
            <w:vMerge w:val="continue"/>
            <w:noWrap w:val="0"/>
            <w:vAlign w:val="center"/>
          </w:tcPr>
          <w:p w14:paraId="49D2965C">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r w14:paraId="052F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2027" w:type="dxa"/>
            <w:noWrap w:val="0"/>
            <w:vAlign w:val="center"/>
          </w:tcPr>
          <w:p w14:paraId="11F5EE3E">
            <w:pPr>
              <w:autoSpaceDE w:val="0"/>
              <w:autoSpaceDN w:val="0"/>
              <w:adjustRightInd w:val="0"/>
              <w:jc w:val="center"/>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rPr>
              <w:t>最近一年工作单位</w:t>
            </w:r>
          </w:p>
        </w:tc>
        <w:tc>
          <w:tcPr>
            <w:tcW w:w="1833" w:type="dxa"/>
            <w:noWrap w:val="0"/>
            <w:vAlign w:val="center"/>
          </w:tcPr>
          <w:p w14:paraId="171A31E3">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5880" w:type="dxa"/>
            <w:vMerge w:val="continue"/>
            <w:noWrap w:val="0"/>
            <w:vAlign w:val="center"/>
          </w:tcPr>
          <w:p w14:paraId="466C070A">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r w14:paraId="6BCB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27" w:type="dxa"/>
            <w:noWrap w:val="0"/>
            <w:vAlign w:val="center"/>
          </w:tcPr>
          <w:p w14:paraId="50DE122A">
            <w:pPr>
              <w:autoSpaceDE w:val="0"/>
              <w:autoSpaceDN w:val="0"/>
              <w:adjustRightInd w:val="0"/>
              <w:jc w:val="center"/>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拟在本项目中担任主要工作</w:t>
            </w:r>
          </w:p>
        </w:tc>
        <w:tc>
          <w:tcPr>
            <w:tcW w:w="7713" w:type="dxa"/>
            <w:gridSpan w:val="2"/>
            <w:noWrap w:val="0"/>
            <w:vAlign w:val="center"/>
          </w:tcPr>
          <w:p w14:paraId="087832F2">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bl>
    <w:p w14:paraId="32C18BA5">
      <w:pPr>
        <w:spacing w:line="460" w:lineRule="exact"/>
        <w:rPr>
          <w:rFonts w:hint="eastAsia" w:ascii="宋体" w:hAnsi="宋体" w:eastAsia="宋体" w:cs="宋体"/>
          <w:color w:val="auto"/>
          <w:sz w:val="22"/>
          <w:szCs w:val="22"/>
          <w:highlight w:val="none"/>
        </w:rPr>
      </w:pPr>
    </w:p>
    <w:p w14:paraId="57213AB0">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14:paraId="678529C2">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57FD16D9">
      <w:pPr>
        <w:spacing w:line="460" w:lineRule="exact"/>
        <w:jc w:val="center"/>
        <w:outlineLvl w:val="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（2）项目服务人员汇总表</w:t>
      </w:r>
    </w:p>
    <w:p w14:paraId="614D2997">
      <w:pPr>
        <w:spacing w:line="360" w:lineRule="auto"/>
        <w:rPr>
          <w:rFonts w:hint="eastAsia" w:ascii="宋体" w:hAnsi="宋体" w:eastAsia="宋体" w:cs="宋体"/>
          <w:bCs/>
          <w:color w:val="auto"/>
          <w:highlight w:val="none"/>
        </w:rPr>
      </w:pPr>
      <w:r>
        <w:rPr>
          <w:rFonts w:hint="eastAsia" w:ascii="宋体" w:hAnsi="宋体" w:eastAsia="宋体" w:cs="宋体"/>
          <w:color w:val="auto"/>
          <w:highlight w:val="none"/>
        </w:rPr>
        <w:t xml:space="preserve">                                           </w:t>
      </w:r>
    </w:p>
    <w:tbl>
      <w:tblPr>
        <w:tblStyle w:val="53"/>
        <w:tblW w:w="0" w:type="auto"/>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351"/>
        <w:gridCol w:w="720"/>
        <w:gridCol w:w="720"/>
        <w:gridCol w:w="720"/>
        <w:gridCol w:w="1080"/>
        <w:gridCol w:w="1458"/>
        <w:gridCol w:w="1422"/>
      </w:tblGrid>
      <w:tr w14:paraId="0C10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1D391B8F">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姓名</w:t>
            </w:r>
          </w:p>
        </w:tc>
        <w:tc>
          <w:tcPr>
            <w:tcW w:w="2351" w:type="dxa"/>
            <w:noWrap w:val="0"/>
            <w:vAlign w:val="center"/>
          </w:tcPr>
          <w:p w14:paraId="49EF7ADC">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本项目主要工作</w:t>
            </w:r>
          </w:p>
        </w:tc>
        <w:tc>
          <w:tcPr>
            <w:tcW w:w="720" w:type="dxa"/>
            <w:noWrap w:val="0"/>
            <w:vAlign w:val="center"/>
          </w:tcPr>
          <w:p w14:paraId="1C804A07">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年龄</w:t>
            </w:r>
          </w:p>
        </w:tc>
        <w:tc>
          <w:tcPr>
            <w:tcW w:w="720" w:type="dxa"/>
            <w:noWrap w:val="0"/>
            <w:vAlign w:val="center"/>
          </w:tcPr>
          <w:p w14:paraId="36124033">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性别</w:t>
            </w:r>
          </w:p>
        </w:tc>
        <w:tc>
          <w:tcPr>
            <w:tcW w:w="720" w:type="dxa"/>
            <w:noWrap w:val="0"/>
            <w:vAlign w:val="center"/>
          </w:tcPr>
          <w:p w14:paraId="19CF6412">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专业</w:t>
            </w:r>
          </w:p>
        </w:tc>
        <w:tc>
          <w:tcPr>
            <w:tcW w:w="1080" w:type="dxa"/>
            <w:noWrap w:val="0"/>
            <w:vAlign w:val="center"/>
          </w:tcPr>
          <w:p w14:paraId="2F27A8E6">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专业</w:t>
            </w:r>
          </w:p>
          <w:p w14:paraId="126BF728">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年限</w:t>
            </w:r>
          </w:p>
        </w:tc>
        <w:tc>
          <w:tcPr>
            <w:tcW w:w="1458" w:type="dxa"/>
            <w:noWrap w:val="0"/>
            <w:vAlign w:val="center"/>
          </w:tcPr>
          <w:p w14:paraId="6166C35C">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职务</w:t>
            </w:r>
          </w:p>
          <w:p w14:paraId="6FD58127">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和职称/认证</w:t>
            </w:r>
          </w:p>
        </w:tc>
        <w:tc>
          <w:tcPr>
            <w:tcW w:w="1422" w:type="dxa"/>
            <w:noWrap w:val="0"/>
            <w:vAlign w:val="center"/>
          </w:tcPr>
          <w:p w14:paraId="5DE33B1E">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到现场服务</w:t>
            </w:r>
          </w:p>
          <w:p w14:paraId="42BEF91C">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起止时间</w:t>
            </w:r>
          </w:p>
        </w:tc>
      </w:tr>
      <w:tr w14:paraId="6BFD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616FB386">
            <w:pPr>
              <w:spacing w:line="360" w:lineRule="auto"/>
              <w:rPr>
                <w:rFonts w:hint="eastAsia" w:ascii="宋体" w:hAnsi="宋体" w:eastAsia="宋体" w:cs="宋体"/>
                <w:b w:val="0"/>
                <w:bCs w:val="0"/>
                <w:color w:val="auto"/>
                <w:sz w:val="22"/>
                <w:szCs w:val="22"/>
                <w:highlight w:val="none"/>
              </w:rPr>
            </w:pPr>
          </w:p>
        </w:tc>
        <w:tc>
          <w:tcPr>
            <w:tcW w:w="2351" w:type="dxa"/>
            <w:noWrap w:val="0"/>
            <w:vAlign w:val="center"/>
          </w:tcPr>
          <w:p w14:paraId="2A90791E">
            <w:pPr>
              <w:spacing w:line="360" w:lineRule="auto"/>
              <w:rPr>
                <w:rFonts w:hint="eastAsia" w:ascii="宋体" w:hAnsi="宋体" w:eastAsia="宋体" w:cs="宋体"/>
                <w:b w:val="0"/>
                <w:bCs w:val="0"/>
                <w:color w:val="auto"/>
                <w:sz w:val="22"/>
                <w:szCs w:val="22"/>
                <w:highlight w:val="none"/>
              </w:rPr>
            </w:pPr>
          </w:p>
        </w:tc>
        <w:tc>
          <w:tcPr>
            <w:tcW w:w="720" w:type="dxa"/>
            <w:noWrap w:val="0"/>
            <w:vAlign w:val="center"/>
          </w:tcPr>
          <w:p w14:paraId="49822BB9">
            <w:pPr>
              <w:spacing w:line="360" w:lineRule="auto"/>
              <w:rPr>
                <w:rFonts w:hint="eastAsia" w:ascii="宋体" w:hAnsi="宋体" w:eastAsia="宋体" w:cs="宋体"/>
                <w:b w:val="0"/>
                <w:bCs w:val="0"/>
                <w:color w:val="auto"/>
                <w:sz w:val="22"/>
                <w:szCs w:val="22"/>
                <w:highlight w:val="none"/>
              </w:rPr>
            </w:pPr>
          </w:p>
        </w:tc>
        <w:tc>
          <w:tcPr>
            <w:tcW w:w="720" w:type="dxa"/>
            <w:noWrap w:val="0"/>
            <w:vAlign w:val="center"/>
          </w:tcPr>
          <w:p w14:paraId="66307557">
            <w:pPr>
              <w:spacing w:line="360" w:lineRule="auto"/>
              <w:rPr>
                <w:rFonts w:hint="eastAsia" w:ascii="宋体" w:hAnsi="宋体" w:eastAsia="宋体" w:cs="宋体"/>
                <w:b w:val="0"/>
                <w:bCs w:val="0"/>
                <w:color w:val="auto"/>
                <w:sz w:val="22"/>
                <w:szCs w:val="22"/>
                <w:highlight w:val="none"/>
              </w:rPr>
            </w:pPr>
          </w:p>
        </w:tc>
        <w:tc>
          <w:tcPr>
            <w:tcW w:w="720" w:type="dxa"/>
            <w:noWrap w:val="0"/>
            <w:vAlign w:val="center"/>
          </w:tcPr>
          <w:p w14:paraId="460287AF">
            <w:pPr>
              <w:spacing w:line="360" w:lineRule="auto"/>
              <w:rPr>
                <w:rFonts w:hint="eastAsia" w:ascii="宋体" w:hAnsi="宋体" w:eastAsia="宋体" w:cs="宋体"/>
                <w:b w:val="0"/>
                <w:bCs w:val="0"/>
                <w:color w:val="auto"/>
                <w:sz w:val="22"/>
                <w:szCs w:val="22"/>
                <w:highlight w:val="none"/>
              </w:rPr>
            </w:pPr>
          </w:p>
        </w:tc>
        <w:tc>
          <w:tcPr>
            <w:tcW w:w="1080" w:type="dxa"/>
            <w:noWrap w:val="0"/>
            <w:vAlign w:val="center"/>
          </w:tcPr>
          <w:p w14:paraId="33461343">
            <w:pPr>
              <w:spacing w:line="360" w:lineRule="auto"/>
              <w:rPr>
                <w:rFonts w:hint="eastAsia" w:ascii="宋体" w:hAnsi="宋体" w:eastAsia="宋体" w:cs="宋体"/>
                <w:b w:val="0"/>
                <w:bCs w:val="0"/>
                <w:color w:val="auto"/>
                <w:sz w:val="22"/>
                <w:szCs w:val="22"/>
                <w:highlight w:val="none"/>
              </w:rPr>
            </w:pPr>
          </w:p>
        </w:tc>
        <w:tc>
          <w:tcPr>
            <w:tcW w:w="1458" w:type="dxa"/>
            <w:noWrap w:val="0"/>
            <w:vAlign w:val="center"/>
          </w:tcPr>
          <w:p w14:paraId="59E5A867">
            <w:pPr>
              <w:spacing w:line="360" w:lineRule="auto"/>
              <w:ind w:left="5250"/>
              <w:rPr>
                <w:rFonts w:hint="eastAsia" w:ascii="宋体" w:hAnsi="宋体" w:eastAsia="宋体" w:cs="宋体"/>
                <w:b w:val="0"/>
                <w:bCs w:val="0"/>
                <w:color w:val="auto"/>
                <w:spacing w:val="12"/>
                <w:sz w:val="22"/>
                <w:szCs w:val="22"/>
                <w:highlight w:val="none"/>
              </w:rPr>
            </w:pPr>
          </w:p>
        </w:tc>
        <w:tc>
          <w:tcPr>
            <w:tcW w:w="1422" w:type="dxa"/>
            <w:noWrap w:val="0"/>
            <w:vAlign w:val="center"/>
          </w:tcPr>
          <w:p w14:paraId="0FD64120">
            <w:pPr>
              <w:spacing w:line="360" w:lineRule="auto"/>
              <w:rPr>
                <w:rFonts w:hint="eastAsia" w:ascii="宋体" w:hAnsi="宋体" w:eastAsia="宋体" w:cs="宋体"/>
                <w:b w:val="0"/>
                <w:bCs w:val="0"/>
                <w:color w:val="auto"/>
                <w:sz w:val="22"/>
                <w:szCs w:val="22"/>
                <w:highlight w:val="none"/>
              </w:rPr>
            </w:pPr>
          </w:p>
        </w:tc>
      </w:tr>
      <w:tr w14:paraId="2C27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0AC105BF">
            <w:pPr>
              <w:spacing w:line="360" w:lineRule="auto"/>
              <w:rPr>
                <w:rFonts w:hint="eastAsia" w:ascii="宋体" w:hAnsi="宋体" w:eastAsia="宋体" w:cs="宋体"/>
                <w:color w:val="auto"/>
                <w:sz w:val="22"/>
                <w:szCs w:val="22"/>
                <w:highlight w:val="none"/>
              </w:rPr>
            </w:pPr>
          </w:p>
        </w:tc>
        <w:tc>
          <w:tcPr>
            <w:tcW w:w="2351" w:type="dxa"/>
            <w:noWrap w:val="0"/>
            <w:vAlign w:val="center"/>
          </w:tcPr>
          <w:p w14:paraId="108B3E94">
            <w:pPr>
              <w:spacing w:line="360" w:lineRule="auto"/>
              <w:rPr>
                <w:rFonts w:hint="eastAsia" w:ascii="宋体" w:hAnsi="宋体" w:eastAsia="宋体" w:cs="宋体"/>
                <w:color w:val="auto"/>
                <w:sz w:val="22"/>
                <w:szCs w:val="22"/>
                <w:highlight w:val="none"/>
              </w:rPr>
            </w:pPr>
          </w:p>
        </w:tc>
        <w:tc>
          <w:tcPr>
            <w:tcW w:w="720" w:type="dxa"/>
            <w:noWrap w:val="0"/>
            <w:vAlign w:val="center"/>
          </w:tcPr>
          <w:p w14:paraId="48F805CF">
            <w:pPr>
              <w:spacing w:line="360" w:lineRule="auto"/>
              <w:rPr>
                <w:rFonts w:hint="eastAsia" w:ascii="宋体" w:hAnsi="宋体" w:eastAsia="宋体" w:cs="宋体"/>
                <w:color w:val="auto"/>
                <w:sz w:val="22"/>
                <w:szCs w:val="22"/>
                <w:highlight w:val="none"/>
              </w:rPr>
            </w:pPr>
          </w:p>
        </w:tc>
        <w:tc>
          <w:tcPr>
            <w:tcW w:w="720" w:type="dxa"/>
            <w:noWrap w:val="0"/>
            <w:vAlign w:val="center"/>
          </w:tcPr>
          <w:p w14:paraId="0D1CEB0F">
            <w:pPr>
              <w:spacing w:line="360" w:lineRule="auto"/>
              <w:rPr>
                <w:rFonts w:hint="eastAsia" w:ascii="宋体" w:hAnsi="宋体" w:eastAsia="宋体" w:cs="宋体"/>
                <w:color w:val="auto"/>
                <w:sz w:val="22"/>
                <w:szCs w:val="22"/>
                <w:highlight w:val="none"/>
              </w:rPr>
            </w:pPr>
          </w:p>
        </w:tc>
        <w:tc>
          <w:tcPr>
            <w:tcW w:w="720" w:type="dxa"/>
            <w:noWrap w:val="0"/>
            <w:vAlign w:val="center"/>
          </w:tcPr>
          <w:p w14:paraId="587B46C0">
            <w:pPr>
              <w:spacing w:line="360" w:lineRule="auto"/>
              <w:rPr>
                <w:rFonts w:hint="eastAsia" w:ascii="宋体" w:hAnsi="宋体" w:eastAsia="宋体" w:cs="宋体"/>
                <w:color w:val="auto"/>
                <w:sz w:val="22"/>
                <w:szCs w:val="22"/>
                <w:highlight w:val="none"/>
              </w:rPr>
            </w:pPr>
          </w:p>
        </w:tc>
        <w:tc>
          <w:tcPr>
            <w:tcW w:w="1080" w:type="dxa"/>
            <w:noWrap w:val="0"/>
            <w:vAlign w:val="center"/>
          </w:tcPr>
          <w:p w14:paraId="4699A75D">
            <w:pPr>
              <w:spacing w:line="360" w:lineRule="auto"/>
              <w:rPr>
                <w:rFonts w:hint="eastAsia" w:ascii="宋体" w:hAnsi="宋体" w:eastAsia="宋体" w:cs="宋体"/>
                <w:color w:val="auto"/>
                <w:sz w:val="22"/>
                <w:szCs w:val="22"/>
                <w:highlight w:val="none"/>
              </w:rPr>
            </w:pPr>
          </w:p>
        </w:tc>
        <w:tc>
          <w:tcPr>
            <w:tcW w:w="1458" w:type="dxa"/>
            <w:noWrap w:val="0"/>
            <w:vAlign w:val="center"/>
          </w:tcPr>
          <w:p w14:paraId="53B4ED9A">
            <w:pPr>
              <w:spacing w:line="360" w:lineRule="auto"/>
              <w:rPr>
                <w:rFonts w:hint="eastAsia" w:ascii="宋体" w:hAnsi="宋体" w:eastAsia="宋体" w:cs="宋体"/>
                <w:color w:val="auto"/>
                <w:sz w:val="22"/>
                <w:szCs w:val="22"/>
                <w:highlight w:val="none"/>
              </w:rPr>
            </w:pPr>
          </w:p>
        </w:tc>
        <w:tc>
          <w:tcPr>
            <w:tcW w:w="1422" w:type="dxa"/>
            <w:noWrap w:val="0"/>
            <w:vAlign w:val="center"/>
          </w:tcPr>
          <w:p w14:paraId="43CB15D4">
            <w:pPr>
              <w:spacing w:line="360" w:lineRule="auto"/>
              <w:ind w:left="5250"/>
              <w:rPr>
                <w:rFonts w:hint="eastAsia" w:ascii="宋体" w:hAnsi="宋体" w:eastAsia="宋体" w:cs="宋体"/>
                <w:color w:val="auto"/>
                <w:spacing w:val="12"/>
                <w:sz w:val="22"/>
                <w:szCs w:val="22"/>
                <w:highlight w:val="none"/>
              </w:rPr>
            </w:pPr>
          </w:p>
        </w:tc>
      </w:tr>
      <w:tr w14:paraId="1A249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0AE31C1D">
            <w:pPr>
              <w:spacing w:line="360" w:lineRule="auto"/>
              <w:rPr>
                <w:rFonts w:hint="eastAsia" w:ascii="宋体" w:hAnsi="宋体" w:eastAsia="宋体" w:cs="宋体"/>
                <w:color w:val="auto"/>
                <w:sz w:val="22"/>
                <w:szCs w:val="22"/>
                <w:highlight w:val="none"/>
              </w:rPr>
            </w:pPr>
          </w:p>
        </w:tc>
        <w:tc>
          <w:tcPr>
            <w:tcW w:w="2351" w:type="dxa"/>
            <w:noWrap w:val="0"/>
            <w:vAlign w:val="center"/>
          </w:tcPr>
          <w:p w14:paraId="0966427D">
            <w:pPr>
              <w:spacing w:line="360" w:lineRule="auto"/>
              <w:rPr>
                <w:rFonts w:hint="eastAsia" w:ascii="宋体" w:hAnsi="宋体" w:eastAsia="宋体" w:cs="宋体"/>
                <w:color w:val="auto"/>
                <w:sz w:val="22"/>
                <w:szCs w:val="22"/>
                <w:highlight w:val="none"/>
              </w:rPr>
            </w:pPr>
          </w:p>
        </w:tc>
        <w:tc>
          <w:tcPr>
            <w:tcW w:w="720" w:type="dxa"/>
            <w:noWrap w:val="0"/>
            <w:vAlign w:val="center"/>
          </w:tcPr>
          <w:p w14:paraId="37136909">
            <w:pPr>
              <w:spacing w:line="360" w:lineRule="auto"/>
              <w:rPr>
                <w:rFonts w:hint="eastAsia" w:ascii="宋体" w:hAnsi="宋体" w:eastAsia="宋体" w:cs="宋体"/>
                <w:color w:val="auto"/>
                <w:sz w:val="22"/>
                <w:szCs w:val="22"/>
                <w:highlight w:val="none"/>
              </w:rPr>
            </w:pPr>
          </w:p>
        </w:tc>
        <w:tc>
          <w:tcPr>
            <w:tcW w:w="720" w:type="dxa"/>
            <w:noWrap w:val="0"/>
            <w:vAlign w:val="center"/>
          </w:tcPr>
          <w:p w14:paraId="1580E7A8">
            <w:pPr>
              <w:spacing w:line="360" w:lineRule="auto"/>
              <w:rPr>
                <w:rFonts w:hint="eastAsia" w:ascii="宋体" w:hAnsi="宋体" w:eastAsia="宋体" w:cs="宋体"/>
                <w:color w:val="auto"/>
                <w:sz w:val="22"/>
                <w:szCs w:val="22"/>
                <w:highlight w:val="none"/>
              </w:rPr>
            </w:pPr>
          </w:p>
        </w:tc>
        <w:tc>
          <w:tcPr>
            <w:tcW w:w="720" w:type="dxa"/>
            <w:noWrap w:val="0"/>
            <w:vAlign w:val="center"/>
          </w:tcPr>
          <w:p w14:paraId="64DD5635">
            <w:pPr>
              <w:spacing w:line="360" w:lineRule="auto"/>
              <w:rPr>
                <w:rFonts w:hint="eastAsia" w:ascii="宋体" w:hAnsi="宋体" w:eastAsia="宋体" w:cs="宋体"/>
                <w:color w:val="auto"/>
                <w:sz w:val="22"/>
                <w:szCs w:val="22"/>
                <w:highlight w:val="none"/>
              </w:rPr>
            </w:pPr>
          </w:p>
        </w:tc>
        <w:tc>
          <w:tcPr>
            <w:tcW w:w="1080" w:type="dxa"/>
            <w:noWrap w:val="0"/>
            <w:vAlign w:val="center"/>
          </w:tcPr>
          <w:p w14:paraId="0D2E0E86">
            <w:pPr>
              <w:spacing w:line="360" w:lineRule="auto"/>
              <w:rPr>
                <w:rFonts w:hint="eastAsia" w:ascii="宋体" w:hAnsi="宋体" w:eastAsia="宋体" w:cs="宋体"/>
                <w:color w:val="auto"/>
                <w:sz w:val="22"/>
                <w:szCs w:val="22"/>
                <w:highlight w:val="none"/>
              </w:rPr>
            </w:pPr>
          </w:p>
        </w:tc>
        <w:tc>
          <w:tcPr>
            <w:tcW w:w="1458" w:type="dxa"/>
            <w:noWrap w:val="0"/>
            <w:vAlign w:val="center"/>
          </w:tcPr>
          <w:p w14:paraId="337AC8D7">
            <w:pPr>
              <w:spacing w:line="360" w:lineRule="auto"/>
              <w:rPr>
                <w:rFonts w:hint="eastAsia" w:ascii="宋体" w:hAnsi="宋体" w:eastAsia="宋体" w:cs="宋体"/>
                <w:color w:val="auto"/>
                <w:sz w:val="22"/>
                <w:szCs w:val="22"/>
                <w:highlight w:val="none"/>
              </w:rPr>
            </w:pPr>
          </w:p>
        </w:tc>
        <w:tc>
          <w:tcPr>
            <w:tcW w:w="1422" w:type="dxa"/>
            <w:noWrap w:val="0"/>
            <w:vAlign w:val="center"/>
          </w:tcPr>
          <w:p w14:paraId="2D4AD54D">
            <w:pPr>
              <w:spacing w:line="360" w:lineRule="auto"/>
              <w:rPr>
                <w:rFonts w:hint="eastAsia" w:ascii="宋体" w:hAnsi="宋体" w:eastAsia="宋体" w:cs="宋体"/>
                <w:color w:val="auto"/>
                <w:sz w:val="22"/>
                <w:szCs w:val="22"/>
                <w:highlight w:val="none"/>
              </w:rPr>
            </w:pPr>
          </w:p>
        </w:tc>
      </w:tr>
      <w:tr w14:paraId="2EC1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589D17D9">
            <w:pPr>
              <w:spacing w:line="360" w:lineRule="auto"/>
              <w:rPr>
                <w:rFonts w:hint="eastAsia" w:ascii="宋体" w:hAnsi="宋体" w:eastAsia="宋体" w:cs="宋体"/>
                <w:color w:val="auto"/>
                <w:sz w:val="22"/>
                <w:szCs w:val="22"/>
                <w:highlight w:val="none"/>
              </w:rPr>
            </w:pPr>
          </w:p>
        </w:tc>
        <w:tc>
          <w:tcPr>
            <w:tcW w:w="2351" w:type="dxa"/>
            <w:noWrap w:val="0"/>
            <w:vAlign w:val="center"/>
          </w:tcPr>
          <w:p w14:paraId="4F07E02E">
            <w:pPr>
              <w:spacing w:line="360" w:lineRule="auto"/>
              <w:rPr>
                <w:rFonts w:hint="eastAsia" w:ascii="宋体" w:hAnsi="宋体" w:eastAsia="宋体" w:cs="宋体"/>
                <w:color w:val="auto"/>
                <w:sz w:val="22"/>
                <w:szCs w:val="22"/>
                <w:highlight w:val="none"/>
              </w:rPr>
            </w:pPr>
          </w:p>
        </w:tc>
        <w:tc>
          <w:tcPr>
            <w:tcW w:w="720" w:type="dxa"/>
            <w:noWrap w:val="0"/>
            <w:vAlign w:val="center"/>
          </w:tcPr>
          <w:p w14:paraId="1D76C9DC">
            <w:pPr>
              <w:spacing w:line="360" w:lineRule="auto"/>
              <w:rPr>
                <w:rFonts w:hint="eastAsia" w:ascii="宋体" w:hAnsi="宋体" w:eastAsia="宋体" w:cs="宋体"/>
                <w:color w:val="auto"/>
                <w:sz w:val="22"/>
                <w:szCs w:val="22"/>
                <w:highlight w:val="none"/>
              </w:rPr>
            </w:pPr>
          </w:p>
        </w:tc>
        <w:tc>
          <w:tcPr>
            <w:tcW w:w="720" w:type="dxa"/>
            <w:noWrap w:val="0"/>
            <w:vAlign w:val="center"/>
          </w:tcPr>
          <w:p w14:paraId="5EBF7E23">
            <w:pPr>
              <w:spacing w:line="360" w:lineRule="auto"/>
              <w:rPr>
                <w:rFonts w:hint="eastAsia" w:ascii="宋体" w:hAnsi="宋体" w:eastAsia="宋体" w:cs="宋体"/>
                <w:color w:val="auto"/>
                <w:sz w:val="22"/>
                <w:szCs w:val="22"/>
                <w:highlight w:val="none"/>
              </w:rPr>
            </w:pPr>
          </w:p>
        </w:tc>
        <w:tc>
          <w:tcPr>
            <w:tcW w:w="720" w:type="dxa"/>
            <w:noWrap w:val="0"/>
            <w:vAlign w:val="center"/>
          </w:tcPr>
          <w:p w14:paraId="1B0FF7F5">
            <w:pPr>
              <w:spacing w:line="360" w:lineRule="auto"/>
              <w:rPr>
                <w:rFonts w:hint="eastAsia" w:ascii="宋体" w:hAnsi="宋体" w:eastAsia="宋体" w:cs="宋体"/>
                <w:color w:val="auto"/>
                <w:sz w:val="22"/>
                <w:szCs w:val="22"/>
                <w:highlight w:val="none"/>
              </w:rPr>
            </w:pPr>
          </w:p>
        </w:tc>
        <w:tc>
          <w:tcPr>
            <w:tcW w:w="1080" w:type="dxa"/>
            <w:noWrap w:val="0"/>
            <w:vAlign w:val="center"/>
          </w:tcPr>
          <w:p w14:paraId="6EDD7C74">
            <w:pPr>
              <w:spacing w:line="360" w:lineRule="auto"/>
              <w:rPr>
                <w:rFonts w:hint="eastAsia" w:ascii="宋体" w:hAnsi="宋体" w:eastAsia="宋体" w:cs="宋体"/>
                <w:color w:val="auto"/>
                <w:sz w:val="22"/>
                <w:szCs w:val="22"/>
                <w:highlight w:val="none"/>
              </w:rPr>
            </w:pPr>
          </w:p>
        </w:tc>
        <w:tc>
          <w:tcPr>
            <w:tcW w:w="1458" w:type="dxa"/>
            <w:noWrap w:val="0"/>
            <w:vAlign w:val="center"/>
          </w:tcPr>
          <w:p w14:paraId="5F0922E8">
            <w:pPr>
              <w:spacing w:line="360" w:lineRule="auto"/>
              <w:rPr>
                <w:rFonts w:hint="eastAsia" w:ascii="宋体" w:hAnsi="宋体" w:eastAsia="宋体" w:cs="宋体"/>
                <w:color w:val="auto"/>
                <w:sz w:val="22"/>
                <w:szCs w:val="22"/>
                <w:highlight w:val="none"/>
              </w:rPr>
            </w:pPr>
          </w:p>
        </w:tc>
        <w:tc>
          <w:tcPr>
            <w:tcW w:w="1422" w:type="dxa"/>
            <w:noWrap w:val="0"/>
            <w:vAlign w:val="center"/>
          </w:tcPr>
          <w:p w14:paraId="3A07AFE4">
            <w:pPr>
              <w:spacing w:line="360" w:lineRule="auto"/>
              <w:rPr>
                <w:rFonts w:hint="eastAsia" w:ascii="宋体" w:hAnsi="宋体" w:eastAsia="宋体" w:cs="宋体"/>
                <w:color w:val="auto"/>
                <w:sz w:val="22"/>
                <w:szCs w:val="22"/>
                <w:highlight w:val="none"/>
              </w:rPr>
            </w:pPr>
          </w:p>
        </w:tc>
      </w:tr>
      <w:tr w14:paraId="235E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233EEB59">
            <w:pPr>
              <w:spacing w:line="360" w:lineRule="auto"/>
              <w:rPr>
                <w:rFonts w:hint="eastAsia" w:ascii="宋体" w:hAnsi="宋体" w:eastAsia="宋体" w:cs="宋体"/>
                <w:color w:val="auto"/>
                <w:sz w:val="22"/>
                <w:szCs w:val="22"/>
                <w:highlight w:val="none"/>
              </w:rPr>
            </w:pPr>
          </w:p>
        </w:tc>
        <w:tc>
          <w:tcPr>
            <w:tcW w:w="2351" w:type="dxa"/>
            <w:noWrap w:val="0"/>
            <w:vAlign w:val="center"/>
          </w:tcPr>
          <w:p w14:paraId="441BA081">
            <w:pPr>
              <w:spacing w:line="360" w:lineRule="auto"/>
              <w:rPr>
                <w:rFonts w:hint="eastAsia" w:ascii="宋体" w:hAnsi="宋体" w:eastAsia="宋体" w:cs="宋体"/>
                <w:color w:val="auto"/>
                <w:sz w:val="22"/>
                <w:szCs w:val="22"/>
                <w:highlight w:val="none"/>
              </w:rPr>
            </w:pPr>
          </w:p>
        </w:tc>
        <w:tc>
          <w:tcPr>
            <w:tcW w:w="720" w:type="dxa"/>
            <w:noWrap w:val="0"/>
            <w:vAlign w:val="center"/>
          </w:tcPr>
          <w:p w14:paraId="37F80626">
            <w:pPr>
              <w:spacing w:line="360" w:lineRule="auto"/>
              <w:rPr>
                <w:rFonts w:hint="eastAsia" w:ascii="宋体" w:hAnsi="宋体" w:eastAsia="宋体" w:cs="宋体"/>
                <w:color w:val="auto"/>
                <w:sz w:val="22"/>
                <w:szCs w:val="22"/>
                <w:highlight w:val="none"/>
              </w:rPr>
            </w:pPr>
          </w:p>
        </w:tc>
        <w:tc>
          <w:tcPr>
            <w:tcW w:w="720" w:type="dxa"/>
            <w:noWrap w:val="0"/>
            <w:vAlign w:val="center"/>
          </w:tcPr>
          <w:p w14:paraId="14187F58">
            <w:pPr>
              <w:spacing w:line="360" w:lineRule="auto"/>
              <w:rPr>
                <w:rFonts w:hint="eastAsia" w:ascii="宋体" w:hAnsi="宋体" w:eastAsia="宋体" w:cs="宋体"/>
                <w:color w:val="auto"/>
                <w:sz w:val="22"/>
                <w:szCs w:val="22"/>
                <w:highlight w:val="none"/>
              </w:rPr>
            </w:pPr>
          </w:p>
        </w:tc>
        <w:tc>
          <w:tcPr>
            <w:tcW w:w="720" w:type="dxa"/>
            <w:noWrap w:val="0"/>
            <w:vAlign w:val="center"/>
          </w:tcPr>
          <w:p w14:paraId="6F24CB3A">
            <w:pPr>
              <w:spacing w:line="360" w:lineRule="auto"/>
              <w:rPr>
                <w:rFonts w:hint="eastAsia" w:ascii="宋体" w:hAnsi="宋体" w:eastAsia="宋体" w:cs="宋体"/>
                <w:color w:val="auto"/>
                <w:sz w:val="22"/>
                <w:szCs w:val="22"/>
                <w:highlight w:val="none"/>
              </w:rPr>
            </w:pPr>
          </w:p>
        </w:tc>
        <w:tc>
          <w:tcPr>
            <w:tcW w:w="1080" w:type="dxa"/>
            <w:noWrap w:val="0"/>
            <w:vAlign w:val="center"/>
          </w:tcPr>
          <w:p w14:paraId="5AAE825A">
            <w:pPr>
              <w:spacing w:line="360" w:lineRule="auto"/>
              <w:rPr>
                <w:rFonts w:hint="eastAsia" w:ascii="宋体" w:hAnsi="宋体" w:eastAsia="宋体" w:cs="宋体"/>
                <w:color w:val="auto"/>
                <w:sz w:val="22"/>
                <w:szCs w:val="22"/>
                <w:highlight w:val="none"/>
              </w:rPr>
            </w:pPr>
          </w:p>
        </w:tc>
        <w:tc>
          <w:tcPr>
            <w:tcW w:w="1458" w:type="dxa"/>
            <w:noWrap w:val="0"/>
            <w:vAlign w:val="center"/>
          </w:tcPr>
          <w:p w14:paraId="79DF98AB">
            <w:pPr>
              <w:spacing w:line="360" w:lineRule="auto"/>
              <w:rPr>
                <w:rFonts w:hint="eastAsia" w:ascii="宋体" w:hAnsi="宋体" w:eastAsia="宋体" w:cs="宋体"/>
                <w:color w:val="auto"/>
                <w:sz w:val="22"/>
                <w:szCs w:val="22"/>
                <w:highlight w:val="none"/>
              </w:rPr>
            </w:pPr>
          </w:p>
        </w:tc>
        <w:tc>
          <w:tcPr>
            <w:tcW w:w="1422" w:type="dxa"/>
            <w:noWrap w:val="0"/>
            <w:vAlign w:val="center"/>
          </w:tcPr>
          <w:p w14:paraId="17DC7E52">
            <w:pPr>
              <w:spacing w:line="360" w:lineRule="auto"/>
              <w:rPr>
                <w:rFonts w:hint="eastAsia" w:ascii="宋体" w:hAnsi="宋体" w:eastAsia="宋体" w:cs="宋体"/>
                <w:color w:val="auto"/>
                <w:sz w:val="22"/>
                <w:szCs w:val="22"/>
                <w:highlight w:val="none"/>
              </w:rPr>
            </w:pPr>
          </w:p>
        </w:tc>
      </w:tr>
      <w:tr w14:paraId="27C6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3AD7C908">
            <w:pPr>
              <w:spacing w:line="360" w:lineRule="auto"/>
              <w:rPr>
                <w:rFonts w:hint="eastAsia" w:ascii="宋体" w:hAnsi="宋体" w:eastAsia="宋体" w:cs="宋体"/>
                <w:color w:val="auto"/>
                <w:sz w:val="22"/>
                <w:szCs w:val="22"/>
                <w:highlight w:val="none"/>
              </w:rPr>
            </w:pPr>
          </w:p>
        </w:tc>
        <w:tc>
          <w:tcPr>
            <w:tcW w:w="2351" w:type="dxa"/>
            <w:noWrap w:val="0"/>
            <w:vAlign w:val="center"/>
          </w:tcPr>
          <w:p w14:paraId="1E32A2CC">
            <w:pPr>
              <w:spacing w:line="360" w:lineRule="auto"/>
              <w:rPr>
                <w:rFonts w:hint="eastAsia" w:ascii="宋体" w:hAnsi="宋体" w:eastAsia="宋体" w:cs="宋体"/>
                <w:color w:val="auto"/>
                <w:sz w:val="22"/>
                <w:szCs w:val="22"/>
                <w:highlight w:val="none"/>
              </w:rPr>
            </w:pPr>
          </w:p>
        </w:tc>
        <w:tc>
          <w:tcPr>
            <w:tcW w:w="720" w:type="dxa"/>
            <w:noWrap w:val="0"/>
            <w:vAlign w:val="center"/>
          </w:tcPr>
          <w:p w14:paraId="5E8870FF">
            <w:pPr>
              <w:spacing w:line="360" w:lineRule="auto"/>
              <w:rPr>
                <w:rFonts w:hint="eastAsia" w:ascii="宋体" w:hAnsi="宋体" w:eastAsia="宋体" w:cs="宋体"/>
                <w:color w:val="auto"/>
                <w:sz w:val="22"/>
                <w:szCs w:val="22"/>
                <w:highlight w:val="none"/>
              </w:rPr>
            </w:pPr>
          </w:p>
        </w:tc>
        <w:tc>
          <w:tcPr>
            <w:tcW w:w="720" w:type="dxa"/>
            <w:noWrap w:val="0"/>
            <w:vAlign w:val="center"/>
          </w:tcPr>
          <w:p w14:paraId="6129939F">
            <w:pPr>
              <w:spacing w:line="360" w:lineRule="auto"/>
              <w:rPr>
                <w:rFonts w:hint="eastAsia" w:ascii="宋体" w:hAnsi="宋体" w:eastAsia="宋体" w:cs="宋体"/>
                <w:color w:val="auto"/>
                <w:sz w:val="22"/>
                <w:szCs w:val="22"/>
                <w:highlight w:val="none"/>
              </w:rPr>
            </w:pPr>
          </w:p>
        </w:tc>
        <w:tc>
          <w:tcPr>
            <w:tcW w:w="720" w:type="dxa"/>
            <w:noWrap w:val="0"/>
            <w:vAlign w:val="center"/>
          </w:tcPr>
          <w:p w14:paraId="12D3288E">
            <w:pPr>
              <w:spacing w:line="360" w:lineRule="auto"/>
              <w:rPr>
                <w:rFonts w:hint="eastAsia" w:ascii="宋体" w:hAnsi="宋体" w:eastAsia="宋体" w:cs="宋体"/>
                <w:color w:val="auto"/>
                <w:sz w:val="22"/>
                <w:szCs w:val="22"/>
                <w:highlight w:val="none"/>
              </w:rPr>
            </w:pPr>
          </w:p>
        </w:tc>
        <w:tc>
          <w:tcPr>
            <w:tcW w:w="1080" w:type="dxa"/>
            <w:noWrap w:val="0"/>
            <w:vAlign w:val="center"/>
          </w:tcPr>
          <w:p w14:paraId="7F1DFD6A">
            <w:pPr>
              <w:spacing w:line="360" w:lineRule="auto"/>
              <w:rPr>
                <w:rFonts w:hint="eastAsia" w:ascii="宋体" w:hAnsi="宋体" w:eastAsia="宋体" w:cs="宋体"/>
                <w:color w:val="auto"/>
                <w:sz w:val="22"/>
                <w:szCs w:val="22"/>
                <w:highlight w:val="none"/>
              </w:rPr>
            </w:pPr>
          </w:p>
        </w:tc>
        <w:tc>
          <w:tcPr>
            <w:tcW w:w="1458" w:type="dxa"/>
            <w:noWrap w:val="0"/>
            <w:vAlign w:val="center"/>
          </w:tcPr>
          <w:p w14:paraId="39F78D7A">
            <w:pPr>
              <w:spacing w:line="360" w:lineRule="auto"/>
              <w:rPr>
                <w:rFonts w:hint="eastAsia" w:ascii="宋体" w:hAnsi="宋体" w:eastAsia="宋体" w:cs="宋体"/>
                <w:color w:val="auto"/>
                <w:sz w:val="22"/>
                <w:szCs w:val="22"/>
                <w:highlight w:val="none"/>
              </w:rPr>
            </w:pPr>
          </w:p>
        </w:tc>
        <w:tc>
          <w:tcPr>
            <w:tcW w:w="1422" w:type="dxa"/>
            <w:noWrap w:val="0"/>
            <w:vAlign w:val="center"/>
          </w:tcPr>
          <w:p w14:paraId="17CFAD6B">
            <w:pPr>
              <w:spacing w:line="360" w:lineRule="auto"/>
              <w:rPr>
                <w:rFonts w:hint="eastAsia" w:ascii="宋体" w:hAnsi="宋体" w:eastAsia="宋体" w:cs="宋体"/>
                <w:color w:val="auto"/>
                <w:sz w:val="22"/>
                <w:szCs w:val="22"/>
                <w:highlight w:val="none"/>
              </w:rPr>
            </w:pPr>
          </w:p>
        </w:tc>
      </w:tr>
      <w:tr w14:paraId="0B75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767CAF30">
            <w:pPr>
              <w:spacing w:line="360" w:lineRule="auto"/>
              <w:rPr>
                <w:rFonts w:hint="eastAsia" w:ascii="宋体" w:hAnsi="宋体" w:eastAsia="宋体" w:cs="宋体"/>
                <w:color w:val="auto"/>
                <w:sz w:val="22"/>
                <w:szCs w:val="22"/>
                <w:highlight w:val="none"/>
              </w:rPr>
            </w:pPr>
          </w:p>
        </w:tc>
        <w:tc>
          <w:tcPr>
            <w:tcW w:w="2351" w:type="dxa"/>
            <w:noWrap w:val="0"/>
            <w:vAlign w:val="center"/>
          </w:tcPr>
          <w:p w14:paraId="0FC52193">
            <w:pPr>
              <w:spacing w:line="360" w:lineRule="auto"/>
              <w:rPr>
                <w:rFonts w:hint="eastAsia" w:ascii="宋体" w:hAnsi="宋体" w:eastAsia="宋体" w:cs="宋体"/>
                <w:color w:val="auto"/>
                <w:sz w:val="22"/>
                <w:szCs w:val="22"/>
                <w:highlight w:val="none"/>
              </w:rPr>
            </w:pPr>
          </w:p>
        </w:tc>
        <w:tc>
          <w:tcPr>
            <w:tcW w:w="720" w:type="dxa"/>
            <w:noWrap w:val="0"/>
            <w:vAlign w:val="center"/>
          </w:tcPr>
          <w:p w14:paraId="4156B994">
            <w:pPr>
              <w:spacing w:line="360" w:lineRule="auto"/>
              <w:rPr>
                <w:rFonts w:hint="eastAsia" w:ascii="宋体" w:hAnsi="宋体" w:eastAsia="宋体" w:cs="宋体"/>
                <w:color w:val="auto"/>
                <w:sz w:val="22"/>
                <w:szCs w:val="22"/>
                <w:highlight w:val="none"/>
              </w:rPr>
            </w:pPr>
          </w:p>
        </w:tc>
        <w:tc>
          <w:tcPr>
            <w:tcW w:w="720" w:type="dxa"/>
            <w:noWrap w:val="0"/>
            <w:vAlign w:val="center"/>
          </w:tcPr>
          <w:p w14:paraId="6BB82A68">
            <w:pPr>
              <w:spacing w:line="360" w:lineRule="auto"/>
              <w:rPr>
                <w:rFonts w:hint="eastAsia" w:ascii="宋体" w:hAnsi="宋体" w:eastAsia="宋体" w:cs="宋体"/>
                <w:color w:val="auto"/>
                <w:sz w:val="22"/>
                <w:szCs w:val="22"/>
                <w:highlight w:val="none"/>
              </w:rPr>
            </w:pPr>
          </w:p>
        </w:tc>
        <w:tc>
          <w:tcPr>
            <w:tcW w:w="720" w:type="dxa"/>
            <w:noWrap w:val="0"/>
            <w:vAlign w:val="center"/>
          </w:tcPr>
          <w:p w14:paraId="66E8383A">
            <w:pPr>
              <w:spacing w:line="360" w:lineRule="auto"/>
              <w:rPr>
                <w:rFonts w:hint="eastAsia" w:ascii="宋体" w:hAnsi="宋体" w:eastAsia="宋体" w:cs="宋体"/>
                <w:color w:val="auto"/>
                <w:sz w:val="22"/>
                <w:szCs w:val="22"/>
                <w:highlight w:val="none"/>
              </w:rPr>
            </w:pPr>
          </w:p>
        </w:tc>
        <w:tc>
          <w:tcPr>
            <w:tcW w:w="1080" w:type="dxa"/>
            <w:noWrap w:val="0"/>
            <w:vAlign w:val="center"/>
          </w:tcPr>
          <w:p w14:paraId="0B6ABF27">
            <w:pPr>
              <w:spacing w:line="360" w:lineRule="auto"/>
              <w:rPr>
                <w:rFonts w:hint="eastAsia" w:ascii="宋体" w:hAnsi="宋体" w:eastAsia="宋体" w:cs="宋体"/>
                <w:color w:val="auto"/>
                <w:sz w:val="22"/>
                <w:szCs w:val="22"/>
                <w:highlight w:val="none"/>
              </w:rPr>
            </w:pPr>
          </w:p>
        </w:tc>
        <w:tc>
          <w:tcPr>
            <w:tcW w:w="1458" w:type="dxa"/>
            <w:noWrap w:val="0"/>
            <w:vAlign w:val="center"/>
          </w:tcPr>
          <w:p w14:paraId="10453BDB">
            <w:pPr>
              <w:spacing w:line="360" w:lineRule="auto"/>
              <w:rPr>
                <w:rFonts w:hint="eastAsia" w:ascii="宋体" w:hAnsi="宋体" w:eastAsia="宋体" w:cs="宋体"/>
                <w:color w:val="auto"/>
                <w:sz w:val="22"/>
                <w:szCs w:val="22"/>
                <w:highlight w:val="none"/>
              </w:rPr>
            </w:pPr>
          </w:p>
        </w:tc>
        <w:tc>
          <w:tcPr>
            <w:tcW w:w="1422" w:type="dxa"/>
            <w:noWrap w:val="0"/>
            <w:vAlign w:val="center"/>
          </w:tcPr>
          <w:p w14:paraId="75D3EB6C">
            <w:pPr>
              <w:spacing w:line="360" w:lineRule="auto"/>
              <w:rPr>
                <w:rFonts w:hint="eastAsia" w:ascii="宋体" w:hAnsi="宋体" w:eastAsia="宋体" w:cs="宋体"/>
                <w:color w:val="auto"/>
                <w:sz w:val="22"/>
                <w:szCs w:val="22"/>
                <w:highlight w:val="none"/>
              </w:rPr>
            </w:pPr>
          </w:p>
        </w:tc>
      </w:tr>
      <w:tr w14:paraId="274D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317A9E96">
            <w:pPr>
              <w:spacing w:line="360" w:lineRule="auto"/>
              <w:rPr>
                <w:rFonts w:hint="eastAsia" w:ascii="宋体" w:hAnsi="宋体" w:eastAsia="宋体" w:cs="宋体"/>
                <w:color w:val="auto"/>
                <w:sz w:val="22"/>
                <w:szCs w:val="22"/>
                <w:highlight w:val="none"/>
              </w:rPr>
            </w:pPr>
          </w:p>
        </w:tc>
        <w:tc>
          <w:tcPr>
            <w:tcW w:w="2351" w:type="dxa"/>
            <w:noWrap w:val="0"/>
            <w:vAlign w:val="center"/>
          </w:tcPr>
          <w:p w14:paraId="0864DE25">
            <w:pPr>
              <w:spacing w:line="360" w:lineRule="auto"/>
              <w:rPr>
                <w:rFonts w:hint="eastAsia" w:ascii="宋体" w:hAnsi="宋体" w:eastAsia="宋体" w:cs="宋体"/>
                <w:color w:val="auto"/>
                <w:sz w:val="22"/>
                <w:szCs w:val="22"/>
                <w:highlight w:val="none"/>
              </w:rPr>
            </w:pPr>
          </w:p>
        </w:tc>
        <w:tc>
          <w:tcPr>
            <w:tcW w:w="720" w:type="dxa"/>
            <w:noWrap w:val="0"/>
            <w:vAlign w:val="center"/>
          </w:tcPr>
          <w:p w14:paraId="668B0ED1">
            <w:pPr>
              <w:spacing w:line="360" w:lineRule="auto"/>
              <w:rPr>
                <w:rFonts w:hint="eastAsia" w:ascii="宋体" w:hAnsi="宋体" w:eastAsia="宋体" w:cs="宋体"/>
                <w:color w:val="auto"/>
                <w:sz w:val="22"/>
                <w:szCs w:val="22"/>
                <w:highlight w:val="none"/>
              </w:rPr>
            </w:pPr>
          </w:p>
        </w:tc>
        <w:tc>
          <w:tcPr>
            <w:tcW w:w="720" w:type="dxa"/>
            <w:noWrap w:val="0"/>
            <w:vAlign w:val="center"/>
          </w:tcPr>
          <w:p w14:paraId="28BC1BA7">
            <w:pPr>
              <w:spacing w:line="360" w:lineRule="auto"/>
              <w:rPr>
                <w:rFonts w:hint="eastAsia" w:ascii="宋体" w:hAnsi="宋体" w:eastAsia="宋体" w:cs="宋体"/>
                <w:color w:val="auto"/>
                <w:sz w:val="22"/>
                <w:szCs w:val="22"/>
                <w:highlight w:val="none"/>
              </w:rPr>
            </w:pPr>
          </w:p>
        </w:tc>
        <w:tc>
          <w:tcPr>
            <w:tcW w:w="720" w:type="dxa"/>
            <w:noWrap w:val="0"/>
            <w:vAlign w:val="center"/>
          </w:tcPr>
          <w:p w14:paraId="0058055D">
            <w:pPr>
              <w:spacing w:line="360" w:lineRule="auto"/>
              <w:rPr>
                <w:rFonts w:hint="eastAsia" w:ascii="宋体" w:hAnsi="宋体" w:eastAsia="宋体" w:cs="宋体"/>
                <w:color w:val="auto"/>
                <w:sz w:val="22"/>
                <w:szCs w:val="22"/>
                <w:highlight w:val="none"/>
              </w:rPr>
            </w:pPr>
          </w:p>
        </w:tc>
        <w:tc>
          <w:tcPr>
            <w:tcW w:w="1080" w:type="dxa"/>
            <w:noWrap w:val="0"/>
            <w:vAlign w:val="center"/>
          </w:tcPr>
          <w:p w14:paraId="139557D9">
            <w:pPr>
              <w:spacing w:line="360" w:lineRule="auto"/>
              <w:rPr>
                <w:rFonts w:hint="eastAsia" w:ascii="宋体" w:hAnsi="宋体" w:eastAsia="宋体" w:cs="宋体"/>
                <w:color w:val="auto"/>
                <w:sz w:val="22"/>
                <w:szCs w:val="22"/>
                <w:highlight w:val="none"/>
              </w:rPr>
            </w:pPr>
          </w:p>
        </w:tc>
        <w:tc>
          <w:tcPr>
            <w:tcW w:w="1458" w:type="dxa"/>
            <w:noWrap w:val="0"/>
            <w:vAlign w:val="center"/>
          </w:tcPr>
          <w:p w14:paraId="238435CB">
            <w:pPr>
              <w:spacing w:line="360" w:lineRule="auto"/>
              <w:rPr>
                <w:rFonts w:hint="eastAsia" w:ascii="宋体" w:hAnsi="宋体" w:eastAsia="宋体" w:cs="宋体"/>
                <w:color w:val="auto"/>
                <w:sz w:val="22"/>
                <w:szCs w:val="22"/>
                <w:highlight w:val="none"/>
              </w:rPr>
            </w:pPr>
          </w:p>
        </w:tc>
        <w:tc>
          <w:tcPr>
            <w:tcW w:w="1422" w:type="dxa"/>
            <w:noWrap w:val="0"/>
            <w:vAlign w:val="center"/>
          </w:tcPr>
          <w:p w14:paraId="23A2CA34">
            <w:pPr>
              <w:spacing w:line="360" w:lineRule="auto"/>
              <w:rPr>
                <w:rFonts w:hint="eastAsia" w:ascii="宋体" w:hAnsi="宋体" w:eastAsia="宋体" w:cs="宋体"/>
                <w:color w:val="auto"/>
                <w:sz w:val="22"/>
                <w:szCs w:val="22"/>
                <w:highlight w:val="none"/>
              </w:rPr>
            </w:pPr>
          </w:p>
        </w:tc>
      </w:tr>
      <w:tr w14:paraId="65AC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66CE9FE0">
            <w:pPr>
              <w:spacing w:line="360" w:lineRule="auto"/>
              <w:rPr>
                <w:rFonts w:hint="eastAsia" w:ascii="宋体" w:hAnsi="宋体" w:eastAsia="宋体" w:cs="宋体"/>
                <w:color w:val="auto"/>
                <w:sz w:val="22"/>
                <w:szCs w:val="22"/>
                <w:highlight w:val="none"/>
              </w:rPr>
            </w:pPr>
          </w:p>
        </w:tc>
        <w:tc>
          <w:tcPr>
            <w:tcW w:w="2351" w:type="dxa"/>
            <w:noWrap w:val="0"/>
            <w:vAlign w:val="center"/>
          </w:tcPr>
          <w:p w14:paraId="1FA0488B">
            <w:pPr>
              <w:spacing w:line="360" w:lineRule="auto"/>
              <w:rPr>
                <w:rFonts w:hint="eastAsia" w:ascii="宋体" w:hAnsi="宋体" w:eastAsia="宋体" w:cs="宋体"/>
                <w:color w:val="auto"/>
                <w:sz w:val="22"/>
                <w:szCs w:val="22"/>
                <w:highlight w:val="none"/>
              </w:rPr>
            </w:pPr>
          </w:p>
        </w:tc>
        <w:tc>
          <w:tcPr>
            <w:tcW w:w="720" w:type="dxa"/>
            <w:noWrap w:val="0"/>
            <w:vAlign w:val="center"/>
          </w:tcPr>
          <w:p w14:paraId="34A0E133">
            <w:pPr>
              <w:spacing w:line="360" w:lineRule="auto"/>
              <w:rPr>
                <w:rFonts w:hint="eastAsia" w:ascii="宋体" w:hAnsi="宋体" w:eastAsia="宋体" w:cs="宋体"/>
                <w:color w:val="auto"/>
                <w:sz w:val="22"/>
                <w:szCs w:val="22"/>
                <w:highlight w:val="none"/>
              </w:rPr>
            </w:pPr>
          </w:p>
        </w:tc>
        <w:tc>
          <w:tcPr>
            <w:tcW w:w="720" w:type="dxa"/>
            <w:noWrap w:val="0"/>
            <w:vAlign w:val="center"/>
          </w:tcPr>
          <w:p w14:paraId="6A9F26B5">
            <w:pPr>
              <w:spacing w:line="360" w:lineRule="auto"/>
              <w:rPr>
                <w:rFonts w:hint="eastAsia" w:ascii="宋体" w:hAnsi="宋体" w:eastAsia="宋体" w:cs="宋体"/>
                <w:color w:val="auto"/>
                <w:sz w:val="22"/>
                <w:szCs w:val="22"/>
                <w:highlight w:val="none"/>
              </w:rPr>
            </w:pPr>
          </w:p>
        </w:tc>
        <w:tc>
          <w:tcPr>
            <w:tcW w:w="720" w:type="dxa"/>
            <w:noWrap w:val="0"/>
            <w:vAlign w:val="center"/>
          </w:tcPr>
          <w:p w14:paraId="4ADFBBEB">
            <w:pPr>
              <w:spacing w:line="360" w:lineRule="auto"/>
              <w:rPr>
                <w:rFonts w:hint="eastAsia" w:ascii="宋体" w:hAnsi="宋体" w:eastAsia="宋体" w:cs="宋体"/>
                <w:color w:val="auto"/>
                <w:sz w:val="22"/>
                <w:szCs w:val="22"/>
                <w:highlight w:val="none"/>
              </w:rPr>
            </w:pPr>
          </w:p>
        </w:tc>
        <w:tc>
          <w:tcPr>
            <w:tcW w:w="1080" w:type="dxa"/>
            <w:noWrap w:val="0"/>
            <w:vAlign w:val="center"/>
          </w:tcPr>
          <w:p w14:paraId="72D0074F">
            <w:pPr>
              <w:spacing w:line="360" w:lineRule="auto"/>
              <w:rPr>
                <w:rFonts w:hint="eastAsia" w:ascii="宋体" w:hAnsi="宋体" w:eastAsia="宋体" w:cs="宋体"/>
                <w:color w:val="auto"/>
                <w:sz w:val="22"/>
                <w:szCs w:val="22"/>
                <w:highlight w:val="none"/>
              </w:rPr>
            </w:pPr>
          </w:p>
        </w:tc>
        <w:tc>
          <w:tcPr>
            <w:tcW w:w="1458" w:type="dxa"/>
            <w:noWrap w:val="0"/>
            <w:vAlign w:val="center"/>
          </w:tcPr>
          <w:p w14:paraId="28384B19">
            <w:pPr>
              <w:spacing w:line="360" w:lineRule="auto"/>
              <w:rPr>
                <w:rFonts w:hint="eastAsia" w:ascii="宋体" w:hAnsi="宋体" w:eastAsia="宋体" w:cs="宋体"/>
                <w:color w:val="auto"/>
                <w:sz w:val="22"/>
                <w:szCs w:val="22"/>
                <w:highlight w:val="none"/>
              </w:rPr>
            </w:pPr>
          </w:p>
        </w:tc>
        <w:tc>
          <w:tcPr>
            <w:tcW w:w="1422" w:type="dxa"/>
            <w:noWrap w:val="0"/>
            <w:vAlign w:val="center"/>
          </w:tcPr>
          <w:p w14:paraId="73929E30">
            <w:pPr>
              <w:spacing w:line="360" w:lineRule="auto"/>
              <w:rPr>
                <w:rFonts w:hint="eastAsia" w:ascii="宋体" w:hAnsi="宋体" w:eastAsia="宋体" w:cs="宋体"/>
                <w:color w:val="auto"/>
                <w:sz w:val="22"/>
                <w:szCs w:val="22"/>
                <w:highlight w:val="none"/>
              </w:rPr>
            </w:pPr>
          </w:p>
        </w:tc>
      </w:tr>
      <w:tr w14:paraId="669F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74FA0C91">
            <w:pPr>
              <w:spacing w:line="360" w:lineRule="auto"/>
              <w:rPr>
                <w:rFonts w:hint="eastAsia" w:ascii="宋体" w:hAnsi="宋体" w:eastAsia="宋体" w:cs="宋体"/>
                <w:color w:val="auto"/>
                <w:sz w:val="22"/>
                <w:szCs w:val="22"/>
                <w:highlight w:val="none"/>
              </w:rPr>
            </w:pPr>
          </w:p>
        </w:tc>
        <w:tc>
          <w:tcPr>
            <w:tcW w:w="2351" w:type="dxa"/>
            <w:noWrap w:val="0"/>
            <w:vAlign w:val="center"/>
          </w:tcPr>
          <w:p w14:paraId="39279D8B">
            <w:pPr>
              <w:spacing w:line="360" w:lineRule="auto"/>
              <w:rPr>
                <w:rFonts w:hint="eastAsia" w:ascii="宋体" w:hAnsi="宋体" w:eastAsia="宋体" w:cs="宋体"/>
                <w:color w:val="auto"/>
                <w:sz w:val="22"/>
                <w:szCs w:val="22"/>
                <w:highlight w:val="none"/>
              </w:rPr>
            </w:pPr>
          </w:p>
        </w:tc>
        <w:tc>
          <w:tcPr>
            <w:tcW w:w="720" w:type="dxa"/>
            <w:noWrap w:val="0"/>
            <w:vAlign w:val="center"/>
          </w:tcPr>
          <w:p w14:paraId="1C93B947">
            <w:pPr>
              <w:spacing w:line="360" w:lineRule="auto"/>
              <w:rPr>
                <w:rFonts w:hint="eastAsia" w:ascii="宋体" w:hAnsi="宋体" w:eastAsia="宋体" w:cs="宋体"/>
                <w:color w:val="auto"/>
                <w:sz w:val="22"/>
                <w:szCs w:val="22"/>
                <w:highlight w:val="none"/>
              </w:rPr>
            </w:pPr>
          </w:p>
        </w:tc>
        <w:tc>
          <w:tcPr>
            <w:tcW w:w="720" w:type="dxa"/>
            <w:noWrap w:val="0"/>
            <w:vAlign w:val="center"/>
          </w:tcPr>
          <w:p w14:paraId="051DB0EA">
            <w:pPr>
              <w:spacing w:line="360" w:lineRule="auto"/>
              <w:rPr>
                <w:rFonts w:hint="eastAsia" w:ascii="宋体" w:hAnsi="宋体" w:eastAsia="宋体" w:cs="宋体"/>
                <w:color w:val="auto"/>
                <w:sz w:val="22"/>
                <w:szCs w:val="22"/>
                <w:highlight w:val="none"/>
              </w:rPr>
            </w:pPr>
          </w:p>
        </w:tc>
        <w:tc>
          <w:tcPr>
            <w:tcW w:w="720" w:type="dxa"/>
            <w:noWrap w:val="0"/>
            <w:vAlign w:val="center"/>
          </w:tcPr>
          <w:p w14:paraId="574E095B">
            <w:pPr>
              <w:spacing w:line="360" w:lineRule="auto"/>
              <w:rPr>
                <w:rFonts w:hint="eastAsia" w:ascii="宋体" w:hAnsi="宋体" w:eastAsia="宋体" w:cs="宋体"/>
                <w:color w:val="auto"/>
                <w:sz w:val="22"/>
                <w:szCs w:val="22"/>
                <w:highlight w:val="none"/>
              </w:rPr>
            </w:pPr>
          </w:p>
        </w:tc>
        <w:tc>
          <w:tcPr>
            <w:tcW w:w="1080" w:type="dxa"/>
            <w:noWrap w:val="0"/>
            <w:vAlign w:val="center"/>
          </w:tcPr>
          <w:p w14:paraId="44C0B6CF">
            <w:pPr>
              <w:spacing w:line="360" w:lineRule="auto"/>
              <w:rPr>
                <w:rFonts w:hint="eastAsia" w:ascii="宋体" w:hAnsi="宋体" w:eastAsia="宋体" w:cs="宋体"/>
                <w:color w:val="auto"/>
                <w:sz w:val="22"/>
                <w:szCs w:val="22"/>
                <w:highlight w:val="none"/>
              </w:rPr>
            </w:pPr>
          </w:p>
        </w:tc>
        <w:tc>
          <w:tcPr>
            <w:tcW w:w="1458" w:type="dxa"/>
            <w:noWrap w:val="0"/>
            <w:vAlign w:val="center"/>
          </w:tcPr>
          <w:p w14:paraId="0C7AD9A6">
            <w:pPr>
              <w:spacing w:line="360" w:lineRule="auto"/>
              <w:rPr>
                <w:rFonts w:hint="eastAsia" w:ascii="宋体" w:hAnsi="宋体" w:eastAsia="宋体" w:cs="宋体"/>
                <w:color w:val="auto"/>
                <w:sz w:val="22"/>
                <w:szCs w:val="22"/>
                <w:highlight w:val="none"/>
              </w:rPr>
            </w:pPr>
          </w:p>
        </w:tc>
        <w:tc>
          <w:tcPr>
            <w:tcW w:w="1422" w:type="dxa"/>
            <w:noWrap w:val="0"/>
            <w:vAlign w:val="center"/>
          </w:tcPr>
          <w:p w14:paraId="1140047C">
            <w:pPr>
              <w:spacing w:line="360" w:lineRule="auto"/>
              <w:rPr>
                <w:rFonts w:hint="eastAsia" w:ascii="宋体" w:hAnsi="宋体" w:eastAsia="宋体" w:cs="宋体"/>
                <w:color w:val="auto"/>
                <w:sz w:val="22"/>
                <w:szCs w:val="22"/>
                <w:highlight w:val="none"/>
              </w:rPr>
            </w:pPr>
          </w:p>
        </w:tc>
      </w:tr>
      <w:tr w14:paraId="0F49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1D701B11">
            <w:pPr>
              <w:spacing w:line="360" w:lineRule="auto"/>
              <w:rPr>
                <w:rFonts w:hint="eastAsia" w:ascii="宋体" w:hAnsi="宋体" w:eastAsia="宋体" w:cs="宋体"/>
                <w:color w:val="auto"/>
                <w:sz w:val="22"/>
                <w:szCs w:val="22"/>
                <w:highlight w:val="none"/>
              </w:rPr>
            </w:pPr>
          </w:p>
        </w:tc>
        <w:tc>
          <w:tcPr>
            <w:tcW w:w="2351" w:type="dxa"/>
            <w:noWrap w:val="0"/>
            <w:vAlign w:val="center"/>
          </w:tcPr>
          <w:p w14:paraId="6E11C7D6">
            <w:pPr>
              <w:spacing w:line="360" w:lineRule="auto"/>
              <w:rPr>
                <w:rFonts w:hint="eastAsia" w:ascii="宋体" w:hAnsi="宋体" w:eastAsia="宋体" w:cs="宋体"/>
                <w:color w:val="auto"/>
                <w:sz w:val="22"/>
                <w:szCs w:val="22"/>
                <w:highlight w:val="none"/>
              </w:rPr>
            </w:pPr>
          </w:p>
        </w:tc>
        <w:tc>
          <w:tcPr>
            <w:tcW w:w="720" w:type="dxa"/>
            <w:noWrap w:val="0"/>
            <w:vAlign w:val="center"/>
          </w:tcPr>
          <w:p w14:paraId="44B11A0C">
            <w:pPr>
              <w:spacing w:line="360" w:lineRule="auto"/>
              <w:rPr>
                <w:rFonts w:hint="eastAsia" w:ascii="宋体" w:hAnsi="宋体" w:eastAsia="宋体" w:cs="宋体"/>
                <w:color w:val="auto"/>
                <w:sz w:val="22"/>
                <w:szCs w:val="22"/>
                <w:highlight w:val="none"/>
              </w:rPr>
            </w:pPr>
          </w:p>
        </w:tc>
        <w:tc>
          <w:tcPr>
            <w:tcW w:w="720" w:type="dxa"/>
            <w:noWrap w:val="0"/>
            <w:vAlign w:val="center"/>
          </w:tcPr>
          <w:p w14:paraId="05B0C99D">
            <w:pPr>
              <w:spacing w:line="360" w:lineRule="auto"/>
              <w:rPr>
                <w:rFonts w:hint="eastAsia" w:ascii="宋体" w:hAnsi="宋体" w:eastAsia="宋体" w:cs="宋体"/>
                <w:color w:val="auto"/>
                <w:sz w:val="22"/>
                <w:szCs w:val="22"/>
                <w:highlight w:val="none"/>
              </w:rPr>
            </w:pPr>
          </w:p>
        </w:tc>
        <w:tc>
          <w:tcPr>
            <w:tcW w:w="720" w:type="dxa"/>
            <w:noWrap w:val="0"/>
            <w:vAlign w:val="center"/>
          </w:tcPr>
          <w:p w14:paraId="26F15837">
            <w:pPr>
              <w:spacing w:line="360" w:lineRule="auto"/>
              <w:rPr>
                <w:rFonts w:hint="eastAsia" w:ascii="宋体" w:hAnsi="宋体" w:eastAsia="宋体" w:cs="宋体"/>
                <w:color w:val="auto"/>
                <w:sz w:val="22"/>
                <w:szCs w:val="22"/>
                <w:highlight w:val="none"/>
              </w:rPr>
            </w:pPr>
          </w:p>
        </w:tc>
        <w:tc>
          <w:tcPr>
            <w:tcW w:w="1080" w:type="dxa"/>
            <w:noWrap w:val="0"/>
            <w:vAlign w:val="center"/>
          </w:tcPr>
          <w:p w14:paraId="384773BD">
            <w:pPr>
              <w:spacing w:line="360" w:lineRule="auto"/>
              <w:rPr>
                <w:rFonts w:hint="eastAsia" w:ascii="宋体" w:hAnsi="宋体" w:eastAsia="宋体" w:cs="宋体"/>
                <w:color w:val="auto"/>
                <w:sz w:val="22"/>
                <w:szCs w:val="22"/>
                <w:highlight w:val="none"/>
              </w:rPr>
            </w:pPr>
          </w:p>
        </w:tc>
        <w:tc>
          <w:tcPr>
            <w:tcW w:w="1458" w:type="dxa"/>
            <w:noWrap w:val="0"/>
            <w:vAlign w:val="center"/>
          </w:tcPr>
          <w:p w14:paraId="14094839">
            <w:pPr>
              <w:spacing w:line="360" w:lineRule="auto"/>
              <w:rPr>
                <w:rFonts w:hint="eastAsia" w:ascii="宋体" w:hAnsi="宋体" w:eastAsia="宋体" w:cs="宋体"/>
                <w:color w:val="auto"/>
                <w:sz w:val="22"/>
                <w:szCs w:val="22"/>
                <w:highlight w:val="none"/>
              </w:rPr>
            </w:pPr>
          </w:p>
        </w:tc>
        <w:tc>
          <w:tcPr>
            <w:tcW w:w="1422" w:type="dxa"/>
            <w:noWrap w:val="0"/>
            <w:vAlign w:val="center"/>
          </w:tcPr>
          <w:p w14:paraId="5FA01AC8">
            <w:pPr>
              <w:spacing w:line="360" w:lineRule="auto"/>
              <w:rPr>
                <w:rFonts w:hint="eastAsia" w:ascii="宋体" w:hAnsi="宋体" w:eastAsia="宋体" w:cs="宋体"/>
                <w:color w:val="auto"/>
                <w:sz w:val="22"/>
                <w:szCs w:val="22"/>
                <w:highlight w:val="none"/>
              </w:rPr>
            </w:pPr>
          </w:p>
        </w:tc>
      </w:tr>
      <w:tr w14:paraId="43D3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06E44AF3">
            <w:pPr>
              <w:spacing w:line="360" w:lineRule="auto"/>
              <w:rPr>
                <w:rFonts w:hint="eastAsia" w:ascii="宋体" w:hAnsi="宋体" w:eastAsia="宋体" w:cs="宋体"/>
                <w:color w:val="auto"/>
                <w:sz w:val="22"/>
                <w:szCs w:val="22"/>
                <w:highlight w:val="none"/>
              </w:rPr>
            </w:pPr>
          </w:p>
        </w:tc>
        <w:tc>
          <w:tcPr>
            <w:tcW w:w="2351" w:type="dxa"/>
            <w:noWrap w:val="0"/>
            <w:vAlign w:val="center"/>
          </w:tcPr>
          <w:p w14:paraId="206B1D4E">
            <w:pPr>
              <w:spacing w:line="360" w:lineRule="auto"/>
              <w:rPr>
                <w:rFonts w:hint="eastAsia" w:ascii="宋体" w:hAnsi="宋体" w:eastAsia="宋体" w:cs="宋体"/>
                <w:color w:val="auto"/>
                <w:sz w:val="22"/>
                <w:szCs w:val="22"/>
                <w:highlight w:val="none"/>
              </w:rPr>
            </w:pPr>
          </w:p>
        </w:tc>
        <w:tc>
          <w:tcPr>
            <w:tcW w:w="720" w:type="dxa"/>
            <w:noWrap w:val="0"/>
            <w:vAlign w:val="center"/>
          </w:tcPr>
          <w:p w14:paraId="6685117D">
            <w:pPr>
              <w:spacing w:line="360" w:lineRule="auto"/>
              <w:rPr>
                <w:rFonts w:hint="eastAsia" w:ascii="宋体" w:hAnsi="宋体" w:eastAsia="宋体" w:cs="宋体"/>
                <w:color w:val="auto"/>
                <w:sz w:val="22"/>
                <w:szCs w:val="22"/>
                <w:highlight w:val="none"/>
              </w:rPr>
            </w:pPr>
          </w:p>
        </w:tc>
        <w:tc>
          <w:tcPr>
            <w:tcW w:w="720" w:type="dxa"/>
            <w:noWrap w:val="0"/>
            <w:vAlign w:val="center"/>
          </w:tcPr>
          <w:p w14:paraId="2F5A2C4E">
            <w:pPr>
              <w:spacing w:line="360" w:lineRule="auto"/>
              <w:rPr>
                <w:rFonts w:hint="eastAsia" w:ascii="宋体" w:hAnsi="宋体" w:eastAsia="宋体" w:cs="宋体"/>
                <w:color w:val="auto"/>
                <w:sz w:val="22"/>
                <w:szCs w:val="22"/>
                <w:highlight w:val="none"/>
              </w:rPr>
            </w:pPr>
          </w:p>
        </w:tc>
        <w:tc>
          <w:tcPr>
            <w:tcW w:w="720" w:type="dxa"/>
            <w:noWrap w:val="0"/>
            <w:vAlign w:val="center"/>
          </w:tcPr>
          <w:p w14:paraId="7C85067A">
            <w:pPr>
              <w:spacing w:line="360" w:lineRule="auto"/>
              <w:rPr>
                <w:rFonts w:hint="eastAsia" w:ascii="宋体" w:hAnsi="宋体" w:eastAsia="宋体" w:cs="宋体"/>
                <w:color w:val="auto"/>
                <w:sz w:val="22"/>
                <w:szCs w:val="22"/>
                <w:highlight w:val="none"/>
              </w:rPr>
            </w:pPr>
          </w:p>
        </w:tc>
        <w:tc>
          <w:tcPr>
            <w:tcW w:w="1080" w:type="dxa"/>
            <w:noWrap w:val="0"/>
            <w:vAlign w:val="center"/>
          </w:tcPr>
          <w:p w14:paraId="08C9F258">
            <w:pPr>
              <w:spacing w:line="360" w:lineRule="auto"/>
              <w:rPr>
                <w:rFonts w:hint="eastAsia" w:ascii="宋体" w:hAnsi="宋体" w:eastAsia="宋体" w:cs="宋体"/>
                <w:color w:val="auto"/>
                <w:sz w:val="22"/>
                <w:szCs w:val="22"/>
                <w:highlight w:val="none"/>
              </w:rPr>
            </w:pPr>
          </w:p>
        </w:tc>
        <w:tc>
          <w:tcPr>
            <w:tcW w:w="1458" w:type="dxa"/>
            <w:noWrap w:val="0"/>
            <w:vAlign w:val="center"/>
          </w:tcPr>
          <w:p w14:paraId="61058E91">
            <w:pPr>
              <w:spacing w:line="360" w:lineRule="auto"/>
              <w:rPr>
                <w:rFonts w:hint="eastAsia" w:ascii="宋体" w:hAnsi="宋体" w:eastAsia="宋体" w:cs="宋体"/>
                <w:color w:val="auto"/>
                <w:sz w:val="22"/>
                <w:szCs w:val="22"/>
                <w:highlight w:val="none"/>
              </w:rPr>
            </w:pPr>
          </w:p>
        </w:tc>
        <w:tc>
          <w:tcPr>
            <w:tcW w:w="1422" w:type="dxa"/>
            <w:noWrap w:val="0"/>
            <w:vAlign w:val="center"/>
          </w:tcPr>
          <w:p w14:paraId="48B21717">
            <w:pPr>
              <w:spacing w:line="360" w:lineRule="auto"/>
              <w:rPr>
                <w:rFonts w:hint="eastAsia" w:ascii="宋体" w:hAnsi="宋体" w:eastAsia="宋体" w:cs="宋体"/>
                <w:color w:val="auto"/>
                <w:sz w:val="22"/>
                <w:szCs w:val="22"/>
                <w:highlight w:val="none"/>
              </w:rPr>
            </w:pPr>
          </w:p>
        </w:tc>
      </w:tr>
      <w:tr w14:paraId="4E47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22A59ECC">
            <w:pPr>
              <w:spacing w:line="360" w:lineRule="auto"/>
              <w:rPr>
                <w:rFonts w:hint="eastAsia" w:ascii="宋体" w:hAnsi="宋体" w:eastAsia="宋体" w:cs="宋体"/>
                <w:color w:val="auto"/>
                <w:sz w:val="22"/>
                <w:szCs w:val="22"/>
                <w:highlight w:val="none"/>
              </w:rPr>
            </w:pPr>
          </w:p>
        </w:tc>
        <w:tc>
          <w:tcPr>
            <w:tcW w:w="2351" w:type="dxa"/>
            <w:noWrap w:val="0"/>
            <w:vAlign w:val="center"/>
          </w:tcPr>
          <w:p w14:paraId="0157B37F">
            <w:pPr>
              <w:spacing w:line="360" w:lineRule="auto"/>
              <w:rPr>
                <w:rFonts w:hint="eastAsia" w:ascii="宋体" w:hAnsi="宋体" w:eastAsia="宋体" w:cs="宋体"/>
                <w:color w:val="auto"/>
                <w:sz w:val="22"/>
                <w:szCs w:val="22"/>
                <w:highlight w:val="none"/>
              </w:rPr>
            </w:pPr>
          </w:p>
        </w:tc>
        <w:tc>
          <w:tcPr>
            <w:tcW w:w="720" w:type="dxa"/>
            <w:noWrap w:val="0"/>
            <w:vAlign w:val="center"/>
          </w:tcPr>
          <w:p w14:paraId="762D374F">
            <w:pPr>
              <w:spacing w:line="360" w:lineRule="auto"/>
              <w:rPr>
                <w:rFonts w:hint="eastAsia" w:ascii="宋体" w:hAnsi="宋体" w:eastAsia="宋体" w:cs="宋体"/>
                <w:color w:val="auto"/>
                <w:sz w:val="22"/>
                <w:szCs w:val="22"/>
                <w:highlight w:val="none"/>
              </w:rPr>
            </w:pPr>
          </w:p>
        </w:tc>
        <w:tc>
          <w:tcPr>
            <w:tcW w:w="720" w:type="dxa"/>
            <w:noWrap w:val="0"/>
            <w:vAlign w:val="center"/>
          </w:tcPr>
          <w:p w14:paraId="379A359A">
            <w:pPr>
              <w:spacing w:line="360" w:lineRule="auto"/>
              <w:rPr>
                <w:rFonts w:hint="eastAsia" w:ascii="宋体" w:hAnsi="宋体" w:eastAsia="宋体" w:cs="宋体"/>
                <w:color w:val="auto"/>
                <w:sz w:val="22"/>
                <w:szCs w:val="22"/>
                <w:highlight w:val="none"/>
              </w:rPr>
            </w:pPr>
          </w:p>
        </w:tc>
        <w:tc>
          <w:tcPr>
            <w:tcW w:w="720" w:type="dxa"/>
            <w:noWrap w:val="0"/>
            <w:vAlign w:val="center"/>
          </w:tcPr>
          <w:p w14:paraId="302803E2">
            <w:pPr>
              <w:spacing w:line="360" w:lineRule="auto"/>
              <w:rPr>
                <w:rFonts w:hint="eastAsia" w:ascii="宋体" w:hAnsi="宋体" w:eastAsia="宋体" w:cs="宋体"/>
                <w:color w:val="auto"/>
                <w:sz w:val="22"/>
                <w:szCs w:val="22"/>
                <w:highlight w:val="none"/>
              </w:rPr>
            </w:pPr>
          </w:p>
        </w:tc>
        <w:tc>
          <w:tcPr>
            <w:tcW w:w="1080" w:type="dxa"/>
            <w:noWrap w:val="0"/>
            <w:vAlign w:val="center"/>
          </w:tcPr>
          <w:p w14:paraId="038DF8DA">
            <w:pPr>
              <w:spacing w:line="360" w:lineRule="auto"/>
              <w:rPr>
                <w:rFonts w:hint="eastAsia" w:ascii="宋体" w:hAnsi="宋体" w:eastAsia="宋体" w:cs="宋体"/>
                <w:color w:val="auto"/>
                <w:sz w:val="22"/>
                <w:szCs w:val="22"/>
                <w:highlight w:val="none"/>
              </w:rPr>
            </w:pPr>
          </w:p>
        </w:tc>
        <w:tc>
          <w:tcPr>
            <w:tcW w:w="1458" w:type="dxa"/>
            <w:noWrap w:val="0"/>
            <w:vAlign w:val="center"/>
          </w:tcPr>
          <w:p w14:paraId="59D2BE11">
            <w:pPr>
              <w:spacing w:line="360" w:lineRule="auto"/>
              <w:rPr>
                <w:rFonts w:hint="eastAsia" w:ascii="宋体" w:hAnsi="宋体" w:eastAsia="宋体" w:cs="宋体"/>
                <w:color w:val="auto"/>
                <w:sz w:val="22"/>
                <w:szCs w:val="22"/>
                <w:highlight w:val="none"/>
              </w:rPr>
            </w:pPr>
          </w:p>
        </w:tc>
        <w:tc>
          <w:tcPr>
            <w:tcW w:w="1422" w:type="dxa"/>
            <w:noWrap w:val="0"/>
            <w:vAlign w:val="center"/>
          </w:tcPr>
          <w:p w14:paraId="63CA3515">
            <w:pPr>
              <w:spacing w:line="360" w:lineRule="auto"/>
              <w:rPr>
                <w:rFonts w:hint="eastAsia" w:ascii="宋体" w:hAnsi="宋体" w:eastAsia="宋体" w:cs="宋体"/>
                <w:color w:val="auto"/>
                <w:sz w:val="22"/>
                <w:szCs w:val="22"/>
                <w:highlight w:val="none"/>
              </w:rPr>
            </w:pPr>
          </w:p>
        </w:tc>
      </w:tr>
      <w:tr w14:paraId="3C32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587F076A">
            <w:pPr>
              <w:spacing w:line="360" w:lineRule="auto"/>
              <w:rPr>
                <w:rFonts w:hint="eastAsia" w:ascii="宋体" w:hAnsi="宋体" w:eastAsia="宋体" w:cs="宋体"/>
                <w:color w:val="auto"/>
                <w:sz w:val="22"/>
                <w:szCs w:val="22"/>
                <w:highlight w:val="none"/>
              </w:rPr>
            </w:pPr>
          </w:p>
        </w:tc>
        <w:tc>
          <w:tcPr>
            <w:tcW w:w="2351" w:type="dxa"/>
            <w:noWrap w:val="0"/>
            <w:vAlign w:val="center"/>
          </w:tcPr>
          <w:p w14:paraId="60B4EF91">
            <w:pPr>
              <w:spacing w:line="360" w:lineRule="auto"/>
              <w:rPr>
                <w:rFonts w:hint="eastAsia" w:ascii="宋体" w:hAnsi="宋体" w:eastAsia="宋体" w:cs="宋体"/>
                <w:color w:val="auto"/>
                <w:sz w:val="22"/>
                <w:szCs w:val="22"/>
                <w:highlight w:val="none"/>
              </w:rPr>
            </w:pPr>
          </w:p>
        </w:tc>
        <w:tc>
          <w:tcPr>
            <w:tcW w:w="720" w:type="dxa"/>
            <w:noWrap w:val="0"/>
            <w:vAlign w:val="center"/>
          </w:tcPr>
          <w:p w14:paraId="2BB102EB">
            <w:pPr>
              <w:spacing w:line="360" w:lineRule="auto"/>
              <w:rPr>
                <w:rFonts w:hint="eastAsia" w:ascii="宋体" w:hAnsi="宋体" w:eastAsia="宋体" w:cs="宋体"/>
                <w:color w:val="auto"/>
                <w:sz w:val="22"/>
                <w:szCs w:val="22"/>
                <w:highlight w:val="none"/>
              </w:rPr>
            </w:pPr>
          </w:p>
        </w:tc>
        <w:tc>
          <w:tcPr>
            <w:tcW w:w="720" w:type="dxa"/>
            <w:noWrap w:val="0"/>
            <w:vAlign w:val="center"/>
          </w:tcPr>
          <w:p w14:paraId="26F31DD0">
            <w:pPr>
              <w:spacing w:line="360" w:lineRule="auto"/>
              <w:rPr>
                <w:rFonts w:hint="eastAsia" w:ascii="宋体" w:hAnsi="宋体" w:eastAsia="宋体" w:cs="宋体"/>
                <w:color w:val="auto"/>
                <w:sz w:val="22"/>
                <w:szCs w:val="22"/>
                <w:highlight w:val="none"/>
              </w:rPr>
            </w:pPr>
          </w:p>
        </w:tc>
        <w:tc>
          <w:tcPr>
            <w:tcW w:w="720" w:type="dxa"/>
            <w:noWrap w:val="0"/>
            <w:vAlign w:val="center"/>
          </w:tcPr>
          <w:p w14:paraId="191B3A76">
            <w:pPr>
              <w:spacing w:line="360" w:lineRule="auto"/>
              <w:rPr>
                <w:rFonts w:hint="eastAsia" w:ascii="宋体" w:hAnsi="宋体" w:eastAsia="宋体" w:cs="宋体"/>
                <w:color w:val="auto"/>
                <w:sz w:val="22"/>
                <w:szCs w:val="22"/>
                <w:highlight w:val="none"/>
              </w:rPr>
            </w:pPr>
          </w:p>
        </w:tc>
        <w:tc>
          <w:tcPr>
            <w:tcW w:w="1080" w:type="dxa"/>
            <w:noWrap w:val="0"/>
            <w:vAlign w:val="center"/>
          </w:tcPr>
          <w:p w14:paraId="690160F2">
            <w:pPr>
              <w:spacing w:line="360" w:lineRule="auto"/>
              <w:rPr>
                <w:rFonts w:hint="eastAsia" w:ascii="宋体" w:hAnsi="宋体" w:eastAsia="宋体" w:cs="宋体"/>
                <w:color w:val="auto"/>
                <w:sz w:val="22"/>
                <w:szCs w:val="22"/>
                <w:highlight w:val="none"/>
              </w:rPr>
            </w:pPr>
          </w:p>
        </w:tc>
        <w:tc>
          <w:tcPr>
            <w:tcW w:w="1458" w:type="dxa"/>
            <w:noWrap w:val="0"/>
            <w:vAlign w:val="center"/>
          </w:tcPr>
          <w:p w14:paraId="67E430C4">
            <w:pPr>
              <w:spacing w:line="360" w:lineRule="auto"/>
              <w:rPr>
                <w:rFonts w:hint="eastAsia" w:ascii="宋体" w:hAnsi="宋体" w:eastAsia="宋体" w:cs="宋体"/>
                <w:color w:val="auto"/>
                <w:sz w:val="22"/>
                <w:szCs w:val="22"/>
                <w:highlight w:val="none"/>
              </w:rPr>
            </w:pPr>
          </w:p>
        </w:tc>
        <w:tc>
          <w:tcPr>
            <w:tcW w:w="1422" w:type="dxa"/>
            <w:noWrap w:val="0"/>
            <w:vAlign w:val="center"/>
          </w:tcPr>
          <w:p w14:paraId="5AB0C494">
            <w:pPr>
              <w:spacing w:line="360" w:lineRule="auto"/>
              <w:rPr>
                <w:rFonts w:hint="eastAsia" w:ascii="宋体" w:hAnsi="宋体" w:eastAsia="宋体" w:cs="宋体"/>
                <w:color w:val="auto"/>
                <w:sz w:val="22"/>
                <w:szCs w:val="22"/>
                <w:highlight w:val="none"/>
              </w:rPr>
            </w:pPr>
          </w:p>
        </w:tc>
      </w:tr>
      <w:tr w14:paraId="4A0F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524CDB7A">
            <w:pPr>
              <w:spacing w:line="360" w:lineRule="auto"/>
              <w:rPr>
                <w:rFonts w:hint="eastAsia" w:ascii="宋体" w:hAnsi="宋体" w:eastAsia="宋体" w:cs="宋体"/>
                <w:color w:val="auto"/>
                <w:sz w:val="22"/>
                <w:szCs w:val="22"/>
                <w:highlight w:val="none"/>
              </w:rPr>
            </w:pPr>
          </w:p>
        </w:tc>
        <w:tc>
          <w:tcPr>
            <w:tcW w:w="2351" w:type="dxa"/>
            <w:noWrap w:val="0"/>
            <w:vAlign w:val="center"/>
          </w:tcPr>
          <w:p w14:paraId="76EB90E7">
            <w:pPr>
              <w:spacing w:line="360" w:lineRule="auto"/>
              <w:rPr>
                <w:rFonts w:hint="eastAsia" w:ascii="宋体" w:hAnsi="宋体" w:eastAsia="宋体" w:cs="宋体"/>
                <w:color w:val="auto"/>
                <w:sz w:val="22"/>
                <w:szCs w:val="22"/>
                <w:highlight w:val="none"/>
              </w:rPr>
            </w:pPr>
          </w:p>
        </w:tc>
        <w:tc>
          <w:tcPr>
            <w:tcW w:w="720" w:type="dxa"/>
            <w:noWrap w:val="0"/>
            <w:vAlign w:val="center"/>
          </w:tcPr>
          <w:p w14:paraId="45B682B4">
            <w:pPr>
              <w:spacing w:line="360" w:lineRule="auto"/>
              <w:rPr>
                <w:rFonts w:hint="eastAsia" w:ascii="宋体" w:hAnsi="宋体" w:eastAsia="宋体" w:cs="宋体"/>
                <w:color w:val="auto"/>
                <w:sz w:val="22"/>
                <w:szCs w:val="22"/>
                <w:highlight w:val="none"/>
              </w:rPr>
            </w:pPr>
          </w:p>
        </w:tc>
        <w:tc>
          <w:tcPr>
            <w:tcW w:w="720" w:type="dxa"/>
            <w:noWrap w:val="0"/>
            <w:vAlign w:val="center"/>
          </w:tcPr>
          <w:p w14:paraId="5BFB10B0">
            <w:pPr>
              <w:spacing w:line="360" w:lineRule="auto"/>
              <w:rPr>
                <w:rFonts w:hint="eastAsia" w:ascii="宋体" w:hAnsi="宋体" w:eastAsia="宋体" w:cs="宋体"/>
                <w:color w:val="auto"/>
                <w:sz w:val="22"/>
                <w:szCs w:val="22"/>
                <w:highlight w:val="none"/>
              </w:rPr>
            </w:pPr>
          </w:p>
        </w:tc>
        <w:tc>
          <w:tcPr>
            <w:tcW w:w="720" w:type="dxa"/>
            <w:noWrap w:val="0"/>
            <w:vAlign w:val="center"/>
          </w:tcPr>
          <w:p w14:paraId="2C24C45F">
            <w:pPr>
              <w:spacing w:line="360" w:lineRule="auto"/>
              <w:rPr>
                <w:rFonts w:hint="eastAsia" w:ascii="宋体" w:hAnsi="宋体" w:eastAsia="宋体" w:cs="宋体"/>
                <w:color w:val="auto"/>
                <w:sz w:val="22"/>
                <w:szCs w:val="22"/>
                <w:highlight w:val="none"/>
              </w:rPr>
            </w:pPr>
          </w:p>
        </w:tc>
        <w:tc>
          <w:tcPr>
            <w:tcW w:w="1080" w:type="dxa"/>
            <w:noWrap w:val="0"/>
            <w:vAlign w:val="center"/>
          </w:tcPr>
          <w:p w14:paraId="3F318416">
            <w:pPr>
              <w:spacing w:line="360" w:lineRule="auto"/>
              <w:rPr>
                <w:rFonts w:hint="eastAsia" w:ascii="宋体" w:hAnsi="宋体" w:eastAsia="宋体" w:cs="宋体"/>
                <w:color w:val="auto"/>
                <w:sz w:val="22"/>
                <w:szCs w:val="22"/>
                <w:highlight w:val="none"/>
              </w:rPr>
            </w:pPr>
          </w:p>
        </w:tc>
        <w:tc>
          <w:tcPr>
            <w:tcW w:w="1458" w:type="dxa"/>
            <w:noWrap w:val="0"/>
            <w:vAlign w:val="center"/>
          </w:tcPr>
          <w:p w14:paraId="5AF03180">
            <w:pPr>
              <w:spacing w:line="360" w:lineRule="auto"/>
              <w:rPr>
                <w:rFonts w:hint="eastAsia" w:ascii="宋体" w:hAnsi="宋体" w:eastAsia="宋体" w:cs="宋体"/>
                <w:color w:val="auto"/>
                <w:sz w:val="22"/>
                <w:szCs w:val="22"/>
                <w:highlight w:val="none"/>
              </w:rPr>
            </w:pPr>
          </w:p>
        </w:tc>
        <w:tc>
          <w:tcPr>
            <w:tcW w:w="1422" w:type="dxa"/>
            <w:noWrap w:val="0"/>
            <w:vAlign w:val="center"/>
          </w:tcPr>
          <w:p w14:paraId="3021F3A8">
            <w:pPr>
              <w:spacing w:line="360" w:lineRule="auto"/>
              <w:rPr>
                <w:rFonts w:hint="eastAsia" w:ascii="宋体" w:hAnsi="宋体" w:eastAsia="宋体" w:cs="宋体"/>
                <w:color w:val="auto"/>
                <w:sz w:val="22"/>
                <w:szCs w:val="22"/>
                <w:highlight w:val="none"/>
              </w:rPr>
            </w:pPr>
          </w:p>
        </w:tc>
      </w:tr>
      <w:tr w14:paraId="7DD8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5EC26D1E">
            <w:pPr>
              <w:spacing w:line="360" w:lineRule="auto"/>
              <w:rPr>
                <w:rFonts w:hint="eastAsia" w:ascii="宋体" w:hAnsi="宋体" w:eastAsia="宋体" w:cs="宋体"/>
                <w:color w:val="auto"/>
                <w:sz w:val="22"/>
                <w:szCs w:val="22"/>
                <w:highlight w:val="none"/>
              </w:rPr>
            </w:pPr>
          </w:p>
        </w:tc>
        <w:tc>
          <w:tcPr>
            <w:tcW w:w="2351" w:type="dxa"/>
            <w:noWrap w:val="0"/>
            <w:vAlign w:val="center"/>
          </w:tcPr>
          <w:p w14:paraId="196025E1">
            <w:pPr>
              <w:spacing w:line="360" w:lineRule="auto"/>
              <w:rPr>
                <w:rFonts w:hint="eastAsia" w:ascii="宋体" w:hAnsi="宋体" w:eastAsia="宋体" w:cs="宋体"/>
                <w:color w:val="auto"/>
                <w:sz w:val="22"/>
                <w:szCs w:val="22"/>
                <w:highlight w:val="none"/>
              </w:rPr>
            </w:pPr>
          </w:p>
        </w:tc>
        <w:tc>
          <w:tcPr>
            <w:tcW w:w="720" w:type="dxa"/>
            <w:noWrap w:val="0"/>
            <w:vAlign w:val="center"/>
          </w:tcPr>
          <w:p w14:paraId="5ADAA0B2">
            <w:pPr>
              <w:spacing w:line="360" w:lineRule="auto"/>
              <w:rPr>
                <w:rFonts w:hint="eastAsia" w:ascii="宋体" w:hAnsi="宋体" w:eastAsia="宋体" w:cs="宋体"/>
                <w:color w:val="auto"/>
                <w:sz w:val="22"/>
                <w:szCs w:val="22"/>
                <w:highlight w:val="none"/>
              </w:rPr>
            </w:pPr>
          </w:p>
        </w:tc>
        <w:tc>
          <w:tcPr>
            <w:tcW w:w="720" w:type="dxa"/>
            <w:noWrap w:val="0"/>
            <w:vAlign w:val="center"/>
          </w:tcPr>
          <w:p w14:paraId="28AD1DE0">
            <w:pPr>
              <w:spacing w:line="360" w:lineRule="auto"/>
              <w:rPr>
                <w:rFonts w:hint="eastAsia" w:ascii="宋体" w:hAnsi="宋体" w:eastAsia="宋体" w:cs="宋体"/>
                <w:color w:val="auto"/>
                <w:sz w:val="22"/>
                <w:szCs w:val="22"/>
                <w:highlight w:val="none"/>
              </w:rPr>
            </w:pPr>
          </w:p>
        </w:tc>
        <w:tc>
          <w:tcPr>
            <w:tcW w:w="720" w:type="dxa"/>
            <w:noWrap w:val="0"/>
            <w:vAlign w:val="center"/>
          </w:tcPr>
          <w:p w14:paraId="5F1EDA4C">
            <w:pPr>
              <w:spacing w:line="360" w:lineRule="auto"/>
              <w:rPr>
                <w:rFonts w:hint="eastAsia" w:ascii="宋体" w:hAnsi="宋体" w:eastAsia="宋体" w:cs="宋体"/>
                <w:color w:val="auto"/>
                <w:sz w:val="22"/>
                <w:szCs w:val="22"/>
                <w:highlight w:val="none"/>
              </w:rPr>
            </w:pPr>
          </w:p>
        </w:tc>
        <w:tc>
          <w:tcPr>
            <w:tcW w:w="1080" w:type="dxa"/>
            <w:noWrap w:val="0"/>
            <w:vAlign w:val="center"/>
          </w:tcPr>
          <w:p w14:paraId="7261F90F">
            <w:pPr>
              <w:spacing w:line="360" w:lineRule="auto"/>
              <w:rPr>
                <w:rFonts w:hint="eastAsia" w:ascii="宋体" w:hAnsi="宋体" w:eastAsia="宋体" w:cs="宋体"/>
                <w:color w:val="auto"/>
                <w:sz w:val="22"/>
                <w:szCs w:val="22"/>
                <w:highlight w:val="none"/>
              </w:rPr>
            </w:pPr>
          </w:p>
        </w:tc>
        <w:tc>
          <w:tcPr>
            <w:tcW w:w="1458" w:type="dxa"/>
            <w:noWrap w:val="0"/>
            <w:vAlign w:val="center"/>
          </w:tcPr>
          <w:p w14:paraId="64500438">
            <w:pPr>
              <w:spacing w:line="360" w:lineRule="auto"/>
              <w:rPr>
                <w:rFonts w:hint="eastAsia" w:ascii="宋体" w:hAnsi="宋体" w:eastAsia="宋体" w:cs="宋体"/>
                <w:color w:val="auto"/>
                <w:sz w:val="22"/>
                <w:szCs w:val="22"/>
                <w:highlight w:val="none"/>
              </w:rPr>
            </w:pPr>
          </w:p>
        </w:tc>
        <w:tc>
          <w:tcPr>
            <w:tcW w:w="1422" w:type="dxa"/>
            <w:noWrap w:val="0"/>
            <w:vAlign w:val="center"/>
          </w:tcPr>
          <w:p w14:paraId="04A85A8D">
            <w:pPr>
              <w:spacing w:line="360" w:lineRule="auto"/>
              <w:rPr>
                <w:rFonts w:hint="eastAsia" w:ascii="宋体" w:hAnsi="宋体" w:eastAsia="宋体" w:cs="宋体"/>
                <w:color w:val="auto"/>
                <w:sz w:val="22"/>
                <w:szCs w:val="22"/>
                <w:highlight w:val="none"/>
              </w:rPr>
            </w:pPr>
          </w:p>
        </w:tc>
      </w:tr>
      <w:tr w14:paraId="1271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52A99011">
            <w:pPr>
              <w:spacing w:line="360" w:lineRule="auto"/>
              <w:rPr>
                <w:rFonts w:hint="eastAsia" w:ascii="宋体" w:hAnsi="宋体" w:eastAsia="宋体" w:cs="宋体"/>
                <w:color w:val="auto"/>
                <w:sz w:val="22"/>
                <w:szCs w:val="22"/>
                <w:highlight w:val="none"/>
              </w:rPr>
            </w:pPr>
          </w:p>
        </w:tc>
        <w:tc>
          <w:tcPr>
            <w:tcW w:w="2351" w:type="dxa"/>
            <w:noWrap w:val="0"/>
            <w:vAlign w:val="center"/>
          </w:tcPr>
          <w:p w14:paraId="3205A144">
            <w:pPr>
              <w:spacing w:line="360" w:lineRule="auto"/>
              <w:rPr>
                <w:rFonts w:hint="eastAsia" w:ascii="宋体" w:hAnsi="宋体" w:eastAsia="宋体" w:cs="宋体"/>
                <w:color w:val="auto"/>
                <w:sz w:val="22"/>
                <w:szCs w:val="22"/>
                <w:highlight w:val="none"/>
              </w:rPr>
            </w:pPr>
          </w:p>
        </w:tc>
        <w:tc>
          <w:tcPr>
            <w:tcW w:w="720" w:type="dxa"/>
            <w:noWrap w:val="0"/>
            <w:vAlign w:val="center"/>
          </w:tcPr>
          <w:p w14:paraId="29C5F957">
            <w:pPr>
              <w:spacing w:line="360" w:lineRule="auto"/>
              <w:rPr>
                <w:rFonts w:hint="eastAsia" w:ascii="宋体" w:hAnsi="宋体" w:eastAsia="宋体" w:cs="宋体"/>
                <w:color w:val="auto"/>
                <w:sz w:val="22"/>
                <w:szCs w:val="22"/>
                <w:highlight w:val="none"/>
              </w:rPr>
            </w:pPr>
          </w:p>
        </w:tc>
        <w:tc>
          <w:tcPr>
            <w:tcW w:w="720" w:type="dxa"/>
            <w:noWrap w:val="0"/>
            <w:vAlign w:val="center"/>
          </w:tcPr>
          <w:p w14:paraId="1D2E4DF0">
            <w:pPr>
              <w:spacing w:line="360" w:lineRule="auto"/>
              <w:rPr>
                <w:rFonts w:hint="eastAsia" w:ascii="宋体" w:hAnsi="宋体" w:eastAsia="宋体" w:cs="宋体"/>
                <w:color w:val="auto"/>
                <w:sz w:val="22"/>
                <w:szCs w:val="22"/>
                <w:highlight w:val="none"/>
              </w:rPr>
            </w:pPr>
          </w:p>
        </w:tc>
        <w:tc>
          <w:tcPr>
            <w:tcW w:w="720" w:type="dxa"/>
            <w:noWrap w:val="0"/>
            <w:vAlign w:val="center"/>
          </w:tcPr>
          <w:p w14:paraId="508BF242">
            <w:pPr>
              <w:spacing w:line="360" w:lineRule="auto"/>
              <w:rPr>
                <w:rFonts w:hint="eastAsia" w:ascii="宋体" w:hAnsi="宋体" w:eastAsia="宋体" w:cs="宋体"/>
                <w:color w:val="auto"/>
                <w:sz w:val="22"/>
                <w:szCs w:val="22"/>
                <w:highlight w:val="none"/>
              </w:rPr>
            </w:pPr>
          </w:p>
        </w:tc>
        <w:tc>
          <w:tcPr>
            <w:tcW w:w="1080" w:type="dxa"/>
            <w:noWrap w:val="0"/>
            <w:vAlign w:val="center"/>
          </w:tcPr>
          <w:p w14:paraId="16FCFD83">
            <w:pPr>
              <w:spacing w:line="360" w:lineRule="auto"/>
              <w:rPr>
                <w:rFonts w:hint="eastAsia" w:ascii="宋体" w:hAnsi="宋体" w:eastAsia="宋体" w:cs="宋体"/>
                <w:color w:val="auto"/>
                <w:sz w:val="22"/>
                <w:szCs w:val="22"/>
                <w:highlight w:val="none"/>
              </w:rPr>
            </w:pPr>
          </w:p>
        </w:tc>
        <w:tc>
          <w:tcPr>
            <w:tcW w:w="1458" w:type="dxa"/>
            <w:noWrap w:val="0"/>
            <w:vAlign w:val="center"/>
          </w:tcPr>
          <w:p w14:paraId="4B4B0051">
            <w:pPr>
              <w:spacing w:line="360" w:lineRule="auto"/>
              <w:rPr>
                <w:rFonts w:hint="eastAsia" w:ascii="宋体" w:hAnsi="宋体" w:eastAsia="宋体" w:cs="宋体"/>
                <w:color w:val="auto"/>
                <w:sz w:val="22"/>
                <w:szCs w:val="22"/>
                <w:highlight w:val="none"/>
              </w:rPr>
            </w:pPr>
          </w:p>
        </w:tc>
        <w:tc>
          <w:tcPr>
            <w:tcW w:w="1422" w:type="dxa"/>
            <w:noWrap w:val="0"/>
            <w:vAlign w:val="center"/>
          </w:tcPr>
          <w:p w14:paraId="2D2CC05A">
            <w:pPr>
              <w:spacing w:line="360" w:lineRule="auto"/>
              <w:rPr>
                <w:rFonts w:hint="eastAsia" w:ascii="宋体" w:hAnsi="宋体" w:eastAsia="宋体" w:cs="宋体"/>
                <w:color w:val="auto"/>
                <w:sz w:val="22"/>
                <w:szCs w:val="22"/>
                <w:highlight w:val="none"/>
              </w:rPr>
            </w:pPr>
          </w:p>
        </w:tc>
      </w:tr>
      <w:tr w14:paraId="17F7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36AFAC2C">
            <w:pPr>
              <w:spacing w:line="360" w:lineRule="auto"/>
              <w:rPr>
                <w:rFonts w:hint="eastAsia" w:ascii="宋体" w:hAnsi="宋体" w:eastAsia="宋体" w:cs="宋体"/>
                <w:color w:val="auto"/>
                <w:sz w:val="22"/>
                <w:szCs w:val="22"/>
                <w:highlight w:val="none"/>
              </w:rPr>
            </w:pPr>
          </w:p>
        </w:tc>
        <w:tc>
          <w:tcPr>
            <w:tcW w:w="2351" w:type="dxa"/>
            <w:noWrap w:val="0"/>
            <w:vAlign w:val="center"/>
          </w:tcPr>
          <w:p w14:paraId="0676C585">
            <w:pPr>
              <w:spacing w:line="360" w:lineRule="auto"/>
              <w:rPr>
                <w:rFonts w:hint="eastAsia" w:ascii="宋体" w:hAnsi="宋体" w:eastAsia="宋体" w:cs="宋体"/>
                <w:color w:val="auto"/>
                <w:sz w:val="22"/>
                <w:szCs w:val="22"/>
                <w:highlight w:val="none"/>
              </w:rPr>
            </w:pPr>
          </w:p>
        </w:tc>
        <w:tc>
          <w:tcPr>
            <w:tcW w:w="720" w:type="dxa"/>
            <w:noWrap w:val="0"/>
            <w:vAlign w:val="center"/>
          </w:tcPr>
          <w:p w14:paraId="28C32042">
            <w:pPr>
              <w:spacing w:line="360" w:lineRule="auto"/>
              <w:rPr>
                <w:rFonts w:hint="eastAsia" w:ascii="宋体" w:hAnsi="宋体" w:eastAsia="宋体" w:cs="宋体"/>
                <w:color w:val="auto"/>
                <w:sz w:val="22"/>
                <w:szCs w:val="22"/>
                <w:highlight w:val="none"/>
              </w:rPr>
            </w:pPr>
          </w:p>
        </w:tc>
        <w:tc>
          <w:tcPr>
            <w:tcW w:w="720" w:type="dxa"/>
            <w:noWrap w:val="0"/>
            <w:vAlign w:val="center"/>
          </w:tcPr>
          <w:p w14:paraId="7FC0D9AC">
            <w:pPr>
              <w:spacing w:line="360" w:lineRule="auto"/>
              <w:rPr>
                <w:rFonts w:hint="eastAsia" w:ascii="宋体" w:hAnsi="宋体" w:eastAsia="宋体" w:cs="宋体"/>
                <w:color w:val="auto"/>
                <w:sz w:val="22"/>
                <w:szCs w:val="22"/>
                <w:highlight w:val="none"/>
              </w:rPr>
            </w:pPr>
          </w:p>
        </w:tc>
        <w:tc>
          <w:tcPr>
            <w:tcW w:w="720" w:type="dxa"/>
            <w:noWrap w:val="0"/>
            <w:vAlign w:val="center"/>
          </w:tcPr>
          <w:p w14:paraId="2C618FA6">
            <w:pPr>
              <w:spacing w:line="360" w:lineRule="auto"/>
              <w:rPr>
                <w:rFonts w:hint="eastAsia" w:ascii="宋体" w:hAnsi="宋体" w:eastAsia="宋体" w:cs="宋体"/>
                <w:color w:val="auto"/>
                <w:sz w:val="22"/>
                <w:szCs w:val="22"/>
                <w:highlight w:val="none"/>
              </w:rPr>
            </w:pPr>
          </w:p>
        </w:tc>
        <w:tc>
          <w:tcPr>
            <w:tcW w:w="1080" w:type="dxa"/>
            <w:noWrap w:val="0"/>
            <w:vAlign w:val="center"/>
          </w:tcPr>
          <w:p w14:paraId="3774882C">
            <w:pPr>
              <w:spacing w:line="360" w:lineRule="auto"/>
              <w:rPr>
                <w:rFonts w:hint="eastAsia" w:ascii="宋体" w:hAnsi="宋体" w:eastAsia="宋体" w:cs="宋体"/>
                <w:color w:val="auto"/>
                <w:sz w:val="22"/>
                <w:szCs w:val="22"/>
                <w:highlight w:val="none"/>
              </w:rPr>
            </w:pPr>
          </w:p>
        </w:tc>
        <w:tc>
          <w:tcPr>
            <w:tcW w:w="1458" w:type="dxa"/>
            <w:noWrap w:val="0"/>
            <w:vAlign w:val="center"/>
          </w:tcPr>
          <w:p w14:paraId="73B8FDAD">
            <w:pPr>
              <w:spacing w:line="360" w:lineRule="auto"/>
              <w:rPr>
                <w:rFonts w:hint="eastAsia" w:ascii="宋体" w:hAnsi="宋体" w:eastAsia="宋体" w:cs="宋体"/>
                <w:color w:val="auto"/>
                <w:sz w:val="22"/>
                <w:szCs w:val="22"/>
                <w:highlight w:val="none"/>
              </w:rPr>
            </w:pPr>
          </w:p>
        </w:tc>
        <w:tc>
          <w:tcPr>
            <w:tcW w:w="1422" w:type="dxa"/>
            <w:noWrap w:val="0"/>
            <w:vAlign w:val="center"/>
          </w:tcPr>
          <w:p w14:paraId="2654C9E0">
            <w:pPr>
              <w:spacing w:line="360" w:lineRule="auto"/>
              <w:rPr>
                <w:rFonts w:hint="eastAsia" w:ascii="宋体" w:hAnsi="宋体" w:eastAsia="宋体" w:cs="宋体"/>
                <w:color w:val="auto"/>
                <w:sz w:val="22"/>
                <w:szCs w:val="22"/>
                <w:highlight w:val="none"/>
              </w:rPr>
            </w:pPr>
          </w:p>
        </w:tc>
      </w:tr>
      <w:tr w14:paraId="015D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1ED1E5EE">
            <w:pPr>
              <w:spacing w:line="360" w:lineRule="auto"/>
              <w:rPr>
                <w:rFonts w:hint="eastAsia" w:ascii="宋体" w:hAnsi="宋体" w:eastAsia="宋体" w:cs="宋体"/>
                <w:color w:val="auto"/>
                <w:sz w:val="22"/>
                <w:szCs w:val="22"/>
                <w:highlight w:val="none"/>
              </w:rPr>
            </w:pPr>
          </w:p>
        </w:tc>
        <w:tc>
          <w:tcPr>
            <w:tcW w:w="2351" w:type="dxa"/>
            <w:noWrap w:val="0"/>
            <w:vAlign w:val="center"/>
          </w:tcPr>
          <w:p w14:paraId="00B021D3">
            <w:pPr>
              <w:spacing w:line="360" w:lineRule="auto"/>
              <w:rPr>
                <w:rFonts w:hint="eastAsia" w:ascii="宋体" w:hAnsi="宋体" w:eastAsia="宋体" w:cs="宋体"/>
                <w:color w:val="auto"/>
                <w:sz w:val="22"/>
                <w:szCs w:val="22"/>
                <w:highlight w:val="none"/>
              </w:rPr>
            </w:pPr>
          </w:p>
        </w:tc>
        <w:tc>
          <w:tcPr>
            <w:tcW w:w="720" w:type="dxa"/>
            <w:noWrap w:val="0"/>
            <w:vAlign w:val="center"/>
          </w:tcPr>
          <w:p w14:paraId="4B3B1BEE">
            <w:pPr>
              <w:spacing w:line="360" w:lineRule="auto"/>
              <w:rPr>
                <w:rFonts w:hint="eastAsia" w:ascii="宋体" w:hAnsi="宋体" w:eastAsia="宋体" w:cs="宋体"/>
                <w:color w:val="auto"/>
                <w:sz w:val="22"/>
                <w:szCs w:val="22"/>
                <w:highlight w:val="none"/>
              </w:rPr>
            </w:pPr>
          </w:p>
        </w:tc>
        <w:tc>
          <w:tcPr>
            <w:tcW w:w="720" w:type="dxa"/>
            <w:noWrap w:val="0"/>
            <w:vAlign w:val="center"/>
          </w:tcPr>
          <w:p w14:paraId="3968A494">
            <w:pPr>
              <w:spacing w:line="360" w:lineRule="auto"/>
              <w:rPr>
                <w:rFonts w:hint="eastAsia" w:ascii="宋体" w:hAnsi="宋体" w:eastAsia="宋体" w:cs="宋体"/>
                <w:color w:val="auto"/>
                <w:sz w:val="22"/>
                <w:szCs w:val="22"/>
                <w:highlight w:val="none"/>
              </w:rPr>
            </w:pPr>
          </w:p>
        </w:tc>
        <w:tc>
          <w:tcPr>
            <w:tcW w:w="720" w:type="dxa"/>
            <w:noWrap w:val="0"/>
            <w:vAlign w:val="center"/>
          </w:tcPr>
          <w:p w14:paraId="2B6EA5FE">
            <w:pPr>
              <w:spacing w:line="360" w:lineRule="auto"/>
              <w:rPr>
                <w:rFonts w:hint="eastAsia" w:ascii="宋体" w:hAnsi="宋体" w:eastAsia="宋体" w:cs="宋体"/>
                <w:color w:val="auto"/>
                <w:sz w:val="22"/>
                <w:szCs w:val="22"/>
                <w:highlight w:val="none"/>
              </w:rPr>
            </w:pPr>
          </w:p>
        </w:tc>
        <w:tc>
          <w:tcPr>
            <w:tcW w:w="1080" w:type="dxa"/>
            <w:noWrap w:val="0"/>
            <w:vAlign w:val="center"/>
          </w:tcPr>
          <w:p w14:paraId="138B35AF">
            <w:pPr>
              <w:spacing w:line="360" w:lineRule="auto"/>
              <w:rPr>
                <w:rFonts w:hint="eastAsia" w:ascii="宋体" w:hAnsi="宋体" w:eastAsia="宋体" w:cs="宋体"/>
                <w:color w:val="auto"/>
                <w:sz w:val="22"/>
                <w:szCs w:val="22"/>
                <w:highlight w:val="none"/>
              </w:rPr>
            </w:pPr>
          </w:p>
        </w:tc>
        <w:tc>
          <w:tcPr>
            <w:tcW w:w="1458" w:type="dxa"/>
            <w:noWrap w:val="0"/>
            <w:vAlign w:val="center"/>
          </w:tcPr>
          <w:p w14:paraId="1948DFA4">
            <w:pPr>
              <w:spacing w:line="360" w:lineRule="auto"/>
              <w:rPr>
                <w:rFonts w:hint="eastAsia" w:ascii="宋体" w:hAnsi="宋体" w:eastAsia="宋体" w:cs="宋体"/>
                <w:color w:val="auto"/>
                <w:sz w:val="22"/>
                <w:szCs w:val="22"/>
                <w:highlight w:val="none"/>
              </w:rPr>
            </w:pPr>
          </w:p>
        </w:tc>
        <w:tc>
          <w:tcPr>
            <w:tcW w:w="1422" w:type="dxa"/>
            <w:noWrap w:val="0"/>
            <w:vAlign w:val="center"/>
          </w:tcPr>
          <w:p w14:paraId="7773C210">
            <w:pPr>
              <w:spacing w:line="360" w:lineRule="auto"/>
              <w:rPr>
                <w:rFonts w:hint="eastAsia" w:ascii="宋体" w:hAnsi="宋体" w:eastAsia="宋体" w:cs="宋体"/>
                <w:color w:val="auto"/>
                <w:sz w:val="22"/>
                <w:szCs w:val="22"/>
                <w:highlight w:val="none"/>
              </w:rPr>
            </w:pPr>
          </w:p>
        </w:tc>
      </w:tr>
    </w:tbl>
    <w:p w14:paraId="35DDA5FD">
      <w:pPr>
        <w:spacing w:line="360" w:lineRule="exact"/>
        <w:ind w:left="968" w:hanging="968" w:hangingChars="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附注：1、列入本表人员如要更换，需经采购人同意，擅自更换或不到位属违约行为；</w:t>
      </w:r>
    </w:p>
    <w:p w14:paraId="337A19EA">
      <w:pPr>
        <w:spacing w:line="360" w:lineRule="exact"/>
        <w:ind w:left="718" w:leftChars="321" w:hanging="44" w:hanging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2、职称/认证证书复印件附后。</w:t>
      </w:r>
    </w:p>
    <w:p w14:paraId="3C7EB1AB">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53A6F09D">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575A4956">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14:paraId="22658764">
      <w:pPr>
        <w:spacing w:line="460" w:lineRule="exact"/>
        <w:ind w:firstLine="5060" w:firstLineChars="2300"/>
        <w:rPr>
          <w:rFonts w:hint="eastAsia" w:ascii="宋体" w:hAnsi="宋体" w:eastAsia="宋体" w:cs="宋体"/>
          <w:color w:val="auto"/>
          <w:sz w:val="22"/>
          <w:szCs w:val="22"/>
          <w:highlight w:val="none"/>
        </w:rPr>
      </w:pPr>
    </w:p>
    <w:p w14:paraId="1BB266C1">
      <w:pPr>
        <w:spacing w:line="460" w:lineRule="exact"/>
        <w:rPr>
          <w:rFonts w:hint="eastAsia" w:ascii="宋体" w:hAnsi="宋体" w:eastAsia="宋体" w:cs="宋体"/>
          <w:color w:val="auto"/>
          <w:sz w:val="22"/>
          <w:szCs w:val="22"/>
          <w:highlight w:val="none"/>
        </w:rPr>
      </w:pPr>
    </w:p>
    <w:p w14:paraId="671FC2CA">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574630F8">
      <w:pPr>
        <w:spacing w:line="400" w:lineRule="exact"/>
        <w:jc w:val="center"/>
        <w:outlineLvl w:val="3"/>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、主要设备投入情况</w:t>
      </w:r>
    </w:p>
    <w:p w14:paraId="4E665EDB">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WZLCZB（W）-2025-06054</w:t>
      </w:r>
    </w:p>
    <w:p w14:paraId="404CAC1A">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瓯越大道接管期保养</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71CC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048D72AB">
            <w:pPr>
              <w:spacing w:line="360" w:lineRule="auto"/>
              <w:rPr>
                <w:rFonts w:hint="eastAsia" w:ascii="宋体" w:hAnsi="宋体" w:eastAsia="宋体" w:cs="宋体"/>
                <w:color w:val="auto"/>
                <w:sz w:val="22"/>
                <w:szCs w:val="22"/>
                <w:highlight w:val="none"/>
              </w:rPr>
            </w:pPr>
          </w:p>
        </w:tc>
      </w:tr>
    </w:tbl>
    <w:p w14:paraId="7721139E">
      <w:pPr>
        <w:spacing w:line="400" w:lineRule="exact"/>
        <w:ind w:firstLine="4620" w:firstLineChars="2100"/>
        <w:rPr>
          <w:rFonts w:hint="eastAsia" w:ascii="宋体" w:hAnsi="宋体" w:eastAsia="宋体" w:cs="宋体"/>
          <w:color w:val="auto"/>
          <w:sz w:val="22"/>
          <w:szCs w:val="22"/>
          <w:highlight w:val="none"/>
        </w:rPr>
      </w:pPr>
    </w:p>
    <w:p w14:paraId="2287E5AB">
      <w:pPr>
        <w:spacing w:line="360" w:lineRule="auto"/>
        <w:ind w:firstLine="5280" w:firstLineChars="2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54F43E70">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7D38C2FA">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14:paraId="141F5028">
      <w:pPr>
        <w:spacing w:line="460" w:lineRule="exact"/>
        <w:ind w:firstLine="5060" w:firstLineChars="2300"/>
        <w:rPr>
          <w:rFonts w:hint="eastAsia" w:ascii="宋体" w:hAnsi="宋体" w:eastAsia="宋体" w:cs="宋体"/>
          <w:color w:val="auto"/>
          <w:sz w:val="22"/>
          <w:szCs w:val="22"/>
          <w:highlight w:val="none"/>
        </w:rPr>
      </w:pPr>
    </w:p>
    <w:p w14:paraId="6297C390">
      <w:pPr>
        <w:rPr>
          <w:rFonts w:hint="eastAsia" w:ascii="宋体" w:hAnsi="宋体" w:eastAsia="宋体" w:cs="宋体"/>
          <w:color w:val="auto"/>
          <w:highlight w:val="none"/>
        </w:rPr>
      </w:pPr>
    </w:p>
    <w:p w14:paraId="040098D9">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44A7AB32">
      <w:pPr>
        <w:spacing w:line="400" w:lineRule="exact"/>
        <w:jc w:val="center"/>
        <w:outlineLvl w:val="3"/>
        <w:rPr>
          <w:rFonts w:hint="eastAsia" w:ascii="宋体" w:hAnsi="宋体" w:eastAsia="宋体" w:cs="宋体"/>
          <w:b/>
          <w:color w:val="auto"/>
          <w:sz w:val="24"/>
          <w:highlight w:val="none"/>
          <w:lang w:val="zh-CN"/>
        </w:rPr>
      </w:pP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val="en-US" w:eastAsia="zh-CN"/>
        </w:rPr>
        <w:t>、主要设施投入情况</w:t>
      </w:r>
    </w:p>
    <w:p w14:paraId="76BD25F7">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WZLCZB（W）-2025-06054</w:t>
      </w:r>
    </w:p>
    <w:p w14:paraId="7716CD44">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瓯越大道接管期保养</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1C76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7B08627B">
            <w:pPr>
              <w:spacing w:line="360" w:lineRule="auto"/>
              <w:rPr>
                <w:rFonts w:hint="eastAsia" w:ascii="宋体" w:hAnsi="宋体" w:eastAsia="宋体" w:cs="宋体"/>
                <w:color w:val="auto"/>
                <w:sz w:val="22"/>
                <w:szCs w:val="22"/>
                <w:highlight w:val="none"/>
              </w:rPr>
            </w:pPr>
          </w:p>
        </w:tc>
      </w:tr>
    </w:tbl>
    <w:p w14:paraId="1054C059">
      <w:pPr>
        <w:pStyle w:val="28"/>
        <w:spacing w:line="400" w:lineRule="atLeast"/>
        <w:rPr>
          <w:rFonts w:hint="eastAsia" w:ascii="宋体" w:hAnsi="宋体" w:eastAsia="宋体" w:cs="宋体"/>
          <w:color w:val="auto"/>
          <w:sz w:val="22"/>
          <w:highlight w:val="none"/>
        </w:rPr>
      </w:pPr>
    </w:p>
    <w:p w14:paraId="6B772489">
      <w:pPr>
        <w:pStyle w:val="28"/>
        <w:spacing w:line="460" w:lineRule="atLeast"/>
        <w:ind w:left="657" w:leftChars="313" w:firstLine="3960" w:firstLineChars="18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投标人名称（盖章）：</w:t>
      </w:r>
    </w:p>
    <w:p w14:paraId="20649AC5">
      <w:pPr>
        <w:pStyle w:val="28"/>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法定代表人或其授权代表（签字或盖章）：   </w:t>
      </w:r>
    </w:p>
    <w:p w14:paraId="3137B3A3">
      <w:pPr>
        <w:pStyle w:val="28"/>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日   期： </w:t>
      </w:r>
    </w:p>
    <w:p w14:paraId="4B1B3834">
      <w:pPr>
        <w:jc w:val="both"/>
        <w:rPr>
          <w:rFonts w:hint="eastAsia" w:ascii="宋体" w:hAnsi="宋体" w:eastAsia="宋体" w:cs="宋体"/>
          <w:b/>
          <w:bCs/>
          <w:color w:val="auto"/>
          <w:sz w:val="22"/>
          <w:szCs w:val="22"/>
          <w:highlight w:val="none"/>
        </w:rPr>
      </w:pPr>
    </w:p>
    <w:p w14:paraId="64706C50">
      <w:pPr>
        <w:pStyle w:val="9"/>
        <w:rPr>
          <w:rFonts w:hint="eastAsia" w:ascii="宋体" w:hAnsi="宋体" w:eastAsia="宋体" w:cs="宋体"/>
          <w:bCs/>
          <w:color w:val="auto"/>
          <w:sz w:val="22"/>
          <w:szCs w:val="22"/>
          <w:highlight w:val="none"/>
        </w:rPr>
      </w:pPr>
    </w:p>
    <w:p w14:paraId="1A284EE1">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2C1635D8">
      <w:pPr>
        <w:jc w:val="center"/>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9</w:t>
      </w:r>
      <w:r>
        <w:rPr>
          <w:rFonts w:hint="eastAsia" w:ascii="宋体" w:hAnsi="宋体" w:eastAsia="宋体" w:cs="宋体"/>
          <w:b/>
          <w:bCs/>
          <w:color w:val="auto"/>
          <w:sz w:val="28"/>
          <w:szCs w:val="28"/>
          <w:highlight w:val="none"/>
          <w:lang w:val="en-US" w:eastAsia="zh-CN"/>
        </w:rPr>
        <w:t>、养护管理方案</w:t>
      </w:r>
    </w:p>
    <w:p w14:paraId="581739BA">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WZLCZB（W）-2025-06054</w:t>
      </w:r>
    </w:p>
    <w:p w14:paraId="3DC34D25">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瓯越大道接管期保养</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4DE9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F5AD6DC">
            <w:pPr>
              <w:spacing w:line="360" w:lineRule="auto"/>
              <w:rPr>
                <w:rFonts w:hint="eastAsia" w:ascii="宋体" w:hAnsi="宋体" w:eastAsia="宋体" w:cs="宋体"/>
                <w:color w:val="auto"/>
                <w:sz w:val="22"/>
                <w:szCs w:val="22"/>
                <w:highlight w:val="none"/>
              </w:rPr>
            </w:pPr>
          </w:p>
        </w:tc>
      </w:tr>
    </w:tbl>
    <w:p w14:paraId="37E0AAE4">
      <w:pPr>
        <w:spacing w:line="380" w:lineRule="exact"/>
        <w:rPr>
          <w:rFonts w:hint="eastAsia" w:ascii="宋体" w:hAnsi="宋体" w:eastAsia="宋体" w:cs="宋体"/>
          <w:color w:val="auto"/>
          <w:sz w:val="36"/>
          <w:szCs w:val="36"/>
          <w:highlight w:val="none"/>
        </w:rPr>
      </w:pPr>
    </w:p>
    <w:p w14:paraId="3C1AF303">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098C0F75">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3FBAA324">
      <w:pPr>
        <w:spacing w:line="460" w:lineRule="exact"/>
        <w:ind w:firstLine="4400" w:firstLineChars="2000"/>
        <w:rPr>
          <w:rFonts w:hint="eastAsia" w:ascii="宋体" w:hAnsi="宋体" w:eastAsia="宋体" w:cs="宋体"/>
          <w:b/>
          <w:color w:val="auto"/>
          <w:sz w:val="36"/>
          <w:szCs w:val="36"/>
          <w:highlight w:val="none"/>
        </w:rPr>
      </w:pPr>
      <w:r>
        <w:rPr>
          <w:rFonts w:hint="eastAsia" w:ascii="宋体" w:hAnsi="宋体" w:eastAsia="宋体" w:cs="宋体"/>
          <w:color w:val="auto"/>
          <w:sz w:val="22"/>
          <w:szCs w:val="22"/>
          <w:highlight w:val="none"/>
        </w:rPr>
        <w:t xml:space="preserve">日  期：   </w:t>
      </w:r>
    </w:p>
    <w:p w14:paraId="16952A32">
      <w:pPr>
        <w:spacing w:line="380" w:lineRule="exact"/>
        <w:rPr>
          <w:rFonts w:hint="eastAsia" w:ascii="宋体" w:hAnsi="宋体" w:eastAsia="宋体" w:cs="宋体"/>
          <w:b/>
          <w:color w:val="auto"/>
          <w:sz w:val="36"/>
          <w:szCs w:val="36"/>
          <w:highlight w:val="none"/>
        </w:rPr>
      </w:pPr>
    </w:p>
    <w:p w14:paraId="37797F1F">
      <w:pPr>
        <w:spacing w:line="380" w:lineRule="exact"/>
        <w:rPr>
          <w:rFonts w:hint="eastAsia" w:ascii="宋体" w:hAnsi="宋体" w:eastAsia="宋体" w:cs="宋体"/>
          <w:b/>
          <w:color w:val="auto"/>
          <w:sz w:val="36"/>
          <w:szCs w:val="36"/>
          <w:highlight w:val="none"/>
        </w:rPr>
      </w:pPr>
    </w:p>
    <w:p w14:paraId="3FCA71E7">
      <w:pPr>
        <w:spacing w:line="380" w:lineRule="exact"/>
        <w:rPr>
          <w:rFonts w:hint="eastAsia" w:ascii="宋体" w:hAnsi="宋体" w:eastAsia="宋体" w:cs="宋体"/>
          <w:b/>
          <w:color w:val="auto"/>
          <w:sz w:val="36"/>
          <w:szCs w:val="36"/>
          <w:highlight w:val="none"/>
        </w:rPr>
      </w:pPr>
    </w:p>
    <w:p w14:paraId="6ACFA8E2">
      <w:pPr>
        <w:jc w:val="center"/>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10</w:t>
      </w:r>
      <w:r>
        <w:rPr>
          <w:rFonts w:hint="eastAsia" w:ascii="宋体" w:hAnsi="宋体" w:eastAsia="宋体" w:cs="宋体"/>
          <w:b/>
          <w:bCs/>
          <w:color w:val="auto"/>
          <w:sz w:val="28"/>
          <w:szCs w:val="28"/>
          <w:highlight w:val="none"/>
          <w:lang w:val="en-US" w:eastAsia="zh-CN"/>
        </w:rPr>
        <w:t>、安全生产管理</w:t>
      </w:r>
    </w:p>
    <w:p w14:paraId="0F5FAF90">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WZLCZB（W）-2025-06054</w:t>
      </w:r>
    </w:p>
    <w:p w14:paraId="6B05BE50">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瓯越大道接管期保养</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1BE3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B6122ED">
            <w:pPr>
              <w:spacing w:line="360" w:lineRule="auto"/>
              <w:rPr>
                <w:rFonts w:hint="eastAsia" w:ascii="宋体" w:hAnsi="宋体" w:eastAsia="宋体" w:cs="宋体"/>
                <w:color w:val="auto"/>
                <w:sz w:val="22"/>
                <w:szCs w:val="22"/>
                <w:highlight w:val="none"/>
              </w:rPr>
            </w:pPr>
          </w:p>
        </w:tc>
      </w:tr>
    </w:tbl>
    <w:p w14:paraId="470E2285">
      <w:pPr>
        <w:spacing w:line="380" w:lineRule="exact"/>
        <w:rPr>
          <w:rFonts w:hint="eastAsia" w:ascii="宋体" w:hAnsi="宋体" w:eastAsia="宋体" w:cs="宋体"/>
          <w:color w:val="auto"/>
          <w:sz w:val="36"/>
          <w:szCs w:val="36"/>
          <w:highlight w:val="none"/>
        </w:rPr>
      </w:pPr>
    </w:p>
    <w:p w14:paraId="12E6D701">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44E6A405">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3456B78A">
      <w:pPr>
        <w:spacing w:line="460" w:lineRule="exact"/>
        <w:ind w:firstLine="4400" w:firstLineChars="2000"/>
        <w:rPr>
          <w:rFonts w:hint="eastAsia" w:ascii="宋体" w:hAnsi="宋体" w:eastAsia="宋体" w:cs="宋体"/>
          <w:color w:val="auto"/>
          <w:highlight w:val="none"/>
        </w:rPr>
      </w:pPr>
      <w:r>
        <w:rPr>
          <w:rFonts w:hint="eastAsia" w:ascii="宋体" w:hAnsi="宋体" w:eastAsia="宋体" w:cs="宋体"/>
          <w:color w:val="auto"/>
          <w:sz w:val="22"/>
          <w:szCs w:val="22"/>
          <w:highlight w:val="none"/>
        </w:rPr>
        <w:t>日  期：</w:t>
      </w:r>
    </w:p>
    <w:p w14:paraId="37F7A044">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7DE51FFD">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11</w:t>
      </w:r>
      <w:r>
        <w:rPr>
          <w:rFonts w:hint="eastAsia" w:ascii="宋体" w:hAnsi="宋体" w:eastAsia="宋体" w:cs="宋体"/>
          <w:b/>
          <w:bCs/>
          <w:color w:val="auto"/>
          <w:sz w:val="28"/>
          <w:szCs w:val="28"/>
          <w:highlight w:val="none"/>
          <w:lang w:val="en-US" w:eastAsia="zh-CN"/>
        </w:rPr>
        <w:t>、应急响应方案</w:t>
      </w:r>
    </w:p>
    <w:p w14:paraId="68049D45">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color w:val="auto"/>
          <w:sz w:val="22"/>
          <w:szCs w:val="22"/>
          <w:highlight w:val="none"/>
        </w:rPr>
        <w:t xml:space="preserve">  </w:t>
      </w: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WZLCZB（W）-2025-06054</w:t>
      </w:r>
    </w:p>
    <w:p w14:paraId="65424239">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瓯越大道接管期保养</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1FB2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025E5707">
            <w:pPr>
              <w:spacing w:line="360" w:lineRule="auto"/>
              <w:rPr>
                <w:rFonts w:hint="eastAsia" w:ascii="宋体" w:hAnsi="宋体" w:eastAsia="宋体" w:cs="宋体"/>
                <w:color w:val="auto"/>
                <w:sz w:val="22"/>
                <w:szCs w:val="22"/>
                <w:highlight w:val="none"/>
              </w:rPr>
            </w:pPr>
          </w:p>
        </w:tc>
      </w:tr>
    </w:tbl>
    <w:p w14:paraId="0121337E">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0AABC55C">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14:paraId="3B88C6D3">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396846D4">
      <w:pPr>
        <w:pStyle w:val="28"/>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14:paraId="3122AD27">
      <w:pPr>
        <w:pStyle w:val="28"/>
        <w:spacing w:line="400" w:lineRule="atLeast"/>
        <w:ind w:left="663" w:hanging="663" w:hangingChars="300"/>
        <w:rPr>
          <w:rFonts w:hint="eastAsia" w:ascii="宋体" w:hAnsi="宋体" w:eastAsia="宋体" w:cs="宋体"/>
          <w:color w:val="auto"/>
          <w:sz w:val="22"/>
          <w:highlight w:val="none"/>
        </w:rPr>
      </w:pPr>
    </w:p>
    <w:p w14:paraId="57B63D66">
      <w:pPr>
        <w:pStyle w:val="28"/>
        <w:spacing w:line="400" w:lineRule="atLeast"/>
        <w:ind w:left="663" w:hanging="663" w:hangingChars="300"/>
        <w:rPr>
          <w:rFonts w:hint="eastAsia" w:ascii="宋体" w:hAnsi="宋体" w:eastAsia="宋体" w:cs="宋体"/>
          <w:color w:val="auto"/>
          <w:sz w:val="22"/>
          <w:highlight w:val="none"/>
        </w:rPr>
      </w:pPr>
    </w:p>
    <w:p w14:paraId="3DFDC153">
      <w:pPr>
        <w:pStyle w:val="28"/>
        <w:spacing w:line="400" w:lineRule="atLeast"/>
        <w:rPr>
          <w:rFonts w:hint="eastAsia" w:ascii="宋体" w:hAnsi="宋体" w:eastAsia="宋体" w:cs="宋体"/>
          <w:color w:val="auto"/>
          <w:sz w:val="22"/>
          <w:highlight w:val="none"/>
        </w:rPr>
      </w:pPr>
    </w:p>
    <w:p w14:paraId="62A04940">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val="en-US" w:eastAsia="zh-CN"/>
        </w:rPr>
        <w:t>、重大活动和节日保障方案</w:t>
      </w:r>
    </w:p>
    <w:p w14:paraId="7DBFA1F1">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WZLCZB（W）-2025-06054</w:t>
      </w:r>
    </w:p>
    <w:p w14:paraId="69A3026F">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瓯越大道接管期保养</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3131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2213584A">
            <w:pPr>
              <w:spacing w:line="360" w:lineRule="auto"/>
              <w:rPr>
                <w:rFonts w:hint="eastAsia" w:ascii="宋体" w:hAnsi="宋体" w:eastAsia="宋体" w:cs="宋体"/>
                <w:color w:val="auto"/>
                <w:sz w:val="22"/>
                <w:szCs w:val="22"/>
                <w:highlight w:val="none"/>
              </w:rPr>
            </w:pPr>
          </w:p>
        </w:tc>
      </w:tr>
    </w:tbl>
    <w:p w14:paraId="72E837D9">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19A7F9C8">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14:paraId="0CED5373">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0BBF463E">
      <w:pPr>
        <w:pStyle w:val="28"/>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14:paraId="44400A56">
      <w:pPr>
        <w:spacing w:line="460" w:lineRule="exact"/>
        <w:ind w:firstLine="4400" w:firstLineChars="2000"/>
        <w:rPr>
          <w:rFonts w:hint="eastAsia" w:ascii="宋体" w:hAnsi="宋体" w:eastAsia="宋体" w:cs="宋体"/>
          <w:color w:val="auto"/>
          <w:sz w:val="22"/>
          <w:szCs w:val="22"/>
          <w:highlight w:val="none"/>
        </w:rPr>
      </w:pPr>
    </w:p>
    <w:p w14:paraId="77BEEBEE">
      <w:pPr>
        <w:spacing w:line="460" w:lineRule="exact"/>
        <w:ind w:firstLine="4400" w:firstLineChars="2000"/>
        <w:rPr>
          <w:rFonts w:hint="eastAsia" w:ascii="宋体" w:hAnsi="宋体" w:eastAsia="宋体" w:cs="宋体"/>
          <w:color w:val="auto"/>
          <w:sz w:val="22"/>
          <w:szCs w:val="22"/>
          <w:highlight w:val="none"/>
        </w:rPr>
      </w:pPr>
    </w:p>
    <w:p w14:paraId="4D14C049">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val="en-US" w:eastAsia="zh-CN"/>
        </w:rPr>
        <w:t>、资料管理方案</w:t>
      </w:r>
    </w:p>
    <w:p w14:paraId="4BC62E10">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WZLCZB（W）-2025-06054</w:t>
      </w:r>
    </w:p>
    <w:p w14:paraId="432C087E">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瓯越大道接管期保养</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7AE8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37A3B6A0">
            <w:pPr>
              <w:spacing w:line="360" w:lineRule="auto"/>
              <w:rPr>
                <w:rFonts w:hint="eastAsia" w:ascii="宋体" w:hAnsi="宋体" w:eastAsia="宋体" w:cs="宋体"/>
                <w:color w:val="auto"/>
                <w:sz w:val="22"/>
                <w:szCs w:val="22"/>
                <w:highlight w:val="none"/>
              </w:rPr>
            </w:pPr>
          </w:p>
        </w:tc>
      </w:tr>
    </w:tbl>
    <w:p w14:paraId="30CB87B8">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7CA78609">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14:paraId="12EF8524">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429ED072">
      <w:pPr>
        <w:spacing w:line="460" w:lineRule="exact"/>
        <w:ind w:firstLine="4400" w:firstLineChars="2000"/>
        <w:rPr>
          <w:rFonts w:hint="eastAsia" w:ascii="宋体" w:hAnsi="宋体" w:eastAsia="宋体" w:cs="宋体"/>
          <w:color w:val="auto"/>
          <w:highlight w:val="none"/>
        </w:rPr>
      </w:pPr>
      <w:r>
        <w:rPr>
          <w:rFonts w:hint="eastAsia" w:ascii="宋体" w:hAnsi="宋体" w:eastAsia="宋体" w:cs="宋体"/>
          <w:b w:val="0"/>
          <w:color w:val="auto"/>
          <w:kern w:val="2"/>
          <w:sz w:val="22"/>
          <w:szCs w:val="22"/>
          <w:highlight w:val="none"/>
        </w:rPr>
        <w:t>日  期：</w:t>
      </w:r>
    </w:p>
    <w:p w14:paraId="16F9B0B7">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7980CD8C">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lang w:val="en-US" w:eastAsia="zh-CN"/>
        </w:rPr>
        <w:t>、常备维修物料和常备应急物资供应保障情况</w:t>
      </w:r>
    </w:p>
    <w:p w14:paraId="6E29B674">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WZLCZB（W）-2025-06054</w:t>
      </w:r>
    </w:p>
    <w:p w14:paraId="24D324AD">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瓯越大道接管期保养</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2700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58D0CF6">
            <w:pPr>
              <w:spacing w:line="360" w:lineRule="auto"/>
              <w:rPr>
                <w:rFonts w:hint="eastAsia" w:ascii="宋体" w:hAnsi="宋体" w:eastAsia="宋体" w:cs="宋体"/>
                <w:color w:val="auto"/>
                <w:sz w:val="22"/>
                <w:szCs w:val="22"/>
                <w:highlight w:val="none"/>
              </w:rPr>
            </w:pPr>
          </w:p>
        </w:tc>
      </w:tr>
    </w:tbl>
    <w:p w14:paraId="0C0D8792">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4C8E24F0">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14:paraId="77BC8A83">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30E9A531">
      <w:pPr>
        <w:spacing w:line="460" w:lineRule="exact"/>
        <w:ind w:firstLine="4400" w:firstLineChars="2000"/>
        <w:rPr>
          <w:rFonts w:hint="eastAsia" w:ascii="宋体" w:hAnsi="宋体" w:eastAsia="宋体" w:cs="宋体"/>
          <w:color w:val="auto"/>
          <w:highlight w:val="none"/>
        </w:rPr>
      </w:pPr>
      <w:r>
        <w:rPr>
          <w:rFonts w:hint="eastAsia" w:ascii="宋体" w:hAnsi="宋体" w:eastAsia="宋体" w:cs="宋体"/>
          <w:b w:val="0"/>
          <w:color w:val="auto"/>
          <w:kern w:val="2"/>
          <w:sz w:val="22"/>
          <w:szCs w:val="22"/>
          <w:highlight w:val="none"/>
        </w:rPr>
        <w:t>日  期：</w:t>
      </w:r>
    </w:p>
    <w:p w14:paraId="3A989BC3">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167DC4EE">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5</w:t>
      </w:r>
      <w:r>
        <w:rPr>
          <w:rFonts w:hint="eastAsia" w:ascii="宋体" w:hAnsi="宋体" w:eastAsia="宋体" w:cs="宋体"/>
          <w:b/>
          <w:bCs/>
          <w:color w:val="auto"/>
          <w:sz w:val="28"/>
          <w:szCs w:val="28"/>
          <w:highlight w:val="none"/>
          <w:lang w:val="en-US" w:eastAsia="zh-CN"/>
        </w:rPr>
        <w:t>、其他必要提供的资料</w:t>
      </w:r>
    </w:p>
    <w:p w14:paraId="02827212">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WZLCZB（W）-2025-06054</w:t>
      </w:r>
    </w:p>
    <w:p w14:paraId="4686BE63">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瓯越大道接管期保养</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17CA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E26A716">
            <w:pPr>
              <w:spacing w:line="360" w:lineRule="auto"/>
              <w:rPr>
                <w:rFonts w:hint="eastAsia" w:ascii="宋体" w:hAnsi="宋体" w:eastAsia="宋体" w:cs="宋体"/>
                <w:color w:val="auto"/>
                <w:sz w:val="22"/>
                <w:szCs w:val="22"/>
                <w:highlight w:val="none"/>
              </w:rPr>
            </w:pPr>
          </w:p>
        </w:tc>
      </w:tr>
    </w:tbl>
    <w:p w14:paraId="2CEB5909">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7598DE60">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14:paraId="65B84A1E">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35EA578D">
      <w:pPr>
        <w:spacing w:line="460" w:lineRule="exact"/>
        <w:ind w:firstLine="4400" w:firstLineChars="2000"/>
        <w:rPr>
          <w:rFonts w:hint="eastAsia" w:ascii="宋体" w:hAnsi="宋体" w:eastAsia="宋体" w:cs="宋体"/>
          <w:color w:val="auto"/>
          <w:highlight w:val="none"/>
        </w:rPr>
      </w:pPr>
      <w:r>
        <w:rPr>
          <w:rFonts w:hint="eastAsia" w:ascii="宋体" w:hAnsi="宋体" w:eastAsia="宋体" w:cs="宋体"/>
          <w:b w:val="0"/>
          <w:color w:val="auto"/>
          <w:kern w:val="2"/>
          <w:sz w:val="22"/>
          <w:szCs w:val="22"/>
          <w:highlight w:val="none"/>
        </w:rPr>
        <w:t>日  期：</w:t>
      </w:r>
    </w:p>
    <w:p w14:paraId="15606F09">
      <w:pPr>
        <w:pStyle w:val="21"/>
        <w:rPr>
          <w:rFonts w:hint="eastAsia" w:ascii="宋体" w:hAnsi="宋体" w:eastAsia="宋体" w:cs="宋体"/>
          <w:color w:val="auto"/>
          <w:highlight w:val="none"/>
        </w:rPr>
      </w:pPr>
    </w:p>
    <w:p w14:paraId="7396AED5">
      <w:pPr>
        <w:pStyle w:val="21"/>
        <w:rPr>
          <w:rFonts w:hint="eastAsia" w:ascii="宋体" w:hAnsi="宋体" w:eastAsia="宋体" w:cs="宋体"/>
          <w:color w:val="auto"/>
          <w:highlight w:val="none"/>
        </w:rPr>
      </w:pPr>
    </w:p>
    <w:p w14:paraId="61FC9926">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3A83EFBB">
      <w:pPr>
        <w:pStyle w:val="3"/>
        <w:numPr>
          <w:ilvl w:val="0"/>
          <w:numId w:val="4"/>
        </w:numPr>
        <w:bidi w:val="0"/>
        <w:rPr>
          <w:rFonts w:hint="eastAsia" w:ascii="宋体" w:hAnsi="宋体" w:eastAsia="宋体" w:cs="宋体"/>
          <w:b/>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bookmarkStart w:id="70" w:name="_Toc10142"/>
      <w:bookmarkStart w:id="71" w:name="_Toc3381"/>
      <w:bookmarkStart w:id="72" w:name="_Toc221356895"/>
      <w:bookmarkStart w:id="73" w:name="_Toc221356958"/>
      <w:r>
        <w:rPr>
          <w:rFonts w:hint="eastAsia" w:ascii="宋体" w:hAnsi="宋体" w:eastAsia="宋体" w:cs="宋体"/>
          <w:color w:val="auto"/>
          <w:highlight w:val="none"/>
        </w:rPr>
        <w:t>项目技术规范和服务要求</w:t>
      </w:r>
      <w:bookmarkEnd w:id="70"/>
      <w:bookmarkEnd w:id="71"/>
    </w:p>
    <w:bookmarkEnd w:id="72"/>
    <w:bookmarkEnd w:id="73"/>
    <w:p w14:paraId="5FBE7C00">
      <w:pPr>
        <w:keepNext w:val="0"/>
        <w:keepLines w:val="0"/>
        <w:pageBreakBefore w:val="0"/>
        <w:widowControl w:val="0"/>
        <w:kinsoku/>
        <w:wordWrap/>
        <w:overflowPunct/>
        <w:topLinePunct w:val="0"/>
        <w:autoSpaceDE/>
        <w:autoSpaceDN/>
        <w:bidi w:val="0"/>
        <w:adjustRightInd/>
        <w:snapToGrid w:val="0"/>
        <w:spacing w:line="460" w:lineRule="exact"/>
        <w:jc w:val="left"/>
        <w:textAlignment w:val="auto"/>
        <w:outlineLvl w:val="1"/>
        <w:rPr>
          <w:rFonts w:hint="eastAsia" w:ascii="宋体" w:hAnsi="宋体" w:eastAsia="宋体" w:cs="宋体"/>
          <w:b/>
          <w:color w:val="auto"/>
          <w:sz w:val="22"/>
          <w:szCs w:val="22"/>
          <w:highlight w:val="none"/>
        </w:rPr>
      </w:pPr>
      <w:bookmarkStart w:id="74" w:name="_Toc51996430"/>
      <w:bookmarkStart w:id="75" w:name="_Toc40594931"/>
      <w:bookmarkStart w:id="76" w:name="_Toc498199476"/>
      <w:bookmarkStart w:id="77" w:name="_Toc201920298"/>
      <w:bookmarkStart w:id="78" w:name="_Toc495660084"/>
      <w:bookmarkStart w:id="79" w:name="_Toc282690445"/>
      <w:bookmarkStart w:id="80" w:name="_Toc23050625"/>
      <w:bookmarkStart w:id="81" w:name="_Toc23050562"/>
      <w:bookmarkStart w:id="82" w:name="_Toc40266002"/>
      <w:bookmarkStart w:id="83" w:name="_Toc495651839"/>
      <w:bookmarkStart w:id="84" w:name="_Toc497300733"/>
      <w:bookmarkStart w:id="85" w:name="_Toc23050423"/>
      <w:bookmarkStart w:id="86" w:name="_Toc496101575"/>
      <w:bookmarkStart w:id="87" w:name="_Toc23050833"/>
      <w:bookmarkStart w:id="88" w:name="_Toc441051461"/>
      <w:bookmarkStart w:id="89" w:name="_Toc496256263"/>
      <w:bookmarkStart w:id="90" w:name="_Toc496101312"/>
      <w:bookmarkStart w:id="91" w:name="_Toc498186719"/>
      <w:bookmarkStart w:id="92" w:name="_Toc496257825"/>
      <w:bookmarkStart w:id="93" w:name="_Toc497300664"/>
      <w:bookmarkStart w:id="94" w:name="_Toc497307615"/>
      <w:bookmarkStart w:id="95" w:name="_Toc498186820"/>
      <w:r>
        <w:rPr>
          <w:rFonts w:hint="eastAsia" w:ascii="宋体" w:hAnsi="宋体" w:eastAsia="宋体" w:cs="宋体"/>
          <w:b/>
          <w:color w:val="auto"/>
          <w:sz w:val="22"/>
          <w:szCs w:val="22"/>
          <w:highlight w:val="none"/>
        </w:rPr>
        <w:t>一、标的需求概况</w:t>
      </w:r>
    </w:p>
    <w:p w14:paraId="57CB7317">
      <w:pPr>
        <w:keepNext w:val="0"/>
        <w:keepLines w:val="0"/>
        <w:pageBreakBefore w:val="0"/>
        <w:widowControl/>
        <w:kinsoku/>
        <w:wordWrap/>
        <w:overflowPunct/>
        <w:topLinePunct w:val="0"/>
        <w:autoSpaceDE w:val="0"/>
        <w:autoSpaceDN w:val="0"/>
        <w:bidi w:val="0"/>
        <w:adjustRightInd/>
        <w:snapToGrid w:val="0"/>
        <w:spacing w:line="460" w:lineRule="exact"/>
        <w:ind w:firstLine="442" w:firstLineChars="200"/>
        <w:textAlignment w:val="bottom"/>
        <w:outlineLvl w:val="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道路概况</w:t>
      </w:r>
    </w:p>
    <w:p w14:paraId="19BAE891">
      <w:pPr>
        <w:keepNext w:val="0"/>
        <w:keepLines w:val="0"/>
        <w:pageBreakBefore w:val="0"/>
        <w:kinsoku/>
        <w:wordWrap/>
        <w:overflowPunct/>
        <w:topLinePunct w:val="0"/>
        <w:bidi w:val="0"/>
        <w:adjustRightInd/>
        <w:snapToGrid w:val="0"/>
        <w:spacing w:line="4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瓯越大道（温瑞大道南段快速路一期），本项目包含：南北方向：沿现状温瑞大道布置，工程北起瓯海大道南至朝阳新街跨线桥。</w:t>
      </w:r>
    </w:p>
    <w:p w14:paraId="1BF8457A">
      <w:pPr>
        <w:keepNext w:val="0"/>
        <w:keepLines w:val="0"/>
        <w:pageBreakBefore w:val="0"/>
        <w:widowControl/>
        <w:kinsoku/>
        <w:wordWrap/>
        <w:overflowPunct/>
        <w:topLinePunct w:val="0"/>
        <w:autoSpaceDE w:val="0"/>
        <w:autoSpaceDN w:val="0"/>
        <w:bidi w:val="0"/>
        <w:adjustRightInd/>
        <w:snapToGrid w:val="0"/>
        <w:spacing w:line="460" w:lineRule="exact"/>
        <w:ind w:firstLine="442" w:firstLineChars="200"/>
        <w:textAlignment w:val="bottom"/>
        <w:outlineLvl w:val="2"/>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道路桥梁维养范围</w:t>
      </w:r>
    </w:p>
    <w:p w14:paraId="44094327">
      <w:pPr>
        <w:keepNext w:val="0"/>
        <w:keepLines w:val="0"/>
        <w:pageBreakBefore w:val="0"/>
        <w:kinsoku/>
        <w:wordWrap/>
        <w:overflowPunct/>
        <w:topLinePunct w:val="0"/>
        <w:bidi w:val="0"/>
        <w:adjustRightInd/>
        <w:snapToGrid w:val="0"/>
        <w:spacing w:line="460" w:lineRule="exact"/>
        <w:ind w:firstLine="440" w:firstLineChars="2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2.1</w:t>
      </w:r>
      <w:r>
        <w:rPr>
          <w:rFonts w:hint="eastAsia" w:ascii="宋体" w:hAnsi="宋体" w:eastAsia="宋体" w:cs="宋体"/>
          <w:color w:val="auto"/>
          <w:sz w:val="22"/>
          <w:szCs w:val="22"/>
          <w:highlight w:val="none"/>
        </w:rPr>
        <w:t>本次招标的</w:t>
      </w:r>
      <w:r>
        <w:rPr>
          <w:rFonts w:hint="eastAsia" w:ascii="宋体" w:hAnsi="宋体" w:eastAsia="宋体" w:cs="宋体"/>
          <w:color w:val="auto"/>
          <w:sz w:val="22"/>
          <w:szCs w:val="22"/>
          <w:highlight w:val="none"/>
          <w:lang w:eastAsia="zh-CN"/>
        </w:rPr>
        <w:t>瓯越大道（温瑞大道南段快速路一期）接管期保养</w:t>
      </w:r>
      <w:r>
        <w:rPr>
          <w:rFonts w:hint="eastAsia" w:ascii="宋体" w:hAnsi="宋体" w:eastAsia="宋体" w:cs="宋体"/>
          <w:color w:val="auto"/>
          <w:sz w:val="22"/>
          <w:szCs w:val="22"/>
          <w:highlight w:val="none"/>
        </w:rPr>
        <w:t>项目服务范围</w:t>
      </w:r>
      <w:r>
        <w:rPr>
          <w:rFonts w:hint="eastAsia" w:ascii="宋体" w:hAnsi="宋体" w:eastAsia="宋体" w:cs="宋体"/>
          <w:color w:val="auto"/>
          <w:sz w:val="22"/>
          <w:szCs w:val="22"/>
          <w:highlight w:val="none"/>
          <w:lang w:eastAsia="zh-CN"/>
        </w:rPr>
        <w:t>：</w:t>
      </w:r>
    </w:p>
    <w:p w14:paraId="7931D404">
      <w:pPr>
        <w:keepNext w:val="0"/>
        <w:keepLines w:val="0"/>
        <w:pageBreakBefore w:val="0"/>
        <w:kinsoku/>
        <w:wordWrap/>
        <w:overflowPunct/>
        <w:topLinePunct w:val="0"/>
        <w:bidi w:val="0"/>
        <w:adjustRightInd/>
        <w:snapToGrid w:val="0"/>
        <w:spacing w:line="460" w:lineRule="exact"/>
        <w:ind w:firstLine="440" w:firstLineChars="2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瓯越大道主线高架：北起瓯海大道（起点桩号K0+888.4），南至现状朝阳新街快线桥（终点桩号 K5+447），桥梁全长4558.6m，平均宽度25m,面积114608平方米。瓯海大道拼宽段：瓯海大道西侧拼宽，长度403米，宽度7.3~18.7米，4206</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平方米。瓯海大道东侧拼宽，长度356米，宽度4.0~9.0米，2049平方米。拼宽段总长度759米，总计6255平方米。主线高架</w:t>
      </w:r>
      <w:r>
        <w:rPr>
          <w:rFonts w:hint="eastAsia" w:ascii="宋体" w:hAnsi="宋体" w:eastAsia="宋体" w:cs="宋体"/>
          <w:color w:val="auto"/>
          <w:sz w:val="22"/>
          <w:szCs w:val="22"/>
          <w:highlight w:val="none"/>
          <w:lang w:val="en-US" w:eastAsia="zh-CN"/>
        </w:rPr>
        <w:t>路灯276盏、匝道平光灯1543套；地面道路路灯238套投光灯223套。</w:t>
      </w:r>
    </w:p>
    <w:p w14:paraId="4254A71B">
      <w:pPr>
        <w:keepNext w:val="0"/>
        <w:keepLines w:val="0"/>
        <w:pageBreakBefore w:val="0"/>
        <w:kinsoku/>
        <w:wordWrap/>
        <w:overflowPunct/>
        <w:topLinePunct w:val="0"/>
        <w:bidi w:val="0"/>
        <w:adjustRightInd/>
        <w:snapToGrid w:val="0"/>
        <w:spacing w:line="460" w:lineRule="exact"/>
        <w:ind w:firstLine="440" w:firstLineChars="2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另有18条匝道，总长度6733.75米，标准宽度8.5米，总面积63612.5145平方米。</w:t>
      </w:r>
      <w:r>
        <w:rPr>
          <w:rFonts w:hint="eastAsia" w:ascii="宋体" w:hAnsi="宋体" w:eastAsia="宋体" w:cs="宋体"/>
          <w:color w:val="auto"/>
          <w:sz w:val="22"/>
          <w:szCs w:val="22"/>
          <w:highlight w:val="none"/>
        </w:rPr>
        <w:t>其中道路、桥梁</w:t>
      </w:r>
      <w:r>
        <w:rPr>
          <w:rFonts w:hint="eastAsia" w:ascii="宋体" w:hAnsi="宋体" w:eastAsia="宋体" w:cs="宋体"/>
          <w:color w:val="auto"/>
          <w:sz w:val="22"/>
          <w:szCs w:val="22"/>
          <w:highlight w:val="none"/>
          <w:lang w:eastAsia="zh-CN"/>
        </w:rPr>
        <w:t>、路灯</w:t>
      </w:r>
      <w:r>
        <w:rPr>
          <w:rFonts w:hint="eastAsia" w:ascii="宋体" w:hAnsi="宋体" w:eastAsia="宋体" w:cs="宋体"/>
          <w:color w:val="auto"/>
          <w:sz w:val="22"/>
          <w:szCs w:val="22"/>
          <w:highlight w:val="none"/>
        </w:rPr>
        <w:t>的技术经济指标（面积，供参考）见下表</w:t>
      </w:r>
      <w:r>
        <w:rPr>
          <w:rFonts w:hint="eastAsia" w:ascii="宋体" w:hAnsi="宋体" w:eastAsia="宋体" w:cs="宋体"/>
          <w:color w:val="auto"/>
          <w:sz w:val="22"/>
          <w:szCs w:val="22"/>
          <w:highlight w:val="none"/>
          <w:lang w:eastAsia="zh-CN"/>
        </w:rPr>
        <w:t>；</w:t>
      </w:r>
    </w:p>
    <w:tbl>
      <w:tblPr>
        <w:tblStyle w:val="54"/>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842"/>
        <w:gridCol w:w="6926"/>
      </w:tblGrid>
      <w:tr w14:paraId="2652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1" w:type="dxa"/>
            <w:noWrap w:val="0"/>
            <w:vAlign w:val="center"/>
          </w:tcPr>
          <w:p w14:paraId="107DF114">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序号</w:t>
            </w:r>
          </w:p>
        </w:tc>
        <w:tc>
          <w:tcPr>
            <w:tcW w:w="1842" w:type="dxa"/>
            <w:noWrap w:val="0"/>
            <w:vAlign w:val="center"/>
          </w:tcPr>
          <w:p w14:paraId="3435AB7D">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项目</w:t>
            </w:r>
          </w:p>
        </w:tc>
        <w:tc>
          <w:tcPr>
            <w:tcW w:w="6926" w:type="dxa"/>
            <w:noWrap w:val="0"/>
            <w:vAlign w:val="center"/>
          </w:tcPr>
          <w:p w14:paraId="33F0842F">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工程量</w:t>
            </w:r>
          </w:p>
        </w:tc>
      </w:tr>
      <w:tr w14:paraId="67B50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91" w:type="dxa"/>
            <w:noWrap w:val="0"/>
            <w:vAlign w:val="center"/>
          </w:tcPr>
          <w:p w14:paraId="4E10EB25">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w:t>
            </w:r>
          </w:p>
        </w:tc>
        <w:tc>
          <w:tcPr>
            <w:tcW w:w="1842" w:type="dxa"/>
            <w:noWrap w:val="0"/>
            <w:vAlign w:val="center"/>
          </w:tcPr>
          <w:p w14:paraId="1A43AB85">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瓯海大道</w:t>
            </w:r>
          </w:p>
        </w:tc>
        <w:tc>
          <w:tcPr>
            <w:tcW w:w="6926" w:type="dxa"/>
            <w:noWrap w:val="0"/>
            <w:vAlign w:val="center"/>
          </w:tcPr>
          <w:p w14:paraId="0EFC64F8">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vertAlign w:val="baseline"/>
                <w:lang w:val="en-US" w:eastAsia="zh-CN"/>
              </w:rPr>
              <w:t>瓯海大道西侧拼宽，长度403米，宽度7.3~18.7米，4206平方米。瓯海大道东侧拼宽，长度356米，宽度4.0~9.0米，2049平方米。拼宽段总长度759米，总计6255平方米。</w:t>
            </w:r>
          </w:p>
        </w:tc>
      </w:tr>
      <w:tr w14:paraId="04B4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1" w:type="dxa"/>
            <w:noWrap w:val="0"/>
            <w:vAlign w:val="center"/>
          </w:tcPr>
          <w:p w14:paraId="1ECF8E8B">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w:t>
            </w:r>
          </w:p>
        </w:tc>
        <w:tc>
          <w:tcPr>
            <w:tcW w:w="1842" w:type="dxa"/>
            <w:noWrap w:val="0"/>
            <w:vAlign w:val="center"/>
          </w:tcPr>
          <w:p w14:paraId="40BFAE24">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瓯海大道匝道</w:t>
            </w:r>
          </w:p>
        </w:tc>
        <w:tc>
          <w:tcPr>
            <w:tcW w:w="6926" w:type="dxa"/>
            <w:noWrap w:val="0"/>
            <w:vAlign w:val="center"/>
          </w:tcPr>
          <w:p w14:paraId="749622DE">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vertAlign w:val="baseline"/>
                <w:lang w:val="en-US" w:eastAsia="zh-CN"/>
              </w:rPr>
              <w:t>全长452米，宽度8.5~9.0米，5864.672平方米</w:t>
            </w:r>
          </w:p>
        </w:tc>
      </w:tr>
      <w:tr w14:paraId="07B6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91" w:type="dxa"/>
            <w:noWrap w:val="0"/>
            <w:vAlign w:val="center"/>
          </w:tcPr>
          <w:p w14:paraId="02E81898">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w:t>
            </w:r>
          </w:p>
        </w:tc>
        <w:tc>
          <w:tcPr>
            <w:tcW w:w="1842" w:type="dxa"/>
            <w:noWrap w:val="0"/>
            <w:vAlign w:val="center"/>
          </w:tcPr>
          <w:p w14:paraId="2E933A81">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瓯越大道</w:t>
            </w:r>
          </w:p>
        </w:tc>
        <w:tc>
          <w:tcPr>
            <w:tcW w:w="6926" w:type="dxa"/>
            <w:noWrap w:val="0"/>
            <w:vAlign w:val="center"/>
          </w:tcPr>
          <w:p w14:paraId="47FD697A">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vertAlign w:val="baseline"/>
                <w:lang w:val="en-US" w:eastAsia="zh-CN"/>
              </w:rPr>
              <w:t>桥梁全长4558.6m，平均宽度25m,面积114608平方</w:t>
            </w:r>
          </w:p>
        </w:tc>
      </w:tr>
      <w:tr w14:paraId="7BAC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91" w:type="dxa"/>
            <w:noWrap w:val="0"/>
            <w:vAlign w:val="center"/>
          </w:tcPr>
          <w:p w14:paraId="61DBFA09">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c>
          <w:tcPr>
            <w:tcW w:w="1842" w:type="dxa"/>
            <w:noWrap w:val="0"/>
            <w:vAlign w:val="center"/>
          </w:tcPr>
          <w:p w14:paraId="2F7F3238">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瓯越大道匝道</w:t>
            </w:r>
          </w:p>
        </w:tc>
        <w:tc>
          <w:tcPr>
            <w:tcW w:w="6926" w:type="dxa"/>
            <w:noWrap w:val="0"/>
            <w:vAlign w:val="center"/>
          </w:tcPr>
          <w:p w14:paraId="0BEC6BC3">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vertAlign w:val="baseline"/>
                <w:lang w:val="en-US" w:eastAsia="zh-CN"/>
              </w:rPr>
              <w:t>总长度6673.75米，标准宽度8.5米，总面积63072.5平方米</w:t>
            </w:r>
          </w:p>
        </w:tc>
      </w:tr>
      <w:tr w14:paraId="1AC6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1" w:type="dxa"/>
            <w:noWrap w:val="0"/>
            <w:vAlign w:val="center"/>
          </w:tcPr>
          <w:p w14:paraId="28653E68">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1842" w:type="dxa"/>
            <w:noWrap w:val="0"/>
            <w:vAlign w:val="center"/>
          </w:tcPr>
          <w:p w14:paraId="520064A0">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高架附属排水系统</w:t>
            </w:r>
          </w:p>
        </w:tc>
        <w:tc>
          <w:tcPr>
            <w:tcW w:w="6926" w:type="dxa"/>
            <w:noWrap w:val="0"/>
            <w:vAlign w:val="center"/>
          </w:tcPr>
          <w:p w14:paraId="22432979">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vertAlign w:val="baseline"/>
                <w:lang w:val="en-US" w:eastAsia="zh-CN"/>
              </w:rPr>
              <w:t>桥面排水15343.89米、桥面泄水管17674.25米</w:t>
            </w:r>
          </w:p>
        </w:tc>
      </w:tr>
      <w:tr w14:paraId="22EC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91" w:type="dxa"/>
            <w:noWrap w:val="0"/>
            <w:vAlign w:val="center"/>
          </w:tcPr>
          <w:p w14:paraId="0532A3DD">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6</w:t>
            </w:r>
          </w:p>
        </w:tc>
        <w:tc>
          <w:tcPr>
            <w:tcW w:w="1842" w:type="dxa"/>
            <w:noWrap w:val="0"/>
            <w:vAlign w:val="center"/>
          </w:tcPr>
          <w:p w14:paraId="3C235B38">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支座</w:t>
            </w:r>
          </w:p>
        </w:tc>
        <w:tc>
          <w:tcPr>
            <w:tcW w:w="6926" w:type="dxa"/>
            <w:noWrap w:val="0"/>
            <w:vAlign w:val="center"/>
          </w:tcPr>
          <w:p w14:paraId="58F52597">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服务范围内，含各类支座共计5719个</w:t>
            </w:r>
          </w:p>
        </w:tc>
      </w:tr>
      <w:tr w14:paraId="0D0B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91" w:type="dxa"/>
            <w:noWrap w:val="0"/>
            <w:vAlign w:val="center"/>
          </w:tcPr>
          <w:p w14:paraId="22ECF5F1">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7</w:t>
            </w:r>
          </w:p>
        </w:tc>
        <w:tc>
          <w:tcPr>
            <w:tcW w:w="1842" w:type="dxa"/>
            <w:noWrap w:val="0"/>
            <w:vAlign w:val="center"/>
          </w:tcPr>
          <w:p w14:paraId="7FC9143E">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伸缩缝</w:t>
            </w:r>
          </w:p>
        </w:tc>
        <w:tc>
          <w:tcPr>
            <w:tcW w:w="6926" w:type="dxa"/>
            <w:noWrap w:val="0"/>
            <w:vAlign w:val="center"/>
          </w:tcPr>
          <w:p w14:paraId="5FCE2BE7">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含各类40型、80型、160型伸缩缝总长2766.344米</w:t>
            </w:r>
          </w:p>
        </w:tc>
      </w:tr>
      <w:tr w14:paraId="5C5A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91" w:type="dxa"/>
            <w:noWrap w:val="0"/>
            <w:vAlign w:val="center"/>
          </w:tcPr>
          <w:p w14:paraId="729C70A1">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8</w:t>
            </w:r>
          </w:p>
        </w:tc>
        <w:tc>
          <w:tcPr>
            <w:tcW w:w="1842" w:type="dxa"/>
            <w:noWrap w:val="0"/>
            <w:vAlign w:val="center"/>
          </w:tcPr>
          <w:p w14:paraId="69460B41">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隔音屏</w:t>
            </w:r>
          </w:p>
        </w:tc>
        <w:tc>
          <w:tcPr>
            <w:tcW w:w="6926" w:type="dxa"/>
            <w:noWrap w:val="0"/>
            <w:vAlign w:val="center"/>
          </w:tcPr>
          <w:p w14:paraId="31EAD021">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高度范围为1.0~2.8米，长度总计9814.62米</w:t>
            </w:r>
          </w:p>
        </w:tc>
      </w:tr>
      <w:tr w14:paraId="4F25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91" w:type="dxa"/>
            <w:noWrap w:val="0"/>
            <w:vAlign w:val="center"/>
          </w:tcPr>
          <w:p w14:paraId="70D606A5">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9</w:t>
            </w:r>
          </w:p>
        </w:tc>
        <w:tc>
          <w:tcPr>
            <w:tcW w:w="1842" w:type="dxa"/>
            <w:noWrap w:val="0"/>
            <w:vAlign w:val="center"/>
          </w:tcPr>
          <w:p w14:paraId="458439EF">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lang w:eastAsia="zh-CN"/>
              </w:rPr>
              <w:t>主线高架</w:t>
            </w:r>
            <w:r>
              <w:rPr>
                <w:rFonts w:hint="eastAsia" w:ascii="宋体" w:hAnsi="宋体" w:eastAsia="宋体" w:cs="宋体"/>
                <w:color w:val="auto"/>
                <w:sz w:val="22"/>
                <w:szCs w:val="22"/>
                <w:highlight w:val="none"/>
                <w:lang w:val="en-US" w:eastAsia="zh-CN"/>
              </w:rPr>
              <w:t>路灯</w:t>
            </w:r>
          </w:p>
        </w:tc>
        <w:tc>
          <w:tcPr>
            <w:tcW w:w="6926" w:type="dxa"/>
            <w:noWrap w:val="0"/>
            <w:vAlign w:val="center"/>
          </w:tcPr>
          <w:p w14:paraId="002944E0">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lang w:val="en-US" w:eastAsia="zh-CN"/>
              </w:rPr>
              <w:t>路灯276盏、匝道平光灯1543套</w:t>
            </w:r>
          </w:p>
        </w:tc>
      </w:tr>
      <w:tr w14:paraId="6A35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91" w:type="dxa"/>
            <w:noWrap w:val="0"/>
            <w:vAlign w:val="center"/>
          </w:tcPr>
          <w:p w14:paraId="644D256D">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w:t>
            </w:r>
          </w:p>
        </w:tc>
        <w:tc>
          <w:tcPr>
            <w:tcW w:w="1842" w:type="dxa"/>
            <w:noWrap w:val="0"/>
            <w:vAlign w:val="center"/>
          </w:tcPr>
          <w:p w14:paraId="3D030E0C">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lang w:val="en-US" w:eastAsia="zh-CN"/>
              </w:rPr>
              <w:t>地面道路路灯</w:t>
            </w:r>
          </w:p>
        </w:tc>
        <w:tc>
          <w:tcPr>
            <w:tcW w:w="6926" w:type="dxa"/>
            <w:noWrap w:val="0"/>
            <w:vAlign w:val="center"/>
          </w:tcPr>
          <w:p w14:paraId="3CCFA5FA">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lang w:val="en-US" w:eastAsia="zh-CN"/>
              </w:rPr>
              <w:t>路灯238套投光灯223套</w:t>
            </w:r>
          </w:p>
        </w:tc>
      </w:tr>
    </w:tbl>
    <w:p w14:paraId="21CD08F7">
      <w:pPr>
        <w:keepNext w:val="0"/>
        <w:keepLines w:val="0"/>
        <w:pageBreakBefore w:val="0"/>
        <w:kinsoku/>
        <w:wordWrap/>
        <w:overflowPunct/>
        <w:topLinePunct w:val="0"/>
        <w:bidi w:val="0"/>
        <w:adjustRightInd/>
        <w:snapToGrid w:val="0"/>
        <w:spacing w:before="120" w:beforeLines="50" w:line="460" w:lineRule="exact"/>
        <w:ind w:firstLine="440" w:firstLineChars="2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2.2</w:t>
      </w:r>
      <w:r>
        <w:rPr>
          <w:rFonts w:hint="eastAsia" w:ascii="宋体" w:hAnsi="宋体" w:eastAsia="宋体" w:cs="宋体"/>
          <w:color w:val="auto"/>
          <w:sz w:val="22"/>
          <w:szCs w:val="22"/>
          <w:highlight w:val="none"/>
          <w:lang w:eastAsia="zh-CN"/>
        </w:rPr>
        <w:t>瓯越大道（温瑞大道南段快速路一期）</w:t>
      </w:r>
      <w:r>
        <w:rPr>
          <w:rFonts w:hint="eastAsia" w:ascii="宋体" w:hAnsi="宋体" w:eastAsia="宋体" w:cs="宋体"/>
          <w:color w:val="auto"/>
          <w:sz w:val="22"/>
          <w:szCs w:val="22"/>
          <w:highlight w:val="none"/>
        </w:rPr>
        <w:t>道桥日常</w:t>
      </w:r>
      <w:r>
        <w:rPr>
          <w:rFonts w:hint="eastAsia" w:ascii="宋体" w:hAnsi="宋体" w:eastAsia="宋体" w:cs="宋体"/>
          <w:color w:val="auto"/>
          <w:sz w:val="22"/>
          <w:szCs w:val="22"/>
          <w:highlight w:val="none"/>
          <w:lang w:eastAsia="zh-CN"/>
        </w:rPr>
        <w:t>巡查及保养</w:t>
      </w:r>
      <w:r>
        <w:rPr>
          <w:rFonts w:hint="eastAsia" w:ascii="宋体" w:hAnsi="宋体" w:eastAsia="宋体" w:cs="宋体"/>
          <w:color w:val="auto"/>
          <w:sz w:val="22"/>
          <w:szCs w:val="22"/>
          <w:highlight w:val="none"/>
        </w:rPr>
        <w:t>服务范围包括道路红线范围内所有空间。</w:t>
      </w:r>
    </w:p>
    <w:p w14:paraId="649166BC">
      <w:pPr>
        <w:keepNext w:val="0"/>
        <w:keepLines w:val="0"/>
        <w:pageBreakBefore w:val="0"/>
        <w:kinsoku/>
        <w:wordWrap/>
        <w:overflowPunct/>
        <w:topLinePunct w:val="0"/>
        <w:bidi w:val="0"/>
        <w:adjustRightInd/>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采购人因管理需要调整供应商服务区域时（不管是新增还是减少），供应商须无条件服从，均按合同执行并纳入考核范围。</w:t>
      </w:r>
    </w:p>
    <w:p w14:paraId="25F942F5">
      <w:pPr>
        <w:keepNext w:val="0"/>
        <w:keepLines w:val="0"/>
        <w:pageBreakBefore w:val="0"/>
        <w:kinsoku/>
        <w:wordWrap/>
        <w:overflowPunct/>
        <w:topLinePunct w:val="0"/>
        <w:bidi w:val="0"/>
        <w:adjustRightInd/>
        <w:snapToGrid w:val="0"/>
        <w:spacing w:before="120" w:beforeLines="50" w:line="460" w:lineRule="exact"/>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2.3日常巡查及保养内容包括设施经常性检查、常规定期检测、应急保障 （如防汛、抗台、抗雪等灾害天气，火灾、交通事故等突发事件）、重大活动及节日保障、设施档案建立等。</w:t>
      </w:r>
    </w:p>
    <w:p w14:paraId="5B04687B">
      <w:pPr>
        <w:keepNext w:val="0"/>
        <w:keepLines w:val="0"/>
        <w:pageBreakBefore w:val="0"/>
        <w:widowControl/>
        <w:kinsoku/>
        <w:wordWrap/>
        <w:overflowPunct/>
        <w:topLinePunct w:val="0"/>
        <w:autoSpaceDE w:val="0"/>
        <w:autoSpaceDN w:val="0"/>
        <w:bidi w:val="0"/>
        <w:adjustRightInd/>
        <w:snapToGrid w:val="0"/>
        <w:spacing w:line="460" w:lineRule="exact"/>
        <w:ind w:firstLine="442" w:firstLineChars="200"/>
        <w:textAlignment w:val="bottom"/>
        <w:outlineLvl w:val="2"/>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3</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服务期</w:t>
      </w:r>
    </w:p>
    <w:p w14:paraId="4FCBF1CC">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本项目服务期为自合同签订的服务起始日起</w:t>
      </w:r>
      <w:r>
        <w:rPr>
          <w:rFonts w:hint="eastAsia" w:ascii="宋体" w:hAnsi="宋体" w:cs="宋体"/>
          <w:color w:val="auto"/>
          <w:sz w:val="22"/>
          <w:szCs w:val="22"/>
          <w:highlight w:val="none"/>
          <w:lang w:val="en-US" w:eastAsia="zh-CN"/>
        </w:rPr>
        <w:t>12</w:t>
      </w:r>
      <w:r>
        <w:rPr>
          <w:rFonts w:hint="eastAsia" w:ascii="宋体" w:hAnsi="宋体" w:eastAsia="宋体" w:cs="宋体"/>
          <w:color w:val="auto"/>
          <w:sz w:val="22"/>
          <w:szCs w:val="22"/>
          <w:highlight w:val="none"/>
          <w:lang w:val="en-US" w:eastAsia="zh-CN"/>
        </w:rPr>
        <w:t>个月</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自202</w:t>
      </w:r>
      <w:r>
        <w:rPr>
          <w:rFonts w:hint="eastAsia" w:ascii="宋体" w:hAnsi="宋体" w:eastAsia="宋体" w:cs="宋体"/>
          <w:color w:val="auto"/>
          <w:sz w:val="22"/>
          <w:szCs w:val="22"/>
          <w:highlight w:val="none"/>
          <w:u w:val="single"/>
          <w:lang w:val="en-US" w:eastAsia="zh-CN"/>
        </w:rPr>
        <w:t>5</w:t>
      </w:r>
      <w:r>
        <w:rPr>
          <w:rFonts w:hint="eastAsia" w:ascii="宋体" w:hAnsi="宋体" w:eastAsia="宋体" w:cs="宋体"/>
          <w:color w:val="auto"/>
          <w:sz w:val="22"/>
          <w:szCs w:val="22"/>
          <w:highlight w:val="none"/>
          <w:u w:val="single"/>
        </w:rPr>
        <w:t>年   月   日起至202 年   月   日止）, 签约合同满后发包人将根据考核结果及其他情况综合确定是否再续签</w:t>
      </w:r>
      <w:r>
        <w:rPr>
          <w:rFonts w:hint="eastAsia" w:ascii="宋体" w:hAnsi="宋体" w:eastAsia="宋体" w:cs="宋体"/>
          <w:color w:val="auto"/>
          <w:sz w:val="22"/>
          <w:szCs w:val="22"/>
          <w:highlight w:val="none"/>
        </w:rPr>
        <w:t>。</w:t>
      </w:r>
    </w:p>
    <w:p w14:paraId="45D0422B">
      <w:pPr>
        <w:keepNext w:val="0"/>
        <w:keepLines w:val="0"/>
        <w:pageBreakBefore w:val="0"/>
        <w:widowControl w:val="0"/>
        <w:kinsoku/>
        <w:wordWrap/>
        <w:overflowPunct/>
        <w:topLinePunct w:val="0"/>
        <w:autoSpaceDE/>
        <w:autoSpaceDN/>
        <w:bidi w:val="0"/>
        <w:adjustRightInd/>
        <w:snapToGrid w:val="0"/>
        <w:spacing w:line="460" w:lineRule="exact"/>
        <w:jc w:val="left"/>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二、需求清单</w:t>
      </w:r>
    </w:p>
    <w:p w14:paraId="1C598B04">
      <w:pPr>
        <w:keepNext w:val="0"/>
        <w:keepLines w:val="0"/>
        <w:pageBreakBefore w:val="0"/>
        <w:kinsoku/>
        <w:wordWrap/>
        <w:overflowPunct/>
        <w:topLinePunct w:val="0"/>
        <w:bidi w:val="0"/>
        <w:adjustRightInd/>
        <w:snapToGrid w:val="0"/>
        <w:spacing w:line="4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（一）采购项目预（概）算</w:t>
      </w:r>
    </w:p>
    <w:p w14:paraId="45F9CDFE">
      <w:pPr>
        <w:keepNext w:val="0"/>
        <w:keepLines w:val="0"/>
        <w:pageBreakBefore w:val="0"/>
        <w:kinsoku/>
        <w:wordWrap/>
        <w:overflowPunct/>
        <w:topLinePunct w:val="0"/>
        <w:bidi w:val="0"/>
        <w:adjustRightInd/>
        <w:snapToGrid w:val="0"/>
        <w:spacing w:line="460" w:lineRule="exact"/>
        <w:ind w:firstLine="442" w:firstLineChars="200"/>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▲总预算：</w:t>
      </w:r>
      <w:r>
        <w:rPr>
          <w:rFonts w:hint="eastAsia" w:ascii="宋体" w:hAnsi="宋体" w:eastAsia="宋体" w:cs="宋体"/>
          <w:b/>
          <w:color w:val="auto"/>
          <w:sz w:val="22"/>
          <w:szCs w:val="22"/>
          <w:highlight w:val="none"/>
          <w:u w:val="single"/>
          <w:lang w:val="en-US" w:eastAsia="zh-CN"/>
        </w:rPr>
        <w:t>1460000</w:t>
      </w:r>
      <w:r>
        <w:rPr>
          <w:rFonts w:hint="eastAsia" w:ascii="宋体" w:hAnsi="宋体" w:eastAsia="宋体" w:cs="宋体"/>
          <w:b/>
          <w:color w:val="auto"/>
          <w:sz w:val="22"/>
          <w:szCs w:val="22"/>
          <w:highlight w:val="none"/>
          <w:u w:val="single"/>
        </w:rPr>
        <w:t>元。</w:t>
      </w:r>
    </w:p>
    <w:p w14:paraId="1A27CCAE">
      <w:pPr>
        <w:keepNext w:val="0"/>
        <w:keepLines w:val="0"/>
        <w:pageBreakBefore w:val="0"/>
        <w:kinsoku/>
        <w:wordWrap/>
        <w:overflowPunct/>
        <w:topLinePunct w:val="0"/>
        <w:bidi w:val="0"/>
        <w:adjustRightInd/>
        <w:snapToGrid w:val="0"/>
        <w:spacing w:line="4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（二）采购项目清单</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116"/>
        <w:gridCol w:w="1500"/>
        <w:gridCol w:w="1309"/>
        <w:gridCol w:w="1207"/>
      </w:tblGrid>
      <w:tr w14:paraId="4A13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0" w:type="dxa"/>
            <w:noWrap w:val="0"/>
            <w:vAlign w:val="center"/>
          </w:tcPr>
          <w:p w14:paraId="49DC0DB9">
            <w:pPr>
              <w:keepNext w:val="0"/>
              <w:keepLines w:val="0"/>
              <w:pageBreakBefore w:val="0"/>
              <w:kinsoku/>
              <w:wordWrap/>
              <w:overflowPunct/>
              <w:topLinePunct w:val="0"/>
              <w:bidi w:val="0"/>
              <w:adjustRightInd/>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4116" w:type="dxa"/>
            <w:noWrap w:val="0"/>
            <w:vAlign w:val="center"/>
          </w:tcPr>
          <w:p w14:paraId="687C4F37">
            <w:pPr>
              <w:keepNext w:val="0"/>
              <w:keepLines w:val="0"/>
              <w:pageBreakBefore w:val="0"/>
              <w:kinsoku/>
              <w:wordWrap/>
              <w:overflowPunct/>
              <w:topLinePunct w:val="0"/>
              <w:bidi w:val="0"/>
              <w:adjustRightInd/>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标的名称</w:t>
            </w:r>
          </w:p>
        </w:tc>
        <w:tc>
          <w:tcPr>
            <w:tcW w:w="1500" w:type="dxa"/>
            <w:noWrap w:val="0"/>
            <w:vAlign w:val="center"/>
          </w:tcPr>
          <w:p w14:paraId="43959865">
            <w:pPr>
              <w:keepNext w:val="0"/>
              <w:keepLines w:val="0"/>
              <w:pageBreakBefore w:val="0"/>
              <w:kinsoku/>
              <w:wordWrap/>
              <w:overflowPunct/>
              <w:topLinePunct w:val="0"/>
              <w:bidi w:val="0"/>
              <w:adjustRightInd/>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计量单位</w:t>
            </w:r>
          </w:p>
        </w:tc>
        <w:tc>
          <w:tcPr>
            <w:tcW w:w="1309" w:type="dxa"/>
            <w:noWrap w:val="0"/>
            <w:vAlign w:val="center"/>
          </w:tcPr>
          <w:p w14:paraId="3062E108">
            <w:pPr>
              <w:keepNext w:val="0"/>
              <w:keepLines w:val="0"/>
              <w:pageBreakBefore w:val="0"/>
              <w:kinsoku/>
              <w:wordWrap/>
              <w:overflowPunct/>
              <w:topLinePunct w:val="0"/>
              <w:bidi w:val="0"/>
              <w:adjustRightInd/>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1207" w:type="dxa"/>
            <w:noWrap w:val="0"/>
            <w:vAlign w:val="center"/>
          </w:tcPr>
          <w:p w14:paraId="0121D0B7">
            <w:pPr>
              <w:keepNext w:val="0"/>
              <w:keepLines w:val="0"/>
              <w:pageBreakBefore w:val="0"/>
              <w:kinsoku/>
              <w:wordWrap/>
              <w:overflowPunct/>
              <w:topLinePunct w:val="0"/>
              <w:bidi w:val="0"/>
              <w:adjustRightInd/>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349B5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0" w:type="dxa"/>
            <w:noWrap w:val="0"/>
            <w:vAlign w:val="center"/>
          </w:tcPr>
          <w:p w14:paraId="3F9898FE">
            <w:pPr>
              <w:keepNext w:val="0"/>
              <w:keepLines w:val="0"/>
              <w:pageBreakBefore w:val="0"/>
              <w:kinsoku/>
              <w:wordWrap/>
              <w:overflowPunct/>
              <w:topLinePunct w:val="0"/>
              <w:bidi w:val="0"/>
              <w:adjustRightInd/>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4116" w:type="dxa"/>
            <w:noWrap w:val="0"/>
            <w:vAlign w:val="center"/>
          </w:tcPr>
          <w:p w14:paraId="47B6AC04">
            <w:pPr>
              <w:keepNext w:val="0"/>
              <w:keepLines w:val="0"/>
              <w:pageBreakBefore w:val="0"/>
              <w:kinsoku/>
              <w:wordWrap/>
              <w:overflowPunct/>
              <w:topLinePunct w:val="0"/>
              <w:bidi w:val="0"/>
              <w:adjustRightInd/>
              <w:snapToGrid w:val="0"/>
              <w:spacing w:line="460" w:lineRule="exact"/>
              <w:jc w:val="center"/>
              <w:rPr>
                <w:rFonts w:hint="eastAsia" w:ascii="宋体" w:hAnsi="宋体" w:eastAsia="宋体" w:cs="宋体"/>
                <w:color w:val="auto"/>
                <w:sz w:val="22"/>
                <w:szCs w:val="22"/>
                <w:highlight w:val="none"/>
                <w:u w:val="single"/>
              </w:rPr>
            </w:pPr>
            <w:r>
              <w:rPr>
                <w:rFonts w:hint="eastAsia" w:ascii="宋体" w:hAnsi="宋体" w:cs="宋体"/>
                <w:color w:val="auto"/>
                <w:sz w:val="22"/>
                <w:highlight w:val="none"/>
                <w:lang w:eastAsia="zh-CN"/>
              </w:rPr>
              <w:t>瓯越大道接管期保养</w:t>
            </w:r>
          </w:p>
        </w:tc>
        <w:tc>
          <w:tcPr>
            <w:tcW w:w="1500" w:type="dxa"/>
            <w:noWrap w:val="0"/>
            <w:vAlign w:val="center"/>
          </w:tcPr>
          <w:p w14:paraId="389697D1">
            <w:pPr>
              <w:keepNext w:val="0"/>
              <w:keepLines w:val="0"/>
              <w:pageBreakBefore w:val="0"/>
              <w:kinsoku/>
              <w:wordWrap/>
              <w:overflowPunct/>
              <w:topLinePunct w:val="0"/>
              <w:bidi w:val="0"/>
              <w:adjustRightInd/>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w:t>
            </w:r>
          </w:p>
        </w:tc>
        <w:tc>
          <w:tcPr>
            <w:tcW w:w="1309" w:type="dxa"/>
            <w:noWrap w:val="0"/>
            <w:vAlign w:val="center"/>
          </w:tcPr>
          <w:p w14:paraId="5892C51F">
            <w:pPr>
              <w:keepNext w:val="0"/>
              <w:keepLines w:val="0"/>
              <w:pageBreakBefore w:val="0"/>
              <w:kinsoku/>
              <w:wordWrap/>
              <w:overflowPunct/>
              <w:topLinePunct w:val="0"/>
              <w:bidi w:val="0"/>
              <w:adjustRightInd/>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207" w:type="dxa"/>
            <w:noWrap w:val="0"/>
            <w:vAlign w:val="center"/>
          </w:tcPr>
          <w:p w14:paraId="26BFD109">
            <w:pPr>
              <w:keepNext w:val="0"/>
              <w:keepLines w:val="0"/>
              <w:pageBreakBefore w:val="0"/>
              <w:kinsoku/>
              <w:wordWrap/>
              <w:overflowPunct/>
              <w:topLinePunct w:val="0"/>
              <w:bidi w:val="0"/>
              <w:adjustRightInd/>
              <w:snapToGrid w:val="0"/>
              <w:spacing w:line="460" w:lineRule="exact"/>
              <w:jc w:val="center"/>
              <w:rPr>
                <w:rFonts w:hint="eastAsia" w:ascii="宋体" w:hAnsi="宋体" w:eastAsia="宋体" w:cs="宋体"/>
                <w:color w:val="auto"/>
                <w:sz w:val="22"/>
                <w:szCs w:val="22"/>
                <w:highlight w:val="none"/>
              </w:rPr>
            </w:pPr>
          </w:p>
        </w:tc>
      </w:tr>
    </w:tbl>
    <w:p w14:paraId="0E0EA814">
      <w:pPr>
        <w:keepNext w:val="0"/>
        <w:keepLines w:val="0"/>
        <w:pageBreakBefore w:val="0"/>
        <w:kinsoku/>
        <w:wordWrap/>
        <w:overflowPunct/>
        <w:topLinePunct w:val="0"/>
        <w:bidi w:val="0"/>
        <w:adjustRightInd/>
        <w:snapToGrid w:val="0"/>
        <w:spacing w:line="4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（三）技术商务要求</w:t>
      </w:r>
    </w:p>
    <w:p w14:paraId="145C349E">
      <w:pPr>
        <w:keepNext w:val="0"/>
        <w:keepLines w:val="0"/>
        <w:pageBreakBefore w:val="0"/>
        <w:kinsoku/>
        <w:wordWrap/>
        <w:overflowPunct/>
        <w:topLinePunct w:val="0"/>
        <w:bidi w:val="0"/>
        <w:adjustRightInd/>
        <w:snapToGrid w:val="0"/>
        <w:spacing w:line="4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1.技术商务要求</w:t>
      </w:r>
    </w:p>
    <w:p w14:paraId="37F50355">
      <w:pPr>
        <w:keepNext w:val="0"/>
        <w:keepLines w:val="0"/>
        <w:pageBreakBefore w:val="0"/>
        <w:kinsoku/>
        <w:wordWrap/>
        <w:overflowPunct/>
        <w:topLinePunct w:val="0"/>
        <w:bidi w:val="0"/>
        <w:adjustRightInd/>
        <w:snapToGrid w:val="0"/>
        <w:spacing w:line="4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技术商务要求，见附件一《道桥日常</w:t>
      </w:r>
      <w:r>
        <w:rPr>
          <w:rFonts w:hint="eastAsia" w:ascii="宋体" w:hAnsi="宋体" w:eastAsia="宋体" w:cs="宋体"/>
          <w:color w:val="auto"/>
          <w:sz w:val="22"/>
          <w:szCs w:val="22"/>
          <w:highlight w:val="none"/>
          <w:lang w:eastAsia="zh-CN"/>
        </w:rPr>
        <w:t>巡查及保养</w:t>
      </w:r>
      <w:r>
        <w:rPr>
          <w:rFonts w:hint="eastAsia" w:ascii="宋体" w:hAnsi="宋体" w:eastAsia="宋体" w:cs="宋体"/>
          <w:color w:val="auto"/>
          <w:sz w:val="22"/>
          <w:szCs w:val="22"/>
          <w:highlight w:val="none"/>
        </w:rPr>
        <w:t>技术商务要求》。</w:t>
      </w:r>
    </w:p>
    <w:p w14:paraId="0DB0CB80">
      <w:pPr>
        <w:keepNext w:val="0"/>
        <w:keepLines w:val="0"/>
        <w:pageBreakBefore w:val="0"/>
        <w:kinsoku/>
        <w:wordWrap/>
        <w:overflowPunct/>
        <w:topLinePunct w:val="0"/>
        <w:bidi w:val="0"/>
        <w:adjustRightInd/>
        <w:snapToGrid w:val="0"/>
        <w:spacing w:line="460" w:lineRule="exact"/>
        <w:ind w:firstLine="442" w:firstLineChars="200"/>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2.▲报价要求</w:t>
      </w:r>
    </w:p>
    <w:p w14:paraId="1BB02561">
      <w:pPr>
        <w:keepNext w:val="0"/>
        <w:keepLines w:val="0"/>
        <w:pageBreakBefore w:val="0"/>
        <w:tabs>
          <w:tab w:val="left" w:pos="540"/>
        </w:tabs>
        <w:kinsoku/>
        <w:wordWrap/>
        <w:overflowPunct/>
        <w:topLinePunct w:val="0"/>
        <w:bidi w:val="0"/>
        <w:adjustRightInd/>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2.1供应商必须完成采购内容和合同规定义务，不允许只对部分内容进行报价。</w:t>
      </w:r>
    </w:p>
    <w:p w14:paraId="106AC9C1">
      <w:pPr>
        <w:keepNext w:val="0"/>
        <w:keepLines w:val="0"/>
        <w:pageBreakBefore w:val="0"/>
        <w:kinsoku/>
        <w:wordWrap/>
        <w:overflowPunct/>
        <w:topLinePunct w:val="0"/>
        <w:bidi w:val="0"/>
        <w:adjustRightInd/>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w:t>
      </w:r>
      <w:r>
        <w:rPr>
          <w:rFonts w:hint="eastAsia" w:ascii="宋体" w:hAnsi="宋体" w:eastAsia="宋体" w:cs="宋体"/>
          <w:color w:val="auto"/>
          <w:sz w:val="22"/>
          <w:szCs w:val="22"/>
          <w:highlight w:val="none"/>
          <w:u w:val="single"/>
        </w:rPr>
        <w:t>本次招标的</w:t>
      </w:r>
      <w:r>
        <w:rPr>
          <w:rFonts w:hint="eastAsia" w:ascii="宋体" w:hAnsi="宋体" w:cs="宋体"/>
          <w:color w:val="auto"/>
          <w:sz w:val="22"/>
          <w:highlight w:val="none"/>
          <w:lang w:eastAsia="zh-CN"/>
        </w:rPr>
        <w:t>瓯越大道接管期保养</w:t>
      </w:r>
      <w:r>
        <w:rPr>
          <w:rFonts w:hint="eastAsia" w:ascii="宋体" w:hAnsi="宋体" w:eastAsia="宋体" w:cs="宋体"/>
          <w:color w:val="auto"/>
          <w:sz w:val="22"/>
          <w:szCs w:val="22"/>
          <w:highlight w:val="none"/>
          <w:u w:val="single"/>
        </w:rPr>
        <w:t>项目服务费，指供应商完成“附件一→表1、</w:t>
      </w:r>
      <w:r>
        <w:rPr>
          <w:rFonts w:hint="eastAsia" w:ascii="宋体" w:hAnsi="宋体" w:eastAsia="宋体" w:cs="宋体"/>
          <w:color w:val="auto"/>
          <w:sz w:val="22"/>
          <w:szCs w:val="22"/>
          <w:highlight w:val="none"/>
          <w:u w:val="single"/>
          <w:lang w:eastAsia="zh-CN"/>
        </w:rPr>
        <w:t>日常巡查及保养</w:t>
      </w:r>
      <w:r>
        <w:rPr>
          <w:rFonts w:hint="eastAsia" w:ascii="宋体" w:hAnsi="宋体" w:eastAsia="宋体" w:cs="宋体"/>
          <w:color w:val="auto"/>
          <w:sz w:val="22"/>
          <w:szCs w:val="22"/>
          <w:highlight w:val="none"/>
          <w:u w:val="single"/>
        </w:rPr>
        <w:t>作业内容及要求”采用总价报价，今后除合同约定外不再调整。</w:t>
      </w:r>
    </w:p>
    <w:p w14:paraId="3C3E65A4">
      <w:pPr>
        <w:keepNext w:val="0"/>
        <w:keepLines w:val="0"/>
        <w:pageBreakBefore w:val="0"/>
        <w:tabs>
          <w:tab w:val="left" w:pos="540"/>
        </w:tabs>
        <w:kinsoku/>
        <w:wordWrap/>
        <w:overflowPunct/>
        <w:topLinePunct w:val="0"/>
        <w:bidi w:val="0"/>
        <w:adjustRightInd/>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投标报价为供应商在合同范围内完成合同约定的道桥</w:t>
      </w:r>
      <w:r>
        <w:rPr>
          <w:rFonts w:hint="eastAsia" w:ascii="宋体" w:hAnsi="宋体" w:eastAsia="宋体" w:cs="宋体"/>
          <w:color w:val="auto"/>
          <w:sz w:val="22"/>
          <w:szCs w:val="22"/>
          <w:highlight w:val="none"/>
          <w:lang w:eastAsia="zh-CN"/>
        </w:rPr>
        <w:t>日常巡查及保养</w:t>
      </w:r>
      <w:r>
        <w:rPr>
          <w:rFonts w:hint="eastAsia" w:ascii="宋体" w:hAnsi="宋体" w:eastAsia="宋体" w:cs="宋体"/>
          <w:color w:val="auto"/>
          <w:sz w:val="22"/>
          <w:szCs w:val="22"/>
          <w:highlight w:val="none"/>
        </w:rPr>
        <w:t>服务的所有费用，包括服务所需的一切劳务、作业台班、技术措施、材料、设备、配件、备件、损耗、仓储、运输（包括垃圾外运）、排水沟应急清理（抗台防汛等应急情况）、政策性文件规定的费用、税费、保险、利润，以及合同包含的风险费用。</w:t>
      </w:r>
    </w:p>
    <w:p w14:paraId="4D6763F9">
      <w:pPr>
        <w:keepNext w:val="0"/>
        <w:keepLines w:val="0"/>
        <w:pageBreakBefore w:val="0"/>
        <w:widowControl/>
        <w:kinsoku/>
        <w:wordWrap/>
        <w:overflowPunct/>
        <w:topLinePunct w:val="0"/>
        <w:autoSpaceDE w:val="0"/>
        <w:autoSpaceDN w:val="0"/>
        <w:bidi w:val="0"/>
        <w:adjustRightInd/>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3.考核及处罚标准</w:t>
      </w:r>
    </w:p>
    <w:p w14:paraId="7877DB5D">
      <w:pPr>
        <w:keepNext w:val="0"/>
        <w:keepLines w:val="0"/>
        <w:pageBreakBefore w:val="0"/>
        <w:widowControl/>
        <w:kinsoku/>
        <w:wordWrap/>
        <w:overflowPunct/>
        <w:topLinePunct w:val="0"/>
        <w:autoSpaceDE w:val="0"/>
        <w:autoSpaceDN w:val="0"/>
        <w:bidi w:val="0"/>
        <w:adjustRightInd/>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（1）采购人依照考核表进行综合计算考评。</w:t>
      </w:r>
    </w:p>
    <w:p w14:paraId="6E453B88">
      <w:pPr>
        <w:keepNext w:val="0"/>
        <w:keepLines w:val="0"/>
        <w:pageBreakBefore w:val="0"/>
        <w:widowControl/>
        <w:kinsoku/>
        <w:wordWrap/>
        <w:overflowPunct/>
        <w:topLinePunct w:val="0"/>
        <w:autoSpaceDE w:val="0"/>
        <w:autoSpaceDN w:val="0"/>
        <w:bidi w:val="0"/>
        <w:adjustRightInd/>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（2）采购人组成的考核小组将负责对市政设施巡查</w:t>
      </w:r>
      <w:r>
        <w:rPr>
          <w:rFonts w:hint="eastAsia" w:ascii="宋体" w:hAnsi="宋体" w:eastAsia="宋体" w:cs="宋体"/>
          <w:color w:val="auto"/>
          <w:sz w:val="22"/>
          <w:szCs w:val="22"/>
          <w:highlight w:val="none"/>
          <w:lang w:eastAsia="zh-CN"/>
        </w:rPr>
        <w:t>保</w:t>
      </w:r>
      <w:r>
        <w:rPr>
          <w:rFonts w:hint="eastAsia" w:ascii="宋体" w:hAnsi="宋体" w:eastAsia="宋体" w:cs="宋体"/>
          <w:color w:val="auto"/>
          <w:sz w:val="22"/>
          <w:szCs w:val="22"/>
          <w:highlight w:val="none"/>
        </w:rPr>
        <w:t>养作业质量进行检查考评，检查将采取明检、暗检相结合的方式。如需供应商配合的将提前一小时通知其派员参加。</w:t>
      </w:r>
    </w:p>
    <w:p w14:paraId="2B09C7DE">
      <w:pPr>
        <w:keepNext w:val="0"/>
        <w:keepLines w:val="0"/>
        <w:pageBreakBefore w:val="0"/>
        <w:widowControl/>
        <w:kinsoku/>
        <w:wordWrap/>
        <w:overflowPunct/>
        <w:topLinePunct w:val="0"/>
        <w:autoSpaceDE w:val="0"/>
        <w:autoSpaceDN w:val="0"/>
        <w:bidi w:val="0"/>
        <w:adjustRightInd/>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（3）月考核分与</w:t>
      </w:r>
      <w:r>
        <w:rPr>
          <w:rFonts w:hint="eastAsia" w:ascii="宋体" w:hAnsi="宋体" w:eastAsia="宋体" w:cs="宋体"/>
          <w:color w:val="auto"/>
          <w:sz w:val="22"/>
          <w:szCs w:val="22"/>
          <w:highlight w:val="none"/>
          <w:lang w:eastAsia="zh-CN"/>
        </w:rPr>
        <w:t>日常巡查及保养</w:t>
      </w:r>
      <w:r>
        <w:rPr>
          <w:rFonts w:hint="eastAsia" w:ascii="宋体" w:hAnsi="宋体" w:eastAsia="宋体" w:cs="宋体"/>
          <w:color w:val="auto"/>
          <w:sz w:val="22"/>
          <w:szCs w:val="22"/>
          <w:highlight w:val="none"/>
        </w:rPr>
        <w:t>服务费、履约保证金挂钩。月度考核高于或等于90分的本月</w:t>
      </w:r>
      <w:r>
        <w:rPr>
          <w:rFonts w:hint="eastAsia" w:ascii="宋体" w:hAnsi="宋体" w:eastAsia="宋体" w:cs="宋体"/>
          <w:color w:val="auto"/>
          <w:sz w:val="22"/>
          <w:szCs w:val="22"/>
          <w:highlight w:val="none"/>
          <w:lang w:eastAsia="zh-CN"/>
        </w:rPr>
        <w:t>日常巡查及保养</w:t>
      </w:r>
      <w:r>
        <w:rPr>
          <w:rFonts w:hint="eastAsia" w:ascii="宋体" w:hAnsi="宋体" w:eastAsia="宋体" w:cs="宋体"/>
          <w:color w:val="auto"/>
          <w:sz w:val="22"/>
          <w:szCs w:val="22"/>
          <w:highlight w:val="none"/>
        </w:rPr>
        <w:t>服务费不扣除，月考核低于90分的，每少1分（以90分为基准）扣当月</w:t>
      </w:r>
      <w:r>
        <w:rPr>
          <w:rFonts w:hint="eastAsia" w:ascii="宋体" w:hAnsi="宋体" w:eastAsia="宋体" w:cs="宋体"/>
          <w:color w:val="auto"/>
          <w:sz w:val="22"/>
          <w:szCs w:val="22"/>
          <w:highlight w:val="none"/>
          <w:lang w:eastAsia="zh-CN"/>
        </w:rPr>
        <w:t>日常巡查及保养</w:t>
      </w:r>
      <w:r>
        <w:rPr>
          <w:rFonts w:hint="eastAsia" w:ascii="宋体" w:hAnsi="宋体" w:eastAsia="宋体" w:cs="宋体"/>
          <w:color w:val="auto"/>
          <w:sz w:val="22"/>
          <w:szCs w:val="22"/>
          <w:highlight w:val="none"/>
        </w:rPr>
        <w:t>服务费的1%，依次类推。月度考核低于70分的，采购人扣除相应</w:t>
      </w:r>
      <w:r>
        <w:rPr>
          <w:rFonts w:hint="eastAsia" w:ascii="宋体" w:hAnsi="宋体" w:eastAsia="宋体" w:cs="宋体"/>
          <w:color w:val="auto"/>
          <w:sz w:val="22"/>
          <w:szCs w:val="22"/>
          <w:highlight w:val="none"/>
          <w:lang w:eastAsia="zh-CN"/>
        </w:rPr>
        <w:t>日常巡查及保养</w:t>
      </w:r>
      <w:r>
        <w:rPr>
          <w:rFonts w:hint="eastAsia" w:ascii="宋体" w:hAnsi="宋体" w:eastAsia="宋体" w:cs="宋体"/>
          <w:color w:val="auto"/>
          <w:sz w:val="22"/>
          <w:szCs w:val="22"/>
          <w:highlight w:val="none"/>
        </w:rPr>
        <w:t>服务费用后，再扣除履约保证金的十分之一，并向供应商发出警告。</w:t>
      </w:r>
    </w:p>
    <w:p w14:paraId="08C0A731">
      <w:pPr>
        <w:keepNext w:val="0"/>
        <w:keepLines w:val="0"/>
        <w:pageBreakBefore w:val="0"/>
        <w:widowControl/>
        <w:kinsoku/>
        <w:wordWrap/>
        <w:overflowPunct/>
        <w:topLinePunct w:val="0"/>
        <w:autoSpaceDE w:val="0"/>
        <w:autoSpaceDN w:val="0"/>
        <w:bidi w:val="0"/>
        <w:adjustRightInd/>
        <w:spacing w:line="460" w:lineRule="exact"/>
        <w:ind w:firstLine="440" w:firstLineChars="200"/>
        <w:textAlignment w:val="bottom"/>
        <w:rPr>
          <w:rFonts w:hint="eastAsia" w:ascii="宋体" w:hAnsi="宋体" w:eastAsia="宋体" w:cs="宋体"/>
          <w:strike/>
          <w:dstrike w:val="0"/>
          <w:color w:val="auto"/>
          <w:sz w:val="22"/>
          <w:szCs w:val="22"/>
          <w:highlight w:val="none"/>
        </w:rPr>
      </w:pPr>
      <w:r>
        <w:rPr>
          <w:rFonts w:hint="eastAsia" w:ascii="宋体" w:hAnsi="宋体" w:eastAsia="宋体" w:cs="宋体"/>
          <w:color w:val="auto"/>
          <w:sz w:val="22"/>
          <w:szCs w:val="22"/>
          <w:highlight w:val="none"/>
        </w:rPr>
        <w:t>（4）连续两个月月度考核低于</w:t>
      </w:r>
      <w:r>
        <w:rPr>
          <w:rFonts w:hint="eastAsia" w:ascii="宋体" w:hAnsi="宋体" w:eastAsia="宋体" w:cs="宋体"/>
          <w:color w:val="auto"/>
          <w:sz w:val="22"/>
          <w:szCs w:val="22"/>
          <w:highlight w:val="none"/>
          <w:lang w:val="en-US" w:eastAsia="zh-CN"/>
        </w:rPr>
        <w:t>80</w:t>
      </w:r>
      <w:r>
        <w:rPr>
          <w:rFonts w:hint="eastAsia" w:ascii="宋体" w:hAnsi="宋体" w:eastAsia="宋体" w:cs="宋体"/>
          <w:color w:val="auto"/>
          <w:sz w:val="22"/>
          <w:szCs w:val="22"/>
          <w:highlight w:val="none"/>
        </w:rPr>
        <w:t>分的，或连续三个月考核总分低于</w:t>
      </w:r>
      <w:r>
        <w:rPr>
          <w:rFonts w:hint="eastAsia" w:ascii="宋体" w:hAnsi="宋体" w:eastAsia="宋体" w:cs="宋体"/>
          <w:color w:val="auto"/>
          <w:sz w:val="22"/>
          <w:szCs w:val="22"/>
          <w:highlight w:val="none"/>
          <w:lang w:val="en-US" w:eastAsia="zh-CN"/>
        </w:rPr>
        <w:t>240</w:t>
      </w:r>
      <w:r>
        <w:rPr>
          <w:rFonts w:hint="eastAsia" w:ascii="宋体" w:hAnsi="宋体" w:eastAsia="宋体" w:cs="宋体"/>
          <w:color w:val="auto"/>
          <w:sz w:val="22"/>
          <w:szCs w:val="22"/>
          <w:highlight w:val="none"/>
        </w:rPr>
        <w:t>分的，采购人扣除相应</w:t>
      </w:r>
      <w:r>
        <w:rPr>
          <w:rFonts w:hint="eastAsia" w:ascii="宋体" w:hAnsi="宋体" w:eastAsia="宋体" w:cs="宋体"/>
          <w:color w:val="auto"/>
          <w:sz w:val="22"/>
          <w:szCs w:val="22"/>
          <w:highlight w:val="none"/>
          <w:lang w:eastAsia="zh-CN"/>
        </w:rPr>
        <w:t>日常巡查及保养</w:t>
      </w:r>
      <w:r>
        <w:rPr>
          <w:rFonts w:hint="eastAsia" w:ascii="宋体" w:hAnsi="宋体" w:eastAsia="宋体" w:cs="宋体"/>
          <w:color w:val="auto"/>
          <w:sz w:val="22"/>
          <w:szCs w:val="22"/>
          <w:highlight w:val="none"/>
        </w:rPr>
        <w:t>服务费用后，再扣除全部履约保证金，并有权终止合同，供应商的损失均由其自行负责。</w:t>
      </w:r>
    </w:p>
    <w:p w14:paraId="2254DC83">
      <w:pPr>
        <w:keepNext w:val="0"/>
        <w:keepLines w:val="0"/>
        <w:pageBreakBefore w:val="0"/>
        <w:tabs>
          <w:tab w:val="left" w:pos="540"/>
        </w:tabs>
        <w:kinsoku/>
        <w:wordWrap/>
        <w:overflowPunct/>
        <w:topLinePunct w:val="0"/>
        <w:bidi w:val="0"/>
        <w:adjustRightInd/>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）供应商累计3次未按采购人要求按时完成指定</w:t>
      </w:r>
      <w:r>
        <w:rPr>
          <w:rFonts w:hint="eastAsia" w:ascii="宋体" w:hAnsi="宋体" w:eastAsia="宋体" w:cs="宋体"/>
          <w:color w:val="auto"/>
          <w:sz w:val="22"/>
          <w:szCs w:val="22"/>
          <w:highlight w:val="none"/>
          <w:lang w:eastAsia="zh-CN"/>
        </w:rPr>
        <w:t>保养</w:t>
      </w:r>
      <w:r>
        <w:rPr>
          <w:rFonts w:hint="eastAsia" w:ascii="宋体" w:hAnsi="宋体" w:eastAsia="宋体" w:cs="宋体"/>
          <w:color w:val="auto"/>
          <w:sz w:val="22"/>
          <w:szCs w:val="22"/>
          <w:highlight w:val="none"/>
        </w:rPr>
        <w:t>任务或未按要求响应应急维修任务的，采购人有权对合同进行终止处理，并没收全部履约保证金，供应商的损失均由其自行负责。</w:t>
      </w:r>
    </w:p>
    <w:p w14:paraId="46469394">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14:paraId="3B8778B3">
      <w:pPr>
        <w:keepNext w:val="0"/>
        <w:keepLines w:val="0"/>
        <w:pageBreakBefore w:val="0"/>
        <w:widowControl/>
        <w:kinsoku/>
        <w:wordWrap/>
        <w:overflowPunct/>
        <w:topLinePunct w:val="0"/>
        <w:autoSpaceDE w:val="0"/>
        <w:autoSpaceDN w:val="0"/>
        <w:bidi w:val="0"/>
        <w:adjustRightInd/>
        <w:snapToGrid w:val="0"/>
        <w:spacing w:line="460" w:lineRule="exact"/>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附件一 </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 xml:space="preserve">               </w:t>
      </w:r>
    </w:p>
    <w:p w14:paraId="68D5343D">
      <w:pPr>
        <w:keepNext w:val="0"/>
        <w:keepLines w:val="0"/>
        <w:pageBreakBefore w:val="0"/>
        <w:widowControl/>
        <w:kinsoku/>
        <w:wordWrap/>
        <w:overflowPunct/>
        <w:topLinePunct w:val="0"/>
        <w:autoSpaceDE w:val="0"/>
        <w:autoSpaceDN w:val="0"/>
        <w:bidi w:val="0"/>
        <w:adjustRightInd/>
        <w:snapToGrid w:val="0"/>
        <w:spacing w:line="460" w:lineRule="exact"/>
        <w:textAlignment w:val="bottom"/>
        <w:outlineLvl w:val="1"/>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lang w:val="en-US" w:eastAsia="zh-CN"/>
        </w:rPr>
        <w:t>三、</w:t>
      </w:r>
      <w:r>
        <w:rPr>
          <w:rFonts w:hint="eastAsia" w:ascii="宋体" w:hAnsi="宋体" w:eastAsia="宋体" w:cs="宋体"/>
          <w:b/>
          <w:color w:val="auto"/>
          <w:sz w:val="22"/>
          <w:szCs w:val="22"/>
          <w:highlight w:val="none"/>
        </w:rPr>
        <w:t>道桥</w:t>
      </w:r>
      <w:r>
        <w:rPr>
          <w:rFonts w:hint="eastAsia" w:ascii="宋体" w:hAnsi="宋体" w:eastAsia="宋体" w:cs="宋体"/>
          <w:b/>
          <w:color w:val="auto"/>
          <w:sz w:val="22"/>
          <w:szCs w:val="22"/>
          <w:highlight w:val="none"/>
          <w:lang w:eastAsia="zh-CN"/>
        </w:rPr>
        <w:t>日常巡查及保养</w:t>
      </w:r>
      <w:r>
        <w:rPr>
          <w:rFonts w:hint="eastAsia" w:ascii="宋体" w:hAnsi="宋体" w:eastAsia="宋体" w:cs="宋体"/>
          <w:b/>
          <w:color w:val="auto"/>
          <w:sz w:val="22"/>
          <w:szCs w:val="22"/>
          <w:highlight w:val="none"/>
        </w:rPr>
        <w:t>技术商务要求</w:t>
      </w:r>
    </w:p>
    <w:p w14:paraId="0E31FF02">
      <w:pPr>
        <w:keepNext w:val="0"/>
        <w:keepLines w:val="0"/>
        <w:pageBreakBefore w:val="0"/>
        <w:widowControl/>
        <w:numPr>
          <w:ilvl w:val="0"/>
          <w:numId w:val="0"/>
        </w:numPr>
        <w:kinsoku/>
        <w:wordWrap/>
        <w:overflowPunct/>
        <w:topLinePunct w:val="0"/>
        <w:autoSpaceDE w:val="0"/>
        <w:autoSpaceDN w:val="0"/>
        <w:bidi w:val="0"/>
        <w:adjustRightInd/>
        <w:snapToGrid w:val="0"/>
        <w:spacing w:line="460" w:lineRule="exact"/>
        <w:textAlignment w:val="bottom"/>
        <w:outlineLvl w:val="2"/>
        <w:rPr>
          <w:rFonts w:hint="eastAsia" w:ascii="宋体" w:hAnsi="宋体" w:eastAsia="宋体" w:cs="宋体"/>
          <w:b/>
          <w:bCs/>
          <w:color w:val="auto"/>
          <w:sz w:val="22"/>
          <w:szCs w:val="22"/>
          <w:highlight w:val="none"/>
        </w:rPr>
      </w:pPr>
      <w:r>
        <w:rPr>
          <w:rFonts w:hint="eastAsia" w:ascii="宋体" w:hAnsi="宋体" w:eastAsia="宋体" w:cs="宋体"/>
          <w:b/>
          <w:bCs/>
          <w:color w:val="auto"/>
          <w:kern w:val="2"/>
          <w:sz w:val="22"/>
          <w:szCs w:val="22"/>
          <w:highlight w:val="none"/>
          <w:lang w:val="en-US" w:eastAsia="zh-CN" w:bidi="ar-SA"/>
        </w:rPr>
        <w:t>1、</w:t>
      </w:r>
      <w:r>
        <w:rPr>
          <w:rFonts w:hint="eastAsia" w:ascii="宋体" w:hAnsi="宋体" w:eastAsia="宋体" w:cs="宋体"/>
          <w:b/>
          <w:bCs/>
          <w:color w:val="auto"/>
          <w:sz w:val="22"/>
          <w:szCs w:val="22"/>
          <w:highlight w:val="none"/>
        </w:rPr>
        <w:t>市政维养内容及要求</w:t>
      </w:r>
    </w:p>
    <w:p w14:paraId="110142A2">
      <w:pPr>
        <w:keepNext w:val="0"/>
        <w:keepLines w:val="0"/>
        <w:pageBreakBefore w:val="0"/>
        <w:widowControl/>
        <w:kinsoku/>
        <w:wordWrap/>
        <w:overflowPunct/>
        <w:topLinePunct w:val="0"/>
        <w:autoSpaceDE w:val="0"/>
        <w:autoSpaceDN w:val="0"/>
        <w:bidi w:val="0"/>
        <w:adjustRightInd/>
        <w:snapToGrid w:val="0"/>
        <w:spacing w:line="460" w:lineRule="exact"/>
        <w:textAlignment w:val="bottom"/>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表1                      </w:t>
      </w:r>
      <w:r>
        <w:rPr>
          <w:rFonts w:hint="eastAsia" w:ascii="宋体" w:hAnsi="宋体" w:eastAsia="宋体" w:cs="宋体"/>
          <w:b/>
          <w:bCs/>
          <w:color w:val="auto"/>
          <w:sz w:val="22"/>
          <w:szCs w:val="22"/>
          <w:highlight w:val="none"/>
          <w:lang w:eastAsia="zh-CN"/>
        </w:rPr>
        <w:t>日常巡查及保养</w:t>
      </w:r>
      <w:r>
        <w:rPr>
          <w:rFonts w:hint="eastAsia" w:ascii="宋体" w:hAnsi="宋体" w:eastAsia="宋体" w:cs="宋体"/>
          <w:b/>
          <w:bCs/>
          <w:color w:val="auto"/>
          <w:sz w:val="22"/>
          <w:szCs w:val="22"/>
          <w:highlight w:val="none"/>
        </w:rPr>
        <w:t>作业内容及要求</w:t>
      </w:r>
    </w:p>
    <w:tbl>
      <w:tblPr>
        <w:tblStyle w:val="53"/>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529"/>
        <w:gridCol w:w="1314"/>
        <w:gridCol w:w="6018"/>
        <w:gridCol w:w="760"/>
      </w:tblGrid>
      <w:tr w14:paraId="2ACD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0D0D24C1">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14:paraId="4E40DC61">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6018" w:type="dxa"/>
            <w:tcBorders>
              <w:top w:val="single" w:color="auto" w:sz="4" w:space="0"/>
              <w:left w:val="single" w:color="auto" w:sz="4" w:space="0"/>
              <w:bottom w:val="single" w:color="auto" w:sz="4" w:space="0"/>
              <w:right w:val="single" w:color="auto" w:sz="4" w:space="0"/>
            </w:tcBorders>
            <w:noWrap w:val="0"/>
            <w:vAlign w:val="center"/>
          </w:tcPr>
          <w:p w14:paraId="1C260CD6">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日常巡查及保养</w:t>
            </w:r>
            <w:r>
              <w:rPr>
                <w:rFonts w:hint="eastAsia" w:ascii="宋体" w:hAnsi="宋体" w:eastAsia="宋体" w:cs="宋体"/>
                <w:color w:val="auto"/>
                <w:sz w:val="22"/>
                <w:szCs w:val="22"/>
                <w:highlight w:val="none"/>
              </w:rPr>
              <w:t>作业内容及要求</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2EFB3790">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备注</w:t>
            </w:r>
          </w:p>
        </w:tc>
      </w:tr>
      <w:tr w14:paraId="5B3D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5E3E3A7A">
            <w:pPr>
              <w:keepNext w:val="0"/>
              <w:keepLines w:val="0"/>
              <w:pageBreakBefore w:val="0"/>
              <w:kinsoku/>
              <w:wordWrap/>
              <w:overflowPunct/>
              <w:topLinePunct w:val="0"/>
              <w:bidi w:val="0"/>
              <w:adjustRightInd/>
              <w:spacing w:line="460" w:lineRule="exact"/>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eastAsia="zh-CN"/>
              </w:rPr>
              <w:t>一</w:t>
            </w:r>
          </w:p>
        </w:tc>
        <w:tc>
          <w:tcPr>
            <w:tcW w:w="1843" w:type="dxa"/>
            <w:gridSpan w:val="2"/>
            <w:noWrap w:val="0"/>
            <w:vAlign w:val="center"/>
          </w:tcPr>
          <w:p w14:paraId="21E2D6A9">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主道</w:t>
            </w:r>
          </w:p>
        </w:tc>
        <w:tc>
          <w:tcPr>
            <w:tcW w:w="6018" w:type="dxa"/>
            <w:noWrap w:val="0"/>
            <w:vAlign w:val="center"/>
          </w:tcPr>
          <w:p w14:paraId="4393B029">
            <w:pPr>
              <w:keepNext w:val="0"/>
              <w:keepLines w:val="0"/>
              <w:pageBreakBefore w:val="0"/>
              <w:kinsoku/>
              <w:wordWrap/>
              <w:overflowPunct/>
              <w:topLinePunct w:val="0"/>
              <w:bidi w:val="0"/>
              <w:adjustRightInd/>
              <w:spacing w:line="460" w:lineRule="exact"/>
              <w:jc w:val="center"/>
              <w:rPr>
                <w:rFonts w:hint="eastAsia" w:ascii="宋体" w:hAnsi="宋体" w:eastAsia="宋体" w:cs="宋体"/>
                <w:b/>
                <w:color w:val="auto"/>
                <w:sz w:val="22"/>
                <w:szCs w:val="22"/>
                <w:highlight w:val="none"/>
              </w:rPr>
            </w:pPr>
          </w:p>
        </w:tc>
        <w:tc>
          <w:tcPr>
            <w:tcW w:w="760" w:type="dxa"/>
            <w:vMerge w:val="restart"/>
            <w:tcBorders>
              <w:left w:val="single" w:color="auto" w:sz="4" w:space="0"/>
              <w:right w:val="single" w:color="auto" w:sz="4" w:space="0"/>
            </w:tcBorders>
            <w:noWrap w:val="0"/>
            <w:vAlign w:val="center"/>
          </w:tcPr>
          <w:p w14:paraId="55AB14AF">
            <w:pPr>
              <w:keepNext w:val="0"/>
              <w:keepLines w:val="0"/>
              <w:pageBreakBefore w:val="0"/>
              <w:kinsoku/>
              <w:wordWrap/>
              <w:overflowPunct/>
              <w:topLinePunct w:val="0"/>
              <w:bidi w:val="0"/>
              <w:adjustRightInd/>
              <w:spacing w:line="460" w:lineRule="exact"/>
              <w:jc w:val="center"/>
              <w:rPr>
                <w:rFonts w:hint="eastAsia" w:ascii="宋体" w:hAnsi="宋体" w:eastAsia="宋体" w:cs="宋体"/>
                <w:b/>
                <w:color w:val="auto"/>
                <w:sz w:val="22"/>
                <w:szCs w:val="22"/>
                <w:highlight w:val="none"/>
              </w:rPr>
            </w:pPr>
          </w:p>
        </w:tc>
      </w:tr>
      <w:tr w14:paraId="38B3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1F96B564">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.1</w:t>
            </w:r>
          </w:p>
        </w:tc>
        <w:tc>
          <w:tcPr>
            <w:tcW w:w="1843" w:type="dxa"/>
            <w:gridSpan w:val="2"/>
            <w:noWrap w:val="0"/>
            <w:vAlign w:val="center"/>
          </w:tcPr>
          <w:p w14:paraId="4DADEE11">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日常巡查</w:t>
            </w:r>
          </w:p>
        </w:tc>
        <w:tc>
          <w:tcPr>
            <w:tcW w:w="6018" w:type="dxa"/>
            <w:noWrap w:val="0"/>
            <w:vAlign w:val="center"/>
          </w:tcPr>
          <w:p w14:paraId="6091A515">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根据《城镇道路养护技术规范》（CJJ36-2016）、《城市桥梁养护技术标准》（CJJ99-2017）要求对承包范围内全线道路、桥梁及附属设施实施一日一巡</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主线高架路灯，地面道路路灯设施每月一巡(巡查内容包含亮灯情况、完好情况)</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设施管理用房实施24小时值守，特殊情况需加密巡查。日常巡查应按照规范要求，采用摄像及目测结合的方式对路面外观变化、结构变化、道路施工作业情况及附属设施等状况进行检查，并做好相应记录。巡查过程中，对发现设施明显损坏或影响车辆和行人安全的情况，应及时采取相应措施，并及时向管理单位报告。</w:t>
            </w:r>
          </w:p>
        </w:tc>
        <w:tc>
          <w:tcPr>
            <w:tcW w:w="760" w:type="dxa"/>
            <w:vMerge w:val="continue"/>
            <w:tcBorders>
              <w:left w:val="single" w:color="auto" w:sz="4" w:space="0"/>
              <w:right w:val="single" w:color="auto" w:sz="4" w:space="0"/>
            </w:tcBorders>
            <w:noWrap w:val="0"/>
            <w:vAlign w:val="center"/>
          </w:tcPr>
          <w:p w14:paraId="2772405F">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1485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5A876BA9">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2</w:t>
            </w:r>
          </w:p>
        </w:tc>
        <w:tc>
          <w:tcPr>
            <w:tcW w:w="529" w:type="dxa"/>
            <w:tcBorders>
              <w:top w:val="single" w:color="auto" w:sz="4" w:space="0"/>
              <w:left w:val="single" w:color="auto" w:sz="4" w:space="0"/>
              <w:right w:val="single" w:color="auto" w:sz="4" w:space="0"/>
            </w:tcBorders>
            <w:noWrap w:val="0"/>
            <w:vAlign w:val="center"/>
          </w:tcPr>
          <w:p w14:paraId="68354553">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栏杆</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0791943">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钢筋混凝土栏杆</w:t>
            </w:r>
          </w:p>
        </w:tc>
        <w:tc>
          <w:tcPr>
            <w:tcW w:w="6018" w:type="dxa"/>
            <w:noWrap w:val="0"/>
            <w:vAlign w:val="center"/>
          </w:tcPr>
          <w:p w14:paraId="4DFE2EA5">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日常保养，零星破损维修。工作内容包含：表面露筋除锈处理，表面裂缝封闭，涂料破损修补。</w:t>
            </w:r>
          </w:p>
        </w:tc>
        <w:tc>
          <w:tcPr>
            <w:tcW w:w="760" w:type="dxa"/>
            <w:vMerge w:val="continue"/>
            <w:tcBorders>
              <w:left w:val="single" w:color="auto" w:sz="4" w:space="0"/>
              <w:right w:val="single" w:color="auto" w:sz="4" w:space="0"/>
            </w:tcBorders>
            <w:noWrap w:val="0"/>
            <w:vAlign w:val="center"/>
          </w:tcPr>
          <w:p w14:paraId="71D6CBC4">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5D65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857" w:type="dxa"/>
            <w:noWrap w:val="0"/>
            <w:vAlign w:val="center"/>
          </w:tcPr>
          <w:p w14:paraId="590E1125">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w:t>
            </w:r>
          </w:p>
        </w:tc>
        <w:tc>
          <w:tcPr>
            <w:tcW w:w="529" w:type="dxa"/>
            <w:noWrap w:val="0"/>
            <w:vAlign w:val="center"/>
          </w:tcPr>
          <w:p w14:paraId="5D2DFAA5">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伸缩缝</w:t>
            </w:r>
          </w:p>
        </w:tc>
        <w:tc>
          <w:tcPr>
            <w:tcW w:w="1314" w:type="dxa"/>
            <w:noWrap w:val="0"/>
            <w:vAlign w:val="center"/>
          </w:tcPr>
          <w:p w14:paraId="5BF06932">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伸缩缝清理</w:t>
            </w:r>
          </w:p>
        </w:tc>
        <w:tc>
          <w:tcPr>
            <w:tcW w:w="6018" w:type="dxa"/>
            <w:noWrap w:val="0"/>
            <w:vAlign w:val="center"/>
          </w:tcPr>
          <w:p w14:paraId="75FECBE3">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根据《城市桥梁养护技术标准》（CJJ99-2017）定期清理伸缩缝内垃圾，保证伸缩缝功能有效。</w:t>
            </w:r>
          </w:p>
        </w:tc>
        <w:tc>
          <w:tcPr>
            <w:tcW w:w="760" w:type="dxa"/>
            <w:vMerge w:val="continue"/>
            <w:tcBorders>
              <w:left w:val="single" w:color="auto" w:sz="4" w:space="0"/>
              <w:right w:val="single" w:color="auto" w:sz="4" w:space="0"/>
            </w:tcBorders>
            <w:noWrap w:val="0"/>
            <w:vAlign w:val="center"/>
          </w:tcPr>
          <w:p w14:paraId="103F1F1B">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7A33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719F4ADA">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4</w:t>
            </w:r>
          </w:p>
        </w:tc>
        <w:tc>
          <w:tcPr>
            <w:tcW w:w="529" w:type="dxa"/>
            <w:vMerge w:val="restart"/>
            <w:noWrap w:val="0"/>
            <w:vAlign w:val="center"/>
          </w:tcPr>
          <w:p w14:paraId="5C154512">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支座</w:t>
            </w:r>
          </w:p>
        </w:tc>
        <w:tc>
          <w:tcPr>
            <w:tcW w:w="1314" w:type="dxa"/>
            <w:noWrap w:val="0"/>
            <w:vAlign w:val="center"/>
          </w:tcPr>
          <w:p w14:paraId="3D4CBE95">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盆式支座</w:t>
            </w:r>
          </w:p>
        </w:tc>
        <w:tc>
          <w:tcPr>
            <w:tcW w:w="6018" w:type="dxa"/>
            <w:vMerge w:val="restart"/>
            <w:noWrap w:val="0"/>
            <w:vAlign w:val="center"/>
          </w:tcPr>
          <w:p w14:paraId="17E7EBA2">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根据《城市桥梁养护技术标准》（CJJ99-2017）进行日常保养，工作内容包含：清除支座周围垃圾，除锈，加油，维养。</w:t>
            </w:r>
          </w:p>
        </w:tc>
        <w:tc>
          <w:tcPr>
            <w:tcW w:w="760" w:type="dxa"/>
            <w:vMerge w:val="continue"/>
            <w:tcBorders>
              <w:left w:val="single" w:color="auto" w:sz="4" w:space="0"/>
              <w:right w:val="single" w:color="auto" w:sz="4" w:space="0"/>
            </w:tcBorders>
            <w:noWrap w:val="0"/>
            <w:vAlign w:val="center"/>
          </w:tcPr>
          <w:p w14:paraId="13897AE8">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1BEC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73A4A2AD">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5</w:t>
            </w:r>
          </w:p>
        </w:tc>
        <w:tc>
          <w:tcPr>
            <w:tcW w:w="529" w:type="dxa"/>
            <w:vMerge w:val="continue"/>
            <w:noWrap w:val="0"/>
            <w:vAlign w:val="center"/>
          </w:tcPr>
          <w:p w14:paraId="052F3E05">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c>
          <w:tcPr>
            <w:tcW w:w="1314" w:type="dxa"/>
            <w:noWrap w:val="0"/>
            <w:vAlign w:val="center"/>
          </w:tcPr>
          <w:p w14:paraId="07CFEE4C">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橡胶支座</w:t>
            </w:r>
          </w:p>
        </w:tc>
        <w:tc>
          <w:tcPr>
            <w:tcW w:w="6018" w:type="dxa"/>
            <w:vMerge w:val="continue"/>
            <w:noWrap w:val="0"/>
            <w:vAlign w:val="center"/>
          </w:tcPr>
          <w:p w14:paraId="6D6B888D">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p>
        </w:tc>
        <w:tc>
          <w:tcPr>
            <w:tcW w:w="760" w:type="dxa"/>
            <w:vMerge w:val="continue"/>
            <w:tcBorders>
              <w:left w:val="single" w:color="auto" w:sz="4" w:space="0"/>
              <w:right w:val="single" w:color="auto" w:sz="4" w:space="0"/>
            </w:tcBorders>
            <w:noWrap w:val="0"/>
            <w:vAlign w:val="center"/>
          </w:tcPr>
          <w:p w14:paraId="35828CA8">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71F4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4A9DFA02">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6</w:t>
            </w:r>
          </w:p>
        </w:tc>
        <w:tc>
          <w:tcPr>
            <w:tcW w:w="1843" w:type="dxa"/>
            <w:gridSpan w:val="2"/>
            <w:noWrap w:val="0"/>
            <w:vAlign w:val="center"/>
          </w:tcPr>
          <w:p w14:paraId="52F349F3">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隔音屏</w:t>
            </w:r>
            <w:r>
              <w:rPr>
                <w:rFonts w:hint="eastAsia" w:ascii="宋体" w:hAnsi="宋体" w:eastAsia="宋体" w:cs="宋体"/>
                <w:color w:val="auto"/>
                <w:sz w:val="22"/>
                <w:szCs w:val="22"/>
                <w:highlight w:val="none"/>
                <w:lang w:eastAsia="zh-CN"/>
              </w:rPr>
              <w:t>及声屏障</w:t>
            </w:r>
          </w:p>
        </w:tc>
        <w:tc>
          <w:tcPr>
            <w:tcW w:w="6018" w:type="dxa"/>
            <w:noWrap w:val="0"/>
            <w:vAlign w:val="center"/>
          </w:tcPr>
          <w:p w14:paraId="35E2FB23">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按技术规程、规范进行日常保养：每半年对整体安装结构、地脚连接构件和相连接构结构进行一次检查。日常维修：表面除锈处理，涂料破损修补。</w:t>
            </w:r>
          </w:p>
        </w:tc>
        <w:tc>
          <w:tcPr>
            <w:tcW w:w="760" w:type="dxa"/>
            <w:vMerge w:val="continue"/>
            <w:tcBorders>
              <w:left w:val="single" w:color="auto" w:sz="4" w:space="0"/>
              <w:right w:val="single" w:color="auto" w:sz="4" w:space="0"/>
            </w:tcBorders>
            <w:noWrap w:val="0"/>
            <w:vAlign w:val="top"/>
          </w:tcPr>
          <w:p w14:paraId="0B88D1D8">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24B3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781EAD46">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7</w:t>
            </w:r>
          </w:p>
        </w:tc>
        <w:tc>
          <w:tcPr>
            <w:tcW w:w="1843" w:type="dxa"/>
            <w:gridSpan w:val="2"/>
            <w:noWrap w:val="0"/>
            <w:vAlign w:val="center"/>
          </w:tcPr>
          <w:p w14:paraId="4E917298">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主道排水系统</w:t>
            </w:r>
          </w:p>
        </w:tc>
        <w:tc>
          <w:tcPr>
            <w:tcW w:w="6018" w:type="dxa"/>
            <w:noWrap w:val="0"/>
            <w:vAlign w:val="center"/>
          </w:tcPr>
          <w:p w14:paraId="4D420C5B">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清淤、疏通一月一次，保持沟内清洁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排水管调换</w:t>
            </w:r>
            <w:r>
              <w:rPr>
                <w:rFonts w:hint="eastAsia" w:ascii="宋体" w:hAnsi="宋体" w:eastAsia="宋体" w:cs="宋体"/>
                <w:color w:val="auto"/>
                <w:sz w:val="22"/>
                <w:szCs w:val="22"/>
                <w:highlight w:val="none"/>
                <w:lang w:eastAsia="zh-CN"/>
              </w:rPr>
              <w:t>。工作内容包括：拆除原排水管，疏通管道，放样，打眼钻孔，安装</w:t>
            </w:r>
            <w:r>
              <w:rPr>
                <w:rFonts w:hint="eastAsia" w:ascii="宋体" w:hAnsi="宋体" w:eastAsia="宋体" w:cs="宋体"/>
                <w:color w:val="auto"/>
                <w:sz w:val="22"/>
                <w:szCs w:val="22"/>
                <w:highlight w:val="none"/>
                <w:lang w:val="en-US" w:eastAsia="zh-CN"/>
              </w:rPr>
              <w:t>PVC管，接口涂胶封口等。</w:t>
            </w:r>
          </w:p>
        </w:tc>
        <w:tc>
          <w:tcPr>
            <w:tcW w:w="760" w:type="dxa"/>
            <w:vMerge w:val="continue"/>
            <w:tcBorders>
              <w:left w:val="single" w:color="auto" w:sz="4" w:space="0"/>
              <w:right w:val="single" w:color="auto" w:sz="4" w:space="0"/>
            </w:tcBorders>
            <w:noWrap w:val="0"/>
            <w:vAlign w:val="top"/>
          </w:tcPr>
          <w:p w14:paraId="5BE1E11C">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63BC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14C0E83B">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1.8</w:t>
            </w:r>
          </w:p>
        </w:tc>
        <w:tc>
          <w:tcPr>
            <w:tcW w:w="1843" w:type="dxa"/>
            <w:gridSpan w:val="2"/>
            <w:noWrap w:val="0"/>
            <w:vAlign w:val="center"/>
          </w:tcPr>
          <w:p w14:paraId="588B773E">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设施检测</w:t>
            </w:r>
          </w:p>
        </w:tc>
        <w:tc>
          <w:tcPr>
            <w:tcW w:w="6018" w:type="dxa"/>
            <w:noWrap w:val="0"/>
            <w:vAlign w:val="center"/>
          </w:tcPr>
          <w:p w14:paraId="2F6973D0">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eastAsia="zh-CN"/>
              </w:rPr>
              <w:t>城市</w:t>
            </w:r>
            <w:r>
              <w:rPr>
                <w:rFonts w:hint="eastAsia" w:ascii="宋体" w:hAnsi="宋体" w:eastAsia="宋体" w:cs="宋体"/>
                <w:color w:val="auto"/>
                <w:sz w:val="22"/>
                <w:szCs w:val="22"/>
                <w:highlight w:val="none"/>
              </w:rPr>
              <w:t>桥梁养护技术</w:t>
            </w:r>
            <w:r>
              <w:rPr>
                <w:rFonts w:hint="eastAsia" w:ascii="宋体" w:hAnsi="宋体" w:eastAsia="宋体" w:cs="宋体"/>
                <w:color w:val="auto"/>
                <w:sz w:val="22"/>
                <w:szCs w:val="22"/>
                <w:highlight w:val="none"/>
                <w:lang w:eastAsia="zh-CN"/>
              </w:rPr>
              <w:t>标准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对范围内设施</w:t>
            </w:r>
            <w:r>
              <w:rPr>
                <w:rFonts w:hint="eastAsia" w:ascii="宋体" w:hAnsi="宋体" w:eastAsia="宋体" w:cs="宋体"/>
                <w:color w:val="auto"/>
                <w:sz w:val="22"/>
                <w:szCs w:val="22"/>
                <w:highlight w:val="none"/>
              </w:rPr>
              <w:t>进行1次定期检测。</w:t>
            </w:r>
            <w:r>
              <w:rPr>
                <w:rFonts w:hint="eastAsia" w:ascii="宋体" w:hAnsi="宋体" w:eastAsia="宋体" w:cs="宋体"/>
                <w:color w:val="auto"/>
                <w:sz w:val="22"/>
                <w:szCs w:val="22"/>
                <w:highlight w:val="none"/>
                <w:lang w:eastAsia="zh-CN"/>
              </w:rPr>
              <w:t>高架主道桥检测范围包含附属匝道桥。并按照《浙江省城市桥梁隧道安全风险防范技术导则》要求进行安全风险评估。</w:t>
            </w:r>
          </w:p>
        </w:tc>
        <w:tc>
          <w:tcPr>
            <w:tcW w:w="760" w:type="dxa"/>
            <w:vMerge w:val="continue"/>
            <w:tcBorders>
              <w:left w:val="single" w:color="auto" w:sz="4" w:space="0"/>
              <w:right w:val="single" w:color="auto" w:sz="4" w:space="0"/>
            </w:tcBorders>
            <w:noWrap w:val="0"/>
            <w:vAlign w:val="top"/>
          </w:tcPr>
          <w:p w14:paraId="6122891A">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0A00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69444BE1">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二</w:t>
            </w:r>
          </w:p>
        </w:tc>
        <w:tc>
          <w:tcPr>
            <w:tcW w:w="7861" w:type="dxa"/>
            <w:gridSpan w:val="3"/>
            <w:noWrap w:val="0"/>
            <w:vAlign w:val="center"/>
          </w:tcPr>
          <w:p w14:paraId="347E3001">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措施项目</w:t>
            </w:r>
          </w:p>
        </w:tc>
        <w:tc>
          <w:tcPr>
            <w:tcW w:w="760" w:type="dxa"/>
            <w:vMerge w:val="continue"/>
            <w:tcBorders>
              <w:left w:val="single" w:color="auto" w:sz="4" w:space="0"/>
              <w:right w:val="single" w:color="auto" w:sz="4" w:space="0"/>
            </w:tcBorders>
            <w:noWrap w:val="0"/>
            <w:vAlign w:val="center"/>
          </w:tcPr>
          <w:p w14:paraId="056B8B7C">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1129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53496E8C">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2.1</w:t>
            </w:r>
          </w:p>
        </w:tc>
        <w:tc>
          <w:tcPr>
            <w:tcW w:w="1843" w:type="dxa"/>
            <w:gridSpan w:val="2"/>
            <w:noWrap w:val="0"/>
            <w:vAlign w:val="center"/>
          </w:tcPr>
          <w:p w14:paraId="16745AC0">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措施费用</w:t>
            </w:r>
          </w:p>
        </w:tc>
        <w:tc>
          <w:tcPr>
            <w:tcW w:w="6018" w:type="dxa"/>
            <w:noWrap w:val="0"/>
            <w:vAlign w:val="center"/>
          </w:tcPr>
          <w:p w14:paraId="67B6E8D9">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本项目施工期间的机械设备进退场、交通管制及组织等措施费（包含安全措施护栏、人员等费用）</w:t>
            </w:r>
          </w:p>
        </w:tc>
        <w:tc>
          <w:tcPr>
            <w:tcW w:w="760" w:type="dxa"/>
            <w:vMerge w:val="continue"/>
            <w:tcBorders>
              <w:left w:val="single" w:color="auto" w:sz="4" w:space="0"/>
              <w:right w:val="single" w:color="auto" w:sz="4" w:space="0"/>
            </w:tcBorders>
            <w:noWrap w:val="0"/>
            <w:vAlign w:val="center"/>
          </w:tcPr>
          <w:p w14:paraId="3264F7DB">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1033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772001EE">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2.2</w:t>
            </w:r>
          </w:p>
        </w:tc>
        <w:tc>
          <w:tcPr>
            <w:tcW w:w="1843" w:type="dxa"/>
            <w:gridSpan w:val="2"/>
            <w:noWrap w:val="0"/>
            <w:vAlign w:val="center"/>
          </w:tcPr>
          <w:p w14:paraId="4E4B98D5">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编号牌</w:t>
            </w:r>
          </w:p>
        </w:tc>
        <w:tc>
          <w:tcPr>
            <w:tcW w:w="6018" w:type="dxa"/>
            <w:noWrap w:val="0"/>
            <w:vAlign w:val="center"/>
          </w:tcPr>
          <w:p w14:paraId="044A487E">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在伸缩缝及桥墩上增设设施编号牌</w:t>
            </w:r>
          </w:p>
        </w:tc>
        <w:tc>
          <w:tcPr>
            <w:tcW w:w="760" w:type="dxa"/>
            <w:vMerge w:val="continue"/>
            <w:tcBorders>
              <w:left w:val="single" w:color="auto" w:sz="4" w:space="0"/>
              <w:right w:val="single" w:color="auto" w:sz="4" w:space="0"/>
            </w:tcBorders>
            <w:noWrap w:val="0"/>
            <w:vAlign w:val="center"/>
          </w:tcPr>
          <w:p w14:paraId="0B1140E0">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bl>
    <w:p w14:paraId="5A9A5392">
      <w:pPr>
        <w:keepNext w:val="0"/>
        <w:keepLines w:val="0"/>
        <w:pageBreakBefore w:val="0"/>
        <w:widowControl/>
        <w:numPr>
          <w:ilvl w:val="0"/>
          <w:numId w:val="0"/>
        </w:numPr>
        <w:kinsoku/>
        <w:wordWrap/>
        <w:overflowPunct/>
        <w:topLinePunct w:val="0"/>
        <w:autoSpaceDE w:val="0"/>
        <w:autoSpaceDN w:val="0"/>
        <w:bidi w:val="0"/>
        <w:adjustRightInd/>
        <w:snapToGrid w:val="0"/>
        <w:spacing w:line="460" w:lineRule="exact"/>
        <w:textAlignment w:val="bottom"/>
        <w:outlineLvl w:val="2"/>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2、养护质量标准</w:t>
      </w:r>
    </w:p>
    <w:p w14:paraId="054C0EF0">
      <w:pPr>
        <w:keepNext w:val="0"/>
        <w:keepLines w:val="0"/>
        <w:pageBreakBefore w:val="0"/>
        <w:kinsoku/>
        <w:wordWrap/>
        <w:overflowPunct/>
        <w:topLinePunct w:val="0"/>
        <w:bidi w:val="0"/>
        <w:adjustRightInd/>
        <w:snapToGrid w:val="0"/>
        <w:spacing w:line="460" w:lineRule="exact"/>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城市道路管理条例》（国务院令198号）、《城市桥梁检测和养护维修管理办法》（建设部118号令）、《城镇道路养护技术规范》（CJJ36-2016）、《城市桥梁养护技术标准》（CJJ99-2017）、《城镇道路工程施工与质量验收规范》（CJJ1-2008）、《浙江省城市道路管理办法》（省政府令第145号）、《温州市突发公共事件总体应急预案》、《温州市城区防汛防台应急预案》、《温州市区城市桥梁管理养护实施办法》等以及新颁布的相关规程、规范和国家有关强制性标准的规定执行。同时，应满足招标文件约定的考核标准及管理单位的要求。</w:t>
      </w:r>
    </w:p>
    <w:p w14:paraId="425EDA85">
      <w:pPr>
        <w:keepNext w:val="0"/>
        <w:keepLines w:val="0"/>
        <w:pageBreakBefore w:val="0"/>
        <w:widowControl/>
        <w:numPr>
          <w:ilvl w:val="0"/>
          <w:numId w:val="0"/>
        </w:numPr>
        <w:kinsoku/>
        <w:wordWrap/>
        <w:overflowPunct/>
        <w:topLinePunct w:val="0"/>
        <w:autoSpaceDE w:val="0"/>
        <w:autoSpaceDN w:val="0"/>
        <w:bidi w:val="0"/>
        <w:adjustRightInd/>
        <w:snapToGrid w:val="0"/>
        <w:spacing w:line="460" w:lineRule="exact"/>
        <w:textAlignment w:val="bottom"/>
        <w:outlineLvl w:val="2"/>
        <w:rPr>
          <w:rFonts w:hint="eastAsia" w:ascii="宋体" w:hAnsi="宋体" w:eastAsia="宋体" w:cs="宋体"/>
          <w:b/>
          <w:bCs/>
          <w:color w:val="auto"/>
          <w:kern w:val="2"/>
          <w:sz w:val="22"/>
          <w:szCs w:val="22"/>
          <w:highlight w:val="none"/>
          <w:lang w:val="zh-CN" w:eastAsia="zh-CN" w:bidi="ar-SA"/>
        </w:rPr>
      </w:pPr>
      <w:r>
        <w:rPr>
          <w:rFonts w:hint="eastAsia" w:ascii="宋体" w:hAnsi="宋体" w:eastAsia="宋体" w:cs="宋体"/>
          <w:b/>
          <w:bCs/>
          <w:color w:val="auto"/>
          <w:kern w:val="2"/>
          <w:sz w:val="22"/>
          <w:szCs w:val="22"/>
          <w:highlight w:val="none"/>
          <w:lang w:val="en-US" w:eastAsia="zh-CN" w:bidi="ar-SA"/>
        </w:rPr>
        <w:t>3、</w:t>
      </w:r>
      <w:r>
        <w:rPr>
          <w:rFonts w:hint="eastAsia" w:ascii="宋体" w:hAnsi="宋体" w:eastAsia="宋体" w:cs="宋体"/>
          <w:b/>
          <w:bCs/>
          <w:color w:val="auto"/>
          <w:kern w:val="2"/>
          <w:sz w:val="22"/>
          <w:szCs w:val="22"/>
          <w:highlight w:val="none"/>
          <w:lang w:val="zh-CN" w:eastAsia="zh-CN" w:bidi="ar-SA"/>
        </w:rPr>
        <w:t>办公场所、生产设备及主要人员最低要求</w:t>
      </w:r>
    </w:p>
    <w:p w14:paraId="7FBFEBB3">
      <w:pPr>
        <w:keepNext w:val="0"/>
        <w:keepLines w:val="0"/>
        <w:pageBreakBefore w:val="0"/>
        <w:widowControl/>
        <w:kinsoku/>
        <w:wordWrap/>
        <w:overflowPunct/>
        <w:topLinePunct w:val="0"/>
        <w:autoSpaceDE w:val="0"/>
        <w:autoSpaceDN w:val="0"/>
        <w:bidi w:val="0"/>
        <w:adjustRightInd/>
        <w:snapToGrid w:val="0"/>
        <w:spacing w:line="460" w:lineRule="exact"/>
        <w:ind w:firstLine="442" w:firstLineChars="200"/>
        <w:textAlignment w:val="bottom"/>
        <w:rPr>
          <w:rFonts w:hint="eastAsia" w:ascii="宋体" w:hAnsi="宋体" w:eastAsia="宋体" w:cs="宋体"/>
          <w:b/>
          <w:bCs/>
          <w:color w:val="auto"/>
          <w:sz w:val="22"/>
          <w:szCs w:val="22"/>
          <w:highlight w:val="none"/>
          <w:u w:val="single"/>
          <w:lang w:val="zh-CN"/>
        </w:rPr>
      </w:pPr>
      <w:r>
        <w:rPr>
          <w:rFonts w:hint="eastAsia" w:ascii="宋体" w:hAnsi="宋体" w:eastAsia="宋体" w:cs="宋体"/>
          <w:b/>
          <w:bCs/>
          <w:color w:val="auto"/>
          <w:sz w:val="22"/>
          <w:szCs w:val="22"/>
          <w:highlight w:val="none"/>
        </w:rPr>
        <w:t>3.1</w:t>
      </w:r>
      <w:r>
        <w:rPr>
          <w:rFonts w:hint="eastAsia" w:ascii="宋体" w:hAnsi="宋体" w:eastAsia="宋体" w:cs="宋体"/>
          <w:b/>
          <w:bCs/>
          <w:color w:val="auto"/>
          <w:sz w:val="22"/>
          <w:szCs w:val="22"/>
          <w:highlight w:val="none"/>
          <w:lang w:val="zh-CN"/>
        </w:rPr>
        <w:t>办公场所要求。</w:t>
      </w:r>
      <w:r>
        <w:rPr>
          <w:rFonts w:hint="eastAsia" w:ascii="宋体" w:hAnsi="宋体" w:eastAsia="宋体" w:cs="宋体"/>
          <w:b/>
          <w:bCs/>
          <w:color w:val="auto"/>
          <w:sz w:val="22"/>
          <w:szCs w:val="22"/>
          <w:highlight w:val="none"/>
        </w:rPr>
        <w:t>养护单位须在温州市区范围内有固定办公场所、材料堆放场所、人员和机械（或承诺中标后提供），其中生产设备与材料堆放场所占地面积</w:t>
      </w:r>
      <w:r>
        <w:rPr>
          <w:rFonts w:hint="eastAsia" w:ascii="宋体" w:hAnsi="宋体" w:eastAsia="宋体" w:cs="宋体"/>
          <w:b/>
          <w:bCs/>
          <w:color w:val="auto"/>
          <w:sz w:val="22"/>
          <w:szCs w:val="22"/>
          <w:highlight w:val="none"/>
          <w:lang w:val="en-US" w:eastAsia="zh-CN"/>
        </w:rPr>
        <w:t>100</w:t>
      </w:r>
      <w:r>
        <w:rPr>
          <w:rFonts w:hint="eastAsia" w:ascii="宋体" w:hAnsi="宋体" w:eastAsia="宋体" w:cs="宋体"/>
          <w:b/>
          <w:bCs/>
          <w:color w:val="auto"/>
          <w:sz w:val="22"/>
          <w:szCs w:val="22"/>
          <w:highlight w:val="none"/>
        </w:rPr>
        <w:t>平方米及以上，同时</w:t>
      </w:r>
      <w:r>
        <w:rPr>
          <w:rFonts w:hint="eastAsia" w:ascii="宋体" w:hAnsi="宋体" w:eastAsia="宋体" w:cs="宋体"/>
          <w:b/>
          <w:bCs/>
          <w:color w:val="auto"/>
          <w:sz w:val="22"/>
          <w:szCs w:val="22"/>
          <w:highlight w:val="none"/>
          <w:u w:val="single"/>
          <w:lang w:val="zh-CN"/>
        </w:rPr>
        <w:t>需做好采购人提供的养护基地（包含设施管理用房等）的日常维护及保养，费用包含在投标报价中，投标人综合考虑相应风险。</w:t>
      </w:r>
    </w:p>
    <w:p w14:paraId="0264242E">
      <w:pPr>
        <w:keepNext w:val="0"/>
        <w:keepLines w:val="0"/>
        <w:pageBreakBefore w:val="0"/>
        <w:widowControl/>
        <w:kinsoku/>
        <w:wordWrap/>
        <w:overflowPunct/>
        <w:topLinePunct w:val="0"/>
        <w:autoSpaceDE w:val="0"/>
        <w:autoSpaceDN w:val="0"/>
        <w:bidi w:val="0"/>
        <w:adjustRightInd/>
        <w:snapToGrid w:val="0"/>
        <w:spacing w:line="460" w:lineRule="exact"/>
        <w:ind w:firstLine="442" w:firstLineChars="200"/>
        <w:textAlignment w:val="bottom"/>
        <w:rPr>
          <w:rFonts w:hint="eastAsia" w:ascii="宋体" w:hAnsi="宋体" w:eastAsia="宋体" w:cs="宋体"/>
          <w:b/>
          <w:bCs/>
          <w:color w:val="auto"/>
          <w:sz w:val="22"/>
          <w:szCs w:val="22"/>
          <w:highlight w:val="none"/>
          <w:u w:val="single"/>
          <w:lang w:val="zh-CN"/>
        </w:rPr>
      </w:pPr>
      <w:r>
        <w:rPr>
          <w:rFonts w:hint="eastAsia" w:ascii="宋体" w:hAnsi="宋体" w:eastAsia="宋体" w:cs="宋体"/>
          <w:b/>
          <w:bCs/>
          <w:color w:val="auto"/>
          <w:sz w:val="22"/>
          <w:szCs w:val="22"/>
          <w:highlight w:val="none"/>
          <w:u w:val="single"/>
          <w:lang w:val="zh-CN"/>
        </w:rPr>
        <w:t>3</w:t>
      </w:r>
      <w:r>
        <w:rPr>
          <w:rFonts w:hint="eastAsia" w:ascii="宋体" w:hAnsi="宋体" w:eastAsia="宋体" w:cs="宋体"/>
          <w:b/>
          <w:bCs/>
          <w:color w:val="auto"/>
          <w:sz w:val="22"/>
          <w:szCs w:val="22"/>
          <w:highlight w:val="none"/>
          <w:u w:val="single"/>
        </w:rPr>
        <w:t>.2</w:t>
      </w:r>
      <w:r>
        <w:rPr>
          <w:rFonts w:hint="eastAsia" w:ascii="宋体" w:hAnsi="宋体" w:eastAsia="宋体" w:cs="宋体"/>
          <w:b/>
          <w:bCs/>
          <w:color w:val="auto"/>
          <w:sz w:val="22"/>
          <w:szCs w:val="22"/>
          <w:highlight w:val="none"/>
          <w:u w:val="single"/>
          <w:lang w:val="zh-CN"/>
        </w:rPr>
        <w:t>人员要求。养护单位投入本项目的管理人员中必须包括但不限于：项目负责人1名，项目技术负责人1名，专职安全员1名（安全生产考核合格证C类），市政施工员1名，市政质量员1名，资料员1名，质检员1名，专职道桥管理人员</w:t>
      </w:r>
      <w:r>
        <w:rPr>
          <w:rFonts w:hint="eastAsia" w:ascii="宋体" w:hAnsi="宋体" w:cs="宋体"/>
          <w:b/>
          <w:bCs/>
          <w:color w:val="auto"/>
          <w:sz w:val="22"/>
          <w:szCs w:val="22"/>
          <w:highlight w:val="none"/>
          <w:u w:val="single"/>
          <w:lang w:val="en-US" w:eastAsia="zh-CN"/>
        </w:rPr>
        <w:t>2</w:t>
      </w:r>
      <w:r>
        <w:rPr>
          <w:rFonts w:hint="eastAsia" w:ascii="宋体" w:hAnsi="宋体" w:eastAsia="宋体" w:cs="宋体"/>
          <w:b/>
          <w:bCs/>
          <w:color w:val="auto"/>
          <w:sz w:val="22"/>
          <w:szCs w:val="22"/>
          <w:highlight w:val="none"/>
          <w:u w:val="single"/>
          <w:lang w:val="zh-CN"/>
        </w:rPr>
        <w:t>名（要求具备市政道桥相关专业助理工程师职称以上），中控室值守人员每班次不少于1名（中控室实行24小时值守），</w:t>
      </w:r>
      <w:r>
        <w:rPr>
          <w:rFonts w:hint="eastAsia" w:ascii="宋体" w:hAnsi="宋体" w:eastAsia="宋体" w:cs="宋体"/>
          <w:b/>
          <w:bCs/>
          <w:color w:val="auto"/>
          <w:sz w:val="22"/>
          <w:szCs w:val="22"/>
          <w:highlight w:val="none"/>
          <w:u w:val="single"/>
        </w:rPr>
        <w:t>市政养护相关</w:t>
      </w:r>
      <w:r>
        <w:rPr>
          <w:rFonts w:hint="eastAsia" w:ascii="宋体" w:hAnsi="宋体" w:eastAsia="宋体" w:cs="宋体"/>
          <w:b/>
          <w:bCs/>
          <w:color w:val="auto"/>
          <w:sz w:val="22"/>
          <w:szCs w:val="22"/>
          <w:highlight w:val="none"/>
          <w:u w:val="single"/>
          <w:lang w:val="zh-CN"/>
        </w:rPr>
        <w:t>技术工人不少于</w:t>
      </w:r>
      <w:r>
        <w:rPr>
          <w:rFonts w:hint="eastAsia" w:ascii="宋体" w:hAnsi="宋体" w:cs="宋体"/>
          <w:b/>
          <w:bCs/>
          <w:color w:val="auto"/>
          <w:sz w:val="22"/>
          <w:szCs w:val="22"/>
          <w:highlight w:val="none"/>
          <w:u w:val="single"/>
          <w:lang w:val="en-US" w:eastAsia="zh-CN"/>
        </w:rPr>
        <w:t>3</w:t>
      </w:r>
      <w:r>
        <w:rPr>
          <w:rFonts w:hint="eastAsia" w:ascii="宋体" w:hAnsi="宋体" w:eastAsia="宋体" w:cs="宋体"/>
          <w:b/>
          <w:bCs/>
          <w:color w:val="auto"/>
          <w:sz w:val="22"/>
          <w:szCs w:val="22"/>
          <w:highlight w:val="none"/>
          <w:u w:val="single"/>
          <w:lang w:val="zh-CN"/>
        </w:rPr>
        <w:t>名（具有上岗证）。巡查及保养单位使用采购人提供的系统软件开展巡查及保养任务，如需相关设备协助完成，则需维养单位自行配备。另需组建应急保障队伍。检测单位</w:t>
      </w:r>
      <w:r>
        <w:rPr>
          <w:rFonts w:hint="eastAsia" w:ascii="宋体" w:hAnsi="宋体" w:cs="宋体"/>
          <w:b/>
          <w:bCs/>
          <w:color w:val="auto"/>
          <w:sz w:val="22"/>
          <w:szCs w:val="22"/>
          <w:highlight w:val="none"/>
          <w:u w:val="single"/>
          <w:lang w:val="zh-CN"/>
        </w:rPr>
        <w:t>（</w:t>
      </w:r>
      <w:r>
        <w:rPr>
          <w:rFonts w:hint="eastAsia" w:ascii="宋体" w:hAnsi="宋体" w:cs="宋体"/>
          <w:b/>
          <w:bCs/>
          <w:color w:val="auto"/>
          <w:sz w:val="22"/>
          <w:szCs w:val="22"/>
          <w:highlight w:val="none"/>
          <w:u w:val="single"/>
          <w:lang w:val="en-US" w:eastAsia="zh-CN"/>
        </w:rPr>
        <w:t>如为分包的，</w:t>
      </w:r>
      <w:r>
        <w:rPr>
          <w:rFonts w:hint="eastAsia"/>
          <w:sz w:val="22"/>
          <w:szCs w:val="22"/>
          <w:lang w:val="en-US" w:eastAsia="zh-CN"/>
        </w:rPr>
        <w:t>分包单位人员证书及社保证明均予以认可</w:t>
      </w:r>
      <w:r>
        <w:rPr>
          <w:rFonts w:hint="eastAsia" w:ascii="宋体" w:hAnsi="宋体" w:cs="宋体"/>
          <w:b/>
          <w:bCs/>
          <w:color w:val="auto"/>
          <w:sz w:val="22"/>
          <w:szCs w:val="22"/>
          <w:highlight w:val="none"/>
          <w:u w:val="single"/>
          <w:lang w:val="zh-CN"/>
        </w:rPr>
        <w:t>）</w:t>
      </w:r>
      <w:r>
        <w:rPr>
          <w:rFonts w:hint="eastAsia" w:ascii="宋体" w:hAnsi="宋体" w:eastAsia="宋体" w:cs="宋体"/>
          <w:b/>
          <w:bCs/>
          <w:color w:val="auto"/>
          <w:sz w:val="22"/>
          <w:szCs w:val="22"/>
          <w:highlight w:val="none"/>
          <w:u w:val="single"/>
          <w:lang w:val="zh-CN"/>
        </w:rPr>
        <w:t>需为本项目配备1名项目负责人，具有一定工作经验。负责编制检测方案、分工并协调现场检测人员和专业分析人员、及时向采购人反馈项目进度、复核检测报告、配合采购人组织检测报告评审会，对本项目全方位管理、负责。检测单位需为本项目配备</w:t>
      </w:r>
      <w:r>
        <w:rPr>
          <w:rFonts w:hint="eastAsia" w:ascii="宋体" w:hAnsi="宋体" w:cs="宋体"/>
          <w:b/>
          <w:bCs/>
          <w:color w:val="auto"/>
          <w:sz w:val="22"/>
          <w:szCs w:val="22"/>
          <w:highlight w:val="none"/>
          <w:u w:val="single"/>
          <w:lang w:val="en-US" w:eastAsia="zh-CN"/>
        </w:rPr>
        <w:t>2</w:t>
      </w:r>
      <w:r>
        <w:rPr>
          <w:rFonts w:hint="eastAsia" w:ascii="宋体" w:hAnsi="宋体" w:eastAsia="宋体" w:cs="宋体"/>
          <w:b/>
          <w:bCs/>
          <w:color w:val="auto"/>
          <w:sz w:val="22"/>
          <w:szCs w:val="22"/>
          <w:highlight w:val="none"/>
          <w:u w:val="single"/>
          <w:lang w:val="zh-CN"/>
        </w:rPr>
        <w:t>名现场检测人，且具有道路、桥梁检测相关专业工作经验。负责具体现场检测工作、现场安全、记录设施病害、对检测数据的真实有效性负责，协助编写检测报告文本、信息系统录入等工作。检测单位需为本项目配备</w:t>
      </w:r>
      <w:r>
        <w:rPr>
          <w:rFonts w:hint="eastAsia" w:ascii="宋体" w:hAnsi="宋体" w:cs="宋体"/>
          <w:b/>
          <w:bCs/>
          <w:color w:val="auto"/>
          <w:sz w:val="22"/>
          <w:szCs w:val="22"/>
          <w:highlight w:val="none"/>
          <w:u w:val="single"/>
          <w:lang w:val="en-US" w:eastAsia="zh-CN"/>
        </w:rPr>
        <w:t>2</w:t>
      </w:r>
      <w:r>
        <w:rPr>
          <w:rFonts w:hint="eastAsia" w:ascii="宋体" w:hAnsi="宋体" w:eastAsia="宋体" w:cs="宋体"/>
          <w:b/>
          <w:bCs/>
          <w:color w:val="auto"/>
          <w:sz w:val="22"/>
          <w:szCs w:val="22"/>
          <w:highlight w:val="none"/>
          <w:u w:val="single"/>
          <w:lang w:val="zh-CN"/>
        </w:rPr>
        <w:t>名专业分析人，有一定工作经验。负责检测数据分析、出具检测报告、参加检测报告评审会，对检测报告负责。</w:t>
      </w:r>
    </w:p>
    <w:p w14:paraId="4E874C06">
      <w:pPr>
        <w:keepNext w:val="0"/>
        <w:keepLines w:val="0"/>
        <w:pageBreakBefore w:val="0"/>
        <w:widowControl/>
        <w:kinsoku/>
        <w:wordWrap/>
        <w:overflowPunct/>
        <w:topLinePunct w:val="0"/>
        <w:autoSpaceDE w:val="0"/>
        <w:autoSpaceDN w:val="0"/>
        <w:bidi w:val="0"/>
        <w:adjustRightInd/>
        <w:snapToGrid w:val="0"/>
        <w:spacing w:line="460" w:lineRule="exact"/>
        <w:ind w:firstLine="442" w:firstLineChars="200"/>
        <w:textAlignment w:val="bottom"/>
        <w:rPr>
          <w:rFonts w:hint="eastAsia" w:ascii="宋体" w:hAnsi="宋体" w:eastAsia="宋体" w:cs="宋体"/>
          <w:b/>
          <w:bCs/>
          <w:color w:val="auto"/>
          <w:sz w:val="22"/>
          <w:szCs w:val="22"/>
          <w:highlight w:val="none"/>
          <w:u w:val="single"/>
          <w:lang w:val="zh-CN"/>
        </w:rPr>
      </w:pPr>
      <w:r>
        <w:rPr>
          <w:rFonts w:hint="eastAsia" w:ascii="宋体" w:hAnsi="宋体" w:eastAsia="宋体" w:cs="宋体"/>
          <w:b/>
          <w:bCs/>
          <w:color w:val="auto"/>
          <w:sz w:val="22"/>
          <w:szCs w:val="22"/>
          <w:highlight w:val="none"/>
          <w:u w:val="single"/>
          <w:lang w:val="zh-CN"/>
        </w:rPr>
        <w:t>3.3设备及物资要求。配备必要的生产设备及物料，放置在专门的基地（保证供应量、具备环保要求），以便随时调用，并建立使用台账。</w:t>
      </w:r>
    </w:p>
    <w:p w14:paraId="0CF3ACE8">
      <w:pPr>
        <w:keepNext w:val="0"/>
        <w:keepLines w:val="0"/>
        <w:pageBreakBefore w:val="0"/>
        <w:widowControl/>
        <w:kinsoku/>
        <w:wordWrap/>
        <w:overflowPunct/>
        <w:topLinePunct w:val="0"/>
        <w:autoSpaceDE w:val="0"/>
        <w:autoSpaceDN w:val="0"/>
        <w:bidi w:val="0"/>
        <w:adjustRightInd/>
        <w:snapToGrid w:val="0"/>
        <w:spacing w:line="460" w:lineRule="exact"/>
        <w:ind w:firstLine="442" w:firstLineChars="200"/>
        <w:textAlignment w:val="bottom"/>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single"/>
        </w:rPr>
        <w:t>拟投入设备要求（</w:t>
      </w:r>
      <w:r>
        <w:rPr>
          <w:rFonts w:hint="eastAsia" w:ascii="宋体" w:hAnsi="宋体" w:eastAsia="宋体" w:cs="宋体"/>
          <w:b/>
          <w:bCs/>
          <w:color w:val="auto"/>
          <w:sz w:val="22"/>
          <w:szCs w:val="22"/>
          <w:highlight w:val="none"/>
          <w:u w:val="single"/>
          <w:lang w:val="zh-CN"/>
        </w:rPr>
        <w:t>生产设备投标单位须中标后合同签订前</w:t>
      </w:r>
      <w:r>
        <w:rPr>
          <w:rFonts w:hint="eastAsia" w:ascii="宋体" w:hAnsi="宋体" w:eastAsia="宋体" w:cs="宋体"/>
          <w:b/>
          <w:bCs/>
          <w:color w:val="auto"/>
          <w:sz w:val="22"/>
          <w:szCs w:val="22"/>
          <w:highlight w:val="none"/>
          <w:u w:val="single"/>
        </w:rPr>
        <w:t>1周内</w:t>
      </w:r>
      <w:r>
        <w:rPr>
          <w:rFonts w:hint="eastAsia" w:ascii="宋体" w:hAnsi="宋体" w:eastAsia="宋体" w:cs="宋体"/>
          <w:b/>
          <w:bCs/>
          <w:color w:val="auto"/>
          <w:sz w:val="22"/>
          <w:szCs w:val="22"/>
          <w:highlight w:val="none"/>
          <w:u w:val="single"/>
          <w:lang w:val="zh-CN"/>
        </w:rPr>
        <w:t>提供并投入本项目</w:t>
      </w:r>
      <w:r>
        <w:rPr>
          <w:rFonts w:hint="eastAsia" w:ascii="宋体" w:hAnsi="宋体" w:eastAsia="宋体" w:cs="宋体"/>
          <w:b/>
          <w:bCs/>
          <w:color w:val="auto"/>
          <w:sz w:val="22"/>
          <w:szCs w:val="22"/>
          <w:highlight w:val="none"/>
          <w:u w:val="single"/>
        </w:rPr>
        <w:t>）</w:t>
      </w:r>
      <w:r>
        <w:rPr>
          <w:rFonts w:hint="eastAsia" w:ascii="宋体" w:hAnsi="宋体" w:eastAsia="宋体" w:cs="宋体"/>
          <w:b/>
          <w:bCs/>
          <w:color w:val="auto"/>
          <w:sz w:val="22"/>
          <w:szCs w:val="22"/>
          <w:highlight w:val="none"/>
          <w:u w:val="single"/>
          <w:lang w:val="zh-CN"/>
        </w:rPr>
        <w:t>。</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3246"/>
        <w:gridCol w:w="2532"/>
        <w:gridCol w:w="2410"/>
      </w:tblGrid>
      <w:tr w14:paraId="44F6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noWrap w:val="0"/>
            <w:vAlign w:val="top"/>
          </w:tcPr>
          <w:p w14:paraId="5F75C389">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3246" w:type="dxa"/>
            <w:noWrap w:val="0"/>
            <w:vAlign w:val="center"/>
          </w:tcPr>
          <w:p w14:paraId="126482CC">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设备</w:t>
            </w:r>
          </w:p>
        </w:tc>
        <w:tc>
          <w:tcPr>
            <w:tcW w:w="2532" w:type="dxa"/>
            <w:noWrap w:val="0"/>
            <w:vAlign w:val="center"/>
          </w:tcPr>
          <w:p w14:paraId="746AD5EC">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数量（最低要求）</w:t>
            </w:r>
          </w:p>
        </w:tc>
        <w:tc>
          <w:tcPr>
            <w:tcW w:w="2410" w:type="dxa"/>
            <w:noWrap w:val="0"/>
            <w:vAlign w:val="top"/>
          </w:tcPr>
          <w:p w14:paraId="5BFFD498">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14:paraId="5CCB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noWrap w:val="0"/>
            <w:vAlign w:val="top"/>
          </w:tcPr>
          <w:p w14:paraId="5B85D3BC">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1</w:t>
            </w:r>
          </w:p>
        </w:tc>
        <w:tc>
          <w:tcPr>
            <w:tcW w:w="3246" w:type="dxa"/>
            <w:noWrap w:val="0"/>
            <w:vAlign w:val="top"/>
          </w:tcPr>
          <w:p w14:paraId="1061025B">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zh-CN"/>
              </w:rPr>
              <w:t>巡视管理车（3座-6座）</w:t>
            </w:r>
          </w:p>
        </w:tc>
        <w:tc>
          <w:tcPr>
            <w:tcW w:w="2532" w:type="dxa"/>
            <w:noWrap w:val="0"/>
            <w:vAlign w:val="top"/>
          </w:tcPr>
          <w:p w14:paraId="08B0B8C2">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lang w:val="zh-CN"/>
              </w:rPr>
              <w:t>辆</w:t>
            </w:r>
          </w:p>
        </w:tc>
        <w:tc>
          <w:tcPr>
            <w:tcW w:w="2410" w:type="dxa"/>
            <w:noWrap w:val="0"/>
            <w:vAlign w:val="top"/>
          </w:tcPr>
          <w:p w14:paraId="2A0CAD78">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不足部分自行配置</w:t>
            </w:r>
          </w:p>
        </w:tc>
      </w:tr>
      <w:tr w14:paraId="41CE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noWrap w:val="0"/>
            <w:vAlign w:val="top"/>
          </w:tcPr>
          <w:p w14:paraId="37F8E251">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b/>
                <w:bCs/>
                <w:color w:val="auto"/>
                <w:sz w:val="22"/>
                <w:szCs w:val="22"/>
                <w:highlight w:val="none"/>
                <w:lang w:val="zh-CN" w:eastAsia="zh-CN"/>
              </w:rPr>
            </w:pPr>
            <w:r>
              <w:rPr>
                <w:rFonts w:hint="eastAsia" w:ascii="宋体" w:hAnsi="宋体" w:eastAsia="宋体" w:cs="宋体"/>
                <w:b/>
                <w:bCs/>
                <w:color w:val="auto"/>
                <w:sz w:val="22"/>
                <w:szCs w:val="22"/>
                <w:highlight w:val="none"/>
                <w:lang w:val="en-US" w:eastAsia="zh-CN"/>
              </w:rPr>
              <w:t>2</w:t>
            </w:r>
          </w:p>
        </w:tc>
        <w:tc>
          <w:tcPr>
            <w:tcW w:w="3246" w:type="dxa"/>
            <w:noWrap w:val="0"/>
            <w:vAlign w:val="top"/>
          </w:tcPr>
          <w:p w14:paraId="0D48B1EB">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曲臂登高车（作业高度22米）</w:t>
            </w:r>
          </w:p>
        </w:tc>
        <w:tc>
          <w:tcPr>
            <w:tcW w:w="2532" w:type="dxa"/>
            <w:noWrap w:val="0"/>
            <w:vAlign w:val="top"/>
          </w:tcPr>
          <w:p w14:paraId="2E96AC04">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1辆</w:t>
            </w:r>
          </w:p>
        </w:tc>
        <w:tc>
          <w:tcPr>
            <w:tcW w:w="2410" w:type="dxa"/>
            <w:noWrap w:val="0"/>
            <w:vAlign w:val="top"/>
          </w:tcPr>
          <w:p w14:paraId="241D3488">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不足部分自行配置</w:t>
            </w:r>
          </w:p>
        </w:tc>
      </w:tr>
      <w:tr w14:paraId="0B19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noWrap w:val="0"/>
            <w:vAlign w:val="top"/>
          </w:tcPr>
          <w:p w14:paraId="06CF62D3">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b/>
                <w:bCs/>
                <w:color w:val="auto"/>
                <w:sz w:val="22"/>
                <w:szCs w:val="22"/>
                <w:highlight w:val="none"/>
                <w:lang w:val="zh-CN" w:eastAsia="zh-CN"/>
              </w:rPr>
            </w:pPr>
            <w:r>
              <w:rPr>
                <w:rFonts w:hint="eastAsia" w:ascii="宋体" w:hAnsi="宋体" w:eastAsia="宋体" w:cs="宋体"/>
                <w:b/>
                <w:bCs/>
                <w:color w:val="auto"/>
                <w:sz w:val="22"/>
                <w:szCs w:val="22"/>
                <w:highlight w:val="none"/>
                <w:lang w:val="en-US" w:eastAsia="zh-CN"/>
              </w:rPr>
              <w:t>3</w:t>
            </w:r>
          </w:p>
        </w:tc>
        <w:tc>
          <w:tcPr>
            <w:tcW w:w="3246" w:type="dxa"/>
            <w:noWrap w:val="0"/>
            <w:vAlign w:val="top"/>
          </w:tcPr>
          <w:p w14:paraId="362CAE49">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可移动电源（功率≥30KW）</w:t>
            </w:r>
          </w:p>
        </w:tc>
        <w:tc>
          <w:tcPr>
            <w:tcW w:w="2532" w:type="dxa"/>
            <w:noWrap w:val="0"/>
            <w:vAlign w:val="top"/>
          </w:tcPr>
          <w:p w14:paraId="60435A09">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lang w:val="zh-CN"/>
              </w:rPr>
              <w:t>台</w:t>
            </w:r>
          </w:p>
        </w:tc>
        <w:tc>
          <w:tcPr>
            <w:tcW w:w="2410" w:type="dxa"/>
            <w:noWrap w:val="0"/>
            <w:vAlign w:val="top"/>
          </w:tcPr>
          <w:p w14:paraId="30372C16">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不足部分自行配置</w:t>
            </w:r>
          </w:p>
        </w:tc>
      </w:tr>
    </w:tbl>
    <w:p w14:paraId="19FFDDCA">
      <w:pPr>
        <w:keepNext w:val="0"/>
        <w:keepLines w:val="0"/>
        <w:pageBreakBefore w:val="0"/>
        <w:widowControl/>
        <w:kinsoku/>
        <w:wordWrap/>
        <w:overflowPunct/>
        <w:topLinePunct w:val="0"/>
        <w:autoSpaceDE w:val="0"/>
        <w:autoSpaceDN w:val="0"/>
        <w:bidi w:val="0"/>
        <w:adjustRightInd/>
        <w:snapToGrid w:val="0"/>
        <w:spacing w:line="460" w:lineRule="exact"/>
        <w:ind w:firstLine="442" w:firstLineChars="200"/>
        <w:textAlignment w:val="bottom"/>
        <w:rPr>
          <w:rFonts w:hint="eastAsia" w:ascii="宋体" w:hAnsi="宋体" w:eastAsia="宋体" w:cs="宋体"/>
          <w:b/>
          <w:bCs/>
          <w:color w:val="auto"/>
          <w:sz w:val="22"/>
          <w:szCs w:val="22"/>
          <w:highlight w:val="none"/>
          <w:u w:val="single"/>
          <w:lang w:val="zh-CN"/>
        </w:rPr>
      </w:pPr>
      <w:r>
        <w:rPr>
          <w:rFonts w:hint="eastAsia" w:ascii="宋体" w:hAnsi="宋体" w:eastAsia="宋体" w:cs="宋体"/>
          <w:b/>
          <w:bCs/>
          <w:color w:val="auto"/>
          <w:sz w:val="22"/>
          <w:szCs w:val="22"/>
          <w:highlight w:val="none"/>
          <w:u w:val="single"/>
          <w:lang w:val="zh-CN"/>
        </w:rPr>
        <w:t>必须常备生产设施：</w:t>
      </w:r>
      <w:r>
        <w:rPr>
          <w:rFonts w:hint="eastAsia" w:ascii="宋体" w:hAnsi="宋体" w:eastAsia="宋体" w:cs="宋体"/>
          <w:b/>
          <w:bCs/>
          <w:color w:val="auto"/>
          <w:sz w:val="22"/>
          <w:szCs w:val="22"/>
          <w:highlight w:val="none"/>
          <w:u w:val="single"/>
          <w:lang w:val="en-US" w:eastAsia="zh-CN"/>
        </w:rPr>
        <w:t>1</w:t>
      </w:r>
      <w:r>
        <w:rPr>
          <w:rFonts w:hint="eastAsia" w:ascii="宋体" w:hAnsi="宋体" w:eastAsia="宋体" w:cs="宋体"/>
          <w:b/>
          <w:bCs/>
          <w:color w:val="auto"/>
          <w:sz w:val="22"/>
          <w:szCs w:val="22"/>
          <w:highlight w:val="none"/>
          <w:u w:val="single"/>
          <w:lang w:val="zh-CN"/>
        </w:rPr>
        <w:t>00个标准反光锥、</w:t>
      </w:r>
      <w:r>
        <w:rPr>
          <w:rFonts w:hint="eastAsia" w:ascii="宋体" w:hAnsi="宋体" w:eastAsia="宋体" w:cs="宋体"/>
          <w:b/>
          <w:bCs/>
          <w:color w:val="auto"/>
          <w:sz w:val="22"/>
          <w:szCs w:val="22"/>
          <w:highlight w:val="none"/>
          <w:u w:val="single"/>
          <w:lang w:val="en-US" w:eastAsia="zh-CN"/>
        </w:rPr>
        <w:t>5</w:t>
      </w:r>
      <w:r>
        <w:rPr>
          <w:rFonts w:hint="eastAsia" w:ascii="宋体" w:hAnsi="宋体" w:eastAsia="宋体" w:cs="宋体"/>
          <w:b/>
          <w:bCs/>
          <w:color w:val="auto"/>
          <w:sz w:val="22"/>
          <w:szCs w:val="22"/>
          <w:highlight w:val="none"/>
          <w:u w:val="single"/>
          <w:lang w:val="zh-CN"/>
        </w:rPr>
        <w:t>0个标准水码、20个反光作业指示牌、20个标有导向箭头或限速标志的反光交通指示牌、</w:t>
      </w:r>
      <w:r>
        <w:rPr>
          <w:rFonts w:hint="eastAsia" w:ascii="宋体" w:hAnsi="宋体" w:eastAsia="宋体" w:cs="宋体"/>
          <w:b/>
          <w:bCs/>
          <w:color w:val="auto"/>
          <w:sz w:val="22"/>
          <w:szCs w:val="22"/>
          <w:highlight w:val="none"/>
          <w:u w:val="single"/>
          <w:lang w:val="en-US" w:eastAsia="zh-CN"/>
        </w:rPr>
        <w:t>2</w:t>
      </w:r>
      <w:r>
        <w:rPr>
          <w:rFonts w:hint="eastAsia" w:ascii="宋体" w:hAnsi="宋体" w:eastAsia="宋体" w:cs="宋体"/>
          <w:b/>
          <w:bCs/>
          <w:color w:val="auto"/>
          <w:sz w:val="22"/>
          <w:szCs w:val="22"/>
          <w:highlight w:val="none"/>
          <w:u w:val="single"/>
          <w:lang w:val="zh-CN"/>
        </w:rPr>
        <w:t>0盏防爆警示灯、10个防撞桶，</w:t>
      </w:r>
      <w:r>
        <w:rPr>
          <w:rFonts w:hint="eastAsia" w:ascii="宋体" w:hAnsi="宋体" w:eastAsia="宋体" w:cs="宋体"/>
          <w:b/>
          <w:bCs/>
          <w:color w:val="auto"/>
          <w:sz w:val="22"/>
          <w:szCs w:val="22"/>
          <w:highlight w:val="none"/>
          <w:u w:val="single"/>
        </w:rPr>
        <w:t>费用包干</w:t>
      </w:r>
      <w:r>
        <w:rPr>
          <w:rFonts w:hint="eastAsia" w:ascii="宋体" w:hAnsi="宋体" w:eastAsia="宋体" w:cs="宋体"/>
          <w:b/>
          <w:bCs/>
          <w:color w:val="auto"/>
          <w:sz w:val="22"/>
          <w:szCs w:val="22"/>
          <w:highlight w:val="none"/>
          <w:u w:val="single"/>
          <w:lang w:val="zh-CN"/>
        </w:rPr>
        <w:t>。</w:t>
      </w:r>
    </w:p>
    <w:p w14:paraId="1A47FE8D">
      <w:pPr>
        <w:keepNext w:val="0"/>
        <w:keepLines w:val="0"/>
        <w:pageBreakBefore w:val="0"/>
        <w:widowControl/>
        <w:kinsoku/>
        <w:wordWrap/>
        <w:overflowPunct/>
        <w:topLinePunct w:val="0"/>
        <w:autoSpaceDE w:val="0"/>
        <w:autoSpaceDN w:val="0"/>
        <w:bidi w:val="0"/>
        <w:adjustRightInd/>
        <w:snapToGrid w:val="0"/>
        <w:spacing w:line="460" w:lineRule="exact"/>
        <w:ind w:firstLine="442" w:firstLineChars="200"/>
        <w:textAlignment w:val="bottom"/>
        <w:rPr>
          <w:rFonts w:hint="eastAsia" w:ascii="宋体" w:hAnsi="宋体" w:eastAsia="宋体" w:cs="宋体"/>
          <w:b/>
          <w:bCs/>
          <w:color w:val="auto"/>
          <w:sz w:val="22"/>
          <w:szCs w:val="22"/>
          <w:highlight w:val="none"/>
          <w:u w:val="single"/>
          <w:lang w:val="zh-CN"/>
        </w:rPr>
      </w:pPr>
      <w:r>
        <w:rPr>
          <w:rFonts w:hint="eastAsia" w:ascii="宋体" w:hAnsi="宋体" w:eastAsia="宋体" w:cs="宋体"/>
          <w:b/>
          <w:bCs/>
          <w:color w:val="auto"/>
          <w:sz w:val="22"/>
          <w:szCs w:val="22"/>
          <w:highlight w:val="none"/>
          <w:u w:val="single"/>
          <w:lang w:val="zh-CN"/>
        </w:rPr>
        <w:t>必须常备维修物料：养护单位必须联系好水泥、砂石、沥青、等保养物料供应单位，</w:t>
      </w:r>
      <w:r>
        <w:rPr>
          <w:rFonts w:hint="eastAsia" w:ascii="宋体" w:hAnsi="宋体" w:eastAsia="宋体" w:cs="宋体"/>
          <w:b/>
          <w:bCs/>
          <w:color w:val="auto"/>
          <w:sz w:val="22"/>
          <w:szCs w:val="22"/>
          <w:highlight w:val="none"/>
          <w:u w:val="single"/>
        </w:rPr>
        <w:t>费用包干</w:t>
      </w:r>
      <w:r>
        <w:rPr>
          <w:rFonts w:hint="eastAsia" w:ascii="宋体" w:hAnsi="宋体" w:eastAsia="宋体" w:cs="宋体"/>
          <w:b/>
          <w:bCs/>
          <w:color w:val="auto"/>
          <w:sz w:val="22"/>
          <w:szCs w:val="22"/>
          <w:highlight w:val="none"/>
          <w:u w:val="single"/>
          <w:lang w:val="zh-CN"/>
        </w:rPr>
        <w:t>。</w:t>
      </w:r>
    </w:p>
    <w:p w14:paraId="6724BDC0">
      <w:pPr>
        <w:keepNext w:val="0"/>
        <w:keepLines w:val="0"/>
        <w:pageBreakBefore w:val="0"/>
        <w:widowControl/>
        <w:kinsoku/>
        <w:wordWrap/>
        <w:overflowPunct/>
        <w:topLinePunct w:val="0"/>
        <w:autoSpaceDE w:val="0"/>
        <w:autoSpaceDN w:val="0"/>
        <w:bidi w:val="0"/>
        <w:adjustRightInd/>
        <w:snapToGrid w:val="0"/>
        <w:spacing w:line="460" w:lineRule="exact"/>
        <w:ind w:firstLine="442" w:firstLineChars="200"/>
        <w:textAlignment w:val="bottom"/>
        <w:rPr>
          <w:rFonts w:hint="eastAsia" w:ascii="宋体" w:hAnsi="宋体" w:eastAsia="宋体" w:cs="宋体"/>
          <w:b/>
          <w:bCs/>
          <w:color w:val="auto"/>
          <w:sz w:val="22"/>
          <w:szCs w:val="22"/>
          <w:highlight w:val="none"/>
          <w:u w:val="single"/>
          <w:lang w:val="zh-CN"/>
        </w:rPr>
      </w:pPr>
      <w:r>
        <w:rPr>
          <w:rFonts w:hint="eastAsia" w:ascii="宋体" w:hAnsi="宋体" w:eastAsia="宋体" w:cs="宋体"/>
          <w:b/>
          <w:bCs/>
          <w:color w:val="auto"/>
          <w:sz w:val="22"/>
          <w:szCs w:val="22"/>
          <w:highlight w:val="none"/>
          <w:u w:val="single"/>
          <w:lang w:val="zh-CN"/>
        </w:rPr>
        <w:t>必须常备应急物资：不少于5吨的防冻盐、不少于200个沙袋，</w:t>
      </w:r>
      <w:r>
        <w:rPr>
          <w:rFonts w:hint="eastAsia" w:ascii="宋体" w:hAnsi="宋体" w:eastAsia="宋体" w:cs="宋体"/>
          <w:b/>
          <w:bCs/>
          <w:color w:val="auto"/>
          <w:sz w:val="22"/>
          <w:szCs w:val="22"/>
          <w:highlight w:val="none"/>
          <w:u w:val="single"/>
        </w:rPr>
        <w:t>费用包干</w:t>
      </w:r>
      <w:r>
        <w:rPr>
          <w:rFonts w:hint="eastAsia" w:ascii="宋体" w:hAnsi="宋体" w:eastAsia="宋体" w:cs="宋体"/>
          <w:b/>
          <w:bCs/>
          <w:color w:val="auto"/>
          <w:sz w:val="22"/>
          <w:szCs w:val="22"/>
          <w:highlight w:val="none"/>
          <w:u w:val="single"/>
          <w:lang w:val="zh-CN"/>
        </w:rPr>
        <w:t>。</w:t>
      </w:r>
    </w:p>
    <w:p w14:paraId="58264B02">
      <w:pPr>
        <w:keepNext w:val="0"/>
        <w:keepLines w:val="0"/>
        <w:pageBreakBefore w:val="0"/>
        <w:widowControl/>
        <w:kinsoku/>
        <w:wordWrap/>
        <w:overflowPunct/>
        <w:topLinePunct w:val="0"/>
        <w:autoSpaceDE w:val="0"/>
        <w:autoSpaceDN w:val="0"/>
        <w:bidi w:val="0"/>
        <w:adjustRightInd/>
        <w:snapToGrid w:val="0"/>
        <w:spacing w:line="460" w:lineRule="exact"/>
        <w:ind w:firstLine="442" w:firstLineChars="200"/>
        <w:textAlignment w:val="bottom"/>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lang w:val="zh-CN"/>
        </w:rPr>
        <w:t>3.5</w:t>
      </w:r>
      <w:r>
        <w:rPr>
          <w:rFonts w:hint="eastAsia" w:ascii="宋体" w:hAnsi="宋体" w:eastAsia="宋体" w:cs="宋体"/>
          <w:b/>
          <w:bCs/>
          <w:color w:val="auto"/>
          <w:sz w:val="22"/>
          <w:szCs w:val="22"/>
          <w:highlight w:val="none"/>
          <w:u w:val="single"/>
        </w:rPr>
        <w:t>中标人所投机械车辆（包括承诺配置车辆）须根据其投标文件在领取中标后签订合同前1周内全部到位，采购人在指定地点进行统一清点核验（确无法在规定时间内到位的，需提供购买合同、付款凭证、厂家说明函等并经采购人确认后，可最长延期不超过2个月），逾期无法到位的，均以车辆同型号的市场价格，在服务费用中予以扣除。中标人须制定机械作业方案报备采购人审定，并严格按照采购人确认的范围、路线、时间进行作业，不得随意变更。中标人承诺投入本项目的所有车辆设备只用于本项目，不得用于其他项目。</w:t>
      </w:r>
    </w:p>
    <w:p w14:paraId="15A3B9E2">
      <w:pPr>
        <w:keepNext w:val="0"/>
        <w:keepLines w:val="0"/>
        <w:pageBreakBefore w:val="0"/>
        <w:widowControl/>
        <w:kinsoku/>
        <w:wordWrap/>
        <w:overflowPunct/>
        <w:topLinePunct w:val="0"/>
        <w:autoSpaceDE w:val="0"/>
        <w:autoSpaceDN w:val="0"/>
        <w:bidi w:val="0"/>
        <w:adjustRightInd/>
        <w:snapToGrid w:val="0"/>
        <w:spacing w:line="460" w:lineRule="exact"/>
        <w:ind w:firstLine="442" w:firstLineChars="200"/>
        <w:textAlignment w:val="bottom"/>
        <w:rPr>
          <w:rFonts w:hint="eastAsia" w:ascii="宋体" w:hAnsi="宋体" w:eastAsia="宋体" w:cs="宋体"/>
          <w:b/>
          <w:bCs/>
          <w:color w:val="auto"/>
          <w:sz w:val="22"/>
          <w:szCs w:val="22"/>
          <w:highlight w:val="none"/>
          <w:u w:val="single"/>
          <w:lang w:val="zh-CN"/>
        </w:rPr>
      </w:pPr>
      <w:r>
        <w:rPr>
          <w:rFonts w:hint="eastAsia" w:ascii="宋体" w:hAnsi="宋体" w:eastAsia="宋体" w:cs="宋体"/>
          <w:b/>
          <w:bCs/>
          <w:color w:val="auto"/>
          <w:sz w:val="22"/>
          <w:szCs w:val="22"/>
          <w:highlight w:val="none"/>
          <w:u w:val="single"/>
        </w:rPr>
        <w:t>3.6本表中人员、设备、车辆必须按招标文件要求的数量、时间进场。如不能按时、按数量、按规格进场，采购人有权取消投标人中标资格及有权终止合同，由此造成的损失由中标人负责。</w:t>
      </w:r>
    </w:p>
    <w:p w14:paraId="73AD0DE8">
      <w:pPr>
        <w:keepNext w:val="0"/>
        <w:keepLines w:val="0"/>
        <w:pageBreakBefore w:val="0"/>
        <w:widowControl/>
        <w:numPr>
          <w:ilvl w:val="0"/>
          <w:numId w:val="0"/>
        </w:numPr>
        <w:kinsoku/>
        <w:wordWrap/>
        <w:overflowPunct/>
        <w:topLinePunct w:val="0"/>
        <w:autoSpaceDE w:val="0"/>
        <w:autoSpaceDN w:val="0"/>
        <w:bidi w:val="0"/>
        <w:adjustRightInd/>
        <w:snapToGrid w:val="0"/>
        <w:spacing w:line="460" w:lineRule="exact"/>
        <w:textAlignment w:val="bottom"/>
        <w:outlineLvl w:val="2"/>
        <w:rPr>
          <w:rFonts w:hint="eastAsia" w:ascii="宋体" w:hAnsi="宋体" w:eastAsia="宋体" w:cs="宋体"/>
          <w:b/>
          <w:bCs/>
          <w:color w:val="auto"/>
          <w:kern w:val="2"/>
          <w:sz w:val="22"/>
          <w:szCs w:val="22"/>
          <w:highlight w:val="none"/>
          <w:lang w:val="zh-CN" w:eastAsia="zh-CN" w:bidi="ar-SA"/>
        </w:rPr>
      </w:pPr>
      <w:r>
        <w:rPr>
          <w:rFonts w:hint="eastAsia" w:ascii="宋体" w:hAnsi="宋体" w:eastAsia="宋体" w:cs="宋体"/>
          <w:b/>
          <w:bCs/>
          <w:color w:val="auto"/>
          <w:kern w:val="2"/>
          <w:sz w:val="22"/>
          <w:szCs w:val="22"/>
          <w:highlight w:val="none"/>
          <w:lang w:val="zh-CN" w:eastAsia="zh-CN" w:bidi="ar-SA"/>
        </w:rPr>
        <w:t>4、日常巡查及保养任务分配</w:t>
      </w:r>
    </w:p>
    <w:p w14:paraId="702C9BF3">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4.1日常巡查及保养内容为</w:t>
      </w:r>
      <w:r>
        <w:rPr>
          <w:rFonts w:hint="eastAsia" w:ascii="宋体" w:hAnsi="宋体" w:eastAsia="宋体" w:cs="宋体"/>
          <w:bCs/>
          <w:color w:val="auto"/>
          <w:sz w:val="22"/>
          <w:szCs w:val="22"/>
          <w:highlight w:val="none"/>
        </w:rPr>
        <w:t>温州市瓯越大道（温瑞大道南段快速路一期）</w:t>
      </w:r>
      <w:r>
        <w:rPr>
          <w:rFonts w:hint="eastAsia" w:ascii="宋体" w:hAnsi="宋体" w:eastAsia="宋体" w:cs="宋体"/>
          <w:bCs/>
          <w:color w:val="auto"/>
          <w:sz w:val="22"/>
          <w:szCs w:val="22"/>
          <w:highlight w:val="none"/>
          <w:lang w:val="zh-CN"/>
        </w:rPr>
        <w:t>范围内沥青路面</w:t>
      </w:r>
      <w:r>
        <w:rPr>
          <w:rFonts w:hint="eastAsia" w:ascii="宋体" w:hAnsi="宋体" w:eastAsia="宋体" w:cs="宋体"/>
          <w:bCs/>
          <w:color w:val="auto"/>
          <w:sz w:val="22"/>
          <w:szCs w:val="22"/>
          <w:highlight w:val="none"/>
        </w:rPr>
        <w:t>及其</w:t>
      </w:r>
      <w:r>
        <w:rPr>
          <w:rFonts w:hint="eastAsia" w:ascii="宋体" w:hAnsi="宋体" w:eastAsia="宋体" w:cs="宋体"/>
          <w:bCs/>
          <w:color w:val="auto"/>
          <w:sz w:val="22"/>
          <w:szCs w:val="22"/>
          <w:highlight w:val="none"/>
          <w:lang w:val="zh-CN"/>
        </w:rPr>
        <w:t>附属设施（含路灯、隔音屏及排水系统）的巡查及保养工作；</w:t>
      </w:r>
    </w:p>
    <w:p w14:paraId="4112A31F">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4.2</w:t>
      </w:r>
      <w:r>
        <w:rPr>
          <w:rFonts w:hint="eastAsia" w:ascii="宋体" w:hAnsi="宋体" w:eastAsia="宋体" w:cs="宋体"/>
          <w:color w:val="auto"/>
          <w:sz w:val="22"/>
          <w:szCs w:val="22"/>
          <w:highlight w:val="none"/>
        </w:rPr>
        <w:t>维养单位须安排专职人员对辖区范围内市政设施按要求进行日常巡查并做好记录，发现问题以书面形式上报采购人。</w:t>
      </w:r>
    </w:p>
    <w:p w14:paraId="49660193">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w:t>
      </w:r>
      <w:r>
        <w:rPr>
          <w:rFonts w:hint="eastAsia" w:ascii="宋体" w:hAnsi="宋体" w:eastAsia="宋体" w:cs="宋体"/>
          <w:color w:val="auto"/>
          <w:sz w:val="22"/>
          <w:szCs w:val="22"/>
          <w:highlight w:val="none"/>
          <w:lang w:eastAsia="zh-CN"/>
        </w:rPr>
        <w:t>日常巡查及保养</w:t>
      </w:r>
      <w:r>
        <w:rPr>
          <w:rFonts w:hint="eastAsia" w:ascii="宋体" w:hAnsi="宋体" w:eastAsia="宋体" w:cs="宋体"/>
          <w:color w:val="auto"/>
          <w:sz w:val="22"/>
          <w:szCs w:val="22"/>
          <w:highlight w:val="none"/>
        </w:rPr>
        <w:t>范围：</w:t>
      </w:r>
    </w:p>
    <w:p w14:paraId="5CB59C28">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瓯越大道（温瑞大道南段快速路一期）瓯越大道主线高架面积</w:t>
      </w:r>
      <w:r>
        <w:rPr>
          <w:rFonts w:hint="eastAsia" w:ascii="宋体" w:hAnsi="宋体" w:eastAsia="宋体" w:cs="宋体"/>
          <w:color w:val="auto"/>
          <w:sz w:val="22"/>
          <w:szCs w:val="22"/>
          <w:highlight w:val="none"/>
        </w:rPr>
        <w:t>114608㎡，瓯海大道主线拼宽段面积</w:t>
      </w:r>
      <w:r>
        <w:rPr>
          <w:rFonts w:hint="eastAsia" w:ascii="宋体" w:hAnsi="宋体" w:eastAsia="宋体" w:cs="宋体"/>
          <w:color w:val="auto"/>
          <w:sz w:val="22"/>
          <w:szCs w:val="22"/>
          <w:highlight w:val="none"/>
          <w:lang w:val="en-US" w:eastAsia="zh-CN"/>
        </w:rPr>
        <w:t>6255</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匝道面积</w:t>
      </w:r>
      <w:r>
        <w:rPr>
          <w:rFonts w:hint="eastAsia" w:ascii="宋体" w:hAnsi="宋体" w:eastAsia="宋体" w:cs="宋体"/>
          <w:color w:val="auto"/>
          <w:sz w:val="22"/>
          <w:szCs w:val="22"/>
          <w:highlight w:val="none"/>
          <w:lang w:val="en-US" w:eastAsia="zh-CN"/>
        </w:rPr>
        <w:t>63612.5145</w:t>
      </w:r>
      <w:r>
        <w:rPr>
          <w:rFonts w:hint="eastAsia" w:ascii="宋体" w:hAnsi="宋体" w:eastAsia="宋体" w:cs="宋体"/>
          <w:color w:val="auto"/>
          <w:sz w:val="22"/>
          <w:szCs w:val="22"/>
          <w:highlight w:val="none"/>
        </w:rPr>
        <w:t>㎡，合计面积184475.5145㎡。</w:t>
      </w:r>
      <w:r>
        <w:rPr>
          <w:rFonts w:hint="eastAsia" w:ascii="宋体" w:hAnsi="宋体" w:eastAsia="宋体" w:cs="宋体"/>
          <w:color w:val="auto"/>
          <w:sz w:val="22"/>
          <w:szCs w:val="22"/>
          <w:highlight w:val="none"/>
          <w:lang w:eastAsia="zh-CN"/>
        </w:rPr>
        <w:t>主线高架</w:t>
      </w:r>
      <w:r>
        <w:rPr>
          <w:rFonts w:hint="eastAsia" w:ascii="宋体" w:hAnsi="宋体" w:eastAsia="宋体" w:cs="宋体"/>
          <w:color w:val="auto"/>
          <w:sz w:val="22"/>
          <w:szCs w:val="22"/>
          <w:highlight w:val="none"/>
          <w:lang w:val="en-US" w:eastAsia="zh-CN"/>
        </w:rPr>
        <w:t>路灯276盏、匝道平光灯1543套；地面道路路灯238套投光灯223套。</w:t>
      </w:r>
    </w:p>
    <w:p w14:paraId="24C0B7A5">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4.4养护单位应根据日常巡查和检测结果，结合相关技术规范、设施实际情况安排保养、应急性养护，</w:t>
      </w:r>
      <w:r>
        <w:rPr>
          <w:rFonts w:hint="eastAsia" w:ascii="宋体" w:hAnsi="宋体" w:eastAsia="宋体" w:cs="宋体"/>
          <w:color w:val="auto"/>
          <w:sz w:val="22"/>
          <w:szCs w:val="22"/>
          <w:highlight w:val="none"/>
          <w:lang w:eastAsia="zh-CN"/>
        </w:rPr>
        <w:t>日常巡查及保养</w:t>
      </w:r>
      <w:r>
        <w:rPr>
          <w:rFonts w:hint="eastAsia" w:ascii="宋体" w:hAnsi="宋体" w:eastAsia="宋体" w:cs="宋体"/>
          <w:color w:val="auto"/>
          <w:sz w:val="22"/>
          <w:szCs w:val="22"/>
          <w:highlight w:val="none"/>
        </w:rPr>
        <w:t>作业内容详见清单。</w:t>
      </w:r>
    </w:p>
    <w:p w14:paraId="7E883D59">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4.5应管理单位要求需进行应急抢修的，养护单位维修队伍、设备及物料需在2小时内到场，并于48小时内完成抢修作业。</w:t>
      </w:r>
    </w:p>
    <w:p w14:paraId="3DEE4426">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4.6日常维修保养作业可能影响道路交通的，养护单位需做好与公安交警部门的协调工作，在尽可能减少影响的情况下，保质保量的完成日常维修保养作业。</w:t>
      </w:r>
    </w:p>
    <w:p w14:paraId="142572BB">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4.7根据《城市桥梁养护技术标准》（CJJ99-2017）清理伸缩缝，保养支座，并确保设施正常运行。建立好档案资料。</w:t>
      </w:r>
    </w:p>
    <w:p w14:paraId="7978F943">
      <w:pPr>
        <w:keepNext w:val="0"/>
        <w:keepLines w:val="0"/>
        <w:pageBreakBefore w:val="0"/>
        <w:kinsoku/>
        <w:wordWrap/>
        <w:overflowPunct/>
        <w:topLinePunct w:val="0"/>
        <w:bidi w:val="0"/>
        <w:adjustRightInd/>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4.8</w:t>
      </w:r>
      <w:r>
        <w:rPr>
          <w:rFonts w:hint="eastAsia" w:ascii="宋体" w:hAnsi="宋体" w:eastAsia="宋体" w:cs="宋体"/>
          <w:color w:val="auto"/>
          <w:sz w:val="22"/>
          <w:szCs w:val="22"/>
          <w:highlight w:val="none"/>
          <w:lang w:eastAsia="zh-CN"/>
        </w:rPr>
        <w:t>日常保养</w:t>
      </w:r>
      <w:r>
        <w:rPr>
          <w:rFonts w:hint="eastAsia" w:ascii="宋体" w:hAnsi="宋体" w:eastAsia="宋体" w:cs="宋体"/>
          <w:color w:val="auto"/>
          <w:sz w:val="22"/>
          <w:szCs w:val="22"/>
          <w:highlight w:val="none"/>
        </w:rPr>
        <w:t>履约考核</w:t>
      </w:r>
    </w:p>
    <w:p w14:paraId="43F17DB8">
      <w:pPr>
        <w:keepNext w:val="0"/>
        <w:keepLines w:val="0"/>
        <w:pageBreakBefore w:val="0"/>
        <w:kinsoku/>
        <w:wordWrap/>
        <w:overflowPunct/>
        <w:topLinePunct w:val="0"/>
        <w:bidi w:val="0"/>
        <w:adjustRightInd/>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（1）安全文明施工：维养单位在施工过程中必须满足《温州市市政设施管理条例》及其他有关规定要求，否则采购人有权利酌情扣除履约保证金。</w:t>
      </w:r>
    </w:p>
    <w:p w14:paraId="4035ADB2">
      <w:pPr>
        <w:keepNext w:val="0"/>
        <w:keepLines w:val="0"/>
        <w:pageBreakBefore w:val="0"/>
        <w:kinsoku/>
        <w:wordWrap/>
        <w:overflowPunct/>
        <w:topLinePunct w:val="0"/>
        <w:bidi w:val="0"/>
        <w:adjustRightInd/>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（2）质量保证：</w:t>
      </w:r>
      <w:r>
        <w:rPr>
          <w:rFonts w:hint="eastAsia" w:ascii="宋体" w:hAnsi="宋体" w:eastAsia="宋体" w:cs="宋体"/>
          <w:color w:val="auto"/>
          <w:sz w:val="22"/>
          <w:szCs w:val="22"/>
          <w:highlight w:val="none"/>
          <w:lang w:eastAsia="zh-CN"/>
        </w:rPr>
        <w:t>日常保养</w:t>
      </w:r>
      <w:r>
        <w:rPr>
          <w:rFonts w:hint="eastAsia" w:ascii="宋体" w:hAnsi="宋体" w:eastAsia="宋体" w:cs="宋体"/>
          <w:color w:val="auto"/>
          <w:sz w:val="22"/>
          <w:szCs w:val="22"/>
          <w:highlight w:val="none"/>
        </w:rPr>
        <w:t>任务施工质量必须符合设计要求和国家或行业的质量检验评定标准，质量要求为合格。</w:t>
      </w:r>
    </w:p>
    <w:p w14:paraId="593AE9EC">
      <w:pPr>
        <w:keepNext w:val="0"/>
        <w:keepLines w:val="0"/>
        <w:pageBreakBefore w:val="0"/>
        <w:kinsoku/>
        <w:wordWrap/>
        <w:overflowPunct/>
        <w:topLinePunct w:val="0"/>
        <w:bidi w:val="0"/>
        <w:adjustRightInd/>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w:t>
      </w:r>
      <w:r>
        <w:rPr>
          <w:rFonts w:hint="eastAsia" w:ascii="宋体" w:hAnsi="宋体" w:eastAsia="宋体" w:cs="宋体"/>
          <w:color w:val="auto"/>
          <w:sz w:val="22"/>
          <w:szCs w:val="22"/>
          <w:highlight w:val="none"/>
          <w:lang w:eastAsia="zh-CN"/>
        </w:rPr>
        <w:t>保养</w:t>
      </w:r>
      <w:r>
        <w:rPr>
          <w:rFonts w:hint="eastAsia" w:ascii="宋体" w:hAnsi="宋体" w:eastAsia="宋体" w:cs="宋体"/>
          <w:color w:val="auto"/>
          <w:sz w:val="22"/>
          <w:szCs w:val="22"/>
          <w:highlight w:val="none"/>
        </w:rPr>
        <w:t>时效保证：维养单位接到采购人发出施工任务后必须在采购人规定时限内进场施工，每延期一天向采购人支付违约金2000元，不足一天按一天计算。维养单位必须在收到采购人要求期限内保质保量完成施工任务，每延期一天向采购人支付违约金2000元，不足一天按一天计算。违约金从发生当月维养费用中扣除。</w:t>
      </w:r>
    </w:p>
    <w:p w14:paraId="144FAAE3">
      <w:pPr>
        <w:keepNext w:val="0"/>
        <w:keepLines w:val="0"/>
        <w:pageBreakBefore w:val="0"/>
        <w:widowControl/>
        <w:kinsoku/>
        <w:wordWrap/>
        <w:overflowPunct/>
        <w:topLinePunct w:val="0"/>
        <w:autoSpaceDE w:val="0"/>
        <w:autoSpaceDN w:val="0"/>
        <w:bidi w:val="0"/>
        <w:adjustRightInd/>
        <w:snapToGrid w:val="0"/>
        <w:spacing w:line="460" w:lineRule="exac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（4）农民工工资支付保证：维养单位必须按时支付农民工工资，否则采购人有权利酌情扣除履约保证金。</w:t>
      </w:r>
    </w:p>
    <w:p w14:paraId="7051B3CF">
      <w:pPr>
        <w:keepNext w:val="0"/>
        <w:keepLines w:val="0"/>
        <w:pageBreakBefore w:val="0"/>
        <w:widowControl/>
        <w:numPr>
          <w:ilvl w:val="0"/>
          <w:numId w:val="0"/>
        </w:numPr>
        <w:kinsoku/>
        <w:wordWrap/>
        <w:overflowPunct/>
        <w:topLinePunct w:val="0"/>
        <w:autoSpaceDE w:val="0"/>
        <w:autoSpaceDN w:val="0"/>
        <w:bidi w:val="0"/>
        <w:adjustRightInd/>
        <w:snapToGrid w:val="0"/>
        <w:spacing w:line="460" w:lineRule="exact"/>
        <w:textAlignment w:val="bottom"/>
        <w:outlineLvl w:val="2"/>
        <w:rPr>
          <w:rFonts w:hint="eastAsia" w:ascii="宋体" w:hAnsi="宋体" w:eastAsia="宋体" w:cs="宋体"/>
          <w:b/>
          <w:bCs/>
          <w:color w:val="auto"/>
          <w:kern w:val="2"/>
          <w:sz w:val="22"/>
          <w:szCs w:val="22"/>
          <w:highlight w:val="none"/>
          <w:lang w:val="zh-CN" w:eastAsia="zh-CN" w:bidi="ar-SA"/>
        </w:rPr>
      </w:pPr>
      <w:r>
        <w:rPr>
          <w:rFonts w:hint="eastAsia" w:ascii="宋体" w:hAnsi="宋体" w:eastAsia="宋体" w:cs="宋体"/>
          <w:b/>
          <w:bCs/>
          <w:color w:val="auto"/>
          <w:kern w:val="2"/>
          <w:sz w:val="22"/>
          <w:szCs w:val="22"/>
          <w:highlight w:val="none"/>
          <w:lang w:val="zh-CN" w:eastAsia="zh-CN" w:bidi="ar-SA"/>
        </w:rPr>
        <w:t>5、安全生产：</w:t>
      </w:r>
    </w:p>
    <w:p w14:paraId="69966380">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5.1 </w:t>
      </w:r>
      <w:r>
        <w:rPr>
          <w:rFonts w:hint="eastAsia" w:ascii="宋体" w:hAnsi="宋体" w:eastAsia="宋体" w:cs="宋体"/>
          <w:b/>
          <w:bCs/>
          <w:color w:val="auto"/>
          <w:sz w:val="22"/>
          <w:szCs w:val="22"/>
          <w:highlight w:val="none"/>
        </w:rPr>
        <w:t>养护单位有责任发现并及时制止本次招标范围内所有设施遭意外事故或人为等因素导致的损坏和侵害，做好调查等工作，并通知管理单位和相关部门。</w:t>
      </w:r>
      <w:r>
        <w:rPr>
          <w:rFonts w:hint="eastAsia" w:ascii="宋体" w:hAnsi="宋体" w:eastAsia="宋体" w:cs="宋体"/>
          <w:color w:val="auto"/>
          <w:sz w:val="22"/>
          <w:szCs w:val="22"/>
          <w:highlight w:val="none"/>
        </w:rPr>
        <w:t>对在养护范围内，本次招标范围外的设施（如随桥（路）管线、井盖、标志标线等），有巡查、告知的责任。</w:t>
      </w:r>
    </w:p>
    <w:p w14:paraId="30F69D53">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5.2 养护单位应为实施现场养护施工作业的人员购买人身意外伤害险。养护单位在保证</w:t>
      </w:r>
      <w:r>
        <w:rPr>
          <w:rFonts w:hint="eastAsia" w:ascii="宋体" w:hAnsi="宋体" w:eastAsia="宋体" w:cs="宋体"/>
          <w:color w:val="auto"/>
          <w:sz w:val="22"/>
          <w:szCs w:val="22"/>
          <w:highlight w:val="none"/>
          <w:lang w:eastAsia="zh-CN"/>
        </w:rPr>
        <w:t>日常巡查及保养</w:t>
      </w:r>
      <w:r>
        <w:rPr>
          <w:rFonts w:hint="eastAsia" w:ascii="宋体" w:hAnsi="宋体" w:eastAsia="宋体" w:cs="宋体"/>
          <w:color w:val="auto"/>
          <w:sz w:val="22"/>
          <w:szCs w:val="22"/>
          <w:highlight w:val="none"/>
        </w:rPr>
        <w:t>工作的质量与进度的同时，还应做好安全管理。如因自身人员出现伤亡事故、或因施工作业围挡或警示不到位造成过往车辆或行人伤亡的，由养护单位承担全部责任。</w:t>
      </w:r>
    </w:p>
    <w:p w14:paraId="51A1C586">
      <w:pPr>
        <w:keepNext w:val="0"/>
        <w:keepLines w:val="0"/>
        <w:pageBreakBefore w:val="0"/>
        <w:widowControl/>
        <w:numPr>
          <w:ilvl w:val="0"/>
          <w:numId w:val="0"/>
        </w:numPr>
        <w:kinsoku/>
        <w:wordWrap/>
        <w:overflowPunct/>
        <w:topLinePunct w:val="0"/>
        <w:autoSpaceDE w:val="0"/>
        <w:autoSpaceDN w:val="0"/>
        <w:bidi w:val="0"/>
        <w:adjustRightInd/>
        <w:snapToGrid w:val="0"/>
        <w:spacing w:line="460" w:lineRule="exact"/>
        <w:textAlignment w:val="bottom"/>
        <w:outlineLvl w:val="2"/>
        <w:rPr>
          <w:rFonts w:hint="eastAsia" w:ascii="宋体" w:hAnsi="宋体" w:eastAsia="宋体" w:cs="宋体"/>
          <w:b/>
          <w:bCs/>
          <w:color w:val="auto"/>
          <w:kern w:val="2"/>
          <w:sz w:val="22"/>
          <w:szCs w:val="22"/>
          <w:highlight w:val="none"/>
          <w:lang w:val="zh-CN" w:eastAsia="zh-CN" w:bidi="ar-SA"/>
        </w:rPr>
      </w:pPr>
      <w:r>
        <w:rPr>
          <w:rFonts w:hint="eastAsia" w:ascii="宋体" w:hAnsi="宋体" w:eastAsia="宋体" w:cs="宋体"/>
          <w:b/>
          <w:bCs/>
          <w:color w:val="auto"/>
          <w:kern w:val="2"/>
          <w:sz w:val="22"/>
          <w:szCs w:val="22"/>
          <w:highlight w:val="none"/>
          <w:lang w:val="zh-CN" w:eastAsia="zh-CN" w:bidi="ar-SA"/>
        </w:rPr>
        <w:t>6、市政设施巡查维养考核要求</w:t>
      </w:r>
    </w:p>
    <w:p w14:paraId="62427D8E">
      <w:pPr>
        <w:keepNext w:val="0"/>
        <w:keepLines w:val="0"/>
        <w:pageBreakBefore w:val="0"/>
        <w:widowControl/>
        <w:kinsoku/>
        <w:wordWrap/>
        <w:overflowPunct/>
        <w:topLinePunct w:val="0"/>
        <w:autoSpaceDE w:val="0"/>
        <w:autoSpaceDN w:val="0"/>
        <w:bidi w:val="0"/>
        <w:adjustRightInd/>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 巡查维养工作内容</w:t>
      </w:r>
    </w:p>
    <w:p w14:paraId="5B842410">
      <w:pPr>
        <w:keepNext w:val="0"/>
        <w:keepLines w:val="0"/>
        <w:pageBreakBefore w:val="0"/>
        <w:widowControl/>
        <w:kinsoku/>
        <w:wordWrap/>
        <w:overflowPunct/>
        <w:topLinePunct w:val="0"/>
        <w:autoSpaceDE w:val="0"/>
        <w:autoSpaceDN w:val="0"/>
        <w:bidi w:val="0"/>
        <w:adjustRightInd/>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照《城镇道路养护技术规范（CJJ36-2016）》《城市桥梁养护技术标准（CJJ99-2017）》要求安排巡检周期及巡检任务，检查时应有序而严密，防止漏项；根据巡查结果及甲方要求开展保养小修；按照相关规范文件要求落实应急保障、重大活动及节日保障；建立设施档案等。</w:t>
      </w:r>
    </w:p>
    <w:p w14:paraId="6C30CA22">
      <w:pPr>
        <w:keepNext w:val="0"/>
        <w:keepLines w:val="0"/>
        <w:pageBreakBefore w:val="0"/>
        <w:widowControl/>
        <w:kinsoku/>
        <w:wordWrap/>
        <w:overflowPunct/>
        <w:topLinePunct w:val="0"/>
        <w:autoSpaceDE w:val="0"/>
        <w:autoSpaceDN w:val="0"/>
        <w:bidi w:val="0"/>
        <w:adjustRightInd/>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 巡查工作要求</w:t>
      </w:r>
    </w:p>
    <w:p w14:paraId="42976F28">
      <w:pPr>
        <w:keepNext w:val="0"/>
        <w:keepLines w:val="0"/>
        <w:pageBreakBefore w:val="0"/>
        <w:widowControl/>
        <w:kinsoku/>
        <w:wordWrap/>
        <w:overflowPunct/>
        <w:topLinePunct w:val="0"/>
        <w:autoSpaceDE w:val="0"/>
        <w:autoSpaceDN w:val="0"/>
        <w:bidi w:val="0"/>
        <w:adjustRightInd/>
        <w:spacing w:line="460" w:lineRule="exact"/>
        <w:ind w:firstLine="440" w:firstLineChars="200"/>
        <w:textAlignment w:val="bottom"/>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乙方派出的巡查员应为经过培训的专职道路管理人员并须具有一定道路施工经验的工程技术人员（其中具备工程师及以上职称的不少于1人），对拟派人员须提供资质证明，每次巡查人员需1-2人，巡查时现场做好巡查记录，每日向甲方上报巡查结果，并及时采取有效措施消除安全隐患；若在巡检过程中发现结构性病害应立刻告知业主。巡查养护单位须具备巡查车辆、测距仪、水准仪、照相机等满足日常监测必须的交通和检测工具。且维养单位的巡查人员和车辆应随时配合采购人对设施的巡查检查工作。</w:t>
      </w:r>
      <w:r>
        <w:rPr>
          <w:rFonts w:hint="eastAsia" w:ascii="宋体" w:hAnsi="宋体" w:eastAsia="宋体" w:cs="宋体"/>
          <w:color w:val="auto"/>
          <w:sz w:val="22"/>
          <w:szCs w:val="22"/>
          <w:highlight w:val="none"/>
          <w:lang w:eastAsia="zh-CN"/>
        </w:rPr>
        <w:t>（同时要求巡查车辆装有视频录像功能，巡查过程中进行实时录像）</w:t>
      </w:r>
    </w:p>
    <w:p w14:paraId="219941F7">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乙方应按投标文件配备人员、机械、材料、设施。需进行日常保养或清扫保洁的设施，根据相关规范及本招标文件要求定期实施。</w:t>
      </w:r>
    </w:p>
    <w:p w14:paraId="21846A02">
      <w:pPr>
        <w:keepNext w:val="0"/>
        <w:keepLines w:val="0"/>
        <w:pageBreakBefore w:val="0"/>
        <w:widowControl/>
        <w:kinsoku/>
        <w:wordWrap/>
        <w:overflowPunct/>
        <w:topLinePunct w:val="0"/>
        <w:autoSpaceDE w:val="0"/>
        <w:autoSpaceDN w:val="0"/>
        <w:bidi w:val="0"/>
        <w:adjustRightInd/>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如因乙方未及时发现病害、维养作业不规范等原因造成的后果，由乙方承担。且甲方将根据考核标准对乙方进行扣分。考核内容：具体以考核表为准。</w:t>
      </w:r>
    </w:p>
    <w:p w14:paraId="0716F902">
      <w:pPr>
        <w:keepNext w:val="0"/>
        <w:keepLines w:val="0"/>
        <w:pageBreakBefore w:val="0"/>
        <w:kinsoku/>
        <w:wordWrap/>
        <w:overflowPunct/>
        <w:topLinePunct w:val="0"/>
        <w:bidi w:val="0"/>
        <w:adjustRightInd/>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 人员到位要求</w:t>
      </w:r>
    </w:p>
    <w:p w14:paraId="7EF065EB">
      <w:pPr>
        <w:keepNext w:val="0"/>
        <w:keepLines w:val="0"/>
        <w:pageBreakBefore w:val="0"/>
        <w:widowControl/>
        <w:kinsoku/>
        <w:wordWrap/>
        <w:overflowPunct/>
        <w:topLinePunct w:val="0"/>
        <w:autoSpaceDE w:val="0"/>
        <w:autoSpaceDN w:val="0"/>
        <w:bidi w:val="0"/>
        <w:adjustRightInd/>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负责人和项目组管理人员在国家规定的工作日时间必须100%到位。项目负责人未经批准，不得擅自离开。乙方未经甲方同意，不得擅自更换项目成员；甲方认为确需更换的，每更换一次项目负责人，承包人向发包人支付违约金20000元（不可抗力除外），每更换一次项目技术负责人，承包人向发包人支付违约金10000元（不可抗力除外）。违约金从项目履约保证金中扣除。</w:t>
      </w:r>
    </w:p>
    <w:p w14:paraId="72679D52">
      <w:pPr>
        <w:keepNext w:val="0"/>
        <w:keepLines w:val="0"/>
        <w:pageBreakBefore w:val="0"/>
        <w:widowControl/>
        <w:kinsoku/>
        <w:wordWrap/>
        <w:overflowPunct/>
        <w:topLinePunct w:val="0"/>
        <w:autoSpaceDE w:val="0"/>
        <w:autoSpaceDN w:val="0"/>
        <w:bidi w:val="0"/>
        <w:adjustRightInd/>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6.4 人员管理和安全教育</w:t>
      </w:r>
    </w:p>
    <w:p w14:paraId="7214AD4F">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方按实际上岗人数自行到有关部门申办用工手续、员工劳动保险手续和暂住证手续等；应严格按照劳工法律各条规定逐条落实一线作业人员工资、岗位津贴、福利待遇、社会保险等要求，安排好属下人员的住宿和教育管理工作，如发生违纪违法事件，由中标方承担一切经济责任和法律责任。中标方需加强安全教育工作，配置安全设施，确保安全施工巡检，预防发生事故，如一旦发生人员伤亡事故，由中标方自行负责处理并承担责任。</w:t>
      </w:r>
    </w:p>
    <w:p w14:paraId="2F8BD862">
      <w:pPr>
        <w:keepNext w:val="0"/>
        <w:keepLines w:val="0"/>
        <w:pageBreakBefore w:val="0"/>
        <w:widowControl/>
        <w:numPr>
          <w:ilvl w:val="0"/>
          <w:numId w:val="0"/>
        </w:numPr>
        <w:kinsoku/>
        <w:wordWrap/>
        <w:overflowPunct/>
        <w:topLinePunct w:val="0"/>
        <w:autoSpaceDE w:val="0"/>
        <w:autoSpaceDN w:val="0"/>
        <w:bidi w:val="0"/>
        <w:adjustRightInd/>
        <w:snapToGrid w:val="0"/>
        <w:spacing w:line="460" w:lineRule="exact"/>
        <w:textAlignment w:val="bottom"/>
        <w:outlineLvl w:val="2"/>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7</w:t>
      </w:r>
      <w:r>
        <w:rPr>
          <w:rFonts w:hint="eastAsia" w:ascii="宋体" w:hAnsi="宋体" w:cs="宋体"/>
          <w:b/>
          <w:bCs/>
          <w:color w:val="auto"/>
          <w:kern w:val="2"/>
          <w:sz w:val="22"/>
          <w:szCs w:val="22"/>
          <w:highlight w:val="none"/>
          <w:lang w:val="en-US" w:eastAsia="zh-CN" w:bidi="ar-SA"/>
        </w:rPr>
        <w:t>、</w:t>
      </w:r>
      <w:r>
        <w:rPr>
          <w:rFonts w:hint="eastAsia" w:ascii="宋体" w:hAnsi="宋体" w:eastAsia="宋体" w:cs="宋体"/>
          <w:b/>
          <w:bCs/>
          <w:color w:val="auto"/>
          <w:kern w:val="2"/>
          <w:sz w:val="22"/>
          <w:szCs w:val="22"/>
          <w:highlight w:val="none"/>
          <w:lang w:val="en-US" w:eastAsia="zh-CN" w:bidi="ar-SA"/>
        </w:rPr>
        <w:t>桥梁定期检测</w:t>
      </w:r>
    </w:p>
    <w:p w14:paraId="4DA8992E">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（每年一次的常规定期检测，执行标准按城市桥梁养护技术标准CJJ99-2017）</w:t>
      </w:r>
    </w:p>
    <w:p w14:paraId="4DC76304">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42"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7.1 桥梁常规定期检测。</w:t>
      </w:r>
      <w:r>
        <w:rPr>
          <w:rFonts w:hint="eastAsia" w:ascii="宋体" w:hAnsi="宋体" w:eastAsia="宋体" w:cs="宋体"/>
          <w:color w:val="auto"/>
          <w:sz w:val="22"/>
          <w:szCs w:val="22"/>
          <w:highlight w:val="none"/>
          <w:lang w:val="en-US" w:eastAsia="zh-CN"/>
        </w:rPr>
        <w:t>承包单位应按照相关规范和标准，建立桥梁定期检测部门，配备检测车、登高车、望远镜、水准仪、全站仪、裂缝观测仪等仪器设备，编制检测方案，对主体及附属设施进行常规定期检测、评价，更新设施量、资料卡，编制检测评价报告，以全面掌握设施安全状况。</w:t>
      </w:r>
    </w:p>
    <w:p w14:paraId="70A4787C">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本次招标范围内的桥梁设施要求每年进行一次常规定期检测，半年进行一次沉降观测。</w:t>
      </w:r>
    </w:p>
    <w:p w14:paraId="20A84F09">
      <w:pPr>
        <w:pStyle w:val="22"/>
        <w:keepNext w:val="0"/>
        <w:keepLines w:val="0"/>
        <w:pageBreakBefore w:val="0"/>
        <w:widowControl w:val="0"/>
        <w:shd w:val="clear" w:color="auto" w:fill="auto"/>
        <w:kinsoku/>
        <w:wordWrap/>
        <w:overflowPunct/>
        <w:topLinePunct w:val="0"/>
        <w:autoSpaceDE/>
        <w:autoSpaceDN/>
        <w:bidi w:val="0"/>
        <w:adjustRightInd/>
        <w:snapToGrid/>
        <w:spacing w:line="460" w:lineRule="exact"/>
        <w:ind w:left="479" w:leftChars="228" w:firstLine="0" w:firstLineChars="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7.2桥梁结构定期检测</w:t>
      </w:r>
    </w:p>
    <w:tbl>
      <w:tblPr>
        <w:tblStyle w:val="53"/>
        <w:tblW w:w="94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3"/>
        <w:gridCol w:w="3525"/>
        <w:gridCol w:w="4755"/>
      </w:tblGrid>
      <w:tr w14:paraId="287E0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413" w:type="dxa"/>
            <w:gridSpan w:val="3"/>
            <w:tcBorders>
              <w:top w:val="single" w:color="000000" w:sz="8" w:space="0"/>
              <w:left w:val="single" w:color="000000" w:sz="8" w:space="0"/>
              <w:bottom w:val="single" w:color="000000" w:sz="8" w:space="0"/>
              <w:right w:val="single" w:color="000000" w:sz="8" w:space="0"/>
            </w:tcBorders>
            <w:noWrap w:val="0"/>
            <w:vAlign w:val="center"/>
          </w:tcPr>
          <w:p w14:paraId="682272DF">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瓯越大道（温瑞大道南段快速路一期）桥梁定期检测内容</w:t>
            </w:r>
          </w:p>
        </w:tc>
      </w:tr>
      <w:tr w14:paraId="1912A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133" w:type="dxa"/>
            <w:tcBorders>
              <w:top w:val="single" w:color="000000" w:sz="8" w:space="0"/>
              <w:left w:val="single" w:color="000000" w:sz="8" w:space="0"/>
              <w:bottom w:val="single" w:color="000000" w:sz="8" w:space="0"/>
              <w:right w:val="nil"/>
            </w:tcBorders>
            <w:noWrap w:val="0"/>
            <w:vAlign w:val="center"/>
          </w:tcPr>
          <w:p w14:paraId="67DD74DC">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桥梁</w:t>
            </w:r>
          </w:p>
        </w:tc>
        <w:tc>
          <w:tcPr>
            <w:tcW w:w="3525" w:type="dxa"/>
            <w:tcBorders>
              <w:top w:val="single" w:color="000000" w:sz="8" w:space="0"/>
              <w:left w:val="single" w:color="000000" w:sz="4" w:space="0"/>
              <w:bottom w:val="single" w:color="000000" w:sz="8" w:space="0"/>
              <w:right w:val="nil"/>
            </w:tcBorders>
            <w:noWrap w:val="0"/>
            <w:vAlign w:val="center"/>
          </w:tcPr>
          <w:p w14:paraId="7E2CE85B">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检测项目</w:t>
            </w:r>
          </w:p>
        </w:tc>
        <w:tc>
          <w:tcPr>
            <w:tcW w:w="4755" w:type="dxa"/>
            <w:tcBorders>
              <w:top w:val="single" w:color="000000" w:sz="8" w:space="0"/>
              <w:left w:val="single" w:color="000000" w:sz="8" w:space="0"/>
              <w:bottom w:val="single" w:color="000000" w:sz="8" w:space="0"/>
              <w:right w:val="single" w:color="000000" w:sz="8" w:space="0"/>
            </w:tcBorders>
            <w:noWrap w:val="0"/>
            <w:vAlign w:val="center"/>
          </w:tcPr>
          <w:p w14:paraId="4A8A7647">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14:paraId="683BA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restart"/>
            <w:tcBorders>
              <w:top w:val="single" w:color="000000" w:sz="8" w:space="0"/>
              <w:left w:val="single" w:color="000000" w:sz="8" w:space="0"/>
              <w:bottom w:val="single" w:color="000000" w:sz="8" w:space="0"/>
              <w:right w:val="single" w:color="000000" w:sz="4" w:space="0"/>
            </w:tcBorders>
            <w:noWrap w:val="0"/>
            <w:vAlign w:val="center"/>
          </w:tcPr>
          <w:p w14:paraId="7AEDA15A">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瓯越大道主线高架</w:t>
            </w:r>
          </w:p>
        </w:tc>
        <w:tc>
          <w:tcPr>
            <w:tcW w:w="3525" w:type="dxa"/>
            <w:tcBorders>
              <w:top w:val="single" w:color="000000" w:sz="8" w:space="0"/>
              <w:left w:val="single" w:color="000000" w:sz="4" w:space="0"/>
              <w:bottom w:val="single" w:color="000000" w:sz="4" w:space="0"/>
              <w:right w:val="single" w:color="000000" w:sz="4" w:space="0"/>
            </w:tcBorders>
            <w:noWrap w:val="0"/>
            <w:vAlign w:val="center"/>
          </w:tcPr>
          <w:p w14:paraId="70E474D0">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常规检测</w:t>
            </w:r>
          </w:p>
        </w:tc>
        <w:tc>
          <w:tcPr>
            <w:tcW w:w="4755" w:type="dxa"/>
            <w:tcBorders>
              <w:top w:val="single" w:color="000000" w:sz="8" w:space="0"/>
              <w:left w:val="single" w:color="000000" w:sz="4" w:space="0"/>
              <w:bottom w:val="single" w:color="000000" w:sz="4" w:space="0"/>
              <w:right w:val="single" w:color="000000" w:sz="8" w:space="0"/>
            </w:tcBorders>
            <w:noWrap w:val="0"/>
            <w:vAlign w:val="center"/>
          </w:tcPr>
          <w:p w14:paraId="0E1AA9D7">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0E4AE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single" w:color="000000" w:sz="8" w:space="0"/>
              <w:left w:val="single" w:color="000000" w:sz="8" w:space="0"/>
              <w:bottom w:val="single" w:color="000000" w:sz="8" w:space="0"/>
              <w:right w:val="single" w:color="000000" w:sz="4" w:space="0"/>
            </w:tcBorders>
            <w:noWrap w:val="0"/>
            <w:vAlign w:val="center"/>
          </w:tcPr>
          <w:p w14:paraId="2561166A">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638D673">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裂缝检测</w:t>
            </w:r>
          </w:p>
        </w:tc>
        <w:tc>
          <w:tcPr>
            <w:tcW w:w="4755" w:type="dxa"/>
            <w:tcBorders>
              <w:top w:val="single" w:color="000000" w:sz="4" w:space="0"/>
              <w:left w:val="single" w:color="000000" w:sz="4" w:space="0"/>
              <w:bottom w:val="nil"/>
              <w:right w:val="single" w:color="000000" w:sz="8" w:space="0"/>
            </w:tcBorders>
            <w:noWrap w:val="0"/>
            <w:vAlign w:val="center"/>
          </w:tcPr>
          <w:p w14:paraId="1DD0046F">
            <w:pPr>
              <w:keepNext w:val="0"/>
              <w:keepLines w:val="0"/>
              <w:pageBreakBefore w:val="0"/>
              <w:widowControl/>
              <w:suppressLineNumbers w:val="0"/>
              <w:kinsoku/>
              <w:wordWrap/>
              <w:overflowPunct/>
              <w:topLinePunct w:val="0"/>
              <w:bidi w:val="0"/>
              <w:adjustRightInd/>
              <w:spacing w:line="4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报告中需注明所测裂缝长度，并提出建议</w:t>
            </w:r>
          </w:p>
        </w:tc>
      </w:tr>
      <w:tr w14:paraId="630F6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single" w:color="000000" w:sz="8" w:space="0"/>
              <w:left w:val="single" w:color="000000" w:sz="8" w:space="0"/>
              <w:bottom w:val="single" w:color="000000" w:sz="8" w:space="0"/>
              <w:right w:val="single" w:color="000000" w:sz="4" w:space="0"/>
            </w:tcBorders>
            <w:noWrap w:val="0"/>
            <w:vAlign w:val="center"/>
          </w:tcPr>
          <w:p w14:paraId="712DA9A5">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F87C8B1">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钢筋保护层</w:t>
            </w:r>
          </w:p>
        </w:tc>
        <w:tc>
          <w:tcPr>
            <w:tcW w:w="4755" w:type="dxa"/>
            <w:vMerge w:val="restart"/>
            <w:tcBorders>
              <w:top w:val="single" w:color="000000" w:sz="4" w:space="0"/>
              <w:left w:val="single" w:color="000000" w:sz="4" w:space="0"/>
              <w:bottom w:val="single" w:color="000000" w:sz="4" w:space="0"/>
              <w:right w:val="single" w:color="000000" w:sz="8" w:space="0"/>
            </w:tcBorders>
            <w:noWrap w:val="0"/>
            <w:vAlign w:val="center"/>
          </w:tcPr>
          <w:p w14:paraId="035DD44E">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测区数量不少于墩台总数的20%，每测区包含底板、腹板、墩柱等构件，每个构件每项检测内容的测点数量不少于5个</w:t>
            </w:r>
          </w:p>
        </w:tc>
      </w:tr>
      <w:tr w14:paraId="542BA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single" w:color="000000" w:sz="8" w:space="0"/>
              <w:left w:val="single" w:color="000000" w:sz="8" w:space="0"/>
              <w:bottom w:val="single" w:color="000000" w:sz="8" w:space="0"/>
              <w:right w:val="single" w:color="000000" w:sz="4" w:space="0"/>
            </w:tcBorders>
            <w:noWrap w:val="0"/>
            <w:vAlign w:val="center"/>
          </w:tcPr>
          <w:p w14:paraId="4DB1930D">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7F64259">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混凝土强度（超声回弹法）</w:t>
            </w:r>
          </w:p>
        </w:tc>
        <w:tc>
          <w:tcPr>
            <w:tcW w:w="4755" w:type="dxa"/>
            <w:vMerge w:val="continue"/>
            <w:tcBorders>
              <w:top w:val="single" w:color="000000" w:sz="4" w:space="0"/>
              <w:left w:val="single" w:color="000000" w:sz="4" w:space="0"/>
              <w:bottom w:val="single" w:color="000000" w:sz="4" w:space="0"/>
              <w:right w:val="single" w:color="000000" w:sz="8" w:space="0"/>
            </w:tcBorders>
            <w:noWrap w:val="0"/>
            <w:vAlign w:val="center"/>
          </w:tcPr>
          <w:p w14:paraId="5422FD84">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1ADFA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single" w:color="000000" w:sz="8" w:space="0"/>
              <w:left w:val="single" w:color="000000" w:sz="8" w:space="0"/>
              <w:bottom w:val="single" w:color="000000" w:sz="8" w:space="0"/>
              <w:right w:val="single" w:color="000000" w:sz="4" w:space="0"/>
            </w:tcBorders>
            <w:noWrap w:val="0"/>
            <w:vAlign w:val="center"/>
          </w:tcPr>
          <w:p w14:paraId="4900B250">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4C63C78">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碳化深度</w:t>
            </w:r>
          </w:p>
        </w:tc>
        <w:tc>
          <w:tcPr>
            <w:tcW w:w="4755" w:type="dxa"/>
            <w:vMerge w:val="continue"/>
            <w:tcBorders>
              <w:top w:val="single" w:color="000000" w:sz="4" w:space="0"/>
              <w:left w:val="single" w:color="000000" w:sz="4" w:space="0"/>
              <w:bottom w:val="single" w:color="000000" w:sz="4" w:space="0"/>
              <w:right w:val="single" w:color="000000" w:sz="8" w:space="0"/>
            </w:tcBorders>
            <w:noWrap w:val="0"/>
            <w:vAlign w:val="center"/>
          </w:tcPr>
          <w:p w14:paraId="06F28531">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3EBB5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single" w:color="000000" w:sz="8" w:space="0"/>
              <w:left w:val="single" w:color="000000" w:sz="8" w:space="0"/>
              <w:bottom w:val="single" w:color="000000" w:sz="8" w:space="0"/>
              <w:right w:val="single" w:color="000000" w:sz="4" w:space="0"/>
            </w:tcBorders>
            <w:noWrap w:val="0"/>
            <w:vAlign w:val="center"/>
          </w:tcPr>
          <w:p w14:paraId="111958C0">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5B3FA04">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钢筋锈蚀电位</w:t>
            </w:r>
          </w:p>
        </w:tc>
        <w:tc>
          <w:tcPr>
            <w:tcW w:w="4755" w:type="dxa"/>
            <w:vMerge w:val="continue"/>
            <w:tcBorders>
              <w:top w:val="single" w:color="000000" w:sz="4" w:space="0"/>
              <w:left w:val="single" w:color="000000" w:sz="4" w:space="0"/>
              <w:bottom w:val="single" w:color="000000" w:sz="4" w:space="0"/>
              <w:right w:val="single" w:color="000000" w:sz="8" w:space="0"/>
            </w:tcBorders>
            <w:noWrap w:val="0"/>
            <w:vAlign w:val="center"/>
          </w:tcPr>
          <w:p w14:paraId="6030DD8D">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143AB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single" w:color="000000" w:sz="8" w:space="0"/>
              <w:left w:val="single" w:color="000000" w:sz="8" w:space="0"/>
              <w:bottom w:val="single" w:color="000000" w:sz="8" w:space="0"/>
              <w:right w:val="single" w:color="000000" w:sz="4" w:space="0"/>
            </w:tcBorders>
            <w:noWrap w:val="0"/>
            <w:vAlign w:val="center"/>
          </w:tcPr>
          <w:p w14:paraId="39752C41">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A4F3BE1">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混凝土电阻率</w:t>
            </w:r>
          </w:p>
        </w:tc>
        <w:tc>
          <w:tcPr>
            <w:tcW w:w="4755" w:type="dxa"/>
            <w:vMerge w:val="continue"/>
            <w:tcBorders>
              <w:top w:val="single" w:color="000000" w:sz="4" w:space="0"/>
              <w:left w:val="single" w:color="000000" w:sz="4" w:space="0"/>
              <w:bottom w:val="single" w:color="000000" w:sz="4" w:space="0"/>
              <w:right w:val="single" w:color="000000" w:sz="8" w:space="0"/>
            </w:tcBorders>
            <w:noWrap w:val="0"/>
            <w:vAlign w:val="center"/>
          </w:tcPr>
          <w:p w14:paraId="16067ED9">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6A673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single" w:color="000000" w:sz="8" w:space="0"/>
              <w:left w:val="single" w:color="000000" w:sz="8" w:space="0"/>
              <w:bottom w:val="single" w:color="000000" w:sz="8" w:space="0"/>
              <w:right w:val="single" w:color="000000" w:sz="4" w:space="0"/>
            </w:tcBorders>
            <w:noWrap w:val="0"/>
            <w:vAlign w:val="center"/>
          </w:tcPr>
          <w:p w14:paraId="3B79934B">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nil"/>
              <w:right w:val="single" w:color="000000" w:sz="4" w:space="0"/>
            </w:tcBorders>
            <w:noWrap w:val="0"/>
            <w:vAlign w:val="center"/>
          </w:tcPr>
          <w:p w14:paraId="76BFD10D">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氯离子含量</w:t>
            </w:r>
          </w:p>
        </w:tc>
        <w:tc>
          <w:tcPr>
            <w:tcW w:w="4755" w:type="dxa"/>
            <w:vMerge w:val="continue"/>
            <w:tcBorders>
              <w:top w:val="single" w:color="000000" w:sz="4" w:space="0"/>
              <w:left w:val="single" w:color="000000" w:sz="4" w:space="0"/>
              <w:bottom w:val="single" w:color="000000" w:sz="4" w:space="0"/>
              <w:right w:val="single" w:color="000000" w:sz="8" w:space="0"/>
            </w:tcBorders>
            <w:noWrap w:val="0"/>
            <w:vAlign w:val="center"/>
          </w:tcPr>
          <w:p w14:paraId="7D8A48D8">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03FDA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single" w:color="000000" w:sz="8" w:space="0"/>
              <w:left w:val="single" w:color="000000" w:sz="8" w:space="0"/>
              <w:bottom w:val="single" w:color="000000" w:sz="8" w:space="0"/>
              <w:right w:val="single" w:color="000000" w:sz="4" w:space="0"/>
            </w:tcBorders>
            <w:noWrap w:val="0"/>
            <w:vAlign w:val="center"/>
          </w:tcPr>
          <w:p w14:paraId="7947E28A">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D79D883">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全桥结构检算</w:t>
            </w:r>
          </w:p>
        </w:tc>
        <w:tc>
          <w:tcPr>
            <w:tcW w:w="4755" w:type="dxa"/>
            <w:tcBorders>
              <w:top w:val="single" w:color="000000" w:sz="4" w:space="0"/>
              <w:left w:val="single" w:color="000000" w:sz="4" w:space="0"/>
              <w:bottom w:val="single" w:color="000000" w:sz="4" w:space="0"/>
              <w:right w:val="single" w:color="000000" w:sz="8" w:space="0"/>
            </w:tcBorders>
            <w:noWrap w:val="0"/>
            <w:vAlign w:val="center"/>
          </w:tcPr>
          <w:p w14:paraId="7CA38544">
            <w:pPr>
              <w:keepNext w:val="0"/>
              <w:keepLines w:val="0"/>
              <w:pageBreakBefore w:val="0"/>
              <w:kinsoku/>
              <w:wordWrap/>
              <w:overflowPunct/>
              <w:topLinePunct w:val="0"/>
              <w:bidi w:val="0"/>
              <w:adjustRightInd/>
              <w:spacing w:line="460" w:lineRule="exact"/>
              <w:rPr>
                <w:rFonts w:hint="eastAsia" w:ascii="宋体" w:hAnsi="宋体" w:eastAsia="宋体" w:cs="宋体"/>
                <w:i w:val="0"/>
                <w:iCs w:val="0"/>
                <w:color w:val="auto"/>
                <w:sz w:val="22"/>
                <w:szCs w:val="22"/>
                <w:highlight w:val="none"/>
                <w:u w:val="none"/>
              </w:rPr>
            </w:pPr>
          </w:p>
        </w:tc>
      </w:tr>
      <w:tr w14:paraId="6F688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single" w:color="000000" w:sz="8" w:space="0"/>
              <w:left w:val="single" w:color="000000" w:sz="8" w:space="0"/>
              <w:bottom w:val="single" w:color="000000" w:sz="8" w:space="0"/>
              <w:right w:val="single" w:color="000000" w:sz="4" w:space="0"/>
            </w:tcBorders>
            <w:noWrap w:val="0"/>
            <w:vAlign w:val="center"/>
          </w:tcPr>
          <w:p w14:paraId="4D191D13">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nil"/>
              <w:left w:val="single" w:color="000000" w:sz="4" w:space="0"/>
              <w:bottom w:val="single" w:color="000000" w:sz="4" w:space="0"/>
              <w:right w:val="single" w:color="000000" w:sz="4" w:space="0"/>
            </w:tcBorders>
            <w:noWrap w:val="0"/>
            <w:vAlign w:val="center"/>
          </w:tcPr>
          <w:p w14:paraId="45A5A701">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梁体线型</w:t>
            </w:r>
          </w:p>
        </w:tc>
        <w:tc>
          <w:tcPr>
            <w:tcW w:w="4755" w:type="dxa"/>
            <w:tcBorders>
              <w:top w:val="single" w:color="000000" w:sz="4" w:space="0"/>
              <w:left w:val="single" w:color="000000" w:sz="4" w:space="0"/>
              <w:bottom w:val="single" w:color="000000" w:sz="4" w:space="0"/>
              <w:right w:val="single" w:color="000000" w:sz="8" w:space="0"/>
            </w:tcBorders>
            <w:noWrap w:val="0"/>
            <w:vAlign w:val="center"/>
          </w:tcPr>
          <w:p w14:paraId="0F930B2E">
            <w:pPr>
              <w:keepNext w:val="0"/>
              <w:keepLines w:val="0"/>
              <w:pageBreakBefore w:val="0"/>
              <w:kinsoku/>
              <w:wordWrap/>
              <w:overflowPunct/>
              <w:topLinePunct w:val="0"/>
              <w:bidi w:val="0"/>
              <w:adjustRightInd/>
              <w:spacing w:line="460" w:lineRule="exact"/>
              <w:rPr>
                <w:rFonts w:hint="eastAsia" w:ascii="宋体" w:hAnsi="宋体" w:eastAsia="宋体" w:cs="宋体"/>
                <w:i w:val="0"/>
                <w:iCs w:val="0"/>
                <w:color w:val="auto"/>
                <w:sz w:val="22"/>
                <w:szCs w:val="22"/>
                <w:highlight w:val="none"/>
                <w:u w:val="none"/>
              </w:rPr>
            </w:pPr>
          </w:p>
        </w:tc>
      </w:tr>
      <w:tr w14:paraId="0D9D2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33" w:type="dxa"/>
            <w:vMerge w:val="continue"/>
            <w:tcBorders>
              <w:top w:val="single" w:color="000000" w:sz="8" w:space="0"/>
              <w:left w:val="single" w:color="000000" w:sz="8" w:space="0"/>
              <w:bottom w:val="single" w:color="000000" w:sz="8" w:space="0"/>
              <w:right w:val="single" w:color="000000" w:sz="4" w:space="0"/>
            </w:tcBorders>
            <w:noWrap w:val="0"/>
            <w:vAlign w:val="center"/>
          </w:tcPr>
          <w:p w14:paraId="3C2176D8">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nil"/>
              <w:left w:val="single" w:color="000000" w:sz="4" w:space="0"/>
              <w:bottom w:val="single" w:color="000000" w:sz="4" w:space="0"/>
              <w:right w:val="single" w:color="000000" w:sz="4" w:space="0"/>
            </w:tcBorders>
            <w:noWrap w:val="0"/>
            <w:vAlign w:val="center"/>
          </w:tcPr>
          <w:p w14:paraId="19104FEB">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沉降观测</w:t>
            </w:r>
          </w:p>
        </w:tc>
        <w:tc>
          <w:tcPr>
            <w:tcW w:w="4755" w:type="dxa"/>
            <w:tcBorders>
              <w:top w:val="single" w:color="000000" w:sz="4" w:space="0"/>
              <w:left w:val="single" w:color="000000" w:sz="4" w:space="0"/>
              <w:bottom w:val="single" w:color="000000" w:sz="4" w:space="0"/>
              <w:right w:val="single" w:color="000000" w:sz="8" w:space="0"/>
            </w:tcBorders>
            <w:noWrap w:val="0"/>
            <w:vAlign w:val="center"/>
          </w:tcPr>
          <w:p w14:paraId="3B5EE001">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全桥墩身立柱每处设置不少1点位，基准点设置按需，自行考虑设置，每年一次</w:t>
            </w:r>
          </w:p>
        </w:tc>
      </w:tr>
      <w:tr w14:paraId="1D9DB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single" w:color="000000" w:sz="8" w:space="0"/>
              <w:left w:val="single" w:color="000000" w:sz="8" w:space="0"/>
              <w:bottom w:val="single" w:color="000000" w:sz="8" w:space="0"/>
              <w:right w:val="single" w:color="000000" w:sz="4" w:space="0"/>
            </w:tcBorders>
            <w:noWrap w:val="0"/>
            <w:vAlign w:val="center"/>
          </w:tcPr>
          <w:p w14:paraId="17065FE9">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2BA87C1">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结构（断面）尺寸</w:t>
            </w:r>
          </w:p>
        </w:tc>
        <w:tc>
          <w:tcPr>
            <w:tcW w:w="4755" w:type="dxa"/>
            <w:tcBorders>
              <w:top w:val="single" w:color="000000" w:sz="4" w:space="0"/>
              <w:left w:val="single" w:color="000000" w:sz="4" w:space="0"/>
              <w:bottom w:val="single" w:color="000000" w:sz="4" w:space="0"/>
              <w:right w:val="single" w:color="000000" w:sz="8" w:space="0"/>
            </w:tcBorders>
            <w:noWrap w:val="0"/>
            <w:vAlign w:val="center"/>
          </w:tcPr>
          <w:p w14:paraId="43463387">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76E96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3" w:type="dxa"/>
            <w:vMerge w:val="continue"/>
            <w:tcBorders>
              <w:top w:val="single" w:color="000000" w:sz="8" w:space="0"/>
              <w:left w:val="single" w:color="000000" w:sz="8" w:space="0"/>
              <w:bottom w:val="single" w:color="000000" w:sz="8" w:space="0"/>
              <w:right w:val="single" w:color="000000" w:sz="4" w:space="0"/>
            </w:tcBorders>
            <w:noWrap w:val="0"/>
            <w:vAlign w:val="center"/>
          </w:tcPr>
          <w:p w14:paraId="33C9CE2C">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8" w:space="0"/>
              <w:right w:val="single" w:color="000000" w:sz="4" w:space="0"/>
            </w:tcBorders>
            <w:noWrap w:val="0"/>
            <w:vAlign w:val="center"/>
          </w:tcPr>
          <w:p w14:paraId="7D521509">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结构高程、高差、垂直度</w:t>
            </w:r>
          </w:p>
        </w:tc>
        <w:tc>
          <w:tcPr>
            <w:tcW w:w="4755" w:type="dxa"/>
            <w:tcBorders>
              <w:top w:val="single" w:color="000000" w:sz="4" w:space="0"/>
              <w:left w:val="single" w:color="000000" w:sz="4" w:space="0"/>
              <w:bottom w:val="single" w:color="000000" w:sz="8" w:space="0"/>
              <w:right w:val="single" w:color="000000" w:sz="8" w:space="0"/>
            </w:tcBorders>
            <w:noWrap w:val="0"/>
            <w:vAlign w:val="center"/>
          </w:tcPr>
          <w:p w14:paraId="6D304FAA">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21F3C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restart"/>
            <w:tcBorders>
              <w:top w:val="nil"/>
              <w:left w:val="single" w:color="000000" w:sz="8" w:space="0"/>
              <w:bottom w:val="nil"/>
              <w:right w:val="single" w:color="000000" w:sz="4" w:space="0"/>
            </w:tcBorders>
            <w:noWrap w:val="0"/>
            <w:vAlign w:val="center"/>
          </w:tcPr>
          <w:p w14:paraId="7482A3B8">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瓯海大道主线拼宽段</w:t>
            </w:r>
          </w:p>
        </w:tc>
        <w:tc>
          <w:tcPr>
            <w:tcW w:w="3525" w:type="dxa"/>
            <w:tcBorders>
              <w:top w:val="nil"/>
              <w:left w:val="single" w:color="000000" w:sz="4" w:space="0"/>
              <w:bottom w:val="single" w:color="000000" w:sz="4" w:space="0"/>
              <w:right w:val="single" w:color="000000" w:sz="4" w:space="0"/>
            </w:tcBorders>
            <w:noWrap w:val="0"/>
            <w:vAlign w:val="center"/>
          </w:tcPr>
          <w:p w14:paraId="41841F9F">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常规检测</w:t>
            </w:r>
          </w:p>
        </w:tc>
        <w:tc>
          <w:tcPr>
            <w:tcW w:w="4755" w:type="dxa"/>
            <w:tcBorders>
              <w:top w:val="nil"/>
              <w:left w:val="single" w:color="000000" w:sz="4" w:space="0"/>
              <w:bottom w:val="single" w:color="000000" w:sz="4" w:space="0"/>
              <w:right w:val="single" w:color="000000" w:sz="8" w:space="0"/>
            </w:tcBorders>
            <w:noWrap w:val="0"/>
            <w:vAlign w:val="center"/>
          </w:tcPr>
          <w:p w14:paraId="5BE6E26B">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6B8EB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3" w:type="dxa"/>
            <w:vMerge w:val="continue"/>
            <w:tcBorders>
              <w:top w:val="nil"/>
              <w:left w:val="single" w:color="000000" w:sz="8" w:space="0"/>
              <w:bottom w:val="nil"/>
              <w:right w:val="single" w:color="000000" w:sz="4" w:space="0"/>
            </w:tcBorders>
            <w:noWrap w:val="0"/>
            <w:vAlign w:val="center"/>
          </w:tcPr>
          <w:p w14:paraId="7006779D">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AFE39C6">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裂缝检测</w:t>
            </w:r>
          </w:p>
        </w:tc>
        <w:tc>
          <w:tcPr>
            <w:tcW w:w="4755" w:type="dxa"/>
            <w:tcBorders>
              <w:top w:val="single" w:color="000000" w:sz="4" w:space="0"/>
              <w:left w:val="single" w:color="000000" w:sz="4" w:space="0"/>
              <w:bottom w:val="nil"/>
              <w:right w:val="single" w:color="000000" w:sz="8" w:space="0"/>
            </w:tcBorders>
            <w:noWrap w:val="0"/>
            <w:vAlign w:val="center"/>
          </w:tcPr>
          <w:p w14:paraId="1FBE1967">
            <w:pPr>
              <w:keepNext w:val="0"/>
              <w:keepLines w:val="0"/>
              <w:pageBreakBefore w:val="0"/>
              <w:widowControl/>
              <w:suppressLineNumbers w:val="0"/>
              <w:kinsoku/>
              <w:wordWrap/>
              <w:overflowPunct/>
              <w:topLinePunct w:val="0"/>
              <w:bidi w:val="0"/>
              <w:adjustRightInd/>
              <w:spacing w:line="4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报告中需注明所测裂缝长度，并提出建议</w:t>
            </w:r>
          </w:p>
        </w:tc>
      </w:tr>
      <w:tr w14:paraId="68E78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3" w:type="dxa"/>
            <w:vMerge w:val="continue"/>
            <w:tcBorders>
              <w:top w:val="nil"/>
              <w:left w:val="single" w:color="000000" w:sz="8" w:space="0"/>
              <w:bottom w:val="nil"/>
              <w:right w:val="single" w:color="000000" w:sz="4" w:space="0"/>
            </w:tcBorders>
            <w:noWrap w:val="0"/>
            <w:vAlign w:val="center"/>
          </w:tcPr>
          <w:p w14:paraId="4A8CE822">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E3D85B8">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钢筋保护层</w:t>
            </w:r>
          </w:p>
        </w:tc>
        <w:tc>
          <w:tcPr>
            <w:tcW w:w="4755" w:type="dxa"/>
            <w:vMerge w:val="restart"/>
            <w:tcBorders>
              <w:top w:val="single" w:color="000000" w:sz="4" w:space="0"/>
              <w:left w:val="single" w:color="000000" w:sz="4" w:space="0"/>
              <w:bottom w:val="single" w:color="000000" w:sz="4" w:space="0"/>
              <w:right w:val="single" w:color="000000" w:sz="8" w:space="0"/>
            </w:tcBorders>
            <w:noWrap w:val="0"/>
            <w:vAlign w:val="center"/>
          </w:tcPr>
          <w:p w14:paraId="34F1A5DF">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测区数量不少于墩台总数的20%，每测区包含底板、腹板、墩柱等构件，每个构件每项检测内容的测点数量不少于5个</w:t>
            </w:r>
          </w:p>
        </w:tc>
      </w:tr>
      <w:tr w14:paraId="08BA3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nil"/>
              <w:left w:val="single" w:color="000000" w:sz="8" w:space="0"/>
              <w:bottom w:val="nil"/>
              <w:right w:val="single" w:color="000000" w:sz="4" w:space="0"/>
            </w:tcBorders>
            <w:noWrap w:val="0"/>
            <w:vAlign w:val="center"/>
          </w:tcPr>
          <w:p w14:paraId="5761EDF7">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34D6AE0">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混凝土强度（超声回弹法）</w:t>
            </w:r>
          </w:p>
        </w:tc>
        <w:tc>
          <w:tcPr>
            <w:tcW w:w="4755" w:type="dxa"/>
            <w:vMerge w:val="continue"/>
            <w:tcBorders>
              <w:top w:val="single" w:color="000000" w:sz="4" w:space="0"/>
              <w:left w:val="single" w:color="000000" w:sz="4" w:space="0"/>
              <w:bottom w:val="single" w:color="000000" w:sz="4" w:space="0"/>
              <w:right w:val="single" w:color="000000" w:sz="8" w:space="0"/>
            </w:tcBorders>
            <w:noWrap w:val="0"/>
            <w:vAlign w:val="center"/>
          </w:tcPr>
          <w:p w14:paraId="584CA397">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3F2D5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nil"/>
              <w:left w:val="single" w:color="000000" w:sz="8" w:space="0"/>
              <w:bottom w:val="nil"/>
              <w:right w:val="single" w:color="000000" w:sz="4" w:space="0"/>
            </w:tcBorders>
            <w:noWrap w:val="0"/>
            <w:vAlign w:val="center"/>
          </w:tcPr>
          <w:p w14:paraId="5BC63BCE">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51AA099">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碳化深度</w:t>
            </w:r>
          </w:p>
        </w:tc>
        <w:tc>
          <w:tcPr>
            <w:tcW w:w="4755" w:type="dxa"/>
            <w:vMerge w:val="continue"/>
            <w:tcBorders>
              <w:top w:val="single" w:color="000000" w:sz="4" w:space="0"/>
              <w:left w:val="single" w:color="000000" w:sz="4" w:space="0"/>
              <w:bottom w:val="single" w:color="000000" w:sz="4" w:space="0"/>
              <w:right w:val="single" w:color="000000" w:sz="8" w:space="0"/>
            </w:tcBorders>
            <w:noWrap w:val="0"/>
            <w:vAlign w:val="center"/>
          </w:tcPr>
          <w:p w14:paraId="0F3018C9">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0749C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nil"/>
              <w:left w:val="single" w:color="000000" w:sz="8" w:space="0"/>
              <w:bottom w:val="nil"/>
              <w:right w:val="single" w:color="000000" w:sz="4" w:space="0"/>
            </w:tcBorders>
            <w:noWrap w:val="0"/>
            <w:vAlign w:val="center"/>
          </w:tcPr>
          <w:p w14:paraId="0C703AB4">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5C72A2B">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钢筋锈蚀电位</w:t>
            </w:r>
          </w:p>
        </w:tc>
        <w:tc>
          <w:tcPr>
            <w:tcW w:w="4755" w:type="dxa"/>
            <w:vMerge w:val="continue"/>
            <w:tcBorders>
              <w:top w:val="single" w:color="000000" w:sz="4" w:space="0"/>
              <w:left w:val="single" w:color="000000" w:sz="4" w:space="0"/>
              <w:bottom w:val="single" w:color="000000" w:sz="4" w:space="0"/>
              <w:right w:val="single" w:color="000000" w:sz="8" w:space="0"/>
            </w:tcBorders>
            <w:noWrap w:val="0"/>
            <w:vAlign w:val="center"/>
          </w:tcPr>
          <w:p w14:paraId="48BC9D15">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7DE32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nil"/>
              <w:left w:val="single" w:color="000000" w:sz="8" w:space="0"/>
              <w:bottom w:val="nil"/>
              <w:right w:val="single" w:color="000000" w:sz="4" w:space="0"/>
            </w:tcBorders>
            <w:noWrap w:val="0"/>
            <w:vAlign w:val="center"/>
          </w:tcPr>
          <w:p w14:paraId="70E8E487">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9452921">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混凝土电阻率</w:t>
            </w:r>
          </w:p>
        </w:tc>
        <w:tc>
          <w:tcPr>
            <w:tcW w:w="4755" w:type="dxa"/>
            <w:vMerge w:val="continue"/>
            <w:tcBorders>
              <w:top w:val="single" w:color="000000" w:sz="4" w:space="0"/>
              <w:left w:val="single" w:color="000000" w:sz="4" w:space="0"/>
              <w:bottom w:val="single" w:color="000000" w:sz="4" w:space="0"/>
              <w:right w:val="single" w:color="000000" w:sz="8" w:space="0"/>
            </w:tcBorders>
            <w:noWrap w:val="0"/>
            <w:vAlign w:val="center"/>
          </w:tcPr>
          <w:p w14:paraId="5D68A2B8">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2F46C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nil"/>
              <w:left w:val="single" w:color="000000" w:sz="8" w:space="0"/>
              <w:bottom w:val="nil"/>
              <w:right w:val="single" w:color="000000" w:sz="4" w:space="0"/>
            </w:tcBorders>
            <w:noWrap w:val="0"/>
            <w:vAlign w:val="center"/>
          </w:tcPr>
          <w:p w14:paraId="17387D67">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F9EB81D">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氯离子含量</w:t>
            </w:r>
          </w:p>
        </w:tc>
        <w:tc>
          <w:tcPr>
            <w:tcW w:w="4755" w:type="dxa"/>
            <w:vMerge w:val="continue"/>
            <w:tcBorders>
              <w:top w:val="single" w:color="000000" w:sz="4" w:space="0"/>
              <w:left w:val="single" w:color="000000" w:sz="4" w:space="0"/>
              <w:bottom w:val="single" w:color="000000" w:sz="4" w:space="0"/>
              <w:right w:val="single" w:color="000000" w:sz="8" w:space="0"/>
            </w:tcBorders>
            <w:noWrap w:val="0"/>
            <w:vAlign w:val="center"/>
          </w:tcPr>
          <w:p w14:paraId="32926AF3">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5FA59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nil"/>
              <w:left w:val="single" w:color="000000" w:sz="8" w:space="0"/>
              <w:bottom w:val="nil"/>
              <w:right w:val="single" w:color="000000" w:sz="4" w:space="0"/>
            </w:tcBorders>
            <w:noWrap w:val="0"/>
            <w:vAlign w:val="center"/>
          </w:tcPr>
          <w:p w14:paraId="49643998">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30F8659">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全桥结构检算</w:t>
            </w:r>
          </w:p>
        </w:tc>
        <w:tc>
          <w:tcPr>
            <w:tcW w:w="4755" w:type="dxa"/>
            <w:tcBorders>
              <w:top w:val="single" w:color="000000" w:sz="4" w:space="0"/>
              <w:left w:val="single" w:color="000000" w:sz="4" w:space="0"/>
              <w:bottom w:val="single" w:color="000000" w:sz="4" w:space="0"/>
              <w:right w:val="single" w:color="000000" w:sz="8" w:space="0"/>
            </w:tcBorders>
            <w:noWrap w:val="0"/>
            <w:vAlign w:val="center"/>
          </w:tcPr>
          <w:p w14:paraId="10A5F076">
            <w:pPr>
              <w:keepNext w:val="0"/>
              <w:keepLines w:val="0"/>
              <w:pageBreakBefore w:val="0"/>
              <w:kinsoku/>
              <w:wordWrap/>
              <w:overflowPunct/>
              <w:topLinePunct w:val="0"/>
              <w:bidi w:val="0"/>
              <w:adjustRightInd/>
              <w:spacing w:line="460" w:lineRule="exact"/>
              <w:rPr>
                <w:rFonts w:hint="eastAsia" w:ascii="宋体" w:hAnsi="宋体" w:eastAsia="宋体" w:cs="宋体"/>
                <w:i w:val="0"/>
                <w:iCs w:val="0"/>
                <w:color w:val="auto"/>
                <w:sz w:val="22"/>
                <w:szCs w:val="22"/>
                <w:highlight w:val="none"/>
                <w:u w:val="none"/>
              </w:rPr>
            </w:pPr>
          </w:p>
        </w:tc>
      </w:tr>
      <w:tr w14:paraId="18FDF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nil"/>
              <w:left w:val="single" w:color="000000" w:sz="8" w:space="0"/>
              <w:bottom w:val="nil"/>
              <w:right w:val="single" w:color="000000" w:sz="4" w:space="0"/>
            </w:tcBorders>
            <w:noWrap w:val="0"/>
            <w:vAlign w:val="center"/>
          </w:tcPr>
          <w:p w14:paraId="65B88E37">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nil"/>
              <w:left w:val="single" w:color="000000" w:sz="4" w:space="0"/>
              <w:bottom w:val="single" w:color="000000" w:sz="4" w:space="0"/>
              <w:right w:val="single" w:color="000000" w:sz="4" w:space="0"/>
            </w:tcBorders>
            <w:noWrap w:val="0"/>
            <w:vAlign w:val="center"/>
          </w:tcPr>
          <w:p w14:paraId="153947FC">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梁体线型</w:t>
            </w:r>
          </w:p>
        </w:tc>
        <w:tc>
          <w:tcPr>
            <w:tcW w:w="4755" w:type="dxa"/>
            <w:tcBorders>
              <w:top w:val="single" w:color="000000" w:sz="4" w:space="0"/>
              <w:left w:val="single" w:color="000000" w:sz="4" w:space="0"/>
              <w:bottom w:val="single" w:color="000000" w:sz="4" w:space="0"/>
              <w:right w:val="single" w:color="000000" w:sz="8" w:space="0"/>
            </w:tcBorders>
            <w:noWrap w:val="0"/>
            <w:vAlign w:val="center"/>
          </w:tcPr>
          <w:p w14:paraId="6133BDA2">
            <w:pPr>
              <w:keepNext w:val="0"/>
              <w:keepLines w:val="0"/>
              <w:pageBreakBefore w:val="0"/>
              <w:kinsoku/>
              <w:wordWrap/>
              <w:overflowPunct/>
              <w:topLinePunct w:val="0"/>
              <w:bidi w:val="0"/>
              <w:adjustRightInd/>
              <w:spacing w:line="460" w:lineRule="exact"/>
              <w:rPr>
                <w:rFonts w:hint="eastAsia" w:ascii="宋体" w:hAnsi="宋体" w:eastAsia="宋体" w:cs="宋体"/>
                <w:i w:val="0"/>
                <w:iCs w:val="0"/>
                <w:color w:val="auto"/>
                <w:sz w:val="22"/>
                <w:szCs w:val="22"/>
                <w:highlight w:val="none"/>
                <w:u w:val="none"/>
              </w:rPr>
            </w:pPr>
          </w:p>
        </w:tc>
      </w:tr>
      <w:tr w14:paraId="05991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133" w:type="dxa"/>
            <w:vMerge w:val="continue"/>
            <w:tcBorders>
              <w:top w:val="nil"/>
              <w:left w:val="single" w:color="000000" w:sz="8" w:space="0"/>
              <w:bottom w:val="nil"/>
              <w:right w:val="single" w:color="000000" w:sz="4" w:space="0"/>
            </w:tcBorders>
            <w:noWrap w:val="0"/>
            <w:vAlign w:val="center"/>
          </w:tcPr>
          <w:p w14:paraId="1F1AA5BB">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BCAE052">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隔音屏</w:t>
            </w:r>
          </w:p>
        </w:tc>
        <w:tc>
          <w:tcPr>
            <w:tcW w:w="4755" w:type="dxa"/>
            <w:tcBorders>
              <w:top w:val="single" w:color="000000" w:sz="4" w:space="0"/>
              <w:left w:val="single" w:color="000000" w:sz="4" w:space="0"/>
              <w:bottom w:val="single" w:color="000000" w:sz="4" w:space="0"/>
              <w:right w:val="single" w:color="000000" w:sz="8" w:space="0"/>
            </w:tcBorders>
            <w:noWrap w:val="0"/>
            <w:vAlign w:val="center"/>
          </w:tcPr>
          <w:p w14:paraId="11E13009">
            <w:pPr>
              <w:keepNext w:val="0"/>
              <w:keepLines w:val="0"/>
              <w:pageBreakBefore w:val="0"/>
              <w:widowControl/>
              <w:suppressLineNumbers w:val="0"/>
              <w:kinsoku/>
              <w:wordWrap/>
              <w:overflowPunct/>
              <w:topLinePunct w:val="0"/>
              <w:bidi w:val="0"/>
              <w:adjustRightInd/>
              <w:spacing w:line="4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每年一次。声屏障严重松动和卡扣缺失、内衬结构完好情况及玻璃破裂等问题。需进行外观检测、结构防腐检测、基础强度检测，检测构件数相关规范要求</w:t>
            </w:r>
          </w:p>
        </w:tc>
      </w:tr>
      <w:tr w14:paraId="6C6B2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33" w:type="dxa"/>
            <w:vMerge w:val="continue"/>
            <w:tcBorders>
              <w:top w:val="nil"/>
              <w:left w:val="single" w:color="000000" w:sz="8" w:space="0"/>
              <w:bottom w:val="nil"/>
              <w:right w:val="single" w:color="000000" w:sz="4" w:space="0"/>
            </w:tcBorders>
            <w:noWrap w:val="0"/>
            <w:vAlign w:val="center"/>
          </w:tcPr>
          <w:p w14:paraId="04BC7011">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617AE5A">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沉降观测</w:t>
            </w:r>
          </w:p>
        </w:tc>
        <w:tc>
          <w:tcPr>
            <w:tcW w:w="4755" w:type="dxa"/>
            <w:tcBorders>
              <w:top w:val="single" w:color="000000" w:sz="4" w:space="0"/>
              <w:left w:val="single" w:color="000000" w:sz="4" w:space="0"/>
              <w:bottom w:val="single" w:color="000000" w:sz="4" w:space="0"/>
              <w:right w:val="single" w:color="000000" w:sz="8" w:space="0"/>
            </w:tcBorders>
            <w:noWrap w:val="0"/>
            <w:vAlign w:val="center"/>
          </w:tcPr>
          <w:p w14:paraId="18F15166">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全桥墩身立柱每处设置不少1点位，基准点设置按需，自行考虑设置，每年一次</w:t>
            </w:r>
          </w:p>
        </w:tc>
      </w:tr>
      <w:tr w14:paraId="0BD4B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nil"/>
              <w:left w:val="single" w:color="000000" w:sz="8" w:space="0"/>
              <w:bottom w:val="nil"/>
              <w:right w:val="single" w:color="000000" w:sz="4" w:space="0"/>
            </w:tcBorders>
            <w:noWrap w:val="0"/>
            <w:vAlign w:val="center"/>
          </w:tcPr>
          <w:p w14:paraId="24829B67">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D81DAC2">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结构（断面）尺寸</w:t>
            </w:r>
          </w:p>
        </w:tc>
        <w:tc>
          <w:tcPr>
            <w:tcW w:w="4755" w:type="dxa"/>
            <w:tcBorders>
              <w:top w:val="single" w:color="000000" w:sz="4" w:space="0"/>
              <w:left w:val="single" w:color="000000" w:sz="4" w:space="0"/>
              <w:bottom w:val="single" w:color="000000" w:sz="4" w:space="0"/>
              <w:right w:val="single" w:color="000000" w:sz="8" w:space="0"/>
            </w:tcBorders>
            <w:noWrap w:val="0"/>
            <w:vAlign w:val="center"/>
          </w:tcPr>
          <w:p w14:paraId="5DDE3D3E">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65947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3" w:type="dxa"/>
            <w:vMerge w:val="continue"/>
            <w:tcBorders>
              <w:top w:val="nil"/>
              <w:left w:val="single" w:color="000000" w:sz="8" w:space="0"/>
              <w:bottom w:val="nil"/>
              <w:right w:val="single" w:color="000000" w:sz="4" w:space="0"/>
            </w:tcBorders>
            <w:noWrap w:val="0"/>
            <w:vAlign w:val="center"/>
          </w:tcPr>
          <w:p w14:paraId="09A94B02">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nil"/>
              <w:right w:val="single" w:color="000000" w:sz="4" w:space="0"/>
            </w:tcBorders>
            <w:noWrap w:val="0"/>
            <w:vAlign w:val="center"/>
          </w:tcPr>
          <w:p w14:paraId="312D96A0">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结构高程、高差、垂直度</w:t>
            </w:r>
          </w:p>
        </w:tc>
        <w:tc>
          <w:tcPr>
            <w:tcW w:w="4755" w:type="dxa"/>
            <w:tcBorders>
              <w:top w:val="single" w:color="000000" w:sz="4" w:space="0"/>
              <w:left w:val="single" w:color="000000" w:sz="4" w:space="0"/>
              <w:bottom w:val="nil"/>
              <w:right w:val="single" w:color="000000" w:sz="8" w:space="0"/>
            </w:tcBorders>
            <w:noWrap w:val="0"/>
            <w:vAlign w:val="center"/>
          </w:tcPr>
          <w:p w14:paraId="16703E0B">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5FFBE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restart"/>
            <w:tcBorders>
              <w:top w:val="single" w:color="000000" w:sz="8" w:space="0"/>
              <w:left w:val="single" w:color="000000" w:sz="8" w:space="0"/>
              <w:bottom w:val="single" w:color="000000" w:sz="4" w:space="0"/>
              <w:right w:val="single" w:color="000000" w:sz="4" w:space="0"/>
            </w:tcBorders>
            <w:noWrap w:val="0"/>
            <w:vAlign w:val="center"/>
          </w:tcPr>
          <w:p w14:paraId="4F996BB2">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范围内所有匝道</w:t>
            </w:r>
          </w:p>
        </w:tc>
        <w:tc>
          <w:tcPr>
            <w:tcW w:w="3525" w:type="dxa"/>
            <w:tcBorders>
              <w:top w:val="single" w:color="000000" w:sz="8" w:space="0"/>
              <w:left w:val="single" w:color="000000" w:sz="4" w:space="0"/>
              <w:bottom w:val="single" w:color="000000" w:sz="4" w:space="0"/>
              <w:right w:val="single" w:color="000000" w:sz="4" w:space="0"/>
            </w:tcBorders>
            <w:noWrap w:val="0"/>
            <w:vAlign w:val="center"/>
          </w:tcPr>
          <w:p w14:paraId="155554EC">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常规检测</w:t>
            </w:r>
          </w:p>
        </w:tc>
        <w:tc>
          <w:tcPr>
            <w:tcW w:w="4755" w:type="dxa"/>
            <w:tcBorders>
              <w:top w:val="single" w:color="000000" w:sz="8" w:space="0"/>
              <w:left w:val="single" w:color="000000" w:sz="4" w:space="0"/>
              <w:bottom w:val="single" w:color="000000" w:sz="4" w:space="0"/>
              <w:right w:val="single" w:color="000000" w:sz="8" w:space="0"/>
            </w:tcBorders>
            <w:noWrap w:val="0"/>
            <w:vAlign w:val="center"/>
          </w:tcPr>
          <w:p w14:paraId="6F5BE5EF">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173FA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single" w:color="000000" w:sz="8" w:space="0"/>
              <w:left w:val="single" w:color="000000" w:sz="8" w:space="0"/>
              <w:bottom w:val="single" w:color="000000" w:sz="4" w:space="0"/>
              <w:right w:val="single" w:color="000000" w:sz="4" w:space="0"/>
            </w:tcBorders>
            <w:noWrap w:val="0"/>
            <w:vAlign w:val="center"/>
          </w:tcPr>
          <w:p w14:paraId="10A9BBBE">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87278AF">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裂缝检测</w:t>
            </w:r>
          </w:p>
        </w:tc>
        <w:tc>
          <w:tcPr>
            <w:tcW w:w="4755" w:type="dxa"/>
            <w:tcBorders>
              <w:top w:val="single" w:color="000000" w:sz="4" w:space="0"/>
              <w:left w:val="single" w:color="000000" w:sz="4" w:space="0"/>
              <w:bottom w:val="single" w:color="000000" w:sz="4" w:space="0"/>
              <w:right w:val="single" w:color="000000" w:sz="8" w:space="0"/>
            </w:tcBorders>
            <w:noWrap w:val="0"/>
            <w:vAlign w:val="center"/>
          </w:tcPr>
          <w:p w14:paraId="7EA7EEEF">
            <w:pPr>
              <w:keepNext w:val="0"/>
              <w:keepLines w:val="0"/>
              <w:pageBreakBefore w:val="0"/>
              <w:widowControl/>
              <w:suppressLineNumbers w:val="0"/>
              <w:kinsoku/>
              <w:wordWrap/>
              <w:overflowPunct/>
              <w:topLinePunct w:val="0"/>
              <w:bidi w:val="0"/>
              <w:adjustRightInd/>
              <w:spacing w:line="4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报告中需注明所测裂缝长度，并提出建议</w:t>
            </w:r>
          </w:p>
        </w:tc>
      </w:tr>
      <w:tr w14:paraId="3DAFE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single" w:color="000000" w:sz="8" w:space="0"/>
              <w:left w:val="single" w:color="000000" w:sz="8" w:space="0"/>
              <w:bottom w:val="single" w:color="000000" w:sz="4" w:space="0"/>
              <w:right w:val="single" w:color="000000" w:sz="4" w:space="0"/>
            </w:tcBorders>
            <w:noWrap w:val="0"/>
            <w:vAlign w:val="center"/>
          </w:tcPr>
          <w:p w14:paraId="52AD0E31">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6A3F53A">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钢筋保护层</w:t>
            </w:r>
          </w:p>
        </w:tc>
        <w:tc>
          <w:tcPr>
            <w:tcW w:w="4755" w:type="dxa"/>
            <w:vMerge w:val="restart"/>
            <w:tcBorders>
              <w:top w:val="single" w:color="000000" w:sz="4" w:space="0"/>
              <w:left w:val="single" w:color="000000" w:sz="4" w:space="0"/>
              <w:bottom w:val="single" w:color="000000" w:sz="4" w:space="0"/>
              <w:right w:val="single" w:color="000000" w:sz="8" w:space="0"/>
            </w:tcBorders>
            <w:noWrap w:val="0"/>
            <w:vAlign w:val="center"/>
          </w:tcPr>
          <w:p w14:paraId="6132F34B">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测区数量不少于墩台总数的20%，每测区包含底板、腹板、墩柱等构件，每个构件每项检测内容的测点数量不少于5个</w:t>
            </w:r>
          </w:p>
        </w:tc>
      </w:tr>
      <w:tr w14:paraId="14BAB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single" w:color="000000" w:sz="8" w:space="0"/>
              <w:left w:val="single" w:color="000000" w:sz="8" w:space="0"/>
              <w:bottom w:val="single" w:color="000000" w:sz="4" w:space="0"/>
              <w:right w:val="single" w:color="000000" w:sz="4" w:space="0"/>
            </w:tcBorders>
            <w:noWrap w:val="0"/>
            <w:vAlign w:val="center"/>
          </w:tcPr>
          <w:p w14:paraId="05B66B3E">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8B8928A">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混凝土强度（超声回弹法）</w:t>
            </w:r>
          </w:p>
        </w:tc>
        <w:tc>
          <w:tcPr>
            <w:tcW w:w="4755" w:type="dxa"/>
            <w:vMerge w:val="continue"/>
            <w:tcBorders>
              <w:top w:val="single" w:color="000000" w:sz="4" w:space="0"/>
              <w:left w:val="single" w:color="000000" w:sz="4" w:space="0"/>
              <w:bottom w:val="single" w:color="000000" w:sz="4" w:space="0"/>
              <w:right w:val="single" w:color="000000" w:sz="8" w:space="0"/>
            </w:tcBorders>
            <w:noWrap w:val="0"/>
            <w:vAlign w:val="center"/>
          </w:tcPr>
          <w:p w14:paraId="76A1CB4B">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10B72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single" w:color="000000" w:sz="8" w:space="0"/>
              <w:left w:val="single" w:color="000000" w:sz="8" w:space="0"/>
              <w:bottom w:val="single" w:color="000000" w:sz="4" w:space="0"/>
              <w:right w:val="single" w:color="000000" w:sz="4" w:space="0"/>
            </w:tcBorders>
            <w:noWrap w:val="0"/>
            <w:vAlign w:val="center"/>
          </w:tcPr>
          <w:p w14:paraId="0BFB12CE">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A921729">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碳化深度</w:t>
            </w:r>
          </w:p>
        </w:tc>
        <w:tc>
          <w:tcPr>
            <w:tcW w:w="4755" w:type="dxa"/>
            <w:vMerge w:val="continue"/>
            <w:tcBorders>
              <w:top w:val="single" w:color="000000" w:sz="4" w:space="0"/>
              <w:left w:val="single" w:color="000000" w:sz="4" w:space="0"/>
              <w:bottom w:val="single" w:color="000000" w:sz="4" w:space="0"/>
              <w:right w:val="single" w:color="000000" w:sz="8" w:space="0"/>
            </w:tcBorders>
            <w:noWrap w:val="0"/>
            <w:vAlign w:val="center"/>
          </w:tcPr>
          <w:p w14:paraId="39694357">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4C2B0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single" w:color="000000" w:sz="8" w:space="0"/>
              <w:left w:val="single" w:color="000000" w:sz="8" w:space="0"/>
              <w:bottom w:val="single" w:color="000000" w:sz="4" w:space="0"/>
              <w:right w:val="single" w:color="000000" w:sz="4" w:space="0"/>
            </w:tcBorders>
            <w:noWrap w:val="0"/>
            <w:vAlign w:val="center"/>
          </w:tcPr>
          <w:p w14:paraId="237FCD69">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E97AEEC">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钢筋锈蚀电位</w:t>
            </w:r>
          </w:p>
        </w:tc>
        <w:tc>
          <w:tcPr>
            <w:tcW w:w="4755" w:type="dxa"/>
            <w:vMerge w:val="continue"/>
            <w:tcBorders>
              <w:top w:val="single" w:color="000000" w:sz="4" w:space="0"/>
              <w:left w:val="single" w:color="000000" w:sz="4" w:space="0"/>
              <w:bottom w:val="single" w:color="000000" w:sz="4" w:space="0"/>
              <w:right w:val="single" w:color="000000" w:sz="8" w:space="0"/>
            </w:tcBorders>
            <w:noWrap w:val="0"/>
            <w:vAlign w:val="center"/>
          </w:tcPr>
          <w:p w14:paraId="20EBDC3D">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659F4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single" w:color="000000" w:sz="8" w:space="0"/>
              <w:left w:val="single" w:color="000000" w:sz="8" w:space="0"/>
              <w:bottom w:val="single" w:color="000000" w:sz="4" w:space="0"/>
              <w:right w:val="single" w:color="000000" w:sz="4" w:space="0"/>
            </w:tcBorders>
            <w:noWrap w:val="0"/>
            <w:vAlign w:val="center"/>
          </w:tcPr>
          <w:p w14:paraId="3B6CE432">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AE484A4">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混凝土电阻率</w:t>
            </w:r>
          </w:p>
        </w:tc>
        <w:tc>
          <w:tcPr>
            <w:tcW w:w="4755" w:type="dxa"/>
            <w:vMerge w:val="continue"/>
            <w:tcBorders>
              <w:top w:val="single" w:color="000000" w:sz="4" w:space="0"/>
              <w:left w:val="single" w:color="000000" w:sz="4" w:space="0"/>
              <w:bottom w:val="single" w:color="000000" w:sz="4" w:space="0"/>
              <w:right w:val="single" w:color="000000" w:sz="8" w:space="0"/>
            </w:tcBorders>
            <w:noWrap w:val="0"/>
            <w:vAlign w:val="center"/>
          </w:tcPr>
          <w:p w14:paraId="09E5A2EA">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7A363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single" w:color="000000" w:sz="8" w:space="0"/>
              <w:left w:val="single" w:color="000000" w:sz="8" w:space="0"/>
              <w:bottom w:val="single" w:color="000000" w:sz="4" w:space="0"/>
              <w:right w:val="single" w:color="000000" w:sz="4" w:space="0"/>
            </w:tcBorders>
            <w:noWrap w:val="0"/>
            <w:vAlign w:val="center"/>
          </w:tcPr>
          <w:p w14:paraId="47AE3C84">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282C3A2">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氯离子含量</w:t>
            </w:r>
          </w:p>
        </w:tc>
        <w:tc>
          <w:tcPr>
            <w:tcW w:w="4755" w:type="dxa"/>
            <w:vMerge w:val="continue"/>
            <w:tcBorders>
              <w:top w:val="single" w:color="000000" w:sz="4" w:space="0"/>
              <w:left w:val="single" w:color="000000" w:sz="4" w:space="0"/>
              <w:bottom w:val="single" w:color="000000" w:sz="4" w:space="0"/>
              <w:right w:val="single" w:color="000000" w:sz="8" w:space="0"/>
            </w:tcBorders>
            <w:noWrap w:val="0"/>
            <w:vAlign w:val="center"/>
          </w:tcPr>
          <w:p w14:paraId="59353949">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09D17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3" w:type="dxa"/>
            <w:vMerge w:val="continue"/>
            <w:tcBorders>
              <w:top w:val="single" w:color="000000" w:sz="8" w:space="0"/>
              <w:left w:val="single" w:color="000000" w:sz="8" w:space="0"/>
              <w:bottom w:val="single" w:color="000000" w:sz="8" w:space="0"/>
              <w:right w:val="single" w:color="000000" w:sz="4" w:space="0"/>
            </w:tcBorders>
            <w:noWrap w:val="0"/>
            <w:vAlign w:val="center"/>
          </w:tcPr>
          <w:p w14:paraId="6C6819E7">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DE02C7F">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结构（断面）尺寸</w:t>
            </w:r>
          </w:p>
        </w:tc>
        <w:tc>
          <w:tcPr>
            <w:tcW w:w="4755" w:type="dxa"/>
            <w:tcBorders>
              <w:top w:val="single" w:color="000000" w:sz="4" w:space="0"/>
              <w:left w:val="single" w:color="000000" w:sz="4" w:space="0"/>
              <w:bottom w:val="single" w:color="000000" w:sz="4" w:space="0"/>
              <w:right w:val="single" w:color="000000" w:sz="8" w:space="0"/>
            </w:tcBorders>
            <w:noWrap w:val="0"/>
            <w:vAlign w:val="center"/>
          </w:tcPr>
          <w:p w14:paraId="1CDC3746">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00435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3" w:type="dxa"/>
            <w:tcBorders>
              <w:top w:val="single" w:color="000000" w:sz="8" w:space="0"/>
              <w:left w:val="single" w:color="000000" w:sz="8" w:space="0"/>
              <w:bottom w:val="single" w:color="000000" w:sz="8" w:space="0"/>
              <w:right w:val="single" w:color="000000" w:sz="4" w:space="0"/>
            </w:tcBorders>
            <w:noWrap w:val="0"/>
            <w:vAlign w:val="center"/>
          </w:tcPr>
          <w:p w14:paraId="65960D44">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t>全部范围</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19404EB">
            <w:pPr>
              <w:keepNext w:val="0"/>
              <w:keepLines w:val="0"/>
              <w:pageBreakBefore w:val="0"/>
              <w:widowControl/>
              <w:suppressLineNumbers w:val="0"/>
              <w:kinsoku/>
              <w:wordWrap/>
              <w:overflowPunct/>
              <w:topLinePunct w:val="0"/>
              <w:bidi w:val="0"/>
              <w:adjustRightInd/>
              <w:spacing w:line="460" w:lineRule="exact"/>
              <w:jc w:val="center"/>
              <w:textAlignment w:val="center"/>
              <w:rPr>
                <w:rStyle w:val="335"/>
                <w:rFonts w:hint="eastAsia" w:ascii="宋体" w:hAnsi="宋体" w:eastAsia="宋体" w:cs="宋体"/>
                <w:color w:val="auto"/>
                <w:sz w:val="22"/>
                <w:szCs w:val="22"/>
                <w:highlight w:val="none"/>
                <w:lang w:val="en-US" w:eastAsia="zh-CN" w:bidi="ar"/>
              </w:rPr>
            </w:pPr>
            <w:r>
              <w:rPr>
                <w:rStyle w:val="335"/>
                <w:rFonts w:hint="eastAsia" w:ascii="宋体" w:hAnsi="宋体" w:eastAsia="宋体" w:cs="宋体"/>
                <w:color w:val="auto"/>
                <w:sz w:val="22"/>
                <w:szCs w:val="22"/>
                <w:highlight w:val="none"/>
                <w:lang w:val="en-US" w:eastAsia="zh-CN" w:bidi="ar"/>
              </w:rPr>
              <w:t>进行三维倾斜测量并进行三维建模</w:t>
            </w:r>
          </w:p>
        </w:tc>
        <w:tc>
          <w:tcPr>
            <w:tcW w:w="4755" w:type="dxa"/>
            <w:tcBorders>
              <w:top w:val="single" w:color="000000" w:sz="4" w:space="0"/>
              <w:left w:val="single" w:color="000000" w:sz="4" w:space="0"/>
              <w:bottom w:val="single" w:color="000000" w:sz="4" w:space="0"/>
              <w:right w:val="single" w:color="000000" w:sz="8" w:space="0"/>
            </w:tcBorders>
            <w:noWrap w:val="0"/>
            <w:vAlign w:val="center"/>
          </w:tcPr>
          <w:p w14:paraId="18029096">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rPr>
              <w:t>通过不同角度和方向拍摄照片的技术，利用这些照片生成高精度的三维模型。通过对于三维模型的分析得到原桥的相应表观数据。</w:t>
            </w:r>
            <w:r>
              <w:rPr>
                <w:rFonts w:hint="eastAsia" w:ascii="宋体" w:hAnsi="宋体" w:eastAsia="宋体" w:cs="宋体"/>
                <w:i w:val="0"/>
                <w:iCs w:val="0"/>
                <w:color w:val="auto"/>
                <w:sz w:val="22"/>
                <w:szCs w:val="22"/>
                <w:highlight w:val="none"/>
                <w:u w:val="none"/>
                <w:lang w:eastAsia="zh-CN"/>
              </w:rPr>
              <w:t>（包括温州南互通匝道、瓯海大道互通匝道）</w:t>
            </w:r>
          </w:p>
        </w:tc>
      </w:tr>
      <w:tr w14:paraId="5C896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3" w:type="dxa"/>
            <w:tcBorders>
              <w:top w:val="single" w:color="000000" w:sz="8" w:space="0"/>
              <w:left w:val="single" w:color="000000" w:sz="8" w:space="0"/>
              <w:bottom w:val="single" w:color="000000" w:sz="4" w:space="0"/>
              <w:right w:val="single" w:color="000000" w:sz="4" w:space="0"/>
            </w:tcBorders>
            <w:noWrap w:val="0"/>
            <w:vAlign w:val="center"/>
          </w:tcPr>
          <w:p w14:paraId="0782A0B1">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t>备注</w:t>
            </w:r>
          </w:p>
        </w:tc>
        <w:tc>
          <w:tcPr>
            <w:tcW w:w="8280" w:type="dxa"/>
            <w:gridSpan w:val="2"/>
            <w:tcBorders>
              <w:top w:val="single" w:color="000000" w:sz="4" w:space="0"/>
              <w:left w:val="single" w:color="000000" w:sz="4" w:space="0"/>
              <w:bottom w:val="single" w:color="000000" w:sz="8" w:space="0"/>
              <w:right w:val="single" w:color="000000" w:sz="8" w:space="0"/>
            </w:tcBorders>
            <w:noWrap w:val="0"/>
            <w:vAlign w:val="center"/>
          </w:tcPr>
          <w:p w14:paraId="5FBD8D57">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i w:val="0"/>
                <w:iCs w:val="0"/>
                <w:color w:val="auto"/>
                <w:sz w:val="22"/>
                <w:szCs w:val="22"/>
                <w:highlight w:val="none"/>
                <w:lang w:val="en-US" w:eastAsia="zh-CN" w:bidi="ar"/>
              </w:rPr>
              <w:t>需在服务合同签订后90日历天内完成全部检测工作（包括配合甲方组织专家评审会、通过履约验收）</w:t>
            </w:r>
          </w:p>
        </w:tc>
      </w:tr>
    </w:tbl>
    <w:p w14:paraId="3140EE75">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lang w:val="en-US" w:eastAsia="zh-CN"/>
        </w:rPr>
      </w:pPr>
    </w:p>
    <w:p w14:paraId="5AFE42A6">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2" w:firstLineChars="200"/>
        <w:textAlignment w:val="auto"/>
      </w:pPr>
      <w:r>
        <w:rPr>
          <w:rFonts w:hint="eastAsia" w:ascii="宋体" w:hAnsi="宋体" w:eastAsia="宋体" w:cs="宋体"/>
          <w:b/>
          <w:bCs/>
          <w:color w:val="auto"/>
          <w:sz w:val="22"/>
          <w:szCs w:val="22"/>
          <w:highlight w:val="none"/>
          <w:u w:val="none"/>
          <w:lang w:val="en-US" w:eastAsia="zh-CN"/>
        </w:rPr>
        <w:t>▲7.3定期检测（</w:t>
      </w:r>
      <w:r>
        <w:rPr>
          <w:rFonts w:hint="eastAsia" w:ascii="宋体" w:hAnsi="宋体" w:eastAsia="宋体" w:cs="宋体"/>
          <w:b/>
          <w:bCs/>
          <w:color w:val="auto"/>
          <w:sz w:val="22"/>
          <w:szCs w:val="22"/>
          <w:highlight w:val="none"/>
          <w:lang w:val="en-US" w:eastAsia="zh-CN"/>
        </w:rPr>
        <w:t>桥梁</w:t>
      </w:r>
      <w:r>
        <w:rPr>
          <w:rFonts w:hint="eastAsia" w:ascii="宋体" w:hAnsi="宋体" w:eastAsia="宋体" w:cs="宋体"/>
          <w:b/>
          <w:bCs/>
          <w:color w:val="auto"/>
          <w:sz w:val="22"/>
          <w:szCs w:val="22"/>
          <w:highlight w:val="none"/>
          <w:u w:val="none"/>
          <w:lang w:val="en-US" w:eastAsia="zh-CN"/>
        </w:rPr>
        <w:t>常规定期和结构定期检测）</w:t>
      </w:r>
    </w:p>
    <w:p w14:paraId="3928499C">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lang w:val="en-US" w:eastAsia="zh-CN"/>
        </w:rPr>
      </w:pPr>
      <w:r>
        <w:rPr>
          <w:rFonts w:hint="eastAsia"/>
          <w:sz w:val="22"/>
          <w:szCs w:val="22"/>
          <w:lang w:val="en-US" w:eastAsia="zh-CN"/>
        </w:rPr>
        <w:t>标单位或分包企业一家单位必须同时具有（1、3）或（2、3）资格：</w:t>
      </w:r>
    </w:p>
    <w:p w14:paraId="3F2937D9">
      <w:pPr>
        <w:pStyle w:val="4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color w:val="auto"/>
          <w:sz w:val="22"/>
          <w:szCs w:val="22"/>
          <w:highlight w:val="none"/>
        </w:rPr>
      </w:pPr>
      <w:r>
        <w:rPr>
          <w:rFonts w:hint="eastAsia" w:cs="宋体"/>
          <w:b w:val="0"/>
          <w:bCs w:val="0"/>
          <w:color w:val="auto"/>
          <w:sz w:val="22"/>
          <w:szCs w:val="22"/>
          <w:highlight w:val="none"/>
          <w:u w:val="none"/>
          <w:lang w:val="en-US" w:eastAsia="zh-CN"/>
        </w:rPr>
        <w:t>（1）</w:t>
      </w:r>
      <w:r>
        <w:rPr>
          <w:rFonts w:hint="eastAsia" w:ascii="宋体" w:hAnsi="宋体" w:eastAsia="宋体" w:cs="宋体"/>
          <w:b w:val="0"/>
          <w:bCs w:val="0"/>
          <w:color w:val="auto"/>
          <w:sz w:val="22"/>
          <w:szCs w:val="22"/>
          <w:highlight w:val="none"/>
          <w:u w:val="none"/>
          <w:lang w:val="en-US" w:eastAsia="zh-CN"/>
        </w:rPr>
        <w:t>具有省级及以上建设主管部门颁发的建设工程质量检测机构资质：有效的市政桥梁检测资质或桥梁与地下工程专项检测资质或检测机构综合资质；</w:t>
      </w:r>
    </w:p>
    <w:p w14:paraId="066C9D32">
      <w:pPr>
        <w:pStyle w:val="4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ascii="宋体" w:hAnsi="宋体" w:cs="宋体"/>
          <w:b w:val="0"/>
          <w:bCs w:val="0"/>
          <w:color w:val="auto"/>
          <w:sz w:val="22"/>
          <w:szCs w:val="22"/>
          <w:highlight w:val="none"/>
          <w:u w:val="none"/>
          <w:lang w:val="en-US" w:eastAsia="zh-CN"/>
        </w:rPr>
      </w:pPr>
      <w:r>
        <w:rPr>
          <w:rFonts w:hint="eastAsia" w:cs="宋体"/>
          <w:b w:val="0"/>
          <w:bCs w:val="0"/>
          <w:color w:val="auto"/>
          <w:sz w:val="22"/>
          <w:szCs w:val="22"/>
          <w:highlight w:val="none"/>
          <w:u w:val="none"/>
          <w:lang w:val="en-US" w:eastAsia="zh-CN"/>
        </w:rPr>
        <w:t>（2）具有交通运输部门颁发的公路工程试验检测综合甲级资质或公路工程桥梁隧道工程专项检测资质</w:t>
      </w:r>
      <w:r>
        <w:rPr>
          <w:rFonts w:hint="eastAsia" w:ascii="宋体" w:hAnsi="宋体" w:cs="宋体"/>
          <w:b w:val="0"/>
          <w:bCs w:val="0"/>
          <w:color w:val="auto"/>
          <w:sz w:val="22"/>
          <w:szCs w:val="22"/>
          <w:highlight w:val="none"/>
          <w:u w:val="none"/>
          <w:lang w:val="en-US" w:eastAsia="zh-CN"/>
        </w:rPr>
        <w:t>，独立法人单位下属的非独立法人具有检测资质的视为该独立法人单位具有相应资质（证书需在有效期内，资质证书已到期，但在公路水运工程质量检测管理信息系统（https://www.ttiis.cn/）中相关证书状态显示有效的，本次投标予以认可。）</w:t>
      </w:r>
      <w:r>
        <w:rPr>
          <w:rFonts w:hint="eastAsia" w:cs="宋体"/>
          <w:b w:val="0"/>
          <w:bCs w:val="0"/>
          <w:color w:val="auto"/>
          <w:sz w:val="22"/>
          <w:szCs w:val="22"/>
          <w:highlight w:val="none"/>
          <w:u w:val="none"/>
          <w:lang w:val="en-US" w:eastAsia="zh-CN"/>
        </w:rPr>
        <w:t xml:space="preserve"> </w:t>
      </w:r>
    </w:p>
    <w:p w14:paraId="1ED02800">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cs="宋体"/>
          <w:b w:val="0"/>
          <w:bCs w:val="0"/>
          <w:color w:val="auto"/>
          <w:sz w:val="22"/>
          <w:szCs w:val="22"/>
          <w:highlight w:val="none"/>
          <w:u w:val="none"/>
          <w:lang w:val="en-US" w:eastAsia="zh-CN"/>
        </w:rPr>
      </w:pPr>
      <w:r>
        <w:rPr>
          <w:rFonts w:hint="eastAsia" w:cs="宋体"/>
          <w:b w:val="0"/>
          <w:bCs w:val="0"/>
          <w:color w:val="auto"/>
          <w:sz w:val="22"/>
          <w:szCs w:val="22"/>
          <w:highlight w:val="none"/>
          <w:u w:val="none"/>
          <w:lang w:val="en-US" w:eastAsia="zh-CN"/>
        </w:rPr>
        <w:t>（3）</w:t>
      </w:r>
      <w:r>
        <w:rPr>
          <w:rFonts w:hint="eastAsia" w:ascii="宋体" w:hAnsi="宋体" w:eastAsia="宋体" w:cs="宋体"/>
          <w:b w:val="0"/>
          <w:bCs w:val="0"/>
          <w:color w:val="auto"/>
          <w:sz w:val="22"/>
          <w:szCs w:val="22"/>
          <w:highlight w:val="none"/>
          <w:u w:val="none"/>
          <w:lang w:val="en-US" w:eastAsia="zh-CN"/>
        </w:rPr>
        <w:t>具有省级及以上计量主管部门颁发的有效CMA计量认证证书和含有桥梁检测相关项目的有效CMA计量认证证书附表</w:t>
      </w:r>
      <w:r>
        <w:rPr>
          <w:rFonts w:hint="eastAsia" w:ascii="宋体" w:hAnsi="宋体" w:cs="宋体"/>
          <w:b w:val="0"/>
          <w:bCs w:val="0"/>
          <w:color w:val="auto"/>
          <w:sz w:val="22"/>
          <w:szCs w:val="22"/>
          <w:highlight w:val="none"/>
          <w:u w:val="none"/>
          <w:lang w:val="en-US" w:eastAsia="zh-CN"/>
        </w:rPr>
        <w:t>；</w:t>
      </w:r>
    </w:p>
    <w:p w14:paraId="38958645">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42" w:firstLineChars="200"/>
        <w:textAlignment w:val="auto"/>
        <w:rPr>
          <w:rFonts w:hint="eastAsia" w:ascii="宋体" w:hAnsi="宋体" w:eastAsia="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u w:val="none"/>
          <w:lang w:val="en-US" w:eastAsia="zh-CN"/>
        </w:rPr>
        <w:t>投标人自身不具备以上资质的，允许分包给有相应资质的单位，并在投标时提供分包意向协议。</w:t>
      </w:r>
    </w:p>
    <w:p w14:paraId="768A21ED">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42" w:firstLineChars="200"/>
        <w:textAlignment w:val="auto"/>
        <w:rPr>
          <w:rFonts w:hint="eastAsia" w:ascii="宋体" w:hAnsi="宋体" w:eastAsia="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u w:val="none"/>
          <w:lang w:val="en-US" w:eastAsia="zh-CN"/>
        </w:rPr>
        <w:t>7.4定期检测成果要求：需在服务合同签订后90日历天内完成全部检测工作（包括配合甲方组织专家评审会、通过履约验收），完善设施档案资料，将检测范围内的设施基本信息（包含桥梁坐标信息）及检测结果录入采购人指定的信息管理系统并对原数据进行校对更新，格式以系统格式为准。检测报告信息错误、未按照约定检测依据进行检测或者检测结论判断错误的，乙方应进行更正或免费重新进行检测，给甲方造成损失的应予以赔偿，由甲方原因造成上述错误的除外。</w:t>
      </w:r>
    </w:p>
    <w:p w14:paraId="1849DEB5">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42" w:firstLineChars="200"/>
        <w:textAlignment w:val="auto"/>
        <w:rPr>
          <w:rFonts w:hint="eastAsia" w:ascii="宋体" w:hAnsi="宋体" w:eastAsia="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u w:val="none"/>
          <w:lang w:val="en-US" w:eastAsia="zh-CN"/>
        </w:rPr>
        <w:t>7.5 定期检测履约考核：因乙方原因未在合同签订后 90 日历天内完成全部检测工作的，每逾期一天乙方向甲方支付5000元的违约金；逾期违约金累计达到合同价的3%，甲方有权解除合同，并没收全部履约保证金。未按合同内容完成检测工作的、检测漏项缺项的，每发现一次扣除违约金 1 万元，并按甲方 要求进行整改；经整改仍未达到要求，该项检测服务内容不予合同支付费用。</w:t>
      </w:r>
    </w:p>
    <w:p w14:paraId="76D96342">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42" w:firstLineChars="200"/>
        <w:textAlignment w:val="auto"/>
        <w:rPr>
          <w:rFonts w:hint="eastAsia" w:ascii="宋体" w:hAnsi="宋体" w:eastAsia="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u w:val="none"/>
          <w:lang w:val="en-US" w:eastAsia="zh-CN"/>
        </w:rPr>
        <w:t>7.6定期检测其他要求：检测专家评审及履约验收产生的费用均由承包单位承担。</w:t>
      </w:r>
    </w:p>
    <w:p w14:paraId="56A608AA">
      <w:pPr>
        <w:keepNext w:val="0"/>
        <w:keepLines w:val="0"/>
        <w:pageBreakBefore w:val="0"/>
        <w:widowControl/>
        <w:numPr>
          <w:ilvl w:val="0"/>
          <w:numId w:val="0"/>
        </w:numPr>
        <w:kinsoku/>
        <w:wordWrap/>
        <w:overflowPunct/>
        <w:topLinePunct w:val="0"/>
        <w:autoSpaceDE w:val="0"/>
        <w:autoSpaceDN w:val="0"/>
        <w:bidi w:val="0"/>
        <w:adjustRightInd/>
        <w:snapToGrid w:val="0"/>
        <w:spacing w:line="460" w:lineRule="exact"/>
        <w:textAlignment w:val="bottom"/>
        <w:outlineLvl w:val="2"/>
        <w:rPr>
          <w:rFonts w:hint="eastAsia" w:ascii="宋体" w:hAnsi="宋体" w:cs="宋体"/>
          <w:b/>
          <w:bCs/>
          <w:color w:val="auto"/>
          <w:kern w:val="2"/>
          <w:sz w:val="22"/>
          <w:szCs w:val="22"/>
          <w:highlight w:val="none"/>
          <w:lang w:val="en-US" w:eastAsia="zh-CN" w:bidi="ar-SA"/>
        </w:rPr>
      </w:pPr>
      <w:r>
        <w:rPr>
          <w:rFonts w:hint="eastAsia" w:ascii="宋体" w:hAnsi="宋体" w:cs="宋体"/>
          <w:b/>
          <w:bCs/>
          <w:color w:val="auto"/>
          <w:kern w:val="2"/>
          <w:sz w:val="22"/>
          <w:szCs w:val="22"/>
          <w:highlight w:val="none"/>
          <w:lang w:val="en-US" w:eastAsia="zh-CN" w:bidi="ar-SA"/>
        </w:rPr>
        <w:t>8、应急保障、节日保障：</w:t>
      </w:r>
    </w:p>
    <w:p w14:paraId="32CB1C83">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.1 应急保障、节日保障：养护单位除了承担经常性检查、</w:t>
      </w:r>
      <w:r>
        <w:rPr>
          <w:rFonts w:hint="eastAsia" w:ascii="宋体" w:hAnsi="宋体" w:eastAsia="宋体" w:cs="宋体"/>
          <w:color w:val="auto"/>
          <w:sz w:val="22"/>
          <w:szCs w:val="22"/>
          <w:highlight w:val="none"/>
          <w:lang w:eastAsia="zh-CN"/>
        </w:rPr>
        <w:t>日常巡查及保养</w:t>
      </w:r>
      <w:r>
        <w:rPr>
          <w:rFonts w:hint="eastAsia" w:ascii="宋体" w:hAnsi="宋体" w:eastAsia="宋体" w:cs="宋体"/>
          <w:color w:val="auto"/>
          <w:sz w:val="22"/>
          <w:szCs w:val="22"/>
          <w:highlight w:val="none"/>
        </w:rPr>
        <w:t>的工作职责外，还承担本次招标范围内设施的应急抢险和节日保障工作。</w:t>
      </w:r>
    </w:p>
    <w:p w14:paraId="64DC1779">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.2养护单位需建立应急抢险及服务保障机制，成立应急抢险及服务保障领导小组和队伍；常备人员、车辆、机械设备以及应急物资。</w:t>
      </w:r>
    </w:p>
    <w:p w14:paraId="6FDA08E9">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.3在台风、汛期、暴雪、火灾、地震及其他应急抢险情况下严格服从采购人的统一指挥和安排，排除险情；做好数据、图片和台帐的记录、存档工作；每年至少组织一次应急预案演练。</w:t>
      </w:r>
    </w:p>
    <w:p w14:paraId="14951667">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.4节假日或大型公共活动期间，养护单位需合理安排人员完成值班、巡查、</w:t>
      </w:r>
      <w:r>
        <w:rPr>
          <w:rFonts w:hint="eastAsia" w:ascii="宋体" w:hAnsi="宋体" w:eastAsia="宋体" w:cs="宋体"/>
          <w:color w:val="auto"/>
          <w:sz w:val="22"/>
          <w:szCs w:val="22"/>
          <w:highlight w:val="none"/>
          <w:lang w:eastAsia="zh-CN"/>
        </w:rPr>
        <w:t>应急</w:t>
      </w:r>
      <w:r>
        <w:rPr>
          <w:rFonts w:hint="eastAsia" w:ascii="宋体" w:hAnsi="宋体" w:eastAsia="宋体" w:cs="宋体"/>
          <w:color w:val="auto"/>
          <w:sz w:val="22"/>
          <w:szCs w:val="22"/>
          <w:highlight w:val="none"/>
        </w:rPr>
        <w:t>维修及安全保障工作。</w:t>
      </w:r>
    </w:p>
    <w:p w14:paraId="0132607A">
      <w:pPr>
        <w:keepNext w:val="0"/>
        <w:keepLines w:val="0"/>
        <w:pageBreakBefore w:val="0"/>
        <w:widowControl/>
        <w:numPr>
          <w:ilvl w:val="0"/>
          <w:numId w:val="0"/>
        </w:numPr>
        <w:kinsoku/>
        <w:wordWrap/>
        <w:overflowPunct/>
        <w:topLinePunct w:val="0"/>
        <w:autoSpaceDE w:val="0"/>
        <w:autoSpaceDN w:val="0"/>
        <w:bidi w:val="0"/>
        <w:adjustRightInd/>
        <w:snapToGrid w:val="0"/>
        <w:spacing w:line="460" w:lineRule="exact"/>
        <w:textAlignment w:val="bottom"/>
        <w:outlineLvl w:val="2"/>
        <w:rPr>
          <w:rFonts w:hint="eastAsia" w:ascii="宋体" w:hAnsi="宋体" w:cs="宋体"/>
          <w:b/>
          <w:bCs/>
          <w:color w:val="auto"/>
          <w:kern w:val="2"/>
          <w:sz w:val="22"/>
          <w:szCs w:val="22"/>
          <w:highlight w:val="none"/>
          <w:lang w:val="en-US" w:eastAsia="zh-CN" w:bidi="ar-SA"/>
        </w:rPr>
      </w:pPr>
      <w:r>
        <w:rPr>
          <w:rFonts w:hint="eastAsia" w:ascii="宋体" w:hAnsi="宋体" w:cs="宋体"/>
          <w:b/>
          <w:bCs/>
          <w:color w:val="auto"/>
          <w:kern w:val="2"/>
          <w:sz w:val="22"/>
          <w:szCs w:val="22"/>
          <w:highlight w:val="none"/>
          <w:lang w:val="en-US" w:eastAsia="zh-CN" w:bidi="ar-SA"/>
        </w:rPr>
        <w:t>9、档案资料</w:t>
      </w:r>
    </w:p>
    <w:p w14:paraId="473F5222">
      <w:pPr>
        <w:keepNext w:val="0"/>
        <w:keepLines w:val="0"/>
        <w:pageBreakBefore w:val="0"/>
        <w:kinsoku/>
        <w:wordWrap/>
        <w:overflowPunct/>
        <w:topLinePunct w:val="0"/>
        <w:bidi w:val="0"/>
        <w:adjustRightInd/>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以单座设施为单位建立养护档案，健全日常养护、巡查等作业的文字和影像记录，做好台帐的整理和归档工作，建立养护活动“追溯机制”，以备检查。每年底对</w:t>
      </w:r>
      <w:r>
        <w:rPr>
          <w:rFonts w:hint="eastAsia" w:ascii="宋体" w:hAnsi="宋体" w:eastAsia="宋体" w:cs="宋体"/>
          <w:color w:val="auto"/>
          <w:sz w:val="22"/>
          <w:szCs w:val="22"/>
          <w:highlight w:val="none"/>
          <w:lang w:eastAsia="zh-CN"/>
        </w:rPr>
        <w:t>日常巡查及保养</w:t>
      </w:r>
      <w:r>
        <w:rPr>
          <w:rFonts w:hint="eastAsia" w:ascii="宋体" w:hAnsi="宋体" w:eastAsia="宋体" w:cs="宋体"/>
          <w:color w:val="auto"/>
          <w:sz w:val="22"/>
          <w:szCs w:val="22"/>
          <w:highlight w:val="none"/>
        </w:rPr>
        <w:t>、特殊情况、突发事件、应急保障等工作进行总结，形成年度养护报告和设施运行报告并存档。（详见《台账资料整理规定》）。</w:t>
      </w:r>
    </w:p>
    <w:p w14:paraId="7361CC1B">
      <w:pPr>
        <w:keepNext w:val="0"/>
        <w:keepLines w:val="0"/>
        <w:pageBreakBefore w:val="0"/>
        <w:widowControl/>
        <w:numPr>
          <w:ilvl w:val="0"/>
          <w:numId w:val="0"/>
        </w:numPr>
        <w:kinsoku/>
        <w:wordWrap/>
        <w:overflowPunct/>
        <w:topLinePunct w:val="0"/>
        <w:autoSpaceDE w:val="0"/>
        <w:autoSpaceDN w:val="0"/>
        <w:bidi w:val="0"/>
        <w:adjustRightInd/>
        <w:snapToGrid w:val="0"/>
        <w:spacing w:line="460" w:lineRule="exact"/>
        <w:textAlignment w:val="bottom"/>
        <w:outlineLvl w:val="2"/>
        <w:rPr>
          <w:rFonts w:hint="eastAsia" w:ascii="宋体" w:hAnsi="宋体" w:cs="宋体"/>
          <w:b/>
          <w:bCs/>
          <w:color w:val="auto"/>
          <w:kern w:val="2"/>
          <w:sz w:val="22"/>
          <w:szCs w:val="22"/>
          <w:highlight w:val="none"/>
          <w:lang w:val="zh-CN" w:eastAsia="zh-CN" w:bidi="ar-SA"/>
        </w:rPr>
      </w:pPr>
      <w:r>
        <w:rPr>
          <w:rFonts w:hint="eastAsia" w:ascii="宋体" w:hAnsi="宋体" w:cs="宋体"/>
          <w:b/>
          <w:bCs/>
          <w:color w:val="auto"/>
          <w:kern w:val="2"/>
          <w:sz w:val="22"/>
          <w:szCs w:val="22"/>
          <w:highlight w:val="none"/>
          <w:lang w:val="en-US" w:eastAsia="zh-CN" w:bidi="ar-SA"/>
        </w:rPr>
        <w:t>10</w:t>
      </w:r>
      <w:r>
        <w:rPr>
          <w:rFonts w:hint="eastAsia" w:ascii="宋体" w:hAnsi="宋体" w:cs="宋体"/>
          <w:b/>
          <w:bCs/>
          <w:color w:val="auto"/>
          <w:kern w:val="2"/>
          <w:sz w:val="22"/>
          <w:szCs w:val="22"/>
          <w:highlight w:val="none"/>
          <w:lang w:val="zh-CN" w:eastAsia="zh-CN" w:bidi="ar-SA"/>
        </w:rPr>
        <w:t>、其他管理要求</w:t>
      </w:r>
    </w:p>
    <w:p w14:paraId="4C3797BC">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供应商要进行养护情况考核的同时，还需遵循温州市市政设施管理各项方案的要求，并根据其违反方案要求的内容，采取适宜的处罚措施。</w:t>
      </w:r>
    </w:p>
    <w:p w14:paraId="3F7ADEE4">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rPr>
        <w:t>10</w:t>
      </w:r>
      <w:r>
        <w:rPr>
          <w:rFonts w:hint="eastAsia" w:ascii="宋体" w:hAnsi="宋体" w:eastAsia="宋体" w:cs="宋体"/>
          <w:color w:val="auto"/>
          <w:sz w:val="22"/>
          <w:szCs w:val="22"/>
          <w:highlight w:val="none"/>
        </w:rPr>
        <w:t xml:space="preserve">.1 </w:t>
      </w:r>
      <w:r>
        <w:rPr>
          <w:rFonts w:hint="eastAsia" w:ascii="宋体" w:hAnsi="宋体" w:eastAsia="宋体" w:cs="宋体"/>
          <w:color w:val="auto"/>
          <w:sz w:val="22"/>
          <w:szCs w:val="22"/>
          <w:highlight w:val="none"/>
          <w:lang w:val="zh-CN"/>
        </w:rPr>
        <w:t>承包单位必须重视安全生产，有健全的安全生产制度，落实安全生产措施。在承包期内的如发生安全责任事故的，承包方必须承担一切责任（包括经济赔偿和民事责任）。</w:t>
      </w:r>
    </w:p>
    <w:p w14:paraId="789538DF">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rPr>
        <w:t>10</w:t>
      </w:r>
      <w:r>
        <w:rPr>
          <w:rFonts w:hint="eastAsia" w:ascii="宋体" w:hAnsi="宋体" w:eastAsia="宋体" w:cs="宋体"/>
          <w:color w:val="auto"/>
          <w:sz w:val="22"/>
          <w:szCs w:val="22"/>
          <w:highlight w:val="none"/>
        </w:rPr>
        <w:t xml:space="preserve">.2 </w:t>
      </w:r>
      <w:r>
        <w:rPr>
          <w:rFonts w:hint="eastAsia" w:ascii="宋体" w:hAnsi="宋体" w:eastAsia="宋体" w:cs="宋体"/>
          <w:color w:val="auto"/>
          <w:sz w:val="22"/>
          <w:szCs w:val="22"/>
          <w:highlight w:val="none"/>
          <w:lang w:val="zh-CN"/>
        </w:rPr>
        <w:t>承包单位必须文明施工，并保质保量按时完成承担的施工任务。</w:t>
      </w:r>
    </w:p>
    <w:p w14:paraId="4ED29F99">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val="en-US"/>
        </w:rPr>
        <w:t>10</w:t>
      </w:r>
      <w:r>
        <w:rPr>
          <w:rFonts w:hint="eastAsia" w:ascii="宋体" w:hAnsi="宋体" w:eastAsia="宋体" w:cs="宋体"/>
          <w:color w:val="auto"/>
          <w:sz w:val="22"/>
          <w:szCs w:val="22"/>
          <w:highlight w:val="none"/>
        </w:rPr>
        <w:t>.3 承包单位应运用温州市市政设施养护管理系统开展</w:t>
      </w:r>
      <w:r>
        <w:rPr>
          <w:rFonts w:hint="eastAsia" w:ascii="宋体" w:hAnsi="宋体" w:eastAsia="宋体" w:cs="宋体"/>
          <w:color w:val="auto"/>
          <w:sz w:val="22"/>
          <w:szCs w:val="22"/>
          <w:highlight w:val="none"/>
          <w:lang w:eastAsia="zh-CN"/>
        </w:rPr>
        <w:t>日常巡查及保养</w:t>
      </w:r>
      <w:r>
        <w:rPr>
          <w:rFonts w:hint="eastAsia" w:ascii="宋体" w:hAnsi="宋体" w:eastAsia="宋体" w:cs="宋体"/>
          <w:color w:val="auto"/>
          <w:sz w:val="22"/>
          <w:szCs w:val="22"/>
          <w:highlight w:val="none"/>
        </w:rPr>
        <w:t>工作。</w:t>
      </w:r>
    </w:p>
    <w:p w14:paraId="314AE071">
      <w:pPr>
        <w:keepNext w:val="0"/>
        <w:keepLines w:val="0"/>
        <w:pageBreakBefore w:val="0"/>
        <w:widowControl/>
        <w:numPr>
          <w:ilvl w:val="0"/>
          <w:numId w:val="0"/>
        </w:numPr>
        <w:kinsoku/>
        <w:wordWrap/>
        <w:overflowPunct/>
        <w:topLinePunct w:val="0"/>
        <w:autoSpaceDE w:val="0"/>
        <w:autoSpaceDN w:val="0"/>
        <w:bidi w:val="0"/>
        <w:adjustRightInd/>
        <w:snapToGrid w:val="0"/>
        <w:spacing w:line="460" w:lineRule="exact"/>
        <w:textAlignment w:val="bottom"/>
        <w:outlineLvl w:val="2"/>
        <w:rPr>
          <w:rFonts w:hint="eastAsia" w:ascii="宋体" w:hAnsi="宋体" w:cs="宋体"/>
          <w:b/>
          <w:bCs/>
          <w:color w:val="auto"/>
          <w:kern w:val="2"/>
          <w:sz w:val="22"/>
          <w:szCs w:val="22"/>
          <w:highlight w:val="none"/>
          <w:lang w:val="zh-CN" w:eastAsia="zh-CN" w:bidi="ar-SA"/>
        </w:rPr>
      </w:pPr>
      <w:r>
        <w:rPr>
          <w:rFonts w:hint="eastAsia" w:ascii="宋体" w:hAnsi="宋体" w:cs="宋体"/>
          <w:b/>
          <w:bCs/>
          <w:color w:val="auto"/>
          <w:kern w:val="2"/>
          <w:sz w:val="22"/>
          <w:szCs w:val="22"/>
          <w:highlight w:val="none"/>
          <w:lang w:val="en-US" w:eastAsia="zh-CN" w:bidi="ar-SA"/>
        </w:rPr>
        <w:t>11、</w:t>
      </w:r>
      <w:r>
        <w:rPr>
          <w:rFonts w:hint="eastAsia" w:ascii="宋体" w:hAnsi="宋体" w:cs="宋体"/>
          <w:b/>
          <w:bCs/>
          <w:color w:val="auto"/>
          <w:kern w:val="2"/>
          <w:sz w:val="22"/>
          <w:szCs w:val="22"/>
          <w:highlight w:val="none"/>
          <w:lang w:val="zh-CN" w:eastAsia="zh-CN" w:bidi="ar-SA"/>
        </w:rPr>
        <w:t>维养单位的监督考核</w:t>
      </w:r>
    </w:p>
    <w:p w14:paraId="30B645E1">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zh-CN"/>
        </w:rPr>
        <w:t>.1</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zh-CN"/>
        </w:rPr>
        <w:t>考核标准与方式</w:t>
      </w:r>
    </w:p>
    <w:p w14:paraId="163EAA78">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中标单位的考核，采取月考的方式，结合日常的巡查及设施管理进行，满分为100分。考核内容包括</w:t>
      </w:r>
      <w:r>
        <w:rPr>
          <w:rFonts w:hint="eastAsia" w:ascii="宋体" w:hAnsi="宋体" w:eastAsia="宋体" w:cs="宋体"/>
          <w:color w:val="auto"/>
          <w:sz w:val="22"/>
          <w:szCs w:val="22"/>
          <w:highlight w:val="none"/>
        </w:rPr>
        <w:t>建立设施档案、</w:t>
      </w:r>
      <w:r>
        <w:rPr>
          <w:rFonts w:hint="eastAsia" w:ascii="宋体" w:hAnsi="宋体" w:eastAsia="宋体" w:cs="宋体"/>
          <w:color w:val="auto"/>
          <w:sz w:val="22"/>
          <w:szCs w:val="22"/>
          <w:highlight w:val="none"/>
          <w:lang w:val="zh-CN"/>
        </w:rPr>
        <w:t>市政设施</w:t>
      </w:r>
      <w:r>
        <w:rPr>
          <w:rFonts w:hint="eastAsia" w:ascii="宋体" w:hAnsi="宋体" w:eastAsia="宋体" w:cs="宋体"/>
          <w:color w:val="auto"/>
          <w:sz w:val="22"/>
          <w:szCs w:val="22"/>
          <w:highlight w:val="none"/>
        </w:rPr>
        <w:t>日常巡检保养、</w:t>
      </w:r>
      <w:r>
        <w:rPr>
          <w:rFonts w:hint="eastAsia" w:ascii="宋体" w:hAnsi="宋体" w:eastAsia="宋体" w:cs="宋体"/>
          <w:color w:val="auto"/>
          <w:sz w:val="22"/>
          <w:szCs w:val="22"/>
          <w:highlight w:val="none"/>
          <w:lang w:eastAsia="zh-CN"/>
        </w:rPr>
        <w:t>文</w:t>
      </w:r>
      <w:r>
        <w:rPr>
          <w:rFonts w:hint="eastAsia" w:ascii="宋体" w:hAnsi="宋体" w:eastAsia="宋体" w:cs="宋体"/>
          <w:color w:val="auto"/>
          <w:sz w:val="22"/>
          <w:szCs w:val="22"/>
          <w:highlight w:val="none"/>
          <w:lang w:val="zh-CN"/>
        </w:rPr>
        <w:t>明施工管理情况，数字城管的处置情况，台风、暴雨期间防汛以及道路等突发事件的应急处理，被媒体曝光或领导发现批示等情况组成。</w:t>
      </w:r>
    </w:p>
    <w:p w14:paraId="365E4F9D">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中标单位在维养过程中需配备并使用投标文件中提供的人员、机械、材料，如未提供可视为人员、机械、材料无法及时到场，采购人可酌情扣分。</w:t>
      </w:r>
    </w:p>
    <w:p w14:paraId="6B6F3987">
      <w:pPr>
        <w:keepNext w:val="0"/>
        <w:keepLines w:val="0"/>
        <w:pageBreakBefore w:val="0"/>
        <w:kinsoku/>
        <w:wordWrap/>
        <w:overflowPunct/>
        <w:topLinePunct w:val="0"/>
        <w:bidi w:val="0"/>
        <w:adjustRightInd/>
        <w:snapToGrid w:val="0"/>
        <w:spacing w:line="460" w:lineRule="exact"/>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zh-CN"/>
        </w:rPr>
        <w:t>考核标准与得分，参照</w:t>
      </w:r>
      <w:r>
        <w:rPr>
          <w:rFonts w:hint="eastAsia" w:ascii="宋体" w:hAnsi="宋体" w:eastAsia="宋体" w:cs="宋体"/>
          <w:bCs/>
          <w:color w:val="auto"/>
          <w:sz w:val="22"/>
          <w:szCs w:val="22"/>
          <w:highlight w:val="none"/>
        </w:rPr>
        <w:t>《城镇道路养护技术规范（CJJ36-2016）》、《城市桥梁养护技术标准（CJJ99-2017）》</w:t>
      </w:r>
      <w:r>
        <w:rPr>
          <w:rFonts w:hint="eastAsia" w:ascii="宋体" w:hAnsi="宋体" w:eastAsia="宋体" w:cs="宋体"/>
          <w:color w:val="auto"/>
          <w:sz w:val="22"/>
          <w:szCs w:val="22"/>
          <w:highlight w:val="none"/>
          <w:lang w:val="zh-CN"/>
        </w:rPr>
        <w:t>等文件执行，并按照《瓯越大道（温瑞大道南段快速路一期）接管期保养考核表》（表</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zh-CN"/>
        </w:rPr>
        <w:t>）考核。</w:t>
      </w:r>
    </w:p>
    <w:p w14:paraId="61D079E5">
      <w:pPr>
        <w:keepNext w:val="0"/>
        <w:keepLines w:val="0"/>
        <w:pageBreakBefore w:val="0"/>
        <w:widowControl/>
        <w:numPr>
          <w:ilvl w:val="0"/>
          <w:numId w:val="0"/>
        </w:numPr>
        <w:kinsoku/>
        <w:wordWrap/>
        <w:overflowPunct/>
        <w:topLinePunct w:val="0"/>
        <w:autoSpaceDE w:val="0"/>
        <w:autoSpaceDN w:val="0"/>
        <w:bidi w:val="0"/>
        <w:adjustRightInd/>
        <w:snapToGrid w:val="0"/>
        <w:spacing w:line="460" w:lineRule="exact"/>
        <w:textAlignment w:val="bottom"/>
        <w:outlineLvl w:val="2"/>
        <w:rPr>
          <w:rFonts w:hint="eastAsia" w:ascii="宋体" w:hAnsi="宋体" w:cs="宋体"/>
          <w:b/>
          <w:bCs/>
          <w:color w:val="auto"/>
          <w:kern w:val="2"/>
          <w:sz w:val="22"/>
          <w:szCs w:val="22"/>
          <w:highlight w:val="none"/>
          <w:lang w:val="en-US" w:eastAsia="zh-CN" w:bidi="ar-SA"/>
        </w:rPr>
      </w:pPr>
      <w:r>
        <w:rPr>
          <w:rFonts w:hint="eastAsia" w:ascii="宋体" w:hAnsi="宋体" w:cs="宋体"/>
          <w:b/>
          <w:bCs/>
          <w:color w:val="auto"/>
          <w:kern w:val="2"/>
          <w:sz w:val="22"/>
          <w:szCs w:val="22"/>
          <w:highlight w:val="none"/>
          <w:lang w:val="en-US" w:eastAsia="zh-CN" w:bidi="ar-SA"/>
        </w:rPr>
        <w:t>12、付款方式</w:t>
      </w:r>
    </w:p>
    <w:p w14:paraId="22C0AF01">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1.预付款：签订合同后，甲方收到乙方发票后七个工作日内支付合同总价的20%作为预付款。</w:t>
      </w:r>
    </w:p>
    <w:p w14:paraId="0976506D">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2.乙方完成合同约定的全部检测工作内容且成果检测报告经评审合格、整改完毕，录入甲方指定系统后，乙方经甲方通知后开具发票，甲方收到发票后七个工作日内支付至检测费用的100%。 </w:t>
      </w:r>
    </w:p>
    <w:p w14:paraId="78D3BBC1">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3.日常保养费采取固定单价的方式，每个月25日乙方向甲方提交该月的付款申请，乙方经甲方通知后开具发票，甲方收到发票后七个工作日内支付至当月保养费用的95%。</w:t>
      </w:r>
    </w:p>
    <w:p w14:paraId="46F74F7E">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乙方完成合同约定的全部工作内容，甲方根据《温州市政府采购项目履约验收管理办法》对乙方的合同履行情况进行验收和结算且资金拨付到位后，乙方经甲方通知后开具发票，甲方收到发票后七个工作日内一次性结清余款。</w:t>
      </w:r>
    </w:p>
    <w:p w14:paraId="17FE6473">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5.关于合同总价调整的约定</w:t>
      </w:r>
    </w:p>
    <w:p w14:paraId="0EC40F7D">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（1）费用为包干价，乙方已在报价中综合考虑各项风险费用，报价不予调整。</w:t>
      </w:r>
    </w:p>
    <w:p w14:paraId="39F494DF">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rPr>
        <w:t>（2）根据实际情况，需要取消合同检测设施清单中单座设施的全部检测内容的，则甲方与乙方双方应签订联系单或补充协议，相应调整合同总价，作为最终合同结算依据。</w:t>
      </w:r>
    </w:p>
    <w:p w14:paraId="2F674509">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b/>
          <w:color w:val="auto"/>
          <w:kern w:val="36"/>
          <w:sz w:val="22"/>
          <w:szCs w:val="22"/>
          <w:highlight w:val="none"/>
        </w:rPr>
      </w:pPr>
      <w:r>
        <w:rPr>
          <w:rFonts w:hint="eastAsia" w:ascii="宋体" w:hAnsi="宋体" w:eastAsia="宋体" w:cs="宋体"/>
          <w:bCs/>
          <w:color w:val="auto"/>
          <w:kern w:val="36"/>
          <w:sz w:val="22"/>
          <w:szCs w:val="22"/>
          <w:highlight w:val="none"/>
        </w:rPr>
        <w:br w:type="page"/>
      </w:r>
      <w:r>
        <w:rPr>
          <w:rFonts w:hint="eastAsia" w:ascii="宋体" w:hAnsi="宋体" w:eastAsia="宋体" w:cs="宋体"/>
          <w:b/>
          <w:color w:val="auto"/>
          <w:kern w:val="36"/>
          <w:sz w:val="22"/>
          <w:szCs w:val="22"/>
          <w:highlight w:val="none"/>
          <w:lang w:val="zh-CN"/>
        </w:rPr>
        <w:t>表</w:t>
      </w:r>
      <w:r>
        <w:rPr>
          <w:rFonts w:hint="eastAsia" w:ascii="宋体" w:hAnsi="宋体" w:eastAsia="宋体" w:cs="宋体"/>
          <w:b/>
          <w:color w:val="auto"/>
          <w:kern w:val="36"/>
          <w:sz w:val="22"/>
          <w:szCs w:val="22"/>
          <w:highlight w:val="none"/>
          <w:lang w:val="en-US" w:eastAsia="zh-CN"/>
        </w:rPr>
        <w:t>2</w:t>
      </w:r>
      <w:r>
        <w:rPr>
          <w:rFonts w:hint="eastAsia" w:ascii="宋体" w:hAnsi="宋体" w:eastAsia="宋体" w:cs="宋体"/>
          <w:b/>
          <w:color w:val="auto"/>
          <w:kern w:val="36"/>
          <w:sz w:val="22"/>
          <w:szCs w:val="22"/>
          <w:highlight w:val="none"/>
          <w:lang w:val="zh-CN"/>
        </w:rPr>
        <w:t xml:space="preserve"> </w:t>
      </w:r>
      <w:r>
        <w:rPr>
          <w:rFonts w:hint="eastAsia" w:ascii="宋体" w:hAnsi="宋体" w:eastAsia="宋体" w:cs="宋体"/>
          <w:b/>
          <w:color w:val="auto"/>
          <w:kern w:val="36"/>
          <w:sz w:val="22"/>
          <w:szCs w:val="22"/>
          <w:highlight w:val="none"/>
        </w:rPr>
        <w:t xml:space="preserve">   瓯越大道（温瑞大道南段快速路一期）</w:t>
      </w:r>
      <w:r>
        <w:rPr>
          <w:rFonts w:hint="eastAsia" w:ascii="宋体" w:hAnsi="宋体" w:eastAsia="宋体" w:cs="宋体"/>
          <w:b/>
          <w:color w:val="auto"/>
          <w:kern w:val="36"/>
          <w:sz w:val="22"/>
          <w:szCs w:val="22"/>
          <w:highlight w:val="none"/>
          <w:lang w:eastAsia="zh-CN"/>
        </w:rPr>
        <w:t>接管期保养项目</w:t>
      </w:r>
      <w:r>
        <w:rPr>
          <w:rFonts w:hint="eastAsia" w:ascii="宋体" w:hAnsi="宋体" w:eastAsia="宋体" w:cs="宋体"/>
          <w:b/>
          <w:color w:val="auto"/>
          <w:kern w:val="36"/>
          <w:sz w:val="22"/>
          <w:szCs w:val="22"/>
          <w:highlight w:val="none"/>
        </w:rPr>
        <w:t>考核表</w:t>
      </w:r>
    </w:p>
    <w:p w14:paraId="2B862DC9">
      <w:pPr>
        <w:keepNext w:val="0"/>
        <w:keepLines w:val="0"/>
        <w:pageBreakBefore w:val="0"/>
        <w:widowControl/>
        <w:kinsoku/>
        <w:wordWrap/>
        <w:overflowPunct/>
        <w:topLinePunct w:val="0"/>
        <w:autoSpaceDE w:val="0"/>
        <w:autoSpaceDN w:val="0"/>
        <w:bidi w:val="0"/>
        <w:adjustRightInd/>
        <w:spacing w:line="460" w:lineRule="exact"/>
        <w:ind w:firstLine="442" w:firstLineChars="200"/>
        <w:textAlignment w:val="bottom"/>
        <w:rPr>
          <w:rFonts w:hint="eastAsia" w:ascii="宋体" w:hAnsi="宋体" w:eastAsia="宋体" w:cs="宋体"/>
          <w:b/>
          <w:color w:val="auto"/>
          <w:sz w:val="22"/>
          <w:szCs w:val="22"/>
          <w:highlight w:val="none"/>
          <w:lang w:val="zh-CN"/>
        </w:rPr>
      </w:pPr>
      <w:r>
        <w:rPr>
          <w:rFonts w:hint="eastAsia" w:ascii="宋体" w:hAnsi="宋体" w:eastAsia="宋体" w:cs="宋体"/>
          <w:b/>
          <w:bCs/>
          <w:color w:val="auto"/>
          <w:kern w:val="0"/>
          <w:sz w:val="22"/>
          <w:szCs w:val="22"/>
          <w:highlight w:val="none"/>
        </w:rPr>
        <w:t>被考核单位：                                        考核时间：</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336"/>
        <w:gridCol w:w="3914"/>
        <w:gridCol w:w="2945"/>
        <w:gridCol w:w="873"/>
      </w:tblGrid>
      <w:tr w14:paraId="208F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70" w:type="dxa"/>
            <w:noWrap w:val="0"/>
            <w:vAlign w:val="center"/>
          </w:tcPr>
          <w:p w14:paraId="56959907">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spacing w:val="-11"/>
                <w:sz w:val="22"/>
                <w:szCs w:val="22"/>
                <w:highlight w:val="none"/>
                <w:lang w:val="zh-CN"/>
              </w:rPr>
              <w:t>序号</w:t>
            </w:r>
          </w:p>
        </w:tc>
        <w:tc>
          <w:tcPr>
            <w:tcW w:w="5250" w:type="dxa"/>
            <w:gridSpan w:val="2"/>
            <w:noWrap w:val="0"/>
            <w:vAlign w:val="center"/>
          </w:tcPr>
          <w:p w14:paraId="498BE349">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spacing w:val="-11"/>
                <w:sz w:val="22"/>
                <w:szCs w:val="22"/>
                <w:highlight w:val="none"/>
                <w:lang w:val="zh-CN"/>
              </w:rPr>
              <w:t>评价项目及内容</w:t>
            </w:r>
          </w:p>
        </w:tc>
        <w:tc>
          <w:tcPr>
            <w:tcW w:w="2945" w:type="dxa"/>
            <w:noWrap w:val="0"/>
            <w:vAlign w:val="center"/>
          </w:tcPr>
          <w:p w14:paraId="351FC4D3">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spacing w:val="-11"/>
                <w:sz w:val="22"/>
                <w:szCs w:val="22"/>
                <w:highlight w:val="none"/>
                <w:lang w:val="zh-CN"/>
              </w:rPr>
              <w:t>评分标准</w:t>
            </w:r>
          </w:p>
        </w:tc>
        <w:tc>
          <w:tcPr>
            <w:tcW w:w="873" w:type="dxa"/>
            <w:noWrap w:val="0"/>
            <w:vAlign w:val="center"/>
          </w:tcPr>
          <w:p w14:paraId="3D879317">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spacing w:val="-11"/>
                <w:sz w:val="22"/>
                <w:szCs w:val="22"/>
                <w:highlight w:val="none"/>
                <w:lang w:val="zh-CN"/>
              </w:rPr>
              <w:t>扣分值</w:t>
            </w:r>
          </w:p>
        </w:tc>
      </w:tr>
      <w:tr w14:paraId="0472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70" w:type="dxa"/>
            <w:vMerge w:val="restart"/>
            <w:noWrap w:val="0"/>
            <w:vAlign w:val="center"/>
          </w:tcPr>
          <w:p w14:paraId="797EC7C7">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r>
              <w:rPr>
                <w:rFonts w:hint="eastAsia" w:ascii="宋体" w:hAnsi="宋体" w:eastAsia="宋体" w:cs="宋体"/>
                <w:color w:val="auto"/>
                <w:spacing w:val="-11"/>
                <w:sz w:val="22"/>
                <w:szCs w:val="22"/>
                <w:highlight w:val="none"/>
              </w:rPr>
              <w:t>一</w:t>
            </w:r>
          </w:p>
        </w:tc>
        <w:tc>
          <w:tcPr>
            <w:tcW w:w="1336" w:type="dxa"/>
            <w:vMerge w:val="restart"/>
            <w:noWrap w:val="0"/>
            <w:vAlign w:val="center"/>
          </w:tcPr>
          <w:p w14:paraId="379EAFEC">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r>
              <w:rPr>
                <w:rFonts w:hint="eastAsia" w:ascii="宋体" w:hAnsi="宋体" w:eastAsia="宋体" w:cs="宋体"/>
                <w:color w:val="auto"/>
                <w:spacing w:val="-11"/>
                <w:sz w:val="22"/>
                <w:szCs w:val="22"/>
                <w:highlight w:val="none"/>
              </w:rPr>
              <w:t>建立设施档案   （10分）</w:t>
            </w:r>
          </w:p>
        </w:tc>
        <w:tc>
          <w:tcPr>
            <w:tcW w:w="3914" w:type="dxa"/>
            <w:noWrap w:val="0"/>
            <w:vAlign w:val="center"/>
          </w:tcPr>
          <w:p w14:paraId="253CF1FF">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1.</w:t>
            </w:r>
            <w:r>
              <w:rPr>
                <w:rFonts w:hint="eastAsia" w:ascii="宋体" w:hAnsi="宋体" w:eastAsia="宋体" w:cs="宋体"/>
                <w:color w:val="auto"/>
                <w:sz w:val="22"/>
                <w:szCs w:val="22"/>
                <w:highlight w:val="none"/>
                <w:lang w:val="zh-CN"/>
              </w:rPr>
              <w:t>以单个设施为单位建立养护档案（按养护规范的要求建立），含日常检查、养护维修、服务保障、应急抢险等。</w:t>
            </w:r>
          </w:p>
        </w:tc>
        <w:tc>
          <w:tcPr>
            <w:tcW w:w="2945" w:type="dxa"/>
            <w:noWrap w:val="0"/>
            <w:vAlign w:val="center"/>
          </w:tcPr>
          <w:p w14:paraId="3AF5510F">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sz w:val="22"/>
                <w:szCs w:val="22"/>
                <w:highlight w:val="none"/>
                <w:lang w:val="zh-CN"/>
              </w:rPr>
              <w:t>发现不完整、不准确的，每座设施扣</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zh-CN"/>
              </w:rPr>
              <w:t>分。</w:t>
            </w:r>
          </w:p>
        </w:tc>
        <w:tc>
          <w:tcPr>
            <w:tcW w:w="873" w:type="dxa"/>
            <w:vMerge w:val="restart"/>
            <w:noWrap w:val="0"/>
            <w:vAlign w:val="center"/>
          </w:tcPr>
          <w:p w14:paraId="2D9E7E11">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r>
      <w:tr w14:paraId="24FE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70" w:type="dxa"/>
            <w:vMerge w:val="continue"/>
            <w:noWrap w:val="0"/>
            <w:vAlign w:val="center"/>
          </w:tcPr>
          <w:p w14:paraId="7B508E2F">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1336" w:type="dxa"/>
            <w:vMerge w:val="continue"/>
            <w:noWrap w:val="0"/>
            <w:vAlign w:val="center"/>
          </w:tcPr>
          <w:p w14:paraId="0E62165C">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3914" w:type="dxa"/>
            <w:noWrap w:val="0"/>
            <w:vAlign w:val="center"/>
          </w:tcPr>
          <w:p w14:paraId="7010DD28">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2.建立日常巡查制度、</w:t>
            </w:r>
            <w:r>
              <w:rPr>
                <w:rFonts w:hint="eastAsia" w:ascii="宋体" w:hAnsi="宋体" w:eastAsia="宋体" w:cs="宋体"/>
                <w:color w:val="auto"/>
                <w:sz w:val="22"/>
                <w:szCs w:val="22"/>
                <w:highlight w:val="none"/>
              </w:rPr>
              <w:t>管理用房值守制度、</w:t>
            </w:r>
            <w:r>
              <w:rPr>
                <w:rFonts w:hint="eastAsia" w:ascii="宋体" w:hAnsi="宋体" w:eastAsia="宋体" w:cs="宋体"/>
                <w:color w:val="auto"/>
                <w:sz w:val="22"/>
                <w:szCs w:val="22"/>
                <w:highlight w:val="none"/>
                <w:lang w:val="zh-CN"/>
              </w:rPr>
              <w:t>各类应急预案、节假日保障制度</w:t>
            </w:r>
            <w:r>
              <w:rPr>
                <w:rFonts w:hint="eastAsia" w:ascii="宋体" w:hAnsi="宋体" w:eastAsia="宋体" w:cs="宋体"/>
                <w:color w:val="auto"/>
                <w:sz w:val="22"/>
                <w:szCs w:val="22"/>
                <w:highlight w:val="none"/>
              </w:rPr>
              <w:t>等</w:t>
            </w:r>
            <w:r>
              <w:rPr>
                <w:rFonts w:hint="eastAsia" w:ascii="宋体" w:hAnsi="宋体" w:eastAsia="宋体" w:cs="宋体"/>
                <w:color w:val="auto"/>
                <w:sz w:val="22"/>
                <w:szCs w:val="22"/>
                <w:highlight w:val="none"/>
                <w:lang w:val="zh-CN"/>
              </w:rPr>
              <w:t>，并严格落实。</w:t>
            </w:r>
          </w:p>
        </w:tc>
        <w:tc>
          <w:tcPr>
            <w:tcW w:w="2945" w:type="dxa"/>
            <w:noWrap w:val="0"/>
            <w:vAlign w:val="center"/>
          </w:tcPr>
          <w:p w14:paraId="6E3D7AE1">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未建立相应制度或预案的，缺一个制度扣2分；未按制度落实的，每发现一次扣1分。</w:t>
            </w:r>
          </w:p>
        </w:tc>
        <w:tc>
          <w:tcPr>
            <w:tcW w:w="873" w:type="dxa"/>
            <w:vMerge w:val="continue"/>
            <w:noWrap w:val="0"/>
            <w:vAlign w:val="center"/>
          </w:tcPr>
          <w:p w14:paraId="4997BE20">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r>
      <w:tr w14:paraId="7B50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14:paraId="7D9190C2">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spacing w:val="-11"/>
                <w:sz w:val="22"/>
                <w:szCs w:val="22"/>
                <w:highlight w:val="none"/>
              </w:rPr>
            </w:pPr>
            <w:r>
              <w:rPr>
                <w:rFonts w:hint="eastAsia" w:ascii="宋体" w:hAnsi="宋体" w:eastAsia="宋体" w:cs="宋体"/>
                <w:color w:val="auto"/>
                <w:kern w:val="0"/>
                <w:sz w:val="22"/>
                <w:szCs w:val="22"/>
                <w:highlight w:val="none"/>
              </w:rPr>
              <w:t>二</w:t>
            </w:r>
          </w:p>
        </w:tc>
        <w:tc>
          <w:tcPr>
            <w:tcW w:w="1336" w:type="dxa"/>
            <w:noWrap w:val="0"/>
            <w:vAlign w:val="center"/>
          </w:tcPr>
          <w:p w14:paraId="5F65FB12">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日常</w:t>
            </w:r>
            <w:r>
              <w:rPr>
                <w:rFonts w:hint="eastAsia" w:ascii="宋体" w:hAnsi="宋体" w:eastAsia="宋体" w:cs="宋体"/>
                <w:color w:val="auto"/>
                <w:kern w:val="0"/>
                <w:sz w:val="22"/>
                <w:szCs w:val="22"/>
                <w:highlight w:val="none"/>
                <w:lang w:eastAsia="zh-CN"/>
              </w:rPr>
              <w:t>巡查</w:t>
            </w:r>
            <w:r>
              <w:rPr>
                <w:rFonts w:hint="eastAsia" w:ascii="宋体" w:hAnsi="宋体" w:eastAsia="宋体" w:cs="宋体"/>
                <w:color w:val="auto"/>
                <w:kern w:val="0"/>
                <w:sz w:val="22"/>
                <w:szCs w:val="22"/>
                <w:highlight w:val="none"/>
              </w:rPr>
              <w:t xml:space="preserve">  （2</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分）</w:t>
            </w:r>
          </w:p>
        </w:tc>
        <w:tc>
          <w:tcPr>
            <w:tcW w:w="3914" w:type="dxa"/>
            <w:noWrap w:val="0"/>
            <w:vAlign w:val="center"/>
          </w:tcPr>
          <w:p w14:paraId="75B934B9">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color w:val="auto"/>
                <w:sz w:val="22"/>
                <w:szCs w:val="22"/>
                <w:highlight w:val="none"/>
                <w:lang w:val="zh-CN"/>
              </w:rPr>
              <w:t>按照规范对道桥设施进行一日一巡查，主线高架路灯、地面道路路灯设施每月一巡(巡查内容包含亮灯情况、完好情况)</w:t>
            </w:r>
            <w:r>
              <w:rPr>
                <w:rFonts w:hint="eastAsia"/>
                <w:lang w:eastAsia="zh-CN"/>
              </w:rPr>
              <w:t>，</w:t>
            </w:r>
            <w:r>
              <w:rPr>
                <w:rFonts w:hint="eastAsia" w:ascii="宋体" w:hAnsi="宋体" w:eastAsia="宋体" w:cs="宋体"/>
                <w:color w:val="auto"/>
                <w:sz w:val="22"/>
                <w:szCs w:val="22"/>
                <w:highlight w:val="none"/>
                <w:lang w:val="zh-CN"/>
              </w:rPr>
              <w:t>做好巡查记录。检查内容包括主体设施及附属设施情况，设施及设施安全保护区域内施工作业情况。</w:t>
            </w:r>
            <w:r>
              <w:rPr>
                <w:rFonts w:hint="eastAsia" w:ascii="宋体" w:hAnsi="宋体" w:eastAsia="宋体" w:cs="宋体"/>
                <w:color w:val="auto"/>
                <w:sz w:val="22"/>
                <w:szCs w:val="22"/>
                <w:highlight w:val="none"/>
              </w:rPr>
              <w:t>对存在安全隐患的需做好安全防护措施，确保运行安全。</w:t>
            </w:r>
          </w:p>
        </w:tc>
        <w:tc>
          <w:tcPr>
            <w:tcW w:w="2945" w:type="dxa"/>
            <w:noWrap w:val="0"/>
            <w:vAlign w:val="center"/>
          </w:tcPr>
          <w:p w14:paraId="285BA880">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rPr>
            </w:pPr>
            <w:r>
              <w:rPr>
                <w:rFonts w:hint="eastAsia" w:ascii="宋体" w:hAnsi="宋体" w:eastAsia="宋体" w:cs="宋体"/>
                <w:color w:val="auto"/>
                <w:sz w:val="22"/>
                <w:szCs w:val="22"/>
                <w:highlight w:val="none"/>
                <w:lang w:val="zh-CN"/>
              </w:rPr>
              <w:t>发现巡查不到位或巡查记录不全的每次扣</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zh-CN"/>
              </w:rPr>
              <w:t>分，未及时上报的扣</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zh-CN"/>
              </w:rPr>
              <w:t>分。</w:t>
            </w:r>
            <w:r>
              <w:rPr>
                <w:rFonts w:hint="eastAsia" w:ascii="宋体" w:hAnsi="宋体" w:eastAsia="宋体" w:cs="宋体"/>
                <w:color w:val="auto"/>
                <w:sz w:val="22"/>
                <w:szCs w:val="22"/>
                <w:highlight w:val="none"/>
              </w:rPr>
              <w:t>未做好安全措施的扣3分，由此产生的人员、财产损失由承包方负责。</w:t>
            </w:r>
          </w:p>
        </w:tc>
        <w:tc>
          <w:tcPr>
            <w:tcW w:w="873" w:type="dxa"/>
            <w:noWrap w:val="0"/>
            <w:vAlign w:val="center"/>
          </w:tcPr>
          <w:p w14:paraId="4593E46E">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4374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670" w:type="dxa"/>
            <w:noWrap w:val="0"/>
            <w:vAlign w:val="center"/>
          </w:tcPr>
          <w:p w14:paraId="4CD3F1F8">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spacing w:val="-11"/>
                <w:sz w:val="22"/>
                <w:szCs w:val="22"/>
                <w:highlight w:val="none"/>
              </w:rPr>
            </w:pPr>
            <w:r>
              <w:rPr>
                <w:rFonts w:hint="eastAsia" w:ascii="宋体" w:hAnsi="宋体" w:eastAsia="宋体" w:cs="宋体"/>
                <w:color w:val="auto"/>
                <w:kern w:val="0"/>
                <w:sz w:val="22"/>
                <w:szCs w:val="22"/>
                <w:highlight w:val="none"/>
              </w:rPr>
              <w:t>三</w:t>
            </w:r>
          </w:p>
        </w:tc>
        <w:tc>
          <w:tcPr>
            <w:tcW w:w="1336" w:type="dxa"/>
            <w:noWrap w:val="0"/>
            <w:vAlign w:val="center"/>
          </w:tcPr>
          <w:p w14:paraId="4D31C11F">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lang w:eastAsia="zh-CN"/>
              </w:rPr>
              <w:t>定期保养</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5分）</w:t>
            </w:r>
          </w:p>
        </w:tc>
        <w:tc>
          <w:tcPr>
            <w:tcW w:w="3914" w:type="dxa"/>
            <w:noWrap w:val="0"/>
            <w:vAlign w:val="center"/>
          </w:tcPr>
          <w:p w14:paraId="3ED55228">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zh-CN"/>
              </w:rPr>
              <w:t>.按规范要求开展维养资料整理并建立设施档案，经常性检查（</w:t>
            </w:r>
            <w:r>
              <w:rPr>
                <w:rFonts w:hint="eastAsia" w:ascii="宋体" w:hAnsi="宋体" w:eastAsia="宋体" w:cs="宋体"/>
                <w:strike w:val="0"/>
                <w:dstrike w:val="0"/>
                <w:color w:val="auto"/>
                <w:sz w:val="22"/>
                <w:szCs w:val="22"/>
                <w:highlight w:val="none"/>
              </w:rPr>
              <w:t>消防水源、</w:t>
            </w:r>
            <w:r>
              <w:rPr>
                <w:rFonts w:hint="eastAsia" w:ascii="宋体" w:hAnsi="宋体" w:eastAsia="宋体" w:cs="宋体"/>
                <w:color w:val="auto"/>
                <w:sz w:val="22"/>
                <w:szCs w:val="22"/>
                <w:highlight w:val="none"/>
              </w:rPr>
              <w:t>安全设施设备</w:t>
            </w:r>
            <w:r>
              <w:rPr>
                <w:rFonts w:hint="eastAsia" w:ascii="宋体" w:hAnsi="宋体" w:eastAsia="宋体" w:cs="宋体"/>
                <w:color w:val="auto"/>
                <w:sz w:val="22"/>
                <w:szCs w:val="22"/>
                <w:highlight w:val="none"/>
                <w:lang w:val="zh-CN"/>
              </w:rPr>
              <w:t>），伸缩缝定期清缝，支座定期检查及保养，排水系统（包括但不限于排水沟、盖板及立管）定期清理，重大活动及节日保障、应急调度</w:t>
            </w:r>
            <w:r>
              <w:rPr>
                <w:rFonts w:hint="eastAsia" w:ascii="宋体" w:hAnsi="宋体" w:eastAsia="宋体" w:cs="宋体"/>
                <w:color w:val="auto"/>
                <w:sz w:val="22"/>
                <w:szCs w:val="22"/>
                <w:highlight w:val="none"/>
              </w:rPr>
              <w:t>等工作。</w:t>
            </w:r>
          </w:p>
        </w:tc>
        <w:tc>
          <w:tcPr>
            <w:tcW w:w="2945" w:type="dxa"/>
            <w:noWrap w:val="0"/>
            <w:vAlign w:val="center"/>
          </w:tcPr>
          <w:p w14:paraId="280CE49E">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未按要求进行保养或开展工作的，发现一处扣2分；保养不到位的，发现一处扣2分。</w:t>
            </w:r>
          </w:p>
        </w:tc>
        <w:tc>
          <w:tcPr>
            <w:tcW w:w="873" w:type="dxa"/>
            <w:noWrap w:val="0"/>
            <w:vAlign w:val="center"/>
          </w:tcPr>
          <w:p w14:paraId="60AD0D48">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5D7B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70" w:type="dxa"/>
            <w:vMerge w:val="restart"/>
            <w:noWrap w:val="0"/>
            <w:vAlign w:val="center"/>
          </w:tcPr>
          <w:p w14:paraId="5E4A2FA2">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eastAsia="zh-CN"/>
              </w:rPr>
            </w:pPr>
            <w:r>
              <w:rPr>
                <w:rFonts w:hint="eastAsia" w:ascii="宋体" w:hAnsi="宋体" w:eastAsia="宋体" w:cs="宋体"/>
                <w:color w:val="auto"/>
                <w:spacing w:val="-11"/>
                <w:sz w:val="22"/>
                <w:szCs w:val="22"/>
                <w:highlight w:val="none"/>
                <w:lang w:eastAsia="zh-CN"/>
              </w:rPr>
              <w:t>四</w:t>
            </w:r>
          </w:p>
        </w:tc>
        <w:tc>
          <w:tcPr>
            <w:tcW w:w="1336" w:type="dxa"/>
            <w:vMerge w:val="restart"/>
            <w:noWrap w:val="0"/>
            <w:vAlign w:val="center"/>
          </w:tcPr>
          <w:p w14:paraId="73979B65">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spacing w:val="-11"/>
                <w:sz w:val="22"/>
                <w:szCs w:val="22"/>
                <w:highlight w:val="none"/>
              </w:rPr>
            </w:pPr>
            <w:r>
              <w:rPr>
                <w:rFonts w:hint="eastAsia" w:ascii="宋体" w:hAnsi="宋体" w:eastAsia="宋体" w:cs="宋体"/>
                <w:color w:val="auto"/>
                <w:kern w:val="0"/>
                <w:sz w:val="22"/>
                <w:szCs w:val="22"/>
                <w:highlight w:val="none"/>
              </w:rPr>
              <w:t>安全、文明施工管理（15分）</w:t>
            </w:r>
          </w:p>
        </w:tc>
        <w:tc>
          <w:tcPr>
            <w:tcW w:w="3914" w:type="dxa"/>
            <w:noWrap w:val="0"/>
            <w:vAlign w:val="center"/>
          </w:tcPr>
          <w:p w14:paraId="01D86BCE">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1.施工期间，必须在作业区域设置规定的防护措施（按照《温州市市政设施管理条例》等执行，包括围挡、警示标志等），以保证过往行人及车辆通行安全。</w:t>
            </w:r>
          </w:p>
        </w:tc>
        <w:tc>
          <w:tcPr>
            <w:tcW w:w="2945" w:type="dxa"/>
            <w:noWrap w:val="0"/>
            <w:vAlign w:val="center"/>
          </w:tcPr>
          <w:p w14:paraId="2D0D1141">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防护措施不到位或防护措施破损未及时修复或不整洁的，发现一起扣1分；未设置防护措施的，发现一起扣2分；各类检查期间防护措施不到位的，扣5分。</w:t>
            </w:r>
          </w:p>
        </w:tc>
        <w:tc>
          <w:tcPr>
            <w:tcW w:w="873" w:type="dxa"/>
            <w:noWrap w:val="0"/>
            <w:vAlign w:val="center"/>
          </w:tcPr>
          <w:p w14:paraId="4BF01AF8">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5CCB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70" w:type="dxa"/>
            <w:vMerge w:val="continue"/>
            <w:noWrap w:val="0"/>
            <w:vAlign w:val="center"/>
          </w:tcPr>
          <w:p w14:paraId="511ADDF1">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1336" w:type="dxa"/>
            <w:vMerge w:val="continue"/>
            <w:noWrap w:val="0"/>
            <w:vAlign w:val="center"/>
          </w:tcPr>
          <w:p w14:paraId="0989FB8A">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kern w:val="0"/>
                <w:sz w:val="22"/>
                <w:szCs w:val="22"/>
                <w:highlight w:val="none"/>
              </w:rPr>
            </w:pPr>
          </w:p>
        </w:tc>
        <w:tc>
          <w:tcPr>
            <w:tcW w:w="3914" w:type="dxa"/>
            <w:noWrap w:val="0"/>
            <w:vAlign w:val="center"/>
          </w:tcPr>
          <w:p w14:paraId="4995A5F6">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2.对于施工时间超过15天的维养工程，施工单位要设置公示牌（工程两端面向道路来车方向各设置一块），公布负责人、监督电话和施工期限，以备巡视、督查时验查和市民监督。</w:t>
            </w:r>
          </w:p>
        </w:tc>
        <w:tc>
          <w:tcPr>
            <w:tcW w:w="2945" w:type="dxa"/>
            <w:noWrap w:val="0"/>
            <w:vAlign w:val="center"/>
          </w:tcPr>
          <w:p w14:paraId="40F7679D">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未设置公示牌的，发现一起扣1分。</w:t>
            </w:r>
          </w:p>
        </w:tc>
        <w:tc>
          <w:tcPr>
            <w:tcW w:w="873" w:type="dxa"/>
            <w:noWrap w:val="0"/>
            <w:vAlign w:val="center"/>
          </w:tcPr>
          <w:p w14:paraId="4362B473">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0D98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70" w:type="dxa"/>
            <w:vMerge w:val="continue"/>
            <w:noWrap w:val="0"/>
            <w:vAlign w:val="center"/>
          </w:tcPr>
          <w:p w14:paraId="799E9221">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1336" w:type="dxa"/>
            <w:vMerge w:val="continue"/>
            <w:noWrap w:val="0"/>
            <w:vAlign w:val="center"/>
          </w:tcPr>
          <w:p w14:paraId="06094019">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c>
          <w:tcPr>
            <w:tcW w:w="3914" w:type="dxa"/>
            <w:noWrap w:val="0"/>
            <w:vAlign w:val="center"/>
          </w:tcPr>
          <w:p w14:paraId="2447D3C7">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3.各类材料、机具设备按规定整齐堆放，不得随意侵占道路及安全防护等设施。</w:t>
            </w:r>
          </w:p>
        </w:tc>
        <w:tc>
          <w:tcPr>
            <w:tcW w:w="2945" w:type="dxa"/>
            <w:noWrap w:val="0"/>
            <w:vAlign w:val="center"/>
          </w:tcPr>
          <w:p w14:paraId="478DC980">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随意侵占其他道路资源的，发现一起扣1分。</w:t>
            </w:r>
          </w:p>
        </w:tc>
        <w:tc>
          <w:tcPr>
            <w:tcW w:w="873" w:type="dxa"/>
            <w:noWrap w:val="0"/>
            <w:vAlign w:val="center"/>
          </w:tcPr>
          <w:p w14:paraId="5B279C07">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3639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70" w:type="dxa"/>
            <w:vMerge w:val="continue"/>
            <w:noWrap w:val="0"/>
            <w:vAlign w:val="center"/>
          </w:tcPr>
          <w:p w14:paraId="122F847C">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1336" w:type="dxa"/>
            <w:vMerge w:val="continue"/>
            <w:noWrap w:val="0"/>
            <w:vAlign w:val="center"/>
          </w:tcPr>
          <w:p w14:paraId="04C780F1">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c>
          <w:tcPr>
            <w:tcW w:w="3914" w:type="dxa"/>
            <w:noWrap w:val="0"/>
            <w:vAlign w:val="center"/>
          </w:tcPr>
          <w:p w14:paraId="763A07C1">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4.施工期间，严格安全防护措施，严防安全事故发生。</w:t>
            </w:r>
          </w:p>
        </w:tc>
        <w:tc>
          <w:tcPr>
            <w:tcW w:w="2945" w:type="dxa"/>
            <w:noWrap w:val="0"/>
            <w:vAlign w:val="center"/>
          </w:tcPr>
          <w:p w14:paraId="353C35A9">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发生安全事故的，每次最低扣10分。</w:t>
            </w:r>
          </w:p>
        </w:tc>
        <w:tc>
          <w:tcPr>
            <w:tcW w:w="873" w:type="dxa"/>
            <w:noWrap w:val="0"/>
            <w:vAlign w:val="center"/>
          </w:tcPr>
          <w:p w14:paraId="790E572F">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2BFC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70" w:type="dxa"/>
            <w:vMerge w:val="continue"/>
            <w:noWrap w:val="0"/>
            <w:vAlign w:val="center"/>
          </w:tcPr>
          <w:p w14:paraId="61FDFB2B">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1336" w:type="dxa"/>
            <w:vMerge w:val="continue"/>
            <w:noWrap w:val="0"/>
            <w:vAlign w:val="center"/>
          </w:tcPr>
          <w:p w14:paraId="46E34464">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c>
          <w:tcPr>
            <w:tcW w:w="3914" w:type="dxa"/>
            <w:noWrap w:val="0"/>
            <w:vAlign w:val="center"/>
          </w:tcPr>
          <w:p w14:paraId="20AC36F3">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5.禁止直接在路面上拌和砂浆与水泥混凝土，并尽量控制扬尘和噪音。</w:t>
            </w:r>
          </w:p>
        </w:tc>
        <w:tc>
          <w:tcPr>
            <w:tcW w:w="2945" w:type="dxa"/>
            <w:noWrap w:val="0"/>
            <w:vAlign w:val="center"/>
          </w:tcPr>
          <w:p w14:paraId="4D26F18B">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施工造成路面扬尘或严重噪音，而不加以控制的，发现一起扣1分；直接在路面上搅拌砂浆或混凝土的，发现一起扣2分。</w:t>
            </w:r>
          </w:p>
        </w:tc>
        <w:tc>
          <w:tcPr>
            <w:tcW w:w="873" w:type="dxa"/>
            <w:noWrap w:val="0"/>
            <w:vAlign w:val="center"/>
          </w:tcPr>
          <w:p w14:paraId="30787DBE">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764C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70" w:type="dxa"/>
            <w:vMerge w:val="continue"/>
            <w:noWrap w:val="0"/>
            <w:vAlign w:val="center"/>
          </w:tcPr>
          <w:p w14:paraId="19B2B981">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1336" w:type="dxa"/>
            <w:vMerge w:val="continue"/>
            <w:noWrap w:val="0"/>
            <w:vAlign w:val="center"/>
          </w:tcPr>
          <w:p w14:paraId="78A8C732">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c>
          <w:tcPr>
            <w:tcW w:w="3914" w:type="dxa"/>
            <w:noWrap w:val="0"/>
            <w:vAlign w:val="center"/>
          </w:tcPr>
          <w:p w14:paraId="1B193603">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6.施工中产生的各类垃圾应及时清运，严禁随意堆放。</w:t>
            </w:r>
          </w:p>
        </w:tc>
        <w:tc>
          <w:tcPr>
            <w:tcW w:w="2945" w:type="dxa"/>
            <w:noWrap w:val="0"/>
            <w:vAlign w:val="center"/>
          </w:tcPr>
          <w:p w14:paraId="6585F097">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垃圾未及时清运并未做好防护措施，或已做好防护措施，但侵占公共自行车停放点等公共区域的，发现一起扣1分。</w:t>
            </w:r>
          </w:p>
        </w:tc>
        <w:tc>
          <w:tcPr>
            <w:tcW w:w="873" w:type="dxa"/>
            <w:noWrap w:val="0"/>
            <w:vAlign w:val="center"/>
          </w:tcPr>
          <w:p w14:paraId="6834731E">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6EC5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70" w:type="dxa"/>
            <w:vMerge w:val="continue"/>
            <w:noWrap w:val="0"/>
            <w:vAlign w:val="center"/>
          </w:tcPr>
          <w:p w14:paraId="667E0E26">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1336" w:type="dxa"/>
            <w:vMerge w:val="continue"/>
            <w:noWrap w:val="0"/>
            <w:vAlign w:val="center"/>
          </w:tcPr>
          <w:p w14:paraId="3793C638">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c>
          <w:tcPr>
            <w:tcW w:w="3914" w:type="dxa"/>
            <w:noWrap w:val="0"/>
            <w:vAlign w:val="center"/>
          </w:tcPr>
          <w:p w14:paraId="6F79F43F">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7.施工（养护）作业人员上岗前必须进行安全教育和技术培训，进入施工作业现场内的人员，必须穿戴具有反光功能、统一的安全标志服或反光背心等。</w:t>
            </w:r>
          </w:p>
        </w:tc>
        <w:tc>
          <w:tcPr>
            <w:tcW w:w="2945" w:type="dxa"/>
            <w:noWrap w:val="0"/>
            <w:vAlign w:val="center"/>
          </w:tcPr>
          <w:p w14:paraId="782A51B3">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违反规定一次，扣1分。</w:t>
            </w:r>
          </w:p>
        </w:tc>
        <w:tc>
          <w:tcPr>
            <w:tcW w:w="873" w:type="dxa"/>
            <w:noWrap w:val="0"/>
            <w:vAlign w:val="center"/>
          </w:tcPr>
          <w:p w14:paraId="10AD8A04">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15B0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70" w:type="dxa"/>
            <w:vMerge w:val="restart"/>
            <w:noWrap w:val="0"/>
            <w:vAlign w:val="center"/>
          </w:tcPr>
          <w:p w14:paraId="04DC9FE3">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eastAsia="zh-CN"/>
              </w:rPr>
            </w:pPr>
            <w:r>
              <w:rPr>
                <w:rFonts w:hint="eastAsia" w:ascii="宋体" w:hAnsi="宋体" w:eastAsia="宋体" w:cs="宋体"/>
                <w:color w:val="auto"/>
                <w:spacing w:val="-11"/>
                <w:sz w:val="22"/>
                <w:szCs w:val="22"/>
                <w:highlight w:val="none"/>
                <w:lang w:eastAsia="zh-CN"/>
              </w:rPr>
              <w:t>五</w:t>
            </w:r>
          </w:p>
        </w:tc>
        <w:tc>
          <w:tcPr>
            <w:tcW w:w="1336" w:type="dxa"/>
            <w:vMerge w:val="restart"/>
            <w:noWrap w:val="0"/>
            <w:vAlign w:val="center"/>
          </w:tcPr>
          <w:p w14:paraId="074D5597">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交办督办处置(15分)</w:t>
            </w:r>
          </w:p>
        </w:tc>
        <w:tc>
          <w:tcPr>
            <w:tcW w:w="3914" w:type="dxa"/>
            <w:noWrap w:val="0"/>
            <w:vAlign w:val="center"/>
          </w:tcPr>
          <w:p w14:paraId="16707440">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1.按时处置交办</w:t>
            </w:r>
          </w:p>
        </w:tc>
        <w:tc>
          <w:tcPr>
            <w:tcW w:w="2945" w:type="dxa"/>
            <w:noWrap w:val="0"/>
            <w:vAlign w:val="center"/>
          </w:tcPr>
          <w:p w14:paraId="339283B1">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指挥中心、智慧城管等交办道路设施问题未按期处置（办理）的，发生一次扣2分；处置（办理）不到位的或出现返工的，发生一次扣2分。</w:t>
            </w:r>
          </w:p>
        </w:tc>
        <w:tc>
          <w:tcPr>
            <w:tcW w:w="873" w:type="dxa"/>
            <w:noWrap w:val="0"/>
            <w:vAlign w:val="center"/>
          </w:tcPr>
          <w:p w14:paraId="06C1E49A">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r>
      <w:tr w14:paraId="2A85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70" w:type="dxa"/>
            <w:vMerge w:val="continue"/>
            <w:noWrap w:val="0"/>
            <w:vAlign w:val="center"/>
          </w:tcPr>
          <w:p w14:paraId="265BE4CD">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c>
          <w:tcPr>
            <w:tcW w:w="1336" w:type="dxa"/>
            <w:vMerge w:val="continue"/>
            <w:noWrap w:val="0"/>
            <w:vAlign w:val="center"/>
          </w:tcPr>
          <w:p w14:paraId="2B7358E2">
            <w:pPr>
              <w:keepNext w:val="0"/>
              <w:keepLines w:val="0"/>
              <w:pageBreakBefore w:val="0"/>
              <w:kinsoku/>
              <w:wordWrap/>
              <w:overflowPunct/>
              <w:topLinePunct w:val="0"/>
              <w:bidi w:val="0"/>
              <w:adjustRightInd/>
              <w:snapToGrid w:val="0"/>
              <w:spacing w:line="460" w:lineRule="exact"/>
              <w:jc w:val="center"/>
              <w:rPr>
                <w:rFonts w:hint="eastAsia" w:ascii="宋体" w:hAnsi="宋体" w:eastAsia="宋体" w:cs="宋体"/>
                <w:color w:val="auto"/>
                <w:spacing w:val="-11"/>
                <w:sz w:val="22"/>
                <w:szCs w:val="22"/>
                <w:highlight w:val="none"/>
                <w:lang w:val="zh-CN"/>
              </w:rPr>
            </w:pPr>
          </w:p>
        </w:tc>
        <w:tc>
          <w:tcPr>
            <w:tcW w:w="3914" w:type="dxa"/>
            <w:noWrap w:val="0"/>
            <w:vAlign w:val="center"/>
          </w:tcPr>
          <w:p w14:paraId="431CDA72">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2.重点督办整改</w:t>
            </w:r>
          </w:p>
        </w:tc>
        <w:tc>
          <w:tcPr>
            <w:tcW w:w="2945" w:type="dxa"/>
            <w:noWrap w:val="0"/>
            <w:vAlign w:val="center"/>
          </w:tcPr>
          <w:p w14:paraId="260335B3">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社会反映的热点、焦点问题和市政府阶段重点工作保障任务、领导重要批示要求、市局巡查督办等重点督办件办理、回复不及时的，发现一次扣2分。</w:t>
            </w:r>
          </w:p>
        </w:tc>
        <w:tc>
          <w:tcPr>
            <w:tcW w:w="873" w:type="dxa"/>
            <w:noWrap w:val="0"/>
            <w:vAlign w:val="center"/>
          </w:tcPr>
          <w:p w14:paraId="180F5DD7">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r>
      <w:tr w14:paraId="4D82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70" w:type="dxa"/>
            <w:vMerge w:val="restart"/>
            <w:noWrap w:val="0"/>
            <w:vAlign w:val="center"/>
          </w:tcPr>
          <w:p w14:paraId="13BB5924">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eastAsia="zh-CN"/>
              </w:rPr>
            </w:pPr>
            <w:r>
              <w:rPr>
                <w:rFonts w:hint="eastAsia" w:ascii="宋体" w:hAnsi="宋体" w:eastAsia="宋体" w:cs="宋体"/>
                <w:color w:val="auto"/>
                <w:spacing w:val="-11"/>
                <w:sz w:val="22"/>
                <w:szCs w:val="22"/>
                <w:highlight w:val="none"/>
                <w:lang w:eastAsia="zh-CN"/>
              </w:rPr>
              <w:t>六</w:t>
            </w:r>
          </w:p>
        </w:tc>
        <w:tc>
          <w:tcPr>
            <w:tcW w:w="1336" w:type="dxa"/>
            <w:vMerge w:val="restart"/>
            <w:noWrap w:val="0"/>
            <w:vAlign w:val="center"/>
          </w:tcPr>
          <w:p w14:paraId="75A66FE1">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市政设施突发事故及自然灾害（如台风暴雨等）的应急处置情况（5分）</w:t>
            </w:r>
          </w:p>
        </w:tc>
        <w:tc>
          <w:tcPr>
            <w:tcW w:w="3914" w:type="dxa"/>
            <w:noWrap w:val="0"/>
            <w:vAlign w:val="center"/>
          </w:tcPr>
          <w:p w14:paraId="6C8515E1">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1.根据防汛防台应急预案、道桥坍塌应急预案等内容，在应急事项出现时能根据预案要求，及时开展工程抢险，并做好善后处置。</w:t>
            </w:r>
          </w:p>
        </w:tc>
        <w:tc>
          <w:tcPr>
            <w:tcW w:w="2945" w:type="dxa"/>
            <w:noWrap w:val="0"/>
            <w:vAlign w:val="center"/>
          </w:tcPr>
          <w:p w14:paraId="72F27794">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未能及时赶赴现场的，扣2分；未对突发事件进行及时有效处理的或善后工作未做好，引起的事故的，扣5分。</w:t>
            </w:r>
          </w:p>
        </w:tc>
        <w:tc>
          <w:tcPr>
            <w:tcW w:w="873" w:type="dxa"/>
            <w:vMerge w:val="restart"/>
            <w:noWrap w:val="0"/>
            <w:vAlign w:val="center"/>
          </w:tcPr>
          <w:p w14:paraId="202706D2">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r>
      <w:tr w14:paraId="4F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70" w:type="dxa"/>
            <w:vMerge w:val="continue"/>
            <w:noWrap w:val="0"/>
            <w:vAlign w:val="center"/>
          </w:tcPr>
          <w:p w14:paraId="77BF6829">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1336" w:type="dxa"/>
            <w:vMerge w:val="continue"/>
            <w:noWrap w:val="0"/>
            <w:vAlign w:val="center"/>
          </w:tcPr>
          <w:p w14:paraId="5620CA44">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kern w:val="0"/>
                <w:sz w:val="22"/>
                <w:szCs w:val="22"/>
                <w:highlight w:val="none"/>
              </w:rPr>
            </w:pPr>
          </w:p>
        </w:tc>
        <w:tc>
          <w:tcPr>
            <w:tcW w:w="3914" w:type="dxa"/>
            <w:noWrap w:val="0"/>
            <w:vAlign w:val="center"/>
          </w:tcPr>
          <w:p w14:paraId="3B5381D4">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2.做好设施保护范围内巡检，发现违章施工、设施遭破坏等，及时报告、采取措施和协助执法。</w:t>
            </w:r>
          </w:p>
        </w:tc>
        <w:tc>
          <w:tcPr>
            <w:tcW w:w="2945" w:type="dxa"/>
            <w:noWrap w:val="0"/>
            <w:vAlign w:val="center"/>
          </w:tcPr>
          <w:p w14:paraId="0C86155B">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未及时报告的每次扣1分，未采取措施或措施不力的每次扣2分。</w:t>
            </w:r>
          </w:p>
        </w:tc>
        <w:tc>
          <w:tcPr>
            <w:tcW w:w="873" w:type="dxa"/>
            <w:vMerge w:val="continue"/>
            <w:noWrap w:val="0"/>
            <w:vAlign w:val="center"/>
          </w:tcPr>
          <w:p w14:paraId="24C9A27C">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r>
      <w:tr w14:paraId="1ECD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70" w:type="dxa"/>
            <w:noWrap w:val="0"/>
            <w:vAlign w:val="center"/>
          </w:tcPr>
          <w:p w14:paraId="468DC570">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eastAsia="zh-CN"/>
              </w:rPr>
            </w:pPr>
            <w:r>
              <w:rPr>
                <w:rFonts w:hint="eastAsia" w:ascii="宋体" w:hAnsi="宋体" w:eastAsia="宋体" w:cs="宋体"/>
                <w:color w:val="auto"/>
                <w:spacing w:val="-11"/>
                <w:sz w:val="22"/>
                <w:szCs w:val="22"/>
                <w:highlight w:val="none"/>
                <w:lang w:eastAsia="zh-CN"/>
              </w:rPr>
              <w:t>七</w:t>
            </w:r>
          </w:p>
        </w:tc>
        <w:tc>
          <w:tcPr>
            <w:tcW w:w="1336" w:type="dxa"/>
            <w:noWrap w:val="0"/>
            <w:vAlign w:val="center"/>
          </w:tcPr>
          <w:p w14:paraId="7E7C77F3">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被媒体曝光或领导发现批示等内容（5分）</w:t>
            </w:r>
          </w:p>
        </w:tc>
        <w:tc>
          <w:tcPr>
            <w:tcW w:w="3914" w:type="dxa"/>
            <w:noWrap w:val="0"/>
            <w:vAlign w:val="center"/>
          </w:tcPr>
          <w:p w14:paraId="303CA2CB">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加强文明、安全施工等管理工作，并做好与工程现场周边社区、居民的沟通，尽量避免投诉反映。</w:t>
            </w:r>
          </w:p>
        </w:tc>
        <w:tc>
          <w:tcPr>
            <w:tcW w:w="2945" w:type="dxa"/>
            <w:noWrap w:val="0"/>
            <w:vAlign w:val="center"/>
          </w:tcPr>
          <w:p w14:paraId="5C251BB7">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有责投诉一次，扣1分；领导发现批示一次，扣2.5分；被媒体曝光一次扣5分。</w:t>
            </w:r>
          </w:p>
        </w:tc>
        <w:tc>
          <w:tcPr>
            <w:tcW w:w="873" w:type="dxa"/>
            <w:noWrap w:val="0"/>
            <w:vAlign w:val="center"/>
          </w:tcPr>
          <w:p w14:paraId="57C7BC21">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r>
      <w:tr w14:paraId="0FE1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006" w:type="dxa"/>
            <w:gridSpan w:val="2"/>
            <w:noWrap w:val="0"/>
            <w:vAlign w:val="center"/>
          </w:tcPr>
          <w:p w14:paraId="32CBAC00">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spacing w:val="-11"/>
                <w:sz w:val="22"/>
                <w:szCs w:val="22"/>
                <w:highlight w:val="none"/>
                <w:lang w:val="zh-CN"/>
              </w:rPr>
              <w:t>合计</w:t>
            </w:r>
          </w:p>
        </w:tc>
        <w:tc>
          <w:tcPr>
            <w:tcW w:w="3914" w:type="dxa"/>
            <w:noWrap w:val="0"/>
            <w:vAlign w:val="center"/>
          </w:tcPr>
          <w:p w14:paraId="1DA7454E">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c>
          <w:tcPr>
            <w:tcW w:w="2945" w:type="dxa"/>
            <w:noWrap w:val="0"/>
            <w:vAlign w:val="center"/>
          </w:tcPr>
          <w:p w14:paraId="1F18830D">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c>
          <w:tcPr>
            <w:tcW w:w="873" w:type="dxa"/>
            <w:noWrap w:val="0"/>
            <w:vAlign w:val="center"/>
          </w:tcPr>
          <w:p w14:paraId="4AF3A76B">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r>
    </w:tbl>
    <w:p w14:paraId="6E4FE94D">
      <w:pPr>
        <w:keepNext w:val="0"/>
        <w:keepLines w:val="0"/>
        <w:pageBreakBefore w:val="0"/>
        <w:widowControl/>
        <w:kinsoku/>
        <w:wordWrap/>
        <w:overflowPunct/>
        <w:topLinePunct w:val="0"/>
        <w:autoSpaceDE w:val="0"/>
        <w:autoSpaceDN w:val="0"/>
        <w:bidi w:val="0"/>
        <w:adjustRightInd/>
        <w:spacing w:line="460" w:lineRule="exact"/>
        <w:textAlignment w:val="bottom"/>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考核人（工程负责人）：                                考核日期：</w:t>
      </w:r>
    </w:p>
    <w:p w14:paraId="42C124D9">
      <w:pPr>
        <w:keepNext w:val="0"/>
        <w:keepLines w:val="0"/>
        <w:pageBreakBefore w:val="0"/>
        <w:widowControl/>
        <w:kinsoku/>
        <w:wordWrap/>
        <w:overflowPunct/>
        <w:topLinePunct w:val="0"/>
        <w:autoSpaceDE w:val="0"/>
        <w:autoSpaceDN w:val="0"/>
        <w:bidi w:val="0"/>
        <w:adjustRightInd/>
        <w:spacing w:line="460" w:lineRule="exact"/>
        <w:textAlignment w:val="bottom"/>
        <w:rPr>
          <w:rFonts w:hint="eastAsia" w:ascii="宋体" w:hAnsi="宋体" w:eastAsia="宋体" w:cs="宋体"/>
          <w:b/>
          <w:color w:val="auto"/>
          <w:sz w:val="22"/>
          <w:szCs w:val="22"/>
          <w:highlight w:val="none"/>
          <w:lang w:val="zh-CN"/>
        </w:rPr>
      </w:pPr>
    </w:p>
    <w:p w14:paraId="3166FFAE">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zh-CN"/>
        </w:rPr>
        <w:t xml:space="preserve">考核单位（盖章）：                                     </w:t>
      </w:r>
      <w:r>
        <w:rPr>
          <w:rFonts w:hint="eastAsia" w:ascii="宋体" w:hAnsi="宋体" w:eastAsia="宋体" w:cs="宋体"/>
          <w:b/>
          <w:color w:val="auto"/>
          <w:sz w:val="22"/>
          <w:szCs w:val="22"/>
          <w:highlight w:val="none"/>
        </w:rPr>
        <w:t xml:space="preserve"> </w:t>
      </w:r>
      <w:r>
        <w:rPr>
          <w:rFonts w:hint="eastAsia" w:ascii="宋体" w:hAnsi="宋体" w:eastAsia="宋体" w:cs="宋体"/>
          <w:b/>
          <w:color w:val="auto"/>
          <w:sz w:val="22"/>
          <w:szCs w:val="22"/>
          <w:highlight w:val="none"/>
          <w:lang w:val="zh-CN"/>
        </w:rPr>
        <w:t xml:space="preserve"> 时 间：</w:t>
      </w:r>
      <w:r>
        <w:rPr>
          <w:rFonts w:hint="eastAsia" w:ascii="宋体" w:hAnsi="宋体" w:eastAsia="宋体" w:cs="宋体"/>
          <w:b/>
          <w:color w:val="auto"/>
          <w:sz w:val="22"/>
          <w:szCs w:val="22"/>
          <w:highlight w:val="none"/>
        </w:rPr>
        <w:t xml:space="preserve">   </w:t>
      </w:r>
    </w:p>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14:paraId="52306345">
      <w:pPr>
        <w:keepNext w:val="0"/>
        <w:keepLines w:val="0"/>
        <w:pageBreakBefore w:val="0"/>
        <w:widowControl w:val="0"/>
        <w:numPr>
          <w:ilvl w:val="0"/>
          <w:numId w:val="5"/>
        </w:numPr>
        <w:kinsoku/>
        <w:wordWrap/>
        <w:overflowPunct/>
        <w:topLinePunct w:val="0"/>
        <w:bidi w:val="0"/>
        <w:spacing w:line="460" w:lineRule="exact"/>
        <w:textAlignment w:val="auto"/>
        <w:rPr>
          <w:rFonts w:hint="eastAsia" w:ascii="宋体" w:hAnsi="宋体" w:eastAsia="宋体" w:cs="宋体"/>
          <w:color w:val="auto"/>
          <w:highlight w:val="none"/>
        </w:rPr>
      </w:pPr>
      <w:r>
        <w:rPr>
          <w:rFonts w:hint="eastAsia" w:ascii="宋体" w:hAnsi="宋体" w:eastAsia="宋体" w:cs="宋体"/>
          <w:b/>
          <w:color w:val="auto"/>
          <w:sz w:val="30"/>
          <w:highlight w:val="none"/>
        </w:rPr>
        <w:br w:type="page"/>
      </w:r>
    </w:p>
    <w:p w14:paraId="050D7BCC">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1"/>
        <w:rPr>
          <w:rFonts w:hint="eastAsia" w:eastAsia="黑体"/>
          <w:color w:val="auto"/>
          <w:sz w:val="44"/>
          <w:highlight w:val="none"/>
        </w:rPr>
      </w:pPr>
      <w:bookmarkStart w:id="96" w:name="_Toc18194"/>
      <w:bookmarkStart w:id="97" w:name="_Toc30323"/>
      <w:r>
        <w:rPr>
          <w:rFonts w:hint="eastAsia" w:eastAsia="黑体"/>
          <w:color w:val="auto"/>
          <w:sz w:val="44"/>
          <w:highlight w:val="none"/>
        </w:rPr>
        <w:t>总  说  明</w:t>
      </w:r>
    </w:p>
    <w:p w14:paraId="57FF33F6">
      <w:pPr>
        <w:spacing w:line="360" w:lineRule="auto"/>
        <w:rPr>
          <w:rFonts w:hint="eastAsia" w:ascii="宋体" w:hAnsi="宋体"/>
          <w:bCs/>
          <w:color w:val="auto"/>
          <w:sz w:val="20"/>
          <w:szCs w:val="20"/>
          <w:highlight w:val="none"/>
        </w:rPr>
      </w:pPr>
      <w:r>
        <w:rPr>
          <w:rFonts w:hint="eastAsia" w:ascii="宋体" w:hAnsi="宋体"/>
          <w:bCs/>
          <w:color w:val="auto"/>
          <w:sz w:val="20"/>
          <w:szCs w:val="20"/>
          <w:highlight w:val="none"/>
        </w:rPr>
        <w:t>工程名称：</w:t>
      </w:r>
      <w:r>
        <w:rPr>
          <w:rFonts w:hint="eastAsia" w:ascii="宋体" w:hAnsi="宋体"/>
          <w:bCs/>
          <w:color w:val="auto"/>
          <w:sz w:val="20"/>
          <w:szCs w:val="20"/>
          <w:highlight w:val="none"/>
          <w:lang w:val="en-US" w:eastAsia="zh-CN"/>
        </w:rPr>
        <w:t xml:space="preserve">瓯越大道接管期保养工程    </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57" w:type="dxa"/>
          <w:right w:w="113" w:type="dxa"/>
        </w:tblCellMar>
      </w:tblPr>
      <w:tblGrid>
        <w:gridCol w:w="9928"/>
      </w:tblGrid>
      <w:tr w14:paraId="2410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57" w:type="dxa"/>
            <w:right w:w="113" w:type="dxa"/>
          </w:tblCellMar>
        </w:tblPrEx>
        <w:trPr>
          <w:trHeight w:val="11421" w:hRule="atLeast"/>
          <w:jc w:val="center"/>
        </w:trPr>
        <w:tc>
          <w:tcPr>
            <w:tcW w:w="9928" w:type="dxa"/>
            <w:noWrap w:val="0"/>
            <w:vAlign w:val="top"/>
          </w:tcPr>
          <w:p w14:paraId="0698E7B0">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工程概况：</w:t>
            </w:r>
          </w:p>
          <w:p w14:paraId="23ADBEF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eastAsia="宋体" w:cs="宋体"/>
                <w:bCs/>
                <w:color w:val="auto"/>
                <w:szCs w:val="21"/>
                <w:highlight w:val="none"/>
                <w:lang w:val="en-US" w:eastAsia="zh-CN"/>
              </w:rPr>
              <w:t>本工程为瓯越大道接管期保养工程。本项目包含：南北方向：沿现状温瑞大道布置，工程北起瓯海大道南至朝阳新街跨线桥。内容主要包括瓯越大道（温瑞大道南段快速路一期）道桥日常巡查及保养。</w:t>
            </w:r>
          </w:p>
          <w:p w14:paraId="5FC9450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bCs/>
                <w:color w:val="auto"/>
                <w:szCs w:val="21"/>
                <w:highlight w:val="none"/>
                <w:lang w:val="zh-CN" w:eastAsia="zh-CN"/>
              </w:rPr>
            </w:pPr>
            <w:r>
              <w:rPr>
                <w:rFonts w:hint="eastAsia" w:ascii="宋体" w:hAnsi="宋体"/>
                <w:bCs/>
                <w:color w:val="auto"/>
                <w:szCs w:val="21"/>
                <w:highlight w:val="none"/>
                <w:lang w:val="en-US" w:eastAsia="zh-CN"/>
              </w:rPr>
              <w:t>二</w:t>
            </w:r>
            <w:r>
              <w:rPr>
                <w:rFonts w:hint="eastAsia" w:ascii="宋体" w:hAnsi="宋体"/>
                <w:bCs/>
                <w:color w:val="auto"/>
                <w:szCs w:val="21"/>
                <w:highlight w:val="none"/>
                <w:lang w:val="zh-CN" w:eastAsia="zh-CN"/>
              </w:rPr>
              <w:t>、工程服务范围：</w:t>
            </w:r>
          </w:p>
          <w:p w14:paraId="6680B72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瓯越大道主线高架：北起瓯海大道（起点桩号K0+888.4），南至现状朝阳新街快线桥（终点桩号 K5+447），桥梁全长4558.6m，平均宽度25m,面积114608平方米。瓯海大道拼宽段：瓯海大道西侧拼宽，长度403米，宽度7.3~18.7米，4206：平方米。瓯海大道东侧拼宽，长度356米，宽度4.0~9.0米，2049平方米。拼宽段总长度759米，总计6255平方米。另有18条匝道，总长度6733.75米，标准宽度8.5米，总面积63612.5145平方米。</w:t>
            </w:r>
          </w:p>
          <w:p w14:paraId="392A2D1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三</w:t>
            </w:r>
            <w:r>
              <w:rPr>
                <w:rFonts w:hint="eastAsia" w:ascii="宋体" w:hAnsi="宋体"/>
                <w:color w:val="auto"/>
                <w:szCs w:val="21"/>
                <w:highlight w:val="none"/>
              </w:rPr>
              <w:t>、编制依据：</w:t>
            </w:r>
          </w:p>
          <w:p w14:paraId="2895838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1、《建设工程工程量清单计价规范》（GB50500-2013）；  </w:t>
            </w:r>
          </w:p>
          <w:p w14:paraId="4E48B26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val="zh-CN"/>
              </w:rPr>
              <w:t>、《浙江省市政工程预算定额（2018版）》 ；</w:t>
            </w:r>
          </w:p>
          <w:p w14:paraId="58D66A9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val="zh-CN"/>
              </w:rPr>
              <w:t xml:space="preserve">、《浙江省市政设施养护维修定额（2018版）》； </w:t>
            </w:r>
          </w:p>
          <w:p w14:paraId="3695033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val="zh-CN"/>
              </w:rPr>
              <w:t xml:space="preserve">、《浙江省施工机械台班费用参考单价（2018版）》； </w:t>
            </w:r>
          </w:p>
          <w:p w14:paraId="47520E6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lang w:val="zh-CN"/>
              </w:rPr>
              <w:t>、浙建建发〔2019〕92号《关于增值税调整后我省建设工程计价依据增值税税率及有关计价调整的通知》；</w:t>
            </w:r>
          </w:p>
          <w:p w14:paraId="51C394C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lang w:val="zh-CN"/>
              </w:rPr>
              <w:t>、浙建建发〔2022〕37号《省建设厅关于调整建筑工程安全文明施工费的通知》；</w:t>
            </w:r>
          </w:p>
          <w:p w14:paraId="13C6CDB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7、</w:t>
            </w:r>
            <w:r>
              <w:rPr>
                <w:rFonts w:hint="eastAsia"/>
                <w:color w:val="auto"/>
                <w:szCs w:val="21"/>
                <w:highlight w:val="none"/>
              </w:rPr>
              <w:t>材料单价采用2</w:t>
            </w:r>
            <w:r>
              <w:rPr>
                <w:color w:val="auto"/>
                <w:szCs w:val="21"/>
                <w:highlight w:val="none"/>
              </w:rPr>
              <w:t>0</w:t>
            </w:r>
            <w:r>
              <w:rPr>
                <w:rFonts w:hint="eastAsia"/>
                <w:color w:val="auto"/>
                <w:szCs w:val="21"/>
                <w:highlight w:val="none"/>
              </w:rPr>
              <w:t>2</w:t>
            </w:r>
            <w:r>
              <w:rPr>
                <w:rFonts w:hint="eastAsia"/>
                <w:color w:val="auto"/>
                <w:szCs w:val="21"/>
                <w:highlight w:val="none"/>
                <w:lang w:val="en-US" w:eastAsia="zh-CN"/>
              </w:rPr>
              <w:t>5</w:t>
            </w:r>
            <w:r>
              <w:rPr>
                <w:rFonts w:hint="eastAsia"/>
                <w:color w:val="auto"/>
                <w:szCs w:val="21"/>
                <w:highlight w:val="none"/>
              </w:rPr>
              <w:t>年</w:t>
            </w:r>
            <w:r>
              <w:rPr>
                <w:rFonts w:hint="eastAsia"/>
                <w:color w:val="auto"/>
                <w:szCs w:val="21"/>
                <w:highlight w:val="none"/>
                <w:lang w:val="en-US" w:eastAsia="zh-CN"/>
              </w:rPr>
              <w:t>4</w:t>
            </w:r>
            <w:r>
              <w:rPr>
                <w:rFonts w:hint="eastAsia"/>
                <w:color w:val="auto"/>
                <w:szCs w:val="21"/>
                <w:highlight w:val="none"/>
              </w:rPr>
              <w:t>月份</w:t>
            </w:r>
            <w:r>
              <w:rPr>
                <w:rFonts w:hint="eastAsia" w:ascii="宋体" w:hAnsi="宋体" w:cs="宋体"/>
                <w:color w:val="auto"/>
                <w:szCs w:val="21"/>
                <w:highlight w:val="none"/>
              </w:rPr>
              <w:t>《温州工程造价信息》</w:t>
            </w:r>
            <w:r>
              <w:rPr>
                <w:rFonts w:hint="eastAsia"/>
                <w:color w:val="auto"/>
                <w:szCs w:val="21"/>
                <w:highlight w:val="none"/>
              </w:rPr>
              <w:t>执行，信息价没有的材料价格按同期市场价格考虑</w:t>
            </w:r>
            <w:r>
              <w:rPr>
                <w:rFonts w:hint="eastAsia"/>
                <w:color w:val="auto"/>
                <w:szCs w:val="21"/>
                <w:highlight w:val="none"/>
                <w:lang w:eastAsia="zh-CN"/>
              </w:rPr>
              <w:t>；</w:t>
            </w:r>
          </w:p>
          <w:p w14:paraId="0D2A20E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四</w:t>
            </w:r>
            <w:r>
              <w:rPr>
                <w:rFonts w:hint="eastAsia" w:ascii="宋体" w:hAnsi="宋体"/>
                <w:color w:val="auto"/>
                <w:szCs w:val="21"/>
                <w:highlight w:val="none"/>
              </w:rPr>
              <w:t>、编制说明：</w:t>
            </w:r>
          </w:p>
          <w:p w14:paraId="0354535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bCs/>
                <w:color w:val="auto"/>
                <w:szCs w:val="21"/>
                <w:highlight w:val="none"/>
                <w:lang w:val="zh-CN" w:eastAsia="zh-CN"/>
              </w:rPr>
            </w:pPr>
            <w:r>
              <w:rPr>
                <w:rFonts w:hint="eastAsia" w:ascii="宋体" w:hAnsi="宋体"/>
                <w:bCs/>
                <w:color w:val="auto"/>
                <w:szCs w:val="21"/>
                <w:highlight w:val="none"/>
                <w:lang w:val="zh-CN" w:eastAsia="zh-CN"/>
              </w:rPr>
              <w:t>（一）通用部分</w:t>
            </w:r>
          </w:p>
          <w:p w14:paraId="187881D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bCs/>
                <w:color w:val="auto"/>
                <w:szCs w:val="21"/>
                <w:highlight w:val="none"/>
                <w:lang w:val="zh-CN"/>
              </w:rPr>
            </w:pPr>
            <w:r>
              <w:rPr>
                <w:rFonts w:hint="eastAsia" w:ascii="宋体" w:hAnsi="宋体"/>
                <w:bCs/>
                <w:color w:val="auto"/>
                <w:szCs w:val="21"/>
                <w:highlight w:val="none"/>
                <w:lang w:val="zh-CN"/>
              </w:rPr>
              <w:t>（</w:t>
            </w:r>
            <w:r>
              <w:rPr>
                <w:rFonts w:hint="eastAsia" w:ascii="宋体" w:hAnsi="宋体"/>
                <w:bCs/>
                <w:color w:val="auto"/>
                <w:szCs w:val="21"/>
                <w:highlight w:val="none"/>
                <w:lang w:val="en-US" w:eastAsia="zh-CN"/>
              </w:rPr>
              <w:t>1</w:t>
            </w:r>
            <w:r>
              <w:rPr>
                <w:rFonts w:hint="eastAsia" w:ascii="宋体" w:hAnsi="宋体"/>
                <w:bCs/>
                <w:color w:val="auto"/>
                <w:szCs w:val="21"/>
                <w:highlight w:val="none"/>
                <w:lang w:val="zh-CN"/>
              </w:rPr>
              <w:t>）本项目施工期间交通管制及组织等措施费（包含安全措施护栏、人员等费用），投标人须综合考虑工程范围内的相应内容，自行在投标综合单价内考虑。</w:t>
            </w:r>
          </w:p>
          <w:p w14:paraId="2D43735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bCs/>
                <w:color w:val="auto"/>
                <w:szCs w:val="21"/>
                <w:highlight w:val="none"/>
                <w:lang w:val="zh-CN"/>
              </w:rPr>
            </w:pPr>
            <w:r>
              <w:rPr>
                <w:rFonts w:hint="eastAsia" w:ascii="宋体" w:hAnsi="宋体"/>
                <w:bCs/>
                <w:color w:val="auto"/>
                <w:szCs w:val="21"/>
                <w:highlight w:val="none"/>
                <w:lang w:val="zh-CN"/>
              </w:rPr>
              <w:t>（</w:t>
            </w:r>
            <w:r>
              <w:rPr>
                <w:rFonts w:hint="eastAsia" w:ascii="宋体" w:hAnsi="宋体"/>
                <w:bCs/>
                <w:color w:val="auto"/>
                <w:szCs w:val="21"/>
                <w:highlight w:val="none"/>
                <w:lang w:val="en-US" w:eastAsia="zh-CN"/>
              </w:rPr>
              <w:t>2</w:t>
            </w:r>
            <w:r>
              <w:rPr>
                <w:rFonts w:hint="eastAsia" w:ascii="宋体" w:hAnsi="宋体"/>
                <w:bCs/>
                <w:color w:val="auto"/>
                <w:szCs w:val="21"/>
                <w:highlight w:val="none"/>
                <w:lang w:val="zh-CN"/>
              </w:rPr>
              <w:t>）施工用水、用电，投标单位自行负责申报施工用水用电及相关费用，投标人须综合考虑工程范围内的相应内容，自行在投标综合单价内考虑。</w:t>
            </w:r>
          </w:p>
          <w:p w14:paraId="0DEE194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bCs/>
                <w:color w:val="auto"/>
                <w:szCs w:val="21"/>
                <w:highlight w:val="none"/>
                <w:lang w:val="zh-CN"/>
              </w:rPr>
            </w:pPr>
            <w:r>
              <w:rPr>
                <w:rFonts w:hint="eastAsia" w:ascii="宋体" w:hAnsi="宋体"/>
                <w:bCs/>
                <w:color w:val="auto"/>
                <w:szCs w:val="21"/>
                <w:highlight w:val="none"/>
                <w:lang w:val="zh-CN"/>
              </w:rPr>
              <w:t>（</w:t>
            </w:r>
            <w:r>
              <w:rPr>
                <w:rFonts w:hint="eastAsia" w:ascii="宋体" w:hAnsi="宋体"/>
                <w:bCs/>
                <w:color w:val="auto"/>
                <w:szCs w:val="21"/>
                <w:highlight w:val="none"/>
                <w:lang w:val="en-US" w:eastAsia="zh-CN"/>
              </w:rPr>
              <w:t>3</w:t>
            </w:r>
            <w:r>
              <w:rPr>
                <w:rFonts w:hint="eastAsia" w:ascii="宋体" w:hAnsi="宋体"/>
                <w:bCs/>
                <w:color w:val="auto"/>
                <w:szCs w:val="21"/>
                <w:highlight w:val="none"/>
                <w:lang w:val="zh-CN"/>
              </w:rPr>
              <w:t>）本项目配备必要的生产设备及物料，放置在专门的基地（保证供应量、具备环保要求），投标人须综合考虑工程范围内的相应内容，自行在投标综合单价内考虑。</w:t>
            </w:r>
          </w:p>
          <w:p w14:paraId="124CBE9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zh-CN"/>
              </w:rPr>
              <w:t>（</w:t>
            </w:r>
            <w:r>
              <w:rPr>
                <w:rFonts w:hint="eastAsia" w:ascii="宋体" w:hAnsi="宋体"/>
                <w:bCs/>
                <w:color w:val="auto"/>
                <w:szCs w:val="21"/>
                <w:highlight w:val="none"/>
                <w:lang w:val="en-US" w:eastAsia="zh-CN"/>
              </w:rPr>
              <w:t>4</w:t>
            </w:r>
            <w:r>
              <w:rPr>
                <w:rFonts w:hint="eastAsia" w:ascii="宋体" w:hAnsi="宋体"/>
                <w:bCs/>
                <w:color w:val="auto"/>
                <w:szCs w:val="21"/>
                <w:highlight w:val="none"/>
                <w:lang w:val="zh-CN"/>
              </w:rPr>
              <w:t>）大型机械设备进出场及安拆，由投标人自行考虑风险，综合报价，今后结算不予调整。</w:t>
            </w:r>
          </w:p>
          <w:p w14:paraId="63348B8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五、以下空白</w:t>
            </w:r>
          </w:p>
          <w:p w14:paraId="2E9DA0A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bCs/>
                <w:color w:val="auto"/>
                <w:szCs w:val="21"/>
                <w:highlight w:val="none"/>
                <w:lang w:val="en-US" w:eastAsia="zh-CN"/>
              </w:rPr>
            </w:pPr>
          </w:p>
          <w:p w14:paraId="569D8F5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Times New Roman"/>
                <w:bCs/>
                <w:color w:val="auto"/>
                <w:szCs w:val="21"/>
                <w:highlight w:val="none"/>
                <w:lang w:val="en-US" w:eastAsia="zh-CN"/>
              </w:rPr>
            </w:pPr>
          </w:p>
        </w:tc>
      </w:tr>
    </w:tbl>
    <w:p w14:paraId="02A192CA">
      <w:pPr>
        <w:rPr>
          <w:rFonts w:hint="eastAsia" w:ascii="宋体" w:hAnsi="宋体" w:eastAsia="宋体" w:cs="宋体"/>
          <w:color w:val="auto"/>
          <w:highlight w:val="none"/>
        </w:rPr>
      </w:pPr>
    </w:p>
    <w:p w14:paraId="77EF277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ADEEA4E">
      <w:pPr>
        <w:pStyle w:val="3"/>
        <w:bidi w:val="0"/>
        <w:rPr>
          <w:rFonts w:hint="eastAsia" w:ascii="宋体" w:hAnsi="宋体" w:eastAsia="宋体" w:cs="宋体"/>
          <w:color w:val="auto"/>
          <w:highlight w:val="none"/>
        </w:rPr>
      </w:pPr>
      <w:r>
        <w:rPr>
          <w:rFonts w:hint="eastAsia" w:ascii="宋体" w:hAnsi="宋体" w:eastAsia="宋体" w:cs="宋体"/>
          <w:color w:val="auto"/>
          <w:highlight w:val="none"/>
        </w:rPr>
        <w:t>第五部分   评标原则及方法</w:t>
      </w:r>
      <w:bookmarkEnd w:id="96"/>
      <w:bookmarkEnd w:id="97"/>
    </w:p>
    <w:p w14:paraId="6239FC0A">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497B5760">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98" w:name="_Toc15713"/>
      <w:bookmarkStart w:id="99" w:name="_Toc4407"/>
      <w:r>
        <w:rPr>
          <w:rFonts w:hint="eastAsia" w:ascii="宋体" w:hAnsi="宋体" w:eastAsia="宋体" w:cs="宋体"/>
          <w:b/>
          <w:color w:val="auto"/>
          <w:sz w:val="22"/>
          <w:szCs w:val="22"/>
          <w:highlight w:val="none"/>
        </w:rPr>
        <w:t>一、总 则</w:t>
      </w:r>
      <w:bookmarkEnd w:id="98"/>
      <w:bookmarkEnd w:id="99"/>
    </w:p>
    <w:p w14:paraId="1E39B0B7">
      <w:pPr>
        <w:spacing w:line="460" w:lineRule="exact"/>
        <w:ind w:firstLine="539" w:firstLineChars="245"/>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0B16B9AE">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100" w:name="_Toc23152"/>
      <w:bookmarkStart w:id="101" w:name="_Toc24468"/>
      <w:r>
        <w:rPr>
          <w:rFonts w:hint="eastAsia" w:ascii="宋体" w:hAnsi="宋体" w:eastAsia="宋体" w:cs="宋体"/>
          <w:b/>
          <w:color w:val="auto"/>
          <w:sz w:val="22"/>
          <w:szCs w:val="22"/>
          <w:highlight w:val="none"/>
        </w:rPr>
        <w:t>二、评标组织</w:t>
      </w:r>
      <w:bookmarkEnd w:id="100"/>
      <w:bookmarkEnd w:id="101"/>
    </w:p>
    <w:p w14:paraId="689A4C09">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评标工作由招标人组建的评标委员会负责，评标全过程由有关部门指导监督。</w:t>
      </w:r>
    </w:p>
    <w:p w14:paraId="0B30B456">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102" w:name="_Toc67"/>
      <w:bookmarkStart w:id="103" w:name="_Toc15153"/>
      <w:r>
        <w:rPr>
          <w:rFonts w:hint="eastAsia" w:ascii="宋体" w:hAnsi="宋体" w:eastAsia="宋体" w:cs="宋体"/>
          <w:b/>
          <w:color w:val="auto"/>
          <w:sz w:val="22"/>
          <w:szCs w:val="22"/>
          <w:highlight w:val="none"/>
        </w:rPr>
        <w:t>三、评标程序</w:t>
      </w:r>
      <w:bookmarkEnd w:id="102"/>
      <w:bookmarkEnd w:id="103"/>
    </w:p>
    <w:p w14:paraId="723C7383">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评标委员按照招标文件中规定的评标方法和标准，对投标文件进行商务和技术评估，综合比较与评价</w:t>
      </w:r>
      <w:r>
        <w:rPr>
          <w:rFonts w:hint="eastAsia" w:ascii="宋体" w:hAnsi="宋体" w:eastAsia="宋体" w:cs="宋体"/>
          <w:color w:val="auto"/>
          <w:sz w:val="22"/>
          <w:szCs w:val="22"/>
          <w:highlight w:val="none"/>
        </w:rPr>
        <w:t>，根据综合评审结果，提交评审报告。</w:t>
      </w:r>
    </w:p>
    <w:p w14:paraId="5D2C73D4">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104" w:name="_Toc11306"/>
      <w:bookmarkStart w:id="105" w:name="_Toc24825"/>
      <w:r>
        <w:rPr>
          <w:rFonts w:hint="eastAsia" w:ascii="宋体" w:hAnsi="宋体" w:eastAsia="宋体" w:cs="宋体"/>
          <w:b/>
          <w:color w:val="auto"/>
          <w:sz w:val="22"/>
          <w:szCs w:val="22"/>
          <w:highlight w:val="none"/>
        </w:rPr>
        <w:t>四、评标办法</w:t>
      </w:r>
      <w:bookmarkEnd w:id="104"/>
      <w:bookmarkEnd w:id="105"/>
    </w:p>
    <w:p w14:paraId="1C499614">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auto"/>
          <w:sz w:val="22"/>
          <w:szCs w:val="22"/>
          <w:highlight w:val="none"/>
        </w:rPr>
        <w:t>总分设定为100分：技术标</w:t>
      </w:r>
      <w:r>
        <w:rPr>
          <w:rFonts w:hint="eastAsia" w:ascii="宋体" w:hAnsi="宋体" w:cs="宋体"/>
          <w:b/>
          <w:color w:val="auto"/>
          <w:sz w:val="22"/>
          <w:szCs w:val="22"/>
          <w:highlight w:val="none"/>
          <w:lang w:val="en-US" w:eastAsia="zh-CN"/>
        </w:rPr>
        <w:t>85</w:t>
      </w:r>
      <w:r>
        <w:rPr>
          <w:rFonts w:hint="eastAsia" w:ascii="宋体" w:hAnsi="宋体" w:eastAsia="宋体" w:cs="宋体"/>
          <w:b/>
          <w:color w:val="auto"/>
          <w:sz w:val="22"/>
          <w:szCs w:val="22"/>
          <w:highlight w:val="none"/>
        </w:rPr>
        <w:t>分（权值</w:t>
      </w:r>
      <w:r>
        <w:rPr>
          <w:rFonts w:hint="eastAsia" w:ascii="宋体" w:hAnsi="宋体" w:cs="宋体"/>
          <w:b/>
          <w:color w:val="auto"/>
          <w:sz w:val="22"/>
          <w:szCs w:val="22"/>
          <w:highlight w:val="none"/>
          <w:lang w:val="en-US" w:eastAsia="zh-CN"/>
        </w:rPr>
        <w:t>85</w:t>
      </w:r>
      <w:r>
        <w:rPr>
          <w:rFonts w:hint="eastAsia" w:ascii="宋体" w:hAnsi="宋体" w:eastAsia="宋体" w:cs="宋体"/>
          <w:b/>
          <w:color w:val="auto"/>
          <w:sz w:val="22"/>
          <w:szCs w:val="22"/>
          <w:highlight w:val="none"/>
        </w:rPr>
        <w:t>%），商务标（报价）</w:t>
      </w:r>
      <w:r>
        <w:rPr>
          <w:rFonts w:hint="eastAsia" w:ascii="宋体" w:hAnsi="宋体" w:cs="宋体"/>
          <w:b/>
          <w:color w:val="auto"/>
          <w:sz w:val="22"/>
          <w:szCs w:val="22"/>
          <w:highlight w:val="none"/>
          <w:lang w:val="en-US" w:eastAsia="zh-CN"/>
        </w:rPr>
        <w:t>15</w:t>
      </w:r>
      <w:r>
        <w:rPr>
          <w:rFonts w:hint="eastAsia" w:ascii="宋体" w:hAnsi="宋体" w:eastAsia="宋体" w:cs="宋体"/>
          <w:b/>
          <w:color w:val="auto"/>
          <w:sz w:val="22"/>
          <w:szCs w:val="22"/>
          <w:highlight w:val="none"/>
        </w:rPr>
        <w:t>分（权值</w:t>
      </w:r>
      <w:r>
        <w:rPr>
          <w:rFonts w:hint="eastAsia" w:ascii="宋体" w:hAnsi="宋体" w:cs="宋体"/>
          <w:b/>
          <w:color w:val="auto"/>
          <w:sz w:val="22"/>
          <w:szCs w:val="22"/>
          <w:highlight w:val="none"/>
          <w:lang w:val="en-US" w:eastAsia="zh-CN"/>
        </w:rPr>
        <w:t>15</w:t>
      </w:r>
      <w:r>
        <w:rPr>
          <w:rFonts w:hint="eastAsia" w:ascii="宋体" w:hAnsi="宋体" w:eastAsia="宋体" w:cs="宋体"/>
          <w:b/>
          <w:color w:val="auto"/>
          <w:sz w:val="22"/>
          <w:szCs w:val="22"/>
          <w:highlight w:val="none"/>
        </w:rPr>
        <w:t>%）。</w:t>
      </w:r>
    </w:p>
    <w:p w14:paraId="15F26FE8">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106" w:name="_Toc11450"/>
      <w:bookmarkStart w:id="107" w:name="_Toc1535"/>
      <w:r>
        <w:rPr>
          <w:rFonts w:hint="eastAsia" w:ascii="宋体" w:hAnsi="宋体" w:eastAsia="宋体" w:cs="宋体"/>
          <w:b/>
          <w:color w:val="auto"/>
          <w:sz w:val="22"/>
          <w:szCs w:val="22"/>
          <w:highlight w:val="none"/>
        </w:rPr>
        <w:t>评分细则</w:t>
      </w:r>
      <w:bookmarkEnd w:id="106"/>
      <w:bookmarkEnd w:id="107"/>
    </w:p>
    <w:p w14:paraId="5404F74C">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1、技术分的评定：技术标</w:t>
      </w:r>
      <w:r>
        <w:rPr>
          <w:rFonts w:hint="eastAsia" w:ascii="宋体" w:hAnsi="宋体" w:cs="宋体"/>
          <w:b/>
          <w:color w:val="auto"/>
          <w:sz w:val="22"/>
          <w:szCs w:val="22"/>
          <w:highlight w:val="none"/>
          <w:lang w:val="en-US" w:eastAsia="zh-CN"/>
        </w:rPr>
        <w:t>85</w:t>
      </w:r>
      <w:r>
        <w:rPr>
          <w:rFonts w:hint="eastAsia" w:ascii="宋体" w:hAnsi="宋体" w:eastAsia="宋体" w:cs="宋体"/>
          <w:b/>
          <w:color w:val="auto"/>
          <w:sz w:val="22"/>
          <w:szCs w:val="22"/>
          <w:highlight w:val="none"/>
        </w:rPr>
        <w:t>分（权值</w:t>
      </w:r>
      <w:r>
        <w:rPr>
          <w:rFonts w:hint="eastAsia" w:ascii="宋体" w:hAnsi="宋体" w:cs="宋体"/>
          <w:b/>
          <w:color w:val="auto"/>
          <w:sz w:val="22"/>
          <w:szCs w:val="22"/>
          <w:highlight w:val="none"/>
          <w:lang w:val="en-US" w:eastAsia="zh-CN"/>
        </w:rPr>
        <w:t>85</w:t>
      </w:r>
      <w:r>
        <w:rPr>
          <w:rFonts w:hint="eastAsia" w:ascii="宋体" w:hAnsi="宋体" w:eastAsia="宋体" w:cs="宋体"/>
          <w:b/>
          <w:color w:val="auto"/>
          <w:sz w:val="22"/>
          <w:szCs w:val="22"/>
          <w:highlight w:val="none"/>
        </w:rPr>
        <w:t>%）</w:t>
      </w:r>
    </w:p>
    <w:p w14:paraId="111BF887">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auto"/>
          <w:sz w:val="22"/>
          <w:highlight w:val="none"/>
        </w:rPr>
        <w:t>各评标委员会成员对各投标人的各项评分内容评分的算术平均值为各投标人技术分得分</w:t>
      </w:r>
      <w:r>
        <w:rPr>
          <w:rFonts w:hint="eastAsia" w:ascii="宋体" w:hAnsi="宋体" w:eastAsia="宋体" w:cs="宋体"/>
          <w:color w:val="auto"/>
          <w:sz w:val="22"/>
          <w:szCs w:val="22"/>
          <w:highlight w:val="none"/>
        </w:rPr>
        <w:t>（小数点后按四舍五入保留2位）。</w:t>
      </w:r>
    </w:p>
    <w:tbl>
      <w:tblPr>
        <w:tblStyle w:val="53"/>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84"/>
        <w:gridCol w:w="6361"/>
        <w:gridCol w:w="810"/>
        <w:gridCol w:w="1015"/>
      </w:tblGrid>
      <w:tr w14:paraId="7255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00" w:type="dxa"/>
            <w:noWrap w:val="0"/>
            <w:vAlign w:val="center"/>
          </w:tcPr>
          <w:p w14:paraId="079E3ACE">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425" w:leftChars="0" w:hanging="425" w:firstLineChars="0"/>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序号</w:t>
            </w:r>
          </w:p>
        </w:tc>
        <w:tc>
          <w:tcPr>
            <w:tcW w:w="1284" w:type="dxa"/>
            <w:noWrap w:val="0"/>
            <w:vAlign w:val="center"/>
          </w:tcPr>
          <w:p w14:paraId="241C7D56">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425" w:leftChars="0" w:hanging="425" w:firstLineChars="0"/>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评分内容</w:t>
            </w:r>
          </w:p>
        </w:tc>
        <w:tc>
          <w:tcPr>
            <w:tcW w:w="6361" w:type="dxa"/>
            <w:noWrap w:val="0"/>
            <w:vAlign w:val="center"/>
          </w:tcPr>
          <w:p w14:paraId="2F3996A9">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425" w:leftChars="0" w:hanging="425" w:firstLineChars="0"/>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评分细则</w:t>
            </w:r>
          </w:p>
        </w:tc>
        <w:tc>
          <w:tcPr>
            <w:tcW w:w="810" w:type="dxa"/>
            <w:noWrap w:val="0"/>
            <w:vAlign w:val="center"/>
          </w:tcPr>
          <w:p w14:paraId="5F36A25C">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分值</w:t>
            </w:r>
          </w:p>
        </w:tc>
        <w:tc>
          <w:tcPr>
            <w:tcW w:w="1015" w:type="dxa"/>
            <w:noWrap w:val="0"/>
            <w:vAlign w:val="center"/>
          </w:tcPr>
          <w:p w14:paraId="5BFDC678">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备注</w:t>
            </w:r>
          </w:p>
        </w:tc>
      </w:tr>
      <w:tr w14:paraId="5C1E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00" w:type="dxa"/>
            <w:noWrap w:val="0"/>
            <w:vAlign w:val="center"/>
          </w:tcPr>
          <w:p w14:paraId="745BC986">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425" w:leftChars="0" w:hanging="425"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1284" w:type="dxa"/>
            <w:noWrap w:val="0"/>
            <w:vAlign w:val="center"/>
          </w:tcPr>
          <w:p w14:paraId="74E372B3">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体系认证证书</w:t>
            </w:r>
          </w:p>
        </w:tc>
        <w:tc>
          <w:tcPr>
            <w:tcW w:w="6361" w:type="dxa"/>
            <w:noWrap w:val="0"/>
            <w:vAlign w:val="center"/>
          </w:tcPr>
          <w:p w14:paraId="78D6F2E1">
            <w:pPr>
              <w:keepNext w:val="0"/>
              <w:keepLines w:val="0"/>
              <w:pageBreakBefore w:val="0"/>
              <w:shd w:val="clear" w:color="auto" w:fill="auto"/>
              <w:kinsoku/>
              <w:overflowPunct/>
              <w:topLinePunct w:val="0"/>
              <w:autoSpaceDE/>
              <w:autoSpaceDN/>
              <w:bidi w:val="0"/>
              <w:adjustRightInd/>
              <w:snapToGri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投标人具有：①质量管理体系认证证书、②环境管理体系认证证书、③职业健康安全管理体系认证证书，每提供一个得1分，最高得3分。</w:t>
            </w:r>
          </w:p>
          <w:p w14:paraId="65AE7220">
            <w:pPr>
              <w:keepNext w:val="0"/>
              <w:keepLines w:val="0"/>
              <w:pageBreakBefore w:val="0"/>
              <w:shd w:val="clear" w:color="auto" w:fill="auto"/>
              <w:kinsoku/>
              <w:overflowPunct/>
              <w:topLinePunct w:val="0"/>
              <w:autoSpaceDE/>
              <w:autoSpaceDN/>
              <w:bidi w:val="0"/>
              <w:adjustRightInd/>
              <w:snapToGri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注：需提供有效期内的认证证书或官网http://www.cnca.gov.cn/查询截图，不提供证书或截图的不得分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分包形式履行合同的，分包供应商不作为评审对象</w:t>
            </w:r>
            <w:r>
              <w:rPr>
                <w:rFonts w:hint="eastAsia" w:ascii="宋体" w:hAnsi="宋体" w:eastAsia="宋体" w:cs="宋体"/>
                <w:color w:val="auto"/>
                <w:sz w:val="22"/>
                <w:szCs w:val="22"/>
                <w:highlight w:val="none"/>
              </w:rPr>
              <w:t>。</w:t>
            </w:r>
          </w:p>
        </w:tc>
        <w:tc>
          <w:tcPr>
            <w:tcW w:w="810" w:type="dxa"/>
            <w:noWrap w:val="0"/>
            <w:vAlign w:val="center"/>
          </w:tcPr>
          <w:p w14:paraId="7DE2BADE">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1015" w:type="dxa"/>
            <w:noWrap w:val="0"/>
            <w:vAlign w:val="center"/>
          </w:tcPr>
          <w:p w14:paraId="5D4D0BB6">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客观分</w:t>
            </w:r>
          </w:p>
        </w:tc>
      </w:tr>
      <w:tr w14:paraId="31BD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0" w:type="dxa"/>
            <w:noWrap w:val="0"/>
            <w:vAlign w:val="center"/>
          </w:tcPr>
          <w:p w14:paraId="207C9B32">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425" w:leftChars="0" w:hanging="425"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1284" w:type="dxa"/>
            <w:noWrap w:val="0"/>
            <w:vAlign w:val="center"/>
          </w:tcPr>
          <w:p w14:paraId="4AC9BBEF">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业绩</w:t>
            </w:r>
          </w:p>
        </w:tc>
        <w:tc>
          <w:tcPr>
            <w:tcW w:w="6361" w:type="dxa"/>
            <w:noWrap w:val="0"/>
            <w:vAlign w:val="center"/>
          </w:tcPr>
          <w:p w14:paraId="1235B07C">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提供</w:t>
            </w:r>
            <w:r>
              <w:rPr>
                <w:rFonts w:hint="eastAsia" w:ascii="宋体" w:hAnsi="宋体" w:eastAsia="宋体" w:cs="宋体"/>
                <w:color w:val="auto"/>
                <w:sz w:val="22"/>
                <w:szCs w:val="22"/>
                <w:highlight w:val="none"/>
                <w:lang w:val="en-US" w:eastAsia="zh-CN"/>
              </w:rPr>
              <w:t>的自</w:t>
            </w:r>
            <w:r>
              <w:rPr>
                <w:rFonts w:hint="eastAsia" w:ascii="宋体" w:hAnsi="宋体" w:eastAsia="宋体" w:cs="宋体"/>
                <w:color w:val="auto"/>
                <w:sz w:val="22"/>
                <w:szCs w:val="22"/>
                <w:highlight w:val="none"/>
              </w:rPr>
              <w:t>202</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年1月1日以来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时间以合同签订日期为准）</w:t>
            </w:r>
            <w:r>
              <w:rPr>
                <w:rFonts w:hint="eastAsia" w:ascii="宋体" w:hAnsi="宋体" w:eastAsia="宋体" w:cs="宋体"/>
                <w:color w:val="auto"/>
                <w:sz w:val="22"/>
                <w:szCs w:val="22"/>
                <w:highlight w:val="none"/>
              </w:rPr>
              <w:t>成功实施的</w:t>
            </w:r>
            <w:r>
              <w:rPr>
                <w:rFonts w:hint="eastAsia" w:ascii="宋体" w:hAnsi="宋体" w:eastAsia="宋体" w:cs="宋体"/>
                <w:color w:val="auto"/>
                <w:sz w:val="22"/>
                <w:szCs w:val="22"/>
                <w:highlight w:val="none"/>
                <w:lang w:val="en-US" w:eastAsia="zh-CN"/>
              </w:rPr>
              <w:t>同类</w:t>
            </w:r>
            <w:r>
              <w:rPr>
                <w:rFonts w:hint="eastAsia" w:ascii="宋体" w:hAnsi="宋体" w:eastAsia="宋体" w:cs="宋体"/>
                <w:color w:val="auto"/>
                <w:sz w:val="22"/>
                <w:szCs w:val="22"/>
                <w:highlight w:val="none"/>
              </w:rPr>
              <w:t>项目的业绩或案例证明（合同</w:t>
            </w:r>
            <w:r>
              <w:rPr>
                <w:rFonts w:hint="eastAsia" w:ascii="宋体" w:hAnsi="宋体" w:eastAsia="宋体" w:cs="宋体"/>
                <w:color w:val="auto"/>
                <w:sz w:val="22"/>
                <w:szCs w:val="22"/>
                <w:highlight w:val="none"/>
                <w:lang w:val="en-US" w:eastAsia="zh-CN"/>
              </w:rPr>
              <w:t>服务内容</w:t>
            </w:r>
            <w:r>
              <w:rPr>
                <w:rFonts w:hint="eastAsia" w:ascii="宋体" w:hAnsi="宋体" w:eastAsia="宋体" w:cs="宋体"/>
                <w:color w:val="auto"/>
                <w:sz w:val="22"/>
                <w:szCs w:val="22"/>
                <w:highlight w:val="none"/>
              </w:rPr>
              <w:t>中</w:t>
            </w:r>
            <w:r>
              <w:rPr>
                <w:rFonts w:hint="eastAsia" w:ascii="宋体" w:hAnsi="宋体" w:eastAsia="宋体" w:cs="宋体"/>
                <w:color w:val="auto"/>
                <w:sz w:val="22"/>
                <w:szCs w:val="22"/>
                <w:highlight w:val="none"/>
                <w:lang w:val="en-US" w:eastAsia="zh-CN"/>
              </w:rPr>
              <w:t>需包</w:t>
            </w:r>
            <w:r>
              <w:rPr>
                <w:rFonts w:hint="eastAsia" w:ascii="宋体" w:hAnsi="宋体" w:eastAsia="宋体" w:cs="宋体"/>
                <w:color w:val="auto"/>
                <w:sz w:val="22"/>
                <w:szCs w:val="22"/>
                <w:highlight w:val="none"/>
              </w:rPr>
              <w:t>含</w:t>
            </w:r>
            <w:r>
              <w:rPr>
                <w:rFonts w:hint="eastAsia" w:ascii="宋体" w:hAnsi="宋体" w:eastAsia="宋体" w:cs="宋体"/>
                <w:color w:val="auto"/>
                <w:sz w:val="22"/>
                <w:szCs w:val="22"/>
                <w:highlight w:val="none"/>
                <w:lang w:val="en-US" w:eastAsia="zh-CN"/>
              </w:rPr>
              <w:t>道路</w:t>
            </w:r>
            <w:r>
              <w:rPr>
                <w:rFonts w:hint="eastAsia" w:ascii="宋体" w:hAnsi="宋体" w:eastAsia="宋体" w:cs="宋体"/>
                <w:color w:val="auto"/>
                <w:sz w:val="22"/>
                <w:szCs w:val="22"/>
                <w:highlight w:val="none"/>
              </w:rPr>
              <w:t>巡查</w:t>
            </w:r>
            <w:r>
              <w:rPr>
                <w:rFonts w:hint="eastAsia" w:ascii="宋体" w:hAnsi="宋体" w:eastAsia="宋体" w:cs="宋体"/>
                <w:color w:val="auto"/>
                <w:sz w:val="22"/>
                <w:szCs w:val="22"/>
                <w:highlight w:val="none"/>
                <w:lang w:val="en-US" w:eastAsia="zh-CN"/>
              </w:rPr>
              <w:t>或</w:t>
            </w:r>
            <w:r>
              <w:rPr>
                <w:rFonts w:hint="eastAsia" w:ascii="宋体" w:hAnsi="宋体" w:eastAsia="宋体" w:cs="宋体"/>
                <w:color w:val="auto"/>
                <w:sz w:val="22"/>
                <w:szCs w:val="22"/>
                <w:highlight w:val="none"/>
              </w:rPr>
              <w:t>养护</w:t>
            </w:r>
            <w:r>
              <w:rPr>
                <w:rFonts w:hint="eastAsia" w:ascii="宋体" w:hAnsi="宋体" w:eastAsia="宋体" w:cs="宋体"/>
                <w:color w:val="auto"/>
                <w:sz w:val="22"/>
                <w:szCs w:val="22"/>
                <w:highlight w:val="none"/>
                <w:lang w:val="en-US" w:eastAsia="zh-CN"/>
              </w:rPr>
              <w:t>等相关内容</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每个得0.5分，最高得1分</w:t>
            </w:r>
            <w:r>
              <w:rPr>
                <w:rFonts w:hint="eastAsia" w:ascii="宋体" w:hAnsi="宋体" w:eastAsia="宋体" w:cs="宋体"/>
                <w:color w:val="auto"/>
                <w:sz w:val="22"/>
                <w:szCs w:val="22"/>
                <w:highlight w:val="none"/>
                <w:lang w:eastAsia="zh-CN"/>
              </w:rPr>
              <w:t>。</w:t>
            </w:r>
          </w:p>
          <w:p w14:paraId="0D3CE34E">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color w:val="auto"/>
                <w:sz w:val="22"/>
                <w:szCs w:val="22"/>
                <w:highlight w:val="none"/>
              </w:rPr>
              <w:t>需提供合同复印件</w:t>
            </w:r>
            <w:r>
              <w:rPr>
                <w:rFonts w:hint="eastAsia" w:ascii="宋体" w:hAnsi="宋体" w:cs="宋体"/>
                <w:color w:val="auto"/>
                <w:sz w:val="22"/>
                <w:szCs w:val="22"/>
                <w:highlight w:val="none"/>
                <w:lang w:val="en-US" w:eastAsia="zh-CN"/>
              </w:rPr>
              <w:t>并加盖公章</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否则</w:t>
            </w:r>
            <w:r>
              <w:rPr>
                <w:rFonts w:hint="eastAsia" w:ascii="宋体" w:hAnsi="宋体" w:eastAsia="宋体" w:cs="宋体"/>
                <w:color w:val="auto"/>
                <w:sz w:val="22"/>
                <w:szCs w:val="22"/>
                <w:highlight w:val="none"/>
              </w:rPr>
              <w:t>不得分。</w:t>
            </w:r>
          </w:p>
        </w:tc>
        <w:tc>
          <w:tcPr>
            <w:tcW w:w="810" w:type="dxa"/>
            <w:noWrap w:val="0"/>
            <w:vAlign w:val="center"/>
          </w:tcPr>
          <w:p w14:paraId="57C7E14A">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1015" w:type="dxa"/>
            <w:noWrap w:val="0"/>
            <w:vAlign w:val="center"/>
          </w:tcPr>
          <w:p w14:paraId="71A19301">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客观分</w:t>
            </w:r>
          </w:p>
        </w:tc>
      </w:tr>
      <w:tr w14:paraId="47A7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00" w:type="dxa"/>
            <w:vMerge w:val="restart"/>
            <w:noWrap w:val="0"/>
            <w:vAlign w:val="center"/>
          </w:tcPr>
          <w:p w14:paraId="29E4B606">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425" w:leftChars="0" w:hanging="425"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1284" w:type="dxa"/>
            <w:vMerge w:val="restart"/>
            <w:noWrap w:val="0"/>
            <w:vAlign w:val="center"/>
          </w:tcPr>
          <w:p w14:paraId="537B6E79">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项目实施团队情况</w:t>
            </w:r>
            <w:r>
              <w:rPr>
                <w:rFonts w:hint="eastAsia" w:ascii="宋体" w:hAnsi="宋体" w:cs="宋体"/>
                <w:color w:val="auto"/>
                <w:sz w:val="22"/>
                <w:szCs w:val="22"/>
                <w:highlight w:val="none"/>
                <w:lang w:val="en-US" w:eastAsia="zh-CN"/>
              </w:rPr>
              <w:t>（拟投入人员的证书不重复计分）</w:t>
            </w:r>
          </w:p>
        </w:tc>
        <w:tc>
          <w:tcPr>
            <w:tcW w:w="6361" w:type="dxa"/>
            <w:noWrap w:val="0"/>
            <w:vAlign w:val="center"/>
          </w:tcPr>
          <w:p w14:paraId="55F44664">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养护</w:t>
            </w:r>
            <w:r>
              <w:rPr>
                <w:rFonts w:hint="eastAsia" w:ascii="宋体" w:hAnsi="宋体" w:eastAsia="宋体" w:cs="宋体"/>
                <w:b/>
                <w:bCs/>
                <w:color w:val="auto"/>
                <w:sz w:val="22"/>
                <w:szCs w:val="22"/>
                <w:highlight w:val="none"/>
              </w:rPr>
              <w:t>项目负责人</w:t>
            </w:r>
            <w:r>
              <w:rPr>
                <w:rFonts w:hint="eastAsia" w:ascii="宋体" w:hAnsi="宋体" w:cs="宋体"/>
                <w:b/>
                <w:bCs/>
                <w:color w:val="auto"/>
                <w:sz w:val="22"/>
                <w:szCs w:val="22"/>
                <w:highlight w:val="none"/>
                <w:lang w:eastAsia="zh-CN"/>
              </w:rPr>
              <w:t>（</w:t>
            </w:r>
            <w:r>
              <w:rPr>
                <w:rFonts w:hint="eastAsia" w:ascii="宋体" w:hAnsi="宋体" w:cs="宋体"/>
                <w:b/>
                <w:bCs/>
                <w:color w:val="auto"/>
                <w:sz w:val="22"/>
                <w:szCs w:val="22"/>
                <w:highlight w:val="none"/>
                <w:lang w:val="en-US" w:eastAsia="zh-CN"/>
              </w:rPr>
              <w:t>1名</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w:t>
            </w:r>
          </w:p>
          <w:p w14:paraId="6779D90A">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同时</w:t>
            </w:r>
            <w:r>
              <w:rPr>
                <w:rFonts w:hint="eastAsia" w:ascii="宋体" w:hAnsi="宋体" w:eastAsia="宋体" w:cs="宋体"/>
                <w:color w:val="auto"/>
                <w:sz w:val="22"/>
                <w:szCs w:val="22"/>
                <w:highlight w:val="none"/>
              </w:rPr>
              <w:t>具备市政公用工程专业</w:t>
            </w:r>
            <w:r>
              <w:rPr>
                <w:rFonts w:hint="eastAsia" w:ascii="宋体" w:hAnsi="宋体" w:eastAsia="宋体" w:cs="宋体"/>
                <w:b/>
                <w:bCs/>
                <w:color w:val="auto"/>
                <w:sz w:val="22"/>
                <w:szCs w:val="22"/>
                <w:highlight w:val="none"/>
                <w:u w:val="single"/>
              </w:rPr>
              <w:t>二级注册建造师</w:t>
            </w:r>
            <w:r>
              <w:rPr>
                <w:rFonts w:hint="eastAsia" w:ascii="宋体" w:hAnsi="宋体" w:eastAsia="宋体" w:cs="宋体"/>
                <w:color w:val="auto"/>
                <w:sz w:val="22"/>
                <w:szCs w:val="22"/>
                <w:highlight w:val="none"/>
              </w:rPr>
              <w:t>资质</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安全生产考核合格证B类</w:t>
            </w:r>
            <w:r>
              <w:rPr>
                <w:rFonts w:hint="eastAsia" w:ascii="宋体" w:hAnsi="宋体" w:eastAsia="宋体" w:cs="宋体"/>
                <w:color w:val="auto"/>
                <w:sz w:val="22"/>
                <w:szCs w:val="22"/>
                <w:highlight w:val="none"/>
                <w:lang w:val="en-US" w:eastAsia="zh-CN"/>
              </w:rPr>
              <w:t>证书</w:t>
            </w:r>
            <w:r>
              <w:rPr>
                <w:rFonts w:hint="eastAsia" w:ascii="宋体" w:hAnsi="宋体" w:cs="宋体"/>
                <w:color w:val="auto"/>
                <w:sz w:val="22"/>
                <w:szCs w:val="22"/>
                <w:highlight w:val="none"/>
                <w:lang w:val="en-US" w:eastAsia="zh-CN"/>
              </w:rPr>
              <w:t>、市政类相关专业中级及以上职称</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w:t>
            </w:r>
            <w:r>
              <w:rPr>
                <w:rFonts w:hint="eastAsia" w:ascii="宋体" w:hAnsi="宋体" w:cs="宋体"/>
                <w:color w:val="auto"/>
                <w:sz w:val="22"/>
                <w:szCs w:val="22"/>
                <w:highlight w:val="none"/>
                <w:lang w:eastAsia="zh-CN"/>
              </w:rPr>
              <w:t>；</w:t>
            </w:r>
          </w:p>
          <w:p w14:paraId="18041A73">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同时</w:t>
            </w:r>
            <w:r>
              <w:rPr>
                <w:rFonts w:hint="eastAsia" w:ascii="宋体" w:hAnsi="宋体" w:eastAsia="宋体" w:cs="宋体"/>
                <w:color w:val="auto"/>
                <w:sz w:val="22"/>
                <w:szCs w:val="22"/>
                <w:highlight w:val="none"/>
              </w:rPr>
              <w:t>具备市政公用工程专业</w:t>
            </w:r>
            <w:r>
              <w:rPr>
                <w:rFonts w:hint="eastAsia" w:ascii="宋体" w:hAnsi="宋体" w:eastAsia="宋体" w:cs="宋体"/>
                <w:b/>
                <w:bCs/>
                <w:color w:val="auto"/>
                <w:sz w:val="22"/>
                <w:szCs w:val="22"/>
                <w:highlight w:val="none"/>
                <w:u w:val="single"/>
                <w:lang w:val="en-US" w:eastAsia="zh-CN"/>
              </w:rPr>
              <w:t>一</w:t>
            </w:r>
            <w:r>
              <w:rPr>
                <w:rFonts w:hint="eastAsia" w:ascii="宋体" w:hAnsi="宋体" w:eastAsia="宋体" w:cs="宋体"/>
                <w:b/>
                <w:bCs/>
                <w:color w:val="auto"/>
                <w:sz w:val="22"/>
                <w:szCs w:val="22"/>
                <w:highlight w:val="none"/>
                <w:u w:val="single"/>
              </w:rPr>
              <w:t>级注册建造师</w:t>
            </w:r>
            <w:r>
              <w:rPr>
                <w:rFonts w:hint="eastAsia" w:ascii="宋体" w:hAnsi="宋体" w:eastAsia="宋体" w:cs="宋体"/>
                <w:color w:val="auto"/>
                <w:sz w:val="22"/>
                <w:szCs w:val="22"/>
                <w:highlight w:val="none"/>
              </w:rPr>
              <w:t>资质</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安全生产考核合格证B类</w:t>
            </w:r>
            <w:r>
              <w:rPr>
                <w:rFonts w:hint="eastAsia" w:ascii="宋体" w:hAnsi="宋体" w:eastAsia="宋体" w:cs="宋体"/>
                <w:color w:val="auto"/>
                <w:sz w:val="22"/>
                <w:szCs w:val="22"/>
                <w:highlight w:val="none"/>
                <w:lang w:val="en-US" w:eastAsia="zh-CN"/>
              </w:rPr>
              <w:t>证书</w:t>
            </w:r>
            <w:r>
              <w:rPr>
                <w:rFonts w:hint="eastAsia" w:ascii="宋体" w:hAnsi="宋体" w:cs="宋体"/>
                <w:color w:val="auto"/>
                <w:sz w:val="22"/>
                <w:szCs w:val="22"/>
                <w:highlight w:val="none"/>
                <w:lang w:val="en-US" w:eastAsia="zh-CN"/>
              </w:rPr>
              <w:t>、市政类相关专业中级及以上职称</w:t>
            </w:r>
            <w:r>
              <w:rPr>
                <w:rFonts w:hint="eastAsia" w:ascii="宋体" w:hAnsi="宋体" w:eastAsia="宋体" w:cs="宋体"/>
                <w:color w:val="auto"/>
                <w:sz w:val="22"/>
                <w:szCs w:val="22"/>
                <w:highlight w:val="none"/>
                <w:lang w:val="en-US" w:eastAsia="zh-CN"/>
              </w:rPr>
              <w:t>的的</w:t>
            </w:r>
            <w:r>
              <w:rPr>
                <w:rFonts w:hint="eastAsia" w:ascii="宋体" w:hAnsi="宋体" w:eastAsia="宋体" w:cs="宋体"/>
                <w:color w:val="auto"/>
                <w:sz w:val="22"/>
                <w:szCs w:val="22"/>
                <w:highlight w:val="none"/>
              </w:rPr>
              <w:t>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p>
          <w:p w14:paraId="41000C47">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color w:val="auto"/>
                <w:sz w:val="22"/>
                <w:szCs w:val="22"/>
                <w:highlight w:val="none"/>
              </w:rPr>
              <w:t>需提供</w:t>
            </w:r>
            <w:r>
              <w:rPr>
                <w:rFonts w:hint="eastAsia" w:ascii="宋体" w:hAnsi="宋体" w:eastAsia="宋体" w:cs="宋体"/>
                <w:color w:val="auto"/>
                <w:sz w:val="22"/>
                <w:szCs w:val="22"/>
                <w:highlight w:val="none"/>
                <w:lang w:val="en-US" w:eastAsia="zh-CN"/>
              </w:rPr>
              <w:t>人员</w:t>
            </w:r>
            <w:r>
              <w:rPr>
                <w:rFonts w:hint="eastAsia" w:ascii="宋体" w:hAnsi="宋体" w:eastAsia="宋体" w:cs="宋体"/>
                <w:color w:val="auto"/>
                <w:sz w:val="22"/>
                <w:szCs w:val="22"/>
                <w:highlight w:val="none"/>
              </w:rPr>
              <w:t>建造师执业资格证书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安全生产考核合格证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职称证书及</w:t>
            </w:r>
            <w:r>
              <w:rPr>
                <w:rFonts w:hint="eastAsia" w:ascii="宋体" w:hAnsi="宋体" w:cs="宋体"/>
                <w:color w:val="auto"/>
                <w:sz w:val="22"/>
                <w:szCs w:val="22"/>
                <w:highlight w:val="none"/>
                <w:lang w:eastAsia="zh-CN"/>
              </w:rPr>
              <w:t>近投标截止日期前三个月任意一个月社保证明</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缺一不得分</w:t>
            </w:r>
            <w:r>
              <w:rPr>
                <w:rFonts w:hint="eastAsia" w:ascii="宋体" w:hAnsi="宋体" w:eastAsia="宋体" w:cs="宋体"/>
                <w:color w:val="auto"/>
                <w:sz w:val="22"/>
                <w:szCs w:val="22"/>
                <w:highlight w:val="none"/>
                <w:lang w:eastAsia="zh-CN"/>
              </w:rPr>
              <w:t>。</w:t>
            </w:r>
          </w:p>
        </w:tc>
        <w:tc>
          <w:tcPr>
            <w:tcW w:w="810" w:type="dxa"/>
            <w:noWrap w:val="0"/>
            <w:vAlign w:val="center"/>
          </w:tcPr>
          <w:p w14:paraId="566B2EAC">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b w:val="0"/>
                <w:bCs w:val="0"/>
                <w:color w:val="auto"/>
                <w:kern w:val="0"/>
                <w:sz w:val="22"/>
                <w:szCs w:val="22"/>
                <w:highlight w:val="none"/>
                <w:lang w:val="en-US" w:eastAsia="zh-CN" w:bidi="ar-SA"/>
              </w:rPr>
            </w:pPr>
            <w:r>
              <w:rPr>
                <w:rFonts w:hint="eastAsia" w:ascii="宋体" w:hAnsi="宋体" w:cs="宋体"/>
                <w:b w:val="0"/>
                <w:bCs w:val="0"/>
                <w:color w:val="auto"/>
                <w:kern w:val="0"/>
                <w:sz w:val="22"/>
                <w:szCs w:val="22"/>
                <w:highlight w:val="none"/>
                <w:lang w:val="en-US" w:eastAsia="zh-CN" w:bidi="ar-SA"/>
              </w:rPr>
              <w:t>4</w:t>
            </w:r>
          </w:p>
        </w:tc>
        <w:tc>
          <w:tcPr>
            <w:tcW w:w="1015" w:type="dxa"/>
            <w:noWrap w:val="0"/>
            <w:vAlign w:val="center"/>
          </w:tcPr>
          <w:p w14:paraId="24EAC794">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rPr>
              <w:t>客观分</w:t>
            </w:r>
          </w:p>
        </w:tc>
      </w:tr>
      <w:tr w14:paraId="08EC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900" w:type="dxa"/>
            <w:vMerge w:val="continue"/>
            <w:noWrap w:val="0"/>
            <w:vAlign w:val="center"/>
          </w:tcPr>
          <w:p w14:paraId="235E4645">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Chars="0"/>
              <w:jc w:val="both"/>
              <w:rPr>
                <w:rFonts w:hint="eastAsia" w:ascii="宋体" w:hAnsi="宋体" w:eastAsia="宋体" w:cs="宋体"/>
                <w:color w:val="auto"/>
                <w:sz w:val="22"/>
                <w:szCs w:val="22"/>
                <w:highlight w:val="none"/>
              </w:rPr>
            </w:pPr>
          </w:p>
        </w:tc>
        <w:tc>
          <w:tcPr>
            <w:tcW w:w="1284" w:type="dxa"/>
            <w:vMerge w:val="continue"/>
            <w:noWrap w:val="0"/>
            <w:vAlign w:val="center"/>
          </w:tcPr>
          <w:p w14:paraId="422B1959">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lang w:val="en-US" w:eastAsia="zh-CN"/>
              </w:rPr>
            </w:pPr>
          </w:p>
        </w:tc>
        <w:tc>
          <w:tcPr>
            <w:tcW w:w="6361" w:type="dxa"/>
            <w:noWrap w:val="0"/>
            <w:vAlign w:val="top"/>
          </w:tcPr>
          <w:p w14:paraId="439AD1A9">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养护</w:t>
            </w:r>
            <w:r>
              <w:rPr>
                <w:rFonts w:hint="eastAsia" w:ascii="宋体" w:hAnsi="宋体" w:eastAsia="宋体" w:cs="宋体"/>
                <w:b/>
                <w:bCs/>
                <w:color w:val="auto"/>
                <w:sz w:val="22"/>
                <w:szCs w:val="22"/>
                <w:highlight w:val="none"/>
              </w:rPr>
              <w:t>技术负责人</w:t>
            </w:r>
            <w:r>
              <w:rPr>
                <w:rFonts w:hint="eastAsia" w:ascii="宋体" w:hAnsi="宋体" w:cs="宋体"/>
                <w:b/>
                <w:bCs/>
                <w:color w:val="auto"/>
                <w:sz w:val="22"/>
                <w:szCs w:val="22"/>
                <w:highlight w:val="none"/>
                <w:lang w:eastAsia="zh-CN"/>
              </w:rPr>
              <w:t>（</w:t>
            </w:r>
            <w:r>
              <w:rPr>
                <w:rFonts w:hint="eastAsia" w:ascii="宋体" w:hAnsi="宋体" w:cs="宋体"/>
                <w:b/>
                <w:bCs/>
                <w:color w:val="auto"/>
                <w:sz w:val="22"/>
                <w:szCs w:val="22"/>
                <w:highlight w:val="none"/>
                <w:lang w:val="en-US" w:eastAsia="zh-CN"/>
              </w:rPr>
              <w:t>1名</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w:t>
            </w:r>
          </w:p>
          <w:p w14:paraId="34C91FBC">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w:t>
            </w:r>
            <w:r>
              <w:rPr>
                <w:rFonts w:hint="eastAsia" w:ascii="宋体" w:hAnsi="宋体" w:cs="宋体"/>
                <w:color w:val="auto"/>
                <w:sz w:val="22"/>
                <w:szCs w:val="22"/>
                <w:highlight w:val="none"/>
                <w:lang w:val="en-US" w:eastAsia="zh-CN"/>
              </w:rPr>
              <w:t>备</w:t>
            </w:r>
            <w:r>
              <w:rPr>
                <w:rFonts w:hint="eastAsia" w:ascii="宋体" w:hAnsi="宋体" w:eastAsia="宋体" w:cs="宋体"/>
                <w:color w:val="auto"/>
                <w:sz w:val="22"/>
                <w:szCs w:val="22"/>
                <w:highlight w:val="none"/>
              </w:rPr>
              <w:t>市政类相关专业中级职称</w:t>
            </w:r>
            <w:r>
              <w:rPr>
                <w:rFonts w:hint="eastAsia" w:ascii="宋体" w:hAnsi="宋体" w:eastAsia="宋体" w:cs="宋体"/>
                <w:color w:val="auto"/>
                <w:sz w:val="22"/>
                <w:szCs w:val="22"/>
                <w:highlight w:val="none"/>
                <w:lang w:val="en-US" w:eastAsia="zh-CN"/>
              </w:rPr>
              <w:t>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具</w:t>
            </w:r>
            <w:r>
              <w:rPr>
                <w:rFonts w:hint="eastAsia" w:ascii="宋体" w:hAnsi="宋体" w:cs="宋体"/>
                <w:color w:val="auto"/>
                <w:sz w:val="22"/>
                <w:szCs w:val="22"/>
                <w:highlight w:val="none"/>
                <w:lang w:val="en-US" w:eastAsia="zh-CN"/>
              </w:rPr>
              <w:t>备</w:t>
            </w:r>
            <w:r>
              <w:rPr>
                <w:rFonts w:hint="eastAsia" w:ascii="宋体" w:hAnsi="宋体" w:eastAsia="宋体" w:cs="宋体"/>
                <w:color w:val="auto"/>
                <w:sz w:val="22"/>
                <w:szCs w:val="22"/>
                <w:highlight w:val="none"/>
              </w:rPr>
              <w:t>市政类相关专业</w:t>
            </w:r>
            <w:r>
              <w:rPr>
                <w:rFonts w:hint="eastAsia" w:ascii="宋体" w:hAnsi="宋体" w:cs="宋体"/>
                <w:color w:val="auto"/>
                <w:sz w:val="22"/>
                <w:szCs w:val="22"/>
                <w:highlight w:val="none"/>
                <w:lang w:val="en-US" w:eastAsia="zh-CN"/>
              </w:rPr>
              <w:t>高级</w:t>
            </w:r>
            <w:r>
              <w:rPr>
                <w:rFonts w:hint="eastAsia" w:ascii="宋体" w:hAnsi="宋体" w:eastAsia="宋体" w:cs="宋体"/>
                <w:color w:val="auto"/>
                <w:sz w:val="22"/>
                <w:szCs w:val="22"/>
                <w:highlight w:val="none"/>
              </w:rPr>
              <w:t>职称及以上</w:t>
            </w:r>
            <w:r>
              <w:rPr>
                <w:rFonts w:hint="eastAsia" w:ascii="宋体" w:hAnsi="宋体" w:eastAsia="宋体" w:cs="宋体"/>
                <w:color w:val="auto"/>
                <w:sz w:val="22"/>
                <w:szCs w:val="22"/>
                <w:highlight w:val="none"/>
                <w:lang w:val="en-US" w:eastAsia="zh-CN"/>
              </w:rPr>
              <w:t>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14:paraId="1AD36FDE">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color w:val="auto"/>
                <w:sz w:val="22"/>
                <w:szCs w:val="22"/>
                <w:highlight w:val="none"/>
              </w:rPr>
              <w:t>需提供</w:t>
            </w:r>
            <w:r>
              <w:rPr>
                <w:rFonts w:hint="eastAsia" w:ascii="宋体" w:hAnsi="宋体" w:eastAsia="宋体" w:cs="宋体"/>
                <w:color w:val="auto"/>
                <w:sz w:val="22"/>
                <w:szCs w:val="22"/>
                <w:highlight w:val="none"/>
                <w:lang w:val="en-US" w:eastAsia="zh-CN"/>
              </w:rPr>
              <w:t>人员</w:t>
            </w:r>
            <w:r>
              <w:rPr>
                <w:rFonts w:hint="eastAsia" w:ascii="宋体" w:hAnsi="宋体" w:eastAsia="宋体" w:cs="宋体"/>
                <w:color w:val="auto"/>
                <w:sz w:val="22"/>
                <w:szCs w:val="22"/>
                <w:highlight w:val="none"/>
              </w:rPr>
              <w:t>职称证书、</w:t>
            </w:r>
            <w:r>
              <w:rPr>
                <w:rFonts w:hint="eastAsia" w:ascii="宋体" w:hAnsi="宋体" w:cs="宋体"/>
                <w:color w:val="auto"/>
                <w:sz w:val="22"/>
                <w:szCs w:val="22"/>
                <w:highlight w:val="none"/>
                <w:lang w:eastAsia="zh-CN"/>
              </w:rPr>
              <w:t>近投标截止日期前三个月任意一个月社保证明</w:t>
            </w:r>
            <w:r>
              <w:rPr>
                <w:rFonts w:hint="eastAsia" w:ascii="宋体" w:hAnsi="宋体" w:cs="宋体"/>
                <w:color w:val="auto"/>
                <w:sz w:val="22"/>
                <w:szCs w:val="22"/>
                <w:highlight w:val="none"/>
                <w:lang w:val="en-US" w:eastAsia="zh-CN"/>
              </w:rPr>
              <w:t>并加盖公章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不提供不得分</w:t>
            </w:r>
            <w:r>
              <w:rPr>
                <w:rFonts w:hint="eastAsia" w:ascii="宋体" w:hAnsi="宋体" w:eastAsia="宋体" w:cs="宋体"/>
                <w:color w:val="auto"/>
                <w:sz w:val="22"/>
                <w:szCs w:val="22"/>
                <w:highlight w:val="none"/>
                <w:lang w:eastAsia="zh-CN"/>
              </w:rPr>
              <w:t>。</w:t>
            </w:r>
          </w:p>
        </w:tc>
        <w:tc>
          <w:tcPr>
            <w:tcW w:w="810" w:type="dxa"/>
            <w:noWrap w:val="0"/>
            <w:vAlign w:val="center"/>
          </w:tcPr>
          <w:p w14:paraId="787B5EF3">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b w:val="0"/>
                <w:bCs w:val="0"/>
                <w:color w:val="auto"/>
                <w:kern w:val="0"/>
                <w:sz w:val="22"/>
                <w:szCs w:val="22"/>
                <w:highlight w:val="none"/>
                <w:lang w:val="en-US" w:eastAsia="zh-CN" w:bidi="ar-SA"/>
              </w:rPr>
            </w:pPr>
            <w:r>
              <w:rPr>
                <w:rFonts w:hint="eastAsia" w:ascii="宋体" w:hAnsi="宋体" w:cs="宋体"/>
                <w:b w:val="0"/>
                <w:bCs w:val="0"/>
                <w:color w:val="auto"/>
                <w:kern w:val="0"/>
                <w:sz w:val="22"/>
                <w:szCs w:val="22"/>
                <w:highlight w:val="none"/>
                <w:lang w:val="en-US" w:eastAsia="zh-CN" w:bidi="ar-SA"/>
              </w:rPr>
              <w:t>4</w:t>
            </w:r>
          </w:p>
        </w:tc>
        <w:tc>
          <w:tcPr>
            <w:tcW w:w="1015" w:type="dxa"/>
            <w:noWrap w:val="0"/>
            <w:vAlign w:val="center"/>
          </w:tcPr>
          <w:p w14:paraId="572AD292">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rPr>
              <w:t>客观分</w:t>
            </w:r>
          </w:p>
        </w:tc>
      </w:tr>
      <w:tr w14:paraId="0B84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Merge w:val="continue"/>
            <w:noWrap w:val="0"/>
            <w:vAlign w:val="center"/>
          </w:tcPr>
          <w:p w14:paraId="6CCA8801">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Chars="0"/>
              <w:jc w:val="both"/>
              <w:rPr>
                <w:rFonts w:hint="eastAsia" w:ascii="宋体" w:hAnsi="宋体" w:eastAsia="宋体" w:cs="宋体"/>
                <w:color w:val="auto"/>
                <w:sz w:val="22"/>
                <w:szCs w:val="22"/>
                <w:highlight w:val="none"/>
              </w:rPr>
            </w:pPr>
          </w:p>
        </w:tc>
        <w:tc>
          <w:tcPr>
            <w:tcW w:w="1284" w:type="dxa"/>
            <w:vMerge w:val="continue"/>
            <w:noWrap w:val="0"/>
            <w:vAlign w:val="center"/>
          </w:tcPr>
          <w:p w14:paraId="50B7AD6E">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lang w:val="en-US" w:eastAsia="zh-CN"/>
              </w:rPr>
            </w:pPr>
          </w:p>
        </w:tc>
        <w:tc>
          <w:tcPr>
            <w:tcW w:w="6361" w:type="dxa"/>
            <w:noWrap w:val="0"/>
            <w:vAlign w:val="top"/>
          </w:tcPr>
          <w:p w14:paraId="7E9B6563">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养护</w:t>
            </w:r>
            <w:r>
              <w:rPr>
                <w:rFonts w:hint="eastAsia" w:ascii="宋体" w:hAnsi="宋体" w:eastAsia="宋体" w:cs="宋体"/>
                <w:b/>
                <w:bCs/>
                <w:color w:val="auto"/>
                <w:sz w:val="22"/>
                <w:szCs w:val="22"/>
                <w:highlight w:val="none"/>
              </w:rPr>
              <w:t>项目组</w:t>
            </w:r>
            <w:r>
              <w:rPr>
                <w:rFonts w:hint="eastAsia" w:ascii="宋体" w:hAnsi="宋体" w:eastAsia="宋体" w:cs="宋体"/>
                <w:b/>
                <w:bCs/>
                <w:color w:val="auto"/>
                <w:sz w:val="22"/>
                <w:szCs w:val="22"/>
                <w:highlight w:val="none"/>
                <w:lang w:val="en-US" w:eastAsia="zh-CN"/>
              </w:rPr>
              <w:t>成员：</w:t>
            </w:r>
          </w:p>
          <w:p w14:paraId="6903BB36">
            <w:pPr>
              <w:keepNext w:val="0"/>
              <w:keepLines w:val="0"/>
              <w:pageBreakBefore w:val="0"/>
              <w:widowControl/>
              <w:numPr>
                <w:ilvl w:val="0"/>
                <w:numId w:val="0"/>
              </w:numPr>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提供的项目组成员配备满足招标文件要求的不得分</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在项目组成员全部满足招标文件要求的基础上进行增配的</w:t>
            </w:r>
            <w:r>
              <w:rPr>
                <w:rFonts w:hint="eastAsia" w:ascii="宋体" w:hAnsi="宋体" w:cs="宋体"/>
                <w:color w:val="auto"/>
                <w:sz w:val="22"/>
                <w:szCs w:val="22"/>
                <w:highlight w:val="none"/>
                <w:lang w:val="en-US" w:eastAsia="zh-CN"/>
              </w:rPr>
              <w:t>：</w:t>
            </w:r>
          </w:p>
          <w:p w14:paraId="2AB7CDC4">
            <w:pPr>
              <w:keepNext w:val="0"/>
              <w:keepLines w:val="0"/>
              <w:pageBreakBefore w:val="0"/>
              <w:widowControl/>
              <w:numPr>
                <w:ilvl w:val="0"/>
                <w:numId w:val="0"/>
              </w:numPr>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（1）每增配1名专职道桥管理人员（具备市政道桥相关专业助理工程师职称以上）得1分，最多得2分。</w:t>
            </w:r>
          </w:p>
          <w:p w14:paraId="7811243E">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（2）每增配1名市政养护相关</w:t>
            </w:r>
            <w:r>
              <w:rPr>
                <w:rFonts w:hint="eastAsia" w:ascii="宋体" w:hAnsi="宋体" w:cs="宋体"/>
                <w:color w:val="auto"/>
                <w:sz w:val="22"/>
                <w:szCs w:val="22"/>
                <w:highlight w:val="none"/>
                <w:lang w:val="zh-CN" w:eastAsia="zh-CN"/>
              </w:rPr>
              <w:t>技术工人（具有上岗证）</w:t>
            </w:r>
            <w:r>
              <w:rPr>
                <w:rFonts w:hint="eastAsia" w:ascii="宋体" w:hAnsi="宋体" w:cs="宋体"/>
                <w:color w:val="auto"/>
                <w:sz w:val="22"/>
                <w:szCs w:val="22"/>
                <w:highlight w:val="none"/>
                <w:lang w:val="en-US" w:eastAsia="zh-CN"/>
              </w:rPr>
              <w:t>得1分，最多得2分。</w:t>
            </w:r>
          </w:p>
          <w:p w14:paraId="693169FE">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注：以列入“项目服务人员汇总表”的人员为量分对象，应提供</w:t>
            </w:r>
            <w:r>
              <w:rPr>
                <w:rFonts w:hint="eastAsia" w:ascii="宋体" w:hAnsi="宋体" w:cs="宋体"/>
                <w:color w:val="auto"/>
                <w:sz w:val="22"/>
                <w:szCs w:val="22"/>
                <w:highlight w:val="none"/>
                <w:lang w:eastAsia="zh-CN"/>
              </w:rPr>
              <w:t>近投标截止日期前三个月任意一个月社保证明</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并对照招标文件要求提供相应的职业资格证书/职称证书/上岗证</w:t>
            </w:r>
            <w:r>
              <w:rPr>
                <w:rFonts w:hint="eastAsia" w:ascii="宋体" w:hAnsi="宋体" w:cs="宋体"/>
                <w:color w:val="auto"/>
                <w:sz w:val="22"/>
                <w:szCs w:val="22"/>
                <w:highlight w:val="none"/>
                <w:lang w:val="en-US" w:eastAsia="zh-CN"/>
              </w:rPr>
              <w:t>并加盖公章</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不提供不得分</w:t>
            </w:r>
            <w:r>
              <w:rPr>
                <w:rFonts w:hint="eastAsia" w:ascii="宋体" w:hAnsi="宋体" w:eastAsia="宋体" w:cs="宋体"/>
                <w:color w:val="auto"/>
                <w:sz w:val="22"/>
                <w:szCs w:val="22"/>
                <w:highlight w:val="none"/>
                <w:lang w:val="en-US" w:eastAsia="zh-CN"/>
              </w:rPr>
              <w:t>。</w:t>
            </w:r>
          </w:p>
        </w:tc>
        <w:tc>
          <w:tcPr>
            <w:tcW w:w="810" w:type="dxa"/>
            <w:noWrap w:val="0"/>
            <w:vAlign w:val="center"/>
          </w:tcPr>
          <w:p w14:paraId="5A0F2318">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b w:val="0"/>
                <w:bCs w:val="0"/>
                <w:color w:val="auto"/>
                <w:kern w:val="0"/>
                <w:sz w:val="22"/>
                <w:szCs w:val="22"/>
                <w:highlight w:val="none"/>
                <w:lang w:val="en-US" w:eastAsia="zh-CN" w:bidi="ar-SA"/>
              </w:rPr>
            </w:pPr>
            <w:r>
              <w:rPr>
                <w:rFonts w:hint="eastAsia" w:ascii="宋体" w:hAnsi="宋体" w:cs="宋体"/>
                <w:b w:val="0"/>
                <w:bCs w:val="0"/>
                <w:color w:val="auto"/>
                <w:kern w:val="0"/>
                <w:sz w:val="22"/>
                <w:szCs w:val="22"/>
                <w:highlight w:val="none"/>
                <w:lang w:val="en-US" w:eastAsia="zh-CN" w:bidi="ar-SA"/>
              </w:rPr>
              <w:t>4</w:t>
            </w:r>
          </w:p>
        </w:tc>
        <w:tc>
          <w:tcPr>
            <w:tcW w:w="1015" w:type="dxa"/>
            <w:noWrap w:val="0"/>
            <w:vAlign w:val="center"/>
          </w:tcPr>
          <w:p w14:paraId="37F0A714">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rPr>
              <w:t>客观分</w:t>
            </w:r>
          </w:p>
        </w:tc>
      </w:tr>
      <w:tr w14:paraId="12AC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00" w:type="dxa"/>
            <w:vMerge w:val="continue"/>
            <w:noWrap w:val="0"/>
            <w:vAlign w:val="center"/>
          </w:tcPr>
          <w:p w14:paraId="37C9826D">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425" w:leftChars="0" w:hanging="425" w:firstLineChars="0"/>
              <w:jc w:val="center"/>
              <w:rPr>
                <w:rFonts w:hint="eastAsia" w:ascii="宋体" w:hAnsi="宋体" w:eastAsia="宋体" w:cs="宋体"/>
                <w:color w:val="auto"/>
                <w:sz w:val="22"/>
                <w:szCs w:val="22"/>
                <w:highlight w:val="none"/>
                <w:lang w:val="en-US" w:eastAsia="zh-CN"/>
              </w:rPr>
            </w:pPr>
          </w:p>
        </w:tc>
        <w:tc>
          <w:tcPr>
            <w:tcW w:w="1284" w:type="dxa"/>
            <w:vMerge w:val="continue"/>
            <w:noWrap w:val="0"/>
            <w:vAlign w:val="center"/>
          </w:tcPr>
          <w:p w14:paraId="16E668C9">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lang w:val="en-US" w:eastAsia="zh-CN"/>
              </w:rPr>
            </w:pPr>
          </w:p>
        </w:tc>
        <w:tc>
          <w:tcPr>
            <w:tcW w:w="6361" w:type="dxa"/>
            <w:noWrap w:val="0"/>
            <w:vAlign w:val="top"/>
          </w:tcPr>
          <w:p w14:paraId="057AFBF2">
            <w:pPr>
              <w:keepNext w:val="0"/>
              <w:keepLines w:val="0"/>
              <w:pageBreakBefore w:val="0"/>
              <w:widowControl/>
              <w:numPr>
                <w:ilvl w:val="0"/>
                <w:numId w:val="0"/>
              </w:numPr>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检测项目负责人（1名）：</w:t>
            </w:r>
          </w:p>
          <w:p w14:paraId="3A2B9147">
            <w:pPr>
              <w:keepNext w:val="0"/>
              <w:keepLines w:val="0"/>
              <w:pageBreakBefore w:val="0"/>
              <w:widowControl/>
              <w:numPr>
                <w:ilvl w:val="0"/>
                <w:numId w:val="0"/>
              </w:numPr>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eastAsia="zh-CN"/>
              </w:rPr>
              <w:t>具</w:t>
            </w:r>
            <w:r>
              <w:rPr>
                <w:rFonts w:hint="eastAsia" w:ascii="宋体" w:hAnsi="宋体" w:eastAsia="宋体" w:cs="宋体"/>
                <w:color w:val="auto"/>
                <w:sz w:val="22"/>
                <w:szCs w:val="22"/>
                <w:highlight w:val="none"/>
                <w:lang w:val="en-US" w:eastAsia="zh-CN"/>
              </w:rPr>
              <w:t>备</w:t>
            </w:r>
            <w:r>
              <w:rPr>
                <w:rFonts w:hint="eastAsia" w:ascii="宋体" w:hAnsi="宋体" w:eastAsia="宋体" w:cs="宋体"/>
                <w:color w:val="auto"/>
                <w:sz w:val="22"/>
                <w:szCs w:val="22"/>
                <w:highlight w:val="none"/>
                <w:lang w:val="zh-CN" w:eastAsia="zh-CN"/>
              </w:rPr>
              <w:t>道路</w:t>
            </w:r>
            <w:r>
              <w:rPr>
                <w:rFonts w:hint="eastAsia" w:ascii="宋体" w:hAnsi="宋体" w:cs="宋体"/>
                <w:color w:val="auto"/>
                <w:sz w:val="22"/>
                <w:szCs w:val="22"/>
                <w:highlight w:val="none"/>
                <w:lang w:val="en-US" w:eastAsia="zh-CN"/>
              </w:rPr>
              <w:t>或</w:t>
            </w:r>
            <w:r>
              <w:rPr>
                <w:rFonts w:hint="eastAsia" w:ascii="宋体" w:hAnsi="宋体" w:eastAsia="宋体" w:cs="宋体"/>
                <w:color w:val="auto"/>
                <w:sz w:val="22"/>
                <w:szCs w:val="22"/>
                <w:highlight w:val="none"/>
                <w:lang w:val="zh-CN" w:eastAsia="zh-CN"/>
              </w:rPr>
              <w:t>桥梁相关专业</w:t>
            </w:r>
            <w:r>
              <w:rPr>
                <w:rFonts w:hint="eastAsia" w:ascii="宋体" w:hAnsi="宋体" w:eastAsia="宋体" w:cs="宋体"/>
                <w:color w:val="auto"/>
                <w:sz w:val="22"/>
                <w:szCs w:val="22"/>
                <w:highlight w:val="none"/>
                <w:lang w:val="en-US" w:eastAsia="zh-CN"/>
              </w:rPr>
              <w:t>中</w:t>
            </w:r>
            <w:r>
              <w:rPr>
                <w:rFonts w:hint="eastAsia" w:ascii="宋体" w:hAnsi="宋体" w:eastAsia="宋体" w:cs="宋体"/>
                <w:color w:val="auto"/>
                <w:sz w:val="22"/>
                <w:szCs w:val="22"/>
                <w:highlight w:val="none"/>
                <w:lang w:val="zh-CN" w:eastAsia="zh-CN"/>
              </w:rPr>
              <w:t>级职称</w:t>
            </w:r>
            <w:r>
              <w:rPr>
                <w:rFonts w:hint="eastAsia" w:ascii="宋体" w:hAnsi="宋体" w:eastAsia="宋体" w:cs="宋体"/>
                <w:color w:val="auto"/>
                <w:sz w:val="22"/>
                <w:szCs w:val="22"/>
                <w:highlight w:val="none"/>
                <w:lang w:val="en-US" w:eastAsia="zh-CN"/>
              </w:rPr>
              <w:t>的得2分；具备</w:t>
            </w:r>
            <w:r>
              <w:rPr>
                <w:rFonts w:hint="eastAsia" w:ascii="宋体" w:hAnsi="宋体" w:eastAsia="宋体" w:cs="宋体"/>
                <w:color w:val="auto"/>
                <w:sz w:val="22"/>
                <w:szCs w:val="22"/>
                <w:highlight w:val="none"/>
                <w:lang w:val="zh-CN" w:eastAsia="zh-CN"/>
              </w:rPr>
              <w:t>道路</w:t>
            </w:r>
            <w:r>
              <w:rPr>
                <w:rFonts w:hint="eastAsia" w:ascii="宋体" w:hAnsi="宋体" w:cs="宋体"/>
                <w:color w:val="auto"/>
                <w:sz w:val="22"/>
                <w:szCs w:val="22"/>
                <w:highlight w:val="none"/>
                <w:lang w:val="en-US" w:eastAsia="zh-CN"/>
              </w:rPr>
              <w:t>或</w:t>
            </w:r>
            <w:r>
              <w:rPr>
                <w:rFonts w:hint="eastAsia" w:ascii="宋体" w:hAnsi="宋体" w:eastAsia="宋体" w:cs="宋体"/>
                <w:color w:val="auto"/>
                <w:sz w:val="22"/>
                <w:szCs w:val="22"/>
                <w:highlight w:val="none"/>
                <w:lang w:val="zh-CN" w:eastAsia="zh-CN"/>
              </w:rPr>
              <w:t>桥梁相关专业</w:t>
            </w:r>
            <w:r>
              <w:rPr>
                <w:rFonts w:hint="eastAsia" w:ascii="宋体" w:hAnsi="宋体" w:cs="宋体"/>
                <w:color w:val="auto"/>
                <w:sz w:val="22"/>
                <w:szCs w:val="22"/>
                <w:highlight w:val="none"/>
                <w:lang w:val="en-US" w:eastAsia="zh-CN"/>
              </w:rPr>
              <w:t>高</w:t>
            </w:r>
            <w:r>
              <w:rPr>
                <w:rFonts w:hint="eastAsia" w:ascii="宋体" w:hAnsi="宋体" w:eastAsia="宋体" w:cs="宋体"/>
                <w:color w:val="auto"/>
                <w:sz w:val="22"/>
                <w:szCs w:val="22"/>
                <w:highlight w:val="none"/>
                <w:lang w:val="zh-CN" w:eastAsia="zh-CN"/>
              </w:rPr>
              <w:t>级及以上职称</w:t>
            </w:r>
            <w:r>
              <w:rPr>
                <w:rFonts w:hint="eastAsia" w:ascii="宋体" w:hAnsi="宋体" w:eastAsia="宋体" w:cs="宋体"/>
                <w:color w:val="auto"/>
                <w:sz w:val="22"/>
                <w:szCs w:val="22"/>
                <w:highlight w:val="none"/>
                <w:lang w:val="en-US" w:eastAsia="zh-CN"/>
              </w:rPr>
              <w:t>的得4分</w:t>
            </w:r>
            <w:r>
              <w:rPr>
                <w:rFonts w:hint="eastAsia" w:ascii="宋体" w:hAnsi="宋体" w:cs="宋体"/>
                <w:color w:val="auto"/>
                <w:sz w:val="22"/>
                <w:szCs w:val="22"/>
                <w:highlight w:val="none"/>
                <w:lang w:val="en-US" w:eastAsia="zh-CN"/>
              </w:rPr>
              <w:t>。</w:t>
            </w:r>
          </w:p>
          <w:p w14:paraId="352D16D2">
            <w:pPr>
              <w:keepNext w:val="0"/>
              <w:keepLines w:val="0"/>
              <w:pageBreakBefore w:val="0"/>
              <w:widowControl/>
              <w:numPr>
                <w:ilvl w:val="0"/>
                <w:numId w:val="0"/>
              </w:numPr>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color w:val="auto"/>
                <w:sz w:val="22"/>
                <w:szCs w:val="22"/>
                <w:highlight w:val="none"/>
              </w:rPr>
              <w:t>需提供</w:t>
            </w:r>
            <w:r>
              <w:rPr>
                <w:rFonts w:hint="eastAsia" w:ascii="宋体" w:hAnsi="宋体" w:eastAsia="宋体" w:cs="宋体"/>
                <w:color w:val="auto"/>
                <w:sz w:val="22"/>
                <w:szCs w:val="22"/>
                <w:highlight w:val="none"/>
                <w:lang w:val="en-US" w:eastAsia="zh-CN"/>
              </w:rPr>
              <w:t>人员</w:t>
            </w:r>
            <w:r>
              <w:rPr>
                <w:rFonts w:hint="eastAsia" w:ascii="宋体" w:hAnsi="宋体" w:cs="宋体"/>
                <w:color w:val="auto"/>
                <w:sz w:val="22"/>
                <w:szCs w:val="22"/>
                <w:highlight w:val="none"/>
                <w:lang w:val="en-US" w:eastAsia="zh-CN"/>
              </w:rPr>
              <w:t>相关职称</w:t>
            </w:r>
            <w:r>
              <w:rPr>
                <w:rFonts w:hint="eastAsia" w:ascii="宋体" w:hAnsi="宋体" w:eastAsia="宋体" w:cs="宋体"/>
                <w:color w:val="auto"/>
                <w:sz w:val="22"/>
                <w:szCs w:val="22"/>
                <w:highlight w:val="none"/>
              </w:rPr>
              <w:t>证书</w:t>
            </w:r>
            <w:r>
              <w:rPr>
                <w:rFonts w:hint="eastAsia" w:ascii="宋体" w:hAnsi="宋体" w:cs="宋体"/>
                <w:color w:val="auto"/>
                <w:sz w:val="22"/>
                <w:szCs w:val="22"/>
                <w:highlight w:val="none"/>
                <w:lang w:val="en-US" w:eastAsia="zh-CN"/>
              </w:rPr>
              <w:t>及</w:t>
            </w:r>
            <w:r>
              <w:rPr>
                <w:rFonts w:hint="eastAsia" w:ascii="宋体" w:hAnsi="宋体" w:cs="宋体"/>
                <w:color w:val="auto"/>
                <w:sz w:val="22"/>
                <w:szCs w:val="22"/>
                <w:highlight w:val="none"/>
                <w:lang w:eastAsia="zh-CN"/>
              </w:rPr>
              <w:t>近投标截止日期前三个月任意一个月社保证明</w:t>
            </w:r>
            <w:r>
              <w:rPr>
                <w:rFonts w:hint="eastAsia" w:ascii="宋体" w:hAnsi="宋体" w:cs="宋体"/>
                <w:color w:val="auto"/>
                <w:sz w:val="22"/>
                <w:szCs w:val="22"/>
                <w:highlight w:val="none"/>
                <w:lang w:val="en-US" w:eastAsia="zh-CN"/>
              </w:rPr>
              <w:t>并加盖公章</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缺一不得分</w:t>
            </w:r>
            <w:r>
              <w:rPr>
                <w:rFonts w:hint="eastAsia" w:ascii="宋体" w:hAnsi="宋体" w:eastAsia="宋体" w:cs="宋体"/>
                <w:color w:val="auto"/>
                <w:sz w:val="22"/>
                <w:szCs w:val="22"/>
                <w:highlight w:val="none"/>
                <w:lang w:eastAsia="zh-CN"/>
              </w:rPr>
              <w:t>。</w:t>
            </w:r>
            <w:r>
              <w:rPr>
                <w:rFonts w:hint="eastAsia"/>
              </w:rPr>
              <w:t>（分包单位人员</w:t>
            </w:r>
            <w:r>
              <w:rPr>
                <w:rFonts w:hint="eastAsia"/>
                <w:lang w:val="en-US" w:eastAsia="zh-CN"/>
              </w:rPr>
              <w:t>证书及社保证明均予以认可</w:t>
            </w:r>
            <w:r>
              <w:rPr>
                <w:rFonts w:hint="eastAsia"/>
              </w:rPr>
              <w:t>）</w:t>
            </w:r>
          </w:p>
        </w:tc>
        <w:tc>
          <w:tcPr>
            <w:tcW w:w="810" w:type="dxa"/>
            <w:noWrap w:val="0"/>
            <w:vAlign w:val="center"/>
          </w:tcPr>
          <w:p w14:paraId="63FBFE52">
            <w:pPr>
              <w:keepNext w:val="0"/>
              <w:keepLines w:val="0"/>
              <w:pageBreakBefore w:val="0"/>
              <w:shd w:val="clear" w:color="auto" w:fill="auto"/>
              <w:kinsoku/>
              <w:overflowPunct/>
              <w:topLinePunct w:val="0"/>
              <w:autoSpaceDE/>
              <w:autoSpaceDN/>
              <w:bidi w:val="0"/>
              <w:adjustRightInd/>
              <w:snapToGrid/>
              <w:spacing w:line="46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1015" w:type="dxa"/>
            <w:noWrap w:val="0"/>
            <w:vAlign w:val="center"/>
          </w:tcPr>
          <w:p w14:paraId="4D7941D6">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客观分</w:t>
            </w:r>
          </w:p>
        </w:tc>
      </w:tr>
      <w:tr w14:paraId="5924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00" w:type="dxa"/>
            <w:vMerge w:val="continue"/>
            <w:noWrap w:val="0"/>
            <w:vAlign w:val="center"/>
          </w:tcPr>
          <w:p w14:paraId="703FBBD3">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425" w:leftChars="0" w:hanging="425" w:firstLineChars="0"/>
              <w:jc w:val="center"/>
              <w:rPr>
                <w:rFonts w:hint="eastAsia" w:ascii="宋体" w:hAnsi="宋体" w:eastAsia="宋体" w:cs="宋体"/>
                <w:color w:val="auto"/>
                <w:sz w:val="22"/>
                <w:szCs w:val="22"/>
                <w:highlight w:val="none"/>
                <w:lang w:val="en-US" w:eastAsia="zh-CN"/>
              </w:rPr>
            </w:pPr>
          </w:p>
        </w:tc>
        <w:tc>
          <w:tcPr>
            <w:tcW w:w="1284" w:type="dxa"/>
            <w:vMerge w:val="continue"/>
            <w:noWrap w:val="0"/>
            <w:vAlign w:val="center"/>
          </w:tcPr>
          <w:p w14:paraId="423A3B73">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lang w:val="en-US" w:eastAsia="zh-CN"/>
              </w:rPr>
            </w:pPr>
          </w:p>
        </w:tc>
        <w:tc>
          <w:tcPr>
            <w:tcW w:w="6361" w:type="dxa"/>
            <w:noWrap w:val="0"/>
            <w:vAlign w:val="top"/>
          </w:tcPr>
          <w:p w14:paraId="192E7FAD">
            <w:pPr>
              <w:keepNext w:val="0"/>
              <w:keepLines w:val="0"/>
              <w:pageBreakBefore w:val="0"/>
              <w:widowControl/>
              <w:numPr>
                <w:ilvl w:val="0"/>
                <w:numId w:val="0"/>
              </w:numPr>
              <w:suppressLineNumbers w:val="0"/>
              <w:shd w:val="clear" w:color="auto" w:fill="auto"/>
              <w:kinsoku/>
              <w:overflowPunct/>
              <w:topLinePunct w:val="0"/>
              <w:autoSpaceDE/>
              <w:autoSpaceDN/>
              <w:bidi w:val="0"/>
              <w:adjustRightInd/>
              <w:snapToGrid/>
              <w:spacing w:line="460" w:lineRule="exact"/>
              <w:jc w:val="both"/>
              <w:textAlignment w:val="center"/>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现场检测人员：</w:t>
            </w:r>
          </w:p>
          <w:p w14:paraId="07D79FAD">
            <w:pPr>
              <w:keepNext w:val="0"/>
              <w:keepLines w:val="0"/>
              <w:pageBreakBefore w:val="0"/>
              <w:widowControl/>
              <w:numPr>
                <w:ilvl w:val="0"/>
                <w:numId w:val="0"/>
              </w:numPr>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1、提供2名具有市政桥梁检测或见证取样检测(通用)或市政道路(工程)材料见证取样检测培训合格证或具备公路工程试验检测工程师的得 2分;</w:t>
            </w:r>
          </w:p>
          <w:p w14:paraId="546CB996">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在现场检测人员全部满足招标文件要求的基础上进行增配的:每增加1名具有市政桥梁检测或见证取样检测(通用)或市政道路(工程)材料见证取样检测培训合格证或具备公路工程试验检测工程师的得1分，最多得2分。</w:t>
            </w:r>
          </w:p>
          <w:p w14:paraId="629315AF">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color w:val="auto"/>
                <w:sz w:val="22"/>
                <w:szCs w:val="22"/>
                <w:highlight w:val="none"/>
              </w:rPr>
              <w:t>需提供</w:t>
            </w:r>
            <w:r>
              <w:rPr>
                <w:rFonts w:hint="eastAsia" w:ascii="宋体" w:hAnsi="宋体" w:eastAsia="宋体" w:cs="宋体"/>
                <w:color w:val="auto"/>
                <w:sz w:val="22"/>
                <w:szCs w:val="22"/>
                <w:highlight w:val="none"/>
                <w:lang w:val="en-US" w:eastAsia="zh-CN"/>
              </w:rPr>
              <w:t>人员</w:t>
            </w:r>
            <w:r>
              <w:rPr>
                <w:rFonts w:hint="eastAsia" w:ascii="宋体" w:hAnsi="宋体" w:cs="宋体"/>
                <w:color w:val="auto"/>
                <w:sz w:val="22"/>
                <w:szCs w:val="22"/>
                <w:highlight w:val="none"/>
                <w:lang w:val="en-US" w:eastAsia="zh-CN"/>
              </w:rPr>
              <w:t>相关职称</w:t>
            </w:r>
            <w:r>
              <w:rPr>
                <w:rFonts w:hint="eastAsia" w:ascii="宋体" w:hAnsi="宋体" w:eastAsia="宋体" w:cs="宋体"/>
                <w:color w:val="auto"/>
                <w:sz w:val="22"/>
                <w:szCs w:val="22"/>
                <w:highlight w:val="none"/>
              </w:rPr>
              <w:t>证书</w:t>
            </w:r>
            <w:r>
              <w:rPr>
                <w:rFonts w:hint="eastAsia" w:ascii="宋体" w:hAnsi="宋体" w:cs="宋体"/>
                <w:color w:val="auto"/>
                <w:sz w:val="22"/>
                <w:szCs w:val="22"/>
                <w:highlight w:val="none"/>
                <w:lang w:val="en-US" w:eastAsia="zh-CN"/>
              </w:rPr>
              <w:t>及</w:t>
            </w:r>
            <w:r>
              <w:rPr>
                <w:rFonts w:hint="eastAsia" w:ascii="宋体" w:hAnsi="宋体" w:cs="宋体"/>
                <w:color w:val="auto"/>
                <w:sz w:val="22"/>
                <w:szCs w:val="22"/>
                <w:highlight w:val="none"/>
                <w:lang w:eastAsia="zh-CN"/>
              </w:rPr>
              <w:t>近投标截止日期前三个月任意一个月社保证明</w:t>
            </w:r>
            <w:r>
              <w:rPr>
                <w:rFonts w:hint="eastAsia" w:ascii="宋体" w:hAnsi="宋体" w:cs="宋体"/>
                <w:color w:val="auto"/>
                <w:sz w:val="22"/>
                <w:szCs w:val="22"/>
                <w:highlight w:val="none"/>
                <w:lang w:val="en-US" w:eastAsia="zh-CN"/>
              </w:rPr>
              <w:t>并加盖公章</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缺一不得分</w:t>
            </w:r>
            <w:r>
              <w:rPr>
                <w:rFonts w:hint="eastAsia" w:ascii="宋体" w:hAnsi="宋体" w:eastAsia="宋体" w:cs="宋体"/>
                <w:color w:val="auto"/>
                <w:sz w:val="22"/>
                <w:szCs w:val="22"/>
                <w:highlight w:val="none"/>
                <w:lang w:eastAsia="zh-CN"/>
              </w:rPr>
              <w:t>。</w:t>
            </w:r>
            <w:r>
              <w:rPr>
                <w:rFonts w:hint="eastAsia"/>
              </w:rPr>
              <w:t>（分包单位人员</w:t>
            </w:r>
            <w:r>
              <w:rPr>
                <w:rFonts w:hint="eastAsia"/>
                <w:lang w:val="en-US" w:eastAsia="zh-CN"/>
              </w:rPr>
              <w:t>证书及社保证明均予以认可</w:t>
            </w:r>
            <w:r>
              <w:rPr>
                <w:rFonts w:hint="eastAsia"/>
              </w:rPr>
              <w:t>）</w:t>
            </w:r>
          </w:p>
        </w:tc>
        <w:tc>
          <w:tcPr>
            <w:tcW w:w="810" w:type="dxa"/>
            <w:noWrap w:val="0"/>
            <w:vAlign w:val="center"/>
          </w:tcPr>
          <w:p w14:paraId="679A34C0">
            <w:pPr>
              <w:keepNext w:val="0"/>
              <w:keepLines w:val="0"/>
              <w:pageBreakBefore w:val="0"/>
              <w:shd w:val="clear" w:color="auto" w:fill="auto"/>
              <w:kinsoku/>
              <w:overflowPunct/>
              <w:topLinePunct w:val="0"/>
              <w:autoSpaceDE/>
              <w:autoSpaceDN/>
              <w:bidi w:val="0"/>
              <w:adjustRightInd/>
              <w:snapToGrid/>
              <w:spacing w:line="46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1015" w:type="dxa"/>
            <w:noWrap w:val="0"/>
            <w:vAlign w:val="center"/>
          </w:tcPr>
          <w:p w14:paraId="150E2B76">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客观分</w:t>
            </w:r>
          </w:p>
        </w:tc>
      </w:tr>
      <w:tr w14:paraId="514D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00" w:type="dxa"/>
            <w:vMerge w:val="continue"/>
            <w:noWrap w:val="0"/>
            <w:vAlign w:val="center"/>
          </w:tcPr>
          <w:p w14:paraId="3B40BDA3">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425" w:leftChars="0" w:hanging="425" w:firstLineChars="0"/>
              <w:jc w:val="center"/>
              <w:rPr>
                <w:rFonts w:hint="eastAsia" w:ascii="宋体" w:hAnsi="宋体" w:eastAsia="宋体" w:cs="宋体"/>
                <w:color w:val="auto"/>
                <w:sz w:val="22"/>
                <w:szCs w:val="22"/>
                <w:highlight w:val="none"/>
                <w:lang w:val="en-US" w:eastAsia="zh-CN"/>
              </w:rPr>
            </w:pPr>
          </w:p>
        </w:tc>
        <w:tc>
          <w:tcPr>
            <w:tcW w:w="1284" w:type="dxa"/>
            <w:vMerge w:val="continue"/>
            <w:noWrap w:val="0"/>
            <w:vAlign w:val="center"/>
          </w:tcPr>
          <w:p w14:paraId="30EC20CD">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lang w:val="en-US" w:eastAsia="zh-CN"/>
              </w:rPr>
            </w:pPr>
          </w:p>
        </w:tc>
        <w:tc>
          <w:tcPr>
            <w:tcW w:w="6361" w:type="dxa"/>
            <w:noWrap w:val="0"/>
            <w:vAlign w:val="top"/>
          </w:tcPr>
          <w:p w14:paraId="2C5B5C2F">
            <w:pPr>
              <w:keepNext w:val="0"/>
              <w:keepLines w:val="0"/>
              <w:pageBreakBefore w:val="0"/>
              <w:widowControl/>
              <w:numPr>
                <w:ilvl w:val="0"/>
                <w:numId w:val="0"/>
              </w:numPr>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b/>
                <w:bCs/>
                <w:color w:val="auto"/>
                <w:sz w:val="22"/>
                <w:szCs w:val="22"/>
                <w:highlight w:val="none"/>
                <w:lang w:val="zh-CN" w:eastAsia="zh-CN"/>
              </w:rPr>
            </w:pPr>
            <w:r>
              <w:rPr>
                <w:rFonts w:hint="eastAsia" w:ascii="宋体" w:hAnsi="宋体" w:eastAsia="宋体" w:cs="宋体"/>
                <w:b/>
                <w:bCs/>
                <w:color w:val="auto"/>
                <w:sz w:val="22"/>
                <w:szCs w:val="22"/>
                <w:highlight w:val="none"/>
                <w:lang w:val="zh-CN" w:eastAsia="zh-CN"/>
              </w:rPr>
              <w:t>专业分析人</w:t>
            </w:r>
            <w:r>
              <w:rPr>
                <w:rFonts w:hint="eastAsia" w:ascii="宋体" w:hAnsi="宋体" w:eastAsia="宋体" w:cs="宋体"/>
                <w:b/>
                <w:bCs/>
                <w:color w:val="auto"/>
                <w:sz w:val="22"/>
                <w:szCs w:val="22"/>
                <w:highlight w:val="none"/>
                <w:lang w:val="en-US" w:eastAsia="zh-CN"/>
              </w:rPr>
              <w:t>员</w:t>
            </w:r>
            <w:r>
              <w:rPr>
                <w:rFonts w:hint="eastAsia" w:ascii="宋体" w:hAnsi="宋体" w:eastAsia="宋体" w:cs="宋体"/>
                <w:b/>
                <w:bCs/>
                <w:color w:val="auto"/>
                <w:sz w:val="22"/>
                <w:szCs w:val="22"/>
                <w:highlight w:val="none"/>
                <w:lang w:val="zh-CN" w:eastAsia="zh-CN"/>
              </w:rPr>
              <w:t>：</w:t>
            </w:r>
          </w:p>
          <w:p w14:paraId="681DCAB3">
            <w:pPr>
              <w:keepNext w:val="0"/>
              <w:keepLines w:val="0"/>
              <w:pageBreakBefore w:val="0"/>
              <w:widowControl/>
              <w:numPr>
                <w:ilvl w:val="0"/>
                <w:numId w:val="0"/>
              </w:numPr>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提供</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名具有</w:t>
            </w:r>
            <w:r>
              <w:rPr>
                <w:rFonts w:hint="eastAsia" w:ascii="宋体" w:hAnsi="宋体" w:eastAsia="宋体" w:cs="宋体"/>
                <w:color w:val="auto"/>
                <w:sz w:val="22"/>
                <w:szCs w:val="22"/>
                <w:highlight w:val="none"/>
                <w:lang w:val="zh-CN" w:eastAsia="zh-CN"/>
              </w:rPr>
              <w:t>道路、桥梁（可分别具备）中级</w:t>
            </w:r>
            <w:r>
              <w:rPr>
                <w:rFonts w:hint="eastAsia" w:ascii="宋体" w:hAnsi="宋体" w:cs="宋体"/>
                <w:color w:val="auto"/>
                <w:sz w:val="22"/>
                <w:szCs w:val="22"/>
                <w:highlight w:val="none"/>
                <w:lang w:val="en-US" w:eastAsia="zh-CN"/>
              </w:rPr>
              <w:t>职称</w:t>
            </w:r>
            <w:r>
              <w:rPr>
                <w:rFonts w:hint="eastAsia" w:ascii="宋体" w:hAnsi="宋体" w:eastAsia="宋体" w:cs="宋体"/>
                <w:color w:val="auto"/>
                <w:sz w:val="22"/>
                <w:szCs w:val="22"/>
                <w:highlight w:val="none"/>
                <w:lang w:val="zh-CN" w:eastAsia="zh-CN"/>
              </w:rPr>
              <w:t>及以上</w:t>
            </w:r>
            <w:r>
              <w:rPr>
                <w:rFonts w:hint="eastAsia" w:ascii="宋体" w:hAnsi="宋体" w:cs="宋体"/>
                <w:color w:val="auto"/>
                <w:sz w:val="22"/>
                <w:szCs w:val="22"/>
                <w:highlight w:val="none"/>
                <w:lang w:val="en-US" w:eastAsia="zh-CN"/>
              </w:rPr>
              <w:t>或公路工程试验检测工程师</w:t>
            </w:r>
            <w:r>
              <w:rPr>
                <w:rFonts w:hint="eastAsia" w:ascii="宋体" w:hAnsi="宋体" w:eastAsia="宋体" w:cs="宋体"/>
                <w:color w:val="auto"/>
                <w:sz w:val="22"/>
                <w:szCs w:val="22"/>
                <w:highlight w:val="none"/>
                <w:lang w:val="zh-CN" w:eastAsia="zh-CN"/>
              </w:rPr>
              <w:t>证书</w:t>
            </w:r>
            <w:r>
              <w:rPr>
                <w:rFonts w:hint="eastAsia" w:ascii="宋体" w:hAnsi="宋体" w:eastAsia="宋体" w:cs="宋体"/>
                <w:color w:val="auto"/>
                <w:sz w:val="22"/>
                <w:szCs w:val="22"/>
                <w:highlight w:val="none"/>
                <w:lang w:val="en-US" w:eastAsia="zh-CN"/>
              </w:rPr>
              <w:t>得2分；</w:t>
            </w:r>
          </w:p>
          <w:p w14:paraId="0664492A">
            <w:pPr>
              <w:keepNext w:val="0"/>
              <w:keepLines w:val="0"/>
              <w:pageBreakBefore w:val="0"/>
              <w:widowControl/>
              <w:numPr>
                <w:ilvl w:val="0"/>
                <w:numId w:val="0"/>
              </w:numPr>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在专业分析人员全部满足招标文件要求的基础上进行增配的：</w:t>
            </w:r>
          </w:p>
          <w:p w14:paraId="36BB0DBC">
            <w:pPr>
              <w:keepNext w:val="0"/>
              <w:keepLines w:val="0"/>
              <w:pageBreakBefore w:val="0"/>
              <w:widowControl/>
              <w:numPr>
                <w:ilvl w:val="0"/>
                <w:numId w:val="0"/>
              </w:numPr>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每增加1名</w:t>
            </w:r>
            <w:r>
              <w:rPr>
                <w:rFonts w:hint="eastAsia" w:ascii="宋体" w:hAnsi="宋体" w:eastAsia="宋体" w:cs="宋体"/>
                <w:color w:val="auto"/>
                <w:sz w:val="22"/>
                <w:szCs w:val="22"/>
                <w:highlight w:val="none"/>
                <w:lang w:val="en-US" w:eastAsia="zh-CN"/>
              </w:rPr>
              <w:t>具有</w:t>
            </w:r>
            <w:r>
              <w:rPr>
                <w:rFonts w:hint="eastAsia" w:ascii="宋体" w:hAnsi="宋体" w:eastAsia="宋体" w:cs="宋体"/>
                <w:color w:val="auto"/>
                <w:sz w:val="22"/>
                <w:szCs w:val="22"/>
                <w:highlight w:val="none"/>
                <w:lang w:val="zh-CN" w:eastAsia="zh-CN"/>
              </w:rPr>
              <w:t>道路</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zh-CN" w:eastAsia="zh-CN"/>
              </w:rPr>
              <w:t>桥梁中级</w:t>
            </w:r>
            <w:r>
              <w:rPr>
                <w:rFonts w:hint="eastAsia" w:ascii="宋体" w:hAnsi="宋体" w:cs="宋体"/>
                <w:color w:val="auto"/>
                <w:sz w:val="22"/>
                <w:szCs w:val="22"/>
                <w:highlight w:val="none"/>
                <w:lang w:val="en-US" w:eastAsia="zh-CN"/>
              </w:rPr>
              <w:t>职称</w:t>
            </w:r>
            <w:r>
              <w:rPr>
                <w:rFonts w:hint="eastAsia" w:ascii="宋体" w:hAnsi="宋体" w:eastAsia="宋体" w:cs="宋体"/>
                <w:color w:val="auto"/>
                <w:sz w:val="22"/>
                <w:szCs w:val="22"/>
                <w:highlight w:val="none"/>
                <w:lang w:val="zh-CN" w:eastAsia="zh-CN"/>
              </w:rPr>
              <w:t>及以上</w:t>
            </w:r>
            <w:r>
              <w:rPr>
                <w:rFonts w:hint="eastAsia" w:ascii="宋体" w:hAnsi="宋体" w:cs="宋体"/>
                <w:color w:val="auto"/>
                <w:sz w:val="22"/>
                <w:szCs w:val="22"/>
                <w:highlight w:val="none"/>
                <w:lang w:val="en-US" w:eastAsia="zh-CN"/>
              </w:rPr>
              <w:t>或公路工程试验检测工程师</w:t>
            </w:r>
            <w:r>
              <w:rPr>
                <w:rFonts w:hint="eastAsia" w:ascii="宋体" w:hAnsi="宋体" w:eastAsia="宋体" w:cs="宋体"/>
                <w:color w:val="auto"/>
                <w:sz w:val="22"/>
                <w:szCs w:val="22"/>
                <w:highlight w:val="none"/>
                <w:lang w:val="zh-CN" w:eastAsia="zh-CN"/>
              </w:rPr>
              <w:t>证书</w:t>
            </w:r>
            <w:r>
              <w:rPr>
                <w:rFonts w:hint="eastAsia" w:ascii="宋体" w:hAnsi="宋体" w:eastAsia="宋体" w:cs="宋体"/>
                <w:color w:val="auto"/>
                <w:sz w:val="22"/>
                <w:szCs w:val="22"/>
                <w:highlight w:val="none"/>
                <w:lang w:val="en-US" w:eastAsia="zh-CN"/>
              </w:rPr>
              <w:t>得</w:t>
            </w:r>
            <w:r>
              <w:rPr>
                <w:rFonts w:hint="eastAsia" w:ascii="宋体" w:hAnsi="宋体" w:cs="宋体"/>
                <w:color w:val="auto"/>
                <w:sz w:val="22"/>
                <w:szCs w:val="22"/>
                <w:highlight w:val="none"/>
                <w:lang w:val="en-US" w:eastAsia="zh-CN"/>
              </w:rPr>
              <w:t>得1分，最多得2分</w:t>
            </w:r>
          </w:p>
          <w:p w14:paraId="20CCC82B">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color w:val="auto"/>
                <w:sz w:val="22"/>
                <w:szCs w:val="22"/>
                <w:highlight w:val="none"/>
              </w:rPr>
              <w:t>需提供</w:t>
            </w:r>
            <w:r>
              <w:rPr>
                <w:rFonts w:hint="eastAsia" w:ascii="宋体" w:hAnsi="宋体" w:eastAsia="宋体" w:cs="宋体"/>
                <w:color w:val="auto"/>
                <w:sz w:val="22"/>
                <w:szCs w:val="22"/>
                <w:highlight w:val="none"/>
                <w:lang w:val="en-US" w:eastAsia="zh-CN"/>
              </w:rPr>
              <w:t>人员</w:t>
            </w:r>
            <w:r>
              <w:rPr>
                <w:rFonts w:hint="eastAsia" w:ascii="宋体" w:hAnsi="宋体" w:cs="宋体"/>
                <w:color w:val="auto"/>
                <w:sz w:val="22"/>
                <w:szCs w:val="22"/>
                <w:highlight w:val="none"/>
                <w:lang w:val="en-US" w:eastAsia="zh-CN"/>
              </w:rPr>
              <w:t>相关职称</w:t>
            </w:r>
            <w:r>
              <w:rPr>
                <w:rFonts w:hint="eastAsia" w:ascii="宋体" w:hAnsi="宋体" w:eastAsia="宋体" w:cs="宋体"/>
                <w:color w:val="auto"/>
                <w:sz w:val="22"/>
                <w:szCs w:val="22"/>
                <w:highlight w:val="none"/>
              </w:rPr>
              <w:t>证书</w:t>
            </w:r>
            <w:r>
              <w:rPr>
                <w:rFonts w:hint="eastAsia" w:ascii="宋体" w:hAnsi="宋体" w:cs="宋体"/>
                <w:color w:val="auto"/>
                <w:sz w:val="22"/>
                <w:szCs w:val="22"/>
                <w:highlight w:val="none"/>
                <w:lang w:val="en-US" w:eastAsia="zh-CN"/>
              </w:rPr>
              <w:t>及</w:t>
            </w:r>
            <w:r>
              <w:rPr>
                <w:rFonts w:hint="eastAsia" w:ascii="宋体" w:hAnsi="宋体" w:cs="宋体"/>
                <w:color w:val="auto"/>
                <w:sz w:val="22"/>
                <w:szCs w:val="22"/>
                <w:highlight w:val="none"/>
                <w:lang w:eastAsia="zh-CN"/>
              </w:rPr>
              <w:t>近投标截止日期前三个月任意一个月社保证明</w:t>
            </w:r>
            <w:r>
              <w:rPr>
                <w:rFonts w:hint="eastAsia" w:ascii="宋体" w:hAnsi="宋体" w:cs="宋体"/>
                <w:color w:val="auto"/>
                <w:sz w:val="22"/>
                <w:szCs w:val="22"/>
                <w:highlight w:val="none"/>
                <w:lang w:val="en-US" w:eastAsia="zh-CN"/>
              </w:rPr>
              <w:t>并加盖公章</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缺一不得分</w:t>
            </w:r>
            <w:r>
              <w:rPr>
                <w:rFonts w:hint="eastAsia" w:ascii="宋体" w:hAnsi="宋体" w:eastAsia="宋体" w:cs="宋体"/>
                <w:color w:val="auto"/>
                <w:sz w:val="22"/>
                <w:szCs w:val="22"/>
                <w:highlight w:val="none"/>
                <w:lang w:eastAsia="zh-CN"/>
              </w:rPr>
              <w:t>。</w:t>
            </w:r>
            <w:r>
              <w:rPr>
                <w:rFonts w:hint="eastAsia"/>
              </w:rPr>
              <w:t>（分包单位人员</w:t>
            </w:r>
            <w:r>
              <w:rPr>
                <w:rFonts w:hint="eastAsia"/>
                <w:lang w:val="en-US" w:eastAsia="zh-CN"/>
              </w:rPr>
              <w:t>证书及社保证明均予以认可</w:t>
            </w:r>
            <w:r>
              <w:rPr>
                <w:rFonts w:hint="eastAsia"/>
              </w:rPr>
              <w:t>）</w:t>
            </w:r>
          </w:p>
        </w:tc>
        <w:tc>
          <w:tcPr>
            <w:tcW w:w="810" w:type="dxa"/>
            <w:noWrap w:val="0"/>
            <w:vAlign w:val="center"/>
          </w:tcPr>
          <w:p w14:paraId="1D6CB75D">
            <w:pPr>
              <w:keepNext w:val="0"/>
              <w:keepLines w:val="0"/>
              <w:pageBreakBefore w:val="0"/>
              <w:shd w:val="clear" w:color="auto" w:fill="auto"/>
              <w:kinsoku/>
              <w:overflowPunct/>
              <w:topLinePunct w:val="0"/>
              <w:autoSpaceDE/>
              <w:autoSpaceDN/>
              <w:bidi w:val="0"/>
              <w:adjustRightInd/>
              <w:snapToGrid/>
              <w:spacing w:line="46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1015" w:type="dxa"/>
            <w:noWrap w:val="0"/>
            <w:vAlign w:val="center"/>
          </w:tcPr>
          <w:p w14:paraId="53C8C11F">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客观分</w:t>
            </w:r>
          </w:p>
        </w:tc>
      </w:tr>
      <w:tr w14:paraId="6B54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00" w:type="dxa"/>
            <w:vMerge w:val="restart"/>
            <w:noWrap w:val="0"/>
            <w:vAlign w:val="center"/>
          </w:tcPr>
          <w:p w14:paraId="1D6A1347">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425" w:leftChars="0" w:hanging="425"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1284" w:type="dxa"/>
            <w:vMerge w:val="restart"/>
            <w:noWrap w:val="0"/>
            <w:vAlign w:val="center"/>
          </w:tcPr>
          <w:p w14:paraId="53421B85">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主要设备投入情况</w:t>
            </w:r>
          </w:p>
        </w:tc>
        <w:tc>
          <w:tcPr>
            <w:tcW w:w="6361" w:type="dxa"/>
            <w:noWrap w:val="0"/>
            <w:vAlign w:val="top"/>
          </w:tcPr>
          <w:p w14:paraId="0538D5A6">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1、提供的生产设备配备满足招标文件要求</w:t>
            </w:r>
            <w:r>
              <w:rPr>
                <w:rFonts w:hint="eastAsia" w:ascii="宋体" w:hAnsi="宋体" w:cs="宋体"/>
                <w:color w:val="auto"/>
                <w:sz w:val="22"/>
                <w:szCs w:val="22"/>
                <w:highlight w:val="none"/>
                <w:lang w:val="en-US" w:eastAsia="zh-CN"/>
              </w:rPr>
              <w:t>的不得分，</w:t>
            </w:r>
            <w:r>
              <w:rPr>
                <w:rFonts w:hint="eastAsia" w:ascii="宋体" w:hAnsi="宋体" w:eastAsia="宋体" w:cs="宋体"/>
                <w:color w:val="auto"/>
                <w:sz w:val="22"/>
                <w:szCs w:val="22"/>
                <w:highlight w:val="none"/>
                <w:lang w:val="en-US" w:eastAsia="zh-CN"/>
              </w:rPr>
              <w:t>在生产设备全部满足招标文件要求的基础上进行增配的</w:t>
            </w:r>
            <w:r>
              <w:rPr>
                <w:rFonts w:hint="eastAsia" w:ascii="宋体" w:hAnsi="宋体" w:cs="宋体"/>
                <w:color w:val="auto"/>
                <w:sz w:val="22"/>
                <w:szCs w:val="22"/>
                <w:highlight w:val="none"/>
                <w:lang w:val="en-US" w:eastAsia="zh-CN"/>
              </w:rPr>
              <w:t>：</w:t>
            </w:r>
          </w:p>
          <w:p w14:paraId="62B7EB34">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（1）每增配巡视管理车（3座-6座）1辆得1分，最多得2分；</w:t>
            </w:r>
          </w:p>
          <w:p w14:paraId="555C6A7C">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（2）每增配曲臂登高车（作业高度22米）1辆得1分，最多得2分；</w:t>
            </w:r>
          </w:p>
          <w:p w14:paraId="2C139747">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（3）每增配可移动电源（功率≥30KW）</w:t>
            </w:r>
            <w:r>
              <w:rPr>
                <w:rFonts w:hint="eastAsia" w:ascii="宋体" w:hAnsi="宋体" w:cs="宋体"/>
                <w:color w:val="auto"/>
                <w:sz w:val="22"/>
                <w:szCs w:val="22"/>
                <w:highlight w:val="none"/>
                <w:lang w:val="en-US" w:eastAsia="zh-CN"/>
              </w:rPr>
              <w:t>1个</w:t>
            </w:r>
            <w:r>
              <w:rPr>
                <w:rFonts w:hint="eastAsia" w:ascii="宋体" w:hAnsi="宋体" w:eastAsia="宋体" w:cs="宋体"/>
                <w:color w:val="auto"/>
                <w:sz w:val="22"/>
                <w:szCs w:val="22"/>
                <w:highlight w:val="none"/>
                <w:lang w:val="en-US" w:eastAsia="zh-CN"/>
              </w:rPr>
              <w:t>得1分，最多得1分。</w:t>
            </w:r>
          </w:p>
        </w:tc>
        <w:tc>
          <w:tcPr>
            <w:tcW w:w="810" w:type="dxa"/>
            <w:vMerge w:val="restart"/>
            <w:noWrap w:val="0"/>
            <w:vAlign w:val="center"/>
          </w:tcPr>
          <w:p w14:paraId="3C01D7B3">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1015" w:type="dxa"/>
            <w:vMerge w:val="restart"/>
            <w:noWrap w:val="0"/>
            <w:vAlign w:val="center"/>
          </w:tcPr>
          <w:p w14:paraId="0ED247E4">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b w:val="0"/>
                <w:bCs w:val="0"/>
                <w:color w:val="auto"/>
                <w:kern w:val="0"/>
                <w:sz w:val="22"/>
                <w:szCs w:val="22"/>
                <w:highlight w:val="none"/>
                <w:lang w:val="en-US" w:eastAsia="zh-CN"/>
              </w:rPr>
              <w:t>客观分</w:t>
            </w:r>
          </w:p>
        </w:tc>
      </w:tr>
      <w:tr w14:paraId="3F1D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900" w:type="dxa"/>
            <w:vMerge w:val="continue"/>
            <w:noWrap w:val="0"/>
            <w:vAlign w:val="center"/>
          </w:tcPr>
          <w:p w14:paraId="166419DB">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rPr>
            </w:pPr>
          </w:p>
        </w:tc>
        <w:tc>
          <w:tcPr>
            <w:tcW w:w="1284" w:type="dxa"/>
            <w:vMerge w:val="continue"/>
            <w:noWrap w:val="0"/>
            <w:vAlign w:val="center"/>
          </w:tcPr>
          <w:p w14:paraId="192B3103">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lang w:val="en-US" w:eastAsia="zh-CN"/>
              </w:rPr>
            </w:pPr>
          </w:p>
        </w:tc>
        <w:tc>
          <w:tcPr>
            <w:tcW w:w="6361" w:type="dxa"/>
            <w:noWrap w:val="0"/>
            <w:vAlign w:val="top"/>
          </w:tcPr>
          <w:p w14:paraId="01E101B4">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提供购买证明（或租赁证明或承诺购买承诺书），租赁或自有车辆还须同时根据不同设备类型提供如车辆行驶证扫描件、机动车登记证书复印件、车辆最大作业高度证明材料等证明材料；因投标人提供的材料无法充分佐证其设备满足招标文件要求的，或未提供齐全购买证明（或租赁证明或承诺购买承诺书）的，评标委员会成员可按不满足认定</w:t>
            </w:r>
            <w:r>
              <w:rPr>
                <w:rFonts w:hint="eastAsia" w:ascii="宋体" w:hAnsi="宋体" w:eastAsia="宋体" w:cs="宋体"/>
                <w:color w:val="auto"/>
                <w:sz w:val="22"/>
                <w:szCs w:val="22"/>
                <w:highlight w:val="none"/>
              </w:rPr>
              <w:t>。</w:t>
            </w:r>
          </w:p>
        </w:tc>
        <w:tc>
          <w:tcPr>
            <w:tcW w:w="810" w:type="dxa"/>
            <w:vMerge w:val="continue"/>
            <w:noWrap w:val="0"/>
            <w:vAlign w:val="center"/>
          </w:tcPr>
          <w:p w14:paraId="2FF602B6">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p>
        </w:tc>
        <w:tc>
          <w:tcPr>
            <w:tcW w:w="1015" w:type="dxa"/>
            <w:vMerge w:val="continue"/>
            <w:noWrap w:val="0"/>
            <w:vAlign w:val="center"/>
          </w:tcPr>
          <w:p w14:paraId="3F78F798">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b w:val="0"/>
                <w:bCs w:val="0"/>
                <w:color w:val="auto"/>
                <w:kern w:val="0"/>
                <w:sz w:val="22"/>
                <w:szCs w:val="22"/>
                <w:highlight w:val="none"/>
                <w:lang w:val="en-US" w:eastAsia="zh-CN"/>
              </w:rPr>
            </w:pPr>
          </w:p>
        </w:tc>
      </w:tr>
      <w:tr w14:paraId="7823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Merge w:val="restart"/>
            <w:noWrap w:val="0"/>
            <w:vAlign w:val="center"/>
          </w:tcPr>
          <w:p w14:paraId="6429CEA4">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425" w:leftChars="0" w:hanging="425" w:firstLineChars="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1284" w:type="dxa"/>
            <w:vMerge w:val="restart"/>
            <w:noWrap w:val="0"/>
            <w:vAlign w:val="center"/>
          </w:tcPr>
          <w:p w14:paraId="0D914C5C">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养护管理方案</w:t>
            </w:r>
          </w:p>
        </w:tc>
        <w:tc>
          <w:tcPr>
            <w:tcW w:w="6361" w:type="dxa"/>
            <w:noWrap w:val="0"/>
            <w:vAlign w:val="center"/>
          </w:tcPr>
          <w:p w14:paraId="4B88AB42">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rPr>
              <w:t>根据项目管理制度及方案（人员、设备配置和管理等）的完整性、科学性、合理性、信息化和精细化等方面进行评估，完整、科学、合理、管理信息化和精细化高的</w:t>
            </w:r>
            <w:r>
              <w:rPr>
                <w:rFonts w:hint="eastAsia" w:ascii="宋体" w:hAnsi="宋体" w:eastAsia="宋体" w:cs="宋体"/>
                <w:color w:val="auto"/>
                <w:sz w:val="22"/>
                <w:szCs w:val="22"/>
                <w:highlight w:val="none"/>
                <w:lang w:val="en-US" w:eastAsia="zh-CN"/>
              </w:rPr>
              <w:t>得5分；较好的得3分；一般的得2分；较差或提供不完整的得1分；未提供不得分</w:t>
            </w:r>
            <w:r>
              <w:rPr>
                <w:rFonts w:hint="eastAsia" w:ascii="宋体" w:hAnsi="宋体" w:eastAsia="宋体" w:cs="宋体"/>
                <w:color w:val="auto"/>
                <w:sz w:val="22"/>
                <w:szCs w:val="22"/>
                <w:highlight w:val="none"/>
                <w:lang w:val="en-US"/>
              </w:rPr>
              <w:t>。</w:t>
            </w:r>
          </w:p>
        </w:tc>
        <w:tc>
          <w:tcPr>
            <w:tcW w:w="810" w:type="dxa"/>
            <w:noWrap w:val="0"/>
            <w:vAlign w:val="center"/>
          </w:tcPr>
          <w:p w14:paraId="5A5FA25C">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1015" w:type="dxa"/>
            <w:noWrap w:val="0"/>
            <w:vAlign w:val="center"/>
          </w:tcPr>
          <w:p w14:paraId="60372973">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主观分</w:t>
            </w:r>
          </w:p>
        </w:tc>
      </w:tr>
      <w:tr w14:paraId="52DD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00" w:type="dxa"/>
            <w:vMerge w:val="continue"/>
            <w:noWrap w:val="0"/>
            <w:vAlign w:val="center"/>
          </w:tcPr>
          <w:p w14:paraId="1C85EDE9">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rPr>
            </w:pPr>
          </w:p>
        </w:tc>
        <w:tc>
          <w:tcPr>
            <w:tcW w:w="1284" w:type="dxa"/>
            <w:vMerge w:val="continue"/>
            <w:noWrap w:val="0"/>
            <w:vAlign w:val="center"/>
          </w:tcPr>
          <w:p w14:paraId="1D4B93E3">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rPr>
            </w:pPr>
          </w:p>
        </w:tc>
        <w:tc>
          <w:tcPr>
            <w:tcW w:w="6361" w:type="dxa"/>
            <w:noWrap w:val="0"/>
            <w:vAlign w:val="center"/>
          </w:tcPr>
          <w:p w14:paraId="436A66BA">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针对本项目中各</w:t>
            </w:r>
            <w:r>
              <w:rPr>
                <w:rFonts w:hint="eastAsia" w:ascii="宋体" w:hAnsi="宋体" w:eastAsia="宋体" w:cs="宋体"/>
                <w:color w:val="auto"/>
                <w:sz w:val="22"/>
                <w:szCs w:val="22"/>
                <w:highlight w:val="none"/>
              </w:rPr>
              <w:t>道桥</w:t>
            </w:r>
            <w:r>
              <w:rPr>
                <w:rFonts w:hint="eastAsia" w:ascii="宋体" w:hAnsi="宋体" w:eastAsia="宋体" w:cs="宋体"/>
                <w:color w:val="auto"/>
                <w:sz w:val="22"/>
                <w:szCs w:val="22"/>
                <w:highlight w:val="none"/>
                <w:lang w:val="en-US" w:eastAsia="zh-CN"/>
              </w:rPr>
              <w:t>设施状况现场调查情况，</w:t>
            </w:r>
            <w:r>
              <w:rPr>
                <w:rFonts w:hint="eastAsia" w:ascii="宋体" w:hAnsi="宋体" w:eastAsia="宋体" w:cs="宋体"/>
                <w:color w:val="auto"/>
                <w:sz w:val="22"/>
                <w:szCs w:val="22"/>
                <w:highlight w:val="none"/>
                <w:lang w:val="en-US"/>
              </w:rPr>
              <w:t>完整、</w:t>
            </w:r>
            <w:r>
              <w:rPr>
                <w:rFonts w:hint="eastAsia" w:ascii="宋体" w:hAnsi="宋体" w:eastAsia="宋体" w:cs="宋体"/>
                <w:color w:val="auto"/>
                <w:sz w:val="22"/>
                <w:szCs w:val="22"/>
                <w:highlight w:val="none"/>
                <w:lang w:val="en-US" w:eastAsia="zh-CN"/>
              </w:rPr>
              <w:t>详尽</w:t>
            </w:r>
            <w:r>
              <w:rPr>
                <w:rFonts w:hint="eastAsia" w:ascii="宋体" w:hAnsi="宋体" w:eastAsia="宋体" w:cs="宋体"/>
                <w:color w:val="auto"/>
                <w:sz w:val="22"/>
                <w:szCs w:val="22"/>
                <w:highlight w:val="none"/>
                <w:lang w:val="en-US"/>
              </w:rPr>
              <w:t>的得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rPr>
              <w:t>分；较</w:t>
            </w:r>
            <w:r>
              <w:rPr>
                <w:rFonts w:hint="eastAsia" w:ascii="宋体" w:hAnsi="宋体" w:eastAsia="宋体" w:cs="宋体"/>
                <w:color w:val="auto"/>
                <w:sz w:val="22"/>
                <w:szCs w:val="22"/>
                <w:highlight w:val="none"/>
                <w:lang w:val="en-US" w:eastAsia="zh-CN"/>
              </w:rPr>
              <w:t>完整、详尽</w:t>
            </w:r>
            <w:r>
              <w:rPr>
                <w:rFonts w:hint="eastAsia" w:ascii="宋体" w:hAnsi="宋体" w:eastAsia="宋体" w:cs="宋体"/>
                <w:color w:val="auto"/>
                <w:sz w:val="22"/>
                <w:szCs w:val="22"/>
                <w:highlight w:val="none"/>
                <w:lang w:val="en-US"/>
              </w:rPr>
              <w:t>的得</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lang w:val="en-US"/>
              </w:rPr>
              <w:t>分；一般的得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US"/>
              </w:rPr>
              <w:t>分；较差或提供不完整的得</w:t>
            </w:r>
            <w:r>
              <w:rPr>
                <w:rFonts w:hint="eastAsia" w:ascii="宋体" w:hAnsi="宋体" w:eastAsia="宋体" w:cs="宋体"/>
                <w:color w:val="auto"/>
                <w:sz w:val="22"/>
                <w:szCs w:val="22"/>
                <w:highlight w:val="none"/>
                <w:lang w:val="en-US" w:eastAsia="zh-CN"/>
              </w:rPr>
              <w:t>0.5</w:t>
            </w:r>
            <w:r>
              <w:rPr>
                <w:rFonts w:hint="eastAsia" w:ascii="宋体" w:hAnsi="宋体" w:eastAsia="宋体" w:cs="宋体"/>
                <w:color w:val="auto"/>
                <w:sz w:val="22"/>
                <w:szCs w:val="22"/>
                <w:highlight w:val="none"/>
                <w:lang w:val="en-US"/>
              </w:rPr>
              <w:t>分</w:t>
            </w:r>
            <w:r>
              <w:rPr>
                <w:rFonts w:hint="eastAsia" w:ascii="宋体" w:hAnsi="宋体" w:eastAsia="宋体" w:cs="宋体"/>
                <w:color w:val="auto"/>
                <w:sz w:val="22"/>
                <w:szCs w:val="22"/>
                <w:highlight w:val="none"/>
                <w:lang w:val="en-US" w:eastAsia="zh-CN"/>
              </w:rPr>
              <w:t>；未提供不得分</w:t>
            </w:r>
            <w:r>
              <w:rPr>
                <w:rFonts w:hint="eastAsia" w:ascii="宋体" w:hAnsi="宋体" w:eastAsia="宋体" w:cs="宋体"/>
                <w:color w:val="auto"/>
                <w:sz w:val="22"/>
                <w:szCs w:val="22"/>
                <w:highlight w:val="none"/>
                <w:lang w:val="en-US"/>
              </w:rPr>
              <w:t>。</w:t>
            </w:r>
          </w:p>
        </w:tc>
        <w:tc>
          <w:tcPr>
            <w:tcW w:w="810" w:type="dxa"/>
            <w:noWrap w:val="0"/>
            <w:vAlign w:val="center"/>
          </w:tcPr>
          <w:p w14:paraId="505F46D1">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1015" w:type="dxa"/>
            <w:noWrap w:val="0"/>
            <w:vAlign w:val="center"/>
          </w:tcPr>
          <w:p w14:paraId="0A1A1B1A">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r w14:paraId="7EBC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00" w:type="dxa"/>
            <w:vMerge w:val="continue"/>
            <w:noWrap w:val="0"/>
            <w:vAlign w:val="center"/>
          </w:tcPr>
          <w:p w14:paraId="0D0D0331">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rPr>
            </w:pPr>
          </w:p>
        </w:tc>
        <w:tc>
          <w:tcPr>
            <w:tcW w:w="1284" w:type="dxa"/>
            <w:vMerge w:val="continue"/>
            <w:noWrap w:val="0"/>
            <w:vAlign w:val="center"/>
          </w:tcPr>
          <w:p w14:paraId="21E4DBF1">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rPr>
            </w:pPr>
          </w:p>
        </w:tc>
        <w:tc>
          <w:tcPr>
            <w:tcW w:w="6361" w:type="dxa"/>
            <w:noWrap w:val="0"/>
            <w:vAlign w:val="center"/>
          </w:tcPr>
          <w:p w14:paraId="7217EB23">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rPr>
              <w:t>根据投标人提供的</w:t>
            </w:r>
            <w:r>
              <w:rPr>
                <w:rFonts w:hint="eastAsia" w:ascii="宋体" w:hAnsi="宋体" w:eastAsia="宋体" w:cs="宋体"/>
                <w:b w:val="0"/>
                <w:bCs w:val="0"/>
                <w:color w:val="auto"/>
                <w:sz w:val="22"/>
                <w:szCs w:val="22"/>
                <w:highlight w:val="none"/>
              </w:rPr>
              <w:t>道桥</w:t>
            </w:r>
            <w:r>
              <w:rPr>
                <w:rFonts w:hint="eastAsia" w:ascii="宋体" w:hAnsi="宋体" w:cs="宋体"/>
                <w:b w:val="0"/>
                <w:bCs w:val="0"/>
                <w:color w:val="auto"/>
                <w:sz w:val="22"/>
                <w:szCs w:val="22"/>
                <w:highlight w:val="none"/>
                <w:lang w:val="en-US" w:eastAsia="zh-CN"/>
              </w:rPr>
              <w:t>检测服务</w:t>
            </w:r>
            <w:r>
              <w:rPr>
                <w:rFonts w:hint="eastAsia" w:ascii="宋体" w:hAnsi="宋体" w:eastAsia="宋体" w:cs="宋体"/>
                <w:b w:val="0"/>
                <w:bCs w:val="0"/>
                <w:color w:val="auto"/>
                <w:sz w:val="22"/>
                <w:szCs w:val="22"/>
                <w:highlight w:val="none"/>
                <w:lang w:val="en-US"/>
              </w:rPr>
              <w:t>方案的完整性、科学性、合理性和精细化等方面进行评估。</w:t>
            </w:r>
            <w:r>
              <w:rPr>
                <w:rFonts w:hint="eastAsia" w:ascii="宋体" w:hAnsi="宋体" w:eastAsia="宋体" w:cs="宋体"/>
                <w:b w:val="0"/>
                <w:bCs w:val="0"/>
                <w:color w:val="auto"/>
                <w:sz w:val="22"/>
                <w:szCs w:val="22"/>
                <w:highlight w:val="none"/>
                <w:lang w:val="en-US" w:eastAsia="zh-CN"/>
              </w:rPr>
              <w:t>了解设施状况，方案</w:t>
            </w:r>
            <w:r>
              <w:rPr>
                <w:rFonts w:hint="eastAsia" w:ascii="宋体" w:hAnsi="宋体" w:eastAsia="宋体" w:cs="宋体"/>
                <w:b w:val="0"/>
                <w:bCs w:val="0"/>
                <w:color w:val="auto"/>
                <w:sz w:val="22"/>
                <w:szCs w:val="22"/>
                <w:highlight w:val="none"/>
                <w:lang w:val="en-US"/>
              </w:rPr>
              <w:t>完整、科学、合理、精细化高的得</w:t>
            </w:r>
            <w:r>
              <w:rPr>
                <w:rFonts w:hint="eastAsia" w:ascii="宋体" w:hAnsi="宋体" w:eastAsia="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rPr>
              <w:t>分；较好的得</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rPr>
              <w:t>分；一般的得</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rPr>
              <w:t>分；较差或提供不完整的得</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rPr>
              <w:t>分</w:t>
            </w:r>
            <w:r>
              <w:rPr>
                <w:rFonts w:hint="eastAsia" w:ascii="宋体" w:hAnsi="宋体" w:eastAsia="宋体" w:cs="宋体"/>
                <w:b w:val="0"/>
                <w:bCs w:val="0"/>
                <w:color w:val="auto"/>
                <w:sz w:val="22"/>
                <w:szCs w:val="22"/>
                <w:highlight w:val="none"/>
                <w:lang w:val="en-US" w:eastAsia="zh-CN"/>
              </w:rPr>
              <w:t>；未提供不得分</w:t>
            </w:r>
            <w:r>
              <w:rPr>
                <w:rFonts w:hint="eastAsia" w:ascii="宋体" w:hAnsi="宋体" w:eastAsia="宋体" w:cs="宋体"/>
                <w:b w:val="0"/>
                <w:bCs w:val="0"/>
                <w:color w:val="auto"/>
                <w:sz w:val="22"/>
                <w:szCs w:val="22"/>
                <w:highlight w:val="none"/>
                <w:lang w:val="en-US"/>
              </w:rPr>
              <w:t>。</w:t>
            </w:r>
          </w:p>
        </w:tc>
        <w:tc>
          <w:tcPr>
            <w:tcW w:w="810" w:type="dxa"/>
            <w:noWrap w:val="0"/>
            <w:vAlign w:val="center"/>
          </w:tcPr>
          <w:p w14:paraId="6532D61F">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1015" w:type="dxa"/>
            <w:noWrap w:val="0"/>
            <w:vAlign w:val="center"/>
          </w:tcPr>
          <w:p w14:paraId="1DA32AD4">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主观分</w:t>
            </w:r>
          </w:p>
        </w:tc>
      </w:tr>
      <w:tr w14:paraId="7700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00" w:type="dxa"/>
            <w:vMerge w:val="continue"/>
            <w:noWrap w:val="0"/>
            <w:vAlign w:val="center"/>
          </w:tcPr>
          <w:p w14:paraId="015B22AE">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rPr>
            </w:pPr>
          </w:p>
        </w:tc>
        <w:tc>
          <w:tcPr>
            <w:tcW w:w="1284" w:type="dxa"/>
            <w:vMerge w:val="continue"/>
            <w:noWrap w:val="0"/>
            <w:vAlign w:val="center"/>
          </w:tcPr>
          <w:p w14:paraId="46C72940">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rPr>
            </w:pPr>
          </w:p>
        </w:tc>
        <w:tc>
          <w:tcPr>
            <w:tcW w:w="6361" w:type="dxa"/>
            <w:noWrap w:val="0"/>
            <w:vAlign w:val="center"/>
          </w:tcPr>
          <w:p w14:paraId="425D6B70">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b w:val="0"/>
                <w:bCs w:val="0"/>
                <w:color w:val="auto"/>
                <w:sz w:val="22"/>
                <w:szCs w:val="22"/>
                <w:highlight w:val="none"/>
                <w:lang w:val="en-US"/>
              </w:rPr>
            </w:pPr>
            <w:r>
              <w:rPr>
                <w:rFonts w:hint="eastAsia" w:ascii="宋体" w:hAnsi="宋体" w:eastAsia="宋体" w:cs="宋体"/>
                <w:b w:val="0"/>
                <w:bCs w:val="0"/>
                <w:color w:val="auto"/>
                <w:sz w:val="22"/>
                <w:szCs w:val="22"/>
                <w:highlight w:val="none"/>
                <w:lang w:val="en-US"/>
              </w:rPr>
              <w:t>根据投标人提供的</w:t>
            </w:r>
            <w:r>
              <w:rPr>
                <w:rFonts w:hint="eastAsia" w:ascii="宋体" w:hAnsi="宋体" w:eastAsia="宋体" w:cs="宋体"/>
                <w:b w:val="0"/>
                <w:bCs w:val="0"/>
                <w:color w:val="auto"/>
                <w:sz w:val="22"/>
                <w:szCs w:val="22"/>
                <w:highlight w:val="none"/>
              </w:rPr>
              <w:t>道桥</w:t>
            </w:r>
            <w:r>
              <w:rPr>
                <w:rFonts w:hint="eastAsia" w:ascii="宋体" w:hAnsi="宋体" w:cs="宋体"/>
                <w:b w:val="0"/>
                <w:bCs w:val="0"/>
                <w:color w:val="auto"/>
                <w:sz w:val="22"/>
                <w:szCs w:val="22"/>
                <w:highlight w:val="none"/>
                <w:lang w:val="en-US" w:eastAsia="zh-CN"/>
              </w:rPr>
              <w:t>维养服务</w:t>
            </w:r>
            <w:r>
              <w:rPr>
                <w:rFonts w:hint="eastAsia" w:ascii="宋体" w:hAnsi="宋体" w:eastAsia="宋体" w:cs="宋体"/>
                <w:b w:val="0"/>
                <w:bCs w:val="0"/>
                <w:color w:val="auto"/>
                <w:sz w:val="22"/>
                <w:szCs w:val="22"/>
                <w:highlight w:val="none"/>
                <w:lang w:val="en-US"/>
              </w:rPr>
              <w:t>方案的完整性、科学性、合理性和精细化等方面进行评估。</w:t>
            </w:r>
            <w:r>
              <w:rPr>
                <w:rFonts w:hint="eastAsia" w:ascii="宋体" w:hAnsi="宋体" w:eastAsia="宋体" w:cs="宋体"/>
                <w:b w:val="0"/>
                <w:bCs w:val="0"/>
                <w:color w:val="auto"/>
                <w:sz w:val="22"/>
                <w:szCs w:val="22"/>
                <w:highlight w:val="none"/>
                <w:lang w:val="en-US" w:eastAsia="zh-CN"/>
              </w:rPr>
              <w:t>了解设施状况，方案</w:t>
            </w:r>
            <w:r>
              <w:rPr>
                <w:rFonts w:hint="eastAsia" w:ascii="宋体" w:hAnsi="宋体" w:eastAsia="宋体" w:cs="宋体"/>
                <w:b w:val="0"/>
                <w:bCs w:val="0"/>
                <w:color w:val="auto"/>
                <w:sz w:val="22"/>
                <w:szCs w:val="22"/>
                <w:highlight w:val="none"/>
                <w:lang w:val="en-US"/>
              </w:rPr>
              <w:t>完整、科学、合理、精细化高的得</w:t>
            </w:r>
            <w:r>
              <w:rPr>
                <w:rFonts w:hint="eastAsia" w:ascii="宋体" w:hAnsi="宋体" w:eastAsia="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rPr>
              <w:t>分；较好的得</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rPr>
              <w:t>分；一般的得</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rPr>
              <w:t>分；较差或提供不完整的得</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rPr>
              <w:t>分</w:t>
            </w:r>
            <w:r>
              <w:rPr>
                <w:rFonts w:hint="eastAsia" w:ascii="宋体" w:hAnsi="宋体" w:eastAsia="宋体" w:cs="宋体"/>
                <w:b w:val="0"/>
                <w:bCs w:val="0"/>
                <w:color w:val="auto"/>
                <w:sz w:val="22"/>
                <w:szCs w:val="22"/>
                <w:highlight w:val="none"/>
                <w:lang w:val="en-US" w:eastAsia="zh-CN"/>
              </w:rPr>
              <w:t>；未提供不得分</w:t>
            </w:r>
            <w:r>
              <w:rPr>
                <w:rFonts w:hint="eastAsia" w:ascii="宋体" w:hAnsi="宋体" w:eastAsia="宋体" w:cs="宋体"/>
                <w:b w:val="0"/>
                <w:bCs w:val="0"/>
                <w:color w:val="auto"/>
                <w:sz w:val="22"/>
                <w:szCs w:val="22"/>
                <w:highlight w:val="none"/>
                <w:lang w:val="en-US"/>
              </w:rPr>
              <w:t>。</w:t>
            </w:r>
          </w:p>
        </w:tc>
        <w:tc>
          <w:tcPr>
            <w:tcW w:w="810" w:type="dxa"/>
            <w:noWrap w:val="0"/>
            <w:vAlign w:val="center"/>
          </w:tcPr>
          <w:p w14:paraId="6780A96A">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1015" w:type="dxa"/>
            <w:noWrap w:val="0"/>
            <w:vAlign w:val="center"/>
          </w:tcPr>
          <w:p w14:paraId="5E00E159">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主观分</w:t>
            </w:r>
          </w:p>
        </w:tc>
      </w:tr>
      <w:tr w14:paraId="696C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00" w:type="dxa"/>
            <w:vMerge w:val="continue"/>
            <w:noWrap w:val="0"/>
            <w:vAlign w:val="center"/>
          </w:tcPr>
          <w:p w14:paraId="29E43003">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根据投标人提供的特大型桥梁、大型桥梁等专项维修方案的完整性、科学性、合理性和精细化等方面进行评估。</w:t>
            </w:r>
            <w:r>
              <w:rPr>
                <w:rFonts w:hint="eastAsia" w:ascii="宋体" w:hAnsi="宋体" w:eastAsia="宋体" w:cs="宋体"/>
                <w:color w:val="auto"/>
                <w:sz w:val="22"/>
                <w:szCs w:val="22"/>
                <w:highlight w:val="none"/>
                <w:lang w:val="en-US" w:eastAsia="zh-CN"/>
              </w:rPr>
              <w:t>了解设施状况，方案</w:t>
            </w:r>
            <w:r>
              <w:rPr>
                <w:rFonts w:hint="eastAsia" w:ascii="宋体" w:hAnsi="宋体" w:eastAsia="宋体" w:cs="宋体"/>
                <w:color w:val="auto"/>
                <w:sz w:val="22"/>
                <w:szCs w:val="22"/>
                <w:highlight w:val="none"/>
                <w:lang w:val="en-US"/>
              </w:rPr>
              <w:t>完整、科学、合理、精细化高的得</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val="en-US"/>
              </w:rPr>
              <w:t>分；较好的得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val="en-US"/>
              </w:rPr>
              <w:t>分；一般的得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en-US"/>
              </w:rPr>
              <w:t>分；较差或提供不完整的得2分；未提供的得0分。</w:t>
            </w:r>
          </w:p>
        </w:tc>
        <w:tc>
          <w:tcPr>
            <w:tcW w:w="1284" w:type="dxa"/>
            <w:vMerge w:val="continue"/>
            <w:noWrap w:val="0"/>
            <w:vAlign w:val="center"/>
          </w:tcPr>
          <w:p w14:paraId="057B5726">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rPr>
            </w:pPr>
          </w:p>
        </w:tc>
        <w:tc>
          <w:tcPr>
            <w:tcW w:w="6361" w:type="dxa"/>
            <w:noWrap w:val="0"/>
            <w:vAlign w:val="center"/>
          </w:tcPr>
          <w:p w14:paraId="574F7E01">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根据投标人提供的</w:t>
            </w:r>
            <w:r>
              <w:rPr>
                <w:rFonts w:hint="eastAsia" w:ascii="宋体" w:hAnsi="宋体" w:eastAsia="宋体" w:cs="宋体"/>
                <w:color w:val="auto"/>
                <w:sz w:val="22"/>
                <w:szCs w:val="22"/>
                <w:highlight w:val="none"/>
              </w:rPr>
              <w:t>道桥</w:t>
            </w:r>
            <w:r>
              <w:rPr>
                <w:rFonts w:hint="eastAsia" w:ascii="宋体" w:hAnsi="宋体" w:cs="宋体"/>
                <w:color w:val="auto"/>
                <w:sz w:val="22"/>
                <w:szCs w:val="22"/>
                <w:highlight w:val="none"/>
                <w:lang w:val="en-US" w:eastAsia="zh-CN"/>
              </w:rPr>
              <w:t>维养、检测的计划及进度安排</w:t>
            </w:r>
            <w:r>
              <w:rPr>
                <w:rFonts w:hint="eastAsia" w:ascii="宋体" w:hAnsi="宋体" w:eastAsia="宋体" w:cs="宋体"/>
                <w:color w:val="auto"/>
                <w:sz w:val="22"/>
                <w:szCs w:val="22"/>
                <w:highlight w:val="none"/>
                <w:lang w:val="en-US"/>
              </w:rPr>
              <w:t>方案的完整性、科学性、合理性和精细化等方面进行评估。</w:t>
            </w:r>
            <w:r>
              <w:rPr>
                <w:rFonts w:hint="eastAsia" w:ascii="宋体" w:hAnsi="宋体" w:eastAsia="宋体" w:cs="宋体"/>
                <w:color w:val="auto"/>
                <w:sz w:val="22"/>
                <w:szCs w:val="22"/>
                <w:highlight w:val="none"/>
                <w:lang w:val="en-US" w:eastAsia="zh-CN"/>
              </w:rPr>
              <w:t>了解设施状况，方案</w:t>
            </w:r>
            <w:r>
              <w:rPr>
                <w:rFonts w:hint="eastAsia" w:ascii="宋体" w:hAnsi="宋体" w:eastAsia="宋体" w:cs="宋体"/>
                <w:color w:val="auto"/>
                <w:sz w:val="22"/>
                <w:szCs w:val="22"/>
                <w:highlight w:val="none"/>
                <w:lang w:val="en-US"/>
              </w:rPr>
              <w:t>完整、科学、合理、精细化高的得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val="en-US"/>
              </w:rPr>
              <w:t>分；较好的得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en-US"/>
              </w:rPr>
              <w:t>分；一般的得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rPr>
              <w:t>分；较差或提供不完整的得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US"/>
              </w:rPr>
              <w:t>分</w:t>
            </w:r>
            <w:r>
              <w:rPr>
                <w:rFonts w:hint="eastAsia" w:ascii="宋体" w:hAnsi="宋体" w:eastAsia="宋体" w:cs="宋体"/>
                <w:color w:val="auto"/>
                <w:sz w:val="22"/>
                <w:szCs w:val="22"/>
                <w:highlight w:val="none"/>
                <w:lang w:val="en-US" w:eastAsia="zh-CN"/>
              </w:rPr>
              <w:t>；未提供不得分</w:t>
            </w:r>
            <w:r>
              <w:rPr>
                <w:rFonts w:hint="eastAsia" w:ascii="宋体" w:hAnsi="宋体" w:eastAsia="宋体" w:cs="宋体"/>
                <w:color w:val="auto"/>
                <w:sz w:val="22"/>
                <w:szCs w:val="22"/>
                <w:highlight w:val="none"/>
                <w:lang w:val="en-US"/>
              </w:rPr>
              <w:t>。</w:t>
            </w:r>
          </w:p>
        </w:tc>
        <w:tc>
          <w:tcPr>
            <w:tcW w:w="810" w:type="dxa"/>
            <w:noWrap w:val="0"/>
            <w:vAlign w:val="center"/>
          </w:tcPr>
          <w:p w14:paraId="6784C6BA">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1015" w:type="dxa"/>
            <w:noWrap w:val="0"/>
            <w:vAlign w:val="center"/>
          </w:tcPr>
          <w:p w14:paraId="5D25DC78">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主观分</w:t>
            </w:r>
          </w:p>
        </w:tc>
      </w:tr>
      <w:tr w14:paraId="5AFA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00" w:type="dxa"/>
            <w:vMerge w:val="continue"/>
            <w:noWrap w:val="0"/>
            <w:vAlign w:val="center"/>
          </w:tcPr>
          <w:p w14:paraId="33C9832B">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rPr>
            </w:pPr>
          </w:p>
        </w:tc>
        <w:tc>
          <w:tcPr>
            <w:tcW w:w="1284" w:type="dxa"/>
            <w:vMerge w:val="continue"/>
            <w:noWrap w:val="0"/>
            <w:vAlign w:val="center"/>
          </w:tcPr>
          <w:p w14:paraId="37090AFD">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rPr>
            </w:pPr>
          </w:p>
        </w:tc>
        <w:tc>
          <w:tcPr>
            <w:tcW w:w="6361" w:type="dxa"/>
            <w:noWrap w:val="0"/>
            <w:vAlign w:val="center"/>
          </w:tcPr>
          <w:p w14:paraId="0DD90892">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rPr>
              <w:t>根据</w:t>
            </w:r>
            <w:r>
              <w:rPr>
                <w:rFonts w:hint="eastAsia" w:ascii="宋体" w:hAnsi="宋体" w:eastAsia="宋体" w:cs="宋体"/>
                <w:color w:val="auto"/>
                <w:sz w:val="22"/>
                <w:szCs w:val="22"/>
                <w:highlight w:val="none"/>
              </w:rPr>
              <w:t>道桥</w:t>
            </w:r>
            <w:r>
              <w:rPr>
                <w:rFonts w:hint="eastAsia" w:ascii="宋体" w:hAnsi="宋体" w:eastAsia="宋体" w:cs="宋体"/>
                <w:color w:val="auto"/>
                <w:sz w:val="22"/>
                <w:szCs w:val="22"/>
                <w:highlight w:val="none"/>
                <w:lang w:val="en-US"/>
              </w:rPr>
              <w:t>交通组织方案的科学性、合理性、可操作性进行评估。科学性、合理性、可操作性高的得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en-US"/>
              </w:rPr>
              <w:t>分；较好的得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rPr>
              <w:t>分；一般的得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rPr>
              <w:t>分；较差或提供不完整的得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US"/>
              </w:rPr>
              <w:t>分</w:t>
            </w:r>
            <w:r>
              <w:rPr>
                <w:rFonts w:hint="eastAsia" w:ascii="宋体" w:hAnsi="宋体" w:eastAsia="宋体" w:cs="宋体"/>
                <w:color w:val="auto"/>
                <w:sz w:val="22"/>
                <w:szCs w:val="22"/>
                <w:highlight w:val="none"/>
                <w:lang w:val="en-US" w:eastAsia="zh-CN"/>
              </w:rPr>
              <w:t>；未提供不得分</w:t>
            </w:r>
            <w:r>
              <w:rPr>
                <w:rFonts w:hint="eastAsia" w:ascii="宋体" w:hAnsi="宋体" w:eastAsia="宋体" w:cs="宋体"/>
                <w:color w:val="auto"/>
                <w:sz w:val="22"/>
                <w:szCs w:val="22"/>
                <w:highlight w:val="none"/>
                <w:lang w:val="en-US"/>
              </w:rPr>
              <w:t>。</w:t>
            </w:r>
          </w:p>
        </w:tc>
        <w:tc>
          <w:tcPr>
            <w:tcW w:w="810" w:type="dxa"/>
            <w:noWrap w:val="0"/>
            <w:vAlign w:val="center"/>
          </w:tcPr>
          <w:p w14:paraId="5740B2D9">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5</w:t>
            </w:r>
          </w:p>
        </w:tc>
        <w:tc>
          <w:tcPr>
            <w:tcW w:w="1015" w:type="dxa"/>
            <w:noWrap w:val="0"/>
            <w:vAlign w:val="center"/>
          </w:tcPr>
          <w:p w14:paraId="5BBF042D">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主观分</w:t>
            </w:r>
          </w:p>
        </w:tc>
      </w:tr>
      <w:tr w14:paraId="2380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00" w:type="dxa"/>
            <w:vMerge w:val="continue"/>
            <w:noWrap w:val="0"/>
            <w:vAlign w:val="center"/>
          </w:tcPr>
          <w:p w14:paraId="01DD5FAB">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rPr>
            </w:pPr>
          </w:p>
        </w:tc>
        <w:tc>
          <w:tcPr>
            <w:tcW w:w="1284" w:type="dxa"/>
            <w:vMerge w:val="continue"/>
            <w:noWrap w:val="0"/>
            <w:vAlign w:val="center"/>
          </w:tcPr>
          <w:p w14:paraId="0AE69EC8">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rPr>
            </w:pPr>
          </w:p>
        </w:tc>
        <w:tc>
          <w:tcPr>
            <w:tcW w:w="6361" w:type="dxa"/>
            <w:noWrap w:val="0"/>
            <w:vAlign w:val="center"/>
          </w:tcPr>
          <w:p w14:paraId="4DA7643E">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提供的生产设备日常调配能力、紧急增派保障能力和组织措施的可行性、可操作性进行评估。可行性、合理性、可操作性高的得5分；较好的得3分；一般的得2分；较差或提供不完整或不满足采购文件需求的得1分；未提供不得分。</w:t>
            </w:r>
          </w:p>
        </w:tc>
        <w:tc>
          <w:tcPr>
            <w:tcW w:w="810" w:type="dxa"/>
            <w:noWrap w:val="0"/>
            <w:vAlign w:val="center"/>
          </w:tcPr>
          <w:p w14:paraId="17F6BB97">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1015" w:type="dxa"/>
            <w:noWrap w:val="0"/>
            <w:vAlign w:val="center"/>
          </w:tcPr>
          <w:p w14:paraId="126383FA">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r w14:paraId="6C04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00" w:type="dxa"/>
            <w:noWrap w:val="0"/>
            <w:vAlign w:val="center"/>
          </w:tcPr>
          <w:p w14:paraId="7DC5D843">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425" w:leftChars="0" w:hanging="425" w:firstLineChars="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1284" w:type="dxa"/>
            <w:noWrap w:val="0"/>
            <w:vAlign w:val="center"/>
          </w:tcPr>
          <w:p w14:paraId="4FB5671C">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安全生产管理</w:t>
            </w:r>
          </w:p>
        </w:tc>
        <w:tc>
          <w:tcPr>
            <w:tcW w:w="6361" w:type="dxa"/>
            <w:noWrap w:val="0"/>
            <w:vAlign w:val="top"/>
          </w:tcPr>
          <w:p w14:paraId="0C004559">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rPr>
              <w:t>投标人制订安全生产制度</w:t>
            </w:r>
            <w:r>
              <w:rPr>
                <w:rFonts w:hint="eastAsia" w:ascii="宋体" w:hAnsi="宋体" w:eastAsia="宋体" w:cs="宋体"/>
                <w:color w:val="auto"/>
                <w:sz w:val="22"/>
                <w:szCs w:val="22"/>
                <w:highlight w:val="none"/>
                <w:lang w:val="en-US" w:eastAsia="zh-CN"/>
              </w:rPr>
              <w:t>的得1分</w:t>
            </w:r>
            <w:r>
              <w:rPr>
                <w:rFonts w:hint="eastAsia" w:ascii="宋体" w:hAnsi="宋体" w:eastAsia="宋体" w:cs="宋体"/>
                <w:color w:val="auto"/>
                <w:sz w:val="22"/>
                <w:szCs w:val="22"/>
                <w:highlight w:val="none"/>
                <w:lang w:val="en-US"/>
              </w:rPr>
              <w:t>，有定期</w:t>
            </w:r>
            <w:r>
              <w:rPr>
                <w:rFonts w:hint="eastAsia" w:ascii="宋体" w:hAnsi="宋体" w:eastAsia="宋体" w:cs="宋体"/>
                <w:color w:val="auto"/>
                <w:sz w:val="22"/>
                <w:szCs w:val="22"/>
                <w:highlight w:val="none"/>
                <w:lang w:val="en-US" w:eastAsia="zh-CN"/>
              </w:rPr>
              <w:t>（每季度不少于一次）</w:t>
            </w:r>
            <w:r>
              <w:rPr>
                <w:rFonts w:hint="eastAsia" w:ascii="宋体" w:hAnsi="宋体" w:eastAsia="宋体" w:cs="宋体"/>
                <w:color w:val="auto"/>
                <w:sz w:val="22"/>
                <w:szCs w:val="22"/>
                <w:highlight w:val="none"/>
                <w:lang w:val="en-US"/>
              </w:rPr>
              <w:t>安全生产培训的得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US"/>
              </w:rPr>
              <w:t>分。</w:t>
            </w:r>
            <w:r>
              <w:rPr>
                <w:rFonts w:hint="eastAsia" w:ascii="宋体" w:hAnsi="宋体" w:eastAsia="宋体" w:cs="宋体"/>
                <w:color w:val="auto"/>
                <w:sz w:val="22"/>
                <w:szCs w:val="22"/>
                <w:highlight w:val="none"/>
                <w:lang w:val="en-US" w:eastAsia="zh-CN"/>
              </w:rPr>
              <w:t>本项最高得2分。</w:t>
            </w:r>
          </w:p>
          <w:p w14:paraId="03FE5D9D">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rPr>
              <w:t>证明材料提供企业制度文件和培训记录相关资料</w:t>
            </w:r>
            <w:r>
              <w:rPr>
                <w:rFonts w:hint="eastAsia" w:ascii="宋体" w:hAnsi="宋体" w:eastAsia="宋体" w:cs="宋体"/>
                <w:color w:val="auto"/>
                <w:sz w:val="22"/>
                <w:szCs w:val="22"/>
                <w:highlight w:val="none"/>
                <w:lang w:val="en-US" w:eastAsia="zh-CN"/>
              </w:rPr>
              <w:t>（培训通知、培训现场照片、参加人员签到单）。</w:t>
            </w:r>
          </w:p>
        </w:tc>
        <w:tc>
          <w:tcPr>
            <w:tcW w:w="810" w:type="dxa"/>
            <w:noWrap w:val="0"/>
            <w:vAlign w:val="center"/>
          </w:tcPr>
          <w:p w14:paraId="1EF3F709">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1015" w:type="dxa"/>
            <w:noWrap w:val="0"/>
            <w:vAlign w:val="center"/>
          </w:tcPr>
          <w:p w14:paraId="73D85A5A">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客观分</w:t>
            </w:r>
          </w:p>
        </w:tc>
      </w:tr>
      <w:tr w14:paraId="2373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00" w:type="dxa"/>
            <w:vMerge w:val="restart"/>
            <w:noWrap w:val="0"/>
            <w:vAlign w:val="center"/>
          </w:tcPr>
          <w:p w14:paraId="09369C38">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425" w:leftChars="0" w:hanging="425" w:firstLineChars="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1284" w:type="dxa"/>
            <w:vMerge w:val="restart"/>
            <w:noWrap w:val="0"/>
            <w:vAlign w:val="center"/>
          </w:tcPr>
          <w:p w14:paraId="08E7D683">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应急响应方案</w:t>
            </w:r>
          </w:p>
        </w:tc>
        <w:tc>
          <w:tcPr>
            <w:tcW w:w="6361" w:type="dxa"/>
            <w:noWrap w:val="0"/>
            <w:vAlign w:val="top"/>
          </w:tcPr>
          <w:p w14:paraId="3FA19730">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根据防汛防台和抗雪防冻方案的科学性、合理性、针对性及可操作性进行评估</w:t>
            </w:r>
            <w:r>
              <w:rPr>
                <w:rFonts w:hint="eastAsia" w:ascii="宋体" w:hAnsi="宋体" w:eastAsia="宋体" w:cs="宋体"/>
                <w:color w:val="auto"/>
                <w:sz w:val="22"/>
                <w:szCs w:val="22"/>
                <w:highlight w:val="none"/>
                <w:lang w:val="en-US"/>
              </w:rPr>
              <w:t>。科学性、合理性、可操作性高的得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rPr>
              <w:t>分；一般的得</w:t>
            </w:r>
            <w:r>
              <w:rPr>
                <w:rFonts w:hint="eastAsia" w:ascii="宋体" w:hAnsi="宋体" w:eastAsia="宋体" w:cs="宋体"/>
                <w:color w:val="auto"/>
                <w:sz w:val="22"/>
                <w:szCs w:val="22"/>
                <w:highlight w:val="none"/>
                <w:lang w:val="en-US" w:eastAsia="zh-CN"/>
              </w:rPr>
              <w:t>2.5</w:t>
            </w:r>
            <w:r>
              <w:rPr>
                <w:rFonts w:hint="eastAsia" w:ascii="宋体" w:hAnsi="宋体" w:eastAsia="宋体" w:cs="宋体"/>
                <w:color w:val="auto"/>
                <w:sz w:val="22"/>
                <w:szCs w:val="22"/>
                <w:highlight w:val="none"/>
                <w:lang w:val="en-US"/>
              </w:rPr>
              <w:t>分；较差或提供不完整的得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US"/>
              </w:rPr>
              <w:t>分</w:t>
            </w:r>
            <w:r>
              <w:rPr>
                <w:rFonts w:hint="eastAsia" w:ascii="宋体" w:hAnsi="宋体" w:eastAsia="宋体" w:cs="宋体"/>
                <w:color w:val="auto"/>
                <w:sz w:val="22"/>
                <w:szCs w:val="22"/>
                <w:highlight w:val="none"/>
                <w:lang w:val="en-US" w:eastAsia="zh-CN"/>
              </w:rPr>
              <w:t>；未提供不得分</w:t>
            </w:r>
            <w:r>
              <w:rPr>
                <w:rFonts w:hint="eastAsia" w:ascii="宋体" w:hAnsi="宋体" w:eastAsia="宋体" w:cs="宋体"/>
                <w:color w:val="auto"/>
                <w:sz w:val="22"/>
                <w:szCs w:val="22"/>
                <w:highlight w:val="none"/>
                <w:lang w:val="en-US"/>
              </w:rPr>
              <w:t>。</w:t>
            </w:r>
          </w:p>
        </w:tc>
        <w:tc>
          <w:tcPr>
            <w:tcW w:w="810" w:type="dxa"/>
            <w:noWrap w:val="0"/>
            <w:vAlign w:val="center"/>
          </w:tcPr>
          <w:p w14:paraId="01377560">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c>
          <w:tcPr>
            <w:tcW w:w="1015" w:type="dxa"/>
            <w:noWrap w:val="0"/>
            <w:vAlign w:val="center"/>
          </w:tcPr>
          <w:p w14:paraId="2A2DC4EE">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r w14:paraId="3500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0" w:type="dxa"/>
            <w:vMerge w:val="continue"/>
            <w:noWrap w:val="0"/>
            <w:vAlign w:val="center"/>
          </w:tcPr>
          <w:p w14:paraId="76310BD9">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rPr>
            </w:pPr>
          </w:p>
        </w:tc>
        <w:tc>
          <w:tcPr>
            <w:tcW w:w="1284" w:type="dxa"/>
            <w:vMerge w:val="continue"/>
            <w:noWrap w:val="0"/>
            <w:vAlign w:val="center"/>
          </w:tcPr>
          <w:p w14:paraId="3E1134D3">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rPr>
            </w:pPr>
          </w:p>
        </w:tc>
        <w:tc>
          <w:tcPr>
            <w:tcW w:w="6361" w:type="dxa"/>
            <w:noWrap w:val="0"/>
            <w:vAlign w:val="top"/>
          </w:tcPr>
          <w:p w14:paraId="4DF67338">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根据设施突发事件应急抢险方案的科学性、合理性、针对性及可操作性进行评估</w:t>
            </w:r>
            <w:r>
              <w:rPr>
                <w:rFonts w:hint="eastAsia" w:ascii="宋体" w:hAnsi="宋体" w:eastAsia="宋体" w:cs="宋体"/>
                <w:color w:val="auto"/>
                <w:sz w:val="22"/>
                <w:szCs w:val="22"/>
                <w:highlight w:val="none"/>
                <w:lang w:val="en-US"/>
              </w:rPr>
              <w:t>。科学性、合理性、可操作性高的得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rPr>
              <w:t>分；一般的得</w:t>
            </w:r>
            <w:r>
              <w:rPr>
                <w:rFonts w:hint="eastAsia" w:ascii="宋体" w:hAnsi="宋体" w:eastAsia="宋体" w:cs="宋体"/>
                <w:color w:val="auto"/>
                <w:sz w:val="22"/>
                <w:szCs w:val="22"/>
                <w:highlight w:val="none"/>
                <w:lang w:val="en-US" w:eastAsia="zh-CN"/>
              </w:rPr>
              <w:t>2.5</w:t>
            </w:r>
            <w:r>
              <w:rPr>
                <w:rFonts w:hint="eastAsia" w:ascii="宋体" w:hAnsi="宋体" w:eastAsia="宋体" w:cs="宋体"/>
                <w:color w:val="auto"/>
                <w:sz w:val="22"/>
                <w:szCs w:val="22"/>
                <w:highlight w:val="none"/>
                <w:lang w:val="en-US"/>
              </w:rPr>
              <w:t>分；较差或提供不完整的得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US"/>
              </w:rPr>
              <w:t>分</w:t>
            </w:r>
            <w:r>
              <w:rPr>
                <w:rFonts w:hint="eastAsia" w:ascii="宋体" w:hAnsi="宋体" w:eastAsia="宋体" w:cs="宋体"/>
                <w:color w:val="auto"/>
                <w:sz w:val="22"/>
                <w:szCs w:val="22"/>
                <w:highlight w:val="none"/>
                <w:lang w:val="en-US" w:eastAsia="zh-CN"/>
              </w:rPr>
              <w:t>；未提供不得分</w:t>
            </w:r>
            <w:r>
              <w:rPr>
                <w:rFonts w:hint="eastAsia" w:ascii="宋体" w:hAnsi="宋体" w:eastAsia="宋体" w:cs="宋体"/>
                <w:color w:val="auto"/>
                <w:sz w:val="22"/>
                <w:szCs w:val="22"/>
                <w:highlight w:val="none"/>
                <w:lang w:val="en-US"/>
              </w:rPr>
              <w:t>。</w:t>
            </w:r>
          </w:p>
        </w:tc>
        <w:tc>
          <w:tcPr>
            <w:tcW w:w="810" w:type="dxa"/>
            <w:noWrap w:val="0"/>
            <w:vAlign w:val="center"/>
          </w:tcPr>
          <w:p w14:paraId="02F36108">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c>
          <w:tcPr>
            <w:tcW w:w="1015" w:type="dxa"/>
            <w:noWrap w:val="0"/>
            <w:vAlign w:val="center"/>
          </w:tcPr>
          <w:p w14:paraId="4D3495BD">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r w14:paraId="6D88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00" w:type="dxa"/>
            <w:noWrap w:val="0"/>
            <w:vAlign w:val="center"/>
          </w:tcPr>
          <w:p w14:paraId="31D86652">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425" w:leftChars="0" w:hanging="425" w:firstLineChars="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w:t>
            </w:r>
          </w:p>
        </w:tc>
        <w:tc>
          <w:tcPr>
            <w:tcW w:w="1284" w:type="dxa"/>
            <w:noWrap w:val="0"/>
            <w:vAlign w:val="center"/>
          </w:tcPr>
          <w:p w14:paraId="308485C0">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重大活动和节日保障方案</w:t>
            </w:r>
          </w:p>
        </w:tc>
        <w:tc>
          <w:tcPr>
            <w:tcW w:w="6361" w:type="dxa"/>
            <w:noWrap w:val="0"/>
            <w:vAlign w:val="top"/>
          </w:tcPr>
          <w:p w14:paraId="542053E9">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根据重大活动和节日保障方案的科学性、合理性、针对性及可操作性进行评估</w:t>
            </w:r>
            <w:r>
              <w:rPr>
                <w:rFonts w:hint="eastAsia" w:ascii="宋体" w:hAnsi="宋体" w:eastAsia="宋体" w:cs="宋体"/>
                <w:color w:val="auto"/>
                <w:sz w:val="22"/>
                <w:szCs w:val="22"/>
                <w:highlight w:val="none"/>
                <w:lang w:val="en-US"/>
              </w:rPr>
              <w:t>。科学性、合理性、可操作性高的得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rPr>
              <w:t>分；一般的得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rPr>
              <w:t>分；较差或提供不完整的得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US"/>
              </w:rPr>
              <w:t>分</w:t>
            </w:r>
            <w:r>
              <w:rPr>
                <w:rFonts w:hint="eastAsia" w:ascii="宋体" w:hAnsi="宋体" w:eastAsia="宋体" w:cs="宋体"/>
                <w:color w:val="auto"/>
                <w:sz w:val="22"/>
                <w:szCs w:val="22"/>
                <w:highlight w:val="none"/>
                <w:lang w:val="en-US" w:eastAsia="zh-CN"/>
              </w:rPr>
              <w:t>；未提供不得分</w:t>
            </w:r>
            <w:r>
              <w:rPr>
                <w:rFonts w:hint="eastAsia" w:ascii="宋体" w:hAnsi="宋体" w:eastAsia="宋体" w:cs="宋体"/>
                <w:color w:val="auto"/>
                <w:sz w:val="22"/>
                <w:szCs w:val="22"/>
                <w:highlight w:val="none"/>
                <w:lang w:val="en-US"/>
              </w:rPr>
              <w:t>。</w:t>
            </w:r>
          </w:p>
        </w:tc>
        <w:tc>
          <w:tcPr>
            <w:tcW w:w="810" w:type="dxa"/>
            <w:noWrap w:val="0"/>
            <w:vAlign w:val="center"/>
          </w:tcPr>
          <w:p w14:paraId="2065A1DC">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1015" w:type="dxa"/>
            <w:noWrap w:val="0"/>
            <w:vAlign w:val="center"/>
          </w:tcPr>
          <w:p w14:paraId="171534B0">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r w14:paraId="7716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00" w:type="dxa"/>
            <w:noWrap w:val="0"/>
            <w:vAlign w:val="center"/>
          </w:tcPr>
          <w:p w14:paraId="0359027E">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425" w:leftChars="0" w:hanging="425" w:firstLineChars="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9</w:t>
            </w:r>
          </w:p>
        </w:tc>
        <w:tc>
          <w:tcPr>
            <w:tcW w:w="1284" w:type="dxa"/>
            <w:noWrap w:val="0"/>
            <w:vAlign w:val="center"/>
          </w:tcPr>
          <w:p w14:paraId="7FF3F268">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资料管理方案</w:t>
            </w:r>
          </w:p>
        </w:tc>
        <w:tc>
          <w:tcPr>
            <w:tcW w:w="6361" w:type="dxa"/>
            <w:noWrap w:val="0"/>
            <w:vAlign w:val="center"/>
          </w:tcPr>
          <w:p w14:paraId="164E6B10">
            <w:pPr>
              <w:keepNext w:val="0"/>
              <w:keepLines w:val="0"/>
              <w:pageBreakBefore w:val="0"/>
              <w:numPr>
                <w:ilvl w:val="0"/>
                <w:numId w:val="0"/>
              </w:numPr>
              <w:shd w:val="clear" w:color="auto" w:fill="auto"/>
              <w:tabs>
                <w:tab w:val="left" w:pos="0"/>
              </w:tabs>
              <w:kinsoku/>
              <w:overflowPunct/>
              <w:topLinePunct w:val="0"/>
              <w:autoSpaceDE/>
              <w:autoSpaceDN/>
              <w:bidi w:val="0"/>
              <w:adjustRightInd/>
              <w:snapToGrid/>
              <w:spacing w:line="460" w:lineRule="exact"/>
              <w:rPr>
                <w:rFonts w:hint="eastAsia" w:ascii="宋体" w:hAnsi="宋体" w:eastAsia="宋体" w:cs="宋体"/>
                <w:b w:val="0"/>
                <w:bCs/>
                <w:color w:val="auto"/>
                <w:sz w:val="22"/>
                <w:szCs w:val="22"/>
                <w:highlight w:val="none"/>
              </w:rPr>
            </w:pPr>
            <w:r>
              <w:rPr>
                <w:rFonts w:hint="eastAsia" w:ascii="宋体" w:hAnsi="宋体" w:eastAsia="宋体" w:cs="宋体"/>
                <w:color w:val="auto"/>
                <w:sz w:val="22"/>
                <w:szCs w:val="22"/>
                <w:highlight w:val="none"/>
              </w:rPr>
              <w:t>根据养护资料管理方案中的设施基本资料、检查检测、养护维修、技术状况评定、设施量复核更新等方面进行评估。资料管理方案完整性、针对性、可操作性高的得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分；一般的得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分；较差或提供不完整的得</w:t>
            </w:r>
            <w:r>
              <w:rPr>
                <w:rFonts w:hint="eastAsia" w:ascii="宋体" w:hAnsi="宋体" w:eastAsia="宋体" w:cs="宋体"/>
                <w:color w:val="auto"/>
                <w:sz w:val="22"/>
                <w:szCs w:val="22"/>
                <w:highlight w:val="none"/>
                <w:lang w:val="en-US" w:eastAsia="zh-CN"/>
              </w:rPr>
              <w:t>0.5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未提供不得分</w:t>
            </w:r>
            <w:r>
              <w:rPr>
                <w:rFonts w:hint="eastAsia" w:ascii="宋体" w:hAnsi="宋体" w:eastAsia="宋体" w:cs="宋体"/>
                <w:color w:val="auto"/>
                <w:sz w:val="22"/>
                <w:szCs w:val="22"/>
                <w:highlight w:val="none"/>
              </w:rPr>
              <w:t>。</w:t>
            </w:r>
          </w:p>
        </w:tc>
        <w:tc>
          <w:tcPr>
            <w:tcW w:w="810" w:type="dxa"/>
            <w:noWrap w:val="0"/>
            <w:vAlign w:val="center"/>
          </w:tcPr>
          <w:p w14:paraId="3ECB7FF0">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1015" w:type="dxa"/>
            <w:noWrap w:val="0"/>
            <w:vAlign w:val="center"/>
          </w:tcPr>
          <w:p w14:paraId="7FFC5015">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r w14:paraId="38E0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00" w:type="dxa"/>
            <w:noWrap w:val="0"/>
            <w:vAlign w:val="center"/>
          </w:tcPr>
          <w:p w14:paraId="7D4C981E">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Chars="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0</w:t>
            </w:r>
          </w:p>
        </w:tc>
        <w:tc>
          <w:tcPr>
            <w:tcW w:w="1284" w:type="dxa"/>
            <w:noWrap w:val="0"/>
            <w:vAlign w:val="center"/>
          </w:tcPr>
          <w:p w14:paraId="13D26277">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常备维修物料</w:t>
            </w:r>
            <w:r>
              <w:rPr>
                <w:rFonts w:hint="eastAsia" w:ascii="宋体" w:hAnsi="宋体" w:eastAsia="宋体" w:cs="宋体"/>
                <w:color w:val="auto"/>
                <w:sz w:val="22"/>
                <w:szCs w:val="22"/>
                <w:highlight w:val="none"/>
                <w:lang w:val="en-US" w:eastAsia="zh-CN"/>
              </w:rPr>
              <w:t>和常备应急物资</w:t>
            </w:r>
            <w:r>
              <w:rPr>
                <w:rFonts w:hint="eastAsia" w:ascii="宋体" w:hAnsi="宋体" w:eastAsia="宋体" w:cs="宋体"/>
                <w:color w:val="auto"/>
                <w:sz w:val="22"/>
                <w:szCs w:val="22"/>
                <w:highlight w:val="none"/>
              </w:rPr>
              <w:t>供应保障情况</w:t>
            </w:r>
          </w:p>
        </w:tc>
        <w:tc>
          <w:tcPr>
            <w:tcW w:w="6361" w:type="dxa"/>
            <w:noWrap w:val="0"/>
            <w:vAlign w:val="center"/>
          </w:tcPr>
          <w:p w14:paraId="5D6E1C05">
            <w:pPr>
              <w:keepNext w:val="0"/>
              <w:keepLines w:val="0"/>
              <w:pageBreakBefore w:val="0"/>
              <w:numPr>
                <w:ilvl w:val="0"/>
                <w:numId w:val="0"/>
              </w:numPr>
              <w:shd w:val="clear" w:color="auto" w:fill="auto"/>
              <w:tabs>
                <w:tab w:val="left" w:pos="0"/>
              </w:tabs>
              <w:kinsoku/>
              <w:overflowPunct/>
              <w:topLinePunct w:val="0"/>
              <w:autoSpaceDE/>
              <w:autoSpaceDN/>
              <w:bidi w:val="0"/>
              <w:adjustRightInd/>
              <w:snapToGrid/>
              <w:spacing w:line="460" w:lineRule="exac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根据</w:t>
            </w:r>
            <w:r>
              <w:rPr>
                <w:rFonts w:hint="eastAsia" w:ascii="宋体" w:hAnsi="宋体" w:eastAsia="宋体" w:cs="宋体"/>
                <w:b w:val="0"/>
                <w:bCs/>
                <w:color w:val="auto"/>
                <w:sz w:val="22"/>
                <w:szCs w:val="22"/>
                <w:highlight w:val="none"/>
              </w:rPr>
              <w:t>保障本项目</w:t>
            </w:r>
            <w:r>
              <w:rPr>
                <w:rFonts w:hint="eastAsia" w:ascii="宋体" w:hAnsi="宋体" w:eastAsia="宋体" w:cs="宋体"/>
                <w:color w:val="auto"/>
                <w:sz w:val="22"/>
                <w:szCs w:val="22"/>
                <w:highlight w:val="none"/>
              </w:rPr>
              <w:t>维修物料</w:t>
            </w:r>
            <w:r>
              <w:rPr>
                <w:rFonts w:hint="eastAsia" w:ascii="宋体" w:hAnsi="宋体" w:eastAsia="宋体" w:cs="宋体"/>
                <w:color w:val="auto"/>
                <w:sz w:val="22"/>
                <w:szCs w:val="22"/>
                <w:highlight w:val="none"/>
                <w:lang w:val="en-US" w:eastAsia="zh-CN"/>
              </w:rPr>
              <w:t>和常备应急物资</w:t>
            </w:r>
            <w:r>
              <w:rPr>
                <w:rFonts w:hint="eastAsia" w:ascii="宋体" w:hAnsi="宋体" w:eastAsia="宋体" w:cs="宋体"/>
                <w:b w:val="0"/>
                <w:bCs/>
                <w:color w:val="auto"/>
                <w:sz w:val="22"/>
                <w:szCs w:val="22"/>
                <w:highlight w:val="none"/>
                <w:lang w:val="en-US" w:eastAsia="zh-CN"/>
              </w:rPr>
              <w:t>供应</w:t>
            </w:r>
            <w:r>
              <w:rPr>
                <w:rFonts w:hint="eastAsia" w:ascii="宋体" w:hAnsi="宋体" w:eastAsia="宋体" w:cs="宋体"/>
                <w:b w:val="0"/>
                <w:bCs/>
                <w:color w:val="auto"/>
                <w:sz w:val="22"/>
                <w:szCs w:val="22"/>
                <w:highlight w:val="none"/>
              </w:rPr>
              <w:t>的</w:t>
            </w:r>
            <w:r>
              <w:rPr>
                <w:rFonts w:hint="eastAsia" w:ascii="宋体" w:hAnsi="宋体" w:eastAsia="宋体" w:cs="宋体"/>
                <w:b w:val="0"/>
                <w:bCs/>
                <w:color w:val="auto"/>
                <w:sz w:val="22"/>
                <w:szCs w:val="22"/>
                <w:highlight w:val="none"/>
                <w:lang w:val="en-US" w:eastAsia="zh-CN"/>
              </w:rPr>
              <w:t>保障能力和常备应急物资储备情况进行评估</w:t>
            </w:r>
            <w:r>
              <w:rPr>
                <w:rFonts w:hint="eastAsia" w:ascii="宋体" w:hAnsi="宋体" w:eastAsia="宋体" w:cs="宋体"/>
                <w:b w:val="0"/>
                <w:bCs/>
                <w:color w:val="auto"/>
                <w:sz w:val="22"/>
                <w:szCs w:val="22"/>
                <w:highlight w:val="none"/>
              </w:rPr>
              <w:t>。</w:t>
            </w:r>
            <w:r>
              <w:rPr>
                <w:rFonts w:hint="eastAsia" w:ascii="宋体" w:hAnsi="宋体" w:eastAsia="宋体" w:cs="宋体"/>
                <w:b w:val="0"/>
                <w:bCs/>
                <w:color w:val="auto"/>
                <w:sz w:val="22"/>
                <w:szCs w:val="22"/>
                <w:highlight w:val="none"/>
                <w:lang w:val="en-US" w:eastAsia="zh-CN"/>
              </w:rPr>
              <w:t>物料渠道范围广、常备和应急保障能力强的得3分，物料渠道范围较广、常备和应急保障能力较强的得1.5分，物料渠道范围、常备和应急保障能力较弱的得0.5分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不具备或未提供不得分</w:t>
            </w:r>
            <w:r>
              <w:rPr>
                <w:rFonts w:hint="eastAsia" w:ascii="宋体" w:hAnsi="宋体" w:eastAsia="宋体" w:cs="宋体"/>
                <w:b w:val="0"/>
                <w:bCs/>
                <w:color w:val="auto"/>
                <w:sz w:val="22"/>
                <w:szCs w:val="22"/>
                <w:highlight w:val="none"/>
                <w:lang w:val="en-US" w:eastAsia="zh-CN"/>
              </w:rPr>
              <w:t>。</w:t>
            </w:r>
          </w:p>
          <w:p w14:paraId="3CF5B232">
            <w:pPr>
              <w:keepNext w:val="0"/>
              <w:keepLines w:val="0"/>
              <w:pageBreakBefore w:val="0"/>
              <w:numPr>
                <w:ilvl w:val="0"/>
                <w:numId w:val="0"/>
              </w:numPr>
              <w:shd w:val="clear" w:color="auto" w:fill="auto"/>
              <w:tabs>
                <w:tab w:val="left" w:pos="0"/>
              </w:tabs>
              <w:kinsoku/>
              <w:overflowPunct/>
              <w:topLinePunct w:val="0"/>
              <w:autoSpaceDE/>
              <w:autoSpaceDN/>
              <w:bidi w:val="0"/>
              <w:adjustRightInd/>
              <w:snapToGrid/>
              <w:spacing w:line="460" w:lineRule="exac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证明材料：</w:t>
            </w:r>
            <w:r>
              <w:rPr>
                <w:rFonts w:hint="eastAsia" w:ascii="宋体" w:hAnsi="宋体" w:eastAsia="宋体" w:cs="宋体"/>
                <w:b w:val="0"/>
                <w:bCs/>
                <w:color w:val="auto"/>
                <w:sz w:val="22"/>
                <w:szCs w:val="22"/>
                <w:highlight w:val="none"/>
                <w:lang w:val="en-US" w:eastAsia="zh-CN"/>
              </w:rPr>
              <w:t>物料</w:t>
            </w:r>
            <w:r>
              <w:rPr>
                <w:rFonts w:hint="eastAsia" w:ascii="宋体" w:hAnsi="宋体" w:eastAsia="宋体" w:cs="宋体"/>
                <w:b w:val="0"/>
                <w:bCs/>
                <w:color w:val="auto"/>
                <w:sz w:val="22"/>
                <w:szCs w:val="22"/>
                <w:highlight w:val="none"/>
              </w:rPr>
              <w:t>生产企业为投标人自有的，提供营业执照和相关证明材料</w:t>
            </w:r>
            <w:r>
              <w:rPr>
                <w:rFonts w:hint="eastAsia" w:ascii="宋体" w:hAnsi="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非自有的，提供“投标人和</w:t>
            </w:r>
            <w:r>
              <w:rPr>
                <w:rFonts w:hint="eastAsia" w:ascii="宋体" w:hAnsi="宋体" w:eastAsia="宋体" w:cs="宋体"/>
                <w:b w:val="0"/>
                <w:bCs/>
                <w:color w:val="auto"/>
                <w:sz w:val="22"/>
                <w:szCs w:val="22"/>
                <w:highlight w:val="none"/>
                <w:lang w:val="en-US" w:eastAsia="zh-CN"/>
              </w:rPr>
              <w:t>物料</w:t>
            </w:r>
            <w:r>
              <w:rPr>
                <w:rFonts w:hint="eastAsia" w:ascii="宋体" w:hAnsi="宋体" w:eastAsia="宋体" w:cs="宋体"/>
                <w:b w:val="0"/>
                <w:bCs/>
                <w:color w:val="auto"/>
                <w:sz w:val="22"/>
                <w:szCs w:val="22"/>
                <w:highlight w:val="none"/>
              </w:rPr>
              <w:t>生产企业签订的长期（或针对本项目）的合作协议书”或“针对本项目的</w:t>
            </w:r>
            <w:r>
              <w:rPr>
                <w:rFonts w:hint="eastAsia" w:ascii="宋体" w:hAnsi="宋体" w:eastAsia="宋体" w:cs="宋体"/>
                <w:b w:val="0"/>
                <w:bCs/>
                <w:color w:val="auto"/>
                <w:sz w:val="22"/>
                <w:szCs w:val="22"/>
                <w:highlight w:val="none"/>
                <w:lang w:val="en-US" w:eastAsia="zh-CN"/>
              </w:rPr>
              <w:t>物料</w:t>
            </w:r>
            <w:r>
              <w:rPr>
                <w:rFonts w:hint="eastAsia" w:ascii="宋体" w:hAnsi="宋体" w:eastAsia="宋体" w:cs="宋体"/>
                <w:b w:val="0"/>
                <w:bCs/>
                <w:color w:val="auto"/>
                <w:sz w:val="22"/>
                <w:szCs w:val="22"/>
                <w:highlight w:val="none"/>
              </w:rPr>
              <w:t>供应保障承诺书”</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格式自拟</w:t>
            </w:r>
            <w:r>
              <w:rPr>
                <w:rFonts w:hint="eastAsia" w:ascii="宋体" w:hAnsi="宋体" w:eastAsia="宋体" w:cs="宋体"/>
                <w:b w:val="0"/>
                <w:bCs/>
                <w:color w:val="auto"/>
                <w:sz w:val="22"/>
                <w:szCs w:val="22"/>
                <w:highlight w:val="none"/>
                <w:lang w:eastAsia="zh-CN"/>
              </w:rPr>
              <w:t>）；常备</w:t>
            </w:r>
            <w:r>
              <w:rPr>
                <w:rFonts w:hint="eastAsia" w:ascii="宋体" w:hAnsi="宋体" w:eastAsia="宋体" w:cs="宋体"/>
                <w:b w:val="0"/>
                <w:bCs/>
                <w:color w:val="auto"/>
                <w:sz w:val="22"/>
                <w:szCs w:val="22"/>
                <w:highlight w:val="none"/>
                <w:lang w:val="en-US" w:eastAsia="zh-CN"/>
              </w:rPr>
              <w:t>应急物资储备情况提供相应储备证明或承诺</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格式自拟</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w:t>
            </w:r>
          </w:p>
        </w:tc>
        <w:tc>
          <w:tcPr>
            <w:tcW w:w="810" w:type="dxa"/>
            <w:noWrap w:val="0"/>
            <w:vAlign w:val="center"/>
          </w:tcPr>
          <w:p w14:paraId="785D4C83">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1015" w:type="dxa"/>
            <w:noWrap w:val="0"/>
            <w:vAlign w:val="center"/>
          </w:tcPr>
          <w:p w14:paraId="63652252">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bl>
    <w:p w14:paraId="4C8B1AE8">
      <w:pPr>
        <w:pStyle w:val="22"/>
        <w:spacing w:line="460" w:lineRule="exact"/>
        <w:ind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2、报价评分（</w:t>
      </w:r>
      <w:r>
        <w:rPr>
          <w:rFonts w:hint="eastAsia" w:ascii="宋体" w:hAnsi="宋体" w:cs="宋体"/>
          <w:b/>
          <w:color w:val="auto"/>
          <w:sz w:val="22"/>
          <w:szCs w:val="22"/>
          <w:highlight w:val="none"/>
          <w:lang w:val="en-US" w:eastAsia="zh-CN"/>
        </w:rPr>
        <w:t>15</w:t>
      </w:r>
      <w:r>
        <w:rPr>
          <w:rFonts w:hint="eastAsia" w:ascii="宋体" w:hAnsi="宋体" w:eastAsia="宋体" w:cs="宋体"/>
          <w:b/>
          <w:color w:val="auto"/>
          <w:sz w:val="22"/>
          <w:szCs w:val="22"/>
          <w:highlight w:val="none"/>
        </w:rPr>
        <w:t>分）（权值</w:t>
      </w:r>
      <w:r>
        <w:rPr>
          <w:rFonts w:hint="eastAsia" w:ascii="宋体" w:hAnsi="宋体" w:cs="宋体"/>
          <w:b/>
          <w:color w:val="auto"/>
          <w:sz w:val="22"/>
          <w:szCs w:val="22"/>
          <w:highlight w:val="none"/>
          <w:lang w:val="en-US" w:eastAsia="zh-CN"/>
        </w:rPr>
        <w:t>15</w:t>
      </w:r>
      <w:r>
        <w:rPr>
          <w:rFonts w:hint="eastAsia" w:ascii="宋体" w:hAnsi="宋体" w:eastAsia="宋体" w:cs="宋体"/>
          <w:b/>
          <w:color w:val="auto"/>
          <w:sz w:val="22"/>
          <w:szCs w:val="22"/>
          <w:highlight w:val="none"/>
        </w:rPr>
        <w:t>%）：</w:t>
      </w:r>
    </w:p>
    <w:p w14:paraId="5015B7A1">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满足招标文件要求且投标报价最低的投标报价为评标基准价，其余投标人投标报价与该基准价对比，计算出商务报价评分值（保留小数2位）：</w:t>
      </w:r>
    </w:p>
    <w:p w14:paraId="687EE0CC">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1）有效投标人的投标报价等于评标基准价时其报价分为满分</w:t>
      </w:r>
      <w:r>
        <w:rPr>
          <w:rFonts w:hint="eastAsia" w:ascii="宋体" w:hAnsi="宋体" w:cs="宋体"/>
          <w:color w:val="auto"/>
          <w:sz w:val="22"/>
          <w:szCs w:val="22"/>
          <w:highlight w:val="none"/>
          <w:lang w:val="en-US" w:eastAsia="zh-CN"/>
        </w:rPr>
        <w:t>15</w:t>
      </w:r>
      <w:r>
        <w:rPr>
          <w:rFonts w:hint="eastAsia" w:ascii="宋体" w:hAnsi="宋体" w:eastAsia="宋体" w:cs="宋体"/>
          <w:color w:val="auto"/>
          <w:sz w:val="22"/>
          <w:szCs w:val="22"/>
          <w:highlight w:val="none"/>
        </w:rPr>
        <w:t>分；</w:t>
      </w:r>
    </w:p>
    <w:p w14:paraId="0F0581A9">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2）其他投标人的价格分按以下公式计算：</w:t>
      </w:r>
    </w:p>
    <w:p w14:paraId="77820FC3">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投标报价得分=（评分基准价/投标人投标报价）× 价格权值 ×100（保留小数2位）</w:t>
      </w:r>
    </w:p>
    <w:p w14:paraId="4AB713B7">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3、有效投标人的综合得分为技术分和商务（报价）分的总和。</w:t>
      </w:r>
    </w:p>
    <w:p w14:paraId="06663D4D">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5A64466">
      <w:pPr>
        <w:spacing w:line="460" w:lineRule="exact"/>
        <w:ind w:firstLine="541" w:firstLineChars="245"/>
        <w:outlineLvl w:val="1"/>
        <w:rPr>
          <w:rFonts w:hint="eastAsia" w:ascii="宋体" w:hAnsi="宋体" w:eastAsia="宋体" w:cs="宋体"/>
          <w:b/>
          <w:bCs/>
          <w:color w:val="auto"/>
          <w:sz w:val="22"/>
          <w:szCs w:val="22"/>
          <w:highlight w:val="none"/>
        </w:rPr>
      </w:pPr>
      <w:bookmarkStart w:id="108" w:name="_Toc2482"/>
      <w:bookmarkStart w:id="109" w:name="_Toc4727"/>
      <w:r>
        <w:rPr>
          <w:rFonts w:hint="eastAsia" w:ascii="宋体" w:hAnsi="宋体" w:eastAsia="宋体" w:cs="宋体"/>
          <w:b/>
          <w:bCs/>
          <w:color w:val="auto"/>
          <w:sz w:val="22"/>
          <w:szCs w:val="22"/>
          <w:highlight w:val="none"/>
        </w:rPr>
        <w:t>六、定标办法</w:t>
      </w:r>
      <w:bookmarkEnd w:id="108"/>
      <w:bookmarkEnd w:id="109"/>
    </w:p>
    <w:p w14:paraId="6604F0C4">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14:paraId="31552939">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14:paraId="2A9B7A0F">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458AB02F">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2、确定中标人</w:t>
      </w:r>
    </w:p>
    <w:p w14:paraId="68A6F69F">
      <w:pPr>
        <w:spacing w:line="46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0D48E3F3">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w:t>
      </w:r>
      <w:r>
        <w:rPr>
          <w:rFonts w:hint="eastAsia" w:ascii="宋体" w:hAnsi="宋体" w:cs="宋体"/>
          <w:color w:val="auto"/>
          <w:sz w:val="22"/>
          <w:szCs w:val="22"/>
          <w:highlight w:val="none"/>
          <w:lang w:val="en-US" w:eastAsia="zh-CN"/>
        </w:rPr>
        <w:t>依法</w:t>
      </w:r>
      <w:r>
        <w:rPr>
          <w:rFonts w:hint="eastAsia" w:ascii="宋体" w:hAnsi="宋体" w:eastAsia="宋体" w:cs="宋体"/>
          <w:color w:val="auto"/>
          <w:sz w:val="22"/>
          <w:szCs w:val="22"/>
          <w:highlight w:val="none"/>
        </w:rPr>
        <w:t>视情况直接确定排名第二的候选人为中标人或重新组织招标。</w:t>
      </w:r>
    </w:p>
    <w:p w14:paraId="289B8A7F">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中标人确定后，招标人将在指定媒体公告中标结果，招标人向中标人发出中标通知书。</w:t>
      </w:r>
    </w:p>
    <w:p w14:paraId="1C04A402">
      <w:pPr>
        <w:spacing w:line="460" w:lineRule="exact"/>
        <w:ind w:firstLine="541" w:firstLineChars="245"/>
        <w:outlineLvl w:val="1"/>
        <w:rPr>
          <w:rFonts w:hint="eastAsia" w:ascii="宋体" w:hAnsi="宋体" w:eastAsia="宋体" w:cs="宋体"/>
          <w:b/>
          <w:color w:val="auto"/>
          <w:sz w:val="22"/>
          <w:szCs w:val="22"/>
          <w:highlight w:val="none"/>
        </w:rPr>
      </w:pPr>
      <w:bookmarkStart w:id="110" w:name="_Toc17587"/>
      <w:bookmarkStart w:id="111" w:name="_Toc3629"/>
      <w:r>
        <w:rPr>
          <w:rFonts w:hint="eastAsia" w:ascii="宋体" w:hAnsi="宋体" w:eastAsia="宋体" w:cs="宋体"/>
          <w:b/>
          <w:color w:val="auto"/>
          <w:sz w:val="22"/>
          <w:szCs w:val="22"/>
          <w:highlight w:val="none"/>
        </w:rPr>
        <w:t>七、投标人义务</w:t>
      </w:r>
      <w:bookmarkEnd w:id="110"/>
      <w:bookmarkEnd w:id="111"/>
    </w:p>
    <w:p w14:paraId="71439A8D">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p w14:paraId="1DBD712F">
      <w:pPr>
        <w:spacing w:line="460" w:lineRule="exact"/>
        <w:jc w:val="center"/>
        <w:rPr>
          <w:rFonts w:hint="eastAsia" w:ascii="宋体" w:hAnsi="宋体" w:eastAsia="宋体" w:cs="宋体"/>
          <w:b/>
          <w:color w:val="auto"/>
          <w:sz w:val="32"/>
          <w:szCs w:val="32"/>
          <w:highlight w:val="none"/>
        </w:rPr>
      </w:pPr>
    </w:p>
    <w:p w14:paraId="3E88F8A5">
      <w:pPr>
        <w:pStyle w:val="22"/>
        <w:ind w:left="440" w:hanging="440"/>
        <w:rPr>
          <w:rFonts w:hint="eastAsia" w:ascii="宋体" w:hAnsi="宋体" w:eastAsia="宋体" w:cs="宋体"/>
          <w:color w:val="auto"/>
          <w:kern w:val="0"/>
          <w:sz w:val="22"/>
          <w:szCs w:val="22"/>
          <w:highlight w:val="none"/>
        </w:rPr>
      </w:pP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91924">
    <w:pPr>
      <w:pStyle w:val="34"/>
      <w:framePr w:wrap="around" w:vAnchor="text" w:hAnchor="margin" w:xAlign="center" w:y="1"/>
      <w:rPr>
        <w:rStyle w:val="57"/>
      </w:rPr>
    </w:pPr>
    <w:r>
      <w:fldChar w:fldCharType="begin"/>
    </w:r>
    <w:r>
      <w:rPr>
        <w:rStyle w:val="57"/>
      </w:rPr>
      <w:instrText xml:space="preserve">PAGE  </w:instrText>
    </w:r>
    <w:r>
      <w:fldChar w:fldCharType="separate"/>
    </w:r>
    <w:r>
      <w:rPr>
        <w:rStyle w:val="57"/>
      </w:rPr>
      <w:t>28</w:t>
    </w:r>
    <w:r>
      <w:fldChar w:fldCharType="end"/>
    </w:r>
  </w:p>
  <w:p w14:paraId="01805BFA">
    <w:pPr>
      <w:pStyle w:val="34"/>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B5F45">
    <w:pPr>
      <w:pStyle w:val="34"/>
      <w:framePr w:wrap="around" w:vAnchor="text" w:hAnchor="margin" w:xAlign="center" w:y="1"/>
      <w:rPr>
        <w:rStyle w:val="57"/>
      </w:rPr>
    </w:pPr>
    <w:r>
      <w:fldChar w:fldCharType="begin"/>
    </w:r>
    <w:r>
      <w:rPr>
        <w:rStyle w:val="57"/>
      </w:rPr>
      <w:instrText xml:space="preserve">PAGE  </w:instrText>
    </w:r>
    <w:r>
      <w:fldChar w:fldCharType="separate"/>
    </w:r>
    <w:r>
      <w:rPr>
        <w:rStyle w:val="57"/>
      </w:rPr>
      <w:t>72</w:t>
    </w:r>
    <w:r>
      <w:fldChar w:fldCharType="end"/>
    </w:r>
  </w:p>
  <w:p w14:paraId="115EA4F1">
    <w:pPr>
      <w:pStyle w:val="34"/>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D01C2">
    <w:pPr>
      <w:pStyle w:val="35"/>
      <w:pBdr>
        <w:bottom w:val="single" w:color="auto" w:sz="6" w:space="0"/>
      </w:pBdr>
      <w:jc w:val="both"/>
    </w:pPr>
    <w:r>
      <w:rPr>
        <w:rFonts w:hint="eastAsia"/>
      </w:rPr>
      <w:t>温州市政府（分散）采购招标文件                                             项目编号：</w:t>
    </w:r>
    <w:r>
      <w:rPr>
        <w:rFonts w:hint="eastAsia"/>
        <w:lang w:eastAsia="zh-CN"/>
      </w:rPr>
      <w:t xml:space="preserve">WZLCZB（W）-2025-06054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CEBFF">
    <w:pPr>
      <w:pStyle w:val="35"/>
      <w:pBdr>
        <w:bottom w:val="single" w:color="auto" w:sz="6" w:space="0"/>
      </w:pBdr>
      <w:jc w:val="both"/>
    </w:pPr>
    <w:r>
      <w:rPr>
        <w:rFonts w:hint="eastAsia"/>
      </w:rPr>
      <w:t>温州市政府（分散）采购招标文件                                             项目编号：</w:t>
    </w:r>
    <w:r>
      <w:rPr>
        <w:rFonts w:hint="eastAsia"/>
        <w:lang w:eastAsia="zh-CN"/>
      </w:rPr>
      <w:t xml:space="preserve">WZLCZB（W）-2025-06054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D2AFC"/>
    <w:multiLevelType w:val="singleLevel"/>
    <w:tmpl w:val="9DED2AFC"/>
    <w:lvl w:ilvl="0" w:tentative="0">
      <w:start w:val="4"/>
      <w:numFmt w:val="chineseCounting"/>
      <w:suff w:val="space"/>
      <w:lvlText w:val="第%1部分"/>
      <w:lvlJc w:val="left"/>
      <w:rPr>
        <w:rFonts w:hint="eastAsia"/>
      </w:rPr>
    </w:lvl>
  </w:abstractNum>
  <w:abstractNum w:abstractNumId="1">
    <w:nsid w:val="B1C0EE6B"/>
    <w:multiLevelType w:val="singleLevel"/>
    <w:tmpl w:val="B1C0EE6B"/>
    <w:lvl w:ilvl="0" w:tentative="0">
      <w:start w:val="5"/>
      <w:numFmt w:val="chineseCounting"/>
      <w:suff w:val="nothing"/>
      <w:lvlText w:val="%1、"/>
      <w:lvlJc w:val="left"/>
      <w:rPr>
        <w:rFonts w:hint="eastAsia"/>
      </w:rPr>
    </w:lvl>
  </w:abstractNum>
  <w:abstractNum w:abstractNumId="2">
    <w:nsid w:val="BAF9EC89"/>
    <w:multiLevelType w:val="singleLevel"/>
    <w:tmpl w:val="BAF9EC89"/>
    <w:lvl w:ilvl="0" w:tentative="0">
      <w:start w:val="1"/>
      <w:numFmt w:val="chineseCounting"/>
      <w:suff w:val="nothing"/>
      <w:lvlText w:val="（%1）"/>
      <w:lvlJc w:val="left"/>
      <w:rPr>
        <w:rFonts w:hint="eastAsia"/>
      </w:rPr>
    </w:lvl>
  </w:abstractNum>
  <w:abstractNum w:abstractNumId="3">
    <w:nsid w:val="CD31F181"/>
    <w:multiLevelType w:val="singleLevel"/>
    <w:tmpl w:val="CD31F181"/>
    <w:lvl w:ilvl="0" w:tentative="0">
      <w:start w:val="1"/>
      <w:numFmt w:val="decimal"/>
      <w:suff w:val="nothing"/>
      <w:lvlText w:val="%1、"/>
      <w:lvlJc w:val="left"/>
    </w:lvl>
  </w:abstractNum>
  <w:abstractNum w:abstractNumId="4">
    <w:nsid w:val="D1151D1E"/>
    <w:multiLevelType w:val="singleLevel"/>
    <w:tmpl w:val="D1151D1E"/>
    <w:lvl w:ilvl="0" w:tentative="0">
      <w:start w:val="1"/>
      <w:numFmt w:val="chineseCounting"/>
      <w:suff w:val="nothing"/>
      <w:lvlText w:val="%1、"/>
      <w:lvlJc w:val="left"/>
      <w:rPr>
        <w:rFonts w:hint="eastAsia"/>
      </w:rPr>
    </w:lvl>
  </w:abstractNum>
  <w:abstractNum w:abstractNumId="5">
    <w:nsid w:val="52D7A3B6"/>
    <w:multiLevelType w:val="singleLevel"/>
    <w:tmpl w:val="52D7A3B6"/>
    <w:lvl w:ilvl="0" w:tentative="0">
      <w:start w:val="1"/>
      <w:numFmt w:val="decimal"/>
      <w:suff w:val="nothing"/>
      <w:lvlText w:val="（%1）"/>
      <w:lvlJc w:val="left"/>
    </w:lvl>
  </w:abstractNum>
  <w:abstractNum w:abstractNumId="6">
    <w:nsid w:val="59DE7C9A"/>
    <w:multiLevelType w:val="singleLevel"/>
    <w:tmpl w:val="59DE7C9A"/>
    <w:lvl w:ilvl="0" w:tentative="0">
      <w:start w:val="3"/>
      <w:numFmt w:val="chineseCounting"/>
      <w:suff w:val="nothing"/>
      <w:lvlText w:val="%1、"/>
      <w:lvlJc w:val="left"/>
      <w:rPr>
        <w:rFonts w:hint="eastAsia"/>
      </w:r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NjEzODExYjg0YzBhMzhhYjgzNmIyODJmYjYzMWEifQ=="/>
  </w:docVars>
  <w:rsids>
    <w:rsidRoot w:val="00172A27"/>
    <w:rsid w:val="000149E3"/>
    <w:rsid w:val="00020693"/>
    <w:rsid w:val="000217C7"/>
    <w:rsid w:val="00026A46"/>
    <w:rsid w:val="00027D0D"/>
    <w:rsid w:val="00031F49"/>
    <w:rsid w:val="00037B6F"/>
    <w:rsid w:val="000474B4"/>
    <w:rsid w:val="00063600"/>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2D01"/>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865C2"/>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1606883"/>
    <w:rsid w:val="020D29B1"/>
    <w:rsid w:val="021F7DAD"/>
    <w:rsid w:val="0224444B"/>
    <w:rsid w:val="022D7429"/>
    <w:rsid w:val="02451328"/>
    <w:rsid w:val="027D25C0"/>
    <w:rsid w:val="02841565"/>
    <w:rsid w:val="02B3222E"/>
    <w:rsid w:val="02F63BA4"/>
    <w:rsid w:val="031D0871"/>
    <w:rsid w:val="03283281"/>
    <w:rsid w:val="032A19C1"/>
    <w:rsid w:val="03331487"/>
    <w:rsid w:val="034A64CB"/>
    <w:rsid w:val="039714E5"/>
    <w:rsid w:val="03AD764F"/>
    <w:rsid w:val="03BE392F"/>
    <w:rsid w:val="03E13A1E"/>
    <w:rsid w:val="04156ACE"/>
    <w:rsid w:val="042A5AFC"/>
    <w:rsid w:val="043D6DF1"/>
    <w:rsid w:val="043F2279"/>
    <w:rsid w:val="04417A7E"/>
    <w:rsid w:val="044865A2"/>
    <w:rsid w:val="048D46D7"/>
    <w:rsid w:val="04A01243"/>
    <w:rsid w:val="04C27070"/>
    <w:rsid w:val="04E23C80"/>
    <w:rsid w:val="04FD6D0A"/>
    <w:rsid w:val="050751FC"/>
    <w:rsid w:val="05166806"/>
    <w:rsid w:val="0529508C"/>
    <w:rsid w:val="053A30CA"/>
    <w:rsid w:val="057D25F0"/>
    <w:rsid w:val="05936339"/>
    <w:rsid w:val="05A30D0A"/>
    <w:rsid w:val="05D76F02"/>
    <w:rsid w:val="0616772D"/>
    <w:rsid w:val="062F7E7F"/>
    <w:rsid w:val="0650016B"/>
    <w:rsid w:val="06695ADA"/>
    <w:rsid w:val="067F52AB"/>
    <w:rsid w:val="068E5B46"/>
    <w:rsid w:val="06C137E0"/>
    <w:rsid w:val="06CB6124"/>
    <w:rsid w:val="06E17425"/>
    <w:rsid w:val="06E81491"/>
    <w:rsid w:val="07081502"/>
    <w:rsid w:val="072046E3"/>
    <w:rsid w:val="07373C8C"/>
    <w:rsid w:val="074234A9"/>
    <w:rsid w:val="0747552D"/>
    <w:rsid w:val="07592C30"/>
    <w:rsid w:val="07791E20"/>
    <w:rsid w:val="078177D5"/>
    <w:rsid w:val="07924879"/>
    <w:rsid w:val="079C0E64"/>
    <w:rsid w:val="07D37D83"/>
    <w:rsid w:val="07D60F62"/>
    <w:rsid w:val="07E775D3"/>
    <w:rsid w:val="07EC2E3C"/>
    <w:rsid w:val="08621901"/>
    <w:rsid w:val="08911C02"/>
    <w:rsid w:val="08913549"/>
    <w:rsid w:val="08A302D0"/>
    <w:rsid w:val="08B53A61"/>
    <w:rsid w:val="08E76FD5"/>
    <w:rsid w:val="08FD20E7"/>
    <w:rsid w:val="09101BCD"/>
    <w:rsid w:val="09315C91"/>
    <w:rsid w:val="093D09BC"/>
    <w:rsid w:val="09510BFE"/>
    <w:rsid w:val="097E368B"/>
    <w:rsid w:val="09816EE6"/>
    <w:rsid w:val="099757EE"/>
    <w:rsid w:val="09A34824"/>
    <w:rsid w:val="09B85302"/>
    <w:rsid w:val="09B94936"/>
    <w:rsid w:val="09D26DBF"/>
    <w:rsid w:val="09F65854"/>
    <w:rsid w:val="0A07422F"/>
    <w:rsid w:val="0A17211D"/>
    <w:rsid w:val="0A1B49C1"/>
    <w:rsid w:val="0A3D0590"/>
    <w:rsid w:val="0A7416D8"/>
    <w:rsid w:val="0A8945EB"/>
    <w:rsid w:val="0B8674DE"/>
    <w:rsid w:val="0BAC1F4C"/>
    <w:rsid w:val="0BBE4F63"/>
    <w:rsid w:val="0BDA530A"/>
    <w:rsid w:val="0C0247C0"/>
    <w:rsid w:val="0C3408BA"/>
    <w:rsid w:val="0C353302"/>
    <w:rsid w:val="0C496297"/>
    <w:rsid w:val="0C660E5E"/>
    <w:rsid w:val="0C9A109E"/>
    <w:rsid w:val="0CA74D09"/>
    <w:rsid w:val="0CA9483B"/>
    <w:rsid w:val="0CC51217"/>
    <w:rsid w:val="0CCB1484"/>
    <w:rsid w:val="0D0A01F7"/>
    <w:rsid w:val="0D1F1C9D"/>
    <w:rsid w:val="0D735BCC"/>
    <w:rsid w:val="0D7C2119"/>
    <w:rsid w:val="0D920730"/>
    <w:rsid w:val="0DCC104B"/>
    <w:rsid w:val="0DE33D9A"/>
    <w:rsid w:val="0E022677"/>
    <w:rsid w:val="0E064CB1"/>
    <w:rsid w:val="0E254426"/>
    <w:rsid w:val="0E4706D1"/>
    <w:rsid w:val="0E4B6575"/>
    <w:rsid w:val="0E5C2643"/>
    <w:rsid w:val="0E6537C4"/>
    <w:rsid w:val="0E701E1B"/>
    <w:rsid w:val="0E750CB0"/>
    <w:rsid w:val="0E8E6882"/>
    <w:rsid w:val="0EE50D43"/>
    <w:rsid w:val="0F0377AE"/>
    <w:rsid w:val="0F0E6EE3"/>
    <w:rsid w:val="0F3023BA"/>
    <w:rsid w:val="0F706416"/>
    <w:rsid w:val="0FCD5779"/>
    <w:rsid w:val="0FD03A0D"/>
    <w:rsid w:val="10381F40"/>
    <w:rsid w:val="104869BA"/>
    <w:rsid w:val="10575CC4"/>
    <w:rsid w:val="10F47168"/>
    <w:rsid w:val="110264F1"/>
    <w:rsid w:val="1104198D"/>
    <w:rsid w:val="1105049E"/>
    <w:rsid w:val="113A1798"/>
    <w:rsid w:val="115434FF"/>
    <w:rsid w:val="115D3896"/>
    <w:rsid w:val="11AE5A16"/>
    <w:rsid w:val="11B62E53"/>
    <w:rsid w:val="11C07855"/>
    <w:rsid w:val="12103D4D"/>
    <w:rsid w:val="12345EA5"/>
    <w:rsid w:val="124027F2"/>
    <w:rsid w:val="125A673E"/>
    <w:rsid w:val="12775E6D"/>
    <w:rsid w:val="12A01322"/>
    <w:rsid w:val="12AB0828"/>
    <w:rsid w:val="12B64AF5"/>
    <w:rsid w:val="12E05DF5"/>
    <w:rsid w:val="133616DD"/>
    <w:rsid w:val="13582BF6"/>
    <w:rsid w:val="13583E3E"/>
    <w:rsid w:val="136D73B6"/>
    <w:rsid w:val="138356B4"/>
    <w:rsid w:val="13884680"/>
    <w:rsid w:val="13996DA4"/>
    <w:rsid w:val="13A56966"/>
    <w:rsid w:val="13B56A40"/>
    <w:rsid w:val="13D309B3"/>
    <w:rsid w:val="13E764D3"/>
    <w:rsid w:val="13EC3F05"/>
    <w:rsid w:val="13FF0438"/>
    <w:rsid w:val="14077D57"/>
    <w:rsid w:val="14342819"/>
    <w:rsid w:val="14965811"/>
    <w:rsid w:val="14D92610"/>
    <w:rsid w:val="15001500"/>
    <w:rsid w:val="154A25D7"/>
    <w:rsid w:val="15525604"/>
    <w:rsid w:val="156E5828"/>
    <w:rsid w:val="157047A8"/>
    <w:rsid w:val="15B36E57"/>
    <w:rsid w:val="15B43A33"/>
    <w:rsid w:val="15BB5BFB"/>
    <w:rsid w:val="15C02CFA"/>
    <w:rsid w:val="15D02588"/>
    <w:rsid w:val="15E31F4C"/>
    <w:rsid w:val="16005D04"/>
    <w:rsid w:val="163004AD"/>
    <w:rsid w:val="164356BB"/>
    <w:rsid w:val="165C1333"/>
    <w:rsid w:val="166F777C"/>
    <w:rsid w:val="169C21B8"/>
    <w:rsid w:val="169C6B59"/>
    <w:rsid w:val="16BB60A4"/>
    <w:rsid w:val="16BE137E"/>
    <w:rsid w:val="16D604C4"/>
    <w:rsid w:val="173A5387"/>
    <w:rsid w:val="17725C57"/>
    <w:rsid w:val="17755246"/>
    <w:rsid w:val="17800AEC"/>
    <w:rsid w:val="17976192"/>
    <w:rsid w:val="17FF6273"/>
    <w:rsid w:val="18245E40"/>
    <w:rsid w:val="186B461D"/>
    <w:rsid w:val="188B4950"/>
    <w:rsid w:val="18C50468"/>
    <w:rsid w:val="18C7387D"/>
    <w:rsid w:val="18C76564"/>
    <w:rsid w:val="18E611E1"/>
    <w:rsid w:val="19087A11"/>
    <w:rsid w:val="191B7534"/>
    <w:rsid w:val="196C6250"/>
    <w:rsid w:val="196E2C37"/>
    <w:rsid w:val="1974690A"/>
    <w:rsid w:val="19C072D3"/>
    <w:rsid w:val="1A25720B"/>
    <w:rsid w:val="1A510684"/>
    <w:rsid w:val="1A6171B2"/>
    <w:rsid w:val="1A8765C3"/>
    <w:rsid w:val="1AA65F2A"/>
    <w:rsid w:val="1AA666F2"/>
    <w:rsid w:val="1ADC340E"/>
    <w:rsid w:val="1AED2C78"/>
    <w:rsid w:val="1AEF15D5"/>
    <w:rsid w:val="1B1F6B22"/>
    <w:rsid w:val="1B343FD0"/>
    <w:rsid w:val="1B356551"/>
    <w:rsid w:val="1B377F92"/>
    <w:rsid w:val="1B3E4ABA"/>
    <w:rsid w:val="1B9D2D2C"/>
    <w:rsid w:val="1BAB13EA"/>
    <w:rsid w:val="1BE02644"/>
    <w:rsid w:val="1BF27CE6"/>
    <w:rsid w:val="1BF57F17"/>
    <w:rsid w:val="1C13053F"/>
    <w:rsid w:val="1C162BF5"/>
    <w:rsid w:val="1C212DFA"/>
    <w:rsid w:val="1C3065A1"/>
    <w:rsid w:val="1C32514E"/>
    <w:rsid w:val="1C4B14C5"/>
    <w:rsid w:val="1C7B2C32"/>
    <w:rsid w:val="1C8449C2"/>
    <w:rsid w:val="1C8676F7"/>
    <w:rsid w:val="1C8B5EF5"/>
    <w:rsid w:val="1C9B7764"/>
    <w:rsid w:val="1C9C37E6"/>
    <w:rsid w:val="1CA3081A"/>
    <w:rsid w:val="1CB63AD4"/>
    <w:rsid w:val="1CB81673"/>
    <w:rsid w:val="1CEB7EC5"/>
    <w:rsid w:val="1D0A50BD"/>
    <w:rsid w:val="1D2A3DAB"/>
    <w:rsid w:val="1D46542E"/>
    <w:rsid w:val="1D532BBD"/>
    <w:rsid w:val="1D6359BB"/>
    <w:rsid w:val="1D664936"/>
    <w:rsid w:val="1D71729C"/>
    <w:rsid w:val="1D981331"/>
    <w:rsid w:val="1DAB3C89"/>
    <w:rsid w:val="1DC06E93"/>
    <w:rsid w:val="1DCC77C2"/>
    <w:rsid w:val="1DCF4890"/>
    <w:rsid w:val="1DD70599"/>
    <w:rsid w:val="1DFB57EB"/>
    <w:rsid w:val="1E0062C5"/>
    <w:rsid w:val="1E4F15C4"/>
    <w:rsid w:val="1E665E93"/>
    <w:rsid w:val="1E6D0B8E"/>
    <w:rsid w:val="1E740910"/>
    <w:rsid w:val="1E8079E2"/>
    <w:rsid w:val="1E8A1B7B"/>
    <w:rsid w:val="1E93532B"/>
    <w:rsid w:val="1ED05FDD"/>
    <w:rsid w:val="1EDA4565"/>
    <w:rsid w:val="1F0115E6"/>
    <w:rsid w:val="1F502D8C"/>
    <w:rsid w:val="1F8B73B9"/>
    <w:rsid w:val="1F8F25D3"/>
    <w:rsid w:val="1FC0508F"/>
    <w:rsid w:val="1FD17519"/>
    <w:rsid w:val="1FDE37FF"/>
    <w:rsid w:val="1FE87CF6"/>
    <w:rsid w:val="20142293"/>
    <w:rsid w:val="20174376"/>
    <w:rsid w:val="202875D1"/>
    <w:rsid w:val="203B6405"/>
    <w:rsid w:val="204042C4"/>
    <w:rsid w:val="204434A6"/>
    <w:rsid w:val="208E2CB0"/>
    <w:rsid w:val="20C7192F"/>
    <w:rsid w:val="20C94ACB"/>
    <w:rsid w:val="20CC6F0F"/>
    <w:rsid w:val="20F3606E"/>
    <w:rsid w:val="2117534C"/>
    <w:rsid w:val="213009EF"/>
    <w:rsid w:val="213D75BE"/>
    <w:rsid w:val="213F7AB1"/>
    <w:rsid w:val="217A33A1"/>
    <w:rsid w:val="21872636"/>
    <w:rsid w:val="218F2648"/>
    <w:rsid w:val="21AB5C9B"/>
    <w:rsid w:val="21B427AB"/>
    <w:rsid w:val="21BD46E0"/>
    <w:rsid w:val="227C0C68"/>
    <w:rsid w:val="227D1F07"/>
    <w:rsid w:val="22AE5DFE"/>
    <w:rsid w:val="23025E80"/>
    <w:rsid w:val="234049B2"/>
    <w:rsid w:val="235C31B0"/>
    <w:rsid w:val="239F4DAE"/>
    <w:rsid w:val="23C16FD2"/>
    <w:rsid w:val="242C445B"/>
    <w:rsid w:val="247E04BE"/>
    <w:rsid w:val="248B6BF0"/>
    <w:rsid w:val="24975A35"/>
    <w:rsid w:val="24A451C8"/>
    <w:rsid w:val="24B032BD"/>
    <w:rsid w:val="24B0777F"/>
    <w:rsid w:val="24B80E3D"/>
    <w:rsid w:val="24BA3A6C"/>
    <w:rsid w:val="24C14262"/>
    <w:rsid w:val="24D10F97"/>
    <w:rsid w:val="24DB11B1"/>
    <w:rsid w:val="24DB1DC1"/>
    <w:rsid w:val="24F54616"/>
    <w:rsid w:val="254579AD"/>
    <w:rsid w:val="25482804"/>
    <w:rsid w:val="25550995"/>
    <w:rsid w:val="25626187"/>
    <w:rsid w:val="256C6B21"/>
    <w:rsid w:val="25916749"/>
    <w:rsid w:val="25B15AD3"/>
    <w:rsid w:val="25D92212"/>
    <w:rsid w:val="25E5097B"/>
    <w:rsid w:val="25ED1CE2"/>
    <w:rsid w:val="260366CA"/>
    <w:rsid w:val="2613738E"/>
    <w:rsid w:val="26190B1E"/>
    <w:rsid w:val="261954E5"/>
    <w:rsid w:val="26963D4E"/>
    <w:rsid w:val="26B25A04"/>
    <w:rsid w:val="26CA2142"/>
    <w:rsid w:val="26E86A48"/>
    <w:rsid w:val="27101EDB"/>
    <w:rsid w:val="27450F96"/>
    <w:rsid w:val="27807D96"/>
    <w:rsid w:val="27A03254"/>
    <w:rsid w:val="27A230C5"/>
    <w:rsid w:val="27A851CF"/>
    <w:rsid w:val="27F6755B"/>
    <w:rsid w:val="2835156C"/>
    <w:rsid w:val="285E7742"/>
    <w:rsid w:val="285F589C"/>
    <w:rsid w:val="2860075F"/>
    <w:rsid w:val="288E7537"/>
    <w:rsid w:val="28D51CE9"/>
    <w:rsid w:val="28E0382C"/>
    <w:rsid w:val="28FB2940"/>
    <w:rsid w:val="2935387C"/>
    <w:rsid w:val="295642C7"/>
    <w:rsid w:val="29923BE6"/>
    <w:rsid w:val="29C74D12"/>
    <w:rsid w:val="29D70027"/>
    <w:rsid w:val="29DA51F1"/>
    <w:rsid w:val="29E4565C"/>
    <w:rsid w:val="2A217644"/>
    <w:rsid w:val="2A5522DC"/>
    <w:rsid w:val="2A6D7AE4"/>
    <w:rsid w:val="2A772A7D"/>
    <w:rsid w:val="2A81126C"/>
    <w:rsid w:val="2A9A509F"/>
    <w:rsid w:val="2ABE75C5"/>
    <w:rsid w:val="2AC54EDF"/>
    <w:rsid w:val="2ADE1592"/>
    <w:rsid w:val="2AE72478"/>
    <w:rsid w:val="2AFE6BB2"/>
    <w:rsid w:val="2AFF547A"/>
    <w:rsid w:val="2B0F5BE3"/>
    <w:rsid w:val="2B194010"/>
    <w:rsid w:val="2B1A0A86"/>
    <w:rsid w:val="2B766889"/>
    <w:rsid w:val="2B7F321F"/>
    <w:rsid w:val="2B8F7412"/>
    <w:rsid w:val="2BB62C14"/>
    <w:rsid w:val="2BB82208"/>
    <w:rsid w:val="2BC1544C"/>
    <w:rsid w:val="2BF25A55"/>
    <w:rsid w:val="2BF83122"/>
    <w:rsid w:val="2C182A7D"/>
    <w:rsid w:val="2C4D4422"/>
    <w:rsid w:val="2C61592A"/>
    <w:rsid w:val="2CF23348"/>
    <w:rsid w:val="2D0212AF"/>
    <w:rsid w:val="2D0721CE"/>
    <w:rsid w:val="2D2D0FB8"/>
    <w:rsid w:val="2D5369A4"/>
    <w:rsid w:val="2D553E12"/>
    <w:rsid w:val="2D563294"/>
    <w:rsid w:val="2D572DE8"/>
    <w:rsid w:val="2D7657B0"/>
    <w:rsid w:val="2DA92533"/>
    <w:rsid w:val="2DC542FD"/>
    <w:rsid w:val="2E027319"/>
    <w:rsid w:val="2E0E0B66"/>
    <w:rsid w:val="2E740C9C"/>
    <w:rsid w:val="2E912614"/>
    <w:rsid w:val="2E9360AB"/>
    <w:rsid w:val="2EB82B9B"/>
    <w:rsid w:val="2EDB211E"/>
    <w:rsid w:val="2EEE7DBA"/>
    <w:rsid w:val="2FAF734F"/>
    <w:rsid w:val="2FB74538"/>
    <w:rsid w:val="2FC85BC4"/>
    <w:rsid w:val="2FF16930"/>
    <w:rsid w:val="30152466"/>
    <w:rsid w:val="30255652"/>
    <w:rsid w:val="302A5959"/>
    <w:rsid w:val="305667F5"/>
    <w:rsid w:val="305B0C4B"/>
    <w:rsid w:val="306F34C7"/>
    <w:rsid w:val="307A37D2"/>
    <w:rsid w:val="31024AE6"/>
    <w:rsid w:val="31232744"/>
    <w:rsid w:val="313F60CD"/>
    <w:rsid w:val="31653193"/>
    <w:rsid w:val="316C164E"/>
    <w:rsid w:val="31AC33EA"/>
    <w:rsid w:val="31B469D0"/>
    <w:rsid w:val="31D64F96"/>
    <w:rsid w:val="32017181"/>
    <w:rsid w:val="3202578C"/>
    <w:rsid w:val="32605BFC"/>
    <w:rsid w:val="326D3B31"/>
    <w:rsid w:val="327021FA"/>
    <w:rsid w:val="32893A3B"/>
    <w:rsid w:val="329C1DF0"/>
    <w:rsid w:val="329E2BA3"/>
    <w:rsid w:val="32AE7A75"/>
    <w:rsid w:val="32E032B1"/>
    <w:rsid w:val="32EF11A3"/>
    <w:rsid w:val="32EF2028"/>
    <w:rsid w:val="33011C41"/>
    <w:rsid w:val="333C6A3D"/>
    <w:rsid w:val="33644CFD"/>
    <w:rsid w:val="33774568"/>
    <w:rsid w:val="33A0028D"/>
    <w:rsid w:val="33A570FA"/>
    <w:rsid w:val="33BF6A76"/>
    <w:rsid w:val="33D32C1C"/>
    <w:rsid w:val="33D92429"/>
    <w:rsid w:val="343B3818"/>
    <w:rsid w:val="343C1893"/>
    <w:rsid w:val="34FD7B87"/>
    <w:rsid w:val="358526AE"/>
    <w:rsid w:val="35B43FF1"/>
    <w:rsid w:val="35B54B22"/>
    <w:rsid w:val="35DF0F8E"/>
    <w:rsid w:val="35E83CBD"/>
    <w:rsid w:val="35EF293B"/>
    <w:rsid w:val="35F13A2A"/>
    <w:rsid w:val="360453EB"/>
    <w:rsid w:val="361633A9"/>
    <w:rsid w:val="362C0965"/>
    <w:rsid w:val="36495F37"/>
    <w:rsid w:val="36523501"/>
    <w:rsid w:val="366A6E58"/>
    <w:rsid w:val="36FD681F"/>
    <w:rsid w:val="37366041"/>
    <w:rsid w:val="373D0F4E"/>
    <w:rsid w:val="375D41E8"/>
    <w:rsid w:val="37625DAE"/>
    <w:rsid w:val="37687F6C"/>
    <w:rsid w:val="377717B0"/>
    <w:rsid w:val="379D7A74"/>
    <w:rsid w:val="37A03DDA"/>
    <w:rsid w:val="37DC389E"/>
    <w:rsid w:val="37E41DF1"/>
    <w:rsid w:val="37FC364E"/>
    <w:rsid w:val="3813175D"/>
    <w:rsid w:val="38463090"/>
    <w:rsid w:val="3882116E"/>
    <w:rsid w:val="388234B9"/>
    <w:rsid w:val="38973473"/>
    <w:rsid w:val="38A56CC9"/>
    <w:rsid w:val="38C05F24"/>
    <w:rsid w:val="38D750B8"/>
    <w:rsid w:val="38F2240C"/>
    <w:rsid w:val="39171CC0"/>
    <w:rsid w:val="393F39C1"/>
    <w:rsid w:val="3941283A"/>
    <w:rsid w:val="395212E1"/>
    <w:rsid w:val="39976574"/>
    <w:rsid w:val="399B04C1"/>
    <w:rsid w:val="39A165F9"/>
    <w:rsid w:val="39B72706"/>
    <w:rsid w:val="39C84E5A"/>
    <w:rsid w:val="39FA0921"/>
    <w:rsid w:val="3A3457E8"/>
    <w:rsid w:val="3A3F0320"/>
    <w:rsid w:val="3A536E24"/>
    <w:rsid w:val="3A55560D"/>
    <w:rsid w:val="3A565A98"/>
    <w:rsid w:val="3A810ECA"/>
    <w:rsid w:val="3A871F8A"/>
    <w:rsid w:val="3AA31206"/>
    <w:rsid w:val="3AB57780"/>
    <w:rsid w:val="3AC65AD2"/>
    <w:rsid w:val="3ACF5A26"/>
    <w:rsid w:val="3B1B509F"/>
    <w:rsid w:val="3B3575B2"/>
    <w:rsid w:val="3B4764C1"/>
    <w:rsid w:val="3B54731C"/>
    <w:rsid w:val="3B67428D"/>
    <w:rsid w:val="3B713350"/>
    <w:rsid w:val="3B7A26BE"/>
    <w:rsid w:val="3BE767A5"/>
    <w:rsid w:val="3BF31F94"/>
    <w:rsid w:val="3C1701DB"/>
    <w:rsid w:val="3C172701"/>
    <w:rsid w:val="3C2E25AC"/>
    <w:rsid w:val="3C33699A"/>
    <w:rsid w:val="3C41291B"/>
    <w:rsid w:val="3C447C27"/>
    <w:rsid w:val="3C4E3440"/>
    <w:rsid w:val="3CA02978"/>
    <w:rsid w:val="3CBB635D"/>
    <w:rsid w:val="3D4E5423"/>
    <w:rsid w:val="3E225ED0"/>
    <w:rsid w:val="3E29108F"/>
    <w:rsid w:val="3E763568"/>
    <w:rsid w:val="3EB341AB"/>
    <w:rsid w:val="3EC20226"/>
    <w:rsid w:val="3EC451E1"/>
    <w:rsid w:val="3EC47F80"/>
    <w:rsid w:val="3ED26B8E"/>
    <w:rsid w:val="3F1E63B0"/>
    <w:rsid w:val="3F2226EC"/>
    <w:rsid w:val="3F601C75"/>
    <w:rsid w:val="3FAC6CE4"/>
    <w:rsid w:val="3FB04B06"/>
    <w:rsid w:val="3FC90D91"/>
    <w:rsid w:val="3FDA48AC"/>
    <w:rsid w:val="4004626D"/>
    <w:rsid w:val="402A3DD6"/>
    <w:rsid w:val="402E363B"/>
    <w:rsid w:val="403A7A13"/>
    <w:rsid w:val="40883F9A"/>
    <w:rsid w:val="40A6403B"/>
    <w:rsid w:val="40C31767"/>
    <w:rsid w:val="40D11C13"/>
    <w:rsid w:val="40D14228"/>
    <w:rsid w:val="40E32648"/>
    <w:rsid w:val="413F338F"/>
    <w:rsid w:val="415D3A83"/>
    <w:rsid w:val="419659D4"/>
    <w:rsid w:val="41A50FA5"/>
    <w:rsid w:val="41AF222E"/>
    <w:rsid w:val="41CC07BC"/>
    <w:rsid w:val="41DD5AAF"/>
    <w:rsid w:val="420569A4"/>
    <w:rsid w:val="42434AC7"/>
    <w:rsid w:val="4246080B"/>
    <w:rsid w:val="42CE24FD"/>
    <w:rsid w:val="42F302DD"/>
    <w:rsid w:val="43260C43"/>
    <w:rsid w:val="438034F8"/>
    <w:rsid w:val="4388321A"/>
    <w:rsid w:val="441A31FF"/>
    <w:rsid w:val="443F03D6"/>
    <w:rsid w:val="446A3759"/>
    <w:rsid w:val="446B4961"/>
    <w:rsid w:val="44823C05"/>
    <w:rsid w:val="449428DA"/>
    <w:rsid w:val="45132E7E"/>
    <w:rsid w:val="45774DEB"/>
    <w:rsid w:val="45797DA1"/>
    <w:rsid w:val="45A046DF"/>
    <w:rsid w:val="45AB1A67"/>
    <w:rsid w:val="45B725A0"/>
    <w:rsid w:val="45D33008"/>
    <w:rsid w:val="45D53422"/>
    <w:rsid w:val="462E25CA"/>
    <w:rsid w:val="46303A17"/>
    <w:rsid w:val="465A58CC"/>
    <w:rsid w:val="46931FE6"/>
    <w:rsid w:val="46C44E88"/>
    <w:rsid w:val="46D637ED"/>
    <w:rsid w:val="46DD3F38"/>
    <w:rsid w:val="46F16F1D"/>
    <w:rsid w:val="46FD2CBF"/>
    <w:rsid w:val="472910BD"/>
    <w:rsid w:val="474C0E73"/>
    <w:rsid w:val="47506242"/>
    <w:rsid w:val="47553E8E"/>
    <w:rsid w:val="477C293C"/>
    <w:rsid w:val="47CA2F97"/>
    <w:rsid w:val="47D84675"/>
    <w:rsid w:val="47E17B3A"/>
    <w:rsid w:val="481379C4"/>
    <w:rsid w:val="481947FE"/>
    <w:rsid w:val="483B043E"/>
    <w:rsid w:val="486B0826"/>
    <w:rsid w:val="486B1D8E"/>
    <w:rsid w:val="487B19AB"/>
    <w:rsid w:val="48A93D74"/>
    <w:rsid w:val="48D139F6"/>
    <w:rsid w:val="48F56DD6"/>
    <w:rsid w:val="491916C6"/>
    <w:rsid w:val="49573AC8"/>
    <w:rsid w:val="49AA7971"/>
    <w:rsid w:val="49CF02A5"/>
    <w:rsid w:val="49FE240E"/>
    <w:rsid w:val="4A141151"/>
    <w:rsid w:val="4A316318"/>
    <w:rsid w:val="4A515F75"/>
    <w:rsid w:val="4A5950C6"/>
    <w:rsid w:val="4A643B84"/>
    <w:rsid w:val="4A777A6A"/>
    <w:rsid w:val="4AC9062D"/>
    <w:rsid w:val="4ADB5E1D"/>
    <w:rsid w:val="4AE52C42"/>
    <w:rsid w:val="4AF2187D"/>
    <w:rsid w:val="4AFC3953"/>
    <w:rsid w:val="4B1E385E"/>
    <w:rsid w:val="4B29302C"/>
    <w:rsid w:val="4B6870F9"/>
    <w:rsid w:val="4B6C2969"/>
    <w:rsid w:val="4BAB1C93"/>
    <w:rsid w:val="4BCF6DCB"/>
    <w:rsid w:val="4BD06B38"/>
    <w:rsid w:val="4BDF321A"/>
    <w:rsid w:val="4C0065CE"/>
    <w:rsid w:val="4C18241E"/>
    <w:rsid w:val="4C227943"/>
    <w:rsid w:val="4C4373DD"/>
    <w:rsid w:val="4C472142"/>
    <w:rsid w:val="4C5F22C4"/>
    <w:rsid w:val="4CA846DC"/>
    <w:rsid w:val="4CDD603C"/>
    <w:rsid w:val="4DC86CD0"/>
    <w:rsid w:val="4DD62C1F"/>
    <w:rsid w:val="4DF46D27"/>
    <w:rsid w:val="4E250494"/>
    <w:rsid w:val="4E367509"/>
    <w:rsid w:val="4E5211BA"/>
    <w:rsid w:val="4E90713C"/>
    <w:rsid w:val="4E9D1D1E"/>
    <w:rsid w:val="4EED09FA"/>
    <w:rsid w:val="4F0E0B1D"/>
    <w:rsid w:val="4F1D0403"/>
    <w:rsid w:val="4F563CC4"/>
    <w:rsid w:val="4FBD41CA"/>
    <w:rsid w:val="4FD246D2"/>
    <w:rsid w:val="50077D56"/>
    <w:rsid w:val="50131451"/>
    <w:rsid w:val="50831BFE"/>
    <w:rsid w:val="50B52FE4"/>
    <w:rsid w:val="50B62DBF"/>
    <w:rsid w:val="50BF2E54"/>
    <w:rsid w:val="51390BE4"/>
    <w:rsid w:val="51C804DE"/>
    <w:rsid w:val="51CF0D4C"/>
    <w:rsid w:val="51E12FF8"/>
    <w:rsid w:val="51E33826"/>
    <w:rsid w:val="51E71C22"/>
    <w:rsid w:val="520C6B50"/>
    <w:rsid w:val="522E62F3"/>
    <w:rsid w:val="52444BF1"/>
    <w:rsid w:val="52A33960"/>
    <w:rsid w:val="52B476CE"/>
    <w:rsid w:val="52F47A95"/>
    <w:rsid w:val="53106223"/>
    <w:rsid w:val="531645CA"/>
    <w:rsid w:val="531F2A96"/>
    <w:rsid w:val="53262EC9"/>
    <w:rsid w:val="53551188"/>
    <w:rsid w:val="53734149"/>
    <w:rsid w:val="53932760"/>
    <w:rsid w:val="539873E7"/>
    <w:rsid w:val="53B46D0C"/>
    <w:rsid w:val="53C0793C"/>
    <w:rsid w:val="54087353"/>
    <w:rsid w:val="54375044"/>
    <w:rsid w:val="544232E7"/>
    <w:rsid w:val="54557110"/>
    <w:rsid w:val="549661B6"/>
    <w:rsid w:val="54D24E79"/>
    <w:rsid w:val="5503429F"/>
    <w:rsid w:val="551027C6"/>
    <w:rsid w:val="552F7315"/>
    <w:rsid w:val="554B0FDD"/>
    <w:rsid w:val="55631D2D"/>
    <w:rsid w:val="55BB1E97"/>
    <w:rsid w:val="55C8709D"/>
    <w:rsid w:val="55EB0E01"/>
    <w:rsid w:val="560509A3"/>
    <w:rsid w:val="56050C0A"/>
    <w:rsid w:val="56250237"/>
    <w:rsid w:val="564569EB"/>
    <w:rsid w:val="56AB5944"/>
    <w:rsid w:val="56F645A2"/>
    <w:rsid w:val="57024FAA"/>
    <w:rsid w:val="571060A9"/>
    <w:rsid w:val="57214861"/>
    <w:rsid w:val="572B4616"/>
    <w:rsid w:val="57541EAD"/>
    <w:rsid w:val="576D2C98"/>
    <w:rsid w:val="577465D8"/>
    <w:rsid w:val="579062A5"/>
    <w:rsid w:val="57AE5029"/>
    <w:rsid w:val="57C23486"/>
    <w:rsid w:val="57D123D3"/>
    <w:rsid w:val="5807247D"/>
    <w:rsid w:val="58117CC1"/>
    <w:rsid w:val="582C3384"/>
    <w:rsid w:val="58624A55"/>
    <w:rsid w:val="589A66FE"/>
    <w:rsid w:val="59162EF2"/>
    <w:rsid w:val="59216A89"/>
    <w:rsid w:val="59A175DF"/>
    <w:rsid w:val="59B819C2"/>
    <w:rsid w:val="59C7668D"/>
    <w:rsid w:val="59FC4729"/>
    <w:rsid w:val="59FF697B"/>
    <w:rsid w:val="5A0B75E4"/>
    <w:rsid w:val="5A575BFF"/>
    <w:rsid w:val="5A77586F"/>
    <w:rsid w:val="5AA12CBD"/>
    <w:rsid w:val="5ACA65CD"/>
    <w:rsid w:val="5ACC7A53"/>
    <w:rsid w:val="5AE51758"/>
    <w:rsid w:val="5B581F93"/>
    <w:rsid w:val="5B6B529B"/>
    <w:rsid w:val="5B9C1F0A"/>
    <w:rsid w:val="5BB250E2"/>
    <w:rsid w:val="5BB3320D"/>
    <w:rsid w:val="5BC31A45"/>
    <w:rsid w:val="5BC772C9"/>
    <w:rsid w:val="5BF50377"/>
    <w:rsid w:val="5C465FA2"/>
    <w:rsid w:val="5C544090"/>
    <w:rsid w:val="5C726BB6"/>
    <w:rsid w:val="5C7322D1"/>
    <w:rsid w:val="5CBC76B7"/>
    <w:rsid w:val="5CE17D85"/>
    <w:rsid w:val="5CEF4070"/>
    <w:rsid w:val="5CFC28A8"/>
    <w:rsid w:val="5D246FFC"/>
    <w:rsid w:val="5D36426B"/>
    <w:rsid w:val="5DCB2ACD"/>
    <w:rsid w:val="5DDA696A"/>
    <w:rsid w:val="5E410FFD"/>
    <w:rsid w:val="5E544606"/>
    <w:rsid w:val="5E8E05EA"/>
    <w:rsid w:val="5EFB61FA"/>
    <w:rsid w:val="5F2C7D02"/>
    <w:rsid w:val="5F31206E"/>
    <w:rsid w:val="5F7663E9"/>
    <w:rsid w:val="5FB656F9"/>
    <w:rsid w:val="5FBC2CFA"/>
    <w:rsid w:val="5FC53466"/>
    <w:rsid w:val="5FD13015"/>
    <w:rsid w:val="5FF56DB4"/>
    <w:rsid w:val="60190EE3"/>
    <w:rsid w:val="601D48F2"/>
    <w:rsid w:val="601E31F8"/>
    <w:rsid w:val="602832C7"/>
    <w:rsid w:val="603D1F50"/>
    <w:rsid w:val="603D3EBB"/>
    <w:rsid w:val="603F673E"/>
    <w:rsid w:val="605467C6"/>
    <w:rsid w:val="60D605A1"/>
    <w:rsid w:val="60DF41B5"/>
    <w:rsid w:val="612C537D"/>
    <w:rsid w:val="61464F6C"/>
    <w:rsid w:val="61515A7F"/>
    <w:rsid w:val="61633E93"/>
    <w:rsid w:val="61A4558D"/>
    <w:rsid w:val="61C32B70"/>
    <w:rsid w:val="61D54EA8"/>
    <w:rsid w:val="61E045CD"/>
    <w:rsid w:val="61E23930"/>
    <w:rsid w:val="62016875"/>
    <w:rsid w:val="623E052A"/>
    <w:rsid w:val="62712E97"/>
    <w:rsid w:val="628B7263"/>
    <w:rsid w:val="62902D58"/>
    <w:rsid w:val="62AE4BDA"/>
    <w:rsid w:val="62C97640"/>
    <w:rsid w:val="62D27C48"/>
    <w:rsid w:val="6307315E"/>
    <w:rsid w:val="63184211"/>
    <w:rsid w:val="631B5AD9"/>
    <w:rsid w:val="635514AC"/>
    <w:rsid w:val="635C575B"/>
    <w:rsid w:val="63672302"/>
    <w:rsid w:val="636863CF"/>
    <w:rsid w:val="636B3D8A"/>
    <w:rsid w:val="63715219"/>
    <w:rsid w:val="63752C12"/>
    <w:rsid w:val="63791083"/>
    <w:rsid w:val="638C1080"/>
    <w:rsid w:val="63B413CF"/>
    <w:rsid w:val="63C90AB0"/>
    <w:rsid w:val="63D4721A"/>
    <w:rsid w:val="63FF6C27"/>
    <w:rsid w:val="6405263C"/>
    <w:rsid w:val="642454D9"/>
    <w:rsid w:val="6434581E"/>
    <w:rsid w:val="6464336B"/>
    <w:rsid w:val="65160092"/>
    <w:rsid w:val="65360BCA"/>
    <w:rsid w:val="653C5193"/>
    <w:rsid w:val="655C7828"/>
    <w:rsid w:val="658B4967"/>
    <w:rsid w:val="65CB1350"/>
    <w:rsid w:val="65FA7133"/>
    <w:rsid w:val="66330E7B"/>
    <w:rsid w:val="66351622"/>
    <w:rsid w:val="6651037B"/>
    <w:rsid w:val="665A2304"/>
    <w:rsid w:val="669C6349"/>
    <w:rsid w:val="66A80AC6"/>
    <w:rsid w:val="67144976"/>
    <w:rsid w:val="67202357"/>
    <w:rsid w:val="67603F26"/>
    <w:rsid w:val="676A6106"/>
    <w:rsid w:val="67D3264E"/>
    <w:rsid w:val="67D63720"/>
    <w:rsid w:val="67EC027D"/>
    <w:rsid w:val="67ED15A0"/>
    <w:rsid w:val="68024DD3"/>
    <w:rsid w:val="680F332B"/>
    <w:rsid w:val="6832253F"/>
    <w:rsid w:val="684F329E"/>
    <w:rsid w:val="685C3C4D"/>
    <w:rsid w:val="687102AD"/>
    <w:rsid w:val="68724B40"/>
    <w:rsid w:val="68902798"/>
    <w:rsid w:val="690C7142"/>
    <w:rsid w:val="690F3409"/>
    <w:rsid w:val="691320EB"/>
    <w:rsid w:val="69412846"/>
    <w:rsid w:val="695907E9"/>
    <w:rsid w:val="6964290E"/>
    <w:rsid w:val="698304CD"/>
    <w:rsid w:val="69932BAE"/>
    <w:rsid w:val="69A16FDB"/>
    <w:rsid w:val="69BA6060"/>
    <w:rsid w:val="69CB1A7B"/>
    <w:rsid w:val="69ED5B2B"/>
    <w:rsid w:val="6A047FD5"/>
    <w:rsid w:val="6A223F21"/>
    <w:rsid w:val="6A4771F0"/>
    <w:rsid w:val="6A641277"/>
    <w:rsid w:val="6A985E45"/>
    <w:rsid w:val="6AAD0001"/>
    <w:rsid w:val="6ACC3B62"/>
    <w:rsid w:val="6AE30427"/>
    <w:rsid w:val="6B1B05C6"/>
    <w:rsid w:val="6B35684E"/>
    <w:rsid w:val="6B5775BA"/>
    <w:rsid w:val="6B6C1D6A"/>
    <w:rsid w:val="6B706DFD"/>
    <w:rsid w:val="6B735145"/>
    <w:rsid w:val="6B76701F"/>
    <w:rsid w:val="6BAA63F6"/>
    <w:rsid w:val="6BB64940"/>
    <w:rsid w:val="6BBA5ABD"/>
    <w:rsid w:val="6BC04151"/>
    <w:rsid w:val="6BFF6B53"/>
    <w:rsid w:val="6C161EDD"/>
    <w:rsid w:val="6C17534B"/>
    <w:rsid w:val="6C52384A"/>
    <w:rsid w:val="6C5F577B"/>
    <w:rsid w:val="6C5F6B13"/>
    <w:rsid w:val="6C831486"/>
    <w:rsid w:val="6C8C7141"/>
    <w:rsid w:val="6C903E5F"/>
    <w:rsid w:val="6C92595F"/>
    <w:rsid w:val="6CA31D11"/>
    <w:rsid w:val="6CE513BE"/>
    <w:rsid w:val="6CEE595E"/>
    <w:rsid w:val="6CF82160"/>
    <w:rsid w:val="6D094BFA"/>
    <w:rsid w:val="6D16687B"/>
    <w:rsid w:val="6D1D7324"/>
    <w:rsid w:val="6D283EB3"/>
    <w:rsid w:val="6D476F5C"/>
    <w:rsid w:val="6D524D35"/>
    <w:rsid w:val="6D631E8B"/>
    <w:rsid w:val="6DA45721"/>
    <w:rsid w:val="6DEF5724"/>
    <w:rsid w:val="6E2D7396"/>
    <w:rsid w:val="6E680A4B"/>
    <w:rsid w:val="6E977E1E"/>
    <w:rsid w:val="6E9A083E"/>
    <w:rsid w:val="6EB81E4D"/>
    <w:rsid w:val="6F1013D6"/>
    <w:rsid w:val="6F1830F3"/>
    <w:rsid w:val="6F2C4E6B"/>
    <w:rsid w:val="6F7502BE"/>
    <w:rsid w:val="6F8E30B2"/>
    <w:rsid w:val="6F8E346E"/>
    <w:rsid w:val="6F922D77"/>
    <w:rsid w:val="6FA85985"/>
    <w:rsid w:val="6FD7718C"/>
    <w:rsid w:val="6FEA2DEF"/>
    <w:rsid w:val="70231C9D"/>
    <w:rsid w:val="704116AB"/>
    <w:rsid w:val="70411BFE"/>
    <w:rsid w:val="704768DE"/>
    <w:rsid w:val="707B5C7D"/>
    <w:rsid w:val="708C386D"/>
    <w:rsid w:val="7093353E"/>
    <w:rsid w:val="70A25D2A"/>
    <w:rsid w:val="70EC15F1"/>
    <w:rsid w:val="70F606D1"/>
    <w:rsid w:val="710C3141"/>
    <w:rsid w:val="71104E62"/>
    <w:rsid w:val="713927A1"/>
    <w:rsid w:val="71426CAF"/>
    <w:rsid w:val="719525E5"/>
    <w:rsid w:val="71C43EDF"/>
    <w:rsid w:val="71C91292"/>
    <w:rsid w:val="71D12B7B"/>
    <w:rsid w:val="72047D57"/>
    <w:rsid w:val="72247F25"/>
    <w:rsid w:val="7254510E"/>
    <w:rsid w:val="72563FB1"/>
    <w:rsid w:val="726E28BC"/>
    <w:rsid w:val="729701F7"/>
    <w:rsid w:val="72C13435"/>
    <w:rsid w:val="72CC0329"/>
    <w:rsid w:val="7332304C"/>
    <w:rsid w:val="733B0345"/>
    <w:rsid w:val="73460DCF"/>
    <w:rsid w:val="736F51CC"/>
    <w:rsid w:val="73765DF7"/>
    <w:rsid w:val="739C093C"/>
    <w:rsid w:val="739D0315"/>
    <w:rsid w:val="73C42DF2"/>
    <w:rsid w:val="73CE4F10"/>
    <w:rsid w:val="73DE0BF4"/>
    <w:rsid w:val="73EF72A5"/>
    <w:rsid w:val="740166CA"/>
    <w:rsid w:val="741606DE"/>
    <w:rsid w:val="744864C9"/>
    <w:rsid w:val="746B4618"/>
    <w:rsid w:val="746F2FAE"/>
    <w:rsid w:val="748E187D"/>
    <w:rsid w:val="74BE7C9B"/>
    <w:rsid w:val="74F727ED"/>
    <w:rsid w:val="75395A4F"/>
    <w:rsid w:val="75A62599"/>
    <w:rsid w:val="75C718AC"/>
    <w:rsid w:val="75E5168E"/>
    <w:rsid w:val="75E65018"/>
    <w:rsid w:val="75E6534A"/>
    <w:rsid w:val="75FD7923"/>
    <w:rsid w:val="764536B8"/>
    <w:rsid w:val="764C1E95"/>
    <w:rsid w:val="765340BE"/>
    <w:rsid w:val="76595CC4"/>
    <w:rsid w:val="76600B0B"/>
    <w:rsid w:val="769D4729"/>
    <w:rsid w:val="76EC025F"/>
    <w:rsid w:val="77104195"/>
    <w:rsid w:val="77532B5B"/>
    <w:rsid w:val="77A72B49"/>
    <w:rsid w:val="77BA48A1"/>
    <w:rsid w:val="77EA45C3"/>
    <w:rsid w:val="77F3515D"/>
    <w:rsid w:val="77F537AF"/>
    <w:rsid w:val="780879A1"/>
    <w:rsid w:val="782557C0"/>
    <w:rsid w:val="78427D95"/>
    <w:rsid w:val="78915BE9"/>
    <w:rsid w:val="789B3619"/>
    <w:rsid w:val="78CE3373"/>
    <w:rsid w:val="78EA06B1"/>
    <w:rsid w:val="79303653"/>
    <w:rsid w:val="79332894"/>
    <w:rsid w:val="79432FDA"/>
    <w:rsid w:val="794E031B"/>
    <w:rsid w:val="796340FE"/>
    <w:rsid w:val="79F651E3"/>
    <w:rsid w:val="7A4A0DFD"/>
    <w:rsid w:val="7A552236"/>
    <w:rsid w:val="7A735659"/>
    <w:rsid w:val="7A7E0068"/>
    <w:rsid w:val="7AB60141"/>
    <w:rsid w:val="7AB7745D"/>
    <w:rsid w:val="7AC17447"/>
    <w:rsid w:val="7AD70C9B"/>
    <w:rsid w:val="7ADA5B3C"/>
    <w:rsid w:val="7AED2E7F"/>
    <w:rsid w:val="7B4531F1"/>
    <w:rsid w:val="7B4D07FD"/>
    <w:rsid w:val="7BAB3DF5"/>
    <w:rsid w:val="7BD26364"/>
    <w:rsid w:val="7BDB29F1"/>
    <w:rsid w:val="7C2F53CB"/>
    <w:rsid w:val="7C3A3603"/>
    <w:rsid w:val="7C461D0D"/>
    <w:rsid w:val="7C485C63"/>
    <w:rsid w:val="7C8C6328"/>
    <w:rsid w:val="7C96582D"/>
    <w:rsid w:val="7CA834CE"/>
    <w:rsid w:val="7CB9036C"/>
    <w:rsid w:val="7CC65E12"/>
    <w:rsid w:val="7D047631"/>
    <w:rsid w:val="7D3475DB"/>
    <w:rsid w:val="7D771F95"/>
    <w:rsid w:val="7D942460"/>
    <w:rsid w:val="7DBB0F77"/>
    <w:rsid w:val="7DDC5B72"/>
    <w:rsid w:val="7DDD5D1F"/>
    <w:rsid w:val="7E0B3754"/>
    <w:rsid w:val="7E3C4D54"/>
    <w:rsid w:val="7E563F68"/>
    <w:rsid w:val="7EB066CD"/>
    <w:rsid w:val="7EC40A24"/>
    <w:rsid w:val="7EC97423"/>
    <w:rsid w:val="7EEF2121"/>
    <w:rsid w:val="7F413799"/>
    <w:rsid w:val="7F5F072D"/>
    <w:rsid w:val="7F711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9"/>
    <w:qFormat/>
    <w:uiPriority w:val="0"/>
    <w:pPr>
      <w:keepNext/>
      <w:jc w:val="center"/>
      <w:outlineLvl w:val="0"/>
    </w:pPr>
    <w:rPr>
      <w:rFonts w:eastAsia="黑体"/>
      <w:b/>
      <w:sz w:val="32"/>
      <w:szCs w:val="20"/>
    </w:rPr>
  </w:style>
  <w:style w:type="paragraph" w:styleId="4">
    <w:name w:val="heading 2"/>
    <w:basedOn w:val="1"/>
    <w:next w:val="1"/>
    <w:link w:val="67"/>
    <w:qFormat/>
    <w:uiPriority w:val="0"/>
    <w:pPr>
      <w:keepNext/>
      <w:outlineLvl w:val="1"/>
    </w:pPr>
    <w:rPr>
      <w:rFonts w:ascii="仿宋_GB2312"/>
      <w:b/>
      <w:sz w:val="28"/>
      <w:szCs w:val="32"/>
    </w:rPr>
  </w:style>
  <w:style w:type="paragraph" w:styleId="5">
    <w:name w:val="heading 3"/>
    <w:basedOn w:val="1"/>
    <w:next w:val="1"/>
    <w:link w:val="152"/>
    <w:qFormat/>
    <w:uiPriority w:val="0"/>
    <w:pPr>
      <w:keepNext/>
      <w:keepLines/>
      <w:spacing w:line="540" w:lineRule="atLeast"/>
      <w:outlineLvl w:val="2"/>
    </w:pPr>
    <w:rPr>
      <w:rFonts w:eastAsia="黑体"/>
      <w:b/>
      <w:sz w:val="28"/>
      <w:szCs w:val="20"/>
    </w:rPr>
  </w:style>
  <w:style w:type="paragraph" w:styleId="6">
    <w:name w:val="heading 4"/>
    <w:basedOn w:val="1"/>
    <w:next w:val="1"/>
    <w:link w:val="149"/>
    <w:qFormat/>
    <w:uiPriority w:val="0"/>
    <w:pPr>
      <w:keepNext/>
      <w:keepLines/>
      <w:spacing w:line="540" w:lineRule="atLeast"/>
      <w:outlineLvl w:val="3"/>
    </w:pPr>
    <w:rPr>
      <w:sz w:val="28"/>
      <w:szCs w:val="28"/>
    </w:rPr>
  </w:style>
  <w:style w:type="paragraph" w:styleId="7">
    <w:name w:val="heading 5"/>
    <w:basedOn w:val="1"/>
    <w:next w:val="1"/>
    <w:link w:val="132"/>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3"/>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70"/>
    <w:qFormat/>
    <w:uiPriority w:val="0"/>
    <w:pPr>
      <w:keepNext/>
      <w:keepLines/>
      <w:spacing w:before="240" w:after="64" w:line="317" w:lineRule="auto"/>
      <w:outlineLvl w:val="6"/>
    </w:pPr>
    <w:rPr>
      <w:b/>
      <w:sz w:val="24"/>
      <w:szCs w:val="20"/>
    </w:rPr>
  </w:style>
  <w:style w:type="paragraph" w:styleId="11">
    <w:name w:val="heading 8"/>
    <w:basedOn w:val="1"/>
    <w:next w:val="9"/>
    <w:link w:val="176"/>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3"/>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macro"/>
    <w:link w:val="11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5"/>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tabs>
        <w:tab w:val="left" w:pos="360"/>
      </w:tabs>
    </w:pPr>
    <w:rPr>
      <w:rFonts w:ascii="Calibri" w:hAnsi="Calibri"/>
      <w:szCs w:val="22"/>
    </w:rPr>
  </w:style>
  <w:style w:type="paragraph" w:styleId="17">
    <w:name w:val="Document Map"/>
    <w:basedOn w:val="1"/>
    <w:link w:val="131"/>
    <w:qFormat/>
    <w:uiPriority w:val="0"/>
    <w:pPr>
      <w:shd w:val="clear" w:color="auto" w:fill="000080"/>
    </w:pPr>
  </w:style>
  <w:style w:type="paragraph" w:styleId="18">
    <w:name w:val="annotation text"/>
    <w:basedOn w:val="1"/>
    <w:link w:val="91"/>
    <w:qFormat/>
    <w:uiPriority w:val="0"/>
    <w:pPr>
      <w:jc w:val="left"/>
    </w:pPr>
  </w:style>
  <w:style w:type="paragraph" w:styleId="19">
    <w:name w:val="Salutation"/>
    <w:basedOn w:val="1"/>
    <w:next w:val="1"/>
    <w:link w:val="79"/>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95"/>
    <w:qFormat/>
    <w:uiPriority w:val="0"/>
    <w:pPr>
      <w:autoSpaceDE w:val="0"/>
      <w:autoSpaceDN w:val="0"/>
      <w:adjustRightInd w:val="0"/>
      <w:jc w:val="center"/>
    </w:pPr>
  </w:style>
  <w:style w:type="paragraph" w:styleId="21">
    <w:name w:val="Body Text"/>
    <w:basedOn w:val="1"/>
    <w:link w:val="164"/>
    <w:qFormat/>
    <w:uiPriority w:val="0"/>
    <w:pPr>
      <w:spacing w:after="120"/>
    </w:pPr>
    <w:rPr>
      <w:rFonts w:ascii="仿宋_GB2312"/>
      <w:b/>
    </w:rPr>
  </w:style>
  <w:style w:type="paragraph" w:styleId="22">
    <w:name w:val="Body Text Indent"/>
    <w:basedOn w:val="1"/>
    <w:link w:val="144"/>
    <w:qFormat/>
    <w:uiPriority w:val="0"/>
    <w:pPr>
      <w:ind w:left="480" w:hanging="480" w:hangingChars="200"/>
    </w:pPr>
    <w:rPr>
      <w:sz w:val="24"/>
    </w:rPr>
  </w:style>
  <w:style w:type="paragraph" w:styleId="23">
    <w:name w:val="List Number 3"/>
    <w:basedOn w:val="1"/>
    <w:qFormat/>
    <w:uiPriority w:val="0"/>
    <w:pPr>
      <w:tabs>
        <w:tab w:val="left" w:pos="1200"/>
      </w:tabs>
      <w:ind w:left="1200" w:leftChars="400" w:hanging="360" w:hangingChars="200"/>
    </w:pPr>
  </w:style>
  <w:style w:type="paragraph" w:styleId="24">
    <w:name w:val="Block Text"/>
    <w:basedOn w:val="1"/>
    <w:qFormat/>
    <w:uiPriority w:val="0"/>
    <w:pPr>
      <w:spacing w:line="520" w:lineRule="exact"/>
      <w:ind w:left="540" w:leftChars="257" w:right="-514"/>
    </w:pPr>
    <w:rPr>
      <w:rFonts w:ascii="宋体" w:hAnsi="宋体"/>
      <w:sz w:val="24"/>
    </w:rPr>
  </w:style>
  <w:style w:type="paragraph" w:styleId="25">
    <w:name w:val="List Bullet 2"/>
    <w:basedOn w:val="1"/>
    <w:qFormat/>
    <w:uiPriority w:val="0"/>
    <w:pPr>
      <w:tabs>
        <w:tab w:val="left" w:pos="780"/>
      </w:tabs>
      <w:spacing w:line="360" w:lineRule="auto"/>
      <w:ind w:left="780" w:leftChars="200" w:hanging="360" w:hangingChars="200"/>
    </w:pPr>
  </w:style>
  <w:style w:type="paragraph" w:styleId="26">
    <w:name w:val="toc 5"/>
    <w:basedOn w:val="1"/>
    <w:next w:val="1"/>
    <w:qFormat/>
    <w:uiPriority w:val="0"/>
    <w:pPr>
      <w:autoSpaceDE w:val="0"/>
      <w:autoSpaceDN w:val="0"/>
      <w:adjustRightInd w:val="0"/>
      <w:ind w:left="1680" w:leftChars="800"/>
      <w:jc w:val="left"/>
    </w:pPr>
    <w:rPr>
      <w:kern w:val="0"/>
      <w:sz w:val="20"/>
      <w:szCs w:val="20"/>
    </w:rPr>
  </w:style>
  <w:style w:type="paragraph" w:styleId="27">
    <w:name w:val="toc 3"/>
    <w:basedOn w:val="1"/>
    <w:next w:val="1"/>
    <w:qFormat/>
    <w:uiPriority w:val="0"/>
    <w:pPr>
      <w:ind w:left="840" w:leftChars="400"/>
    </w:pPr>
  </w:style>
  <w:style w:type="paragraph" w:styleId="28">
    <w:name w:val="Plain Text"/>
    <w:basedOn w:val="1"/>
    <w:link w:val="192"/>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29">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0">
    <w:name w:val="toc 8"/>
    <w:basedOn w:val="1"/>
    <w:next w:val="1"/>
    <w:qFormat/>
    <w:uiPriority w:val="0"/>
    <w:pPr>
      <w:autoSpaceDE w:val="0"/>
      <w:autoSpaceDN w:val="0"/>
      <w:adjustRightInd w:val="0"/>
      <w:ind w:left="2940" w:leftChars="1400"/>
      <w:jc w:val="left"/>
    </w:pPr>
    <w:rPr>
      <w:kern w:val="0"/>
      <w:sz w:val="20"/>
      <w:szCs w:val="20"/>
    </w:rPr>
  </w:style>
  <w:style w:type="paragraph" w:styleId="31">
    <w:name w:val="Date"/>
    <w:basedOn w:val="1"/>
    <w:next w:val="1"/>
    <w:link w:val="133"/>
    <w:qFormat/>
    <w:uiPriority w:val="0"/>
    <w:pPr>
      <w:ind w:left="100" w:leftChars="2500"/>
    </w:pPr>
  </w:style>
  <w:style w:type="paragraph" w:styleId="32">
    <w:name w:val="Body Text Indent 2"/>
    <w:basedOn w:val="1"/>
    <w:link w:val="178"/>
    <w:qFormat/>
    <w:uiPriority w:val="0"/>
    <w:pPr>
      <w:spacing w:line="500" w:lineRule="exact"/>
      <w:ind w:firstLine="511" w:firstLineChars="213"/>
    </w:pPr>
    <w:rPr>
      <w:sz w:val="24"/>
    </w:rPr>
  </w:style>
  <w:style w:type="paragraph" w:styleId="33">
    <w:name w:val="Balloon Text"/>
    <w:basedOn w:val="1"/>
    <w:link w:val="151"/>
    <w:qFormat/>
    <w:uiPriority w:val="0"/>
    <w:rPr>
      <w:sz w:val="18"/>
      <w:szCs w:val="18"/>
    </w:rPr>
  </w:style>
  <w:style w:type="paragraph" w:styleId="34">
    <w:name w:val="footer"/>
    <w:basedOn w:val="1"/>
    <w:link w:val="120"/>
    <w:qFormat/>
    <w:uiPriority w:val="0"/>
    <w:pPr>
      <w:tabs>
        <w:tab w:val="center" w:pos="4153"/>
        <w:tab w:val="right" w:pos="8306"/>
      </w:tabs>
      <w:snapToGrid w:val="0"/>
      <w:jc w:val="left"/>
    </w:pPr>
    <w:rPr>
      <w:sz w:val="18"/>
      <w:szCs w:val="18"/>
    </w:rPr>
  </w:style>
  <w:style w:type="paragraph" w:styleId="35">
    <w:name w:val="header"/>
    <w:basedOn w:val="1"/>
    <w:link w:val="135"/>
    <w:qFormat/>
    <w:uiPriority w:val="0"/>
    <w:pPr>
      <w:pBdr>
        <w:bottom w:val="single" w:color="auto" w:sz="6" w:space="1"/>
      </w:pBdr>
      <w:tabs>
        <w:tab w:val="center" w:pos="4153"/>
        <w:tab w:val="right" w:pos="8306"/>
      </w:tabs>
      <w:snapToGrid w:val="0"/>
      <w:jc w:val="center"/>
    </w:pPr>
    <w:rPr>
      <w:sz w:val="18"/>
      <w:szCs w:val="18"/>
    </w:rPr>
  </w:style>
  <w:style w:type="paragraph" w:styleId="36">
    <w:name w:val="Signature"/>
    <w:basedOn w:val="1"/>
    <w:link w:val="154"/>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7">
    <w:name w:val="toc 1"/>
    <w:basedOn w:val="1"/>
    <w:next w:val="1"/>
    <w:qFormat/>
    <w:uiPriority w:val="0"/>
  </w:style>
  <w:style w:type="paragraph" w:styleId="38">
    <w:name w:val="toc 4"/>
    <w:basedOn w:val="1"/>
    <w:next w:val="1"/>
    <w:qFormat/>
    <w:uiPriority w:val="0"/>
    <w:pPr>
      <w:autoSpaceDE w:val="0"/>
      <w:autoSpaceDN w:val="0"/>
      <w:adjustRightInd w:val="0"/>
      <w:ind w:left="1260" w:leftChars="600"/>
      <w:jc w:val="left"/>
    </w:pPr>
    <w:rPr>
      <w:kern w:val="0"/>
      <w:sz w:val="20"/>
      <w:szCs w:val="20"/>
    </w:rPr>
  </w:style>
  <w:style w:type="paragraph" w:styleId="39">
    <w:name w:val="Subtitle"/>
    <w:basedOn w:val="1"/>
    <w:next w:val="1"/>
    <w:link w:val="134"/>
    <w:qFormat/>
    <w:uiPriority w:val="0"/>
    <w:pPr>
      <w:spacing w:before="240" w:after="60" w:line="312" w:lineRule="auto"/>
      <w:jc w:val="center"/>
      <w:outlineLvl w:val="1"/>
    </w:pPr>
    <w:rPr>
      <w:rFonts w:ascii="Cambria" w:hAnsi="Cambria"/>
      <w:b/>
      <w:bCs/>
      <w:kern w:val="28"/>
      <w:sz w:val="32"/>
      <w:szCs w:val="32"/>
    </w:rPr>
  </w:style>
  <w:style w:type="paragraph" w:styleId="40">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1">
    <w:name w:val="List"/>
    <w:basedOn w:val="1"/>
    <w:qFormat/>
    <w:uiPriority w:val="0"/>
    <w:pPr>
      <w:ind w:left="200" w:hanging="200" w:hangingChars="200"/>
    </w:pPr>
  </w:style>
  <w:style w:type="paragraph" w:styleId="42">
    <w:name w:val="toc 6"/>
    <w:basedOn w:val="1"/>
    <w:next w:val="1"/>
    <w:qFormat/>
    <w:uiPriority w:val="0"/>
    <w:pPr>
      <w:autoSpaceDE w:val="0"/>
      <w:autoSpaceDN w:val="0"/>
      <w:adjustRightInd w:val="0"/>
      <w:ind w:left="2100" w:leftChars="1000"/>
      <w:jc w:val="left"/>
    </w:pPr>
    <w:rPr>
      <w:kern w:val="0"/>
      <w:sz w:val="20"/>
      <w:szCs w:val="20"/>
    </w:rPr>
  </w:style>
  <w:style w:type="paragraph" w:styleId="43">
    <w:name w:val="Body Text Indent 3"/>
    <w:basedOn w:val="1"/>
    <w:link w:val="146"/>
    <w:qFormat/>
    <w:uiPriority w:val="0"/>
    <w:pPr>
      <w:spacing w:line="500" w:lineRule="exact"/>
      <w:ind w:left="511" w:hanging="511" w:hangingChars="213"/>
    </w:pPr>
    <w:rPr>
      <w:sz w:val="24"/>
    </w:rPr>
  </w:style>
  <w:style w:type="paragraph" w:styleId="44">
    <w:name w:val="toc 2"/>
    <w:basedOn w:val="1"/>
    <w:next w:val="1"/>
    <w:qFormat/>
    <w:uiPriority w:val="0"/>
    <w:pPr>
      <w:ind w:left="420" w:leftChars="200"/>
    </w:pPr>
  </w:style>
  <w:style w:type="paragraph" w:styleId="45">
    <w:name w:val="toc 9"/>
    <w:basedOn w:val="1"/>
    <w:next w:val="1"/>
    <w:qFormat/>
    <w:uiPriority w:val="0"/>
    <w:pPr>
      <w:autoSpaceDE w:val="0"/>
      <w:autoSpaceDN w:val="0"/>
      <w:adjustRightInd w:val="0"/>
      <w:ind w:left="3360" w:leftChars="1600"/>
      <w:jc w:val="left"/>
    </w:pPr>
    <w:rPr>
      <w:kern w:val="0"/>
      <w:sz w:val="20"/>
      <w:szCs w:val="20"/>
    </w:rPr>
  </w:style>
  <w:style w:type="paragraph" w:styleId="46">
    <w:name w:val="Body Text 2"/>
    <w:basedOn w:val="1"/>
    <w:link w:val="198"/>
    <w:qFormat/>
    <w:uiPriority w:val="0"/>
    <w:pPr>
      <w:autoSpaceDE w:val="0"/>
      <w:autoSpaceDN w:val="0"/>
      <w:adjustRightInd w:val="0"/>
      <w:spacing w:after="120" w:line="480" w:lineRule="auto"/>
      <w:jc w:val="left"/>
    </w:pPr>
  </w:style>
  <w:style w:type="paragraph" w:styleId="4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8">
    <w:name w:val="index 1"/>
    <w:basedOn w:val="1"/>
    <w:next w:val="1"/>
    <w:qFormat/>
    <w:uiPriority w:val="0"/>
    <w:pPr>
      <w:spacing w:line="220" w:lineRule="exact"/>
      <w:jc w:val="center"/>
    </w:pPr>
    <w:rPr>
      <w:rFonts w:ascii="仿宋_GB2312" w:eastAsia="仿宋_GB2312"/>
      <w:szCs w:val="21"/>
    </w:rPr>
  </w:style>
  <w:style w:type="paragraph" w:styleId="49">
    <w:name w:val="Title"/>
    <w:basedOn w:val="1"/>
    <w:next w:val="1"/>
    <w:link w:val="111"/>
    <w:qFormat/>
    <w:uiPriority w:val="0"/>
    <w:pPr>
      <w:spacing w:before="240" w:after="60"/>
      <w:jc w:val="center"/>
      <w:outlineLvl w:val="0"/>
    </w:pPr>
    <w:rPr>
      <w:rFonts w:ascii="Cambria" w:hAnsi="Cambria"/>
      <w:b/>
      <w:bCs/>
      <w:sz w:val="32"/>
      <w:szCs w:val="32"/>
    </w:rPr>
  </w:style>
  <w:style w:type="paragraph" w:styleId="50">
    <w:name w:val="annotation subject"/>
    <w:basedOn w:val="18"/>
    <w:next w:val="18"/>
    <w:link w:val="96"/>
    <w:qFormat/>
    <w:uiPriority w:val="0"/>
    <w:rPr>
      <w:b/>
      <w:bCs/>
    </w:rPr>
  </w:style>
  <w:style w:type="paragraph" w:styleId="51">
    <w:name w:val="Body Text First Indent"/>
    <w:basedOn w:val="21"/>
    <w:next w:val="42"/>
    <w:link w:val="196"/>
    <w:qFormat/>
    <w:uiPriority w:val="0"/>
    <w:pPr>
      <w:autoSpaceDE w:val="0"/>
      <w:autoSpaceDN w:val="0"/>
      <w:adjustRightInd w:val="0"/>
      <w:ind w:firstLine="420" w:firstLineChars="100"/>
      <w:jc w:val="left"/>
    </w:pPr>
    <w:rPr>
      <w:rFonts w:ascii="Times New Roman"/>
      <w:b w:val="0"/>
      <w:kern w:val="0"/>
      <w:sz w:val="20"/>
      <w:szCs w:val="20"/>
    </w:rPr>
  </w:style>
  <w:style w:type="paragraph" w:styleId="52">
    <w:name w:val="Body Text First Indent 2"/>
    <w:basedOn w:val="22"/>
    <w:qFormat/>
    <w:uiPriority w:val="0"/>
    <w:pPr>
      <w:spacing w:after="120"/>
      <w:ind w:left="420" w:leftChars="200" w:firstLine="420"/>
    </w:pPr>
    <w:rPr>
      <w:rFonts w:cs="宋体"/>
      <w:sz w:val="21"/>
      <w:szCs w:val="21"/>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basedOn w:val="55"/>
    <w:qFormat/>
    <w:uiPriority w:val="0"/>
    <w:rPr>
      <w:rFonts w:ascii="仿宋_GB2312" w:eastAsia="仿宋_GB2312"/>
      <w:bCs/>
      <w:sz w:val="32"/>
      <w:szCs w:val="32"/>
    </w:rPr>
  </w:style>
  <w:style w:type="character" w:styleId="57">
    <w:name w:val="page number"/>
    <w:basedOn w:val="55"/>
    <w:qFormat/>
    <w:uiPriority w:val="0"/>
  </w:style>
  <w:style w:type="character" w:styleId="58">
    <w:name w:val="FollowedHyperlink"/>
    <w:qFormat/>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basedOn w:val="55"/>
    <w:qFormat/>
    <w:uiPriority w:val="0"/>
  </w:style>
  <w:style w:type="character" w:styleId="61">
    <w:name w:val="Hyperlink"/>
    <w:basedOn w:val="55"/>
    <w:qFormat/>
    <w:uiPriority w:val="0"/>
    <w:rPr>
      <w:rFonts w:ascii="仿宋_GB2312" w:eastAsia="仿宋_GB2312"/>
      <w:b/>
      <w:color w:val="0000FF"/>
      <w:sz w:val="32"/>
      <w:szCs w:val="32"/>
      <w:u w:val="none"/>
    </w:rPr>
  </w:style>
  <w:style w:type="character" w:styleId="62">
    <w:name w:val="annotation reference"/>
    <w:qFormat/>
    <w:uiPriority w:val="0"/>
    <w:rPr>
      <w:sz w:val="21"/>
      <w:szCs w:val="21"/>
    </w:rPr>
  </w:style>
  <w:style w:type="character" w:styleId="63">
    <w:name w:val="HTML Cite"/>
    <w:qFormat/>
    <w:uiPriority w:val="0"/>
    <w:rPr>
      <w:color w:val="008000"/>
    </w:rPr>
  </w:style>
  <w:style w:type="paragraph" w:customStyle="1" w:styleId="64">
    <w:name w:val="Char3 Char Char Char"/>
    <w:basedOn w:val="1"/>
    <w:qFormat/>
    <w:uiPriority w:val="0"/>
  </w:style>
  <w:style w:type="character" w:customStyle="1" w:styleId="65">
    <w:name w:val="不明显参考1"/>
    <w:qFormat/>
    <w:uiPriority w:val="0"/>
    <w:rPr>
      <w:smallCaps/>
      <w:color w:val="C0504D"/>
      <w:u w:val="single"/>
    </w:rPr>
  </w:style>
  <w:style w:type="character" w:customStyle="1" w:styleId="66">
    <w:name w:val="PI Char1"/>
    <w:qFormat/>
    <w:uiPriority w:val="0"/>
    <w:rPr>
      <w:rFonts w:eastAsia="宋体"/>
      <w:kern w:val="2"/>
      <w:sz w:val="24"/>
      <w:szCs w:val="24"/>
      <w:lang w:val="en-US" w:eastAsia="zh-CN" w:bidi="ar-SA"/>
    </w:rPr>
  </w:style>
  <w:style w:type="character" w:customStyle="1" w:styleId="67">
    <w:name w:val="标题 2 Char"/>
    <w:link w:val="4"/>
    <w:qFormat/>
    <w:uiPriority w:val="0"/>
    <w:rPr>
      <w:rFonts w:ascii="仿宋_GB2312" w:eastAsia="宋体"/>
      <w:b/>
      <w:kern w:val="2"/>
      <w:sz w:val="28"/>
      <w:szCs w:val="32"/>
      <w:lang w:val="en-US" w:eastAsia="zh-CN" w:bidi="ar-SA"/>
    </w:rPr>
  </w:style>
  <w:style w:type="character" w:customStyle="1" w:styleId="68">
    <w:name w:val="pt141"/>
    <w:qFormat/>
    <w:uiPriority w:val="0"/>
    <w:rPr>
      <w:color w:val="330066"/>
      <w:spacing w:val="450"/>
      <w:sz w:val="22"/>
      <w:szCs w:val="22"/>
    </w:rPr>
  </w:style>
  <w:style w:type="character" w:customStyle="1" w:styleId="69">
    <w:name w:val="Char Char27"/>
    <w:qFormat/>
    <w:uiPriority w:val="0"/>
    <w:rPr>
      <w:rFonts w:eastAsia="宋体"/>
      <w:kern w:val="2"/>
      <w:sz w:val="28"/>
      <w:lang w:val="en-US" w:eastAsia="zh-CN" w:bidi="ar-SA"/>
    </w:rPr>
  </w:style>
  <w:style w:type="character" w:customStyle="1" w:styleId="70">
    <w:name w:val="标题 7 Char"/>
    <w:link w:val="10"/>
    <w:qFormat/>
    <w:uiPriority w:val="0"/>
    <w:rPr>
      <w:rFonts w:eastAsia="宋体"/>
      <w:b/>
      <w:kern w:val="2"/>
      <w:sz w:val="24"/>
      <w:lang w:val="en-US" w:eastAsia="zh-CN" w:bidi="ar-SA"/>
    </w:rPr>
  </w:style>
  <w:style w:type="character" w:customStyle="1" w:styleId="71">
    <w:name w:val="明显参考1"/>
    <w:qFormat/>
    <w:uiPriority w:val="0"/>
    <w:rPr>
      <w:b/>
      <w:bCs/>
      <w:smallCaps/>
      <w:color w:val="C0504D"/>
      <w:spacing w:val="5"/>
      <w:u w:val="single"/>
    </w:rPr>
  </w:style>
  <w:style w:type="character" w:customStyle="1" w:styleId="72">
    <w:name w:val="书籍标题1"/>
    <w:qFormat/>
    <w:uiPriority w:val="0"/>
    <w:rPr>
      <w:b/>
      <w:bCs/>
      <w:smallCaps/>
      <w:spacing w:val="5"/>
    </w:rPr>
  </w:style>
  <w:style w:type="character" w:customStyle="1" w:styleId="73">
    <w:name w:val="Char Char61"/>
    <w:qFormat/>
    <w:uiPriority w:val="0"/>
    <w:rPr>
      <w:rFonts w:ascii="Times New Roman" w:hAnsi="Times New Roman" w:eastAsia="宋体" w:cs="Times New Roman"/>
      <w:szCs w:val="24"/>
    </w:rPr>
  </w:style>
  <w:style w:type="character" w:customStyle="1" w:styleId="74">
    <w:name w:val="Char Char24"/>
    <w:qFormat/>
    <w:uiPriority w:val="0"/>
    <w:rPr>
      <w:rFonts w:eastAsia="宋体"/>
      <w:b/>
      <w:kern w:val="2"/>
      <w:sz w:val="28"/>
      <w:lang w:val="en-US" w:eastAsia="zh-CN" w:bidi="ar-SA"/>
    </w:rPr>
  </w:style>
  <w:style w:type="character" w:customStyle="1" w:styleId="75">
    <w:name w:val="Style4"/>
    <w:qFormat/>
    <w:uiPriority w:val="0"/>
    <w:rPr>
      <w:rFonts w:ascii="Calibri" w:hAnsi="宋体" w:eastAsia="宋体" w:cs="Times New Roman"/>
      <w:szCs w:val="22"/>
      <w:lang w:eastAsia="zh-CN"/>
    </w:rPr>
  </w:style>
  <w:style w:type="character" w:customStyle="1" w:styleId="76">
    <w:name w:val="Style1"/>
    <w:qFormat/>
    <w:uiPriority w:val="0"/>
    <w:rPr>
      <w:rFonts w:ascii="Calibri" w:hAnsi="宋体" w:eastAsia="宋体" w:cs="Times New Roman"/>
      <w:sz w:val="22"/>
      <w:szCs w:val="22"/>
      <w:lang w:eastAsia="zh-CN"/>
    </w:rPr>
  </w:style>
  <w:style w:type="character" w:customStyle="1" w:styleId="77">
    <w:name w:val="heading 1 Char1"/>
    <w:qFormat/>
    <w:uiPriority w:val="0"/>
    <w:rPr>
      <w:rFonts w:eastAsia="宋体"/>
      <w:b/>
      <w:bCs/>
      <w:kern w:val="44"/>
      <w:sz w:val="44"/>
      <w:szCs w:val="44"/>
      <w:lang w:val="en-US" w:eastAsia="zh-CN" w:bidi="ar-SA"/>
    </w:rPr>
  </w:style>
  <w:style w:type="character" w:customStyle="1" w:styleId="78">
    <w:name w:val="Style5"/>
    <w:qFormat/>
    <w:uiPriority w:val="0"/>
    <w:rPr>
      <w:rFonts w:ascii="Calibri" w:hAnsi="宋体" w:eastAsia="宋体" w:cs="Times New Roman"/>
      <w:sz w:val="22"/>
      <w:szCs w:val="22"/>
      <w:lang w:eastAsia="zh-CN"/>
    </w:rPr>
  </w:style>
  <w:style w:type="character" w:customStyle="1" w:styleId="79">
    <w:name w:val="称呼 Char"/>
    <w:link w:val="19"/>
    <w:qFormat/>
    <w:uiPriority w:val="0"/>
    <w:rPr>
      <w:rFonts w:ascii="仿宋_GB2312" w:eastAsia="仿宋_GB2312"/>
      <w:b/>
      <w:sz w:val="24"/>
      <w:szCs w:val="32"/>
    </w:rPr>
  </w:style>
  <w:style w:type="character" w:customStyle="1" w:styleId="80">
    <w:name w:val="Ò³Ã¼ Char Char2"/>
    <w:qFormat/>
    <w:uiPriority w:val="0"/>
    <w:rPr>
      <w:kern w:val="2"/>
      <w:sz w:val="18"/>
      <w:szCs w:val="18"/>
    </w:rPr>
  </w:style>
  <w:style w:type="character" w:customStyle="1" w:styleId="81">
    <w:name w:val="明显强调1"/>
    <w:qFormat/>
    <w:uiPriority w:val="0"/>
    <w:rPr>
      <w:b/>
      <w:bCs/>
      <w:i/>
      <w:iCs/>
      <w:color w:val="4F81BD"/>
    </w:rPr>
  </w:style>
  <w:style w:type="character" w:customStyle="1" w:styleId="82">
    <w:name w:val="样式 标题 3 + 黑体 小四 Char Char"/>
    <w:link w:val="83"/>
    <w:qFormat/>
    <w:uiPriority w:val="0"/>
    <w:rPr>
      <w:rFonts w:ascii="黑体" w:hAnsi="Arial" w:eastAsia="黑体"/>
      <w:bCs/>
      <w:sz w:val="24"/>
      <w:szCs w:val="24"/>
      <w:lang w:bidi="ar-SA"/>
    </w:rPr>
  </w:style>
  <w:style w:type="paragraph" w:customStyle="1" w:styleId="83">
    <w:name w:val="样式 标题 3 + 黑体 小四"/>
    <w:basedOn w:val="5"/>
    <w:link w:val="82"/>
    <w:qFormat/>
    <w:uiPriority w:val="0"/>
    <w:pPr>
      <w:spacing w:before="260" w:after="260" w:line="413" w:lineRule="auto"/>
    </w:pPr>
    <w:rPr>
      <w:rFonts w:ascii="黑体" w:hAnsi="Arial"/>
      <w:b w:val="0"/>
      <w:bCs/>
      <w:kern w:val="0"/>
      <w:sz w:val="24"/>
      <w:szCs w:val="24"/>
    </w:rPr>
  </w:style>
  <w:style w:type="character" w:customStyle="1" w:styleId="84">
    <w:name w:val="heading 7 Char1"/>
    <w:qFormat/>
    <w:uiPriority w:val="0"/>
    <w:rPr>
      <w:rFonts w:ascii="Arial" w:hAnsi="Arial" w:eastAsia="黑体"/>
      <w:sz w:val="21"/>
      <w:szCs w:val="21"/>
      <w:lang w:val="en-US" w:eastAsia="zh-CN" w:bidi="ar-SA"/>
    </w:rPr>
  </w:style>
  <w:style w:type="character" w:customStyle="1" w:styleId="85">
    <w:name w:val="Char Char1"/>
    <w:qFormat/>
    <w:uiPriority w:val="0"/>
    <w:rPr>
      <w:rFonts w:eastAsia="宋体"/>
      <w:sz w:val="21"/>
      <w:lang w:val="en-US" w:eastAsia="zh-CN" w:bidi="ar-SA"/>
    </w:rPr>
  </w:style>
  <w:style w:type="character" w:customStyle="1" w:styleId="86">
    <w:name w:val="Char Char12"/>
    <w:qFormat/>
    <w:uiPriority w:val="0"/>
    <w:rPr>
      <w:rFonts w:eastAsia="宋体"/>
      <w:kern w:val="2"/>
      <w:sz w:val="21"/>
      <w:szCs w:val="24"/>
      <w:lang w:val="en-US" w:eastAsia="zh-CN" w:bidi="ar-SA"/>
    </w:rPr>
  </w:style>
  <w:style w:type="character" w:customStyle="1" w:styleId="87">
    <w:name w:val="Char Char18"/>
    <w:qFormat/>
    <w:uiPriority w:val="0"/>
    <w:rPr>
      <w:b/>
      <w:bCs/>
      <w:kern w:val="2"/>
      <w:sz w:val="32"/>
      <w:szCs w:val="32"/>
    </w:rPr>
  </w:style>
  <w:style w:type="character" w:customStyle="1" w:styleId="88">
    <w:name w:val="Char Char4"/>
    <w:qFormat/>
    <w:uiPriority w:val="0"/>
    <w:rPr>
      <w:rFonts w:ascii="Cambria" w:hAnsi="Cambria" w:eastAsia="宋体"/>
      <w:b/>
      <w:bCs/>
      <w:sz w:val="32"/>
      <w:szCs w:val="32"/>
      <w:lang w:bidi="ar-SA"/>
    </w:rPr>
  </w:style>
  <w:style w:type="character" w:customStyle="1" w:styleId="89">
    <w:name w:val="PI Char"/>
    <w:qFormat/>
    <w:uiPriority w:val="0"/>
    <w:rPr>
      <w:rFonts w:ascii="宋体" w:hAnsi="宋体"/>
      <w:sz w:val="24"/>
    </w:rPr>
  </w:style>
  <w:style w:type="character" w:customStyle="1" w:styleId="90">
    <w:name w:val="明显参考2"/>
    <w:qFormat/>
    <w:uiPriority w:val="0"/>
    <w:rPr>
      <w:b/>
      <w:bCs/>
      <w:smallCaps/>
      <w:color w:val="C0504D"/>
      <w:spacing w:val="5"/>
      <w:u w:val="single"/>
    </w:rPr>
  </w:style>
  <w:style w:type="character" w:customStyle="1" w:styleId="91">
    <w:name w:val="批注文字 Char"/>
    <w:link w:val="18"/>
    <w:qFormat/>
    <w:uiPriority w:val="0"/>
    <w:rPr>
      <w:rFonts w:eastAsia="宋体"/>
      <w:kern w:val="2"/>
      <w:sz w:val="21"/>
      <w:szCs w:val="24"/>
      <w:lang w:val="en-US" w:eastAsia="zh-CN" w:bidi="ar-SA"/>
    </w:rPr>
  </w:style>
  <w:style w:type="character" w:customStyle="1" w:styleId="92">
    <w:name w:val="Style2"/>
    <w:qFormat/>
    <w:uiPriority w:val="0"/>
    <w:rPr>
      <w:rFonts w:ascii="Calibri" w:hAnsi="宋体" w:eastAsia="宋体" w:cs="Times New Roman"/>
      <w:sz w:val="22"/>
      <w:szCs w:val="22"/>
      <w:lang w:eastAsia="zh-CN"/>
    </w:rPr>
  </w:style>
  <w:style w:type="character" w:customStyle="1" w:styleId="93">
    <w:name w:val="Footer-Even Char1"/>
    <w:qFormat/>
    <w:uiPriority w:val="0"/>
    <w:rPr>
      <w:rFonts w:eastAsia="宋体"/>
      <w:kern w:val="2"/>
      <w:sz w:val="18"/>
      <w:szCs w:val="18"/>
      <w:lang w:val="en-US" w:eastAsia="zh-CN" w:bidi="ar-SA"/>
    </w:rPr>
  </w:style>
  <w:style w:type="character" w:customStyle="1" w:styleId="94">
    <w:name w:val="heading 4 Char1"/>
    <w:qFormat/>
    <w:uiPriority w:val="0"/>
    <w:rPr>
      <w:rFonts w:ascii="Cambria" w:hAnsi="Cambria" w:eastAsia="宋体"/>
      <w:b/>
      <w:bCs/>
      <w:kern w:val="2"/>
      <w:sz w:val="28"/>
      <w:szCs w:val="28"/>
      <w:lang w:val="en-US" w:eastAsia="zh-CN" w:bidi="ar-SA"/>
    </w:rPr>
  </w:style>
  <w:style w:type="character" w:customStyle="1" w:styleId="95">
    <w:name w:val="正文文本 3 Char"/>
    <w:basedOn w:val="55"/>
    <w:link w:val="20"/>
    <w:qFormat/>
    <w:uiPriority w:val="0"/>
  </w:style>
  <w:style w:type="character" w:customStyle="1" w:styleId="96">
    <w:name w:val="批注主题 Char"/>
    <w:link w:val="50"/>
    <w:qFormat/>
    <w:uiPriority w:val="0"/>
    <w:rPr>
      <w:rFonts w:eastAsia="宋体"/>
      <w:b/>
      <w:bCs/>
      <w:kern w:val="2"/>
      <w:sz w:val="21"/>
      <w:szCs w:val="24"/>
      <w:lang w:val="en-US" w:eastAsia="zh-CN" w:bidi="ar-SA"/>
    </w:rPr>
  </w:style>
  <w:style w:type="character" w:customStyle="1" w:styleId="97">
    <w:name w:val="不明显参考11"/>
    <w:qFormat/>
    <w:uiPriority w:val="0"/>
    <w:rPr>
      <w:smallCaps/>
      <w:color w:val="C0504D"/>
      <w:u w:val="single"/>
    </w:rPr>
  </w:style>
  <w:style w:type="character" w:customStyle="1" w:styleId="98">
    <w:name w:val="Plain Text Char"/>
    <w:qFormat/>
    <w:uiPriority w:val="0"/>
    <w:rPr>
      <w:rFonts w:ascii="宋体" w:hAnsi="Courier New" w:eastAsia="宋体" w:cs="Times New Roman"/>
      <w:sz w:val="21"/>
      <w:szCs w:val="21"/>
    </w:rPr>
  </w:style>
  <w:style w:type="character" w:customStyle="1" w:styleId="99">
    <w:name w:val="Char Char111"/>
    <w:qFormat/>
    <w:uiPriority w:val="0"/>
    <w:rPr>
      <w:rFonts w:ascii="Times New Roman" w:hAnsi="Times New Roman" w:eastAsia="宋体" w:cs="Times New Roman"/>
      <w:sz w:val="18"/>
      <w:szCs w:val="18"/>
    </w:rPr>
  </w:style>
  <w:style w:type="character" w:customStyle="1" w:styleId="100">
    <w:name w:val="无间距字符"/>
    <w:link w:val="101"/>
    <w:qFormat/>
    <w:uiPriority w:val="0"/>
    <w:rPr>
      <w:rFonts w:eastAsia="Times New Roman"/>
      <w:sz w:val="22"/>
      <w:szCs w:val="22"/>
      <w:lang w:val="en-US" w:eastAsia="zh-CN" w:bidi="ar-SA"/>
    </w:rPr>
  </w:style>
  <w:style w:type="paragraph" w:customStyle="1" w:styleId="101">
    <w:name w:val="无间距"/>
    <w:link w:val="100"/>
    <w:qFormat/>
    <w:uiPriority w:val="0"/>
    <w:rPr>
      <w:rFonts w:ascii="Times New Roman" w:hAnsi="Times New Roman" w:eastAsia="Times New Roman" w:cs="Times New Roman"/>
      <w:sz w:val="22"/>
      <w:szCs w:val="22"/>
      <w:lang w:val="en-US" w:eastAsia="zh-CN" w:bidi="ar-SA"/>
    </w:rPr>
  </w:style>
  <w:style w:type="character" w:customStyle="1" w:styleId="102">
    <w:name w:val="heading 5 Char2"/>
    <w:qFormat/>
    <w:uiPriority w:val="0"/>
    <w:rPr>
      <w:b/>
      <w:bCs/>
      <w:kern w:val="2"/>
      <w:sz w:val="28"/>
      <w:szCs w:val="28"/>
    </w:rPr>
  </w:style>
  <w:style w:type="character" w:customStyle="1" w:styleId="103">
    <w:name w:val="样式2 Char Char"/>
    <w:link w:val="104"/>
    <w:qFormat/>
    <w:uiPriority w:val="0"/>
    <w:rPr>
      <w:rFonts w:ascii="宋体" w:hAnsi="宋体" w:eastAsia="宋体"/>
      <w:bCs/>
      <w:kern w:val="2"/>
      <w:sz w:val="28"/>
      <w:szCs w:val="28"/>
      <w:lang w:val="en-US" w:eastAsia="zh-CN" w:bidi="ar-SA"/>
    </w:rPr>
  </w:style>
  <w:style w:type="paragraph" w:customStyle="1" w:styleId="104">
    <w:name w:val="样式2"/>
    <w:basedOn w:val="4"/>
    <w:link w:val="103"/>
    <w:qFormat/>
    <w:uiPriority w:val="0"/>
    <w:pPr>
      <w:keepLines/>
      <w:snapToGrid w:val="0"/>
      <w:spacing w:before="260" w:afterLines="50" w:line="480" w:lineRule="exact"/>
      <w:ind w:firstLine="556"/>
    </w:pPr>
    <w:rPr>
      <w:rFonts w:ascii="宋体" w:hAnsi="宋体"/>
      <w:b w:val="0"/>
      <w:bCs/>
      <w:szCs w:val="28"/>
    </w:rPr>
  </w:style>
  <w:style w:type="character" w:customStyle="1" w:styleId="105">
    <w:name w:val="正文缩进 Char"/>
    <w:link w:val="9"/>
    <w:qFormat/>
    <w:uiPriority w:val="0"/>
    <w:rPr>
      <w:rFonts w:ascii="仿宋_GB2312" w:eastAsia="宋体"/>
      <w:b/>
      <w:sz w:val="21"/>
      <w:szCs w:val="32"/>
      <w:lang w:val="en-US" w:eastAsia="zh-CN" w:bidi="ar-SA"/>
    </w:rPr>
  </w:style>
  <w:style w:type="character" w:customStyle="1" w:styleId="106">
    <w:name w:val="heading 2 Char1"/>
    <w:qFormat/>
    <w:uiPriority w:val="0"/>
    <w:rPr>
      <w:rFonts w:ascii="Cambria" w:hAnsi="Cambria" w:eastAsia="宋体"/>
      <w:b/>
      <w:bCs/>
      <w:kern w:val="2"/>
      <w:sz w:val="32"/>
      <w:szCs w:val="32"/>
      <w:lang w:val="en-US" w:eastAsia="zh-CN" w:bidi="ar-SA"/>
    </w:rPr>
  </w:style>
  <w:style w:type="character" w:customStyle="1" w:styleId="107">
    <w:name w:val="heading 3 Char1"/>
    <w:qFormat/>
    <w:uiPriority w:val="0"/>
    <w:rPr>
      <w:rFonts w:eastAsia="宋体"/>
      <w:b/>
      <w:bCs/>
      <w:kern w:val="2"/>
      <w:sz w:val="32"/>
      <w:szCs w:val="32"/>
      <w:lang w:val="en-US" w:eastAsia="zh-CN" w:bidi="ar-SA"/>
    </w:rPr>
  </w:style>
  <w:style w:type="character" w:customStyle="1" w:styleId="108">
    <w:name w:val="Char Char15"/>
    <w:qFormat/>
    <w:uiPriority w:val="0"/>
    <w:rPr>
      <w:rFonts w:ascii="Arial" w:hAnsi="Arial" w:eastAsia="黑体"/>
      <w:sz w:val="24"/>
      <w:szCs w:val="24"/>
    </w:rPr>
  </w:style>
  <w:style w:type="character" w:customStyle="1" w:styleId="109">
    <w:name w:val="heading 1 Char"/>
    <w:qFormat/>
    <w:uiPriority w:val="0"/>
    <w:rPr>
      <w:rFonts w:ascii="Arial" w:hAnsi="Arial" w:eastAsia="黑体"/>
      <w:b/>
      <w:sz w:val="36"/>
      <w:szCs w:val="36"/>
    </w:rPr>
  </w:style>
  <w:style w:type="character" w:customStyle="1" w:styleId="110">
    <w:name w:val="ändrad Char"/>
    <w:qFormat/>
    <w:uiPriority w:val="0"/>
    <w:rPr>
      <w:rFonts w:eastAsia="宋体"/>
      <w:kern w:val="2"/>
      <w:sz w:val="21"/>
      <w:szCs w:val="24"/>
      <w:lang w:val="en-US" w:eastAsia="zh-CN" w:bidi="ar-SA"/>
    </w:rPr>
  </w:style>
  <w:style w:type="character" w:customStyle="1" w:styleId="111">
    <w:name w:val="标题 Char"/>
    <w:link w:val="49"/>
    <w:qFormat/>
    <w:uiPriority w:val="0"/>
    <w:rPr>
      <w:rFonts w:ascii="Cambria" w:hAnsi="Cambria" w:eastAsia="宋体"/>
      <w:b/>
      <w:bCs/>
      <w:kern w:val="2"/>
      <w:sz w:val="32"/>
      <w:szCs w:val="32"/>
      <w:lang w:val="en-US" w:eastAsia="zh-CN" w:bidi="ar-SA"/>
    </w:rPr>
  </w:style>
  <w:style w:type="character" w:customStyle="1" w:styleId="112">
    <w:name w:val="Char Char22"/>
    <w:qFormat/>
    <w:uiPriority w:val="0"/>
    <w:rPr>
      <w:rFonts w:ascii="Arial" w:hAnsi="Arial" w:eastAsia="黑体"/>
      <w:b/>
      <w:bCs/>
      <w:kern w:val="44"/>
      <w:sz w:val="30"/>
      <w:szCs w:val="44"/>
      <w:lang w:val="en-US" w:eastAsia="zh-CN" w:bidi="ar-SA"/>
    </w:rPr>
  </w:style>
  <w:style w:type="character" w:customStyle="1" w:styleId="113">
    <w:name w:val="blue1"/>
    <w:basedOn w:val="55"/>
    <w:qFormat/>
    <w:uiPriority w:val="0"/>
  </w:style>
  <w:style w:type="character" w:customStyle="1" w:styleId="114">
    <w:name w:val="样式 宋体"/>
    <w:qFormat/>
    <w:uiPriority w:val="0"/>
    <w:rPr>
      <w:rFonts w:ascii="宋体" w:hAnsi="宋体" w:eastAsia="宋体"/>
      <w:sz w:val="24"/>
      <w:szCs w:val="24"/>
    </w:rPr>
  </w:style>
  <w:style w:type="character" w:customStyle="1" w:styleId="115">
    <w:name w:val="dandyren_title1"/>
    <w:qFormat/>
    <w:uiPriority w:val="0"/>
    <w:rPr>
      <w:b/>
      <w:bCs/>
      <w:color w:val="FF6633"/>
      <w:sz w:val="18"/>
      <w:szCs w:val="18"/>
    </w:rPr>
  </w:style>
  <w:style w:type="character" w:customStyle="1" w:styleId="116">
    <w:name w:val="font21"/>
    <w:basedOn w:val="55"/>
    <w:qFormat/>
    <w:uiPriority w:val="0"/>
    <w:rPr>
      <w:rFonts w:ascii="Wingdings 2" w:hAnsi="Wingdings 2" w:eastAsia="Wingdings 2" w:cs="Wingdings 2"/>
      <w:b/>
      <w:color w:val="000000"/>
      <w:sz w:val="20"/>
      <w:szCs w:val="20"/>
      <w:u w:val="none"/>
    </w:rPr>
  </w:style>
  <w:style w:type="character" w:customStyle="1" w:styleId="117">
    <w:name w:val="Ò³Ã¼ Char Char1"/>
    <w:qFormat/>
    <w:uiPriority w:val="0"/>
    <w:rPr>
      <w:rFonts w:eastAsia="宋体"/>
      <w:kern w:val="2"/>
      <w:sz w:val="18"/>
      <w:szCs w:val="18"/>
      <w:lang w:val="en-US" w:eastAsia="zh-CN" w:bidi="ar-SA"/>
    </w:rPr>
  </w:style>
  <w:style w:type="character" w:customStyle="1" w:styleId="118">
    <w:name w:val="宏文本 Char"/>
    <w:link w:val="2"/>
    <w:qFormat/>
    <w:uiPriority w:val="0"/>
    <w:rPr>
      <w:rFonts w:ascii="Courier New" w:hAnsi="Courier New" w:eastAsia="Times New Roman"/>
      <w:kern w:val="2"/>
      <w:sz w:val="24"/>
      <w:szCs w:val="24"/>
      <w:lang w:val="en-US" w:eastAsia="zh-CN" w:bidi="ar-SA"/>
    </w:rPr>
  </w:style>
  <w:style w:type="character" w:customStyle="1" w:styleId="119">
    <w:name w:val="Footer-Even Char"/>
    <w:qFormat/>
    <w:uiPriority w:val="0"/>
    <w:rPr>
      <w:sz w:val="18"/>
      <w:szCs w:val="18"/>
    </w:rPr>
  </w:style>
  <w:style w:type="character" w:customStyle="1" w:styleId="120">
    <w:name w:val="页脚 Char"/>
    <w:link w:val="34"/>
    <w:qFormat/>
    <w:uiPriority w:val="0"/>
    <w:rPr>
      <w:rFonts w:eastAsia="宋体"/>
      <w:kern w:val="2"/>
      <w:sz w:val="18"/>
      <w:szCs w:val="18"/>
      <w:lang w:val="en-US" w:eastAsia="zh-CN" w:bidi="ar-SA"/>
    </w:rPr>
  </w:style>
  <w:style w:type="character" w:customStyle="1" w:styleId="121">
    <w:name w:val="style111"/>
    <w:qFormat/>
    <w:uiPriority w:val="0"/>
    <w:rPr>
      <w:sz w:val="27"/>
      <w:szCs w:val="27"/>
    </w:rPr>
  </w:style>
  <w:style w:type="character" w:customStyle="1" w:styleId="122">
    <w:name w:val="PI Char2"/>
    <w:qFormat/>
    <w:uiPriority w:val="0"/>
    <w:rPr>
      <w:kern w:val="2"/>
      <w:sz w:val="24"/>
      <w:szCs w:val="24"/>
    </w:rPr>
  </w:style>
  <w:style w:type="character" w:customStyle="1" w:styleId="123">
    <w:name w:val="gray6"/>
    <w:basedOn w:val="55"/>
    <w:qFormat/>
    <w:uiPriority w:val="0"/>
  </w:style>
  <w:style w:type="character" w:customStyle="1" w:styleId="124">
    <w:name w:val="Char Char Char1"/>
    <w:qFormat/>
    <w:uiPriority w:val="0"/>
    <w:rPr>
      <w:rFonts w:ascii="宋体" w:hAnsi="Courier New"/>
      <w:sz w:val="21"/>
      <w:szCs w:val="21"/>
    </w:rPr>
  </w:style>
  <w:style w:type="character" w:customStyle="1" w:styleId="125">
    <w:name w:val="Char Char121"/>
    <w:qFormat/>
    <w:uiPriority w:val="0"/>
    <w:rPr>
      <w:rFonts w:eastAsia="宋体"/>
      <w:kern w:val="2"/>
      <w:sz w:val="21"/>
      <w:szCs w:val="24"/>
      <w:lang w:val="en-US" w:eastAsia="zh-CN" w:bidi="ar-SA"/>
    </w:rPr>
  </w:style>
  <w:style w:type="character" w:customStyle="1" w:styleId="126">
    <w:name w:val="Char Char Char Char Char Char Char Char Char"/>
    <w:qFormat/>
    <w:uiPriority w:val="0"/>
    <w:rPr>
      <w:rFonts w:ascii="宋体" w:hAnsi="Courier New" w:eastAsia="宋体"/>
      <w:sz w:val="21"/>
      <w:szCs w:val="21"/>
      <w:lang w:val="en-US" w:eastAsia="zh-CN" w:bidi="ar-SA"/>
    </w:rPr>
  </w:style>
  <w:style w:type="character" w:customStyle="1" w:styleId="127">
    <w:name w:val="heading 4 Char2"/>
    <w:qFormat/>
    <w:uiPriority w:val="0"/>
    <w:rPr>
      <w:rFonts w:ascii="Cambria" w:hAnsi="Cambria"/>
      <w:b/>
      <w:bCs/>
      <w:kern w:val="2"/>
      <w:sz w:val="28"/>
      <w:szCs w:val="28"/>
    </w:rPr>
  </w:style>
  <w:style w:type="character" w:customStyle="1" w:styleId="128">
    <w:name w:val="heading 3 Char"/>
    <w:qFormat/>
    <w:uiPriority w:val="0"/>
    <w:rPr>
      <w:rFonts w:ascii="Arial" w:hAnsi="Arial" w:eastAsia="黑体"/>
      <w:sz w:val="28"/>
      <w:szCs w:val="24"/>
    </w:rPr>
  </w:style>
  <w:style w:type="character" w:customStyle="1" w:styleId="129">
    <w:name w:val="标题 1 Char"/>
    <w:link w:val="3"/>
    <w:qFormat/>
    <w:uiPriority w:val="0"/>
    <w:rPr>
      <w:rFonts w:eastAsia="黑体"/>
      <w:b/>
      <w:kern w:val="2"/>
      <w:sz w:val="32"/>
      <w:lang w:val="en-US" w:eastAsia="zh-CN" w:bidi="ar-SA"/>
    </w:rPr>
  </w:style>
  <w:style w:type="character" w:customStyle="1" w:styleId="130">
    <w:name w:val="Char Char16"/>
    <w:qFormat/>
    <w:uiPriority w:val="0"/>
    <w:rPr>
      <w:b/>
      <w:bCs/>
      <w:kern w:val="2"/>
      <w:sz w:val="28"/>
      <w:szCs w:val="28"/>
    </w:rPr>
  </w:style>
  <w:style w:type="character" w:customStyle="1" w:styleId="131">
    <w:name w:val="文档结构图 Char"/>
    <w:link w:val="17"/>
    <w:qFormat/>
    <w:uiPriority w:val="0"/>
    <w:rPr>
      <w:rFonts w:eastAsia="宋体"/>
      <w:kern w:val="2"/>
      <w:sz w:val="21"/>
      <w:szCs w:val="24"/>
      <w:lang w:val="en-US" w:eastAsia="zh-CN" w:bidi="ar-SA"/>
    </w:rPr>
  </w:style>
  <w:style w:type="character" w:customStyle="1" w:styleId="132">
    <w:name w:val="标题 5 Char"/>
    <w:link w:val="7"/>
    <w:qFormat/>
    <w:uiPriority w:val="0"/>
    <w:rPr>
      <w:rFonts w:eastAsia="宋体"/>
      <w:b/>
      <w:bCs/>
      <w:sz w:val="28"/>
      <w:szCs w:val="28"/>
      <w:lang w:bidi="ar-SA"/>
    </w:rPr>
  </w:style>
  <w:style w:type="character" w:customStyle="1" w:styleId="133">
    <w:name w:val="日期 Char"/>
    <w:link w:val="31"/>
    <w:qFormat/>
    <w:uiPriority w:val="0"/>
    <w:rPr>
      <w:rFonts w:eastAsia="宋体"/>
      <w:kern w:val="2"/>
      <w:sz w:val="21"/>
      <w:szCs w:val="24"/>
      <w:lang w:val="en-US" w:eastAsia="zh-CN" w:bidi="ar-SA"/>
    </w:rPr>
  </w:style>
  <w:style w:type="character" w:customStyle="1" w:styleId="134">
    <w:name w:val="副标题 Char"/>
    <w:link w:val="39"/>
    <w:qFormat/>
    <w:uiPriority w:val="0"/>
    <w:rPr>
      <w:rFonts w:ascii="Cambria" w:hAnsi="Cambria" w:eastAsia="宋体"/>
      <w:b/>
      <w:bCs/>
      <w:kern w:val="28"/>
      <w:sz w:val="32"/>
      <w:szCs w:val="32"/>
      <w:lang w:val="en-US" w:eastAsia="zh-CN" w:bidi="ar-SA"/>
    </w:rPr>
  </w:style>
  <w:style w:type="character" w:customStyle="1" w:styleId="135">
    <w:name w:val="页眉 Char"/>
    <w:link w:val="35"/>
    <w:qFormat/>
    <w:uiPriority w:val="0"/>
    <w:rPr>
      <w:rFonts w:eastAsia="宋体"/>
      <w:kern w:val="2"/>
      <w:sz w:val="18"/>
      <w:szCs w:val="18"/>
      <w:lang w:val="en-US" w:eastAsia="zh-CN" w:bidi="ar-SA"/>
    </w:rPr>
  </w:style>
  <w:style w:type="character" w:customStyle="1" w:styleId="136">
    <w:name w:val="style13"/>
    <w:basedOn w:val="55"/>
    <w:qFormat/>
    <w:uiPriority w:val="0"/>
  </w:style>
  <w:style w:type="character" w:customStyle="1" w:styleId="137">
    <w:name w:val="textcolor1"/>
    <w:qFormat/>
    <w:uiPriority w:val="0"/>
    <w:rPr>
      <w:rFonts w:ascii="仿宋_GB2312" w:eastAsia="仿宋_GB2312"/>
      <w:b/>
      <w:color w:val="FF6600"/>
      <w:sz w:val="32"/>
      <w:szCs w:val="32"/>
    </w:rPr>
  </w:style>
  <w:style w:type="character" w:customStyle="1" w:styleId="138">
    <w:name w:val="Table Text Char Char"/>
    <w:link w:val="139"/>
    <w:qFormat/>
    <w:uiPriority w:val="0"/>
    <w:rPr>
      <w:sz w:val="21"/>
      <w:lang w:val="en-US" w:eastAsia="en-US" w:bidi="ar-SA"/>
    </w:rPr>
  </w:style>
  <w:style w:type="paragraph" w:customStyle="1" w:styleId="139">
    <w:name w:val="Table Text"/>
    <w:basedOn w:val="1"/>
    <w:link w:val="138"/>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0">
    <w:name w:val="Ò³Ã¼ Char Char"/>
    <w:qFormat/>
    <w:uiPriority w:val="0"/>
    <w:rPr>
      <w:sz w:val="18"/>
      <w:szCs w:val="18"/>
    </w:rPr>
  </w:style>
  <w:style w:type="character" w:customStyle="1" w:styleId="141">
    <w:name w:val="heading 2 Char2"/>
    <w:qFormat/>
    <w:uiPriority w:val="0"/>
    <w:rPr>
      <w:rFonts w:ascii="Cambria" w:hAnsi="Cambria"/>
      <w:b/>
      <w:bCs/>
      <w:kern w:val="2"/>
      <w:sz w:val="32"/>
      <w:szCs w:val="32"/>
    </w:rPr>
  </w:style>
  <w:style w:type="character" w:customStyle="1" w:styleId="142">
    <w:name w:val="书籍标题11"/>
    <w:qFormat/>
    <w:uiPriority w:val="0"/>
    <w:rPr>
      <w:b/>
      <w:bCs/>
      <w:smallCaps/>
      <w:spacing w:val="5"/>
    </w:rPr>
  </w:style>
  <w:style w:type="character" w:customStyle="1" w:styleId="143">
    <w:name w:val="Char Char21"/>
    <w:qFormat/>
    <w:uiPriority w:val="0"/>
    <w:rPr>
      <w:rFonts w:ascii="Times New Roman" w:hAnsi="Times New Roman" w:eastAsia="宋体" w:cs="Times New Roman"/>
      <w:b/>
      <w:bCs/>
      <w:kern w:val="44"/>
      <w:sz w:val="44"/>
      <w:szCs w:val="44"/>
    </w:rPr>
  </w:style>
  <w:style w:type="character" w:customStyle="1" w:styleId="144">
    <w:name w:val="正文文本缩进 Char"/>
    <w:link w:val="22"/>
    <w:qFormat/>
    <w:uiPriority w:val="0"/>
    <w:rPr>
      <w:rFonts w:eastAsia="宋体"/>
      <w:kern w:val="2"/>
      <w:sz w:val="24"/>
      <w:szCs w:val="24"/>
      <w:lang w:val="en-US" w:eastAsia="zh-CN" w:bidi="ar-SA"/>
    </w:rPr>
  </w:style>
  <w:style w:type="character" w:customStyle="1" w:styleId="145">
    <w:name w:val="不明显强调1"/>
    <w:qFormat/>
    <w:uiPriority w:val="0"/>
    <w:rPr>
      <w:i/>
      <w:iCs/>
      <w:color w:val="808080"/>
    </w:rPr>
  </w:style>
  <w:style w:type="character" w:customStyle="1" w:styleId="146">
    <w:name w:val="正文文本缩进 3 Char"/>
    <w:link w:val="43"/>
    <w:qFormat/>
    <w:uiPriority w:val="0"/>
    <w:rPr>
      <w:rFonts w:eastAsia="宋体"/>
      <w:kern w:val="2"/>
      <w:sz w:val="24"/>
      <w:szCs w:val="24"/>
      <w:lang w:val="en-US" w:eastAsia="zh-CN" w:bidi="ar-SA"/>
    </w:rPr>
  </w:style>
  <w:style w:type="character" w:customStyle="1" w:styleId="147">
    <w:name w:val="heading 5 Char"/>
    <w:qFormat/>
    <w:uiPriority w:val="0"/>
    <w:rPr>
      <w:rFonts w:ascii="Arial" w:hAnsi="Arial" w:eastAsia="黑体"/>
      <w:sz w:val="21"/>
      <w:szCs w:val="21"/>
    </w:rPr>
  </w:style>
  <w:style w:type="character" w:customStyle="1" w:styleId="148">
    <w:name w:val="Style3"/>
    <w:qFormat/>
    <w:uiPriority w:val="0"/>
    <w:rPr>
      <w:rFonts w:ascii="Calibri" w:hAnsi="宋体" w:eastAsia="宋体" w:cs="Times New Roman"/>
      <w:szCs w:val="22"/>
      <w:lang w:eastAsia="zh-CN"/>
    </w:rPr>
  </w:style>
  <w:style w:type="character" w:customStyle="1" w:styleId="149">
    <w:name w:val="标题 4 Char"/>
    <w:link w:val="6"/>
    <w:qFormat/>
    <w:uiPriority w:val="0"/>
    <w:rPr>
      <w:rFonts w:eastAsia="宋体"/>
      <w:kern w:val="2"/>
      <w:sz w:val="28"/>
      <w:szCs w:val="28"/>
      <w:lang w:val="en-US" w:eastAsia="zh-CN" w:bidi="ar-SA"/>
    </w:rPr>
  </w:style>
  <w:style w:type="character" w:customStyle="1" w:styleId="150">
    <w:name w:val="Char Char241"/>
    <w:qFormat/>
    <w:uiPriority w:val="0"/>
    <w:rPr>
      <w:rFonts w:eastAsia="宋体"/>
      <w:b/>
      <w:kern w:val="2"/>
      <w:sz w:val="28"/>
      <w:lang w:val="en-US" w:eastAsia="zh-CN" w:bidi="ar-SA"/>
    </w:rPr>
  </w:style>
  <w:style w:type="character" w:customStyle="1" w:styleId="151">
    <w:name w:val="批注框文本 Char"/>
    <w:link w:val="33"/>
    <w:qFormat/>
    <w:uiPriority w:val="0"/>
    <w:rPr>
      <w:rFonts w:eastAsia="宋体"/>
      <w:kern w:val="2"/>
      <w:sz w:val="18"/>
      <w:szCs w:val="18"/>
      <w:lang w:val="en-US" w:eastAsia="zh-CN" w:bidi="ar-SA"/>
    </w:rPr>
  </w:style>
  <w:style w:type="character" w:customStyle="1" w:styleId="152">
    <w:name w:val="标题 3 Char"/>
    <w:link w:val="5"/>
    <w:qFormat/>
    <w:uiPriority w:val="0"/>
    <w:rPr>
      <w:rFonts w:eastAsia="黑体"/>
      <w:b/>
      <w:kern w:val="2"/>
      <w:sz w:val="28"/>
      <w:lang w:val="en-US" w:eastAsia="zh-CN" w:bidi="ar-SA"/>
    </w:rPr>
  </w:style>
  <w:style w:type="character" w:customStyle="1" w:styleId="153">
    <w:name w:val="明显强调11"/>
    <w:qFormat/>
    <w:uiPriority w:val="0"/>
    <w:rPr>
      <w:b/>
      <w:bCs/>
      <w:i/>
      <w:iCs/>
      <w:color w:val="4F81BD"/>
    </w:rPr>
  </w:style>
  <w:style w:type="character" w:customStyle="1" w:styleId="154">
    <w:name w:val="签名 Char"/>
    <w:link w:val="36"/>
    <w:qFormat/>
    <w:uiPriority w:val="0"/>
    <w:rPr>
      <w:rFonts w:ascii="仿宋_GB2312" w:eastAsia="仿宋_GB2312"/>
      <w:b/>
      <w:sz w:val="24"/>
      <w:szCs w:val="32"/>
    </w:rPr>
  </w:style>
  <w:style w:type="character" w:customStyle="1" w:styleId="155">
    <w:name w:val="heading 3 Char2"/>
    <w:qFormat/>
    <w:uiPriority w:val="0"/>
    <w:rPr>
      <w:b/>
      <w:bCs/>
      <w:kern w:val="2"/>
      <w:sz w:val="32"/>
      <w:szCs w:val="32"/>
    </w:rPr>
  </w:style>
  <w:style w:type="character" w:customStyle="1" w:styleId="156">
    <w:name w:val="style21"/>
    <w:qFormat/>
    <w:uiPriority w:val="0"/>
    <w:rPr>
      <w:sz w:val="15"/>
      <w:szCs w:val="15"/>
    </w:rPr>
  </w:style>
  <w:style w:type="character" w:customStyle="1" w:styleId="157">
    <w:name w:val="Char Char271"/>
    <w:qFormat/>
    <w:uiPriority w:val="0"/>
    <w:rPr>
      <w:rFonts w:eastAsia="宋体"/>
      <w:kern w:val="2"/>
      <w:sz w:val="28"/>
      <w:lang w:val="en-US" w:eastAsia="zh-CN" w:bidi="ar-SA"/>
    </w:rPr>
  </w:style>
  <w:style w:type="character" w:customStyle="1" w:styleId="158">
    <w:name w:val="表格 Char Char"/>
    <w:link w:val="159"/>
    <w:qFormat/>
    <w:uiPriority w:val="0"/>
    <w:rPr>
      <w:rFonts w:ascii="宋体" w:hAnsi="宋体" w:eastAsia="宋体"/>
      <w:lang w:val="en-US" w:eastAsia="zh-CN" w:bidi="ar-SA"/>
    </w:rPr>
  </w:style>
  <w:style w:type="paragraph" w:customStyle="1" w:styleId="159">
    <w:name w:val="表格"/>
    <w:basedOn w:val="1"/>
    <w:link w:val="158"/>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0">
    <w:name w:val="heading 6 Char1"/>
    <w:qFormat/>
    <w:uiPriority w:val="0"/>
    <w:rPr>
      <w:rFonts w:ascii="Arial" w:hAnsi="Arial" w:eastAsia="黑体"/>
      <w:kern w:val="2"/>
      <w:sz w:val="24"/>
      <w:szCs w:val="24"/>
      <w:lang w:val="en-US" w:eastAsia="zh-CN" w:bidi="ar-SA"/>
    </w:rPr>
  </w:style>
  <w:style w:type="character" w:customStyle="1" w:styleId="161">
    <w:name w:val="Char Char211"/>
    <w:qFormat/>
    <w:uiPriority w:val="0"/>
    <w:rPr>
      <w:rFonts w:ascii="Times New Roman" w:hAnsi="Times New Roman" w:eastAsia="宋体" w:cs="Times New Roman"/>
      <w:b/>
      <w:bCs/>
      <w:kern w:val="44"/>
      <w:sz w:val="44"/>
      <w:szCs w:val="44"/>
    </w:rPr>
  </w:style>
  <w:style w:type="character" w:customStyle="1" w:styleId="162">
    <w:name w:val="不明显强调11"/>
    <w:qFormat/>
    <w:uiPriority w:val="0"/>
    <w:rPr>
      <w:i/>
      <w:iCs/>
      <w:color w:val="808080"/>
    </w:rPr>
  </w:style>
  <w:style w:type="character" w:customStyle="1" w:styleId="163">
    <w:name w:val="标题 9 Char"/>
    <w:link w:val="12"/>
    <w:qFormat/>
    <w:uiPriority w:val="0"/>
    <w:rPr>
      <w:rFonts w:ascii="Arial" w:hAnsi="Arial" w:eastAsia="黑体"/>
      <w:kern w:val="2"/>
      <w:sz w:val="21"/>
      <w:lang w:val="en-US" w:eastAsia="zh-CN" w:bidi="ar-SA"/>
    </w:rPr>
  </w:style>
  <w:style w:type="character" w:customStyle="1" w:styleId="164">
    <w:name w:val="正文文本 Char"/>
    <w:link w:val="21"/>
    <w:qFormat/>
    <w:uiPriority w:val="0"/>
    <w:rPr>
      <w:rFonts w:ascii="仿宋_GB2312" w:eastAsia="宋体"/>
      <w:b/>
      <w:kern w:val="2"/>
      <w:sz w:val="21"/>
      <w:szCs w:val="24"/>
      <w:lang w:val="en-US" w:eastAsia="zh-CN" w:bidi="ar-SA"/>
    </w:rPr>
  </w:style>
  <w:style w:type="character" w:customStyle="1" w:styleId="165">
    <w:name w:val="明显引用 Char"/>
    <w:link w:val="166"/>
    <w:qFormat/>
    <w:uiPriority w:val="0"/>
    <w:rPr>
      <w:rFonts w:ascii="Calibri" w:hAnsi="Calibri" w:eastAsia="宋体"/>
      <w:b/>
      <w:bCs/>
      <w:i/>
      <w:iCs/>
      <w:color w:val="4F81BD"/>
      <w:lang w:val="en-US" w:eastAsia="zh-CN" w:bidi="ar-SA"/>
    </w:rPr>
  </w:style>
  <w:style w:type="paragraph" w:styleId="166">
    <w:name w:val="Intense Quote"/>
    <w:basedOn w:val="1"/>
    <w:next w:val="1"/>
    <w:link w:val="165"/>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7">
    <w:name w:val="heading 5 Char1"/>
    <w:qFormat/>
    <w:uiPriority w:val="0"/>
    <w:rPr>
      <w:rFonts w:eastAsia="宋体"/>
      <w:b/>
      <w:bCs/>
      <w:kern w:val="2"/>
      <w:sz w:val="28"/>
      <w:szCs w:val="28"/>
      <w:lang w:val="en-US" w:eastAsia="zh-CN" w:bidi="ar-SA"/>
    </w:rPr>
  </w:style>
  <w:style w:type="character" w:customStyle="1" w:styleId="168">
    <w:name w:val="Texte Char Char"/>
    <w:qFormat/>
    <w:uiPriority w:val="0"/>
    <w:rPr>
      <w:rFonts w:ascii="宋体" w:hAnsi="Courier New" w:eastAsia="宋体"/>
      <w:sz w:val="21"/>
      <w:szCs w:val="21"/>
      <w:lang w:val="en-US" w:eastAsia="zh-CN" w:bidi="ar-SA"/>
    </w:rPr>
  </w:style>
  <w:style w:type="character" w:customStyle="1" w:styleId="169">
    <w:name w:val="正文1 Char Char"/>
    <w:link w:val="170"/>
    <w:qFormat/>
    <w:uiPriority w:val="0"/>
    <w:rPr>
      <w:rFonts w:ascii="宋体" w:hAnsi="宋体" w:eastAsia="宋体" w:cs="宋体"/>
      <w:sz w:val="21"/>
      <w:lang w:val="en-US" w:eastAsia="zh-CN" w:bidi="ar-SA"/>
    </w:rPr>
  </w:style>
  <w:style w:type="paragraph" w:customStyle="1" w:styleId="170">
    <w:name w:val="正文1"/>
    <w:basedOn w:val="1"/>
    <w:link w:val="169"/>
    <w:qFormat/>
    <w:uiPriority w:val="0"/>
    <w:pPr>
      <w:widowControl/>
      <w:spacing w:line="360" w:lineRule="auto"/>
      <w:ind w:left="360" w:firstLine="420"/>
      <w:jc w:val="left"/>
    </w:pPr>
    <w:rPr>
      <w:rFonts w:ascii="宋体" w:hAnsi="宋体" w:cs="宋体"/>
      <w:kern w:val="0"/>
      <w:szCs w:val="20"/>
    </w:rPr>
  </w:style>
  <w:style w:type="character" w:customStyle="1" w:styleId="171">
    <w:name w:val="heading 8 Char1"/>
    <w:qFormat/>
    <w:uiPriority w:val="0"/>
    <w:rPr>
      <w:rFonts w:ascii="Arial" w:hAnsi="Arial" w:eastAsia="黑体"/>
      <w:sz w:val="24"/>
      <w:lang w:val="en-US" w:eastAsia="zh-CN" w:bidi="ar-SA"/>
    </w:rPr>
  </w:style>
  <w:style w:type="character" w:customStyle="1" w:styleId="172">
    <w:name w:val="heading 9 Char1"/>
    <w:qFormat/>
    <w:uiPriority w:val="0"/>
    <w:rPr>
      <w:rFonts w:ascii="Arial" w:hAnsi="Arial" w:eastAsia="黑体"/>
      <w:sz w:val="21"/>
      <w:lang w:val="en-US" w:eastAsia="zh-CN" w:bidi="ar-SA"/>
    </w:rPr>
  </w:style>
  <w:style w:type="character" w:customStyle="1" w:styleId="173">
    <w:name w:val="标题 6 Char"/>
    <w:link w:val="8"/>
    <w:qFormat/>
    <w:uiPriority w:val="0"/>
    <w:rPr>
      <w:rFonts w:ascii="Arial" w:hAnsi="Arial" w:eastAsia="黑体"/>
      <w:b/>
      <w:kern w:val="2"/>
      <w:sz w:val="24"/>
      <w:lang w:val="en-US" w:eastAsia="zh-CN" w:bidi="ar-SA"/>
    </w:rPr>
  </w:style>
  <w:style w:type="character" w:customStyle="1" w:styleId="174">
    <w:name w:val="ändrad Char1"/>
    <w:qFormat/>
    <w:uiPriority w:val="0"/>
    <w:rPr>
      <w:rFonts w:ascii="仿宋_GB2312" w:eastAsia="宋体"/>
      <w:b/>
      <w:kern w:val="2"/>
      <w:sz w:val="21"/>
      <w:szCs w:val="24"/>
      <w:lang w:val="en-US" w:eastAsia="zh-CN" w:bidi="ar-SA"/>
    </w:rPr>
  </w:style>
  <w:style w:type="character" w:customStyle="1" w:styleId="175">
    <w:name w:val="Char Char41"/>
    <w:qFormat/>
    <w:uiPriority w:val="0"/>
    <w:rPr>
      <w:rFonts w:ascii="Cambria" w:hAnsi="Cambria" w:eastAsia="宋体"/>
      <w:b/>
      <w:bCs/>
      <w:sz w:val="32"/>
      <w:szCs w:val="32"/>
      <w:lang w:bidi="ar-SA"/>
    </w:rPr>
  </w:style>
  <w:style w:type="character" w:customStyle="1" w:styleId="176">
    <w:name w:val="标题 8 Char"/>
    <w:link w:val="11"/>
    <w:qFormat/>
    <w:uiPriority w:val="0"/>
    <w:rPr>
      <w:rFonts w:ascii="Arial" w:hAnsi="Arial" w:eastAsia="黑体"/>
      <w:kern w:val="2"/>
      <w:sz w:val="24"/>
      <w:lang w:val="en-US" w:eastAsia="zh-CN" w:bidi="ar-SA"/>
    </w:rPr>
  </w:style>
  <w:style w:type="character" w:customStyle="1" w:styleId="177">
    <w:name w:val="Char Char11"/>
    <w:qFormat/>
    <w:uiPriority w:val="0"/>
    <w:rPr>
      <w:rFonts w:ascii="Times New Roman" w:hAnsi="Times New Roman" w:eastAsia="宋体" w:cs="Times New Roman"/>
      <w:sz w:val="18"/>
      <w:szCs w:val="18"/>
    </w:rPr>
  </w:style>
  <w:style w:type="character" w:customStyle="1" w:styleId="178">
    <w:name w:val="正文文本缩进 2 Char"/>
    <w:link w:val="32"/>
    <w:qFormat/>
    <w:uiPriority w:val="0"/>
    <w:rPr>
      <w:rFonts w:eastAsia="宋体"/>
      <w:kern w:val="2"/>
      <w:sz w:val="24"/>
      <w:szCs w:val="24"/>
      <w:lang w:val="en-US" w:eastAsia="zh-CN" w:bidi="ar-SA"/>
    </w:rPr>
  </w:style>
  <w:style w:type="character" w:customStyle="1" w:styleId="179">
    <w:name w:val="Char Char6"/>
    <w:qFormat/>
    <w:uiPriority w:val="0"/>
    <w:rPr>
      <w:rFonts w:ascii="Times New Roman" w:hAnsi="Times New Roman" w:eastAsia="宋体" w:cs="Times New Roman"/>
      <w:szCs w:val="24"/>
    </w:rPr>
  </w:style>
  <w:style w:type="character" w:customStyle="1" w:styleId="180">
    <w:name w:val="Char Char Char"/>
    <w:qFormat/>
    <w:uiPriority w:val="0"/>
    <w:rPr>
      <w:rFonts w:ascii="宋体" w:hAnsi="Courier New" w:eastAsia="宋体"/>
      <w:b/>
      <w:sz w:val="21"/>
      <w:szCs w:val="21"/>
      <w:lang w:val="en-US" w:eastAsia="zh-CN" w:bidi="ar-SA"/>
    </w:rPr>
  </w:style>
  <w:style w:type="character" w:customStyle="1" w:styleId="181">
    <w:name w:val="heading 2 Char"/>
    <w:qFormat/>
    <w:uiPriority w:val="0"/>
    <w:rPr>
      <w:rFonts w:ascii="Arial" w:hAnsi="Arial" w:eastAsia="黑体" w:cs="Times New Roman"/>
      <w:sz w:val="30"/>
      <w:szCs w:val="24"/>
    </w:rPr>
  </w:style>
  <w:style w:type="character" w:customStyle="1" w:styleId="182">
    <w:name w:val="Char Char2"/>
    <w:qFormat/>
    <w:uiPriority w:val="0"/>
    <w:rPr>
      <w:rFonts w:ascii="Arial" w:hAnsi="Arial" w:eastAsia="黑体"/>
      <w:b/>
      <w:bCs/>
      <w:kern w:val="44"/>
      <w:sz w:val="30"/>
      <w:szCs w:val="44"/>
      <w:lang w:val="en-US" w:eastAsia="zh-CN" w:bidi="ar-SA"/>
    </w:rPr>
  </w:style>
  <w:style w:type="character" w:customStyle="1" w:styleId="183">
    <w:name w:val="Footer-Even Char2"/>
    <w:qFormat/>
    <w:uiPriority w:val="0"/>
    <w:rPr>
      <w:kern w:val="2"/>
      <w:sz w:val="18"/>
      <w:szCs w:val="18"/>
    </w:rPr>
  </w:style>
  <w:style w:type="character" w:customStyle="1" w:styleId="184">
    <w:name w:val="Char Char17"/>
    <w:qFormat/>
    <w:uiPriority w:val="0"/>
    <w:rPr>
      <w:rFonts w:ascii="Cambria" w:hAnsi="Cambria"/>
      <w:b/>
      <w:bCs/>
      <w:kern w:val="2"/>
      <w:sz w:val="28"/>
      <w:szCs w:val="28"/>
    </w:rPr>
  </w:style>
  <w:style w:type="character" w:customStyle="1" w:styleId="185">
    <w:name w:val="heading 4 Char"/>
    <w:qFormat/>
    <w:uiPriority w:val="0"/>
    <w:rPr>
      <w:rFonts w:ascii="Arial" w:hAnsi="Arial" w:eastAsia="黑体" w:cs="Times New Roman"/>
      <w:sz w:val="21"/>
      <w:szCs w:val="21"/>
    </w:rPr>
  </w:style>
  <w:style w:type="character" w:customStyle="1" w:styleId="186">
    <w:name w:val="Char Char20"/>
    <w:qFormat/>
    <w:uiPriority w:val="0"/>
    <w:rPr>
      <w:b/>
      <w:bCs/>
      <w:kern w:val="44"/>
      <w:sz w:val="44"/>
      <w:szCs w:val="44"/>
    </w:rPr>
  </w:style>
  <w:style w:type="character" w:customStyle="1" w:styleId="187">
    <w:name w:val="heading 1 Char2"/>
    <w:qFormat/>
    <w:uiPriority w:val="0"/>
    <w:rPr>
      <w:b/>
      <w:bCs/>
      <w:kern w:val="44"/>
      <w:sz w:val="44"/>
      <w:szCs w:val="44"/>
    </w:rPr>
  </w:style>
  <w:style w:type="character" w:customStyle="1" w:styleId="188">
    <w:name w:val="font11"/>
    <w:qFormat/>
    <w:uiPriority w:val="0"/>
    <w:rPr>
      <w:rFonts w:hint="eastAsia" w:ascii="宋体" w:hAnsi="宋体" w:eastAsia="宋体" w:cs="宋体"/>
      <w:b/>
      <w:color w:val="000000"/>
      <w:sz w:val="20"/>
      <w:szCs w:val="20"/>
      <w:u w:val="none"/>
    </w:rPr>
  </w:style>
  <w:style w:type="character" w:customStyle="1" w:styleId="189">
    <w:name w:val="表正文 Char2"/>
    <w:qFormat/>
    <w:uiPriority w:val="0"/>
    <w:rPr>
      <w:rFonts w:ascii="Times New Roman" w:hAnsi="Times New Roman" w:eastAsia="宋体" w:cs="Times New Roman"/>
      <w:szCs w:val="24"/>
    </w:rPr>
  </w:style>
  <w:style w:type="character" w:customStyle="1" w:styleId="190">
    <w:name w:val="引用 Char"/>
    <w:link w:val="191"/>
    <w:qFormat/>
    <w:uiPriority w:val="0"/>
    <w:rPr>
      <w:rFonts w:ascii="Calibri" w:hAnsi="Calibri" w:eastAsia="宋体"/>
      <w:i/>
      <w:iCs/>
      <w:color w:val="000000"/>
      <w:lang w:val="en-US" w:eastAsia="zh-CN" w:bidi="ar-SA"/>
    </w:rPr>
  </w:style>
  <w:style w:type="paragraph" w:styleId="191">
    <w:name w:val="Quote"/>
    <w:basedOn w:val="1"/>
    <w:next w:val="1"/>
    <w:link w:val="190"/>
    <w:qFormat/>
    <w:uiPriority w:val="0"/>
    <w:rPr>
      <w:rFonts w:ascii="Calibri" w:hAnsi="Calibri"/>
      <w:i/>
      <w:iCs/>
      <w:color w:val="000000"/>
      <w:kern w:val="0"/>
      <w:sz w:val="20"/>
      <w:szCs w:val="20"/>
    </w:rPr>
  </w:style>
  <w:style w:type="character" w:customStyle="1" w:styleId="192">
    <w:name w:val="纯文本 Char"/>
    <w:link w:val="28"/>
    <w:qFormat/>
    <w:uiPriority w:val="0"/>
    <w:rPr>
      <w:rFonts w:ascii="宋体" w:hAnsi="Courier New" w:eastAsia="宋体"/>
      <w:b/>
      <w:sz w:val="21"/>
      <w:szCs w:val="21"/>
      <w:lang w:val="en-US" w:eastAsia="zh-CN" w:bidi="ar-SA"/>
    </w:rPr>
  </w:style>
  <w:style w:type="character" w:customStyle="1" w:styleId="193">
    <w:name w:val="Char Char19"/>
    <w:qFormat/>
    <w:uiPriority w:val="0"/>
    <w:rPr>
      <w:rFonts w:ascii="Cambria" w:hAnsi="Cambria"/>
      <w:b/>
      <w:bCs/>
      <w:kern w:val="2"/>
      <w:sz w:val="32"/>
      <w:szCs w:val="32"/>
    </w:rPr>
  </w:style>
  <w:style w:type="character" w:customStyle="1" w:styleId="194">
    <w:name w:val="style41"/>
    <w:qFormat/>
    <w:uiPriority w:val="0"/>
    <w:rPr>
      <w:color w:val="auto"/>
    </w:rPr>
  </w:style>
  <w:style w:type="character" w:customStyle="1" w:styleId="195">
    <w:name w:val="Char Char201"/>
    <w:qFormat/>
    <w:uiPriority w:val="0"/>
    <w:rPr>
      <w:rFonts w:ascii="Cambria" w:hAnsi="Cambria" w:eastAsia="宋体" w:cs="Times New Roman"/>
      <w:b/>
      <w:bCs/>
      <w:sz w:val="32"/>
      <w:szCs w:val="32"/>
    </w:rPr>
  </w:style>
  <w:style w:type="character" w:customStyle="1" w:styleId="196">
    <w:name w:val="正文首行缩进 Char"/>
    <w:link w:val="51"/>
    <w:qFormat/>
    <w:uiPriority w:val="0"/>
    <w:rPr>
      <w:rFonts w:eastAsia="宋体"/>
      <w:lang w:val="en-US" w:eastAsia="zh-CN" w:bidi="ar-SA"/>
    </w:rPr>
  </w:style>
  <w:style w:type="character" w:customStyle="1" w:styleId="197">
    <w:name w:val="smalltxt1"/>
    <w:qFormat/>
    <w:uiPriority w:val="0"/>
    <w:rPr>
      <w:rFonts w:hint="default" w:ascii="ˎ̥" w:hAnsi="ˎ̥"/>
      <w:sz w:val="24"/>
      <w:szCs w:val="24"/>
    </w:rPr>
  </w:style>
  <w:style w:type="character" w:customStyle="1" w:styleId="198">
    <w:name w:val="正文文本 2 Char"/>
    <w:basedOn w:val="55"/>
    <w:link w:val="46"/>
    <w:qFormat/>
    <w:uiPriority w:val="0"/>
  </w:style>
  <w:style w:type="paragraph" w:customStyle="1" w:styleId="19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0">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1">
    <w:name w:val="表内文字"/>
    <w:basedOn w:val="1"/>
    <w:qFormat/>
    <w:uiPriority w:val="0"/>
    <w:pPr>
      <w:spacing w:line="240" w:lineRule="atLeast"/>
      <w:jc w:val="center"/>
    </w:pPr>
    <w:rPr>
      <w:rFonts w:ascii="Arial" w:hAnsi="Arial" w:cs="Arial"/>
      <w:b/>
      <w:bCs/>
    </w:rPr>
  </w:style>
  <w:style w:type="paragraph" w:customStyle="1" w:styleId="202">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3">
    <w:name w:val="Char Char Char Char Char Char Char"/>
    <w:basedOn w:val="1"/>
    <w:qFormat/>
    <w:uiPriority w:val="0"/>
    <w:rPr>
      <w:rFonts w:ascii="仿宋_GB2312" w:eastAsia="仿宋_GB2312"/>
      <w:b/>
      <w:sz w:val="32"/>
      <w:szCs w:val="32"/>
    </w:rPr>
  </w:style>
  <w:style w:type="paragraph" w:customStyle="1" w:styleId="20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5">
    <w:name w:val="列出段落1"/>
    <w:basedOn w:val="1"/>
    <w:qFormat/>
    <w:uiPriority w:val="0"/>
    <w:pPr>
      <w:ind w:firstLine="420" w:firstLineChars="200"/>
    </w:pPr>
    <w:rPr>
      <w:szCs w:val="20"/>
    </w:rPr>
  </w:style>
  <w:style w:type="paragraph" w:customStyle="1" w:styleId="206">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8">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2">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213">
    <w:name w:val="Char Char Char Char Char Char Char Char Char Char Char Char Char"/>
    <w:basedOn w:val="1"/>
    <w:qFormat/>
    <w:uiPriority w:val="0"/>
    <w:rPr>
      <w:rFonts w:ascii="Tahoma" w:hAnsi="Tahoma"/>
      <w:sz w:val="24"/>
      <w:szCs w:val="20"/>
    </w:rPr>
  </w:style>
  <w:style w:type="paragraph" w:customStyle="1" w:styleId="2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5">
    <w:name w:val="正文缩进1"/>
    <w:basedOn w:val="1"/>
    <w:next w:val="22"/>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6">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7">
    <w:name w:val="Char Char Char Char1"/>
    <w:basedOn w:val="17"/>
    <w:qFormat/>
    <w:uiPriority w:val="0"/>
    <w:rPr>
      <w:rFonts w:ascii="Tahoma" w:hAnsi="Tahoma"/>
      <w:sz w:val="24"/>
    </w:rPr>
  </w:style>
  <w:style w:type="paragraph" w:customStyle="1" w:styleId="218">
    <w:name w:val="正文 首行缩进:  2 字符 Char"/>
    <w:basedOn w:val="1"/>
    <w:qFormat/>
    <w:uiPriority w:val="0"/>
    <w:pPr>
      <w:spacing w:line="360" w:lineRule="auto"/>
      <w:ind w:firstLine="480"/>
    </w:pPr>
    <w:rPr>
      <w:rFonts w:cs="宋体"/>
      <w:sz w:val="24"/>
      <w:szCs w:val="20"/>
    </w:rPr>
  </w:style>
  <w:style w:type="paragraph" w:customStyle="1" w:styleId="219">
    <w:name w:val="样式1"/>
    <w:basedOn w:val="1"/>
    <w:qFormat/>
    <w:uiPriority w:val="0"/>
    <w:pPr>
      <w:autoSpaceDE w:val="0"/>
      <w:autoSpaceDN w:val="0"/>
      <w:adjustRightInd w:val="0"/>
      <w:spacing w:line="400" w:lineRule="exact"/>
    </w:pPr>
    <w:rPr>
      <w:rFonts w:ascii="宋体" w:cs="宋体"/>
      <w:kern w:val="0"/>
    </w:rPr>
  </w:style>
  <w:style w:type="paragraph" w:customStyle="1" w:styleId="2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3">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4">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5">
    <w:name w:val="二级条标题"/>
    <w:basedOn w:val="206"/>
    <w:next w:val="1"/>
    <w:qFormat/>
    <w:uiPriority w:val="0"/>
    <w:pPr>
      <w:tabs>
        <w:tab w:val="left" w:pos="4309"/>
        <w:tab w:val="clear" w:pos="3889"/>
      </w:tabs>
      <w:ind w:left="4309"/>
      <w:outlineLvl w:val="3"/>
    </w:pPr>
  </w:style>
  <w:style w:type="paragraph" w:customStyle="1" w:styleId="226">
    <w:name w:val="正文－恩普"/>
    <w:basedOn w:val="9"/>
    <w:qFormat/>
    <w:uiPriority w:val="0"/>
    <w:pPr>
      <w:adjustRightInd/>
      <w:spacing w:line="360" w:lineRule="auto"/>
      <w:ind w:firstLine="200" w:firstLineChars="200"/>
      <w:textAlignment w:val="auto"/>
    </w:pPr>
    <w:rPr>
      <w:kern w:val="2"/>
      <w:sz w:val="24"/>
      <w:szCs w:val="24"/>
    </w:rPr>
  </w:style>
  <w:style w:type="paragraph" w:customStyle="1" w:styleId="227">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8">
    <w:name w:val="正文（首行缩进）"/>
    <w:basedOn w:val="22"/>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9">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0">
    <w:name w:val="文字"/>
    <w:basedOn w:val="1"/>
    <w:qFormat/>
    <w:uiPriority w:val="0"/>
    <w:pPr>
      <w:tabs>
        <w:tab w:val="left" w:pos="8520"/>
      </w:tabs>
      <w:spacing w:line="312" w:lineRule="auto"/>
      <w:ind w:right="-210" w:firstLine="556"/>
    </w:pPr>
    <w:rPr>
      <w:rFonts w:ascii="宋体"/>
      <w:sz w:val="28"/>
      <w:szCs w:val="20"/>
    </w:rPr>
  </w:style>
  <w:style w:type="paragraph" w:customStyle="1" w:styleId="23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3">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4">
    <w:name w:val="三级条标题"/>
    <w:basedOn w:val="225"/>
    <w:next w:val="1"/>
    <w:qFormat/>
    <w:uiPriority w:val="0"/>
    <w:pPr>
      <w:tabs>
        <w:tab w:val="left" w:pos="4729"/>
        <w:tab w:val="clear" w:pos="4309"/>
      </w:tabs>
      <w:ind w:left="4729"/>
      <w:outlineLvl w:val="4"/>
    </w:pPr>
  </w:style>
  <w:style w:type="paragraph" w:customStyle="1" w:styleId="235">
    <w:name w:val="Test2"/>
    <w:basedOn w:val="4"/>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6">
    <w:name w:val="默认段落字体 Para Char Char Char Char Char Char Char"/>
    <w:basedOn w:val="1"/>
    <w:qFormat/>
    <w:uiPriority w:val="0"/>
  </w:style>
  <w:style w:type="paragraph" w:customStyle="1" w:styleId="237">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9">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4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2">
    <w:name w:val="列表段落"/>
    <w:basedOn w:val="1"/>
    <w:qFormat/>
    <w:uiPriority w:val="0"/>
    <w:pPr>
      <w:ind w:firstLine="420" w:firstLineChars="200"/>
    </w:pPr>
    <w:rPr>
      <w:rFonts w:ascii="Calibri" w:hAnsi="Calibri"/>
      <w:szCs w:val="22"/>
    </w:rPr>
  </w:style>
  <w:style w:type="paragraph" w:customStyle="1" w:styleId="243">
    <w:name w:val="五级条标题"/>
    <w:basedOn w:val="244"/>
    <w:next w:val="1"/>
    <w:qFormat/>
    <w:uiPriority w:val="0"/>
    <w:pPr>
      <w:tabs>
        <w:tab w:val="left" w:pos="5149"/>
        <w:tab w:val="left" w:pos="5569"/>
      </w:tabs>
      <w:ind w:left="5569"/>
      <w:outlineLvl w:val="6"/>
    </w:pPr>
  </w:style>
  <w:style w:type="paragraph" w:customStyle="1" w:styleId="244">
    <w:name w:val="四级条标题"/>
    <w:basedOn w:val="234"/>
    <w:next w:val="1"/>
    <w:qFormat/>
    <w:uiPriority w:val="0"/>
    <w:pPr>
      <w:tabs>
        <w:tab w:val="left" w:pos="5149"/>
        <w:tab w:val="clear" w:pos="4729"/>
      </w:tabs>
      <w:ind w:left="5149"/>
      <w:outlineLvl w:val="5"/>
    </w:pPr>
  </w:style>
  <w:style w:type="paragraph" w:customStyle="1" w:styleId="245">
    <w:name w:val="正文-宋体四号"/>
    <w:basedOn w:val="1"/>
    <w:qFormat/>
    <w:uiPriority w:val="0"/>
    <w:pPr>
      <w:spacing w:line="360" w:lineRule="auto"/>
      <w:ind w:firstLine="560" w:firstLineChars="200"/>
    </w:pPr>
    <w:rPr>
      <w:rFonts w:cs="宋体"/>
      <w:sz w:val="28"/>
      <w:szCs w:val="20"/>
    </w:rPr>
  </w:style>
  <w:style w:type="paragraph" w:customStyle="1" w:styleId="246">
    <w:name w:val="纯文本1"/>
    <w:basedOn w:val="1"/>
    <w:qFormat/>
    <w:uiPriority w:val="0"/>
    <w:pPr>
      <w:adjustRightInd w:val="0"/>
      <w:textAlignment w:val="baseline"/>
    </w:pPr>
    <w:rPr>
      <w:rFonts w:ascii="宋体" w:hAnsi="Courier New" w:eastAsia="楷体_GB2312"/>
      <w:sz w:val="28"/>
      <w:szCs w:val="20"/>
    </w:rPr>
  </w:style>
  <w:style w:type="paragraph" w:customStyle="1" w:styleId="247">
    <w:name w:val="Char2"/>
    <w:basedOn w:val="1"/>
    <w:qFormat/>
    <w:uiPriority w:val="0"/>
  </w:style>
  <w:style w:type="paragraph" w:customStyle="1" w:styleId="248">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9">
    <w:name w:val="样式5"/>
    <w:basedOn w:val="9"/>
    <w:qFormat/>
    <w:uiPriority w:val="0"/>
    <w:pPr>
      <w:adjustRightInd/>
      <w:spacing w:line="360" w:lineRule="auto"/>
      <w:ind w:firstLine="200" w:firstLineChars="200"/>
      <w:textAlignment w:val="auto"/>
    </w:pPr>
    <w:rPr>
      <w:sz w:val="28"/>
      <w:szCs w:val="21"/>
    </w:rPr>
  </w:style>
  <w:style w:type="paragraph" w:customStyle="1" w:styleId="250">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1">
    <w:name w:val="Char Char Char Char Char Char Char Char Char Char Char Char Char1"/>
    <w:basedOn w:val="1"/>
    <w:qFormat/>
    <w:uiPriority w:val="0"/>
  </w:style>
  <w:style w:type="paragraph" w:customStyle="1" w:styleId="252">
    <w:name w:val="样式 标题 1Level 1Level 11h1II+IHeading1H1-Heading 1Header 1..."/>
    <w:basedOn w:val="3"/>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3">
    <w:name w:val="样式 标题 3 + 黑色 段前: 5 磅 段后: 5 磅 行距: 1.5 倍行距"/>
    <w:basedOn w:val="1"/>
    <w:qFormat/>
    <w:uiPriority w:val="0"/>
    <w:pPr>
      <w:ind w:left="855" w:hanging="855"/>
    </w:pPr>
    <w:rPr>
      <w:sz w:val="24"/>
      <w:szCs w:val="20"/>
    </w:rPr>
  </w:style>
  <w:style w:type="paragraph" w:customStyle="1" w:styleId="254">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5">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7">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8">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9">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1">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5">
    <w:name w:val="tabletext"/>
    <w:basedOn w:val="1"/>
    <w:qFormat/>
    <w:uiPriority w:val="0"/>
    <w:pPr>
      <w:widowControl/>
      <w:spacing w:line="300" w:lineRule="atLeast"/>
      <w:jc w:val="left"/>
    </w:pPr>
    <w:rPr>
      <w:rFonts w:ascii="宋体" w:hAnsi="宋体" w:cs="宋体"/>
      <w:kern w:val="0"/>
      <w:sz w:val="18"/>
      <w:szCs w:val="18"/>
    </w:rPr>
  </w:style>
  <w:style w:type="paragraph" w:customStyle="1" w:styleId="26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7">
    <w:name w:val="TOC 标题1"/>
    <w:basedOn w:val="3"/>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9">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70">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2">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3">
    <w:name w:val="简单回函地址"/>
    <w:basedOn w:val="1"/>
    <w:qFormat/>
    <w:uiPriority w:val="0"/>
  </w:style>
  <w:style w:type="paragraph" w:customStyle="1" w:styleId="274">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5">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6">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7">
    <w:name w:val="1 Char"/>
    <w:basedOn w:val="9"/>
    <w:qFormat/>
    <w:uiPriority w:val="0"/>
    <w:pPr>
      <w:adjustRightInd/>
      <w:spacing w:line="360" w:lineRule="auto"/>
      <w:ind w:firstLine="200" w:firstLineChars="200"/>
      <w:textAlignment w:val="auto"/>
    </w:pPr>
    <w:rPr>
      <w:kern w:val="2"/>
    </w:rPr>
  </w:style>
  <w:style w:type="paragraph" w:customStyle="1" w:styleId="27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9">
    <w:name w:val="TOC 标题2"/>
    <w:basedOn w:val="3"/>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0">
    <w:name w:val="Char Char"/>
    <w:basedOn w:val="1"/>
    <w:qFormat/>
    <w:uiPriority w:val="0"/>
    <w:rPr>
      <w:rFonts w:ascii="仿宋_GB2312" w:eastAsia="仿宋_GB2312"/>
      <w:b/>
      <w:sz w:val="32"/>
      <w:szCs w:val="32"/>
    </w:rPr>
  </w:style>
  <w:style w:type="paragraph" w:customStyle="1" w:styleId="281">
    <w:name w:val="l正文"/>
    <w:basedOn w:val="1"/>
    <w:qFormat/>
    <w:uiPriority w:val="0"/>
    <w:pPr>
      <w:spacing w:line="360" w:lineRule="auto"/>
      <w:ind w:firstLine="200" w:firstLineChars="200"/>
    </w:pPr>
    <w:rPr>
      <w:rFonts w:ascii="宋体" w:hAnsi="宋体"/>
      <w:sz w:val="24"/>
    </w:rPr>
  </w:style>
  <w:style w:type="paragraph" w:customStyle="1" w:styleId="282">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4">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5">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6">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7">
    <w:name w:val="Char Char Char Char Char Char Char1"/>
    <w:basedOn w:val="1"/>
    <w:qFormat/>
    <w:uiPriority w:val="0"/>
    <w:rPr>
      <w:rFonts w:ascii="仿宋_GB2312" w:eastAsia="仿宋_GB2312"/>
      <w:b/>
      <w:sz w:val="32"/>
      <w:szCs w:val="32"/>
    </w:rPr>
  </w:style>
  <w:style w:type="paragraph" w:customStyle="1" w:styleId="28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9">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0">
    <w:name w:val="标题2"/>
    <w:basedOn w:val="4"/>
    <w:qFormat/>
    <w:uiPriority w:val="0"/>
    <w:pPr>
      <w:tabs>
        <w:tab w:val="left" w:pos="709"/>
      </w:tabs>
    </w:pPr>
    <w:rPr>
      <w:rFonts w:ascii="宋体" w:hAnsi="宋体"/>
      <w:sz w:val="36"/>
      <w:szCs w:val="36"/>
    </w:rPr>
  </w:style>
  <w:style w:type="paragraph" w:customStyle="1" w:styleId="291">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3">
    <w:name w:val="Char1"/>
    <w:basedOn w:val="1"/>
    <w:qFormat/>
    <w:uiPriority w:val="0"/>
    <w:rPr>
      <w:rFonts w:ascii="仿宋_GB2312" w:eastAsia="仿宋_GB2312"/>
      <w:b/>
      <w:sz w:val="32"/>
      <w:szCs w:val="32"/>
    </w:rPr>
  </w:style>
  <w:style w:type="paragraph" w:customStyle="1" w:styleId="294">
    <w:name w:val="正文字缩2字"/>
    <w:basedOn w:val="1"/>
    <w:qFormat/>
    <w:uiPriority w:val="0"/>
    <w:pPr>
      <w:spacing w:before="60" w:after="60" w:line="360" w:lineRule="auto"/>
      <w:ind w:left="200" w:leftChars="200" w:firstLine="200" w:firstLineChars="200"/>
    </w:pPr>
    <w:rPr>
      <w:sz w:val="24"/>
    </w:rPr>
  </w:style>
  <w:style w:type="paragraph" w:customStyle="1" w:styleId="29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6">
    <w:name w:val="保留正文"/>
    <w:basedOn w:val="21"/>
    <w:qFormat/>
    <w:uiPriority w:val="0"/>
    <w:pPr>
      <w:keepNext/>
      <w:spacing w:after="160"/>
    </w:pPr>
    <w:rPr>
      <w:szCs w:val="20"/>
    </w:rPr>
  </w:style>
  <w:style w:type="paragraph" w:customStyle="1" w:styleId="297">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0">
    <w:name w:val="Char"/>
    <w:basedOn w:val="1"/>
    <w:qFormat/>
    <w:uiPriority w:val="0"/>
    <w:rPr>
      <w:rFonts w:ascii="仿宋_GB2312" w:eastAsia="仿宋_GB2312"/>
      <w:b/>
      <w:sz w:val="32"/>
      <w:szCs w:val="32"/>
    </w:rPr>
  </w:style>
  <w:style w:type="paragraph" w:customStyle="1" w:styleId="301">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2">
    <w:name w:val="正文文字表格居中"/>
    <w:basedOn w:val="1"/>
    <w:next w:val="46"/>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4">
    <w:name w:val="Char1 Char Char Char Char Char Char"/>
    <w:basedOn w:val="1"/>
    <w:qFormat/>
    <w:uiPriority w:val="0"/>
    <w:rPr>
      <w:rFonts w:ascii="宋体" w:hAnsi="宋体"/>
      <w:color w:val="000000"/>
      <w:sz w:val="24"/>
    </w:rPr>
  </w:style>
  <w:style w:type="paragraph" w:customStyle="1" w:styleId="305">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6">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9">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0">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1">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3">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5">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6">
    <w:name w:val="样式 标题 3 + 黑体 小四 非加粗"/>
    <w:basedOn w:val="5"/>
    <w:qFormat/>
    <w:uiPriority w:val="0"/>
    <w:pPr>
      <w:spacing w:before="260" w:after="260" w:line="413" w:lineRule="auto"/>
    </w:pPr>
    <w:rPr>
      <w:rFonts w:ascii="黑体" w:hAnsi="黑体"/>
      <w:b w:val="0"/>
      <w:kern w:val="0"/>
      <w:sz w:val="24"/>
      <w:szCs w:val="32"/>
    </w:rPr>
  </w:style>
  <w:style w:type="paragraph" w:customStyle="1" w:styleId="317">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9">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2">
    <w:name w:val="文档正文"/>
    <w:basedOn w:val="1"/>
    <w:qFormat/>
    <w:uiPriority w:val="0"/>
    <w:pPr>
      <w:adjustRightInd w:val="0"/>
      <w:spacing w:line="300" w:lineRule="auto"/>
      <w:ind w:firstLine="567"/>
      <w:textAlignment w:val="baseline"/>
    </w:pPr>
    <w:rPr>
      <w:kern w:val="0"/>
      <w:sz w:val="24"/>
      <w:szCs w:val="20"/>
    </w:rPr>
  </w:style>
  <w:style w:type="paragraph" w:customStyle="1" w:styleId="323">
    <w:name w:val="列出段落2"/>
    <w:basedOn w:val="1"/>
    <w:qFormat/>
    <w:uiPriority w:val="0"/>
    <w:pPr>
      <w:ind w:firstLine="420" w:firstLineChars="200"/>
    </w:pPr>
  </w:style>
  <w:style w:type="paragraph" w:customStyle="1" w:styleId="324">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5">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6">
    <w:name w:val="p0"/>
    <w:basedOn w:val="1"/>
    <w:qFormat/>
    <w:uiPriority w:val="0"/>
    <w:pPr>
      <w:widowControl/>
    </w:pPr>
    <w:rPr>
      <w:kern w:val="0"/>
      <w:szCs w:val="21"/>
    </w:rPr>
  </w:style>
  <w:style w:type="paragraph" w:customStyle="1" w:styleId="327">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8">
    <w:name w:val="TableGrid"/>
    <w:qFormat/>
    <w:uiPriority w:val="0"/>
    <w:tblPr>
      <w:tblCellMar>
        <w:top w:w="0" w:type="dxa"/>
        <w:left w:w="0" w:type="dxa"/>
        <w:bottom w:w="0" w:type="dxa"/>
        <w:right w:w="0" w:type="dxa"/>
      </w:tblCellMar>
    </w:tblPr>
  </w:style>
  <w:style w:type="paragraph" w:styleId="329">
    <w:name w:val="List Paragraph"/>
    <w:basedOn w:val="1"/>
    <w:qFormat/>
    <w:uiPriority w:val="99"/>
    <w:pPr>
      <w:ind w:firstLine="420" w:firstLineChars="200"/>
    </w:pPr>
  </w:style>
  <w:style w:type="paragraph" w:customStyle="1" w:styleId="330">
    <w:name w:val="正文段"/>
    <w:basedOn w:val="1"/>
    <w:qFormat/>
    <w:uiPriority w:val="0"/>
    <w:pPr>
      <w:widowControl/>
      <w:snapToGrid w:val="0"/>
      <w:spacing w:afterLines="50"/>
      <w:ind w:firstLine="200" w:firstLineChars="200"/>
    </w:pPr>
    <w:rPr>
      <w:sz w:val="24"/>
      <w:szCs w:val="20"/>
    </w:rPr>
  </w:style>
  <w:style w:type="paragraph" w:customStyle="1" w:styleId="331">
    <w:name w:val="_Style 3"/>
    <w:basedOn w:val="1"/>
    <w:next w:val="1"/>
    <w:qFormat/>
    <w:uiPriority w:val="34"/>
    <w:pPr>
      <w:spacing w:line="360" w:lineRule="auto"/>
      <w:ind w:firstLine="420" w:firstLineChars="200"/>
    </w:pPr>
  </w:style>
  <w:style w:type="paragraph" w:customStyle="1" w:styleId="332">
    <w:name w:val="_Style 2"/>
    <w:basedOn w:val="1"/>
    <w:next w:val="1"/>
    <w:qFormat/>
    <w:uiPriority w:val="0"/>
    <w:pPr>
      <w:pBdr>
        <w:bottom w:val="single" w:color="auto" w:sz="6" w:space="1"/>
      </w:pBdr>
      <w:jc w:val="center"/>
    </w:pPr>
    <w:rPr>
      <w:rFonts w:ascii="Arial"/>
      <w:vanish/>
      <w:sz w:val="16"/>
    </w:rPr>
  </w:style>
  <w:style w:type="character" w:customStyle="1" w:styleId="333">
    <w:name w:val="font31"/>
    <w:basedOn w:val="55"/>
    <w:qFormat/>
    <w:uiPriority w:val="0"/>
    <w:rPr>
      <w:rFonts w:hint="eastAsia" w:ascii="宋体" w:hAnsi="宋体" w:eastAsia="宋体" w:cs="宋体"/>
      <w:color w:val="000000"/>
      <w:sz w:val="24"/>
      <w:szCs w:val="24"/>
      <w:u w:val="single"/>
    </w:rPr>
  </w:style>
  <w:style w:type="paragraph" w:customStyle="1" w:styleId="334">
    <w:name w:val="表格文字"/>
    <w:basedOn w:val="1"/>
    <w:next w:val="21"/>
    <w:qFormat/>
    <w:uiPriority w:val="0"/>
    <w:pPr>
      <w:adjustRightInd w:val="0"/>
      <w:spacing w:line="420" w:lineRule="atLeast"/>
      <w:jc w:val="left"/>
      <w:textAlignment w:val="baseline"/>
    </w:pPr>
    <w:rPr>
      <w:kern w:val="0"/>
    </w:rPr>
  </w:style>
  <w:style w:type="character" w:customStyle="1" w:styleId="335">
    <w:name w:val="font01"/>
    <w:basedOn w:val="55"/>
    <w:qFormat/>
    <w:uiPriority w:val="0"/>
    <w:rPr>
      <w:rFonts w:ascii="Arial" w:hAnsi="Arial" w:cs="Arial"/>
      <w:color w:val="000000"/>
      <w:sz w:val="18"/>
      <w:szCs w:val="18"/>
      <w:u w:val="none"/>
    </w:rPr>
  </w:style>
  <w:style w:type="paragraph" w:customStyle="1" w:styleId="336">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7">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8">
    <w:name w:val="font61"/>
    <w:basedOn w:val="55"/>
    <w:qFormat/>
    <w:uiPriority w:val="0"/>
    <w:rPr>
      <w:rFonts w:hint="eastAsia" w:ascii="宋体" w:hAnsi="宋体" w:eastAsia="宋体" w:cs="宋体"/>
      <w:color w:val="000000"/>
      <w:sz w:val="20"/>
      <w:szCs w:val="20"/>
      <w:u w:val="none"/>
    </w:rPr>
  </w:style>
  <w:style w:type="character" w:customStyle="1" w:styleId="339">
    <w:name w:val="font81"/>
    <w:basedOn w:val="55"/>
    <w:qFormat/>
    <w:uiPriority w:val="0"/>
    <w:rPr>
      <w:rFonts w:ascii="Calibri" w:hAnsi="Calibri" w:cs="Calibri"/>
      <w:color w:val="000000"/>
      <w:sz w:val="20"/>
      <w:szCs w:val="20"/>
      <w:u w:val="none"/>
    </w:rPr>
  </w:style>
  <w:style w:type="character" w:customStyle="1" w:styleId="340">
    <w:name w:val="font71"/>
    <w:basedOn w:val="55"/>
    <w:qFormat/>
    <w:uiPriority w:val="0"/>
    <w:rPr>
      <w:rFonts w:hint="eastAsia" w:ascii="宋体" w:hAnsi="宋体" w:eastAsia="宋体" w:cs="宋体"/>
      <w:color w:val="000000"/>
      <w:sz w:val="22"/>
      <w:szCs w:val="22"/>
      <w:u w:val="none"/>
    </w:rPr>
  </w:style>
  <w:style w:type="paragraph" w:customStyle="1" w:styleId="341">
    <w:name w:val="01 正文-首行缩进2字符"/>
    <w:basedOn w:val="1"/>
    <w:qFormat/>
    <w:uiPriority w:val="0"/>
    <w:pPr>
      <w:spacing w:before="50" w:beforeLines="50" w:after="50" w:afterLines="50"/>
      <w:ind w:firstLine="200" w:firstLineChars="200"/>
    </w:pPr>
    <w:rPr>
      <w:rFonts w:ascii="Arial" w:hAnsi="Arial"/>
      <w:color w:val="000000"/>
    </w:rPr>
  </w:style>
  <w:style w:type="character" w:customStyle="1" w:styleId="342">
    <w:name w:val="NormalCharacter"/>
    <w:qFormat/>
    <w:uiPriority w:val="0"/>
    <w:rPr>
      <w:kern w:val="2"/>
      <w:sz w:val="21"/>
      <w:szCs w:val="24"/>
      <w:lang w:val="en-US" w:eastAsia="zh-CN" w:bidi="ar-SA"/>
    </w:rPr>
  </w:style>
  <w:style w:type="paragraph" w:customStyle="1" w:styleId="343">
    <w:name w:val="样式 标题 2 + Times New Roman 四号 非加粗 段前: 5 磅 段后: 0 磅 行距: 固定值 20..."/>
    <w:basedOn w:val="4"/>
    <w:qFormat/>
    <w:uiPriority w:val="2"/>
    <w:pPr>
      <w:spacing w:before="100" w:line="400" w:lineRule="exact"/>
    </w:pPr>
    <w:rPr>
      <w:rFonts w:ascii="Times New Roman" w:cs="宋体"/>
      <w:b w:val="0"/>
      <w:kern w:val="1"/>
      <w:szCs w:val="20"/>
    </w:rPr>
  </w:style>
  <w:style w:type="table" w:customStyle="1" w:styleId="34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103</Pages>
  <Words>24658</Words>
  <Characters>26291</Characters>
  <Lines>322</Lines>
  <Paragraphs>90</Paragraphs>
  <TotalTime>2</TotalTime>
  <ScaleCrop>false</ScaleCrop>
  <LinksUpToDate>false</LinksUpToDate>
  <CharactersWithSpaces>27787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历程招标</cp:lastModifiedBy>
  <cp:lastPrinted>2021-03-22T07:00:00Z</cp:lastPrinted>
  <dcterms:modified xsi:type="dcterms:W3CDTF">2025-06-20T09:50:14Z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6DECAE72FF7549F1AFF8B883959979BF_13</vt:lpwstr>
  </property>
  <property fmtid="{D5CDD505-2E9C-101B-9397-08002B2CF9AE}" pid="4" name="KSOTemplateDocerSaveRecord">
    <vt:lpwstr>eyJoZGlkIjoiNTg3NGFkZWM5NThlZmRiMDI3MjA2Y2MyZGFiOGJhYTAiLCJ1c2VySWQiOiIxNDgxMzEyODcxIn0=</vt:lpwstr>
  </property>
</Properties>
</file>