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adjustRightInd/>
        <w:spacing w:line="360" w:lineRule="auto"/>
        <w:jc w:val="center"/>
        <w:rPr>
          <w:rFonts w:ascii="仿宋" w:hAnsi="仿宋" w:eastAsia="仿宋" w:cs="仿宋_GB2312"/>
          <w:b/>
          <w:color w:val="auto"/>
          <w:sz w:val="48"/>
          <w:szCs w:val="48"/>
          <w:highlight w:val="none"/>
          <w:u w:val="single"/>
        </w:rPr>
      </w:pPr>
      <w:r>
        <w:rPr>
          <w:rFonts w:hint="eastAsia" w:ascii="仿宋" w:hAnsi="仿宋" w:eastAsia="仿宋" w:cs="仿宋_GB2312"/>
          <w:b/>
          <w:color w:val="auto"/>
          <w:sz w:val="48"/>
          <w:szCs w:val="48"/>
          <w:highlight w:val="none"/>
          <w:u w:val="single"/>
        </w:rPr>
        <w:t>永嘉县瓯北街道东瓯片建成区环卫保洁外包服务</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ind w:firstLine="1800" w:firstLineChars="600"/>
        <w:jc w:val="left"/>
        <w:rPr>
          <w:rFonts w:ascii="仿宋" w:hAnsi="仿宋" w:eastAsia="仿宋" w:cs="仿宋_GB2312"/>
          <w:color w:val="auto"/>
          <w:sz w:val="30"/>
          <w:szCs w:val="30"/>
          <w:highlight w:val="none"/>
        </w:rPr>
      </w:pPr>
    </w:p>
    <w:p>
      <w:pPr>
        <w:snapToGrid w:val="0"/>
        <w:spacing w:line="360" w:lineRule="auto"/>
        <w:ind w:firstLine="1807" w:firstLineChars="600"/>
        <w:jc w:val="left"/>
        <w:rPr>
          <w:rFonts w:hint="eastAsia"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编号</w:t>
      </w:r>
      <w:r>
        <w:rPr>
          <w:rFonts w:ascii="仿宋" w:hAnsi="仿宋" w:eastAsia="仿宋" w:cs="仿宋_GB2312"/>
          <w:b/>
          <w:bCs/>
          <w:color w:val="auto"/>
          <w:sz w:val="30"/>
          <w:szCs w:val="30"/>
          <w:highlight w:val="none"/>
        </w:rPr>
        <w:t>:</w:t>
      </w:r>
      <w:r>
        <w:rPr>
          <w:rFonts w:hint="eastAsia" w:ascii="仿宋" w:hAnsi="仿宋" w:eastAsia="仿宋" w:cs="仿宋_GB2312"/>
          <w:b/>
          <w:bCs/>
          <w:color w:val="auto"/>
          <w:sz w:val="30"/>
          <w:szCs w:val="30"/>
          <w:highlight w:val="none"/>
        </w:rPr>
        <w:t>F-GB202202250538</w:t>
      </w:r>
    </w:p>
    <w:p>
      <w:pPr>
        <w:snapToGrid w:val="0"/>
        <w:spacing w:line="360" w:lineRule="auto"/>
        <w:ind w:firstLine="1800" w:firstLineChars="6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采购方式：</w:t>
      </w:r>
      <w:r>
        <w:rPr>
          <w:rFonts w:hint="eastAsia" w:ascii="仿宋" w:hAnsi="仿宋" w:eastAsia="仿宋" w:cs="仿宋_GB2312"/>
          <w:color w:val="auto"/>
          <w:sz w:val="30"/>
          <w:szCs w:val="30"/>
          <w:highlight w:val="none"/>
          <w:u w:val="single"/>
        </w:rPr>
        <w:t>公开招标</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ind w:firstLine="1280" w:firstLineChars="400"/>
        <w:jc w:val="left"/>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 xml:space="preserve">采购人：永嘉瓯北城市新区管理委员会           </w:t>
      </w:r>
    </w:p>
    <w:p>
      <w:pPr>
        <w:snapToGrid w:val="0"/>
        <w:spacing w:line="360" w:lineRule="auto"/>
        <w:ind w:firstLine="1280" w:firstLineChars="400"/>
        <w:jc w:val="left"/>
        <w:rPr>
          <w:rFonts w:ascii="仿宋" w:hAnsi="仿宋" w:eastAsia="仿宋" w:cs="仿宋_GB2312"/>
          <w:bCs/>
          <w:color w:val="auto"/>
          <w:sz w:val="32"/>
          <w:szCs w:val="32"/>
          <w:highlight w:val="none"/>
          <w:u w:val="single"/>
        </w:rPr>
      </w:pPr>
      <w:r>
        <w:rPr>
          <w:rFonts w:hint="eastAsia" w:ascii="仿宋" w:hAnsi="仿宋" w:eastAsia="仿宋" w:cs="仿宋_GB2312"/>
          <w:bCs/>
          <w:color w:val="auto"/>
          <w:sz w:val="32"/>
          <w:szCs w:val="32"/>
          <w:highlight w:val="none"/>
        </w:rPr>
        <w:t>采购代理机构：浙江金穗工程项目管理有限公司</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二二年 二月</w:t>
      </w:r>
    </w:p>
    <w:p>
      <w:pPr>
        <w:widowControl/>
        <w:adjustRightInd/>
        <w:jc w:val="left"/>
        <w:rPr>
          <w:color w:val="auto"/>
          <w:highlight w:val="none"/>
        </w:rPr>
      </w:pPr>
      <w:r>
        <w:rPr>
          <w:color w:val="auto"/>
          <w:highlight w:val="none"/>
        </w:rPr>
        <w:br w:type="page"/>
      </w:r>
    </w:p>
    <w:p>
      <w:pPr>
        <w:spacing w:line="360" w:lineRule="auto"/>
        <w:jc w:val="center"/>
        <w:rPr>
          <w:rFonts w:ascii="仿宋" w:hAnsi="仿宋" w:eastAsia="仿宋" w:cs="仿宋_GB2312"/>
          <w:color w:val="auto"/>
          <w:sz w:val="24"/>
          <w:highlight w:val="none"/>
        </w:rPr>
      </w:pPr>
    </w:p>
    <w:sdt>
      <w:sdtPr>
        <w:rPr>
          <w:rFonts w:ascii="宋体" w:hAnsi="宋体"/>
          <w:color w:val="auto"/>
          <w:highlight w:val="none"/>
        </w:rPr>
        <w:id w:val="147454696"/>
        <w:docPartObj>
          <w:docPartGallery w:val="Table of Contents"/>
          <w:docPartUnique/>
        </w:docPartObj>
      </w:sdtPr>
      <w:sdtEndPr>
        <w:rPr>
          <w:rFonts w:ascii="宋体" w:hAnsi="宋体"/>
          <w:color w:val="auto"/>
          <w:highlight w:val="none"/>
        </w:rPr>
      </w:sdtEndPr>
      <w:sdtContent>
        <w:p>
          <w:pPr>
            <w:jc w:val="center"/>
            <w:rPr>
              <w:color w:val="auto"/>
              <w:sz w:val="40"/>
              <w:szCs w:val="48"/>
              <w:highlight w:val="none"/>
            </w:rPr>
          </w:pPr>
          <w:r>
            <w:rPr>
              <w:rFonts w:ascii="宋体" w:hAnsi="宋体"/>
              <w:color w:val="auto"/>
              <w:sz w:val="40"/>
              <w:szCs w:val="48"/>
              <w:highlight w:val="none"/>
            </w:rPr>
            <w:t>目录</w:t>
          </w:r>
        </w:p>
        <w:p>
          <w:pPr>
            <w:pStyle w:val="994"/>
            <w:tabs>
              <w:tab w:val="right" w:leader="dot" w:pos="8787"/>
            </w:tabs>
            <w:rPr>
              <w:color w:val="auto"/>
              <w:sz w:val="36"/>
              <w:szCs w:val="36"/>
              <w:highlight w:val="none"/>
            </w:rPr>
          </w:pPr>
          <w:r>
            <w:rPr>
              <w:rFonts w:ascii="仿宋" w:hAnsi="仿宋" w:eastAsia="仿宋" w:cs="仿宋_GB2312"/>
              <w:color w:val="auto"/>
              <w:sz w:val="48"/>
              <w:szCs w:val="36"/>
              <w:highlight w:val="none"/>
            </w:rPr>
            <w:fldChar w:fldCharType="begin"/>
          </w:r>
          <w:r>
            <w:rPr>
              <w:rFonts w:ascii="仿宋" w:hAnsi="仿宋" w:eastAsia="仿宋" w:cs="仿宋_GB2312"/>
              <w:color w:val="auto"/>
              <w:sz w:val="48"/>
              <w:szCs w:val="36"/>
              <w:highlight w:val="none"/>
            </w:rPr>
            <w:instrText xml:space="preserve">TOC \o "1-1" \h \u </w:instrText>
          </w:r>
          <w:r>
            <w:rPr>
              <w:rFonts w:ascii="仿宋" w:hAnsi="仿宋" w:eastAsia="仿宋" w:cs="仿宋_GB2312"/>
              <w:color w:val="auto"/>
              <w:sz w:val="48"/>
              <w:szCs w:val="36"/>
              <w:highlight w:val="none"/>
            </w:rPr>
            <w:fldChar w:fldCharType="separate"/>
          </w:r>
          <w:r>
            <w:rPr>
              <w:color w:val="auto"/>
              <w:highlight w:val="none"/>
            </w:rPr>
            <w:fldChar w:fldCharType="begin"/>
          </w:r>
          <w:r>
            <w:rPr>
              <w:color w:val="auto"/>
              <w:highlight w:val="none"/>
            </w:rPr>
            <w:instrText xml:space="preserve"> HYPERLINK \l "_Toc2828" </w:instrText>
          </w:r>
          <w:r>
            <w:rPr>
              <w:color w:val="auto"/>
              <w:highlight w:val="none"/>
            </w:rPr>
            <w:fldChar w:fldCharType="separate"/>
          </w:r>
          <w:r>
            <w:rPr>
              <w:rFonts w:hint="eastAsia" w:ascii="仿宋" w:hAnsi="仿宋" w:eastAsia="仿宋" w:cs="仿宋_GB2312"/>
              <w:color w:val="auto"/>
              <w:sz w:val="36"/>
              <w:szCs w:val="36"/>
              <w:highlight w:val="none"/>
            </w:rPr>
            <w:t>第一部分  招标公告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_Toc2828 \h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r>
            <w:rPr>
              <w:color w:val="auto"/>
              <w:highlight w:val="none"/>
            </w:rPr>
            <w:fldChar w:fldCharType="begin"/>
          </w:r>
          <w:r>
            <w:rPr>
              <w:color w:val="auto"/>
              <w:highlight w:val="none"/>
            </w:rPr>
            <w:instrText xml:space="preserve"> HYPERLINK \l "_Toc16920" </w:instrText>
          </w:r>
          <w:r>
            <w:rPr>
              <w:color w:val="auto"/>
              <w:highlight w:val="none"/>
            </w:rPr>
            <w:fldChar w:fldCharType="separate"/>
          </w:r>
          <w:r>
            <w:rPr>
              <w:rFonts w:hint="eastAsia" w:ascii="仿宋" w:hAnsi="仿宋" w:eastAsia="仿宋"/>
              <w:color w:val="auto"/>
              <w:sz w:val="36"/>
              <w:szCs w:val="72"/>
              <w:highlight w:val="none"/>
            </w:rPr>
            <w:t>第二部分  投标人须知</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_Toc16920 \h </w:instrText>
          </w:r>
          <w:r>
            <w:rPr>
              <w:color w:val="auto"/>
              <w:sz w:val="36"/>
              <w:szCs w:val="36"/>
              <w:highlight w:val="none"/>
            </w:rPr>
            <w:fldChar w:fldCharType="separate"/>
          </w:r>
          <w:r>
            <w:rPr>
              <w:color w:val="auto"/>
              <w:sz w:val="36"/>
              <w:szCs w:val="36"/>
              <w:highlight w:val="none"/>
            </w:rPr>
            <w:t>5</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r>
            <w:rPr>
              <w:color w:val="auto"/>
              <w:highlight w:val="none"/>
            </w:rPr>
            <w:fldChar w:fldCharType="begin"/>
          </w:r>
          <w:r>
            <w:rPr>
              <w:color w:val="auto"/>
              <w:highlight w:val="none"/>
            </w:rPr>
            <w:instrText xml:space="preserve"> HYPERLINK \l "_Toc31286" </w:instrText>
          </w:r>
          <w:r>
            <w:rPr>
              <w:color w:val="auto"/>
              <w:highlight w:val="none"/>
            </w:rPr>
            <w:fldChar w:fldCharType="separate"/>
          </w:r>
          <w:r>
            <w:rPr>
              <w:rFonts w:hint="eastAsia" w:ascii="仿宋" w:hAnsi="仿宋" w:eastAsia="仿宋" w:cs="仿宋_GB2312"/>
              <w:color w:val="auto"/>
              <w:sz w:val="36"/>
              <w:szCs w:val="72"/>
              <w:highlight w:val="none"/>
            </w:rPr>
            <w:t>第三部分  采购需求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_Toc31286 \h </w:instrText>
          </w:r>
          <w:r>
            <w:rPr>
              <w:color w:val="auto"/>
              <w:sz w:val="36"/>
              <w:szCs w:val="36"/>
              <w:highlight w:val="none"/>
            </w:rPr>
            <w:fldChar w:fldCharType="separate"/>
          </w:r>
          <w:r>
            <w:rPr>
              <w:color w:val="auto"/>
              <w:sz w:val="36"/>
              <w:szCs w:val="36"/>
              <w:highlight w:val="none"/>
            </w:rPr>
            <w:t>21</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r>
            <w:rPr>
              <w:color w:val="auto"/>
              <w:highlight w:val="none"/>
            </w:rPr>
            <w:fldChar w:fldCharType="begin"/>
          </w:r>
          <w:r>
            <w:rPr>
              <w:color w:val="auto"/>
              <w:highlight w:val="none"/>
            </w:rPr>
            <w:instrText xml:space="preserve"> HYPERLINK \l "_Toc14220" </w:instrText>
          </w:r>
          <w:r>
            <w:rPr>
              <w:color w:val="auto"/>
              <w:highlight w:val="none"/>
            </w:rPr>
            <w:fldChar w:fldCharType="separate"/>
          </w:r>
          <w:r>
            <w:rPr>
              <w:rFonts w:hint="eastAsia" w:ascii="仿宋" w:hAnsi="仿宋" w:eastAsia="仿宋" w:cs="仿宋_GB2312"/>
              <w:color w:val="auto"/>
              <w:sz w:val="36"/>
              <w:szCs w:val="72"/>
              <w:highlight w:val="none"/>
            </w:rPr>
            <w:t>第四部分  拟签订的合同文本</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_Toc14220 \h </w:instrText>
          </w:r>
          <w:r>
            <w:rPr>
              <w:color w:val="auto"/>
              <w:sz w:val="36"/>
              <w:szCs w:val="36"/>
              <w:highlight w:val="none"/>
            </w:rPr>
            <w:fldChar w:fldCharType="separate"/>
          </w:r>
          <w:r>
            <w:rPr>
              <w:color w:val="auto"/>
              <w:sz w:val="36"/>
              <w:szCs w:val="36"/>
              <w:highlight w:val="none"/>
            </w:rPr>
            <w:t>40</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r>
            <w:rPr>
              <w:color w:val="auto"/>
              <w:highlight w:val="none"/>
            </w:rPr>
            <w:fldChar w:fldCharType="begin"/>
          </w:r>
          <w:r>
            <w:rPr>
              <w:color w:val="auto"/>
              <w:highlight w:val="none"/>
            </w:rPr>
            <w:instrText xml:space="preserve"> HYPERLINK \l "_Toc5679" </w:instrText>
          </w:r>
          <w:r>
            <w:rPr>
              <w:color w:val="auto"/>
              <w:highlight w:val="none"/>
            </w:rPr>
            <w:fldChar w:fldCharType="separate"/>
          </w:r>
          <w:r>
            <w:rPr>
              <w:rFonts w:hint="eastAsia" w:ascii="仿宋" w:hAnsi="仿宋" w:eastAsia="仿宋" w:cs="仿宋_GB2312"/>
              <w:color w:val="auto"/>
              <w:sz w:val="36"/>
              <w:szCs w:val="36"/>
              <w:highlight w:val="none"/>
            </w:rPr>
            <w:t>第五部分  应提交的有关格式范例</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_Toc5679 \h </w:instrText>
          </w:r>
          <w:r>
            <w:rPr>
              <w:color w:val="auto"/>
              <w:sz w:val="36"/>
              <w:szCs w:val="36"/>
              <w:highlight w:val="none"/>
            </w:rPr>
            <w:fldChar w:fldCharType="separate"/>
          </w:r>
          <w:r>
            <w:rPr>
              <w:color w:val="auto"/>
              <w:sz w:val="36"/>
              <w:szCs w:val="36"/>
              <w:highlight w:val="none"/>
            </w:rPr>
            <w:t>55</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r>
            <w:rPr>
              <w:color w:val="auto"/>
              <w:highlight w:val="none"/>
            </w:rPr>
            <w:fldChar w:fldCharType="begin"/>
          </w:r>
          <w:r>
            <w:rPr>
              <w:color w:val="auto"/>
              <w:highlight w:val="none"/>
            </w:rPr>
            <w:instrText xml:space="preserve"> HYPERLINK \l "_Toc15301" </w:instrText>
          </w:r>
          <w:r>
            <w:rPr>
              <w:color w:val="auto"/>
              <w:highlight w:val="none"/>
            </w:rPr>
            <w:fldChar w:fldCharType="separate"/>
          </w:r>
          <w:r>
            <w:rPr>
              <w:rFonts w:hint="eastAsia" w:ascii="仿宋" w:hAnsi="仿宋" w:eastAsia="仿宋" w:cs="新宋体"/>
              <w:color w:val="auto"/>
              <w:sz w:val="36"/>
              <w:szCs w:val="72"/>
              <w:highlight w:val="none"/>
            </w:rPr>
            <w:t>第六部分  评标办法</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_Toc15301 \h </w:instrText>
          </w:r>
          <w:r>
            <w:rPr>
              <w:color w:val="auto"/>
              <w:sz w:val="36"/>
              <w:szCs w:val="36"/>
              <w:highlight w:val="none"/>
            </w:rPr>
            <w:fldChar w:fldCharType="separate"/>
          </w:r>
          <w:r>
            <w:rPr>
              <w:color w:val="auto"/>
              <w:sz w:val="36"/>
              <w:szCs w:val="36"/>
              <w:highlight w:val="none"/>
            </w:rPr>
            <w:t>80</w:t>
          </w:r>
          <w:r>
            <w:rPr>
              <w:color w:val="auto"/>
              <w:sz w:val="36"/>
              <w:szCs w:val="36"/>
              <w:highlight w:val="none"/>
            </w:rPr>
            <w:fldChar w:fldCharType="end"/>
          </w:r>
          <w:r>
            <w:rPr>
              <w:color w:val="auto"/>
              <w:sz w:val="36"/>
              <w:szCs w:val="36"/>
              <w:highlight w:val="none"/>
            </w:rPr>
            <w:fldChar w:fldCharType="end"/>
          </w:r>
        </w:p>
        <w:p>
          <w:pPr>
            <w:pStyle w:val="994"/>
            <w:tabs>
              <w:tab w:val="right" w:leader="dot" w:pos="8787"/>
            </w:tabs>
            <w:rPr>
              <w:color w:val="auto"/>
              <w:sz w:val="36"/>
              <w:szCs w:val="36"/>
              <w:highlight w:val="none"/>
            </w:rPr>
          </w:pPr>
        </w:p>
        <w:p>
          <w:pPr>
            <w:spacing w:line="360" w:lineRule="auto"/>
            <w:ind w:firstLine="916" w:firstLineChars="229"/>
            <w:rPr>
              <w:rFonts w:ascii="仿宋" w:hAnsi="仿宋" w:eastAsia="仿宋" w:cs="仿宋_GB2312"/>
              <w:color w:val="auto"/>
              <w:sz w:val="48"/>
              <w:szCs w:val="48"/>
              <w:highlight w:val="none"/>
            </w:rPr>
          </w:pPr>
          <w:r>
            <w:rPr>
              <w:rFonts w:ascii="仿宋" w:hAnsi="仿宋" w:eastAsia="仿宋" w:cs="仿宋_GB2312"/>
              <w:color w:val="auto"/>
              <w:sz w:val="40"/>
              <w:szCs w:val="48"/>
              <w:highlight w:val="none"/>
            </w:rPr>
            <w:fldChar w:fldCharType="end"/>
          </w:r>
        </w:p>
      </w:sdtContent>
    </w:sdt>
    <w:p>
      <w:pPr>
        <w:adjustRightInd/>
        <w:spacing w:line="360" w:lineRule="auto"/>
        <w:jc w:val="center"/>
        <w:rPr>
          <w:rFonts w:ascii="仿宋" w:hAnsi="仿宋" w:eastAsia="仿宋" w:cs="仿宋_GB2312"/>
          <w:b/>
          <w:color w:val="auto"/>
          <w:sz w:val="72"/>
          <w:szCs w:val="36"/>
          <w:highlight w:val="none"/>
        </w:rPr>
        <w:sectPr>
          <w:pgSz w:w="11906" w:h="16838"/>
          <w:pgMar w:top="1418" w:right="1418" w:bottom="1418" w:left="1701" w:header="851" w:footer="992" w:gutter="0"/>
          <w:cols w:space="720" w:num="1"/>
          <w:docGrid w:type="lines" w:linePitch="312" w:charSpace="0"/>
        </w:sectPr>
      </w:pPr>
    </w:p>
    <w:p>
      <w:pPr>
        <w:adjustRightInd/>
        <w:spacing w:line="360" w:lineRule="auto"/>
        <w:jc w:val="center"/>
        <w:outlineLvl w:val="0"/>
        <w:rPr>
          <w:rFonts w:ascii="仿宋_GB2312" w:hAnsi="仿宋" w:eastAsia="仿宋_GB2312" w:cs="仿宋_GB2312"/>
          <w:b/>
          <w:color w:val="auto"/>
          <w:sz w:val="36"/>
          <w:szCs w:val="20"/>
          <w:highlight w:val="none"/>
        </w:rPr>
      </w:pPr>
      <w:bookmarkStart w:id="0" w:name="_Toc2828"/>
      <w:r>
        <w:rPr>
          <w:rFonts w:hint="eastAsia" w:ascii="仿宋" w:hAnsi="仿宋" w:eastAsia="仿宋" w:cs="仿宋_GB2312"/>
          <w:b/>
          <w:color w:val="auto"/>
          <w:sz w:val="36"/>
          <w:szCs w:val="20"/>
          <w:highlight w:val="none"/>
        </w:rPr>
        <w:t>第一部分  招标公告</w:t>
      </w:r>
      <w:bookmarkEnd w:id="0"/>
    </w:p>
    <w:p>
      <w:pPr>
        <w:widowControl/>
        <w:snapToGrid w:val="0"/>
        <w:spacing w:line="360" w:lineRule="auto"/>
        <w:jc w:val="left"/>
        <w:rPr>
          <w:rFonts w:ascii="宋体" w:hAnsi="宋体"/>
          <w:iCs/>
          <w:color w:val="auto"/>
          <w:kern w:val="0"/>
          <w:szCs w:val="21"/>
          <w:highlight w:val="none"/>
          <w:u w:val="single"/>
        </w:rPr>
      </w:pPr>
    </w:p>
    <w:p>
      <w:pPr>
        <w:widowControl/>
        <w:adjustRightInd/>
        <w:jc w:val="center"/>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u w:val="single"/>
        </w:rPr>
        <w:t>浙江金穗工程项目管理有限公司</w:t>
      </w:r>
      <w:r>
        <w:rPr>
          <w:rFonts w:hint="eastAsia" w:ascii="仿宋" w:hAnsi="仿宋" w:eastAsia="仿宋" w:cs="宋体"/>
          <w:b/>
          <w:bCs/>
          <w:color w:val="auto"/>
          <w:kern w:val="0"/>
          <w:sz w:val="28"/>
          <w:szCs w:val="28"/>
          <w:highlight w:val="none"/>
        </w:rPr>
        <w:t>关于</w:t>
      </w:r>
      <w:r>
        <w:rPr>
          <w:rFonts w:hint="eastAsia" w:ascii="仿宋" w:hAnsi="仿宋" w:eastAsia="仿宋" w:cs="宋体"/>
          <w:b/>
          <w:bCs/>
          <w:color w:val="auto"/>
          <w:kern w:val="0"/>
          <w:sz w:val="28"/>
          <w:szCs w:val="28"/>
          <w:highlight w:val="none"/>
          <w:u w:val="single"/>
        </w:rPr>
        <w:t>永嘉县瓯北街道东瓯片建成区环卫保洁外包服务</w:t>
      </w:r>
      <w:r>
        <w:rPr>
          <w:rFonts w:hint="eastAsia" w:ascii="仿宋" w:hAnsi="仿宋" w:eastAsia="仿宋" w:cs="宋体"/>
          <w:b/>
          <w:bCs/>
          <w:color w:val="auto"/>
          <w:kern w:val="0"/>
          <w:sz w:val="28"/>
          <w:szCs w:val="28"/>
          <w:highlight w:val="none"/>
        </w:rPr>
        <w:t>项目的公开招标公告</w:t>
      </w:r>
    </w:p>
    <w:p>
      <w:pPr>
        <w:widowControl/>
        <w:adjustRightInd/>
        <w:jc w:val="center"/>
        <w:rPr>
          <w:rFonts w:ascii="仿宋" w:hAnsi="仿宋" w:eastAsia="仿宋" w:cs="宋体"/>
          <w:b/>
          <w:bCs/>
          <w:color w:val="auto"/>
          <w:kern w:val="0"/>
          <w:sz w:val="24"/>
          <w:highlight w:val="none"/>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snapToGrid w:val="0"/>
              <w:spacing w:beforeLines="50"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项目概况</w:t>
            </w:r>
          </w:p>
          <w:p>
            <w:pPr>
              <w:widowControl/>
              <w:snapToGrid w:val="0"/>
              <w:spacing w:line="360" w:lineRule="auto"/>
              <w:ind w:firstLine="480" w:firstLineChars="200"/>
              <w:jc w:val="left"/>
              <w:rPr>
                <w:rFonts w:ascii="仿宋" w:hAnsi="仿宋" w:eastAsia="仿宋" w:cs="宋体"/>
                <w:b/>
                <w:bCs/>
                <w:color w:val="auto"/>
                <w:kern w:val="0"/>
                <w:sz w:val="24"/>
                <w:highlight w:val="none"/>
              </w:rPr>
            </w:pPr>
            <w:r>
              <w:rPr>
                <w:rFonts w:hint="eastAsia" w:ascii="仿宋" w:hAnsi="仿宋" w:eastAsia="仿宋" w:cs="宋体"/>
                <w:color w:val="auto"/>
                <w:kern w:val="0"/>
                <w:sz w:val="24"/>
                <w:highlight w:val="none"/>
                <w:u w:val="single"/>
              </w:rPr>
              <w:t>永嘉县瓯北街道东瓯片建成区环卫保洁外包服务</w:t>
            </w:r>
            <w:r>
              <w:rPr>
                <w:rFonts w:ascii="仿宋" w:hAnsi="仿宋" w:eastAsia="仿宋" w:cs="宋体"/>
                <w:color w:val="auto"/>
                <w:kern w:val="0"/>
                <w:sz w:val="24"/>
                <w:highlight w:val="none"/>
              </w:rPr>
              <w:t>项目的潜在投标人应在政采云平台https://www.zcygov.cn/获取（下载）招标文件，并于202</w:t>
            </w:r>
            <w:r>
              <w:rPr>
                <w:rFonts w:hint="eastAsia" w:ascii="仿宋_GB2312" w:hAnsi="仿宋_GB2312" w:eastAsia="仿宋_GB2312" w:cs="仿宋_GB2312"/>
                <w:bCs/>
                <w:color w:val="auto"/>
                <w:sz w:val="24"/>
                <w:highlight w:val="none"/>
              </w:rPr>
              <w:t>2</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single"/>
              </w:rPr>
              <w:t xml:space="preserve"> 0</w:t>
            </w:r>
            <w:r>
              <w:rPr>
                <w:rFonts w:hint="eastAsia" w:ascii="仿宋_GB2312" w:hAnsi="仿宋_GB2312" w:eastAsia="仿宋_GB2312" w:cs="仿宋_GB2312"/>
                <w:bCs/>
                <w:color w:val="auto"/>
                <w:sz w:val="24"/>
                <w:highlight w:val="none"/>
                <w:u w:val="single"/>
                <w:lang w:val="en-US" w:eastAsia="zh-CN"/>
              </w:rPr>
              <w:t>3</w:t>
            </w:r>
            <w:r>
              <w:rPr>
                <w:rFonts w:hint="eastAsia" w:ascii="仿宋_GB2312" w:hAnsi="仿宋_GB2312" w:eastAsia="仿宋_GB2312" w:cs="仿宋_GB2312"/>
                <w:bCs/>
                <w:color w:val="auto"/>
                <w:sz w:val="24"/>
                <w:highlight w:val="none"/>
                <w:u w:val="single"/>
              </w:rPr>
              <w:t xml:space="preserve"> </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21</w:t>
            </w:r>
            <w:r>
              <w:rPr>
                <w:rFonts w:ascii="仿宋" w:hAnsi="仿宋" w:eastAsia="仿宋" w:cs="宋体"/>
                <w:color w:val="auto"/>
                <w:kern w:val="0"/>
                <w:sz w:val="24"/>
                <w:highlight w:val="none"/>
              </w:rPr>
              <w:t>日</w:t>
            </w:r>
            <w:r>
              <w:rPr>
                <w:rFonts w:hint="eastAsia" w:ascii="仿宋_GB2312" w:hAnsi="仿宋_GB2312" w:eastAsia="仿宋_GB2312" w:cs="仿宋_GB2312"/>
                <w:bCs/>
                <w:color w:val="auto"/>
                <w:sz w:val="24"/>
                <w:highlight w:val="none"/>
                <w:u w:val="single"/>
              </w:rPr>
              <w:t>09</w:t>
            </w:r>
            <w:r>
              <w:rPr>
                <w:rFonts w:ascii="仿宋" w:hAnsi="仿宋" w:eastAsia="仿宋" w:cs="宋体"/>
                <w:color w:val="auto"/>
                <w:kern w:val="0"/>
                <w:sz w:val="24"/>
                <w:highlight w:val="none"/>
              </w:rPr>
              <w:t>:</w:t>
            </w:r>
            <w:r>
              <w:rPr>
                <w:rFonts w:hint="eastAsia" w:ascii="仿宋_GB2312" w:hAnsi="仿宋_GB2312" w:eastAsia="仿宋_GB2312" w:cs="仿宋_GB2312"/>
                <w:bCs/>
                <w:color w:val="auto"/>
                <w:sz w:val="24"/>
                <w:highlight w:val="none"/>
                <w:u w:val="single"/>
              </w:rPr>
              <w:t>30</w:t>
            </w:r>
            <w:r>
              <w:rPr>
                <w:rFonts w:ascii="仿宋" w:hAnsi="仿宋" w:eastAsia="仿宋" w:cs="宋体"/>
                <w:color w:val="auto"/>
                <w:kern w:val="0"/>
                <w:sz w:val="24"/>
                <w:highlight w:val="none"/>
              </w:rPr>
              <w:t>（北京时间）前递交（上传）投标文件。</w:t>
            </w:r>
          </w:p>
        </w:tc>
      </w:tr>
    </w:tbl>
    <w:p>
      <w:pPr>
        <w:widowControl/>
        <w:snapToGrid w:val="0"/>
        <w:spacing w:line="360" w:lineRule="auto"/>
        <w:jc w:val="center"/>
        <w:rPr>
          <w:rFonts w:ascii="仿宋" w:hAnsi="仿宋" w:eastAsia="仿宋" w:cs="宋体"/>
          <w:b/>
          <w:bCs/>
          <w:color w:val="auto"/>
          <w:kern w:val="0"/>
          <w:sz w:val="24"/>
          <w:highlight w:val="none"/>
        </w:rPr>
      </w:pP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一、项目基本情况</w:t>
      </w:r>
    </w:p>
    <w:p>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b/>
          <w:bCs/>
          <w:color w:val="auto"/>
          <w:kern w:val="0"/>
          <w:sz w:val="24"/>
          <w:highlight w:val="none"/>
        </w:rPr>
        <w:t>项目编号：</w:t>
      </w:r>
      <w:r>
        <w:rPr>
          <w:rFonts w:hint="eastAsia" w:ascii="仿宋" w:hAnsi="仿宋" w:eastAsia="仿宋" w:cs="宋体"/>
          <w:b/>
          <w:bCs/>
          <w:color w:val="auto"/>
          <w:kern w:val="0"/>
          <w:sz w:val="24"/>
          <w:highlight w:val="none"/>
        </w:rPr>
        <w:t>F-GB202202250538</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项目名称：</w:t>
      </w:r>
      <w:r>
        <w:rPr>
          <w:rFonts w:hint="eastAsia" w:ascii="仿宋" w:hAnsi="仿宋" w:eastAsia="仿宋" w:cs="宋体"/>
          <w:color w:val="auto"/>
          <w:kern w:val="0"/>
          <w:sz w:val="24"/>
          <w:highlight w:val="none"/>
          <w:u w:val="single"/>
        </w:rPr>
        <w:t>永嘉县瓯北街道东瓯片建成区环卫保洁外包服务</w:t>
      </w:r>
      <w:r>
        <w:rPr>
          <w:rFonts w:ascii="仿宋" w:hAnsi="仿宋" w:eastAsia="仿宋" w:cs="宋体"/>
          <w:color w:val="auto"/>
          <w:kern w:val="0"/>
          <w:sz w:val="24"/>
          <w:highlight w:val="none"/>
          <w:u w:val="single"/>
        </w:rPr>
        <w:t>项目</w:t>
      </w:r>
    </w:p>
    <w:p>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预算金额（元）：</w:t>
      </w:r>
      <w:r>
        <w:rPr>
          <w:rFonts w:hint="eastAsia" w:ascii="仿宋_GB2312" w:hAnsi="仿宋_GB2312" w:eastAsia="仿宋_GB2312" w:cs="仿宋_GB2312"/>
          <w:bCs/>
          <w:color w:val="auto"/>
          <w:sz w:val="24"/>
          <w:highlight w:val="none"/>
          <w:u w:val="single"/>
        </w:rPr>
        <w:t xml:space="preserve">37284781   </w:t>
      </w:r>
    </w:p>
    <w:p>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最高限价（元）：</w:t>
      </w:r>
      <w:r>
        <w:rPr>
          <w:rFonts w:hint="eastAsia" w:ascii="仿宋_GB2312" w:hAnsi="仿宋_GB2312" w:eastAsia="仿宋_GB2312" w:cs="仿宋_GB2312"/>
          <w:bCs/>
          <w:color w:val="auto"/>
          <w:sz w:val="24"/>
          <w:highlight w:val="none"/>
          <w:u w:val="single"/>
        </w:rPr>
        <w:t xml:space="preserve">37284781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采购需求：</w:t>
      </w:r>
    </w:p>
    <w:p>
      <w:pPr>
        <w:widowControl/>
        <w:snapToGrid w:val="0"/>
        <w:spacing w:line="360" w:lineRule="auto"/>
        <w:ind w:left="420" w:leftChars="200"/>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标项名称:</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永嘉县瓯北街道东瓯片建成区环卫保洁外包服务</w:t>
      </w:r>
      <w:r>
        <w:rPr>
          <w:rFonts w:ascii="仿宋" w:hAnsi="仿宋" w:eastAsia="仿宋" w:cs="宋体"/>
          <w:color w:val="auto"/>
          <w:kern w:val="0"/>
          <w:sz w:val="24"/>
          <w:highlight w:val="none"/>
          <w:u w:val="single"/>
        </w:rPr>
        <w:t>项目</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数量:</w:t>
      </w:r>
      <w:r>
        <w:rPr>
          <w:rFonts w:hint="eastAsia" w:ascii="仿宋_GB2312" w:hAnsi="仿宋_GB2312" w:eastAsia="仿宋_GB2312" w:cs="仿宋_GB2312"/>
          <w:bCs/>
          <w:color w:val="auto"/>
          <w:sz w:val="24"/>
          <w:highlight w:val="none"/>
          <w:u w:val="single"/>
        </w:rPr>
        <w:t xml:space="preserve">  1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预算金额（元）:</w:t>
      </w:r>
      <w:r>
        <w:rPr>
          <w:rFonts w:hint="eastAsia" w:ascii="仿宋_GB2312" w:hAnsi="仿宋_GB2312" w:eastAsia="仿宋_GB2312" w:cs="仿宋_GB2312"/>
          <w:bCs/>
          <w:color w:val="auto"/>
          <w:sz w:val="24"/>
          <w:highlight w:val="none"/>
          <w:u w:val="single"/>
        </w:rPr>
        <w:t xml:space="preserve">  37284781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简要规格描述或项目基本概况介绍、用途：</w:t>
      </w:r>
      <w:r>
        <w:rPr>
          <w:rFonts w:hint="eastAsia" w:ascii="仿宋" w:hAnsi="仿宋" w:eastAsia="仿宋" w:cs="宋体"/>
          <w:color w:val="auto"/>
          <w:kern w:val="0"/>
          <w:sz w:val="24"/>
          <w:highlight w:val="none"/>
        </w:rPr>
        <w:t>详见招标文件</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备注：</w:t>
      </w:r>
      <w:r>
        <w:rPr>
          <w:rFonts w:hint="eastAsia" w:ascii="仿宋_GB2312" w:hAnsi="仿宋_GB2312" w:eastAsia="仿宋_GB2312" w:cs="仿宋_GB2312"/>
          <w:bCs/>
          <w:color w:val="auto"/>
          <w:sz w:val="24"/>
          <w:highlight w:val="none"/>
          <w:u w:val="single"/>
        </w:rPr>
        <w:t xml:space="preserve"> 无   </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合同履约期限：</w:t>
      </w:r>
      <w:r>
        <w:rPr>
          <w:rFonts w:hint="eastAsia" w:ascii="仿宋" w:hAnsi="仿宋" w:eastAsia="仿宋" w:cs="宋体"/>
          <w:color w:val="auto"/>
          <w:kern w:val="0"/>
          <w:sz w:val="24"/>
          <w:highlight w:val="none"/>
        </w:rPr>
        <w:t>3年，详见招标文件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本项目</w:t>
      </w:r>
      <w:r>
        <w:rPr>
          <w:rFonts w:ascii="仿宋" w:hAnsi="仿宋" w:eastAsia="仿宋" w:cs="宋体"/>
          <w:color w:val="auto"/>
          <w:kern w:val="0"/>
          <w:sz w:val="24"/>
          <w:highlight w:val="none"/>
          <w:u w:val="single"/>
        </w:rPr>
        <w:t>（否）</w:t>
      </w:r>
      <w:r>
        <w:rPr>
          <w:rFonts w:ascii="仿宋" w:hAnsi="仿宋" w:eastAsia="仿宋" w:cs="宋体"/>
          <w:color w:val="auto"/>
          <w:kern w:val="0"/>
          <w:sz w:val="24"/>
          <w:highlight w:val="none"/>
        </w:rPr>
        <w:t>接受联合体投标。</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二、申请人的资格要求</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2.落实政府采购政策需满足的资格要求：</w:t>
      </w:r>
    </w:p>
    <w:p>
      <w:pPr>
        <w:widowControl/>
        <w:snapToGrid w:val="0"/>
        <w:spacing w:line="360" w:lineRule="auto"/>
        <w:jc w:val="left"/>
        <w:rPr>
          <w:color w:val="auto"/>
          <w:highlight w:val="none"/>
        </w:rPr>
      </w:pPr>
      <w:r>
        <w:rPr>
          <w:rFonts w:hint="eastAsia" w:ascii="仿宋" w:hAnsi="Segoe UI Symbol" w:eastAsia="仿宋" w:cs="Segoe UI Symbol"/>
          <w:color w:val="auto"/>
          <w:kern w:val="0"/>
          <w:sz w:val="24"/>
          <w:highlight w:val="none"/>
          <w:u w:val="single"/>
        </w:rPr>
        <w:sym w:font="Wingdings" w:char="00FE"/>
      </w:r>
      <w:r>
        <w:rPr>
          <w:rFonts w:hint="eastAsia" w:ascii="仿宋" w:hAnsi="仿宋" w:eastAsia="仿宋" w:cs="宋体"/>
          <w:color w:val="auto"/>
          <w:kern w:val="0"/>
          <w:sz w:val="24"/>
          <w:highlight w:val="none"/>
          <w:u w:val="single"/>
        </w:rPr>
        <w:t>专门面向中小企业</w:t>
      </w:r>
      <w:r>
        <w:rPr>
          <w:rFonts w:hint="eastAsia" w:ascii="仿宋" w:hAnsi="Segoe UI Symbol" w:eastAsia="仿宋" w:cs="Segoe UI Symbol"/>
          <w:color w:val="auto"/>
          <w:kern w:val="0"/>
          <w:sz w:val="24"/>
          <w:highlight w:val="none"/>
          <w:u w:val="single"/>
        </w:rPr>
        <w:t>，</w:t>
      </w:r>
      <w:r>
        <w:rPr>
          <w:rFonts w:hint="eastAsia" w:ascii="仿宋" w:hAnsi="仿宋" w:eastAsia="仿宋" w:cs="宋体"/>
          <w:color w:val="auto"/>
          <w:kern w:val="0"/>
          <w:sz w:val="24"/>
          <w:highlight w:val="none"/>
          <w:u w:val="single"/>
        </w:rPr>
        <w:t>提供中小企业声明函。</w:t>
      </w:r>
    </w:p>
    <w:p>
      <w:pPr>
        <w:widowControl/>
        <w:snapToGrid w:val="0"/>
        <w:spacing w:line="360" w:lineRule="auto"/>
        <w:jc w:val="left"/>
        <w:rPr>
          <w:rFonts w:ascii="仿宋" w:hAnsi="仿宋" w:eastAsia="仿宋" w:cs="宋体"/>
          <w:color w:val="auto"/>
          <w:kern w:val="0"/>
          <w:sz w:val="24"/>
          <w:highlight w:val="none"/>
          <w:u w:val="single"/>
        </w:rPr>
      </w:pPr>
      <w:r>
        <w:rPr>
          <w:rFonts w:ascii="仿宋" w:hAnsi="仿宋" w:eastAsia="仿宋" w:cs="宋体"/>
          <w:color w:val="auto"/>
          <w:kern w:val="0"/>
          <w:sz w:val="24"/>
          <w:highlight w:val="none"/>
        </w:rPr>
        <w:t>3.本项目的特定资格要求：</w:t>
      </w:r>
      <w:r>
        <w:rPr>
          <w:rFonts w:hint="eastAsia" w:ascii="仿宋" w:hAnsi="仿宋" w:eastAsia="仿宋" w:cs="宋体"/>
          <w:color w:val="auto"/>
          <w:kern w:val="0"/>
          <w:sz w:val="24"/>
          <w:highlight w:val="none"/>
          <w:u w:val="single"/>
        </w:rPr>
        <w:t xml:space="preserve">            无                    </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三、获取招标文件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时间：/至202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single"/>
        </w:rPr>
        <w:t>03</w:t>
      </w:r>
      <w:r>
        <w:rPr>
          <w:rFonts w:ascii="仿宋" w:hAnsi="仿宋" w:eastAsia="仿宋" w:cs="宋体"/>
          <w:color w:val="auto"/>
          <w:kern w:val="0"/>
          <w:sz w:val="24"/>
          <w:highlight w:val="none"/>
        </w:rPr>
        <w:t>月</w:t>
      </w:r>
      <w:r>
        <w:rPr>
          <w:rFonts w:hint="eastAsia" w:ascii="仿宋_GB2312" w:hAnsi="仿宋_GB2312" w:eastAsia="仿宋_GB2312" w:cs="仿宋_GB2312"/>
          <w:bCs/>
          <w:color w:val="auto"/>
          <w:sz w:val="24"/>
          <w:highlight w:val="none"/>
          <w:u w:val="single"/>
          <w:lang w:val="en-US" w:eastAsia="zh-CN"/>
        </w:rPr>
        <w:t>21</w:t>
      </w:r>
      <w:r>
        <w:rPr>
          <w:rFonts w:ascii="仿宋" w:hAnsi="仿宋" w:eastAsia="仿宋" w:cs="宋体"/>
          <w:color w:val="auto"/>
          <w:kern w:val="0"/>
          <w:sz w:val="24"/>
          <w:highlight w:val="none"/>
        </w:rPr>
        <w:t>日，每天上午00:00至12:00，下午12:00至23:59（北京时间，线上获取法定节假日均可，线下获取文件法定节假日除外）</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地点（网址）：政采云平台https://www.zcygov.cn/</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方式：投标人登录政采云平台https://www.zcygov.cn/在线申请获取招标文件（进入“项目采购”应用，在获取招标文件菜单中选择项目，申请获取招标文件）</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售价（元）：0</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四、提交投标文件截止时间、开标时间和地点</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提交投标文件截止时间：202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single"/>
        </w:rPr>
        <w:t>03</w:t>
      </w:r>
      <w:r>
        <w:rPr>
          <w:rFonts w:ascii="仿宋" w:hAnsi="仿宋" w:eastAsia="仿宋" w:cs="宋体"/>
          <w:color w:val="auto"/>
          <w:kern w:val="0"/>
          <w:sz w:val="24"/>
          <w:highlight w:val="none"/>
        </w:rPr>
        <w:t>月</w:t>
      </w:r>
      <w:r>
        <w:rPr>
          <w:rFonts w:hint="eastAsia" w:ascii="仿宋_GB2312" w:hAnsi="仿宋_GB2312" w:eastAsia="仿宋_GB2312" w:cs="仿宋_GB2312"/>
          <w:bCs/>
          <w:color w:val="auto"/>
          <w:sz w:val="24"/>
          <w:highlight w:val="none"/>
          <w:u w:val="single"/>
          <w:lang w:val="en-US" w:eastAsia="zh-CN"/>
        </w:rPr>
        <w:t>21</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u w:val="single"/>
        </w:rPr>
        <w:t>09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u w:val="single"/>
        </w:rPr>
        <w:t>30</w:t>
      </w:r>
      <w:r>
        <w:rPr>
          <w:rFonts w:ascii="仿宋" w:hAnsi="仿宋" w:eastAsia="仿宋" w:cs="宋体"/>
          <w:color w:val="auto"/>
          <w:kern w:val="0"/>
          <w:sz w:val="24"/>
          <w:highlight w:val="none"/>
        </w:rPr>
        <w:t>（北京时间）</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投标地点（网址）：政采云平台（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ascii="仿宋" w:hAnsi="仿宋" w:eastAsia="仿宋" w:cs="宋体"/>
          <w:color w:val="auto"/>
          <w:kern w:val="0"/>
          <w:sz w:val="24"/>
          <w:highlight w:val="none"/>
        </w:rPr>
        <w:t>https://www.zcygov.cn/）</w:t>
      </w:r>
      <w:r>
        <w:rPr>
          <w:rStyle w:val="71"/>
          <w:rFonts w:ascii="仿宋" w:hAnsi="仿宋" w:eastAsia="仿宋" w:cs="宋体"/>
          <w:color w:val="auto"/>
          <w:kern w:val="0"/>
          <w:sz w:val="24"/>
          <w:highlight w:val="none"/>
        </w:rPr>
        <w:fldChar w:fldCharType="end"/>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开标时间：202</w:t>
      </w: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年</w:t>
      </w:r>
      <w:r>
        <w:rPr>
          <w:rFonts w:hint="eastAsia" w:ascii="仿宋_GB2312" w:hAnsi="仿宋_GB2312" w:eastAsia="仿宋_GB2312" w:cs="仿宋_GB2312"/>
          <w:bCs/>
          <w:color w:val="auto"/>
          <w:sz w:val="24"/>
          <w:highlight w:val="none"/>
          <w:u w:val="single"/>
        </w:rPr>
        <w:t>03</w:t>
      </w:r>
      <w:r>
        <w:rPr>
          <w:rFonts w:ascii="仿宋" w:hAnsi="仿宋" w:eastAsia="仿宋" w:cs="宋体"/>
          <w:color w:val="auto"/>
          <w:kern w:val="0"/>
          <w:sz w:val="24"/>
          <w:highlight w:val="none"/>
        </w:rPr>
        <w:t>月</w:t>
      </w:r>
      <w:r>
        <w:rPr>
          <w:rFonts w:hint="eastAsia" w:ascii="仿宋" w:hAnsi="仿宋" w:eastAsia="仿宋" w:cs="宋体"/>
          <w:color w:val="auto"/>
          <w:kern w:val="0"/>
          <w:sz w:val="24"/>
          <w:highlight w:val="none"/>
          <w:lang w:val="en-US" w:eastAsia="zh-CN"/>
        </w:rPr>
        <w:t>2</w:t>
      </w:r>
      <w:r>
        <w:rPr>
          <w:rFonts w:hint="eastAsia" w:ascii="仿宋_GB2312" w:hAnsi="仿宋_GB2312" w:eastAsia="仿宋_GB2312" w:cs="仿宋_GB2312"/>
          <w:bCs/>
          <w:color w:val="auto"/>
          <w:sz w:val="24"/>
          <w:highlight w:val="none"/>
          <w:u w:val="single"/>
          <w:lang w:val="en-US" w:eastAsia="zh-CN"/>
        </w:rPr>
        <w:t>1</w:t>
      </w:r>
      <w:r>
        <w:rPr>
          <w:rFonts w:ascii="仿宋" w:hAnsi="仿宋" w:eastAsia="仿宋" w:cs="宋体"/>
          <w:color w:val="auto"/>
          <w:kern w:val="0"/>
          <w:sz w:val="24"/>
          <w:highlight w:val="none"/>
        </w:rPr>
        <w:t>日</w:t>
      </w:r>
      <w:r>
        <w:rPr>
          <w:rFonts w:hint="eastAsia" w:ascii="仿宋" w:hAnsi="仿宋" w:eastAsia="仿宋" w:cs="宋体"/>
          <w:color w:val="auto"/>
          <w:kern w:val="0"/>
          <w:sz w:val="24"/>
          <w:highlight w:val="none"/>
          <w:u w:val="single"/>
        </w:rPr>
        <w:t>09</w:t>
      </w:r>
      <w:r>
        <w:rPr>
          <w:rFonts w:ascii="仿宋" w:hAnsi="仿宋" w:eastAsia="仿宋" w:cs="宋体"/>
          <w:color w:val="auto"/>
          <w:kern w:val="0"/>
          <w:sz w:val="24"/>
          <w:highlight w:val="none"/>
        </w:rPr>
        <w:t>:</w:t>
      </w:r>
      <w:r>
        <w:rPr>
          <w:rFonts w:hint="eastAsia" w:ascii="仿宋" w:hAnsi="仿宋" w:eastAsia="仿宋" w:cs="宋体"/>
          <w:color w:val="auto"/>
          <w:kern w:val="0"/>
          <w:sz w:val="24"/>
          <w:highlight w:val="none"/>
          <w:u w:val="single"/>
        </w:rPr>
        <w:t>30</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开标地点（网址）：政采云平台（https://www.zcygov.cn/）</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五、采购意向公开链接</w:t>
      </w:r>
    </w:p>
    <w:p>
      <w:pPr>
        <w:widowControl/>
        <w:snapToGrid w:val="0"/>
        <w:spacing w:line="360" w:lineRule="auto"/>
        <w:rPr>
          <w:rFonts w:ascii="仿宋" w:hAnsi="仿宋" w:eastAsia="仿宋" w:cs="宋体"/>
          <w:b/>
          <w:bCs/>
          <w:color w:val="auto"/>
          <w:kern w:val="0"/>
          <w:sz w:val="24"/>
          <w:highlight w:val="none"/>
        </w:rPr>
      </w:pPr>
      <w:r>
        <w:rPr>
          <w:color w:val="auto"/>
          <w:highlight w:val="none"/>
        </w:rPr>
        <w:fldChar w:fldCharType="begin"/>
      </w:r>
      <w:r>
        <w:rPr>
          <w:color w:val="auto"/>
          <w:highlight w:val="none"/>
        </w:rPr>
        <w:instrText xml:space="preserve"> HYPERLINK "https://zfcg.czt.zj.gov.cn/innerUsed_noticeDetails/index.html?noticeId=8519689&amp;utm=web-government-front.49399a16.0.0.b8519d508d9611ecb6958108396b91d1" </w:instrText>
      </w:r>
      <w:r>
        <w:rPr>
          <w:color w:val="auto"/>
          <w:highlight w:val="none"/>
        </w:rPr>
        <w:fldChar w:fldCharType="separate"/>
      </w:r>
      <w:r>
        <w:rPr>
          <w:rStyle w:val="71"/>
          <w:rFonts w:hint="eastAsia" w:ascii="仿宋" w:hAnsi="仿宋" w:eastAsia="仿宋" w:cs="宋体"/>
          <w:b/>
          <w:bCs/>
          <w:color w:val="auto"/>
          <w:kern w:val="0"/>
          <w:sz w:val="24"/>
          <w:highlight w:val="none"/>
        </w:rPr>
        <w:t>https://zfcg.czt.zj.gov.cn/innerUsed_noticeDetails/index.html?noticeId=8519689&amp;utm=web-government-front.49399a16.0.0.b8519d508d9611ecb6958108396b91d1</w:t>
      </w:r>
      <w:r>
        <w:rPr>
          <w:rStyle w:val="71"/>
          <w:rFonts w:hint="eastAsia" w:ascii="仿宋" w:hAnsi="仿宋" w:eastAsia="仿宋" w:cs="宋体"/>
          <w:b/>
          <w:bCs/>
          <w:color w:val="auto"/>
          <w:kern w:val="0"/>
          <w:sz w:val="24"/>
          <w:highlight w:val="none"/>
        </w:rPr>
        <w:fldChar w:fldCharType="end"/>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六、公告期限</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自本公告发布之日起5个工作日。</w:t>
      </w:r>
    </w:p>
    <w:p>
      <w:pPr>
        <w:widowControl/>
        <w:snapToGrid w:val="0"/>
        <w:spacing w:line="360" w:lineRule="auto"/>
        <w:rPr>
          <w:rFonts w:ascii="仿宋" w:hAnsi="仿宋" w:eastAsia="仿宋" w:cs="宋体"/>
          <w:color w:val="auto"/>
          <w:kern w:val="0"/>
          <w:sz w:val="24"/>
          <w:highlight w:val="none"/>
        </w:rPr>
      </w:pPr>
      <w:r>
        <w:rPr>
          <w:rFonts w:hint="eastAsia" w:ascii="仿宋" w:hAnsi="仿宋" w:eastAsia="仿宋" w:cs="宋体"/>
          <w:b/>
          <w:bCs/>
          <w:color w:val="auto"/>
          <w:kern w:val="0"/>
          <w:sz w:val="24"/>
          <w:highlight w:val="none"/>
        </w:rPr>
        <w:t>七、其他补充事宜</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2.其他事项：</w:t>
      </w:r>
      <w:r>
        <w:rPr>
          <w:rFonts w:hint="eastAsia" w:ascii="仿宋" w:hAnsi="仿宋" w:eastAsia="仿宋" w:cs="宋体"/>
          <w:i w:val="0"/>
          <w:color w:val="auto"/>
          <w:kern w:val="0"/>
          <w:sz w:val="24"/>
          <w:highlight w:val="none"/>
          <w:u w:val="single"/>
        </w:rPr>
        <w:t>（1）</w:t>
      </w:r>
      <w:r>
        <w:rPr>
          <w:rFonts w:ascii="仿宋" w:hAnsi="仿宋" w:eastAsia="仿宋" w:cs="宋体"/>
          <w:i w:val="0"/>
          <w:color w:val="auto"/>
          <w:kern w:val="0"/>
          <w:sz w:val="24"/>
          <w:highlight w:val="none"/>
          <w:u w:val="single"/>
        </w:rPr>
        <w:t>电子招投标：本项目以数据电文形式，依托“政采云平台（www.zcygov.cn）”进行招投标活动，各投标人应按照本项目招标文件和政采云平台的要求编制、加密并递交投标文件，不接受纸质投标文件。</w:t>
      </w:r>
      <w:r>
        <w:rPr>
          <w:rFonts w:ascii="仿宋" w:hAnsi="仿宋" w:eastAsia="仿宋" w:cs="宋体"/>
          <w:i w:val="0"/>
          <w:color w:val="auto"/>
          <w:kern w:val="0"/>
          <w:sz w:val="24"/>
          <w:highlight w:val="none"/>
          <w:u w:val="single"/>
        </w:rPr>
        <w:br w:type="textWrapping"/>
      </w:r>
      <w:r>
        <w:rPr>
          <w:rFonts w:hint="eastAsia" w:ascii="仿宋" w:hAnsi="仿宋" w:eastAsia="仿宋" w:cs="宋体"/>
          <w:i w:val="0"/>
          <w:color w:val="auto"/>
          <w:kern w:val="0"/>
          <w:sz w:val="24"/>
          <w:highlight w:val="none"/>
          <w:u w:val="single"/>
        </w:rPr>
        <w:t>（2）</w:t>
      </w:r>
      <w:r>
        <w:rPr>
          <w:rFonts w:ascii="仿宋" w:hAnsi="仿宋" w:eastAsia="仿宋" w:cs="宋体"/>
          <w:i w:val="0"/>
          <w:color w:val="auto"/>
          <w:kern w:val="0"/>
          <w:sz w:val="24"/>
          <w:highlight w:val="none"/>
          <w:u w:val="single"/>
        </w:rPr>
        <w:t>投标准备：</w:t>
      </w:r>
      <w:r>
        <w:rPr>
          <w:rFonts w:ascii="仿宋" w:hAnsi="仿宋" w:eastAsia="仿宋" w:cs="宋体"/>
          <w:i w:val="0"/>
          <w:color w:val="auto"/>
          <w:kern w:val="0"/>
          <w:sz w:val="24"/>
          <w:highlight w:val="none"/>
          <w:u w:val="single"/>
        </w:rPr>
        <w:br w:type="textWrapping"/>
      </w:r>
      <w:r>
        <w:rPr>
          <w:rFonts w:ascii="仿宋" w:hAnsi="仿宋" w:eastAsia="仿宋" w:cs="宋体"/>
          <w:i w:val="0"/>
          <w:color w:val="auto"/>
          <w:kern w:val="0"/>
          <w:sz w:val="24"/>
          <w:highlight w:val="none"/>
          <w:u w:val="single"/>
        </w:rPr>
        <w:t>1)注册账号--点击“商家入驻”，进行政府采购供应商资料填写，通过审核后可成为正式供应商；</w:t>
      </w:r>
      <w:r>
        <w:rPr>
          <w:rFonts w:ascii="仿宋" w:hAnsi="仿宋" w:eastAsia="仿宋" w:cs="宋体"/>
          <w:i w:val="0"/>
          <w:color w:val="auto"/>
          <w:kern w:val="0"/>
          <w:sz w:val="24"/>
          <w:highlight w:val="none"/>
          <w:u w:val="single"/>
        </w:rPr>
        <w:br w:type="textWrapping"/>
      </w:r>
      <w:r>
        <w:rPr>
          <w:rFonts w:ascii="仿宋" w:hAnsi="仿宋" w:eastAsia="仿宋" w:cs="宋体"/>
          <w:i w:val="0"/>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ascii="仿宋" w:hAnsi="仿宋" w:eastAsia="仿宋" w:cs="宋体"/>
          <w:i w:val="0"/>
          <w:color w:val="auto"/>
          <w:kern w:val="0"/>
          <w:sz w:val="24"/>
          <w:highlight w:val="none"/>
          <w:u w:val="single"/>
        </w:rPr>
        <w:br w:type="textWrapping"/>
      </w:r>
      <w:r>
        <w:rPr>
          <w:rFonts w:ascii="仿宋" w:hAnsi="仿宋" w:eastAsia="仿宋" w:cs="宋体"/>
          <w:i w:val="0"/>
          <w:color w:val="auto"/>
          <w:kern w:val="0"/>
          <w:sz w:val="24"/>
          <w:highlight w:val="none"/>
          <w:u w:val="single"/>
        </w:rPr>
        <w:t>办理流程详见:《CA证书办理操作指南》https://service.zcygov.cn/#/knowledges/cm2eqWwBFdiHxlNd_otq/lwV6GXABiyELHE-oVMj3</w:t>
      </w:r>
      <w:r>
        <w:rPr>
          <w:rFonts w:ascii="仿宋" w:hAnsi="仿宋" w:eastAsia="仿宋" w:cs="宋体"/>
          <w:i w:val="0"/>
          <w:color w:val="auto"/>
          <w:kern w:val="0"/>
          <w:sz w:val="24"/>
          <w:highlight w:val="none"/>
          <w:u w:val="single"/>
        </w:rPr>
        <w:br w:type="textWrapping"/>
      </w:r>
      <w:r>
        <w:rPr>
          <w:rFonts w:ascii="仿宋" w:hAnsi="仿宋" w:eastAsia="仿宋" w:cs="宋体"/>
          <w:i w:val="0"/>
          <w:color w:val="auto"/>
          <w:kern w:val="0"/>
          <w:sz w:val="24"/>
          <w:highlight w:val="none"/>
          <w:u w:val="single"/>
        </w:rPr>
        <w:t>CA热点问题汇总：https://service.zcygov.cn/#/knowledges/depk120BkjoVoiMyPhAJ/8QejCnEBiyELHE-ohzp-</w:t>
      </w:r>
      <w:r>
        <w:rPr>
          <w:rFonts w:ascii="仿宋" w:hAnsi="仿宋" w:eastAsia="仿宋" w:cs="宋体"/>
          <w:i w:val="0"/>
          <w:color w:val="auto"/>
          <w:kern w:val="0"/>
          <w:sz w:val="24"/>
          <w:highlight w:val="none"/>
          <w:u w:val="single"/>
        </w:rPr>
        <w:br w:type="textWrapping"/>
      </w:r>
      <w:r>
        <w:rPr>
          <w:rFonts w:ascii="仿宋" w:hAnsi="仿宋" w:eastAsia="仿宋" w:cs="宋体"/>
          <w:i w:val="0"/>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ascii="仿宋" w:hAnsi="仿宋" w:eastAsia="仿宋" w:cs="宋体"/>
          <w:i w:val="0"/>
          <w:color w:val="auto"/>
          <w:kern w:val="0"/>
          <w:sz w:val="24"/>
          <w:highlight w:val="none"/>
          <w:u w:val="single"/>
        </w:rPr>
        <w:br w:type="textWrapping"/>
      </w:r>
      <w:r>
        <w:rPr>
          <w:rFonts w:hint="eastAsia" w:ascii="仿宋" w:hAnsi="仿宋" w:eastAsia="仿宋" w:cs="宋体"/>
          <w:i w:val="0"/>
          <w:color w:val="auto"/>
          <w:kern w:val="0"/>
          <w:sz w:val="24"/>
          <w:highlight w:val="none"/>
          <w:u w:val="single"/>
        </w:rPr>
        <w:t>（3）</w:t>
      </w:r>
      <w:r>
        <w:rPr>
          <w:rFonts w:ascii="仿宋" w:hAnsi="仿宋" w:eastAsia="仿宋" w:cs="宋体"/>
          <w:i w:val="0"/>
          <w:color w:val="auto"/>
          <w:kern w:val="0"/>
          <w:sz w:val="24"/>
          <w:highlight w:val="none"/>
          <w:u w:val="single"/>
        </w:rPr>
        <w:t>投标文件的制作：在“政采云电子交易客户端”中完成“填写基本信息”、“导入投标文件”、“标书关联”、“标书检查”、“电子签名”、“生成电子标书”等操作。</w:t>
      </w:r>
      <w:r>
        <w:rPr>
          <w:rFonts w:ascii="仿宋" w:hAnsi="仿宋" w:eastAsia="仿宋" w:cs="宋体"/>
          <w:i w:val="0"/>
          <w:color w:val="auto"/>
          <w:kern w:val="0"/>
          <w:sz w:val="24"/>
          <w:highlight w:val="none"/>
          <w:u w:val="single"/>
        </w:rPr>
        <w:br w:type="textWrapping"/>
      </w:r>
      <w:r>
        <w:rPr>
          <w:rFonts w:hint="eastAsia" w:ascii="仿宋" w:hAnsi="仿宋" w:eastAsia="仿宋" w:cs="宋体"/>
          <w:i w:val="0"/>
          <w:color w:val="auto"/>
          <w:kern w:val="0"/>
          <w:sz w:val="24"/>
          <w:highlight w:val="none"/>
          <w:u w:val="single"/>
        </w:rPr>
        <w:t>（4）</w:t>
      </w:r>
      <w:r>
        <w:rPr>
          <w:rFonts w:ascii="仿宋" w:hAnsi="仿宋" w:eastAsia="仿宋" w:cs="宋体"/>
          <w:i w:val="0"/>
          <w:color w:val="auto"/>
          <w:kern w:val="0"/>
          <w:sz w:val="24"/>
          <w:highlight w:val="none"/>
          <w:u w:val="single"/>
        </w:rPr>
        <w:t>投标文件的传输递交：投标人在投标截止时间前将加密的投标文件上传至政采云平台。</w:t>
      </w:r>
      <w:r>
        <w:rPr>
          <w:rFonts w:ascii="仿宋" w:hAnsi="仿宋" w:eastAsia="仿宋" w:cs="宋体"/>
          <w:i w:val="0"/>
          <w:color w:val="auto"/>
          <w:kern w:val="0"/>
          <w:sz w:val="24"/>
          <w:highlight w:val="none"/>
          <w:u w:val="single"/>
        </w:rPr>
        <w:br w:type="textWrapping"/>
      </w:r>
      <w:r>
        <w:rPr>
          <w:rFonts w:hint="eastAsia" w:ascii="仿宋" w:hAnsi="仿宋" w:eastAsia="仿宋" w:cs="宋体"/>
          <w:i w:val="0"/>
          <w:color w:val="auto"/>
          <w:kern w:val="0"/>
          <w:sz w:val="24"/>
          <w:highlight w:val="none"/>
          <w:u w:val="single"/>
        </w:rPr>
        <w:t>（5）</w:t>
      </w:r>
      <w:r>
        <w:rPr>
          <w:rFonts w:ascii="仿宋" w:hAnsi="仿宋" w:eastAsia="仿宋" w:cs="宋体"/>
          <w:i w:val="0"/>
          <w:color w:val="auto"/>
          <w:kern w:val="0"/>
          <w:sz w:val="24"/>
          <w:highlight w:val="none"/>
          <w:u w:val="single"/>
        </w:rPr>
        <w:t>投标文件的解密：投标人按照平台提示和招标文件的规定在开标时间起30分钟内完成在线解密。</w:t>
      </w:r>
      <w:r>
        <w:rPr>
          <w:rFonts w:ascii="仿宋" w:hAnsi="仿宋" w:eastAsia="仿宋" w:cs="宋体"/>
          <w:i w:val="0"/>
          <w:color w:val="auto"/>
          <w:kern w:val="0"/>
          <w:sz w:val="24"/>
          <w:highlight w:val="none"/>
          <w:u w:val="single"/>
        </w:rPr>
        <w:br w:type="textWrapping"/>
      </w:r>
      <w:r>
        <w:rPr>
          <w:rFonts w:hint="eastAsia" w:ascii="仿宋" w:hAnsi="仿宋" w:eastAsia="仿宋" w:cs="宋体"/>
          <w:i w:val="0"/>
          <w:color w:val="auto"/>
          <w:kern w:val="0"/>
          <w:sz w:val="24"/>
          <w:highlight w:val="none"/>
          <w:u w:val="single"/>
        </w:rPr>
        <w:t>（6）</w:t>
      </w:r>
      <w:r>
        <w:rPr>
          <w:rFonts w:ascii="仿宋" w:hAnsi="仿宋" w:eastAsia="仿宋" w:cs="宋体"/>
          <w:i w:val="0"/>
          <w:color w:val="auto"/>
          <w:kern w:val="0"/>
          <w:sz w:val="24"/>
          <w:highlight w:val="none"/>
          <w:u w:val="single"/>
        </w:rPr>
        <w:t>具体操作指南：详见政采云平台“服务中心-帮助文档-项目采购-操作流程-电子招投标-政府采购项目电子交易管理操作指南-供应商”：浙江省政府采购项目政采云平台学习专题</w:t>
      </w:r>
      <w:r>
        <w:rPr>
          <w:color w:val="auto"/>
          <w:highlight w:val="none"/>
        </w:rPr>
        <w:fldChar w:fldCharType="begin"/>
      </w:r>
      <w:r>
        <w:rPr>
          <w:color w:val="auto"/>
          <w:highlight w:val="none"/>
        </w:rPr>
        <w:instrText xml:space="preserve"> HYPERLINK "https://edu.zcygov.cn/luban/e-biding"</w:instrText>
      </w:r>
      <w:r>
        <w:rPr>
          <w:color w:val="auto"/>
          <w:highlight w:val="none"/>
        </w:rPr>
        <w:fldChar w:fldCharType="separate"/>
      </w:r>
      <w:r>
        <w:rPr>
          <w:rStyle w:val="71"/>
          <w:rFonts w:ascii="仿宋" w:hAnsi="仿宋" w:eastAsia="仿宋" w:cs="宋体"/>
          <w:i w:val="0"/>
          <w:color w:val="auto"/>
          <w:kern w:val="0"/>
          <w:sz w:val="24"/>
          <w:highlight w:val="none"/>
        </w:rPr>
        <w:t>https://edu.zcygov.cn/luban/e-biding</w:t>
      </w:r>
      <w:r>
        <w:rPr>
          <w:rStyle w:val="71"/>
          <w:rFonts w:ascii="仿宋" w:hAnsi="仿宋" w:eastAsia="仿宋" w:cs="宋体"/>
          <w:i w:val="0"/>
          <w:color w:val="auto"/>
          <w:kern w:val="0"/>
          <w:sz w:val="24"/>
          <w:highlight w:val="none"/>
        </w:rPr>
        <w:fldChar w:fldCharType="end"/>
      </w:r>
      <w:r>
        <w:rPr>
          <w:rFonts w:ascii="仿宋" w:hAnsi="仿宋" w:eastAsia="仿宋" w:cs="宋体"/>
          <w:i w:val="0"/>
          <w:color w:val="auto"/>
          <w:kern w:val="0"/>
          <w:sz w:val="24"/>
          <w:highlight w:val="none"/>
          <w:u w:val="single"/>
        </w:rPr>
        <w:t>。</w:t>
      </w:r>
      <w:r>
        <w:rPr>
          <w:rFonts w:ascii="仿宋" w:hAnsi="仿宋" w:eastAsia="仿宋" w:cs="宋体"/>
          <w:i/>
          <w:color w:val="auto"/>
          <w:kern w:val="0"/>
          <w:sz w:val="24"/>
          <w:highlight w:val="none"/>
          <w:u w:val="single"/>
        </w:rPr>
        <w:br w:type="textWrapping"/>
      </w:r>
      <w:r>
        <w:rPr>
          <w:rFonts w:hint="eastAsia" w:ascii="仿宋" w:hAnsi="仿宋" w:eastAsia="仿宋" w:cs="宋体"/>
          <w:b/>
          <w:bCs/>
          <w:color w:val="auto"/>
          <w:kern w:val="0"/>
          <w:sz w:val="24"/>
          <w:highlight w:val="none"/>
        </w:rPr>
        <w:t>八、对本次采购提出询问、质疑、投诉，请按以下方式联系</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1.采购人信息</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single"/>
        </w:rPr>
        <w:t xml:space="preserve">永嘉瓯北城市新区管理委员会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ascii="仿宋" w:hAnsi="仿宋" w:eastAsia="仿宋" w:cs="宋体"/>
          <w:color w:val="auto"/>
          <w:kern w:val="0"/>
          <w:sz w:val="24"/>
          <w:highlight w:val="none"/>
          <w:u w:val="single"/>
        </w:rPr>
        <w:t>永嘉县瓯北街道双塔路1028号</w:t>
      </w:r>
      <w:r>
        <w:rPr>
          <w:rFonts w:hint="eastAsia" w:ascii="仿宋" w:hAnsi="仿宋" w:eastAsia="仿宋" w:cs="宋体"/>
          <w:color w:val="auto"/>
          <w:kern w:val="0"/>
          <w:sz w:val="24"/>
          <w:highlight w:val="none"/>
        </w:rPr>
        <w:t>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传真：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_GB2312" w:hAnsi="仿宋_GB2312" w:eastAsia="仿宋_GB2312" w:cs="仿宋_GB2312"/>
          <w:bCs/>
          <w:color w:val="auto"/>
          <w:sz w:val="24"/>
          <w:highlight w:val="none"/>
          <w:u w:val="single"/>
        </w:rPr>
        <w:t xml:space="preserve">  金先生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_GB2312" w:hAnsi="仿宋_GB2312" w:eastAsia="仿宋_GB2312" w:cs="仿宋_GB2312"/>
          <w:bCs/>
          <w:color w:val="auto"/>
          <w:sz w:val="24"/>
          <w:highlight w:val="none"/>
          <w:u w:val="single"/>
        </w:rPr>
        <w:t xml:space="preserve">  0577-67332733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_GB2312" w:hAnsi="仿宋_GB2312" w:eastAsia="仿宋_GB2312" w:cs="仿宋_GB2312"/>
          <w:bCs/>
          <w:color w:val="auto"/>
          <w:sz w:val="24"/>
          <w:highlight w:val="none"/>
          <w:u w:val="single"/>
        </w:rPr>
        <w:t>金先生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_GB2312" w:hAnsi="仿宋_GB2312" w:eastAsia="仿宋_GB2312" w:cs="仿宋_GB2312"/>
          <w:bCs/>
          <w:color w:val="auto"/>
          <w:sz w:val="24"/>
          <w:highlight w:val="none"/>
          <w:u w:val="single"/>
        </w:rPr>
        <w:t>0577-67332733</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2.采购代理机构信息</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u w:val="single"/>
        </w:rPr>
        <w:t>浙江金穗工程项目管理有限公司</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u w:val="single"/>
        </w:rPr>
        <w:t>温州市鹿城区车站大道75号金鳞花苑商务楼三楼</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传真：</w:t>
      </w:r>
      <w:r>
        <w:rPr>
          <w:rFonts w:hint="eastAsia" w:ascii="仿宋_GB2312" w:hAnsi="仿宋_GB2312" w:eastAsia="仿宋_GB2312" w:cs="仿宋_GB2312"/>
          <w:bCs/>
          <w:color w:val="auto"/>
          <w:sz w:val="24"/>
          <w:highlight w:val="none"/>
          <w:u w:val="singl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项目联系人（询问）：</w:t>
      </w:r>
      <w:r>
        <w:rPr>
          <w:rFonts w:hint="eastAsia" w:ascii="仿宋_GB2312" w:hAnsi="仿宋_GB2312" w:eastAsia="仿宋_GB2312" w:cs="仿宋_GB2312"/>
          <w:bCs/>
          <w:color w:val="auto"/>
          <w:sz w:val="24"/>
          <w:highlight w:val="none"/>
          <w:u w:val="single"/>
        </w:rPr>
        <w:t>汤先生</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项目联系方式（询问）：</w:t>
      </w:r>
      <w:r>
        <w:rPr>
          <w:rFonts w:hint="eastAsia" w:ascii="仿宋_GB2312" w:hAnsi="仿宋_GB2312" w:eastAsia="仿宋_GB2312" w:cs="仿宋_GB2312"/>
          <w:bCs/>
          <w:color w:val="auto"/>
          <w:sz w:val="24"/>
          <w:highlight w:val="none"/>
          <w:u w:val="single"/>
        </w:rPr>
        <w:t>13616826767</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u w:val="single"/>
        </w:rPr>
        <w:t>李奔</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u w:val="single"/>
        </w:rPr>
        <w:t>0577-86511706</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textWrapping"/>
      </w:r>
      <w:r>
        <w:rPr>
          <w:rFonts w:ascii="仿宋" w:hAnsi="仿宋" w:eastAsia="仿宋" w:cs="宋体"/>
          <w:color w:val="auto"/>
          <w:kern w:val="0"/>
          <w:sz w:val="24"/>
          <w:highlight w:val="none"/>
        </w:rPr>
        <w:t>3.同级政府采购监督管理部门</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名称：永嘉县财政局</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传真：</w:t>
      </w:r>
      <w:r>
        <w:rPr>
          <w:rFonts w:hint="eastAsia" w:ascii="仿宋_GB2312" w:hAnsi="仿宋_GB2312" w:eastAsia="仿宋_GB2312" w:cs="仿宋_GB2312"/>
          <w:bCs/>
          <w:color w:val="auto"/>
          <w:sz w:val="24"/>
          <w:highlight w:val="none"/>
        </w:rPr>
        <w:t>/</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联系人：</w:t>
      </w:r>
      <w:r>
        <w:rPr>
          <w:rFonts w:hint="eastAsia" w:ascii="仿宋" w:hAnsi="仿宋" w:eastAsia="仿宋" w:cs="宋体"/>
          <w:color w:val="auto"/>
          <w:kern w:val="0"/>
          <w:sz w:val="24"/>
          <w:highlight w:val="none"/>
          <w:u w:val="single"/>
        </w:rPr>
        <w:t xml:space="preserve"> 胡先生   </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监督投诉电话：</w:t>
      </w:r>
      <w:r>
        <w:rPr>
          <w:rFonts w:hint="eastAsia" w:ascii="仿宋" w:hAnsi="仿宋" w:eastAsia="仿宋" w:cs="宋体"/>
          <w:color w:val="auto"/>
          <w:kern w:val="0"/>
          <w:sz w:val="24"/>
          <w:highlight w:val="none"/>
          <w:u w:val="single"/>
        </w:rPr>
        <w:t xml:space="preserve"> 0577-67230257   </w:t>
      </w:r>
      <w:r>
        <w:rPr>
          <w:rFonts w:ascii="仿宋" w:hAnsi="仿宋" w:eastAsia="仿宋" w:cs="宋体"/>
          <w:color w:val="auto"/>
          <w:kern w:val="0"/>
          <w:sz w:val="24"/>
          <w:highlight w:val="none"/>
        </w:rPr>
        <w:br w:type="textWrapping"/>
      </w:r>
    </w:p>
    <w:p>
      <w:pPr>
        <w:widowControl/>
        <w:snapToGrid w:val="0"/>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若对项目采购电子交易系统操作有疑问，可登录政采云（</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ascii="仿宋" w:hAnsi="仿宋" w:eastAsia="仿宋" w:cs="宋体"/>
          <w:color w:val="auto"/>
          <w:kern w:val="0"/>
          <w:szCs w:val="21"/>
          <w:highlight w:val="none"/>
        </w:rPr>
        <w:t>https://www.zcygov.cn/</w:t>
      </w:r>
      <w:r>
        <w:rPr>
          <w:rStyle w:val="71"/>
          <w:rFonts w:ascii="仿宋" w:hAnsi="仿宋" w:eastAsia="仿宋" w:cs="宋体"/>
          <w:color w:val="auto"/>
          <w:kern w:val="0"/>
          <w:szCs w:val="21"/>
          <w:highlight w:val="none"/>
        </w:rPr>
        <w:fldChar w:fldCharType="end"/>
      </w:r>
      <w:r>
        <w:rPr>
          <w:rFonts w:ascii="仿宋" w:hAnsi="仿宋" w:eastAsia="仿宋"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CA问题联系电话（人工）：汇信CA400-888-4636；天谷CA400-087-8198。</w:t>
      </w:r>
    </w:p>
    <w:p>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br w:type="page"/>
      </w:r>
    </w:p>
    <w:p>
      <w:pPr>
        <w:widowControl/>
        <w:snapToGrid w:val="0"/>
        <w:spacing w:line="360" w:lineRule="auto"/>
        <w:jc w:val="center"/>
        <w:outlineLvl w:val="0"/>
        <w:rPr>
          <w:rFonts w:ascii="仿宋" w:hAnsi="仿宋" w:eastAsia="仿宋"/>
          <w:b/>
          <w:color w:val="auto"/>
          <w:sz w:val="36"/>
          <w:szCs w:val="36"/>
          <w:highlight w:val="none"/>
        </w:rPr>
      </w:pPr>
      <w:bookmarkStart w:id="1" w:name="_Toc16920"/>
      <w:r>
        <w:rPr>
          <w:rFonts w:hint="eastAsia" w:ascii="仿宋" w:hAnsi="仿宋" w:eastAsia="仿宋"/>
          <w:b/>
          <w:color w:val="auto"/>
          <w:sz w:val="36"/>
          <w:szCs w:val="36"/>
          <w:highlight w:val="none"/>
        </w:rPr>
        <w:t>第二部分  投标人须知</w:t>
      </w:r>
      <w:bookmarkEnd w:id="1"/>
    </w:p>
    <w:p>
      <w:pPr>
        <w:widowControl/>
        <w:snapToGrid w:val="0"/>
        <w:spacing w:line="360" w:lineRule="auto"/>
        <w:jc w:val="center"/>
        <w:rPr>
          <w:rFonts w:ascii="仿宋" w:hAnsi="仿宋" w:eastAsia="仿宋"/>
          <w:b/>
          <w:color w:val="auto"/>
          <w:sz w:val="24"/>
          <w:highlight w:val="none"/>
        </w:rPr>
      </w:pPr>
    </w:p>
    <w:p>
      <w:pPr>
        <w:widowControl/>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Arial"/>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bCs/>
                <w:color w:val="auto"/>
                <w:szCs w:val="21"/>
                <w:highlight w:val="none"/>
                <w:u w:val="none"/>
              </w:rPr>
            </w:pPr>
            <w:r>
              <w:rPr>
                <w:rFonts w:hint="eastAsia" w:ascii="仿宋" w:hAnsi="仿宋" w:eastAsia="仿宋" w:cs="仿宋_GB2312"/>
                <w:bCs/>
                <w:color w:val="auto"/>
                <w:szCs w:val="21"/>
                <w:highlight w:val="none"/>
                <w:u w:val="none"/>
              </w:rPr>
              <w:t>采购标的对应的中小企业划分标准所属行业：</w:t>
            </w:r>
          </w:p>
          <w:p>
            <w:pPr>
              <w:snapToGrid w:val="0"/>
              <w:rPr>
                <w:rFonts w:ascii="仿宋" w:hAnsi="MS Gothic" w:eastAsia="仿宋" w:cs="Arial"/>
                <w:color w:val="auto"/>
                <w:kern w:val="0"/>
                <w:szCs w:val="21"/>
                <w:highlight w:val="none"/>
              </w:rPr>
            </w:pPr>
            <w:r>
              <w:rPr>
                <w:rFonts w:hint="eastAsia" w:ascii="仿宋" w:hAnsi="仿宋" w:eastAsia="仿宋" w:cs="仿宋_GB2312"/>
                <w:bCs/>
                <w:color w:val="auto"/>
                <w:szCs w:val="21"/>
                <w:highlight w:val="none"/>
                <w:u w:val="none"/>
              </w:rPr>
              <w:t>标的：环卫保洁外包服务，属于行业；其他未列明行业</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olor w:val="auto"/>
                <w:szCs w:val="21"/>
                <w:highlight w:val="none"/>
              </w:rPr>
              <w:t>服务类</w:t>
            </w:r>
          </w:p>
          <w:p>
            <w:pPr>
              <w:snapToGrid w:val="0"/>
              <w:rPr>
                <w:rFonts w:ascii="仿宋" w:hAnsi="仿宋" w:eastAsia="仿宋"/>
                <w:color w:val="auto"/>
                <w:szCs w:val="21"/>
                <w:highlight w:val="none"/>
              </w:rPr>
            </w:pP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是否接受联合体投标</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sym w:font="Wingdings" w:char="F0FE"/>
            </w:r>
            <w:r>
              <w:rPr>
                <w:rFonts w:hint="eastAsia" w:ascii="仿宋" w:hAnsi="MS Gothic" w:eastAsia="仿宋" w:cs="Arial"/>
                <w:color w:val="auto"/>
                <w:kern w:val="0"/>
                <w:szCs w:val="21"/>
                <w:highlight w:val="none"/>
              </w:rPr>
              <w:t>不接受</w:t>
            </w:r>
          </w:p>
          <w:p>
            <w:pPr>
              <w:snapToGrid w:val="0"/>
              <w:rPr>
                <w:rFonts w:ascii="仿宋" w:hAnsi="MS Gothic" w:eastAsia="仿宋" w:cs="Arial"/>
                <w:color w:val="auto"/>
                <w:kern w:val="0"/>
                <w:szCs w:val="21"/>
                <w:highlight w:val="none"/>
              </w:rPr>
            </w:pP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s="新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新宋体"/>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☑允许</w:t>
            </w:r>
          </w:p>
          <w:p>
            <w:pPr>
              <w:snapToGrid w:val="0"/>
              <w:rPr>
                <w:rFonts w:ascii="仿宋" w:hAnsi="仿宋" w:eastAsia="仿宋" w:cs="新宋体"/>
                <w:color w:val="auto"/>
                <w:kern w:val="0"/>
                <w:szCs w:val="21"/>
                <w:highlight w:val="none"/>
                <w:u w:val="single"/>
              </w:rPr>
            </w:pPr>
            <w:r>
              <w:rPr>
                <w:rFonts w:hint="eastAsia" w:ascii="仿宋" w:hAnsi="仿宋" w:eastAsia="仿宋" w:cs="新宋体"/>
                <w:color w:val="auto"/>
                <w:kern w:val="0"/>
                <w:szCs w:val="21"/>
                <w:highlight w:val="none"/>
              </w:rPr>
              <w:t>偏差允许幅度及其处理方法：</w:t>
            </w:r>
            <w:r>
              <w:rPr>
                <w:rFonts w:hint="eastAsia" w:ascii="仿宋" w:hAnsi="仿宋" w:eastAsia="仿宋" w:cs="新宋体"/>
                <w:color w:val="auto"/>
                <w:kern w:val="0"/>
                <w:szCs w:val="21"/>
                <w:highlight w:val="none"/>
                <w:u w:val="none"/>
              </w:rPr>
              <w:t xml:space="preserve"> 允许细微偏差，不允许重大偏差。由评标委员会判断，细微偏差要求供应商在评审结束前予以澄清、说明或补正，不接受要求进行的，评标委员会有权做无效标处理。</w:t>
            </w:r>
            <w:r>
              <w:rPr>
                <w:rFonts w:hint="eastAsia" w:ascii="仿宋" w:hAnsi="仿宋" w:eastAsia="仿宋" w:cs="新宋体"/>
                <w:color w:val="auto"/>
                <w:kern w:val="0"/>
                <w:szCs w:val="21"/>
                <w:highlight w:val="none"/>
                <w:u w:val="single"/>
              </w:rPr>
              <w:t xml:space="preserve">     </w:t>
            </w:r>
          </w:p>
          <w:p>
            <w:pPr>
              <w:snapToGrid w:val="0"/>
              <w:rPr>
                <w:rFonts w:ascii="仿宋" w:hAnsi="仿宋" w:eastAsia="仿宋" w:cs="Arial"/>
                <w:color w:val="auto"/>
                <w:kern w:val="0"/>
                <w:szCs w:val="21"/>
                <w:highlight w:val="none"/>
              </w:rPr>
            </w:pP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color w:val="auto"/>
                <w:szCs w:val="21"/>
                <w:highlight w:val="none"/>
              </w:rPr>
            </w:pPr>
            <w:r>
              <w:rPr>
                <w:rFonts w:hint="eastAsia" w:ascii="仿宋" w:hAnsi="仿宋" w:eastAsia="仿宋" w:cs="仿宋_GB2312"/>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auto"/>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Cs/>
                <w:color w:val="auto"/>
                <w:szCs w:val="21"/>
                <w:highlight w:val="none"/>
              </w:rPr>
            </w:pPr>
            <w:r>
              <w:rPr>
                <w:rFonts w:hint="eastAsia" w:ascii="仿宋" w:hAnsi="仿宋" w:eastAsia="仿宋" w:cs="仿宋_GB2312"/>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_GB2312"/>
                <w:b/>
                <w:color w:val="auto"/>
                <w:kern w:val="0"/>
                <w:szCs w:val="21"/>
                <w:highlight w:val="none"/>
                <w:lang w:val="zh-CN"/>
              </w:rPr>
            </w:pPr>
            <w:r>
              <w:rPr>
                <w:rFonts w:ascii="仿宋" w:hAnsi="仿宋" w:eastAsia="仿宋" w:cs="Arial"/>
                <w:color w:val="auto"/>
                <w:kern w:val="0"/>
                <w:szCs w:val="21"/>
                <w:highlight w:val="none"/>
              </w:rPr>
              <w:sym w:font="Wingdings" w:char="F0FE"/>
            </w:r>
            <w:r>
              <w:rPr>
                <w:rFonts w:hint="eastAsia" w:ascii="仿宋" w:hAnsi="仿宋" w:eastAsia="仿宋"/>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投标</w:t>
            </w:r>
            <w:r>
              <w:rPr>
                <w:rFonts w:hint="eastAsia" w:ascii="仿宋" w:hAnsi="仿宋" w:eastAsia="仿宋" w:cs="仿宋_GB2312"/>
                <w:color w:val="auto"/>
                <w:kern w:val="0"/>
                <w:szCs w:val="21"/>
                <w:highlight w:val="none"/>
                <w:lang w:val="zh-CN"/>
              </w:rPr>
              <w:t>报价包含的内容：</w:t>
            </w:r>
          </w:p>
          <w:p>
            <w:pPr>
              <w:snapToGrid w:val="0"/>
              <w:rPr>
                <w:rFonts w:ascii="仿宋" w:hAnsi="仿宋" w:eastAsia="仿宋" w:cs="Arial"/>
                <w:color w:val="auto"/>
                <w:kern w:val="0"/>
                <w:szCs w:val="21"/>
                <w:highlight w:val="none"/>
                <w:u w:val="single"/>
              </w:rPr>
            </w:pPr>
            <w:r>
              <w:rPr>
                <w:rFonts w:ascii="仿宋" w:hAnsi="仿宋" w:eastAsia="仿宋" w:cs="Arial"/>
                <w:color w:val="auto"/>
                <w:kern w:val="0"/>
                <w:szCs w:val="21"/>
                <w:highlight w:val="none"/>
              </w:rPr>
              <w:sym w:font="Wingdings" w:char="F0FE"/>
            </w:r>
            <w:r>
              <w:rPr>
                <w:rFonts w:hint="eastAsia" w:ascii="仿宋" w:hAnsi="仿宋" w:eastAsia="仿宋" w:cs="仿宋_GB2312"/>
                <w:bCs/>
                <w:color w:val="auto"/>
                <w:szCs w:val="21"/>
                <w:highlight w:val="none"/>
                <w:u w:val="single"/>
              </w:rPr>
              <w:t xml:space="preserve"> 由人工费（包括人员工资、社会保险（含基本养老、工伤、医疗（门诊、住院）、生育、失业五险种）、人身意外保险、出勤补贴、加班补贴、高温津贴、人员福利、教育培训费及处理一切伤亡事故等费用）、机械台班费、工具材料费、垃圾清运费、安全文明生产装备费（包括员工冬、夏装工作服、反光衣等）、企业应缴税金和应得利润等完成合同所需的一切本身和不可或缺的所有工作开支、政策性文件规定计入合同包含的所有风险、责任等各项全部费用组成。对于投标人价格组成表中未列出的项目或没有填写单价和总价的项目,在合同执行时采购人将不予支付,并认为这些项目费用已包括在投标报价内</w:t>
            </w:r>
            <w:r>
              <w:rPr>
                <w:rFonts w:hint="eastAsia" w:ascii="仿宋" w:hAnsi="仿宋" w:eastAsia="仿宋" w:cs="Arial"/>
                <w:color w:val="auto"/>
                <w:kern w:val="0"/>
                <w:szCs w:val="21"/>
                <w:highlight w:val="none"/>
              </w:rPr>
              <w:t>；</w:t>
            </w:r>
          </w:p>
          <w:p>
            <w:pPr>
              <w:snapToGrid w:val="0"/>
              <w:rPr>
                <w:rFonts w:ascii="仿宋" w:hAnsi="仿宋" w:eastAsia="仿宋" w:cs="Arial"/>
                <w:color w:val="auto"/>
                <w:kern w:val="0"/>
                <w:szCs w:val="21"/>
                <w:highlight w:val="none"/>
                <w:u w:val="single"/>
              </w:rPr>
            </w:pPr>
            <w:r>
              <w:rPr>
                <w:rFonts w:ascii="仿宋" w:hAnsi="仿宋" w:eastAsia="仿宋" w:cs="Arial"/>
                <w:color w:val="auto"/>
                <w:kern w:val="0"/>
                <w:szCs w:val="21"/>
                <w:highlight w:val="none"/>
              </w:rPr>
              <w:sym w:font="Wingdings" w:char="F0FE"/>
            </w:r>
            <w:r>
              <w:rPr>
                <w:rFonts w:hint="eastAsia" w:ascii="仿宋" w:hAnsi="仿宋" w:eastAsia="仿宋" w:cs="Arial"/>
                <w:color w:val="auto"/>
                <w:kern w:val="0"/>
                <w:szCs w:val="21"/>
                <w:highlight w:val="none"/>
                <w:u w:val="single"/>
              </w:rPr>
              <w:t>采购代理服务费：130000元整（代理服务费不在报价中单列，投标供应商在报价时予以考虑）</w:t>
            </w:r>
            <w:r>
              <w:rPr>
                <w:rFonts w:hint="eastAsia" w:ascii="仿宋" w:hAnsi="仿宋" w:eastAsia="仿宋" w:cs="Arial"/>
                <w:color w:val="auto"/>
                <w:kern w:val="0"/>
                <w:szCs w:val="21"/>
                <w:highlight w:val="none"/>
              </w:rPr>
              <w:t>；</w:t>
            </w:r>
          </w:p>
          <w:p>
            <w:pPr>
              <w:snapToGrid w:val="0"/>
              <w:rPr>
                <w:rFonts w:ascii="仿宋" w:hAnsi="仿宋" w:eastAsia="仿宋"/>
                <w:color w:val="auto"/>
                <w:kern w:val="0"/>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olor w:val="auto"/>
                <w:kern w:val="0"/>
                <w:szCs w:val="21"/>
                <w:highlight w:val="none"/>
                <w:u w:val="single"/>
              </w:rPr>
              <w:t>履约验收费用（包含第三方检测及评审费用）</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ascii="仿宋" w:hAnsi="仿宋" w:eastAsia="仿宋" w:cs="Arial"/>
                <w:color w:val="auto"/>
                <w:kern w:val="0"/>
                <w:szCs w:val="21"/>
                <w:highlight w:val="none"/>
              </w:rPr>
              <w:sym w:font="Wingdings" w:char="F0FE"/>
            </w:r>
            <w:r>
              <w:rPr>
                <w:rFonts w:hint="eastAsia" w:ascii="仿宋" w:hAnsi="仿宋" w:eastAsia="仿宋" w:cs="新宋体"/>
                <w:color w:val="auto"/>
                <w:kern w:val="0"/>
                <w:szCs w:val="21"/>
                <w:highlight w:val="none"/>
              </w:rPr>
              <w:t>无需提交</w:t>
            </w:r>
          </w:p>
          <w:p>
            <w:pPr>
              <w:pStyle w:val="991"/>
              <w:snapToGrid w:val="0"/>
              <w:ind w:firstLine="420" w:firstLineChars="200"/>
              <w:rPr>
                <w:rFonts w:ascii="仿宋" w:hAnsi="仿宋" w:eastAsia="仿宋"/>
                <w:color w:val="auto"/>
                <w:sz w:val="21"/>
                <w:szCs w:val="21"/>
                <w:highlight w:val="none"/>
                <w:u w:val="single"/>
              </w:rPr>
            </w:pPr>
          </w:p>
        </w:tc>
      </w:tr>
      <w:tr>
        <w:tblPrEx>
          <w:tblCellMar>
            <w:top w:w="0" w:type="dxa"/>
            <w:left w:w="108" w:type="dxa"/>
            <w:bottom w:w="0" w:type="dxa"/>
            <w:right w:w="108" w:type="dxa"/>
          </w:tblCellMar>
        </w:tblPrEx>
        <w:trPr>
          <w:trHeight w:val="70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u w:val="single"/>
              </w:rPr>
              <w:t>90</w:t>
            </w:r>
            <w:r>
              <w:rPr>
                <w:rFonts w:hint="eastAsia" w:ascii="仿宋" w:hAnsi="仿宋" w:eastAsia="仿宋" w:cs="新宋体"/>
                <w:color w:val="auto"/>
                <w:kern w:val="0"/>
                <w:szCs w:val="21"/>
                <w:highlight w:val="none"/>
              </w:rPr>
              <w:t>天</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bCs/>
                <w:color w:val="auto"/>
                <w:szCs w:val="21"/>
                <w:highlight w:val="none"/>
              </w:rPr>
            </w:pPr>
            <w:r>
              <w:rPr>
                <w:rFonts w:hint="eastAsia" w:ascii="仿宋" w:hAnsi="仿宋" w:eastAsia="仿宋" w:cs="新宋体"/>
                <w:snapToGrid w:val="0"/>
                <w:color w:val="auto"/>
                <w:szCs w:val="21"/>
                <w:highlight w:val="none"/>
              </w:rPr>
              <w:sym w:font="Wingdings" w:char="F0FE"/>
            </w:r>
            <w:r>
              <w:rPr>
                <w:rFonts w:hint="eastAsia" w:ascii="仿宋" w:hAnsi="仿宋" w:eastAsia="仿宋" w:cs="新宋体"/>
                <w:snapToGrid w:val="0"/>
                <w:color w:val="auto"/>
                <w:szCs w:val="21"/>
                <w:highlight w:val="none"/>
              </w:rPr>
              <w:t>需</w:t>
            </w:r>
            <w:r>
              <w:rPr>
                <w:rFonts w:hint="eastAsia" w:ascii="仿宋" w:hAnsi="仿宋" w:eastAsia="仿宋" w:cs="新宋体"/>
                <w:color w:val="auto"/>
                <w:szCs w:val="21"/>
                <w:highlight w:val="none"/>
              </w:rPr>
              <w:t>要，</w:t>
            </w:r>
            <w:r>
              <w:rPr>
                <w:rFonts w:hint="eastAsia" w:ascii="仿宋" w:hAnsi="仿宋" w:eastAsia="仿宋" w:cs="新宋体"/>
                <w:bCs/>
                <w:color w:val="auto"/>
                <w:szCs w:val="21"/>
                <w:highlight w:val="none"/>
              </w:rPr>
              <w:t>提交合同金额</w:t>
            </w:r>
            <w:r>
              <w:rPr>
                <w:rFonts w:hint="eastAsia" w:ascii="仿宋" w:hAnsi="仿宋" w:eastAsia="仿宋" w:cs="新宋体"/>
                <w:bCs/>
                <w:color w:val="auto"/>
                <w:szCs w:val="21"/>
                <w:highlight w:val="none"/>
                <w:u w:val="single"/>
              </w:rPr>
              <w:t xml:space="preserve"> 2.5 </w:t>
            </w:r>
            <w:r>
              <w:rPr>
                <w:rFonts w:hint="eastAsia" w:ascii="仿宋" w:hAnsi="仿宋" w:eastAsia="仿宋" w:cs="新宋体"/>
                <w:bCs/>
                <w:color w:val="auto"/>
                <w:szCs w:val="21"/>
                <w:highlight w:val="none"/>
              </w:rPr>
              <w:t>%的履约保证金</w:t>
            </w:r>
          </w:p>
          <w:p>
            <w:pPr>
              <w:snapToGrid w:val="0"/>
              <w:ind w:firstLine="210" w:firstLineChars="10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供应商可登录政采云平台-【金融服务】—【我的项目】—【已备案合同】以保函形式提供履约保证金：</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（1）供应商在合同列表选择需要投保的合同，点击[保函推荐]。</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（2）在弹框里查看推荐的保函产品，供应商自行选择保函产品，点击[立即申请]。</w:t>
            </w:r>
          </w:p>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新宋体"/>
                <w:color w:val="auto"/>
                <w:kern w:val="0"/>
                <w:szCs w:val="21"/>
                <w:highlight w:val="none"/>
              </w:rPr>
            </w:pPr>
            <w:r>
              <w:rPr>
                <w:rFonts w:hint="eastAsia" w:ascii="仿宋" w:hAnsi="仿宋" w:eastAsia="仿宋" w:cs="新宋体"/>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rPr>
            </w:pPr>
            <w:r>
              <w:rPr>
                <w:rFonts w:hint="eastAsia" w:ascii="仿宋" w:hAnsi="仿宋" w:eastAsia="仿宋"/>
                <w:color w:val="auto"/>
                <w:szCs w:val="21"/>
                <w:highlight w:val="none"/>
              </w:rPr>
              <w:t>1.</w:t>
            </w:r>
            <w:r>
              <w:rPr>
                <w:rFonts w:hint="eastAsia" w:ascii="仿宋" w:hAnsi="仿宋" w:eastAsia="仿宋"/>
                <w:color w:val="auto"/>
                <w:highlight w:val="none"/>
              </w:rPr>
              <w:t>招标文件</w:t>
            </w:r>
            <w:r>
              <w:rPr>
                <w:rFonts w:ascii="仿宋" w:hAnsi="仿宋" w:eastAsia="仿宋"/>
                <w:color w:val="auto"/>
                <w:szCs w:val="21"/>
                <w:highlight w:val="none"/>
              </w:rPr>
              <w:t>各个组成</w:t>
            </w:r>
            <w:r>
              <w:rPr>
                <w:rFonts w:hint="eastAsia" w:ascii="仿宋" w:hAnsi="仿宋" w:eastAsia="仿宋"/>
                <w:color w:val="auto"/>
                <w:szCs w:val="21"/>
                <w:highlight w:val="none"/>
              </w:rPr>
              <w:t>部分</w:t>
            </w:r>
            <w:r>
              <w:rPr>
                <w:rFonts w:hint="eastAsia" w:ascii="仿宋" w:hAnsi="仿宋" w:eastAsia="仿宋"/>
                <w:color w:val="auto"/>
                <w:highlight w:val="none"/>
              </w:rPr>
              <w:t>中出现的措辞“发包人”和“承包人”，或者“甲方”和“乙方”（或“中标供应商”）等，在采购阶段应当分别按“采购人”和“投标人”进行理解，其中“中标供应商”与“中标人”同义。</w:t>
            </w:r>
          </w:p>
          <w:p>
            <w:pPr>
              <w:snapToGrid w:val="0"/>
              <w:rPr>
                <w:rFonts w:ascii="仿宋" w:hAnsi="仿宋" w:eastAsia="仿宋"/>
                <w:color w:val="auto"/>
                <w:szCs w:val="21"/>
                <w:highlight w:val="none"/>
              </w:rPr>
            </w:pPr>
            <w:r>
              <w:rPr>
                <w:rFonts w:hint="eastAsia" w:ascii="仿宋" w:hAnsi="仿宋" w:eastAsia="仿宋"/>
                <w:color w:val="auto"/>
                <w:szCs w:val="21"/>
                <w:highlight w:val="none"/>
              </w:rPr>
              <w:t>2</w:t>
            </w:r>
            <w:r>
              <w:rPr>
                <w:rFonts w:hint="eastAsia"/>
                <w:color w:val="auto"/>
                <w:highlight w:val="none"/>
              </w:rPr>
              <w:t>.</w:t>
            </w:r>
            <w:r>
              <w:rPr>
                <w:rFonts w:ascii="仿宋" w:hAnsi="仿宋" w:eastAsia="仿宋"/>
                <w:color w:val="auto"/>
                <w:szCs w:val="21"/>
                <w:highlight w:val="none"/>
              </w:rPr>
              <w:t>构成本</w:t>
            </w:r>
            <w:r>
              <w:rPr>
                <w:rFonts w:hint="eastAsia" w:ascii="仿宋" w:hAnsi="仿宋" w:eastAsia="仿宋"/>
                <w:color w:val="auto"/>
                <w:szCs w:val="21"/>
                <w:highlight w:val="none"/>
              </w:rPr>
              <w:t>招标</w:t>
            </w:r>
            <w:r>
              <w:rPr>
                <w:rFonts w:ascii="仿宋" w:hAnsi="仿宋" w:eastAsia="仿宋"/>
                <w:color w:val="auto"/>
                <w:szCs w:val="21"/>
                <w:highlight w:val="none"/>
              </w:rPr>
              <w:t>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w:t>
            </w:r>
            <w:r>
              <w:rPr>
                <w:rFonts w:hint="eastAsia" w:ascii="仿宋" w:hAnsi="仿宋" w:eastAsia="仿宋"/>
                <w:color w:val="auto"/>
                <w:szCs w:val="21"/>
                <w:highlight w:val="none"/>
              </w:rPr>
              <w:t>应提交的有关格式范例</w:t>
            </w:r>
            <w:r>
              <w:rPr>
                <w:rFonts w:ascii="仿宋" w:hAnsi="仿宋" w:eastAsia="仿宋"/>
                <w:color w:val="auto"/>
                <w:szCs w:val="21"/>
                <w:highlight w:val="none"/>
              </w:rPr>
              <w:t>的先后顺序解释；投标人须知、评标办法</w:t>
            </w:r>
            <w:r>
              <w:rPr>
                <w:rFonts w:hint="eastAsia" w:ascii="仿宋" w:hAnsi="仿宋" w:eastAsia="仿宋"/>
                <w:color w:val="auto"/>
                <w:szCs w:val="21"/>
                <w:highlight w:val="none"/>
              </w:rPr>
              <w:t>及</w:t>
            </w:r>
            <w:r>
              <w:rPr>
                <w:rFonts w:ascii="仿宋" w:hAnsi="仿宋" w:eastAsia="仿宋"/>
                <w:color w:val="auto"/>
                <w:szCs w:val="21"/>
                <w:highlight w:val="none"/>
              </w:rPr>
              <w:t>专用合同条款</w:t>
            </w:r>
            <w:r>
              <w:rPr>
                <w:rFonts w:hint="eastAsia" w:ascii="仿宋" w:hAnsi="仿宋" w:eastAsia="仿宋"/>
                <w:color w:val="auto"/>
                <w:szCs w:val="21"/>
                <w:highlight w:val="none"/>
              </w:rPr>
              <w:t>的前附表与正文的约定不一致的，以前附表的约定为准；</w:t>
            </w:r>
            <w:r>
              <w:rPr>
                <w:rFonts w:ascii="仿宋" w:hAnsi="仿宋" w:eastAsia="仿宋"/>
                <w:color w:val="auto"/>
                <w:szCs w:val="21"/>
                <w:highlight w:val="none"/>
              </w:rPr>
              <w:t>同一文件中就同一事项的约定不一致的，以逻辑顺序在后者为准；同一文件不同版本之间有不一致的，以形成时间在后者为准。按本款前述约定仍不能形成结论的，由采购人负责解释。</w:t>
            </w:r>
          </w:p>
          <w:p>
            <w:pPr>
              <w:snapToGrid w:val="0"/>
              <w:rPr>
                <w:rFonts w:ascii="仿宋" w:hAnsi="仿宋" w:eastAsia="仿宋"/>
                <w:color w:val="auto"/>
                <w:szCs w:val="21"/>
                <w:highlight w:val="none"/>
              </w:rPr>
            </w:pPr>
            <w:r>
              <w:rPr>
                <w:rFonts w:ascii="仿宋" w:hAnsi="仿宋" w:eastAsia="仿宋"/>
                <w:color w:val="auto"/>
                <w:szCs w:val="21"/>
                <w:highlight w:val="none"/>
              </w:rPr>
              <w:t>3</w:t>
            </w:r>
            <w:r>
              <w:rPr>
                <w:rFonts w:hint="eastAsia"/>
                <w:color w:val="auto"/>
                <w:highlight w:val="none"/>
              </w:rPr>
              <w:t>.</w:t>
            </w:r>
            <w:r>
              <w:rPr>
                <w:rFonts w:hint="eastAsia" w:ascii="仿宋" w:hAnsi="仿宋" w:eastAsia="仿宋"/>
                <w:color w:val="auto"/>
                <w:szCs w:val="21"/>
                <w:highlight w:val="none"/>
              </w:rPr>
              <w:t>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pPr>
              <w:snapToGrid w:val="0"/>
              <w:rPr>
                <w:rFonts w:ascii="仿宋" w:hAnsi="仿宋" w:eastAsia="仿宋" w:cs="新宋体"/>
                <w:bCs/>
                <w:color w:val="auto"/>
                <w:szCs w:val="21"/>
                <w:highlight w:val="none"/>
              </w:rPr>
            </w:pPr>
            <w:r>
              <w:rPr>
                <w:rFonts w:ascii="仿宋" w:hAnsi="仿宋" w:eastAsia="仿宋"/>
                <w:color w:val="auto"/>
                <w:szCs w:val="21"/>
                <w:highlight w:val="none"/>
              </w:rPr>
              <w:t>4</w:t>
            </w:r>
            <w:r>
              <w:rPr>
                <w:rFonts w:hint="eastAsia"/>
                <w:color w:val="auto"/>
                <w:highlight w:val="none"/>
              </w:rPr>
              <w:t>.</w:t>
            </w:r>
            <w:r>
              <w:rPr>
                <w:rFonts w:hint="eastAsia" w:ascii="仿宋" w:hAnsi="仿宋" w:eastAsia="仿宋" w:cs="新宋体"/>
                <w:bCs/>
                <w:color w:val="auto"/>
                <w:szCs w:val="21"/>
                <w:highlight w:val="none"/>
              </w:rPr>
              <w:t>中标人在领取中标通知书时应提供与电子投标文件内容一致的纸质投标文件（一正二副）。</w:t>
            </w:r>
          </w:p>
          <w:p>
            <w:pPr>
              <w:snapToGrid w:val="0"/>
              <w:rPr>
                <w:rFonts w:ascii="仿宋" w:hAnsi="仿宋" w:eastAsia="仿宋" w:cs="新宋体"/>
                <w:color w:val="auto"/>
                <w:kern w:val="0"/>
                <w:szCs w:val="21"/>
                <w:highlight w:val="none"/>
                <w:u w:val="single"/>
              </w:rPr>
            </w:pPr>
            <w:r>
              <w:rPr>
                <w:rFonts w:ascii="仿宋" w:hAnsi="仿宋" w:eastAsia="仿宋" w:cs="新宋体"/>
                <w:bCs/>
                <w:color w:val="auto"/>
                <w:szCs w:val="21"/>
                <w:highlight w:val="none"/>
              </w:rPr>
              <w:t>5</w:t>
            </w:r>
            <w:r>
              <w:rPr>
                <w:rFonts w:hint="eastAsia"/>
                <w:color w:val="auto"/>
                <w:highlight w:val="none"/>
              </w:rPr>
              <w:t>.</w:t>
            </w:r>
            <w:r>
              <w:rPr>
                <w:rFonts w:hint="eastAsia" w:ascii="仿宋" w:hAnsi="仿宋" w:eastAsia="仿宋" w:cs="仿宋_GB2312"/>
                <w:bCs/>
                <w:color w:val="auto"/>
                <w:szCs w:val="21"/>
                <w:highlight w:val="none"/>
                <w:u w:val="single"/>
              </w:rPr>
              <w:t xml:space="preserve">     无           </w:t>
            </w:r>
          </w:p>
        </w:tc>
      </w:tr>
    </w:tbl>
    <w:p>
      <w:pPr>
        <w:rPr>
          <w:color w:val="auto"/>
          <w:highlight w:val="none"/>
        </w:rPr>
      </w:pPr>
      <w:bookmarkStart w:id="2" w:name="_Toc241404199"/>
      <w:bookmarkStart w:id="3" w:name="_Toc34508130"/>
      <w:bookmarkStart w:id="4" w:name="_Toc221356883"/>
      <w:bookmarkStart w:id="5" w:name="_Toc265529380"/>
      <w:bookmarkStart w:id="6" w:name="_Toc221356948"/>
      <w:bookmarkStart w:id="7" w:name="_Toc221423616"/>
      <w:bookmarkStart w:id="8" w:name="_Toc239145351"/>
      <w:bookmarkStart w:id="9" w:name="_Toc222114876"/>
      <w:bookmarkStart w:id="10" w:name="_Toc223715995"/>
      <w:bookmarkStart w:id="11" w:name="_Toc221374623"/>
      <w:r>
        <w:rPr>
          <w:color w:val="auto"/>
          <w:highlight w:val="none"/>
        </w:rPr>
        <w:br w:type="page"/>
      </w:r>
    </w:p>
    <w:p>
      <w:pPr>
        <w:spacing w:line="360" w:lineRule="auto"/>
        <w:jc w:val="center"/>
        <w:outlineLvl w:val="1"/>
        <w:rPr>
          <w:rFonts w:ascii="仿宋" w:hAnsi="仿宋" w:eastAsia="仿宋" w:cs="新宋体"/>
          <w:b/>
          <w:color w:val="auto"/>
          <w:sz w:val="28"/>
          <w:szCs w:val="28"/>
          <w:highlight w:val="none"/>
        </w:rPr>
      </w:pPr>
      <w:r>
        <w:rPr>
          <w:rFonts w:hint="eastAsia" w:ascii="仿宋" w:hAnsi="仿宋" w:eastAsia="仿宋" w:cs="新宋体"/>
          <w:b/>
          <w:color w:val="auto"/>
          <w:sz w:val="28"/>
          <w:szCs w:val="28"/>
          <w:highlight w:val="none"/>
        </w:rPr>
        <w:t>一、</w:t>
      </w:r>
      <w:bookmarkEnd w:id="2"/>
      <w:bookmarkEnd w:id="3"/>
      <w:bookmarkEnd w:id="4"/>
      <w:bookmarkEnd w:id="5"/>
      <w:bookmarkEnd w:id="6"/>
      <w:bookmarkEnd w:id="7"/>
      <w:bookmarkEnd w:id="8"/>
      <w:bookmarkEnd w:id="9"/>
      <w:bookmarkEnd w:id="10"/>
      <w:bookmarkEnd w:id="11"/>
      <w:r>
        <w:rPr>
          <w:rFonts w:hint="eastAsia" w:ascii="仿宋" w:hAnsi="仿宋" w:eastAsia="仿宋" w:cs="新宋体"/>
          <w:b/>
          <w:color w:val="auto"/>
          <w:sz w:val="28"/>
          <w:szCs w:val="28"/>
          <w:highlight w:val="none"/>
        </w:rPr>
        <w:t>总则</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1.总说明</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本项目采购是按照《中华人民共和国政府采购法》《中华人民共和国政府采购法实施条例》《关于进一步规范政府采购活动的若干意见》等法律及有关法规组织和实施的。</w:t>
      </w:r>
    </w:p>
    <w:p>
      <w:pPr>
        <w:tabs>
          <w:tab w:val="left" w:pos="540"/>
          <w:tab w:val="left" w:pos="900"/>
        </w:tabs>
        <w:snapToGrid w:val="0"/>
        <w:spacing w:line="360" w:lineRule="auto"/>
        <w:rPr>
          <w:rFonts w:ascii="仿宋" w:hAnsi="仿宋" w:eastAsia="仿宋"/>
          <w:b/>
          <w:color w:val="auto"/>
          <w:sz w:val="24"/>
          <w:highlight w:val="none"/>
        </w:rPr>
      </w:pPr>
      <w:bookmarkStart w:id="12" w:name="_Hlk93147856"/>
      <w:r>
        <w:rPr>
          <w:rFonts w:hint="eastAsia" w:ascii="仿宋" w:hAnsi="仿宋" w:eastAsia="仿宋" w:cs="新宋体"/>
          <w:b/>
          <w:bCs/>
          <w:color w:val="auto"/>
          <w:sz w:val="24"/>
          <w:highlight w:val="none"/>
        </w:rPr>
        <w:t>2.</w:t>
      </w:r>
      <w:r>
        <w:rPr>
          <w:rFonts w:hint="eastAsia" w:ascii="仿宋" w:hAnsi="仿宋" w:eastAsia="仿宋"/>
          <w:b/>
          <w:color w:val="auto"/>
          <w:sz w:val="24"/>
          <w:highlight w:val="none"/>
        </w:rPr>
        <w:t>采购项目</w:t>
      </w:r>
    </w:p>
    <w:p>
      <w:pPr>
        <w:tabs>
          <w:tab w:val="left" w:pos="540"/>
          <w:tab w:val="left" w:pos="90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2.2采用最低评标价法的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使用综合评分法的</w:t>
      </w:r>
      <w:r>
        <w:rPr>
          <w:rFonts w:hint="eastAsia" w:ascii="仿宋" w:hAnsi="仿宋" w:eastAsia="仿宋"/>
          <w:color w:val="auto"/>
          <w:sz w:val="24"/>
          <w:highlight w:val="none"/>
        </w:rPr>
        <w:t>货物类</w:t>
      </w:r>
      <w:r>
        <w:rPr>
          <w:rFonts w:hint="eastAsia" w:ascii="仿宋" w:hAnsi="仿宋" w:eastAsia="仿宋" w:cs="新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非单一产品采购项目，多家投标人提供的核心产品（见</w:t>
      </w:r>
      <w:r>
        <w:rPr>
          <w:rFonts w:hint="eastAsia" w:ascii="仿宋" w:hAnsi="仿宋" w:eastAsia="仿宋"/>
          <w:color w:val="auto"/>
          <w:sz w:val="24"/>
          <w:highlight w:val="none"/>
        </w:rPr>
        <w:t>投标人须知前附表</w:t>
      </w:r>
      <w:r>
        <w:rPr>
          <w:rFonts w:hint="eastAsia" w:ascii="仿宋" w:hAnsi="仿宋" w:eastAsia="仿宋" w:cs="新宋体"/>
          <w:bCs/>
          <w:color w:val="auto"/>
          <w:spacing w:val="6"/>
          <w:sz w:val="24"/>
          <w:highlight w:val="none"/>
        </w:rPr>
        <w:t>）品牌相同的，按前两款规定处理。</w:t>
      </w:r>
    </w:p>
    <w:p>
      <w:pPr>
        <w:snapToGrid w:val="0"/>
        <w:spacing w:line="360" w:lineRule="auto"/>
        <w:ind w:firstLine="480" w:firstLineChars="200"/>
        <w:rPr>
          <w:rFonts w:ascii="仿宋" w:hAnsi="仿宋" w:eastAsia="仿宋" w:cs="新宋体"/>
          <w:bCs/>
          <w:color w:val="auto"/>
          <w:spacing w:val="6"/>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货物类是否允许采购进口产品、是否要求节能/环境标志产品等情况见投标人须知前附表。</w:t>
      </w:r>
      <w:bookmarkEnd w:id="12"/>
    </w:p>
    <w:p>
      <w:pPr>
        <w:tabs>
          <w:tab w:val="left" w:pos="540"/>
          <w:tab w:val="left" w:pos="90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3.合格的投标人</w:t>
      </w:r>
    </w:p>
    <w:p>
      <w:pPr>
        <w:tabs>
          <w:tab w:val="left" w:pos="540"/>
          <w:tab w:val="left" w:pos="90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3.1合格的投标人应满足招标文件第一部分“招标公告”对申请人的资格要求。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3.2</w:t>
      </w:r>
      <w:r>
        <w:rPr>
          <w:rFonts w:hint="eastAsia" w:ascii="仿宋" w:hAnsi="仿宋" w:eastAsia="仿宋" w:cs="新宋体"/>
          <w:b/>
          <w:color w:val="auto"/>
          <w:kern w:val="0"/>
          <w:sz w:val="24"/>
          <w:highlight w:val="none"/>
          <w:u w:val="single"/>
        </w:rPr>
        <w:t>▲</w:t>
      </w:r>
      <w:r>
        <w:rPr>
          <w:rFonts w:hint="eastAsia" w:ascii="仿宋" w:hAnsi="仿宋" w:eastAsia="仿宋" w:cs="新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新宋体"/>
          <w:bCs/>
          <w:color w:val="auto"/>
          <w:spacing w:val="6"/>
          <w:sz w:val="24"/>
          <w:highlight w:val="none"/>
        </w:rPr>
        <w:t>。</w:t>
      </w:r>
    </w:p>
    <w:p>
      <w:pPr>
        <w:tabs>
          <w:tab w:val="left" w:pos="540"/>
          <w:tab w:val="left" w:pos="90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4.投标费用</w:t>
      </w:r>
    </w:p>
    <w:p>
      <w:pPr>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ascii="仿宋" w:hAnsi="仿宋" w:eastAsia="仿宋" w:cs="新宋体"/>
          <w:b/>
          <w:color w:val="auto"/>
          <w:sz w:val="24"/>
          <w:highlight w:val="none"/>
        </w:rPr>
      </w:pPr>
      <w:bookmarkStart w:id="13" w:name="_Hlk93148567"/>
      <w:r>
        <w:rPr>
          <w:rFonts w:hint="eastAsia" w:ascii="仿宋" w:hAnsi="仿宋" w:eastAsia="仿宋" w:cs="新宋体"/>
          <w:b/>
          <w:color w:val="auto"/>
          <w:sz w:val="24"/>
          <w:highlight w:val="none"/>
        </w:rPr>
        <w:t>5.保密</w:t>
      </w:r>
    </w:p>
    <w:p>
      <w:pPr>
        <w:snapToGrid w:val="0"/>
        <w:spacing w:line="360" w:lineRule="auto"/>
        <w:ind w:firstLine="480" w:firstLineChars="200"/>
        <w:rPr>
          <w:rFonts w:ascii="仿宋" w:hAnsi="仿宋" w:eastAsia="仿宋" w:cs="新宋体"/>
          <w:color w:val="auto"/>
          <w:sz w:val="24"/>
          <w:highlight w:val="none"/>
        </w:rPr>
      </w:pPr>
      <w:r>
        <w:rPr>
          <w:rFonts w:ascii="仿宋" w:hAnsi="仿宋" w:eastAsia="仿宋" w:cs="新宋体"/>
          <w:color w:val="auto"/>
          <w:sz w:val="24"/>
          <w:highlight w:val="none"/>
        </w:rPr>
        <w:t>参与</w:t>
      </w:r>
      <w:r>
        <w:rPr>
          <w:rFonts w:hint="eastAsia" w:ascii="仿宋" w:hAnsi="仿宋" w:eastAsia="仿宋" w:cs="新宋体"/>
          <w:color w:val="auto"/>
          <w:sz w:val="24"/>
          <w:highlight w:val="none"/>
        </w:rPr>
        <w:t>采购</w:t>
      </w:r>
      <w:r>
        <w:rPr>
          <w:rFonts w:ascii="仿宋" w:hAnsi="仿宋" w:eastAsia="仿宋" w:cs="新宋体"/>
          <w:color w:val="auto"/>
          <w:sz w:val="24"/>
          <w:highlight w:val="none"/>
        </w:rPr>
        <w:t>活动的各方应对采购文件和投标文件中的商业和技术等秘密保密，否则应承担相应的法律责任。</w:t>
      </w:r>
    </w:p>
    <w:p>
      <w:pPr>
        <w:snapToGrid w:val="0"/>
        <w:spacing w:line="360" w:lineRule="auto"/>
        <w:rPr>
          <w:rFonts w:ascii="仿宋" w:hAnsi="仿宋" w:eastAsia="仿宋" w:cs="新宋体"/>
          <w:b/>
          <w:bCs/>
          <w:color w:val="auto"/>
          <w:spacing w:val="6"/>
          <w:sz w:val="24"/>
          <w:highlight w:val="none"/>
        </w:rPr>
      </w:pPr>
      <w:r>
        <w:rPr>
          <w:rFonts w:hint="eastAsia" w:ascii="仿宋" w:hAnsi="仿宋" w:eastAsia="仿宋" w:cs="新宋体"/>
          <w:b/>
          <w:bCs/>
          <w:color w:val="auto"/>
          <w:spacing w:val="6"/>
          <w:sz w:val="24"/>
          <w:highlight w:val="none"/>
        </w:rPr>
        <w:t>6.标前答疑会或现场考察</w:t>
      </w:r>
    </w:p>
    <w:p>
      <w:pPr>
        <w:pStyle w:val="24"/>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4" w:name="bookmark32"/>
      <w:bookmarkEnd w:id="14"/>
    </w:p>
    <w:p>
      <w:pPr>
        <w:pStyle w:val="24"/>
        <w:kinsoku w:val="0"/>
        <w:autoSpaceDE w:val="0"/>
        <w:autoSpaceDN w:val="0"/>
        <w:snapToGrid w:val="0"/>
        <w:spacing w:after="0" w:line="360" w:lineRule="auto"/>
        <w:ind w:firstLine="480" w:firstLineChars="200"/>
        <w:jc w:val="left"/>
        <w:rPr>
          <w:rFonts w:ascii="仿宋" w:hAnsi="仿宋" w:eastAsia="仿宋" w:cs="新宋体"/>
          <w:color w:val="auto"/>
          <w:sz w:val="24"/>
          <w:highlight w:val="none"/>
        </w:rPr>
      </w:pPr>
      <w:r>
        <w:rPr>
          <w:rFonts w:hint="eastAsia" w:ascii="仿宋" w:hAnsi="仿宋" w:eastAsia="仿宋" w:cs="新宋体"/>
          <w:color w:val="auto"/>
          <w:sz w:val="24"/>
          <w:highlight w:val="none"/>
        </w:rPr>
        <w:t>6.2投标人考察现场发生的费用自理。除采购人的原因外，投标人自行负责在考察现场中所发生的人员伤亡和财产损失。</w:t>
      </w:r>
    </w:p>
    <w:bookmarkEnd w:id="13"/>
    <w:p>
      <w:pPr>
        <w:snapToGrid w:val="0"/>
        <w:spacing w:line="360" w:lineRule="auto"/>
        <w:rPr>
          <w:rFonts w:ascii="仿宋" w:hAnsi="仿宋" w:eastAsia="仿宋" w:cs="新宋体"/>
          <w:b/>
          <w:bCs/>
          <w:color w:val="auto"/>
          <w:spacing w:val="6"/>
          <w:sz w:val="24"/>
          <w:highlight w:val="none"/>
        </w:rPr>
      </w:pPr>
      <w:bookmarkStart w:id="15" w:name="_Hlk93148676"/>
      <w:r>
        <w:rPr>
          <w:rFonts w:hint="eastAsia" w:ascii="仿宋" w:hAnsi="仿宋" w:eastAsia="仿宋" w:cs="新宋体"/>
          <w:b/>
          <w:bCs/>
          <w:color w:val="auto"/>
          <w:spacing w:val="6"/>
          <w:sz w:val="24"/>
          <w:highlight w:val="none"/>
        </w:rPr>
        <w:t>7.落实政府采购政策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7.2支持绿色发展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新宋体"/>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新宋体"/>
          <w:bCs/>
          <w:color w:val="auto"/>
          <w:spacing w:val="6"/>
          <w:sz w:val="24"/>
          <w:highlight w:val="none"/>
        </w:rPr>
        <w:t>。</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7.2.</w:t>
      </w:r>
      <w:r>
        <w:rPr>
          <w:rFonts w:ascii="仿宋" w:hAnsi="仿宋" w:eastAsia="仿宋" w:cs="新宋体"/>
          <w:bCs/>
          <w:color w:val="auto"/>
          <w:spacing w:val="6"/>
          <w:sz w:val="24"/>
          <w:highlight w:val="none"/>
        </w:rPr>
        <w:t>2</w:t>
      </w:r>
      <w:r>
        <w:rPr>
          <w:rFonts w:hint="eastAsia" w:ascii="仿宋" w:hAnsi="仿宋" w:eastAsia="仿宋" w:cs="新宋体"/>
          <w:bCs/>
          <w:color w:val="auto"/>
          <w:spacing w:val="6"/>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7.3支持中小企业发展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7.3.3对于未预留份额专门面向中小企业采购的采购项目，以及预留份额项目中的非预留部分采购包，采购人、采购代理机构应当对符合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7.</w:t>
      </w:r>
      <w:r>
        <w:rPr>
          <w:rFonts w:ascii="仿宋" w:hAnsi="仿宋" w:eastAsia="仿宋" w:cs="新宋体"/>
          <w:bCs/>
          <w:color w:val="auto"/>
          <w:spacing w:val="6"/>
          <w:sz w:val="24"/>
          <w:highlight w:val="none"/>
        </w:rPr>
        <w:t>4</w:t>
      </w:r>
      <w:r>
        <w:rPr>
          <w:rFonts w:hint="eastAsia" w:ascii="仿宋" w:hAnsi="仿宋" w:eastAsia="仿宋" w:cs="新宋体"/>
          <w:bCs/>
          <w:color w:val="auto"/>
          <w:spacing w:val="6"/>
          <w:sz w:val="24"/>
          <w:highlight w:val="none"/>
        </w:rPr>
        <w:t>根据浙江省财政厅《关于坚决打赢疫情防控狙击战进一步做好政府采购资金支持发展工作的通知》（浙财采监【2020】3号）和永嘉县财政局《关于做好政府采购相关工作应对新冠肺炎疫情支持中小企业共渡难关的通知》（永财采监【2020】47号）文件精神，供应商若有融资意向，可直接登录http://jinrong.zcygov.cn，查看信用融资政策文件及各相关银行服务方案，也可直接向各银行咨询相关业务。</w:t>
      </w:r>
      <w:bookmarkEnd w:id="15"/>
    </w:p>
    <w:p>
      <w:pPr>
        <w:snapToGrid w:val="0"/>
        <w:spacing w:line="360" w:lineRule="auto"/>
        <w:rPr>
          <w:rFonts w:ascii="仿宋" w:hAnsi="仿宋" w:eastAsia="仿宋" w:cs="新宋体"/>
          <w:b/>
          <w:bCs/>
          <w:color w:val="auto"/>
          <w:spacing w:val="6"/>
          <w:sz w:val="24"/>
          <w:highlight w:val="none"/>
        </w:rPr>
      </w:pPr>
      <w:bookmarkStart w:id="16" w:name="_Hlk93148897"/>
      <w:r>
        <w:rPr>
          <w:rFonts w:hint="eastAsia" w:ascii="仿宋" w:hAnsi="仿宋" w:eastAsia="仿宋" w:cs="新宋体"/>
          <w:b/>
          <w:bCs/>
          <w:color w:val="auto"/>
          <w:spacing w:val="6"/>
          <w:sz w:val="24"/>
          <w:highlight w:val="none"/>
        </w:rPr>
        <w:t>8.询问、质疑、投诉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8.1询问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8.2.1提出质疑的投标人应当是参与所质疑项目采购活动的供应商。潜在投标人已依法获取其可质疑的招标文件的，可以对该文件提出质疑。</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（1）对招标文件提出质疑的，质疑期限为投标人获得招标文件之日或者招标文件公告期限届满之日起计算。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（1）供应商的姓名或者名称、地址、邮编、联系人及联系电话；</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（2）质疑项目的名称、编号；</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（3）具体、明确的质疑事项和与质疑事项相关的请求；</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（4）事实依据；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（5）必要的法律依据；</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（6）提出质疑的日期。</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8.2.5询问或者质疑事项可能影响采购结果的，采购人应当暂停签订合同，已经签订合同的，应当中止履行合同。</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8.3.3投标人投诉应当有明确的请求和必要的证明材料。</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ascii="仿宋" w:hAnsi="仿宋" w:eastAsia="仿宋" w:cs="新宋体"/>
          <w:bCs/>
          <w:color w:val="auto"/>
          <w:spacing w:val="6"/>
          <w:sz w:val="24"/>
          <w:highlight w:val="none"/>
        </w:rPr>
      </w:pPr>
      <w:r>
        <w:rPr>
          <w:rFonts w:hint="eastAsia" w:ascii="仿宋" w:hAnsi="仿宋" w:eastAsia="仿宋" w:cs="新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16"/>
    </w:p>
    <w:p>
      <w:pPr>
        <w:snapToGrid w:val="0"/>
        <w:spacing w:line="360" w:lineRule="auto"/>
        <w:ind w:firstLine="504" w:firstLineChars="200"/>
        <w:rPr>
          <w:rFonts w:ascii="仿宋" w:hAnsi="仿宋" w:eastAsia="仿宋" w:cs="新宋体"/>
          <w:bCs/>
          <w:color w:val="auto"/>
          <w:spacing w:val="6"/>
          <w:sz w:val="24"/>
          <w:highlight w:val="none"/>
        </w:rPr>
      </w:pPr>
    </w:p>
    <w:p>
      <w:pPr>
        <w:snapToGrid w:val="0"/>
        <w:spacing w:line="360" w:lineRule="auto"/>
        <w:jc w:val="center"/>
        <w:rPr>
          <w:rFonts w:ascii="仿宋" w:hAnsi="仿宋" w:eastAsia="仿宋" w:cs="新宋体"/>
          <w:b/>
          <w:color w:val="auto"/>
          <w:sz w:val="28"/>
          <w:szCs w:val="28"/>
          <w:highlight w:val="none"/>
        </w:rPr>
      </w:pPr>
      <w:bookmarkStart w:id="17" w:name="_Toc34508131"/>
      <w:bookmarkStart w:id="18" w:name="_Toc221374624"/>
      <w:bookmarkStart w:id="19" w:name="_Toc239145352"/>
      <w:bookmarkStart w:id="20" w:name="_Toc265529381"/>
      <w:bookmarkStart w:id="21" w:name="_Toc241404200"/>
      <w:bookmarkStart w:id="22" w:name="_Toc221423617"/>
      <w:bookmarkStart w:id="23" w:name="_Toc222114877"/>
      <w:bookmarkStart w:id="24" w:name="_Toc223715996"/>
      <w:bookmarkStart w:id="25" w:name="_Toc221356884"/>
      <w:bookmarkStart w:id="26" w:name="_Toc221356949"/>
      <w:r>
        <w:rPr>
          <w:rFonts w:hint="eastAsia" w:ascii="仿宋" w:hAnsi="仿宋" w:eastAsia="仿宋" w:cs="新宋体"/>
          <w:b/>
          <w:color w:val="auto"/>
          <w:sz w:val="28"/>
          <w:szCs w:val="28"/>
          <w:highlight w:val="none"/>
        </w:rPr>
        <w:t>二、招标文件</w:t>
      </w:r>
      <w:bookmarkEnd w:id="17"/>
      <w:bookmarkEnd w:id="18"/>
      <w:bookmarkEnd w:id="19"/>
      <w:bookmarkEnd w:id="20"/>
      <w:bookmarkEnd w:id="21"/>
      <w:bookmarkEnd w:id="22"/>
      <w:bookmarkEnd w:id="23"/>
      <w:bookmarkEnd w:id="24"/>
      <w:bookmarkEnd w:id="25"/>
      <w:bookmarkEnd w:id="26"/>
    </w:p>
    <w:p>
      <w:pPr>
        <w:tabs>
          <w:tab w:val="left" w:pos="540"/>
        </w:tabs>
        <w:snapToGrid w:val="0"/>
        <w:spacing w:line="360" w:lineRule="auto"/>
        <w:rPr>
          <w:rFonts w:ascii="仿宋" w:hAnsi="仿宋" w:eastAsia="仿宋" w:cs="新宋体"/>
          <w:b/>
          <w:color w:val="auto"/>
          <w:sz w:val="24"/>
          <w:highlight w:val="none"/>
        </w:rPr>
      </w:pPr>
      <w:r>
        <w:rPr>
          <w:rFonts w:hint="eastAsia" w:ascii="仿宋" w:hAnsi="仿宋" w:eastAsia="仿宋" w:cs="新宋体"/>
          <w:b/>
          <w:color w:val="auto"/>
          <w:sz w:val="24"/>
          <w:highlight w:val="none"/>
        </w:rPr>
        <w:t>9.招标文件</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9.1本项目招标文件由招标文件目录所列内容及相关资料组成。</w:t>
      </w:r>
      <w:bookmarkStart w:id="27" w:name="_Hlk93148980"/>
      <w:r>
        <w:rPr>
          <w:rFonts w:hint="eastAsia" w:ascii="仿宋" w:hAnsi="仿宋" w:eastAsia="仿宋" w:cs="新宋体"/>
          <w:color w:val="auto"/>
          <w:sz w:val="24"/>
          <w:highlight w:val="none"/>
        </w:rPr>
        <w:t>获取招标文件的时间期限、地点、方式及招标文件售价等情况详见招标公告。</w:t>
      </w:r>
      <w:bookmarkEnd w:id="27"/>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9.2招标文件的澄清或修改</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pPr>
        <w:snapToGrid w:val="0"/>
        <w:spacing w:line="360" w:lineRule="auto"/>
        <w:ind w:firstLine="504" w:firstLineChars="200"/>
        <w:rPr>
          <w:rFonts w:ascii="仿宋" w:hAnsi="仿宋" w:eastAsia="仿宋" w:cs="新宋体"/>
          <w:color w:val="auto"/>
          <w:spacing w:val="6"/>
          <w:sz w:val="24"/>
          <w:highlight w:val="none"/>
        </w:rPr>
      </w:pPr>
      <w:r>
        <w:rPr>
          <w:rFonts w:hint="eastAsia" w:ascii="仿宋" w:hAnsi="仿宋" w:eastAsia="仿宋" w:cs="新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pPr>
        <w:tabs>
          <w:tab w:val="left" w:pos="540"/>
        </w:tabs>
        <w:snapToGrid w:val="0"/>
        <w:spacing w:line="360" w:lineRule="auto"/>
        <w:ind w:firstLine="480" w:firstLineChars="200"/>
        <w:rPr>
          <w:rFonts w:ascii="仿宋" w:hAnsi="仿宋" w:eastAsia="仿宋" w:cs="新宋体"/>
          <w:color w:val="auto"/>
          <w:sz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28" w:name="_Toc241404201"/>
      <w:bookmarkStart w:id="29" w:name="_Toc222114878"/>
      <w:bookmarkStart w:id="30" w:name="_Toc221374625"/>
      <w:bookmarkStart w:id="31" w:name="_Toc223715997"/>
      <w:bookmarkStart w:id="32" w:name="_Toc221423618"/>
      <w:bookmarkStart w:id="33" w:name="_Toc265529382"/>
      <w:bookmarkStart w:id="34" w:name="_Toc34508132"/>
      <w:bookmarkStart w:id="35" w:name="_Toc221356885"/>
      <w:bookmarkStart w:id="36" w:name="_Toc221356950"/>
      <w:bookmarkStart w:id="37" w:name="_Toc239145353"/>
      <w:r>
        <w:rPr>
          <w:rFonts w:hint="eastAsia" w:ascii="仿宋" w:hAnsi="仿宋" w:eastAsia="仿宋" w:cs="新宋体"/>
          <w:b/>
          <w:color w:val="auto"/>
          <w:sz w:val="28"/>
          <w:szCs w:val="28"/>
          <w:highlight w:val="none"/>
        </w:rPr>
        <w:t>三、投标文件</w:t>
      </w:r>
      <w:bookmarkEnd w:id="28"/>
      <w:bookmarkEnd w:id="29"/>
      <w:bookmarkEnd w:id="30"/>
      <w:bookmarkEnd w:id="31"/>
      <w:bookmarkEnd w:id="32"/>
      <w:bookmarkEnd w:id="33"/>
      <w:bookmarkEnd w:id="34"/>
      <w:bookmarkEnd w:id="35"/>
      <w:bookmarkEnd w:id="36"/>
      <w:bookmarkEnd w:id="37"/>
    </w:p>
    <w:p>
      <w:pPr>
        <w:snapToGrid w:val="0"/>
        <w:spacing w:line="360" w:lineRule="auto"/>
        <w:rPr>
          <w:rFonts w:ascii="仿宋" w:hAnsi="仿宋" w:eastAsia="仿宋" w:cs="新宋体"/>
          <w:b/>
          <w:bCs/>
          <w:snapToGrid w:val="0"/>
          <w:color w:val="auto"/>
          <w:sz w:val="24"/>
          <w:highlight w:val="none"/>
        </w:rPr>
      </w:pPr>
      <w:bookmarkStart w:id="38" w:name="_Toc221356886"/>
      <w:bookmarkStart w:id="39" w:name="_Hlk93149286"/>
      <w:r>
        <w:rPr>
          <w:rFonts w:hint="eastAsia" w:ascii="仿宋" w:hAnsi="仿宋" w:eastAsia="仿宋" w:cs="新宋体"/>
          <w:b/>
          <w:snapToGrid w:val="0"/>
          <w:color w:val="auto"/>
          <w:sz w:val="24"/>
          <w:highlight w:val="none"/>
        </w:rPr>
        <w:t>10.</w:t>
      </w:r>
      <w:r>
        <w:rPr>
          <w:rFonts w:hint="eastAsia" w:ascii="仿宋" w:hAnsi="仿宋" w:eastAsia="仿宋" w:cs="新宋体"/>
          <w:b/>
          <w:bCs/>
          <w:snapToGrid w:val="0"/>
          <w:color w:val="auto"/>
          <w:sz w:val="24"/>
          <w:highlight w:val="none"/>
        </w:rPr>
        <w:t>投标文件的构成</w:t>
      </w:r>
    </w:p>
    <w:p>
      <w:pPr>
        <w:snapToGrid w:val="0"/>
        <w:spacing w:line="360" w:lineRule="auto"/>
        <w:ind w:firstLine="470" w:firstLineChars="196"/>
        <w:rPr>
          <w:rFonts w:ascii="仿宋" w:hAnsi="仿宋" w:eastAsia="仿宋" w:cs="新宋体"/>
          <w:bCs/>
          <w:color w:val="auto"/>
          <w:sz w:val="24"/>
          <w:highlight w:val="none"/>
        </w:rPr>
      </w:pPr>
      <w:r>
        <w:rPr>
          <w:rFonts w:hint="eastAsia" w:ascii="仿宋" w:hAnsi="仿宋" w:eastAsia="仿宋" w:cs="新宋体"/>
          <w:bCs/>
          <w:color w:val="auto"/>
          <w:sz w:val="24"/>
          <w:highlight w:val="none"/>
        </w:rPr>
        <w:t>包括资格文件、商务技术文件、报价文件三部分。</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10.1 资格文件须包括下列内容：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.1.1符合参加政府采购活动应当具备的一般条件的承诺函；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.1.2落实政府采购政策需满足的资格要求；</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.1.3本项目的特定资格要求。</w:t>
      </w:r>
    </w:p>
    <w:p>
      <w:pPr>
        <w:tabs>
          <w:tab w:val="left" w:pos="360"/>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10.2 商务技术文件应包括下列部分：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.2.1投标函；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.2.2授权委托书或法定代表人（单位负责人、自然人本人）身份证明；</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4其他需要提供的文件格式</w:t>
      </w:r>
      <w:r>
        <w:rPr>
          <w:rFonts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p>
    <w:p>
      <w:pPr>
        <w:pStyle w:val="2"/>
        <w:ind w:left="0" w:leftChars="0" w:firstLine="480"/>
        <w:jc w:val="left"/>
        <w:rPr>
          <w:rFonts w:eastAsia="仿宋"/>
          <w:color w:val="auto"/>
          <w:highlight w:val="none"/>
        </w:rPr>
      </w:pPr>
      <w:r>
        <w:rPr>
          <w:rFonts w:hint="eastAsia" w:ascii="仿宋" w:hAnsi="仿宋" w:eastAsia="仿宋" w:cs="仿宋_GB2312"/>
          <w:color w:val="auto"/>
          <w:sz w:val="24"/>
          <w:highlight w:val="none"/>
        </w:rPr>
        <w:t>10.2.6针对本项目的管理工作计划、技术措施方案</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w:t>
      </w:r>
      <w:r>
        <w:rPr>
          <w:rFonts w:hint="eastAsia" w:ascii="仿宋" w:hAnsi="仿宋" w:eastAsia="仿宋" w:cs="仿宋_GB2312"/>
          <w:color w:val="auto"/>
          <w:sz w:val="24"/>
          <w:highlight w:val="none"/>
          <w:lang w:val="zh-CN"/>
        </w:rPr>
        <w:t>0</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7</w:t>
      </w:r>
      <w:r>
        <w:rPr>
          <w:rFonts w:hint="eastAsia" w:ascii="仿宋" w:hAnsi="仿宋" w:eastAsia="仿宋" w:cs="新宋体"/>
          <w:color w:val="auto"/>
          <w:sz w:val="24"/>
          <w:highlight w:val="none"/>
        </w:rPr>
        <w:t>投标人认为需要提供的其他相关资料</w:t>
      </w:r>
      <w:r>
        <w:rPr>
          <w:rFonts w:hint="eastAsia" w:ascii="仿宋" w:hAnsi="仿宋" w:eastAsia="仿宋" w:cs="仿宋_GB2312"/>
          <w:color w:val="auto"/>
          <w:sz w:val="24"/>
          <w:highlight w:val="none"/>
          <w:lang w:val="zh-CN"/>
        </w:rPr>
        <w:t>。</w:t>
      </w:r>
    </w:p>
    <w:p>
      <w:pPr>
        <w:tabs>
          <w:tab w:val="left" w:pos="5355"/>
        </w:tabs>
        <w:snapToGrid w:val="0"/>
        <w:spacing w:line="360" w:lineRule="auto"/>
        <w:ind w:firstLine="482" w:firstLineChars="200"/>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10.3 报价文件应包括下列部分：</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.3.1开标一览表（报价表）；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.3.2</w:t>
      </w:r>
      <w:r>
        <w:rPr>
          <w:rFonts w:hint="eastAsia" w:ascii="仿宋" w:hAnsi="仿宋" w:eastAsia="仿宋" w:cs="新宋体"/>
          <w:color w:val="auto"/>
          <w:sz w:val="24"/>
          <w:highlight w:val="none"/>
        </w:rPr>
        <w:t>价格组成表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10.3.3政府采购政策情况表；</w:t>
      </w:r>
    </w:p>
    <w:p>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新宋体"/>
          <w:b/>
          <w:bCs/>
          <w:color w:val="auto"/>
          <w:sz w:val="24"/>
          <w:highlight w:val="none"/>
        </w:rPr>
        <w:t>10.4 要求投标人提供样品、讲解或演示的，见投标人须知前附表。</w:t>
      </w:r>
    </w:p>
    <w:bookmarkEnd w:id="38"/>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11.投标文件编制</w:t>
      </w:r>
    </w:p>
    <w:p>
      <w:pPr>
        <w:tabs>
          <w:tab w:val="left" w:pos="360"/>
        </w:tabs>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新宋体"/>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kern w:val="0"/>
          <w:sz w:val="24"/>
          <w:highlight w:val="none"/>
          <w:u w:val="single"/>
          <w:lang w:val="zh-CN"/>
        </w:rPr>
        <w:t>投标人未按规定加密的投标文件，政采云平台将拒收并提示</w:t>
      </w:r>
      <w:r>
        <w:rPr>
          <w:rFonts w:hint="eastAsia" w:ascii="仿宋" w:hAnsi="仿宋" w:eastAsia="仿宋" w:cs="仿宋_GB2312"/>
          <w:color w:val="auto"/>
          <w:kern w:val="0"/>
          <w:sz w:val="24"/>
          <w:highlight w:val="none"/>
          <w:lang w:val="zh-CN"/>
        </w:rPr>
        <w:t>。</w:t>
      </w:r>
    </w:p>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新宋体"/>
          <w:color w:val="auto"/>
          <w:sz w:val="24"/>
          <w:highlight w:val="none"/>
        </w:rPr>
        <w:t>11.2投标人应当按照本部分“投标文件的构成”规定的内容及顺序在“政采云电子交易客户端”编制投标文件。</w:t>
      </w:r>
      <w:r>
        <w:rPr>
          <w:rFonts w:ascii="仿宋" w:hAnsi="仿宋" w:eastAsia="仿宋" w:cs="仿宋_GB2312"/>
          <w:color w:val="auto"/>
          <w:kern w:val="0"/>
          <w:sz w:val="24"/>
          <w:highlight w:val="none"/>
          <w:lang w:val="zh-CN"/>
        </w:rPr>
        <w:t>各</w:t>
      </w:r>
      <w:r>
        <w:rPr>
          <w:rFonts w:hint="eastAsia" w:ascii="仿宋" w:hAnsi="仿宋" w:eastAsia="仿宋" w:cs="仿宋_GB2312"/>
          <w:color w:val="auto"/>
          <w:kern w:val="0"/>
          <w:sz w:val="24"/>
          <w:highlight w:val="none"/>
          <w:lang w:val="zh-CN"/>
        </w:rPr>
        <w:t>投标人</w:t>
      </w:r>
      <w:r>
        <w:rPr>
          <w:rFonts w:ascii="仿宋" w:hAnsi="仿宋" w:eastAsia="仿宋" w:cs="仿宋_GB2312"/>
          <w:color w:val="auto"/>
          <w:kern w:val="0"/>
          <w:sz w:val="24"/>
          <w:highlight w:val="none"/>
          <w:lang w:val="zh-CN"/>
        </w:rPr>
        <w:t>在编制投标文件时请按照</w:t>
      </w:r>
      <w:r>
        <w:rPr>
          <w:rFonts w:hint="eastAsia" w:ascii="仿宋" w:hAnsi="仿宋" w:eastAsia="仿宋" w:cs="仿宋_GB2312"/>
          <w:color w:val="auto"/>
          <w:kern w:val="0"/>
          <w:sz w:val="24"/>
          <w:highlight w:val="none"/>
          <w:lang w:val="zh-CN"/>
        </w:rPr>
        <w:t>招标文件</w:t>
      </w:r>
      <w:r>
        <w:rPr>
          <w:rFonts w:ascii="仿宋" w:hAnsi="仿宋" w:eastAsia="仿宋" w:cs="仿宋_GB2312"/>
          <w:color w:val="auto"/>
          <w:kern w:val="0"/>
          <w:sz w:val="24"/>
          <w:highlight w:val="none"/>
          <w:lang w:val="zh-CN"/>
        </w:rPr>
        <w:t>第</w:t>
      </w:r>
      <w:r>
        <w:rPr>
          <w:rFonts w:hint="eastAsia" w:ascii="仿宋" w:hAnsi="仿宋" w:eastAsia="仿宋" w:cs="仿宋_GB2312"/>
          <w:color w:val="auto"/>
          <w:kern w:val="0"/>
          <w:sz w:val="24"/>
          <w:highlight w:val="none"/>
          <w:lang w:val="zh-CN"/>
        </w:rPr>
        <w:t>五</w:t>
      </w:r>
      <w:r>
        <w:rPr>
          <w:rFonts w:ascii="仿宋" w:hAnsi="仿宋" w:eastAsia="仿宋" w:cs="仿宋_GB2312"/>
          <w:color w:val="auto"/>
          <w:kern w:val="0"/>
          <w:sz w:val="24"/>
          <w:highlight w:val="none"/>
          <w:lang w:val="zh-CN"/>
        </w:rPr>
        <w:t>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ascii="仿宋" w:hAnsi="仿宋" w:eastAsia="仿宋" w:cs="新宋体"/>
          <w:color w:val="auto"/>
          <w:sz w:val="24"/>
          <w:highlight w:val="none"/>
        </w:rPr>
      </w:pP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12.投标文件的签署、盖章</w:t>
      </w:r>
    </w:p>
    <w:p>
      <w:pPr>
        <w:pStyle w:val="89"/>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.1投标文件按照</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第</w:t>
      </w:r>
      <w:r>
        <w:rPr>
          <w:rFonts w:hint="eastAsia" w:ascii="仿宋" w:hAnsi="仿宋" w:eastAsia="仿宋" w:cs="仿宋_GB2312"/>
          <w:color w:val="auto"/>
          <w:szCs w:val="24"/>
          <w:highlight w:val="none"/>
        </w:rPr>
        <w:t>五</w:t>
      </w:r>
      <w:r>
        <w:rPr>
          <w:rFonts w:ascii="仿宋" w:hAnsi="仿宋" w:eastAsia="仿宋" w:cs="仿宋_GB2312"/>
          <w:color w:val="auto"/>
          <w:szCs w:val="24"/>
          <w:highlight w:val="none"/>
        </w:rPr>
        <w:t>部分格式要</w:t>
      </w:r>
      <w:r>
        <w:rPr>
          <w:rFonts w:hint="eastAsia" w:ascii="仿宋" w:hAnsi="仿宋" w:eastAsia="仿宋" w:cs="仿宋_GB2312"/>
          <w:color w:val="auto"/>
          <w:szCs w:val="24"/>
          <w:highlight w:val="none"/>
        </w:rPr>
        <w:t>求进行签署、盖章。</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.2为确保网上操作合法、有效和安全，</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应当在投标截止时间前完成在“政采云平台”的身份认证，确保在电子投标过程中能够对相关数据电文进行加密和使用电子签名。</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2</w:t>
      </w:r>
      <w:r>
        <w:rPr>
          <w:rFonts w:ascii="仿宋" w:hAnsi="仿宋" w:eastAsia="仿宋" w:cs="仿宋_GB2312"/>
          <w:color w:val="auto"/>
          <w:szCs w:val="24"/>
          <w:highlight w:val="none"/>
        </w:rPr>
        <w:t>.3</w:t>
      </w:r>
      <w:r>
        <w:rPr>
          <w:rFonts w:hint="eastAsia" w:ascii="仿宋" w:hAnsi="仿宋" w:eastAsia="仿宋" w:cs="仿宋_GB2312"/>
          <w:color w:val="auto"/>
          <w:szCs w:val="24"/>
          <w:highlight w:val="none"/>
        </w:rPr>
        <w:t>招标文件</w:t>
      </w:r>
      <w:r>
        <w:rPr>
          <w:rFonts w:ascii="仿宋" w:hAnsi="仿宋" w:eastAsia="仿宋" w:cs="仿宋_GB2312"/>
          <w:color w:val="auto"/>
          <w:szCs w:val="24"/>
          <w:highlight w:val="none"/>
        </w:rPr>
        <w:t>对投标文件签署、盖章的要求适用于电子签名。</w:t>
      </w:r>
      <w:bookmarkEnd w:id="39"/>
    </w:p>
    <w:p>
      <w:pPr>
        <w:tabs>
          <w:tab w:val="left" w:pos="540"/>
        </w:tabs>
        <w:snapToGrid w:val="0"/>
        <w:spacing w:line="360" w:lineRule="auto"/>
        <w:rPr>
          <w:rFonts w:ascii="仿宋" w:hAnsi="仿宋" w:eastAsia="仿宋" w:cs="新宋体"/>
          <w:b/>
          <w:color w:val="auto"/>
          <w:sz w:val="24"/>
          <w:highlight w:val="none"/>
        </w:rPr>
      </w:pPr>
      <w:bookmarkStart w:id="40" w:name="_Hlk93149637"/>
      <w:r>
        <w:rPr>
          <w:rFonts w:hint="eastAsia" w:ascii="仿宋" w:hAnsi="仿宋" w:eastAsia="仿宋" w:cs="新宋体"/>
          <w:b/>
          <w:bCs/>
          <w:color w:val="auto"/>
          <w:sz w:val="24"/>
          <w:highlight w:val="none"/>
        </w:rPr>
        <w:t>13.投标报价</w:t>
      </w:r>
    </w:p>
    <w:p>
      <w:pPr>
        <w:tabs>
          <w:tab w:val="left" w:pos="540"/>
        </w:tabs>
        <w:snapToGrid w:val="0"/>
        <w:spacing w:line="360" w:lineRule="auto"/>
        <w:ind w:firstLine="480" w:firstLineChars="200"/>
        <w:rPr>
          <w:rFonts w:ascii="仿宋" w:hAnsi="仿宋" w:eastAsia="仿宋" w:cs="新宋体"/>
          <w:color w:val="auto"/>
          <w:sz w:val="24"/>
          <w:highlight w:val="none"/>
        </w:rPr>
      </w:pPr>
      <w:r>
        <w:rPr>
          <w:rFonts w:hint="eastAsia" w:ascii="仿宋" w:hAnsi="仿宋" w:eastAsia="仿宋" w:cs="新宋体"/>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13.2有关本项目实施所需的所有费用（含税费）均计入报价。</w:t>
      </w:r>
      <w:r>
        <w:rPr>
          <w:rFonts w:hint="eastAsia" w:ascii="仿宋" w:hAnsi="仿宋" w:eastAsia="仿宋" w:cs="新宋体"/>
          <w:color w:val="auto"/>
          <w:sz w:val="24"/>
          <w:highlight w:val="none"/>
        </w:rPr>
        <w:t>所有投标报价均以人民币报价。</w:t>
      </w:r>
      <w:r>
        <w:rPr>
          <w:rFonts w:hint="eastAsia" w:ascii="仿宋" w:hAnsi="仿宋" w:eastAsia="仿宋" w:cs="仿宋_GB2312"/>
          <w:color w:val="auto"/>
          <w:kern w:val="0"/>
          <w:sz w:val="24"/>
          <w:highlight w:val="none"/>
          <w:lang w:val="zh-CN"/>
        </w:rPr>
        <w:t>招标文件未列明，而投标人认为必需的费用也需列入报价。</w:t>
      </w:r>
    </w:p>
    <w:p>
      <w:pPr>
        <w:snapToGrid w:val="0"/>
        <w:spacing w:line="360" w:lineRule="auto"/>
        <w:ind w:firstLine="472" w:firstLineChars="196"/>
        <w:jc w:val="left"/>
        <w:rPr>
          <w:rFonts w:ascii="仿宋" w:hAnsi="仿宋" w:eastAsia="仿宋" w:cs="新宋体"/>
          <w:b/>
          <w:color w:val="auto"/>
          <w:sz w:val="24"/>
          <w:highlight w:val="none"/>
        </w:rPr>
      </w:pPr>
      <w:r>
        <w:rPr>
          <w:rFonts w:hint="eastAsia" w:ascii="仿宋" w:hAnsi="仿宋" w:eastAsia="仿宋" w:cs="仿宋_GB2312"/>
          <w:b/>
          <w:color w:val="auto"/>
          <w:kern w:val="0"/>
          <w:sz w:val="24"/>
          <w:highlight w:val="none"/>
          <w:lang w:val="zh-CN"/>
        </w:rPr>
        <w:t>13.3</w:t>
      </w:r>
      <w:r>
        <w:rPr>
          <w:rFonts w:hint="eastAsia" w:ascii="仿宋" w:hAnsi="仿宋" w:eastAsia="仿宋" w:cs="新宋体"/>
          <w:b/>
          <w:color w:val="auto"/>
          <w:sz w:val="24"/>
          <w:highlight w:val="none"/>
        </w:rPr>
        <w:t>投标报价其他要求见投标人须知前附表。</w:t>
      </w:r>
      <w:bookmarkEnd w:id="40"/>
    </w:p>
    <w:p>
      <w:pPr>
        <w:tabs>
          <w:tab w:val="left" w:pos="-180"/>
          <w:tab w:val="left" w:pos="180"/>
          <w:tab w:val="left" w:pos="360"/>
        </w:tabs>
        <w:snapToGrid w:val="0"/>
        <w:spacing w:line="360" w:lineRule="auto"/>
        <w:rPr>
          <w:rFonts w:ascii="仿宋" w:hAnsi="仿宋" w:eastAsia="仿宋" w:cs="新宋体"/>
          <w:b/>
          <w:bCs/>
          <w:color w:val="auto"/>
          <w:sz w:val="24"/>
          <w:highlight w:val="none"/>
        </w:rPr>
      </w:pPr>
      <w:bookmarkStart w:id="41" w:name="_Toc221356887"/>
      <w:bookmarkStart w:id="42" w:name="_Toc239145354"/>
      <w:bookmarkStart w:id="43" w:name="_Toc241404202"/>
      <w:bookmarkStart w:id="44" w:name="_Toc221423619"/>
      <w:bookmarkStart w:id="45" w:name="_Toc265529383"/>
      <w:bookmarkStart w:id="46" w:name="_Toc223715998"/>
      <w:bookmarkStart w:id="47" w:name="_Toc221374626"/>
      <w:bookmarkStart w:id="48" w:name="_Toc221356951"/>
      <w:bookmarkStart w:id="49" w:name="_Toc222114879"/>
      <w:r>
        <w:rPr>
          <w:rFonts w:hint="eastAsia" w:ascii="仿宋" w:hAnsi="仿宋" w:eastAsia="仿宋" w:cs="新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p>
    <w:p>
      <w:pPr>
        <w:tabs>
          <w:tab w:val="left" w:pos="-180"/>
          <w:tab w:val="left" w:pos="180"/>
          <w:tab w:val="left" w:pos="360"/>
        </w:tabs>
        <w:snapToGrid w:val="0"/>
        <w:spacing w:line="360" w:lineRule="auto"/>
        <w:ind w:firstLine="480" w:firstLineChars="200"/>
        <w:rPr>
          <w:rFonts w:ascii="仿宋" w:hAnsi="仿宋" w:eastAsia="仿宋" w:cs="新宋体"/>
          <w:bCs/>
          <w:color w:val="auto"/>
          <w:sz w:val="24"/>
          <w:highlight w:val="none"/>
        </w:rPr>
      </w:pPr>
      <w:r>
        <w:rPr>
          <w:rFonts w:hint="eastAsia" w:ascii="仿宋" w:hAnsi="仿宋" w:eastAsia="仿宋" w:cs="新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有下列情形之一的，</w:t>
      </w:r>
      <w:r>
        <w:rPr>
          <w:rFonts w:hint="eastAsia" w:ascii="仿宋" w:hAnsi="仿宋" w:eastAsia="仿宋" w:cs="Arial"/>
          <w:color w:val="auto"/>
          <w:sz w:val="24"/>
          <w:highlight w:val="none"/>
        </w:rPr>
        <w:t>采购人将按项目预算的2%要求投标人赔偿</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（1）投标</w:t>
      </w:r>
      <w:r>
        <w:rPr>
          <w:rFonts w:hint="eastAsia" w:ascii="仿宋" w:hAnsi="仿宋" w:eastAsia="仿宋" w:cs="Arial"/>
          <w:color w:val="auto"/>
          <w:sz w:val="24"/>
          <w:highlight w:val="none"/>
        </w:rPr>
        <w:t>人</w:t>
      </w:r>
      <w:r>
        <w:rPr>
          <w:rFonts w:ascii="仿宋" w:hAnsi="仿宋" w:eastAsia="仿宋" w:cs="Arial"/>
          <w:color w:val="auto"/>
          <w:sz w:val="24"/>
          <w:highlight w:val="none"/>
        </w:rPr>
        <w:t>在投标有效期内撤销投标文件；</w:t>
      </w:r>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（2）中标人在收到中标通知书后，无正当理由不与采购人订立合同，在签订合同时向采购人提出附加条件，或者不按照招标文件要求提交履约保证金。</w:t>
      </w:r>
    </w:p>
    <w:p>
      <w:pPr>
        <w:tabs>
          <w:tab w:val="left" w:pos="-180"/>
          <w:tab w:val="left" w:pos="180"/>
          <w:tab w:val="left" w:pos="360"/>
        </w:tabs>
        <w:snapToGrid w:val="0"/>
        <w:spacing w:line="360" w:lineRule="auto"/>
        <w:rPr>
          <w:rFonts w:ascii="仿宋" w:hAnsi="仿宋" w:eastAsia="仿宋" w:cs="新宋体"/>
          <w:b/>
          <w:bCs/>
          <w:color w:val="auto"/>
          <w:sz w:val="24"/>
          <w:highlight w:val="none"/>
        </w:rPr>
      </w:pPr>
      <w:r>
        <w:rPr>
          <w:rFonts w:hint="eastAsia" w:ascii="仿宋" w:hAnsi="仿宋" w:eastAsia="仿宋" w:cs="新宋体"/>
          <w:b/>
          <w:bCs/>
          <w:color w:val="auto"/>
          <w:sz w:val="24"/>
          <w:highlight w:val="none"/>
        </w:rPr>
        <w:t>15.投标有效期</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15.1</w:t>
      </w:r>
      <w:bookmarkStart w:id="50" w:name="_Hlk93150253"/>
      <w:r>
        <w:rPr>
          <w:rFonts w:hint="eastAsia" w:ascii="仿宋" w:hAnsi="仿宋" w:eastAsia="仿宋" w:cs="新宋体"/>
          <w:color w:val="auto"/>
          <w:kern w:val="0"/>
          <w:sz w:val="24"/>
          <w:highlight w:val="none"/>
        </w:rPr>
        <w:t>投标有效期见投标人须知前附表。</w:t>
      </w:r>
      <w:r>
        <w:rPr>
          <w:rFonts w:hint="eastAsia" w:ascii="仿宋" w:hAnsi="仿宋" w:eastAsia="仿宋" w:cs="新宋体"/>
          <w:b/>
          <w:color w:val="auto"/>
          <w:kern w:val="0"/>
          <w:sz w:val="24"/>
          <w:highlight w:val="none"/>
          <w:u w:val="single"/>
        </w:rPr>
        <w:t>▲投标人的投标文件中承诺的投标有效期少于招标文件中载明的投标有效期的，投标无效</w:t>
      </w:r>
      <w:r>
        <w:rPr>
          <w:rFonts w:hint="eastAsia" w:ascii="仿宋" w:hAnsi="仿宋" w:eastAsia="仿宋" w:cs="新宋体"/>
          <w:color w:val="auto"/>
          <w:kern w:val="0"/>
          <w:sz w:val="24"/>
          <w:highlight w:val="none"/>
        </w:rPr>
        <w:t>。</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15.2投标文件合格投递后，自投标截止日期起，在投标有效期内有效。</w:t>
      </w:r>
    </w:p>
    <w:p>
      <w:pPr>
        <w:snapToGrid w:val="0"/>
        <w:spacing w:line="360" w:lineRule="auto"/>
        <w:ind w:firstLine="480" w:firstLineChars="200"/>
        <w:rPr>
          <w:rFonts w:ascii="仿宋" w:hAnsi="仿宋" w:eastAsia="仿宋" w:cs="新宋体"/>
          <w:color w:val="auto"/>
          <w:kern w:val="0"/>
          <w:sz w:val="24"/>
          <w:highlight w:val="none"/>
        </w:rPr>
      </w:pPr>
      <w:r>
        <w:rPr>
          <w:rFonts w:hint="eastAsia" w:ascii="仿宋" w:hAnsi="仿宋" w:eastAsia="仿宋" w:cs="新宋体"/>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1"/>
    <w:bookmarkEnd w:id="42"/>
    <w:bookmarkEnd w:id="43"/>
    <w:bookmarkEnd w:id="44"/>
    <w:bookmarkEnd w:id="45"/>
    <w:bookmarkEnd w:id="46"/>
    <w:bookmarkEnd w:id="47"/>
    <w:bookmarkEnd w:id="48"/>
    <w:bookmarkEnd w:id="49"/>
    <w:bookmarkEnd w:id="50"/>
    <w:p>
      <w:pPr>
        <w:pStyle w:val="89"/>
        <w:snapToGrid w:val="0"/>
        <w:spacing w:before="0"/>
        <w:ind w:firstLine="0" w:firstLineChars="0"/>
        <w:rPr>
          <w:rFonts w:ascii="仿宋" w:hAnsi="仿宋" w:eastAsia="仿宋" w:cs="仿宋_GB2312"/>
          <w:b/>
          <w:color w:val="auto"/>
          <w:szCs w:val="24"/>
          <w:highlight w:val="none"/>
        </w:rPr>
      </w:pPr>
      <w:bookmarkStart w:id="51" w:name="_Hlk93150425"/>
      <w:r>
        <w:rPr>
          <w:rFonts w:ascii="仿宋" w:hAnsi="仿宋" w:eastAsia="仿宋" w:cs="仿宋_GB2312"/>
          <w:b/>
          <w:color w:val="auto"/>
          <w:szCs w:val="24"/>
          <w:highlight w:val="none"/>
        </w:rPr>
        <w:t>1</w:t>
      </w:r>
      <w:r>
        <w:rPr>
          <w:rFonts w:hint="eastAsia" w:ascii="仿宋" w:hAnsi="仿宋" w:eastAsia="仿宋" w:cs="仿宋_GB2312"/>
          <w:b/>
          <w:color w:val="auto"/>
          <w:szCs w:val="24"/>
          <w:highlight w:val="none"/>
        </w:rPr>
        <w:t>6</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投标文件的递交、补充、修改、撤回</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新宋体"/>
          <w:b/>
          <w:color w:val="auto"/>
          <w:kern w:val="0"/>
          <w:highlight w:val="none"/>
          <w:u w:val="single"/>
        </w:rPr>
        <w:t>▲</w:t>
      </w:r>
      <w:r>
        <w:rPr>
          <w:rFonts w:hint="eastAsia" w:ascii="仿宋" w:hAnsi="仿宋" w:eastAsia="仿宋" w:cs="仿宋_GB2312"/>
          <w:b/>
          <w:color w:val="auto"/>
          <w:szCs w:val="24"/>
          <w:highlight w:val="none"/>
          <w:u w:val="single"/>
        </w:rPr>
        <w:t>投标截止时间后递交的投标文件，政采云平台将拒收</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.2政采云平台收到投标文件，将妥善保存并即时向投标人发出确认回执通知。在投标截止时间前，除投标人补充、修改或者撤回投标文件外，任何单位和个人不得解密或提取投标文件。</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.3采购人、采购机构可以视情况延长投标文件提交的截止时间。在上述情况下，采购机构与</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以前在投标截止期方面的全部权利、责任和义务，将适用于延长至新的投标截止期。</w:t>
      </w:r>
    </w:p>
    <w:p>
      <w:pPr>
        <w:pStyle w:val="33"/>
        <w:snapToGrid w:val="0"/>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w:t>
      </w:r>
      <w:r>
        <w:rPr>
          <w:rFonts w:hint="eastAsia" w:ascii="仿宋" w:hAnsi="仿宋" w:eastAsia="仿宋" w:cs="仿宋_GB2312"/>
          <w:b/>
          <w:color w:val="auto"/>
          <w:sz w:val="24"/>
          <w:szCs w:val="24"/>
          <w:highlight w:val="none"/>
        </w:rPr>
        <w:t>7</w:t>
      </w:r>
      <w:r>
        <w:rPr>
          <w:rFonts w:ascii="仿宋" w:hAnsi="仿宋" w:eastAsia="仿宋" w:cs="仿宋_GB2312"/>
          <w:b/>
          <w:color w:val="auto"/>
          <w:sz w:val="24"/>
          <w:szCs w:val="24"/>
          <w:highlight w:val="none"/>
        </w:rPr>
        <w:t>.备份投标文件</w:t>
      </w:r>
    </w:p>
    <w:p>
      <w:pPr>
        <w:pStyle w:val="33"/>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在政采云平台传输递交投标文件后，还可以在投标截止时间前直接提交或者以邮政快递方式</w:t>
      </w:r>
      <w:r>
        <w:rPr>
          <w:rFonts w:hint="eastAsia" w:ascii="仿宋" w:hAnsi="仿宋" w:eastAsia="仿宋" w:cs="仿宋_GB2312"/>
          <w:color w:val="auto"/>
          <w:sz w:val="24"/>
          <w:szCs w:val="24"/>
          <w:highlight w:val="none"/>
        </w:rPr>
        <w:t>（递交地点见投标人须知前附表）</w:t>
      </w:r>
      <w:r>
        <w:rPr>
          <w:rFonts w:ascii="仿宋" w:hAnsi="仿宋" w:eastAsia="仿宋" w:cs="仿宋_GB2312"/>
          <w:color w:val="auto"/>
          <w:sz w:val="24"/>
          <w:szCs w:val="24"/>
          <w:highlight w:val="none"/>
        </w:rPr>
        <w:t>递交备份投标文件1份，</w:t>
      </w:r>
      <w:r>
        <w:rPr>
          <w:rFonts w:hint="eastAsia" w:ascii="仿宋" w:hAnsi="仿宋" w:eastAsia="仿宋" w:cs="仿宋_GB2312"/>
          <w:b/>
          <w:color w:val="auto"/>
          <w:sz w:val="24"/>
          <w:szCs w:val="24"/>
          <w:highlight w:val="none"/>
        </w:rPr>
        <w:t>但采购人、采购机构不强制或变相强制投标人提交备份投标文件。</w:t>
      </w:r>
    </w:p>
    <w:p>
      <w:pPr>
        <w:pStyle w:val="33"/>
        <w:snapToGrid w:val="0"/>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17</w:t>
      </w:r>
      <w:r>
        <w:rPr>
          <w:rFonts w:ascii="仿宋" w:hAnsi="仿宋" w:eastAsia="仿宋" w:cs="仿宋_GB2312"/>
          <w:color w:val="auto"/>
          <w:sz w:val="24"/>
          <w:szCs w:val="24"/>
          <w:highlight w:val="none"/>
        </w:rPr>
        <w:t>.2备份投标文件须在“政</w:t>
      </w:r>
      <w:r>
        <w:rPr>
          <w:rFonts w:hint="eastAsia" w:ascii="仿宋" w:hAnsi="仿宋" w:eastAsia="仿宋" w:cs="仿宋_GB2312"/>
          <w:color w:val="auto"/>
          <w:sz w:val="24"/>
          <w:szCs w:val="24"/>
          <w:highlight w:val="none"/>
        </w:rPr>
        <w:t>采云投标客户端”制作生成，并储存在</w:t>
      </w:r>
      <w:r>
        <w:rPr>
          <w:rFonts w:ascii="仿宋" w:hAnsi="仿宋" w:eastAsia="仿宋"/>
          <w:color w:val="auto"/>
          <w:sz w:val="24"/>
          <w:szCs w:val="24"/>
          <w:highlight w:val="none"/>
        </w:rPr>
        <w:t>光盘</w:t>
      </w:r>
      <w:r>
        <w:rPr>
          <w:rFonts w:hint="eastAsia" w:ascii="仿宋" w:hAnsi="仿宋" w:eastAsia="仿宋"/>
          <w:color w:val="auto"/>
          <w:sz w:val="24"/>
          <w:szCs w:val="24"/>
          <w:highlight w:val="none"/>
        </w:rPr>
        <w:t>或U盘</w:t>
      </w:r>
      <w:r>
        <w:rPr>
          <w:rFonts w:hint="eastAsia" w:ascii="仿宋" w:hAnsi="仿宋" w:eastAsia="仿宋" w:cs="仿宋_GB2312"/>
          <w:color w:val="auto"/>
          <w:sz w:val="24"/>
          <w:szCs w:val="24"/>
          <w:highlight w:val="none"/>
        </w:rPr>
        <w:t>中。备份投标文件应当密封包装并在包装上加盖公章并注明投标项目名称，投标人名称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(联合体投标的，包装物封面需注明联合体投标，并注明联合体成员各方的名称和联合体协议中约定的牵头人的名称)。</w:t>
      </w:r>
      <w:r>
        <w:rPr>
          <w:rFonts w:hint="eastAsia" w:ascii="仿宋" w:hAnsi="仿宋" w:eastAsia="仿宋"/>
          <w:b/>
          <w:color w:val="auto"/>
          <w:sz w:val="24"/>
          <w:szCs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33"/>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rPr>
        <w:t>7</w:t>
      </w:r>
      <w:r>
        <w:rPr>
          <w:rFonts w:ascii="仿宋" w:hAnsi="仿宋" w:eastAsia="仿宋" w:cs="仿宋_GB2312"/>
          <w:color w:val="auto"/>
          <w:sz w:val="24"/>
          <w:szCs w:val="24"/>
          <w:highlight w:val="none"/>
        </w:rPr>
        <w:t>.3</w:t>
      </w:r>
      <w:r>
        <w:rPr>
          <w:rFonts w:ascii="仿宋" w:hAnsi="仿宋" w:eastAsia="仿宋" w:cs="仿宋_GB2312"/>
          <w:b/>
          <w:bCs/>
          <w:color w:val="auto"/>
          <w:sz w:val="24"/>
          <w:szCs w:val="24"/>
          <w:highlight w:val="none"/>
        </w:rPr>
        <w:t>采购机构将拒绝接受逾期送达的备份投标文件。</w:t>
      </w:r>
      <w:r>
        <w:rPr>
          <w:rFonts w:hint="eastAsia" w:ascii="仿宋" w:hAnsi="仿宋" w:eastAsia="仿宋" w:cs="仿宋_GB2312"/>
          <w:color w:val="auto"/>
          <w:sz w:val="24"/>
          <w:szCs w:val="24"/>
          <w:highlight w:val="none"/>
        </w:rPr>
        <w:t>采用</w:t>
      </w:r>
      <w:r>
        <w:rPr>
          <w:rFonts w:ascii="仿宋" w:hAnsi="仿宋" w:eastAsia="仿宋" w:cs="仿宋_GB2312"/>
          <w:color w:val="auto"/>
          <w:sz w:val="24"/>
          <w:szCs w:val="24"/>
          <w:highlight w:val="none"/>
        </w:rPr>
        <w:t>邮政快递方式递交备份投标文件的，</w:t>
      </w:r>
      <w:r>
        <w:rPr>
          <w:rFonts w:hint="eastAsia" w:ascii="仿宋" w:hAnsi="仿宋" w:eastAsia="仿宋" w:cs="仿宋_GB2312"/>
          <w:color w:val="auto"/>
          <w:sz w:val="24"/>
          <w:szCs w:val="24"/>
          <w:highlight w:val="none"/>
        </w:rPr>
        <w:t>送达时间以签收人签收时间为准。邮寄过程中，备份投标文件发生泄露、遗失、损坏或延期送达等情况的，由投标人自行负责。</w:t>
      </w:r>
    </w:p>
    <w:p>
      <w:pPr>
        <w:pStyle w:val="33"/>
        <w:snapToGrid w:val="0"/>
        <w:spacing w:line="360" w:lineRule="auto"/>
        <w:ind w:firstLine="472" w:firstLineChars="196"/>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17</w:t>
      </w:r>
      <w:r>
        <w:rPr>
          <w:rFonts w:ascii="仿宋" w:hAnsi="仿宋" w:eastAsia="仿宋" w:cs="仿宋_GB2312"/>
          <w:b/>
          <w:color w:val="auto"/>
          <w:sz w:val="24"/>
          <w:szCs w:val="24"/>
          <w:highlight w:val="none"/>
        </w:rPr>
        <w:t>.4</w:t>
      </w:r>
      <w:r>
        <w:rPr>
          <w:rFonts w:hint="eastAsia" w:ascii="仿宋" w:hAnsi="仿宋" w:eastAsia="仿宋" w:cs="新宋体"/>
          <w:b/>
          <w:color w:val="auto"/>
          <w:kern w:val="0"/>
          <w:sz w:val="24"/>
          <w:highlight w:val="none"/>
          <w:u w:val="single"/>
        </w:rPr>
        <w:t>▲</w:t>
      </w:r>
      <w:r>
        <w:rPr>
          <w:rFonts w:hint="eastAsia" w:ascii="仿宋" w:hAnsi="仿宋" w:eastAsia="仿宋" w:cs="仿宋_GB2312"/>
          <w:b/>
          <w:color w:val="auto"/>
          <w:sz w:val="24"/>
          <w:szCs w:val="24"/>
          <w:highlight w:val="none"/>
          <w:u w:val="single"/>
        </w:rPr>
        <w:t>投标人</w:t>
      </w:r>
      <w:r>
        <w:rPr>
          <w:rFonts w:ascii="仿宋" w:hAnsi="仿宋" w:eastAsia="仿宋" w:cs="仿宋_GB2312"/>
          <w:b/>
          <w:color w:val="auto"/>
          <w:sz w:val="24"/>
          <w:szCs w:val="24"/>
          <w:highlight w:val="none"/>
          <w:u w:val="single"/>
        </w:rPr>
        <w:t>仅提交备份投标文件，没有在政采云平台传输递交投标文件的，投标无效</w:t>
      </w:r>
      <w:r>
        <w:rPr>
          <w:rFonts w:ascii="仿宋" w:hAnsi="仿宋" w:eastAsia="仿宋" w:cs="仿宋_GB2312"/>
          <w:b/>
          <w:color w:val="auto"/>
          <w:sz w:val="24"/>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18</w:t>
      </w:r>
      <w:r>
        <w:rPr>
          <w:rFonts w:ascii="仿宋" w:hAnsi="仿宋" w:eastAsia="仿宋" w:cs="仿宋_GB2312"/>
          <w:b/>
          <w:color w:val="auto"/>
          <w:szCs w:val="24"/>
          <w:highlight w:val="none"/>
        </w:rPr>
        <w:t>.投标文件的无效处理</w:t>
      </w:r>
    </w:p>
    <w:p>
      <w:pPr>
        <w:pStyle w:val="3"/>
        <w:adjustRightInd w:val="0"/>
        <w:snapToGrid w:val="0"/>
        <w:spacing w:line="360" w:lineRule="auto"/>
        <w:ind w:left="0" w:firstLine="480" w:firstLineChars="200"/>
        <w:rPr>
          <w:rFonts w:ascii="仿宋" w:hAnsi="仿宋" w:eastAsia="仿宋"/>
          <w:color w:val="auto"/>
          <w:highlight w:val="none"/>
        </w:rPr>
      </w:pPr>
      <w:r>
        <w:rPr>
          <w:rFonts w:hint="eastAsia" w:ascii="仿宋" w:hAnsi="仿宋" w:eastAsia="仿宋" w:cs="仿宋_GB2312"/>
          <w:color w:val="auto"/>
          <w:highlight w:val="none"/>
        </w:rPr>
        <w:t>见招标文件第六部分</w:t>
      </w:r>
      <w:r>
        <w:rPr>
          <w:rFonts w:hint="eastAsia" w:ascii="仿宋" w:hAnsi="仿宋" w:eastAsia="仿宋"/>
          <w:color w:val="auto"/>
          <w:highlight w:val="none"/>
        </w:rPr>
        <w:t>评标办法。</w:t>
      </w:r>
      <w:bookmarkEnd w:id="51"/>
    </w:p>
    <w:p>
      <w:pPr>
        <w:pStyle w:val="3"/>
        <w:adjustRightInd w:val="0"/>
        <w:snapToGrid w:val="0"/>
        <w:spacing w:line="360" w:lineRule="auto"/>
        <w:ind w:left="0" w:firstLine="480" w:firstLineChars="200"/>
        <w:rPr>
          <w:rFonts w:ascii="仿宋" w:hAnsi="仿宋" w:eastAsia="仿宋" w:cs="仿宋_GB2312"/>
          <w:color w:val="auto"/>
          <w:highlight w:val="none"/>
        </w:rPr>
      </w:pPr>
    </w:p>
    <w:p>
      <w:pPr>
        <w:pStyle w:val="3"/>
        <w:adjustRightInd w:val="0"/>
        <w:snapToGrid w:val="0"/>
        <w:spacing w:line="360" w:lineRule="auto"/>
        <w:ind w:left="0" w:firstLine="480" w:firstLineChars="200"/>
        <w:rPr>
          <w:rFonts w:ascii="仿宋" w:hAnsi="仿宋" w:eastAsia="仿宋" w:cs="仿宋_GB2312"/>
          <w:color w:val="auto"/>
          <w:highlight w:val="none"/>
        </w:rPr>
      </w:pPr>
    </w:p>
    <w:p>
      <w:pPr>
        <w:pStyle w:val="3"/>
        <w:adjustRightInd w:val="0"/>
        <w:snapToGrid w:val="0"/>
        <w:spacing w:line="360" w:lineRule="auto"/>
        <w:ind w:left="0" w:firstLine="480" w:firstLineChars="200"/>
        <w:rPr>
          <w:rFonts w:ascii="仿宋" w:hAnsi="仿宋" w:eastAsia="仿宋" w:cs="仿宋_GB2312"/>
          <w:color w:val="auto"/>
          <w:highlight w:val="none"/>
        </w:rPr>
      </w:pPr>
    </w:p>
    <w:p>
      <w:pPr>
        <w:pStyle w:val="89"/>
        <w:snapToGrid w:val="0"/>
        <w:spacing w:before="0"/>
        <w:ind w:firstLine="0" w:firstLineChars="0"/>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四、开标、资格审查与信用信息查询</w:t>
      </w:r>
    </w:p>
    <w:p>
      <w:pPr>
        <w:pStyle w:val="92"/>
        <w:snapToGrid w:val="0"/>
        <w:spacing w:before="0" w:line="360" w:lineRule="auto"/>
        <w:ind w:left="0" w:firstLine="0"/>
        <w:rPr>
          <w:rFonts w:ascii="仿宋" w:hAnsi="仿宋" w:eastAsia="仿宋"/>
          <w:color w:val="auto"/>
          <w:sz w:val="24"/>
          <w:szCs w:val="24"/>
          <w:highlight w:val="none"/>
        </w:rPr>
      </w:pPr>
      <w:r>
        <w:rPr>
          <w:rFonts w:hint="eastAsia" w:ascii="仿宋" w:hAnsi="仿宋" w:eastAsia="仿宋" w:cs="仿宋_GB2312"/>
          <w:b/>
          <w:color w:val="auto"/>
          <w:sz w:val="24"/>
          <w:szCs w:val="24"/>
          <w:highlight w:val="none"/>
        </w:rPr>
        <w:t>19</w:t>
      </w:r>
      <w:r>
        <w:rPr>
          <w:rFonts w:ascii="仿宋" w:hAnsi="仿宋" w:eastAsia="仿宋" w:cs="仿宋_GB2312"/>
          <w:b/>
          <w:color w:val="auto"/>
          <w:sz w:val="24"/>
          <w:szCs w:val="24"/>
          <w:highlight w:val="none"/>
        </w:rPr>
        <w:t>.开标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.1采购机构按照</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规定的时间通过政采云平台组织开标，所有</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均应当准时在线参加。</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不足3家的，不得开标。</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.2开标时，政采云平台按开标时间自动提取所有投标文件。采购机构依托政采云平台发起开始解密指令，</w:t>
      </w:r>
      <w:r>
        <w:rPr>
          <w:rFonts w:hint="eastAsia" w:ascii="仿宋" w:hAnsi="仿宋" w:eastAsia="仿宋" w:cs="仿宋_GB2312"/>
          <w:color w:val="auto"/>
          <w:sz w:val="24"/>
          <w:szCs w:val="24"/>
          <w:highlight w:val="none"/>
        </w:rPr>
        <w:t>投标人</w:t>
      </w:r>
      <w:r>
        <w:rPr>
          <w:rFonts w:ascii="仿宋" w:hAnsi="仿宋" w:eastAsia="仿宋" w:cs="仿宋_GB2312"/>
          <w:color w:val="auto"/>
          <w:sz w:val="24"/>
          <w:szCs w:val="24"/>
          <w:highlight w:val="none"/>
        </w:rPr>
        <w:t>按照平台提示和</w:t>
      </w:r>
      <w:r>
        <w:rPr>
          <w:rFonts w:hint="eastAsia" w:ascii="仿宋" w:hAnsi="仿宋" w:eastAsia="仿宋" w:cs="仿宋_GB2312"/>
          <w:color w:val="auto"/>
          <w:sz w:val="24"/>
          <w:szCs w:val="24"/>
          <w:highlight w:val="none"/>
        </w:rPr>
        <w:t>招标文件</w:t>
      </w:r>
      <w:r>
        <w:rPr>
          <w:rFonts w:ascii="仿宋" w:hAnsi="仿宋" w:eastAsia="仿宋" w:cs="仿宋_GB2312"/>
          <w:color w:val="auto"/>
          <w:sz w:val="24"/>
          <w:szCs w:val="24"/>
          <w:highlight w:val="none"/>
        </w:rPr>
        <w:t>的规定完成在线解密。</w:t>
      </w:r>
    </w:p>
    <w:p>
      <w:pPr>
        <w:tabs>
          <w:tab w:val="left" w:pos="540"/>
        </w:tabs>
        <w:snapToGrid w:val="0"/>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采用二阶段开标形式的，第一阶段按前款规定</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完成在线解密</w:t>
      </w:r>
      <w:r>
        <w:rPr>
          <w:rFonts w:hint="eastAsia" w:ascii="仿宋" w:hAnsi="仿宋" w:eastAsia="仿宋" w:cs="仿宋_GB2312"/>
          <w:color w:val="auto"/>
          <w:kern w:val="0"/>
          <w:sz w:val="24"/>
          <w:highlight w:val="none"/>
        </w:rPr>
        <w:t>，先进入符合性审查、商务技术文件的评审；</w:t>
      </w:r>
      <w:r>
        <w:rPr>
          <w:rFonts w:ascii="仿宋" w:hAnsi="仿宋" w:eastAsia="仿宋" w:cs="仿宋_GB2312"/>
          <w:color w:val="auto"/>
          <w:sz w:val="24"/>
          <w:highlight w:val="none"/>
        </w:rPr>
        <w:t>采购机构</w:t>
      </w:r>
      <w:r>
        <w:rPr>
          <w:rFonts w:hint="eastAsia" w:ascii="仿宋" w:hAnsi="仿宋" w:eastAsia="仿宋" w:cs="仿宋_GB2312"/>
          <w:color w:val="auto"/>
          <w:kern w:val="0"/>
          <w:sz w:val="24"/>
          <w:highlight w:val="none"/>
        </w:rPr>
        <w:t>在符合性审查、商务技术文件的评审结束后再进行第二阶段开标：</w:t>
      </w:r>
      <w:r>
        <w:rPr>
          <w:rFonts w:ascii="仿宋" w:hAnsi="仿宋" w:eastAsia="仿宋" w:cs="仿宋_GB2312"/>
          <w:color w:val="auto"/>
          <w:kern w:val="0"/>
          <w:sz w:val="24"/>
          <w:highlight w:val="none"/>
        </w:rPr>
        <w:t>采购机构</w:t>
      </w:r>
      <w:r>
        <w:rPr>
          <w:rFonts w:hint="eastAsia" w:ascii="仿宋" w:hAnsi="仿宋" w:eastAsia="仿宋" w:cs="仿宋_GB2312"/>
          <w:color w:val="auto"/>
          <w:kern w:val="0"/>
          <w:sz w:val="24"/>
          <w:highlight w:val="none"/>
        </w:rPr>
        <w:t>在</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公布符合性审查、商务技术评审无效投标人名称及理由，公布有效投标人名称及其商务技术部分得分情况，再公布有效投标人开标一览表及有关内容，制作开标记录，投标人应当在30分钟内完成</w:t>
      </w:r>
      <w:r>
        <w:rPr>
          <w:rFonts w:ascii="仿宋" w:hAnsi="仿宋" w:eastAsia="仿宋" w:cs="仿宋_GB2312"/>
          <w:color w:val="auto"/>
          <w:kern w:val="0"/>
          <w:sz w:val="24"/>
          <w:highlight w:val="none"/>
        </w:rPr>
        <w:t>政采云平台</w:t>
      </w:r>
      <w:r>
        <w:rPr>
          <w:rFonts w:hint="eastAsia" w:ascii="仿宋" w:hAnsi="仿宋" w:eastAsia="仿宋" w:cs="仿宋_GB2312"/>
          <w:color w:val="auto"/>
          <w:kern w:val="0"/>
          <w:sz w:val="24"/>
          <w:highlight w:val="none"/>
        </w:rPr>
        <w:t>上签字确认。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19.</w:t>
      </w:r>
      <w:r>
        <w:rPr>
          <w:rFonts w:ascii="仿宋" w:hAnsi="仿宋" w:eastAsia="仿宋" w:cs="新宋体"/>
          <w:bCs/>
          <w:color w:val="auto"/>
          <w:kern w:val="0"/>
          <w:sz w:val="24"/>
          <w:highlight w:val="none"/>
        </w:rPr>
        <w:t>3</w:t>
      </w:r>
      <w:r>
        <w:rPr>
          <w:rFonts w:hint="eastAsia" w:ascii="仿宋" w:hAnsi="仿宋" w:eastAsia="仿宋" w:cs="新宋体"/>
          <w:bCs/>
          <w:color w:val="auto"/>
          <w:kern w:val="0"/>
          <w:sz w:val="24"/>
          <w:highlight w:val="none"/>
        </w:rPr>
        <w:t>特别说明：</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ascii="仿宋" w:hAnsi="仿宋" w:eastAsia="仿宋" w:cs="新宋体"/>
          <w:bCs/>
          <w:color w:val="auto"/>
          <w:kern w:val="0"/>
          <w:sz w:val="24"/>
          <w:highlight w:val="none"/>
        </w:rPr>
      </w:pPr>
      <w:r>
        <w:rPr>
          <w:rFonts w:hint="eastAsia" w:ascii="仿宋" w:hAnsi="仿宋" w:eastAsia="仿宋" w:cs="新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92"/>
        <w:snapToGrid w:val="0"/>
        <w:spacing w:before="0" w:line="360" w:lineRule="auto"/>
        <w:ind w:left="0"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19</w:t>
      </w:r>
      <w:r>
        <w:rPr>
          <w:rFonts w:ascii="仿宋" w:hAnsi="仿宋" w:eastAsia="仿宋" w:cs="仿宋_GB2312"/>
          <w:color w:val="auto"/>
          <w:sz w:val="24"/>
          <w:szCs w:val="24"/>
          <w:highlight w:val="none"/>
        </w:rPr>
        <w:t>.4</w:t>
      </w:r>
      <w:r>
        <w:rPr>
          <w:rFonts w:hint="eastAsia" w:ascii="仿宋" w:hAnsi="仿宋" w:eastAsia="仿宋" w:cs="仿宋_GB2312"/>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20</w:t>
      </w:r>
      <w:r>
        <w:rPr>
          <w:rFonts w:ascii="仿宋" w:hAnsi="仿宋" w:eastAsia="仿宋" w:cs="仿宋_GB2312"/>
          <w:b/>
          <w:color w:val="auto"/>
          <w:sz w:val="24"/>
          <w:highlight w:val="none"/>
        </w:rPr>
        <w:t>、资格审查</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.1开标后，采购人或采购代理机构将依法对</w:t>
      </w:r>
      <w:r>
        <w:rPr>
          <w:rFonts w:hint="eastAsia" w:ascii="仿宋" w:hAnsi="仿宋" w:eastAsia="仿宋" w:cs="Arial"/>
          <w:color w:val="auto"/>
          <w:kern w:val="0"/>
          <w:szCs w:val="24"/>
          <w:highlight w:val="none"/>
        </w:rPr>
        <w:t>投标人</w:t>
      </w:r>
      <w:r>
        <w:rPr>
          <w:rFonts w:ascii="仿宋" w:hAnsi="仿宋" w:eastAsia="仿宋" w:cs="Arial"/>
          <w:color w:val="auto"/>
          <w:kern w:val="0"/>
          <w:szCs w:val="24"/>
          <w:highlight w:val="none"/>
        </w:rPr>
        <w:t>的资格进行审查。</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20</w:t>
      </w:r>
      <w:r>
        <w:rPr>
          <w:rFonts w:ascii="仿宋" w:hAnsi="仿宋" w:eastAsia="仿宋" w:cs="Arial"/>
          <w:color w:val="auto"/>
          <w:kern w:val="0"/>
          <w:sz w:val="24"/>
          <w:highlight w:val="none"/>
        </w:rPr>
        <w:t>.2</w:t>
      </w:r>
      <w:r>
        <w:rPr>
          <w:rFonts w:hint="eastAsia" w:ascii="仿宋" w:hAnsi="仿宋" w:eastAsia="仿宋" w:cs="仿宋_GB2312"/>
          <w:color w:val="auto"/>
          <w:sz w:val="24"/>
          <w:highlight w:val="none"/>
        </w:rPr>
        <w:t>采购人或采购代理机构依据法律法规和招标文件的规定，对投标人的基本资格条件、</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、特定资格条件进行审查。</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.3</w:t>
      </w:r>
      <w:r>
        <w:rPr>
          <w:rFonts w:hint="eastAsia" w:ascii="仿宋" w:hAnsi="仿宋" w:eastAsia="仿宋" w:cs="新宋体"/>
          <w:b/>
          <w:color w:val="auto"/>
          <w:kern w:val="0"/>
          <w:highlight w:val="none"/>
          <w:u w:val="single"/>
        </w:rPr>
        <w:t>▲</w:t>
      </w:r>
      <w:r>
        <w:rPr>
          <w:rFonts w:hint="eastAsia" w:ascii="仿宋" w:hAnsi="仿宋" w:eastAsia="仿宋" w:cs="Arial"/>
          <w:b/>
          <w:color w:val="auto"/>
          <w:kern w:val="0"/>
          <w:szCs w:val="24"/>
          <w:highlight w:val="none"/>
          <w:u w:val="single"/>
        </w:rPr>
        <w:t>投标人</w:t>
      </w:r>
      <w:r>
        <w:rPr>
          <w:rFonts w:ascii="仿宋" w:hAnsi="仿宋" w:eastAsia="仿宋" w:cs="Arial"/>
          <w:b/>
          <w:color w:val="auto"/>
          <w:kern w:val="0"/>
          <w:szCs w:val="24"/>
          <w:highlight w:val="none"/>
          <w:u w:val="single"/>
        </w:rPr>
        <w:t>未按照</w:t>
      </w:r>
      <w:r>
        <w:rPr>
          <w:rFonts w:hint="eastAsia" w:ascii="仿宋" w:hAnsi="仿宋" w:eastAsia="仿宋" w:cs="Arial"/>
          <w:b/>
          <w:color w:val="auto"/>
          <w:kern w:val="0"/>
          <w:szCs w:val="24"/>
          <w:highlight w:val="none"/>
          <w:u w:val="single"/>
        </w:rPr>
        <w:t>招标文件</w:t>
      </w:r>
      <w:r>
        <w:rPr>
          <w:rFonts w:ascii="仿宋" w:hAnsi="仿宋" w:eastAsia="仿宋" w:cs="Arial"/>
          <w:b/>
          <w:color w:val="auto"/>
          <w:kern w:val="0"/>
          <w:szCs w:val="24"/>
          <w:highlight w:val="none"/>
          <w:u w:val="single"/>
        </w:rPr>
        <w:t>要求提供与</w:t>
      </w:r>
      <w:r>
        <w:rPr>
          <w:rFonts w:hint="eastAsia" w:ascii="仿宋" w:hAnsi="仿宋" w:eastAsia="仿宋" w:cs="仿宋_GB2312"/>
          <w:b/>
          <w:color w:val="auto"/>
          <w:szCs w:val="24"/>
          <w:highlight w:val="none"/>
          <w:u w:val="single"/>
        </w:rPr>
        <w:t>基本资格条件、</w:t>
      </w:r>
      <w:r>
        <w:rPr>
          <w:rFonts w:ascii="仿宋" w:hAnsi="仿宋" w:eastAsia="仿宋" w:cs="仿宋_GB2312"/>
          <w:b/>
          <w:color w:val="auto"/>
          <w:highlight w:val="none"/>
          <w:u w:val="single"/>
        </w:rPr>
        <w:t>落实政府采购政策需满足的资格要求</w:t>
      </w:r>
      <w:r>
        <w:rPr>
          <w:rFonts w:hint="eastAsia" w:ascii="仿宋" w:hAnsi="仿宋" w:eastAsia="仿宋" w:cs="仿宋_GB2312"/>
          <w:b/>
          <w:color w:val="auto"/>
          <w:highlight w:val="none"/>
          <w:u w:val="single"/>
        </w:rPr>
        <w:t>、</w:t>
      </w:r>
      <w:r>
        <w:rPr>
          <w:rFonts w:hint="eastAsia" w:ascii="仿宋" w:hAnsi="仿宋" w:eastAsia="仿宋" w:cs="仿宋_GB2312"/>
          <w:b/>
          <w:color w:val="auto"/>
          <w:szCs w:val="24"/>
          <w:highlight w:val="none"/>
          <w:u w:val="single"/>
        </w:rPr>
        <w:t>特定资格条件相应的</w:t>
      </w:r>
      <w:r>
        <w:rPr>
          <w:rFonts w:hint="eastAsia" w:ascii="仿宋" w:hAnsi="仿宋" w:eastAsia="仿宋" w:cs="Arial"/>
          <w:b/>
          <w:color w:val="auto"/>
          <w:kern w:val="0"/>
          <w:szCs w:val="24"/>
          <w:highlight w:val="none"/>
          <w:u w:val="single"/>
        </w:rPr>
        <w:t>有效资格证明材料的，视为</w:t>
      </w:r>
      <w:r>
        <w:rPr>
          <w:rFonts w:hint="eastAsia" w:ascii="仿宋" w:hAnsi="仿宋" w:eastAsia="仿宋" w:cs="仿宋_GB2312"/>
          <w:b/>
          <w:color w:val="auto"/>
          <w:szCs w:val="24"/>
          <w:highlight w:val="none"/>
          <w:u w:val="single"/>
        </w:rPr>
        <w:t>投标人不具备招标文件中规定的资格要求，其投标无效</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4对未通过资格审查的</w:t>
      </w:r>
      <w:r>
        <w:rPr>
          <w:rFonts w:hint="eastAsia" w:ascii="仿宋" w:hAnsi="仿宋" w:eastAsia="仿宋" w:cs="仿宋_GB2312"/>
          <w:color w:val="auto"/>
          <w:szCs w:val="24"/>
          <w:highlight w:val="none"/>
        </w:rPr>
        <w:t>投标人</w:t>
      </w:r>
      <w:r>
        <w:rPr>
          <w:rFonts w:ascii="仿宋" w:hAnsi="仿宋" w:eastAsia="仿宋" w:cs="仿宋_GB2312"/>
          <w:color w:val="auto"/>
          <w:szCs w:val="24"/>
          <w:highlight w:val="none"/>
        </w:rPr>
        <w:t>，采购人或采购代理机构告知其未通过的原因。</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Arial"/>
          <w:color w:val="auto"/>
          <w:kern w:val="0"/>
          <w:szCs w:val="24"/>
          <w:highlight w:val="none"/>
        </w:rPr>
        <w:t>20</w:t>
      </w:r>
      <w:r>
        <w:rPr>
          <w:rFonts w:ascii="仿宋" w:hAnsi="仿宋" w:eastAsia="仿宋" w:cs="Arial"/>
          <w:color w:val="auto"/>
          <w:kern w:val="0"/>
          <w:szCs w:val="24"/>
          <w:highlight w:val="none"/>
        </w:rPr>
        <w:t>.</w:t>
      </w:r>
      <w:r>
        <w:rPr>
          <w:rFonts w:ascii="仿宋" w:hAnsi="仿宋" w:eastAsia="仿宋" w:cs="仿宋_GB2312"/>
          <w:color w:val="auto"/>
          <w:szCs w:val="24"/>
          <w:highlight w:val="none"/>
        </w:rPr>
        <w:t>5合格投标人不足3家的，不再评标。</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1</w:t>
      </w:r>
      <w:r>
        <w:rPr>
          <w:rFonts w:hint="eastAsia"/>
          <w:color w:val="auto"/>
          <w:highlight w:val="none"/>
        </w:rPr>
        <w:t>.</w:t>
      </w:r>
      <w:r>
        <w:rPr>
          <w:rFonts w:ascii="仿宋" w:hAnsi="仿宋" w:eastAsia="仿宋" w:cs="仿宋_GB2312"/>
          <w:b/>
          <w:color w:val="auto"/>
          <w:szCs w:val="24"/>
          <w:highlight w:val="none"/>
        </w:rPr>
        <w:t>信用信息查询</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.1信用信息查询渠道及截止时间：采购机构将通过“信用中国”网站(www.creditchina.gov.cn)、中国政府采购网(www.ccgp.gov.cn)渠道查询供应商投标截止时间当天的信用记录。</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.2信用信息查询记录和证据留存的具体方式：现场查询的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的信用记录、查询结果经确认后将与招标文件一起存档。</w:t>
      </w:r>
    </w:p>
    <w:p>
      <w:pPr>
        <w:pStyle w:val="89"/>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Arial"/>
          <w:color w:val="auto"/>
          <w:kern w:val="0"/>
          <w:szCs w:val="24"/>
          <w:highlight w:val="none"/>
        </w:rPr>
        <w:t>供应商</w:t>
      </w:r>
      <w:r>
        <w:rPr>
          <w:rFonts w:ascii="仿宋" w:hAnsi="仿宋" w:eastAsia="仿宋" w:cs="Arial"/>
          <w:color w:val="auto"/>
          <w:kern w:val="0"/>
          <w:szCs w:val="24"/>
          <w:highlight w:val="none"/>
        </w:rPr>
        <w:t>将被拒绝参与政府采购活动。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Arial"/>
          <w:color w:val="auto"/>
          <w:kern w:val="0"/>
          <w:szCs w:val="24"/>
          <w:highlight w:val="none"/>
        </w:rPr>
        <w:t>2</w:t>
      </w:r>
      <w:r>
        <w:rPr>
          <w:rFonts w:hint="eastAsia" w:ascii="仿宋" w:hAnsi="仿宋" w:eastAsia="仿宋" w:cs="Arial"/>
          <w:color w:val="auto"/>
          <w:kern w:val="0"/>
          <w:szCs w:val="24"/>
          <w:highlight w:val="none"/>
        </w:rPr>
        <w:t>1</w:t>
      </w:r>
      <w:r>
        <w:rPr>
          <w:rFonts w:ascii="仿宋" w:hAnsi="仿宋" w:eastAsia="仿宋" w:cs="Arial"/>
          <w:color w:val="auto"/>
          <w:kern w:val="0"/>
          <w:szCs w:val="24"/>
          <w:highlight w:val="none"/>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szCs w:val="24"/>
          <w:highlight w:val="none"/>
        </w:rPr>
        <w:t>。</w:t>
      </w:r>
    </w:p>
    <w:p>
      <w:pPr>
        <w:pStyle w:val="89"/>
        <w:snapToGrid w:val="0"/>
        <w:spacing w:before="0"/>
        <w:ind w:firstLine="480"/>
        <w:rPr>
          <w:rFonts w:ascii="仿宋" w:hAnsi="仿宋" w:eastAsia="仿宋" w:cs="仿宋_GB2312"/>
          <w:color w:val="auto"/>
          <w:szCs w:val="24"/>
          <w:highlight w:val="none"/>
        </w:rPr>
      </w:pPr>
    </w:p>
    <w:p>
      <w:pPr>
        <w:snapToGrid w:val="0"/>
        <w:spacing w:line="360" w:lineRule="auto"/>
        <w:jc w:val="center"/>
        <w:outlineLvl w:val="1"/>
        <w:rPr>
          <w:rFonts w:ascii="仿宋" w:hAnsi="仿宋" w:eastAsia="仿宋" w:cs="新宋体"/>
          <w:b/>
          <w:color w:val="auto"/>
          <w:sz w:val="28"/>
          <w:szCs w:val="28"/>
          <w:highlight w:val="none"/>
        </w:rPr>
      </w:pPr>
      <w:bookmarkStart w:id="52" w:name="_Toc34221900"/>
      <w:bookmarkStart w:id="53" w:name="_Toc34508135"/>
      <w:r>
        <w:rPr>
          <w:rFonts w:hint="eastAsia" w:ascii="仿宋" w:hAnsi="仿宋" w:eastAsia="仿宋" w:cs="新宋体"/>
          <w:b/>
          <w:color w:val="auto"/>
          <w:sz w:val="28"/>
          <w:szCs w:val="28"/>
          <w:highlight w:val="none"/>
        </w:rPr>
        <w:t>五、评标</w:t>
      </w:r>
      <w:bookmarkEnd w:id="52"/>
      <w:bookmarkEnd w:id="53"/>
    </w:p>
    <w:p>
      <w:pPr>
        <w:snapToGrid w:val="0"/>
        <w:spacing w:line="360" w:lineRule="auto"/>
        <w:rPr>
          <w:rFonts w:ascii="仿宋" w:hAnsi="仿宋" w:eastAsia="仿宋"/>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2</w:t>
      </w:r>
      <w:r>
        <w:rPr>
          <w:rFonts w:ascii="仿宋" w:hAnsi="仿宋" w:eastAsia="仿宋" w:cs="仿宋_GB2312"/>
          <w:b/>
          <w:color w:val="auto"/>
          <w:sz w:val="24"/>
          <w:highlight w:val="none"/>
        </w:rPr>
        <w:t>.</w:t>
      </w:r>
      <w:r>
        <w:rPr>
          <w:rFonts w:hint="eastAsia" w:ascii="仿宋" w:hAnsi="仿宋" w:eastAsia="仿宋"/>
          <w:b/>
          <w:color w:val="auto"/>
          <w:sz w:val="24"/>
          <w:highlight w:val="none"/>
        </w:rPr>
        <w:t>评标委员会</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23.评标程序</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具体见招标文件第六部分评标办法。</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六、定标</w:t>
      </w:r>
    </w:p>
    <w:p>
      <w:pPr>
        <w:pStyle w:val="3"/>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4</w:t>
      </w:r>
      <w:r>
        <w:rPr>
          <w:rFonts w:ascii="仿宋" w:hAnsi="仿宋" w:eastAsia="仿宋" w:cs="仿宋_GB2312"/>
          <w:b/>
          <w:color w:val="auto"/>
          <w:highlight w:val="none"/>
        </w:rPr>
        <w:t>.</w:t>
      </w:r>
      <w:r>
        <w:rPr>
          <w:rFonts w:hint="eastAsia" w:ascii="仿宋" w:hAnsi="仿宋" w:eastAsia="仿宋" w:cs="仿宋_GB2312"/>
          <w:b/>
          <w:color w:val="auto"/>
          <w:highlight w:val="none"/>
        </w:rPr>
        <w:t>确定中标人</w:t>
      </w:r>
    </w:p>
    <w:p>
      <w:pPr>
        <w:pStyle w:val="89"/>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5个工作日内通过政采云平台在评审报告推荐的中标候选人中按顺序确定中标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w:t>
      </w:r>
    </w:p>
    <w:p>
      <w:pPr>
        <w:pStyle w:val="89"/>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w:t>
      </w:r>
      <w:r>
        <w:rPr>
          <w:rFonts w:hint="eastAsia" w:ascii="仿宋" w:hAnsi="仿宋" w:eastAsia="仿宋" w:cs="仿宋_GB2312"/>
          <w:b/>
          <w:color w:val="auto"/>
          <w:szCs w:val="24"/>
          <w:highlight w:val="none"/>
        </w:rPr>
        <w:t>5</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.1自中标人确定之日起2个工作日内，采购</w:t>
      </w:r>
      <w:r>
        <w:rPr>
          <w:rFonts w:hint="eastAsia" w:ascii="仿宋" w:hAnsi="仿宋" w:eastAsia="仿宋" w:cs="仿宋_GB2312"/>
          <w:color w:val="auto"/>
          <w:sz w:val="24"/>
          <w:highlight w:val="none"/>
        </w:rPr>
        <w:t>人</w:t>
      </w:r>
      <w:r>
        <w:rPr>
          <w:rFonts w:ascii="仿宋" w:hAnsi="仿宋" w:eastAsia="仿宋" w:cs="仿宋_GB2312"/>
          <w:color w:val="auto"/>
          <w:sz w:val="24"/>
          <w:highlight w:val="none"/>
        </w:rPr>
        <w:t>向中标人发出中标通知书，</w:t>
      </w:r>
      <w:r>
        <w:rPr>
          <w:rFonts w:hint="eastAsia" w:ascii="仿宋" w:hAnsi="仿宋" w:eastAsia="仿宋" w:cs="仿宋_GB2312"/>
          <w:color w:val="auto"/>
          <w:sz w:val="24"/>
          <w:highlight w:val="none"/>
        </w:rPr>
        <w:t>同时编制发布采购结果公告。</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.2中标结果公告内容包括采购人及其委托的采购机构的名称、地址、联系方式，项目名称和项目编号，中标人名称、地址和中标金额，主要中标标的</w:t>
      </w:r>
      <w:r>
        <w:rPr>
          <w:rFonts w:hint="eastAsia" w:ascii="仿宋" w:hAnsi="仿宋" w:eastAsia="仿宋"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.3公告期限为1个工作日。</w:t>
      </w:r>
    </w:p>
    <w:p>
      <w:pPr>
        <w:snapToGrid w:val="0"/>
        <w:spacing w:line="360" w:lineRule="auto"/>
        <w:rPr>
          <w:rFonts w:ascii="仿宋" w:hAnsi="仿宋" w:eastAsia="仿宋" w:cs="仿宋_GB2312"/>
          <w:b/>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七、合同授予</w:t>
      </w:r>
    </w:p>
    <w:p>
      <w:pPr>
        <w:pStyle w:val="3"/>
        <w:adjustRightInd w:val="0"/>
        <w:snapToGrid w:val="0"/>
        <w:spacing w:line="360" w:lineRule="auto"/>
        <w:ind w:left="0" w:firstLine="0" w:firstLineChars="0"/>
        <w:rPr>
          <w:rFonts w:ascii="仿宋" w:hAnsi="仿宋" w:eastAsia="仿宋" w:cs="仿宋_GB2312"/>
          <w:b/>
          <w:color w:val="auto"/>
          <w:highlight w:val="none"/>
        </w:rPr>
      </w:pPr>
      <w:r>
        <w:rPr>
          <w:rFonts w:ascii="仿宋" w:hAnsi="仿宋" w:eastAsia="仿宋" w:cs="仿宋_GB2312"/>
          <w:b/>
          <w:color w:val="auto"/>
          <w:highlight w:val="none"/>
        </w:rPr>
        <w:t>2</w:t>
      </w:r>
      <w:r>
        <w:rPr>
          <w:rFonts w:hint="eastAsia" w:ascii="仿宋" w:hAnsi="仿宋" w:eastAsia="仿宋" w:cs="仿宋_GB2312"/>
          <w:b/>
          <w:color w:val="auto"/>
          <w:highlight w:val="none"/>
        </w:rPr>
        <w:t>6</w:t>
      </w:r>
      <w:r>
        <w:rPr>
          <w:rFonts w:ascii="仿宋" w:hAnsi="仿宋" w:eastAsia="仿宋" w:cs="仿宋_GB2312"/>
          <w:b/>
          <w:color w:val="auto"/>
          <w:highlight w:val="none"/>
        </w:rPr>
        <w:t>.</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jc w:val="left"/>
        <w:rPr>
          <w:rFonts w:ascii="仿宋" w:hAnsi="仿宋" w:eastAsia="仿宋" w:cs="Arial"/>
          <w:color w:val="auto"/>
          <w:kern w:val="0"/>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.1</w:t>
      </w:r>
      <w:r>
        <w:rPr>
          <w:rFonts w:ascii="仿宋" w:hAnsi="仿宋" w:eastAsia="仿宋" w:cs="Arial"/>
          <w:color w:val="auto"/>
          <w:kern w:val="0"/>
          <w:sz w:val="24"/>
          <w:highlight w:val="none"/>
        </w:rPr>
        <w:t xml:space="preserve"> 采购人与中标人应当在中标通知书发出之日起三十日内，按照</w:t>
      </w:r>
      <w:r>
        <w:rPr>
          <w:rFonts w:hint="eastAsia" w:ascii="仿宋" w:hAnsi="仿宋" w:eastAsia="仿宋" w:cs="Arial"/>
          <w:color w:val="auto"/>
          <w:kern w:val="0"/>
          <w:sz w:val="24"/>
          <w:highlight w:val="none"/>
        </w:rPr>
        <w:t>招标文件</w:t>
      </w:r>
      <w:r>
        <w:rPr>
          <w:rFonts w:ascii="仿宋" w:hAnsi="仿宋" w:eastAsia="仿宋" w:cs="Arial"/>
          <w:color w:val="auto"/>
          <w:kern w:val="0"/>
          <w:sz w:val="24"/>
          <w:highlight w:val="none"/>
        </w:rPr>
        <w:t>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r>
        <w:rPr>
          <w:rFonts w:hint="eastAsia" w:ascii="仿宋" w:hAnsi="仿宋" w:eastAsia="仿宋" w:cs="仿宋_GB2312"/>
          <w:color w:val="auto"/>
          <w:sz w:val="24"/>
          <w:highlight w:val="none"/>
        </w:rPr>
        <w:t>合同主要条款详见第四部分拟签订的合同文本。</w:t>
      </w:r>
    </w:p>
    <w:p>
      <w:pPr>
        <w:pStyle w:val="89"/>
        <w:snapToGrid w:val="0"/>
        <w:spacing w:before="0"/>
        <w:ind w:firstLine="480"/>
        <w:rPr>
          <w:rFonts w:ascii="仿宋" w:hAnsi="仿宋" w:eastAsia="仿宋"/>
          <w:color w:val="auto"/>
          <w:kern w:val="0"/>
          <w:szCs w:val="24"/>
          <w:highlight w:val="none"/>
          <w:lang w:val="zh-CN"/>
        </w:rPr>
      </w:pPr>
      <w:r>
        <w:rPr>
          <w:rFonts w:ascii="仿宋" w:hAnsi="仿宋" w:eastAsia="仿宋" w:cs="仿宋_GB2312"/>
          <w:color w:val="auto"/>
          <w:kern w:val="0"/>
          <w:szCs w:val="24"/>
          <w:highlight w:val="none"/>
          <w:lang w:val="zh-CN"/>
        </w:rPr>
        <w:t>2</w:t>
      </w:r>
      <w:r>
        <w:rPr>
          <w:rFonts w:hint="eastAsia" w:ascii="仿宋" w:hAnsi="仿宋" w:eastAsia="仿宋" w:cs="仿宋_GB2312"/>
          <w:color w:val="auto"/>
          <w:kern w:val="0"/>
          <w:szCs w:val="24"/>
          <w:highlight w:val="none"/>
          <w:lang w:val="zh-CN"/>
        </w:rPr>
        <w:t>6</w:t>
      </w:r>
      <w:r>
        <w:rPr>
          <w:rFonts w:ascii="仿宋" w:hAnsi="仿宋" w:eastAsia="仿宋" w:cs="仿宋_GB2312"/>
          <w:color w:val="auto"/>
          <w:kern w:val="0"/>
          <w:szCs w:val="24"/>
          <w:highlight w:val="none"/>
          <w:lang w:val="zh-CN"/>
        </w:rPr>
        <w:t>.2</w:t>
      </w:r>
      <w:r>
        <w:rPr>
          <w:rFonts w:hint="eastAsia" w:ascii="仿宋" w:hAnsi="仿宋" w:eastAsia="仿宋"/>
          <w:color w:val="auto"/>
          <w:kern w:val="0"/>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.3中标</w:t>
      </w:r>
      <w:r>
        <w:rPr>
          <w:rFonts w:hint="eastAsia" w:ascii="仿宋" w:hAnsi="仿宋" w:eastAsia="仿宋" w:cs="仿宋_GB2312"/>
          <w:color w:val="auto"/>
          <w:szCs w:val="24"/>
          <w:highlight w:val="none"/>
        </w:rPr>
        <w:t>人拒绝与采购人签订合同的，采购人可以按照评审报告推荐的中标候选人名单排序，确定下一候选人为中标人，也可以重新开展政府采购活动。</w:t>
      </w:r>
    </w:p>
    <w:p>
      <w:pPr>
        <w:pStyle w:val="89"/>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2</w:t>
      </w:r>
      <w:r>
        <w:rPr>
          <w:rFonts w:hint="eastAsia" w:ascii="仿宋" w:hAnsi="仿宋" w:eastAsia="仿宋" w:cs="仿宋_GB2312"/>
          <w:color w:val="auto"/>
          <w:szCs w:val="24"/>
          <w:highlight w:val="none"/>
        </w:rPr>
        <w:t>6</w:t>
      </w:r>
      <w:r>
        <w:rPr>
          <w:rFonts w:ascii="仿宋" w:hAnsi="仿宋" w:eastAsia="仿宋" w:cs="仿宋_GB2312"/>
          <w:color w:val="auto"/>
          <w:szCs w:val="24"/>
          <w:highlight w:val="none"/>
        </w:rPr>
        <w:t>.4采购合同</w:t>
      </w:r>
      <w:r>
        <w:rPr>
          <w:rFonts w:hint="eastAsia" w:ascii="仿宋" w:hAnsi="仿宋" w:eastAsia="仿宋" w:cs="仿宋_GB2312"/>
          <w:color w:val="auto"/>
          <w:szCs w:val="24"/>
          <w:highlight w:val="none"/>
        </w:rPr>
        <w:t>可</w:t>
      </w:r>
      <w:r>
        <w:rPr>
          <w:rFonts w:ascii="仿宋" w:hAnsi="仿宋" w:eastAsia="仿宋" w:cs="仿宋_GB2312"/>
          <w:color w:val="auto"/>
          <w:szCs w:val="24"/>
          <w:highlight w:val="none"/>
        </w:rPr>
        <w:t>由采购人与中标</w:t>
      </w:r>
      <w:r>
        <w:rPr>
          <w:rFonts w:hint="eastAsia" w:ascii="仿宋" w:hAnsi="仿宋" w:eastAsia="仿宋" w:cs="仿宋_GB2312"/>
          <w:color w:val="auto"/>
          <w:szCs w:val="24"/>
          <w:highlight w:val="none"/>
        </w:rPr>
        <w:t>人</w:t>
      </w:r>
      <w:r>
        <w:rPr>
          <w:rFonts w:ascii="仿宋" w:hAnsi="仿宋" w:eastAsia="仿宋" w:cs="仿宋_GB2312"/>
          <w:color w:val="auto"/>
          <w:szCs w:val="24"/>
          <w:highlight w:val="none"/>
        </w:rPr>
        <w:t>根据</w:t>
      </w:r>
      <w:r>
        <w:rPr>
          <w:rFonts w:hint="eastAsia" w:ascii="仿宋" w:hAnsi="仿宋" w:eastAsia="仿宋" w:cs="仿宋_GB2312"/>
          <w:color w:val="auto"/>
          <w:szCs w:val="24"/>
          <w:highlight w:val="none"/>
        </w:rPr>
        <w:t>招标文件、投标文件等内容通过政采云平台在线签订，自动备案。</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27.合同履约管理</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pPr>
        <w:pStyle w:val="3"/>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28</w:t>
      </w:r>
      <w:r>
        <w:rPr>
          <w:rFonts w:ascii="仿宋" w:hAnsi="仿宋" w:eastAsia="仿宋" w:cs="仿宋_GB2312"/>
          <w:b/>
          <w:color w:val="auto"/>
          <w:highlight w:val="none"/>
        </w:rPr>
        <w:t>.</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rPr>
        <w:t>1.拟签订的合同文本要求中标人提交履约保证金的（见投标人须知前附表），供应商应当以支票、汇票、本票或者金融机构、担保机构出具的保函等非现金形式在签订合同前提交</w:t>
      </w:r>
      <w:r>
        <w:rPr>
          <w:rFonts w:hint="eastAsia" w:ascii="仿宋" w:hAnsi="仿宋" w:eastAsia="仿宋"/>
          <w:color w:val="auto"/>
          <w:sz w:val="24"/>
          <w:highlight w:val="none"/>
        </w:rPr>
        <w:t>。履约保证金的数额不得超过政府采购合同金额的2.5</w:t>
      </w:r>
      <w:r>
        <w:rPr>
          <w:rFonts w:ascii="仿宋" w:hAnsi="仿宋" w:eastAsia="仿宋"/>
          <w:color w:val="auto"/>
          <w:sz w:val="24"/>
          <w:highlight w:val="none"/>
        </w:rPr>
        <w:t>%</w:t>
      </w:r>
      <w:r>
        <w:rPr>
          <w:rFonts w:hint="eastAsia" w:ascii="仿宋" w:hAnsi="仿宋" w:eastAsia="仿宋"/>
          <w:color w:val="auto"/>
          <w:sz w:val="24"/>
          <w:highlight w:val="none"/>
        </w:rPr>
        <w:t>（无息）</w:t>
      </w:r>
      <w:r>
        <w:rPr>
          <w:rFonts w:ascii="仿宋" w:hAnsi="仿宋" w:eastAsia="仿宋"/>
          <w:color w:val="auto"/>
          <w:sz w:val="24"/>
          <w:highlight w:val="none"/>
        </w:rPr>
        <w:t>。</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2.承包任务完成并验收移交采购人后十个工作日内无息退还；</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3.中标人不能按期保质保量完成清扫保洁业务，除承担相关责任外，采购人将没收履约保证金。</w:t>
      </w:r>
    </w:p>
    <w:p>
      <w:pPr>
        <w:tabs>
          <w:tab w:val="left" w:pos="0"/>
        </w:tabs>
        <w:snapToGrid w:val="0"/>
        <w:spacing w:line="360" w:lineRule="auto"/>
        <w:ind w:firstLine="482" w:firstLineChars="200"/>
        <w:rPr>
          <w:rFonts w:ascii="仿宋" w:hAnsi="仿宋" w:eastAsia="仿宋" w:cs="Helvetica"/>
          <w:color w:val="auto"/>
          <w:kern w:val="0"/>
          <w:sz w:val="24"/>
          <w:highlight w:val="none"/>
        </w:rPr>
      </w:pPr>
      <w:r>
        <w:rPr>
          <w:rFonts w:hint="eastAsia" w:ascii="仿宋" w:hAnsi="仿宋" w:eastAsia="仿宋" w:cs="Helvetica"/>
          <w:b/>
          <w:bCs/>
          <w:color w:val="auto"/>
          <w:kern w:val="0"/>
          <w:sz w:val="24"/>
          <w:highlight w:val="none"/>
        </w:rPr>
        <w:t>4.采购人不得拒收履约保函</w:t>
      </w:r>
      <w:r>
        <w:rPr>
          <w:rFonts w:hint="eastAsia" w:ascii="仿宋" w:hAnsi="仿宋" w:eastAsia="仿宋" w:cs="Helvetica"/>
          <w:color w:val="auto"/>
          <w:kern w:val="0"/>
          <w:sz w:val="24"/>
          <w:highlight w:val="none"/>
        </w:rPr>
        <w:t>。</w:t>
      </w:r>
    </w:p>
    <w:p>
      <w:pPr>
        <w:snapToGrid w:val="0"/>
        <w:spacing w:line="360" w:lineRule="auto"/>
        <w:rPr>
          <w:rFonts w:ascii="仿宋" w:hAnsi="仿宋" w:eastAsia="仿宋" w:cs="Helvetica"/>
          <w:color w:val="auto"/>
          <w:kern w:val="0"/>
          <w:sz w:val="24"/>
          <w:highlight w:val="none"/>
        </w:rPr>
      </w:pPr>
    </w:p>
    <w:p>
      <w:pPr>
        <w:snapToGrid w:val="0"/>
        <w:spacing w:line="360" w:lineRule="auto"/>
        <w:jc w:val="center"/>
        <w:outlineLvl w:val="1"/>
        <w:rPr>
          <w:rFonts w:ascii="仿宋" w:hAnsi="仿宋" w:eastAsia="仿宋"/>
          <w:b/>
          <w:color w:val="auto"/>
          <w:sz w:val="28"/>
          <w:szCs w:val="28"/>
          <w:highlight w:val="none"/>
        </w:rPr>
      </w:pPr>
      <w:r>
        <w:rPr>
          <w:rFonts w:hint="eastAsia" w:ascii="仿宋" w:hAnsi="仿宋" w:eastAsia="仿宋" w:cs="仿宋_GB2312"/>
          <w:b/>
          <w:color w:val="auto"/>
          <w:sz w:val="28"/>
          <w:szCs w:val="28"/>
          <w:highlight w:val="none"/>
        </w:rPr>
        <w:t>八、电子交易活动的中止</w:t>
      </w:r>
    </w:p>
    <w:p>
      <w:pPr>
        <w:pStyle w:val="89"/>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b/>
          <w:color w:val="auto"/>
          <w:szCs w:val="24"/>
          <w:highlight w:val="none"/>
        </w:rPr>
        <w:t>.</w:t>
      </w:r>
      <w:r>
        <w:rPr>
          <w:rFonts w:hint="eastAsia" w:ascii="仿宋" w:hAnsi="仿宋" w:eastAsia="仿宋" w:cs="仿宋_GB2312"/>
          <w:b/>
          <w:color w:val="auto"/>
          <w:szCs w:val="24"/>
          <w:highlight w:val="none"/>
        </w:rPr>
        <w:t>电子交易活动的中止。</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采购过程中出现以下情形，导致政采云平台无法正常运行，或者无法保证电子交易的公平、公正和安全时，采购机构可中止电子交易活动：</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.1政采云平台发生故障而无法登录访问的；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.2政采云平台应用或数据库出现错误，不能进行正常操作的；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.3政采云平台发现严重安全漏洞，有潜在泄密危险的；</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 xml:space="preserve">.4病毒发作导致不能进行正常操作的； </w:t>
      </w:r>
    </w:p>
    <w:p>
      <w:pPr>
        <w:pStyle w:val="89"/>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29</w:t>
      </w:r>
      <w:r>
        <w:rPr>
          <w:rFonts w:ascii="仿宋" w:hAnsi="仿宋" w:eastAsia="仿宋" w:cs="仿宋_GB2312"/>
          <w:color w:val="auto"/>
          <w:szCs w:val="24"/>
          <w:highlight w:val="none"/>
        </w:rPr>
        <w:t>.5其他无法保证电子交易的公平、公正和安全的情况。</w:t>
      </w:r>
    </w:p>
    <w:p>
      <w:pPr>
        <w:pStyle w:val="89"/>
        <w:snapToGrid w:val="0"/>
        <w:spacing w:before="0"/>
        <w:ind w:firstLine="470" w:firstLineChars="196"/>
        <w:rPr>
          <w:rFonts w:ascii="仿宋" w:hAnsi="仿宋" w:eastAsia="仿宋" w:cs="仿宋_GB2312"/>
          <w:color w:val="auto"/>
          <w:szCs w:val="24"/>
          <w:highlight w:val="none"/>
        </w:rPr>
      </w:pPr>
      <w:r>
        <w:rPr>
          <w:rFonts w:ascii="仿宋" w:hAnsi="仿宋" w:eastAsia="仿宋" w:cs="仿宋_GB2312"/>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snapToGrid w:val="0"/>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30.重新采购</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30.1</w:t>
      </w:r>
      <w:r>
        <w:rPr>
          <w:rFonts w:ascii="仿宋" w:hAnsi="仿宋" w:eastAsia="仿宋" w:cs="仿宋_GB2312"/>
          <w:color w:val="auto"/>
          <w:highlight w:val="none"/>
        </w:rPr>
        <w:t>未确定</w:t>
      </w:r>
      <w:r>
        <w:rPr>
          <w:rFonts w:hint="eastAsia" w:ascii="仿宋" w:hAnsi="仿宋" w:eastAsia="仿宋" w:cs="仿宋_GB2312"/>
          <w:color w:val="auto"/>
          <w:highlight w:val="none"/>
        </w:rPr>
        <w:t>中标、成交供应商</w:t>
      </w:r>
      <w:r>
        <w:rPr>
          <w:rFonts w:ascii="仿宋" w:hAnsi="仿宋" w:eastAsia="仿宋" w:cs="仿宋_GB2312"/>
          <w:color w:val="auto"/>
          <w:highlight w:val="none"/>
        </w:rPr>
        <w:t>的，终止本次政府采购活动，重新开展政府采购</w:t>
      </w:r>
      <w:r>
        <w:rPr>
          <w:rFonts w:hint="eastAsia" w:ascii="仿宋" w:hAnsi="仿宋" w:eastAsia="仿宋" w:cs="仿宋_GB2312"/>
          <w:color w:val="auto"/>
          <w:highlight w:val="none"/>
        </w:rPr>
        <w:t>活动。</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30.2中标、成交供应商已经确定但采购合同尚未履行的，撤销合同，从合格的中标、成交候选人中另行确定中标、成交供应商</w:t>
      </w:r>
      <w:r>
        <w:rPr>
          <w:rFonts w:ascii="仿宋" w:hAnsi="仿宋" w:eastAsia="仿宋" w:cs="仿宋_GB2312"/>
          <w:color w:val="auto"/>
          <w:highlight w:val="none"/>
        </w:rPr>
        <w:t>；没有合格的</w:t>
      </w:r>
      <w:r>
        <w:rPr>
          <w:rFonts w:hint="eastAsia" w:ascii="仿宋" w:hAnsi="仿宋" w:eastAsia="仿宋" w:cs="仿宋_GB2312"/>
          <w:color w:val="auto"/>
          <w:highlight w:val="none"/>
        </w:rPr>
        <w:t>中标、成交候选人</w:t>
      </w:r>
      <w:r>
        <w:rPr>
          <w:rFonts w:ascii="仿宋" w:hAnsi="仿宋" w:eastAsia="仿宋" w:cs="仿宋_GB2312"/>
          <w:color w:val="auto"/>
          <w:highlight w:val="none"/>
        </w:rPr>
        <w:t>的，重新开展政府采购活动。</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30.3</w:t>
      </w:r>
      <w:r>
        <w:rPr>
          <w:rFonts w:ascii="仿宋" w:hAnsi="仿宋" w:eastAsia="仿宋" w:cs="仿宋_GB2312"/>
          <w:color w:val="auto"/>
          <w:highlight w:val="none"/>
        </w:rPr>
        <w:t>政府采购合同已签订但尚未履行的，撤销合同，从合格的中标候选人中另行确定中标或者中标人；没有合格的中标候选人的，重新开展政府采购活动。</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30.4</w:t>
      </w:r>
      <w:r>
        <w:rPr>
          <w:rFonts w:ascii="仿宋" w:hAnsi="仿宋" w:eastAsia="仿宋" w:cs="仿宋_GB2312"/>
          <w:color w:val="auto"/>
          <w:highlight w:val="none"/>
        </w:rPr>
        <w:t>政府采购合同已经履行，给采购人、供应</w:t>
      </w:r>
      <w:r>
        <w:rPr>
          <w:rFonts w:hint="eastAsia" w:ascii="仿宋" w:hAnsi="仿宋" w:eastAsia="仿宋" w:cs="仿宋_GB2312"/>
          <w:color w:val="auto"/>
          <w:highlight w:val="none"/>
        </w:rPr>
        <w:t>商造成损失的，由责任人承担赔偿责任。</w:t>
      </w:r>
    </w:p>
    <w:p>
      <w:pPr>
        <w:tabs>
          <w:tab w:val="left" w:pos="0"/>
        </w:tabs>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30.5</w:t>
      </w:r>
      <w:r>
        <w:rPr>
          <w:rFonts w:ascii="仿宋" w:hAnsi="仿宋" w:eastAsia="仿宋" w:cs="仿宋_GB2312"/>
          <w:color w:val="auto"/>
          <w:sz w:val="24"/>
          <w:highlight w:val="none"/>
        </w:rPr>
        <w:t>政府采购当事人有其他违反政府采购</w:t>
      </w:r>
      <w:r>
        <w:rPr>
          <w:rFonts w:hint="eastAsia" w:ascii="仿宋" w:hAnsi="仿宋" w:eastAsia="仿宋" w:cs="仿宋_GB2312"/>
          <w:color w:val="auto"/>
          <w:sz w:val="24"/>
          <w:highlight w:val="none"/>
        </w:rPr>
        <w:t>法或者政府采购法实施条例等法律法规规定的行为，经改正后仍然影响或者可能影响中标或成交结果或者依法被认定为中标或成交无效的，依照30.1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30.4</w:t>
      </w:r>
      <w:r>
        <w:rPr>
          <w:rFonts w:ascii="仿宋" w:hAnsi="仿宋" w:eastAsia="仿宋" w:cs="仿宋_GB2312"/>
          <w:color w:val="auto"/>
          <w:sz w:val="24"/>
          <w:highlight w:val="none"/>
        </w:rPr>
        <w:t>规定处理。</w:t>
      </w:r>
    </w:p>
    <w:p>
      <w:pPr>
        <w:tabs>
          <w:tab w:val="left" w:pos="0"/>
        </w:tabs>
        <w:snapToGrid w:val="0"/>
        <w:spacing w:line="360" w:lineRule="auto"/>
        <w:ind w:firstLine="480" w:firstLineChars="200"/>
        <w:rPr>
          <w:rFonts w:ascii="仿宋" w:hAnsi="仿宋" w:eastAsia="仿宋"/>
          <w:color w:val="auto"/>
          <w:sz w:val="24"/>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九、验收</w:t>
      </w:r>
    </w:p>
    <w:p>
      <w:pPr>
        <w:pStyle w:val="3"/>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31</w:t>
      </w:r>
      <w:r>
        <w:rPr>
          <w:rFonts w:ascii="仿宋" w:hAnsi="仿宋" w:eastAsia="仿宋" w:cs="仿宋_GB2312"/>
          <w:b/>
          <w:color w:val="auto"/>
          <w:highlight w:val="none"/>
        </w:rPr>
        <w:t>.验收</w:t>
      </w:r>
    </w:p>
    <w:p>
      <w:pPr>
        <w:tabs>
          <w:tab w:val="left" w:pos="0"/>
        </w:tabs>
        <w:snapToGrid w:val="0"/>
        <w:spacing w:line="360" w:lineRule="auto"/>
        <w:ind w:firstLine="480" w:firstLineChars="200"/>
        <w:rPr>
          <w:rFonts w:ascii="仿宋" w:hAnsi="仿宋" w:eastAsia="仿宋" w:cs="Helvetica"/>
          <w:color w:val="auto"/>
          <w:kern w:val="0"/>
          <w:sz w:val="24"/>
          <w:highlight w:val="none"/>
        </w:rPr>
      </w:pPr>
      <w:bookmarkStart w:id="54" w:name="_Hlk93169321"/>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napToGrid w:val="0"/>
        <w:spacing w:line="360" w:lineRule="auto"/>
        <w:ind w:firstLine="480" w:firstLineChars="20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4"/>
    </w:p>
    <w:p>
      <w:pPr>
        <w:widowControl/>
        <w:snapToGrid w:val="0"/>
        <w:spacing w:line="360" w:lineRule="auto"/>
        <w:ind w:firstLine="480" w:firstLineChars="200"/>
        <w:jc w:val="left"/>
        <w:rPr>
          <w:rFonts w:ascii="仿宋" w:hAnsi="仿宋" w:eastAsia="仿宋" w:cs="新宋体"/>
          <w:color w:val="auto"/>
          <w:sz w:val="24"/>
          <w:highlight w:val="none"/>
        </w:rPr>
      </w:pPr>
      <w:bookmarkStart w:id="55" w:name="_Hlk93169378"/>
      <w:r>
        <w:rPr>
          <w:rFonts w:hint="eastAsia" w:ascii="仿宋" w:hAnsi="仿宋" w:eastAsia="仿宋" w:cs="Helvetica"/>
          <w:color w:val="auto"/>
          <w:kern w:val="0"/>
          <w:sz w:val="24"/>
          <w:highlight w:val="none"/>
        </w:rPr>
        <w:t>31</w:t>
      </w:r>
      <w:r>
        <w:rPr>
          <w:rFonts w:ascii="仿宋" w:hAnsi="仿宋" w:eastAsia="仿宋" w:cs="Helvetic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ascii="新宋体" w:hAnsi="新宋体" w:eastAsia="新宋体" w:cs="新宋体"/>
          <w:color w:val="auto"/>
          <w:sz w:val="22"/>
          <w:szCs w:val="22"/>
          <w:highlight w:val="none"/>
        </w:rPr>
      </w:pPr>
    </w:p>
    <w:p>
      <w:pPr>
        <w:snapToGrid w:val="0"/>
        <w:spacing w:line="360" w:lineRule="auto"/>
        <w:jc w:val="center"/>
        <w:outlineLvl w:val="1"/>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十、其他说明</w:t>
      </w:r>
    </w:p>
    <w:p>
      <w:pPr>
        <w:pStyle w:val="3"/>
        <w:adjustRightInd w:val="0"/>
        <w:snapToGrid w:val="0"/>
        <w:spacing w:line="360" w:lineRule="auto"/>
        <w:ind w:left="0"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32</w:t>
      </w:r>
      <w:r>
        <w:rPr>
          <w:rFonts w:ascii="仿宋" w:hAnsi="仿宋" w:eastAsia="仿宋" w:cs="仿宋_GB2312"/>
          <w:b/>
          <w:color w:val="auto"/>
          <w:highlight w:val="none"/>
        </w:rPr>
        <w:t>.</w:t>
      </w:r>
      <w:r>
        <w:rPr>
          <w:rFonts w:hint="eastAsia" w:ascii="仿宋" w:hAnsi="仿宋" w:eastAsia="仿宋" w:cs="仿宋_GB2312"/>
          <w:b/>
          <w:color w:val="auto"/>
          <w:highlight w:val="none"/>
        </w:rPr>
        <w:t>其他说明</w:t>
      </w:r>
    </w:p>
    <w:p>
      <w:pPr>
        <w:widowControl/>
        <w:snapToGrid w:val="0"/>
        <w:spacing w:line="360" w:lineRule="auto"/>
        <w:ind w:firstLine="480" w:firstLineChars="200"/>
        <w:jc w:val="left"/>
        <w:rPr>
          <w:rFonts w:ascii="新宋体" w:hAnsi="新宋体" w:eastAsia="新宋体" w:cs="新宋体"/>
          <w:color w:val="auto"/>
          <w:sz w:val="22"/>
          <w:szCs w:val="22"/>
          <w:highlight w:val="none"/>
        </w:rPr>
      </w:pPr>
      <w:r>
        <w:rPr>
          <w:rFonts w:hint="eastAsia" w:ascii="仿宋" w:hAnsi="仿宋" w:eastAsia="仿宋" w:cs="Helvetica"/>
          <w:color w:val="auto"/>
          <w:kern w:val="0"/>
          <w:sz w:val="24"/>
          <w:highlight w:val="none"/>
        </w:rPr>
        <w:t>见投标人须知前附表。</w:t>
      </w:r>
      <w:bookmarkEnd w:id="55"/>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snapToGrid w:val="0"/>
        <w:spacing w:beforeLines="100" w:line="360" w:lineRule="auto"/>
        <w:jc w:val="center"/>
        <w:outlineLvl w:val="0"/>
        <w:rPr>
          <w:rFonts w:ascii="仿宋" w:hAnsi="仿宋" w:eastAsia="仿宋" w:cs="仿宋_GB2312"/>
          <w:b/>
          <w:color w:val="auto"/>
          <w:sz w:val="36"/>
          <w:szCs w:val="36"/>
          <w:highlight w:val="none"/>
        </w:rPr>
      </w:pPr>
      <w:bookmarkStart w:id="56" w:name="_Toc31286"/>
      <w:r>
        <w:rPr>
          <w:rFonts w:hint="eastAsia" w:ascii="仿宋" w:hAnsi="仿宋" w:eastAsia="仿宋" w:cs="仿宋_GB2312"/>
          <w:b/>
          <w:color w:val="auto"/>
          <w:sz w:val="36"/>
          <w:szCs w:val="36"/>
          <w:highlight w:val="none"/>
        </w:rPr>
        <w:t>第三部分  采购需求</w:t>
      </w:r>
      <w:bookmarkEnd w:id="56"/>
    </w:p>
    <w:p>
      <w:pPr>
        <w:spacing w:line="360" w:lineRule="auto"/>
        <w:ind w:firstLine="120" w:firstLineChars="50"/>
        <w:rPr>
          <w:rFonts w:ascii="仿宋_GB2312" w:hAnsi="仿宋" w:eastAsia="仿宋_GB2312" w:cs="仿宋_GB2312"/>
          <w:b/>
          <w:color w:val="auto"/>
          <w:sz w:val="24"/>
          <w:highlight w:val="none"/>
        </w:rPr>
      </w:pPr>
      <w:bookmarkStart w:id="57" w:name="_Hlk93169452"/>
    </w:p>
    <w:p>
      <w:pPr>
        <w:snapToGrid w:val="0"/>
        <w:spacing w:line="360" w:lineRule="auto"/>
        <w:jc w:val="left"/>
        <w:rPr>
          <w:rFonts w:ascii="仿宋" w:hAnsi="仿宋" w:eastAsia="仿宋"/>
          <w:b/>
          <w:color w:val="auto"/>
          <w:sz w:val="28"/>
          <w:szCs w:val="28"/>
          <w:highlight w:val="none"/>
        </w:rPr>
      </w:pPr>
      <w:bookmarkStart w:id="58" w:name="_Toc20384570"/>
      <w:r>
        <w:rPr>
          <w:rFonts w:hint="eastAsia" w:ascii="仿宋" w:hAnsi="仿宋" w:eastAsia="仿宋"/>
          <w:b/>
          <w:color w:val="auto"/>
          <w:sz w:val="28"/>
          <w:szCs w:val="28"/>
          <w:highlight w:val="none"/>
        </w:rPr>
        <w:t>一、需求概况</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（一）</w:t>
      </w:r>
      <w:r>
        <w:rPr>
          <w:rFonts w:ascii="仿宋" w:hAnsi="仿宋" w:eastAsia="仿宋"/>
          <w:color w:val="auto"/>
          <w:sz w:val="24"/>
          <w:highlight w:val="none"/>
        </w:rPr>
        <w:t>供应商必须完成采购内容和合同规定义务，不允许只对部分内容进行报价。</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二）现场踏勘：各供应商于投标截止时间前自行到现场进行踏勘，以获取本次投标所需的现场资料及数据，供应商若未到现场踏勘，引起的一切后果均由其自行负责，由此造成投标价的偏差均不予调整。现场踏勘费用自理。</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（三）供应商需要对本次招标的全部采购内容进行投标，不允许只对其中部分内容进行投标，谢绝联合投标。</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（四）供应商应按</w:t>
      </w:r>
      <w:r>
        <w:rPr>
          <w:rFonts w:hint="eastAsia" w:ascii="仿宋" w:hAnsi="仿宋" w:eastAsia="仿宋"/>
          <w:color w:val="auto"/>
          <w:sz w:val="24"/>
          <w:highlight w:val="none"/>
        </w:rPr>
        <w:t>招标</w:t>
      </w:r>
      <w:r>
        <w:rPr>
          <w:rFonts w:ascii="仿宋" w:hAnsi="仿宋" w:eastAsia="仿宋"/>
          <w:color w:val="auto"/>
          <w:sz w:val="24"/>
          <w:highlight w:val="none"/>
        </w:rPr>
        <w:t>文件的要求完成采购工作。按工作顺序提交所需的无论其是否被明细列在合同文件中的所有资料，提供的货物和服务必须满足</w:t>
      </w:r>
      <w:r>
        <w:rPr>
          <w:rFonts w:hint="eastAsia" w:ascii="仿宋" w:hAnsi="仿宋" w:eastAsia="仿宋"/>
          <w:color w:val="auto"/>
          <w:sz w:val="24"/>
          <w:highlight w:val="none"/>
        </w:rPr>
        <w:t>招标</w:t>
      </w:r>
      <w:r>
        <w:rPr>
          <w:rFonts w:ascii="仿宋" w:hAnsi="仿宋" w:eastAsia="仿宋"/>
          <w:color w:val="auto"/>
          <w:sz w:val="24"/>
          <w:highlight w:val="none"/>
        </w:rPr>
        <w:t>文件中提出的相关要求。</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（五）在投标之前，供应商须仔细阅读</w:t>
      </w:r>
      <w:r>
        <w:rPr>
          <w:rFonts w:hint="eastAsia" w:ascii="仿宋" w:hAnsi="仿宋" w:eastAsia="仿宋"/>
          <w:color w:val="auto"/>
          <w:sz w:val="24"/>
          <w:highlight w:val="none"/>
        </w:rPr>
        <w:t>招标</w:t>
      </w:r>
      <w:r>
        <w:rPr>
          <w:rFonts w:ascii="仿宋" w:hAnsi="仿宋" w:eastAsia="仿宋"/>
          <w:color w:val="auto"/>
          <w:sz w:val="24"/>
          <w:highlight w:val="none"/>
        </w:rPr>
        <w:t>文件，如发现有任何疑问、冲突或技术问题，供应商在答疑截止时间前以书面形式向采购代理机构提出。逾期采购人不再作答复，有关风险及责任由供应商自行承担。</w:t>
      </w:r>
    </w:p>
    <w:p>
      <w:pPr>
        <w:snapToGrid w:val="0"/>
        <w:spacing w:line="360" w:lineRule="auto"/>
        <w:ind w:firstLine="480" w:firstLineChars="200"/>
        <w:jc w:val="left"/>
        <w:rPr>
          <w:rFonts w:ascii="仿宋" w:hAnsi="仿宋" w:eastAsia="仿宋"/>
          <w:color w:val="auto"/>
          <w:sz w:val="24"/>
          <w:highlight w:val="none"/>
          <w:u w:val="single"/>
        </w:rPr>
      </w:pPr>
      <w:r>
        <w:rPr>
          <w:rFonts w:ascii="仿宋" w:hAnsi="仿宋" w:eastAsia="仿宋"/>
          <w:color w:val="auto"/>
          <w:sz w:val="24"/>
          <w:highlight w:val="none"/>
        </w:rPr>
        <w:t>（六）供应商须对采购文件中各个条款一一给予实质性答复，否则有可能导致作无效标处理。</w:t>
      </w:r>
    </w:p>
    <w:p>
      <w:pPr>
        <w:snapToGrid w:val="0"/>
        <w:spacing w:line="360" w:lineRule="auto"/>
        <w:jc w:val="left"/>
        <w:rPr>
          <w:rFonts w:ascii="仿宋" w:hAnsi="仿宋" w:eastAsia="仿宋"/>
          <w:b/>
          <w:color w:val="auto"/>
          <w:sz w:val="28"/>
          <w:szCs w:val="28"/>
          <w:highlight w:val="none"/>
        </w:rPr>
      </w:pPr>
      <w:r>
        <w:rPr>
          <w:rFonts w:ascii="仿宋" w:hAnsi="仿宋" w:eastAsia="仿宋"/>
          <w:b/>
          <w:color w:val="auto"/>
          <w:sz w:val="28"/>
          <w:szCs w:val="28"/>
          <w:highlight w:val="none"/>
        </w:rPr>
        <w:t>二</w:t>
      </w:r>
      <w:r>
        <w:rPr>
          <w:rFonts w:hint="eastAsia" w:ascii="仿宋" w:hAnsi="仿宋" w:eastAsia="仿宋"/>
          <w:b/>
          <w:color w:val="auto"/>
          <w:sz w:val="28"/>
          <w:szCs w:val="28"/>
          <w:highlight w:val="none"/>
        </w:rPr>
        <w:t>、需求清单</w:t>
      </w:r>
    </w:p>
    <w:p>
      <w:pPr>
        <w:snapToGrid w:val="0"/>
        <w:spacing w:line="360" w:lineRule="auto"/>
        <w:ind w:firstLine="562" w:firstLineChars="2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1</w:t>
      </w:r>
      <w:r>
        <w:rPr>
          <w:rFonts w:hint="eastAsia" w:ascii="宋体" w:hAnsi="Calibri"/>
          <w:color w:val="auto"/>
          <w:sz w:val="22"/>
          <w:szCs w:val="22"/>
          <w:highlight w:val="none"/>
        </w:rPr>
        <w:t>.</w:t>
      </w:r>
      <w:r>
        <w:rPr>
          <w:rFonts w:hint="eastAsia" w:ascii="仿宋" w:hAnsi="仿宋" w:eastAsia="仿宋"/>
          <w:b/>
          <w:bCs/>
          <w:color w:val="auto"/>
          <w:sz w:val="28"/>
          <w:szCs w:val="28"/>
          <w:highlight w:val="none"/>
        </w:rPr>
        <w:t>项目概况</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1.1本次永嘉县瓯北街道东瓯片建成区环卫保洁外包服务承包总面积共计约1428739.82平方米，主要包括：</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主城区总面积共计约：1428739.82平方米，其中主街道（含城区主次干道、人行道、步行商业街、绿化带、公共广场等）和各社区村居道路小巷（含绿地）的垃圾清扫（清洗）保洁业务（具体范围见附表）。其中次街道（含城区主干道、人行道、步行商业街、公共广场等）和各社区村居道路小巷（含绿地）的垃圾清扫（清洗）保洁业务（具体范围见附表）；须成立一支12人以上的快保队伍进行快速保洁工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2）现状范围内一类保洁：354337.95平方米；（道路保洁实行清扫、清运分离，清扫标准为精扫；保洁达到18小时&lt;5:00-23:00&gt;）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3）现状范围内二类保洁：223168.49平方米； （道路保洁实行清扫、清运分离，清扫标准为普扫；保洁达到16小时&lt;5:00-21:00&gt;）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4）现状范围内三类保洁：573062.44平方米；（道路保洁实行清扫、清运分离，清扫标准为普扫；保洁达到12小时&lt;6:00-18:00&gt;）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现状范围内河道保洁：72986.15平方米；（打捞和清运河面、迎水坡（包括滩地）、堤岸的垃圾、有害或废弃漂浮物（包括水面油渍），清除河道行洪障碍物、阻碍行洪的高杆作物、拦河渔网及木竹桩、废弃沉船等。清除杂草、水荷花、浮萍等水生植物。）</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现状范围内公园、广场及公共绿地保洁：205184.79平方米；（清理公园、广场内道路、绿化地及配套的人工附属设施设备、体育健身区域等的垃圾（含养护公司清理出的垃圾）、抛洒物、零星废弃物，卫生死角、积存垃圾杂物，确保绿化区域干净整洁。承包责任区域内无明显城市“牛皮癣”、小广告等现象，标准为基本清除。不得发生二次污染现象，清理后需 及时清扫（洗）散落物等。）</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7）现状范围内牛皮廯、小广告清理；（清理及治理所属道路、公园、广场、公厕、道路两侧构筑物、建筑物、道路辅助设施上可见的小广告、非法喷涂广告。保洁人员须随时发现，随时处理干净。）</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8) 现状范围内公厕13 座；（地面保持整洁，内外墙无剥落、整洁；有防蝇、防蚊和除臭设施或措施；有专人管理，有保洁制度；公厕内采光、照明和通风良好，无臭味；环境卫生良好，坐便器、蹲位整洁、管道畅通；照明灯具、洗手器具等设施完好；公厕设有醒目标志牌，定时喷洒灭蚊蝇药物，有效控制蝇蛆孳生。）</w:t>
      </w:r>
    </w:p>
    <w:p>
      <w:pPr>
        <w:pStyle w:val="2"/>
        <w:ind w:firstLine="480"/>
        <w:rPr>
          <w:rFonts w:ascii="仿宋" w:hAnsi="仿宋" w:eastAsia="仿宋"/>
          <w:color w:val="auto"/>
          <w:sz w:val="24"/>
          <w:highlight w:val="none"/>
        </w:rPr>
      </w:pPr>
      <w:r>
        <w:rPr>
          <w:rFonts w:hint="eastAsia" w:ascii="仿宋" w:hAnsi="仿宋" w:eastAsia="仿宋"/>
          <w:color w:val="auto"/>
          <w:sz w:val="24"/>
          <w:highlight w:val="none"/>
        </w:rPr>
        <w:t>1.2一、二类保洁道路冲洗、洒水、机械化清扫（清洗）；</w:t>
      </w:r>
    </w:p>
    <w:p>
      <w:pPr>
        <w:pStyle w:val="2"/>
        <w:ind w:firstLine="480"/>
        <w:rPr>
          <w:rFonts w:ascii="仿宋" w:hAnsi="仿宋" w:eastAsia="仿宋"/>
          <w:color w:val="auto"/>
          <w:sz w:val="24"/>
          <w:highlight w:val="none"/>
        </w:rPr>
      </w:pPr>
      <w:r>
        <w:rPr>
          <w:rFonts w:hint="eastAsia" w:ascii="仿宋" w:hAnsi="仿宋" w:eastAsia="仿宋"/>
          <w:color w:val="auto"/>
          <w:sz w:val="24"/>
          <w:highlight w:val="none"/>
        </w:rPr>
        <w:t>1.3装修、装饰产生的垃圾清运；</w:t>
      </w:r>
    </w:p>
    <w:p>
      <w:pPr>
        <w:pStyle w:val="2"/>
        <w:ind w:firstLine="480"/>
        <w:rPr>
          <w:rFonts w:ascii="仿宋" w:hAnsi="仿宋" w:eastAsia="仿宋"/>
          <w:color w:val="auto"/>
          <w:sz w:val="24"/>
          <w:highlight w:val="none"/>
        </w:rPr>
      </w:pPr>
      <w:r>
        <w:rPr>
          <w:rFonts w:hint="eastAsia" w:ascii="仿宋" w:hAnsi="仿宋" w:eastAsia="仿宋"/>
          <w:color w:val="auto"/>
          <w:sz w:val="24"/>
          <w:highlight w:val="none"/>
        </w:rPr>
        <w:t>1.4城区内公厕的维护、管理。</w:t>
      </w:r>
    </w:p>
    <w:p>
      <w:pPr>
        <w:pStyle w:val="2"/>
        <w:ind w:firstLine="480"/>
        <w:rPr>
          <w:rFonts w:ascii="仿宋" w:hAnsi="仿宋" w:eastAsia="仿宋"/>
          <w:color w:val="auto"/>
          <w:sz w:val="24"/>
          <w:highlight w:val="none"/>
        </w:rPr>
      </w:pPr>
      <w:r>
        <w:rPr>
          <w:rFonts w:hint="eastAsia" w:ascii="仿宋" w:hAnsi="仿宋" w:eastAsia="仿宋"/>
          <w:color w:val="auto"/>
          <w:sz w:val="24"/>
          <w:highlight w:val="none"/>
        </w:rPr>
        <w:t>1.5公共绿地、绿化带、广场（保洁范围内）；</w:t>
      </w:r>
    </w:p>
    <w:p>
      <w:pPr>
        <w:pStyle w:val="2"/>
        <w:ind w:firstLine="480"/>
        <w:rPr>
          <w:rFonts w:ascii="仿宋" w:hAnsi="仿宋" w:eastAsia="仿宋"/>
          <w:color w:val="auto"/>
          <w:sz w:val="24"/>
          <w:highlight w:val="none"/>
        </w:rPr>
      </w:pPr>
      <w:r>
        <w:rPr>
          <w:rFonts w:hint="eastAsia" w:ascii="仿宋" w:hAnsi="仿宋" w:eastAsia="仿宋"/>
          <w:color w:val="auto"/>
          <w:sz w:val="24"/>
          <w:highlight w:val="none"/>
        </w:rPr>
        <w:t>1.6</w:t>
      </w:r>
      <w:r>
        <w:rPr>
          <w:rFonts w:ascii="仿宋" w:hAnsi="仿宋" w:eastAsia="仿宋"/>
          <w:color w:val="auto"/>
          <w:sz w:val="24"/>
          <w:highlight w:val="none"/>
        </w:rPr>
        <w:t>无物业管理的开放式小区；</w:t>
      </w:r>
    </w:p>
    <w:p>
      <w:pPr>
        <w:pStyle w:val="2"/>
        <w:ind w:firstLine="480"/>
        <w:rPr>
          <w:rFonts w:ascii="仿宋" w:hAnsi="仿宋" w:eastAsia="仿宋"/>
          <w:color w:val="auto"/>
          <w:sz w:val="24"/>
          <w:highlight w:val="none"/>
        </w:rPr>
      </w:pPr>
    </w:p>
    <w:p>
      <w:pPr>
        <w:snapToGrid w:val="0"/>
        <w:spacing w:line="360" w:lineRule="auto"/>
        <w:ind w:firstLine="562" w:firstLineChars="2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2.采购项目预（概）算</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总预算</w:t>
      </w:r>
      <w:r>
        <w:rPr>
          <w:rFonts w:hint="eastAsia" w:ascii="仿宋" w:hAnsi="仿宋" w:eastAsia="仿宋"/>
          <w:color w:val="auto"/>
          <w:sz w:val="24"/>
          <w:highlight w:val="none"/>
        </w:rPr>
        <w:t>：37284781元</w:t>
      </w:r>
    </w:p>
    <w:p>
      <w:pPr>
        <w:pStyle w:val="2"/>
        <w:ind w:firstLine="480"/>
        <w:rPr>
          <w:rFonts w:ascii="仿宋" w:hAnsi="仿宋" w:eastAsia="仿宋"/>
          <w:color w:val="auto"/>
          <w:sz w:val="24"/>
          <w:highlight w:val="none"/>
        </w:rPr>
      </w:pPr>
    </w:p>
    <w:p>
      <w:pPr>
        <w:pStyle w:val="2"/>
        <w:ind w:firstLine="480"/>
        <w:rPr>
          <w:rFonts w:ascii="仿宋" w:hAnsi="仿宋" w:eastAsia="仿宋"/>
          <w:color w:val="auto"/>
          <w:sz w:val="24"/>
          <w:highlight w:val="none"/>
        </w:rPr>
      </w:pPr>
    </w:p>
    <w:p>
      <w:pPr>
        <w:pStyle w:val="2"/>
        <w:ind w:firstLine="480"/>
        <w:rPr>
          <w:rFonts w:ascii="仿宋" w:hAnsi="仿宋" w:eastAsia="仿宋"/>
          <w:color w:val="auto"/>
          <w:sz w:val="24"/>
          <w:highlight w:val="none"/>
        </w:rPr>
      </w:pPr>
    </w:p>
    <w:p>
      <w:pPr>
        <w:snapToGrid w:val="0"/>
        <w:spacing w:line="360" w:lineRule="auto"/>
        <w:ind w:firstLine="562" w:firstLineChars="200"/>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3.采购项目清单</w:t>
      </w:r>
    </w:p>
    <w:p>
      <w:pPr>
        <w:jc w:val="left"/>
        <w:rPr>
          <w:bCs/>
          <w:color w:val="auto"/>
          <w:sz w:val="24"/>
          <w:highlight w:val="none"/>
        </w:rPr>
      </w:pPr>
      <w:r>
        <w:rPr>
          <w:rFonts w:hint="eastAsia" w:ascii="宋体" w:hAnsi="宋体"/>
          <w:bCs/>
          <w:color w:val="auto"/>
          <w:sz w:val="24"/>
          <w:highlight w:val="none"/>
        </w:rPr>
        <w:t>1</w:t>
      </w:r>
      <w:r>
        <w:rPr>
          <w:rFonts w:hint="eastAsia" w:ascii="宋体" w:hAnsi="Calibri"/>
          <w:color w:val="auto"/>
          <w:sz w:val="22"/>
          <w:szCs w:val="22"/>
          <w:highlight w:val="none"/>
        </w:rPr>
        <w:t>.</w:t>
      </w:r>
      <w:r>
        <w:rPr>
          <w:rFonts w:hint="eastAsia" w:ascii="仿宋_GB2312" w:eastAsia="仿宋_GB2312"/>
          <w:bCs/>
          <w:color w:val="auto"/>
          <w:sz w:val="24"/>
          <w:highlight w:val="none"/>
        </w:rPr>
        <w:t>永嘉县瓯北街道东瓯片建成区道路保洁作业清单</w:t>
      </w:r>
    </w:p>
    <w:tbl>
      <w:tblPr>
        <w:tblStyle w:val="57"/>
        <w:tblW w:w="7716" w:type="dxa"/>
        <w:tblInd w:w="0" w:type="dxa"/>
        <w:tblLayout w:type="fixed"/>
        <w:tblCellMar>
          <w:top w:w="0" w:type="dxa"/>
          <w:left w:w="0" w:type="dxa"/>
          <w:bottom w:w="0" w:type="dxa"/>
          <w:right w:w="0" w:type="dxa"/>
        </w:tblCellMar>
      </w:tblPr>
      <w:tblGrid>
        <w:gridCol w:w="891"/>
        <w:gridCol w:w="945"/>
        <w:gridCol w:w="3135"/>
        <w:gridCol w:w="2745"/>
      </w:tblGrid>
      <w:tr>
        <w:tblPrEx>
          <w:tblCellMar>
            <w:top w:w="0" w:type="dxa"/>
            <w:left w:w="0" w:type="dxa"/>
            <w:bottom w:w="0" w:type="dxa"/>
            <w:right w:w="0" w:type="dxa"/>
          </w:tblCellMar>
        </w:tblPrEx>
        <w:trPr>
          <w:trHeight w:val="520" w:hRule="atLeast"/>
        </w:trPr>
        <w:tc>
          <w:tcPr>
            <w:tcW w:w="8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仿宋_GB2312" w:hAnsi="宋体" w:eastAsia="仿宋_GB2312" w:cs="仿宋_GB2312"/>
                <w:b/>
                <w:color w:val="auto"/>
                <w:sz w:val="24"/>
                <w:highlight w:val="none"/>
              </w:rPr>
            </w:pPr>
            <w:r>
              <w:rPr>
                <w:rFonts w:ascii="仿宋_GB2312" w:hAnsi="宋体" w:eastAsia="仿宋_GB2312" w:cs="仿宋_GB2312"/>
                <w:b/>
                <w:color w:val="auto"/>
                <w:kern w:val="0"/>
                <w:sz w:val="24"/>
                <w:highlight w:val="none"/>
              </w:rPr>
              <w:t>类别</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仿宋_GB2312" w:hAnsi="宋体" w:eastAsia="仿宋_GB2312" w:cs="仿宋_GB2312"/>
                <w:b/>
                <w:color w:val="auto"/>
                <w:sz w:val="24"/>
                <w:highlight w:val="none"/>
              </w:rPr>
            </w:pPr>
            <w:r>
              <w:rPr>
                <w:rFonts w:ascii="仿宋_GB2312" w:hAnsi="宋体" w:eastAsia="仿宋_GB2312" w:cs="仿宋_GB2312"/>
                <w:b/>
                <w:color w:val="auto"/>
                <w:kern w:val="0"/>
                <w:sz w:val="24"/>
                <w:highlight w:val="none"/>
              </w:rPr>
              <w:t>序号</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仿宋_GB2312" w:hAnsi="宋体" w:eastAsia="仿宋_GB2312" w:cs="仿宋_GB2312"/>
                <w:b/>
                <w:color w:val="auto"/>
                <w:sz w:val="24"/>
                <w:highlight w:val="none"/>
              </w:rPr>
            </w:pPr>
            <w:r>
              <w:rPr>
                <w:rFonts w:ascii="仿宋_GB2312" w:hAnsi="宋体" w:eastAsia="仿宋_GB2312" w:cs="仿宋_GB2312"/>
                <w:b/>
                <w:color w:val="auto"/>
                <w:kern w:val="0"/>
                <w:sz w:val="24"/>
                <w:highlight w:val="none"/>
              </w:rPr>
              <w:t>道路（区块）名称</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auto"/>
                <w:sz w:val="24"/>
                <w:highlight w:val="none"/>
              </w:rPr>
            </w:pPr>
            <w:r>
              <w:rPr>
                <w:rFonts w:ascii="仿宋_GB2312" w:hAnsi="宋体" w:eastAsia="仿宋_GB2312" w:cs="仿宋_GB2312"/>
                <w:b/>
                <w:color w:val="auto"/>
                <w:kern w:val="0"/>
                <w:sz w:val="24"/>
                <w:highlight w:val="none"/>
              </w:rPr>
              <w:t>面积</w:t>
            </w:r>
            <w:r>
              <w:rPr>
                <w:rStyle w:val="993"/>
                <w:rFonts w:hAnsi="宋体"/>
                <w:color w:val="auto"/>
                <w:highlight w:val="none"/>
              </w:rPr>
              <w:t>（</w:t>
            </w:r>
            <w:r>
              <w:rPr>
                <w:rFonts w:hint="eastAsia" w:ascii="宋体" w:hAnsi="宋体" w:cs="宋体"/>
                <w:b/>
                <w:color w:val="auto"/>
                <w:kern w:val="0"/>
                <w:sz w:val="24"/>
                <w:highlight w:val="none"/>
              </w:rPr>
              <w:t>㎡</w:t>
            </w:r>
            <w:r>
              <w:rPr>
                <w:rStyle w:val="993"/>
                <w:rFonts w:hAnsi="宋体"/>
                <w:color w:val="auto"/>
                <w:highlight w:val="none"/>
              </w:rPr>
              <w:t>）</w:t>
            </w:r>
          </w:p>
        </w:tc>
      </w:tr>
      <w:tr>
        <w:tblPrEx>
          <w:tblCellMar>
            <w:top w:w="0" w:type="dxa"/>
            <w:left w:w="0" w:type="dxa"/>
            <w:bottom w:w="0" w:type="dxa"/>
            <w:right w:w="0" w:type="dxa"/>
          </w:tblCellMar>
        </w:tblPrEx>
        <w:trPr>
          <w:trHeight w:val="665" w:hRule="atLeast"/>
        </w:trPr>
        <w:tc>
          <w:tcPr>
            <w:tcW w:w="891"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一类</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top"/>
              <w:rPr>
                <w:rFonts w:ascii="黑体" w:hAnsi="宋体" w:eastAsia="黑体" w:cs="黑体"/>
                <w:color w:val="auto"/>
                <w:kern w:val="0"/>
                <w:sz w:val="18"/>
                <w:szCs w:val="18"/>
                <w:highlight w:val="none"/>
              </w:rPr>
            </w:pPr>
            <w:r>
              <w:rPr>
                <w:rFonts w:hint="eastAsia" w:ascii="黑体" w:hAnsi="宋体" w:eastAsia="黑体" w:cs="黑体"/>
                <w:color w:val="auto"/>
                <w:kern w:val="0"/>
                <w:sz w:val="18"/>
                <w:szCs w:val="18"/>
                <w:highlight w:val="none"/>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双塔路</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98445.28</w:t>
            </w:r>
          </w:p>
        </w:tc>
      </w:tr>
      <w:tr>
        <w:tblPrEx>
          <w:tblCellMar>
            <w:top w:w="0" w:type="dxa"/>
            <w:left w:w="0" w:type="dxa"/>
            <w:bottom w:w="0" w:type="dxa"/>
            <w:right w:w="0" w:type="dxa"/>
          </w:tblCellMar>
        </w:tblPrEx>
        <w:trPr>
          <w:trHeight w:val="46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top"/>
              <w:rPr>
                <w:rFonts w:ascii="黑体" w:hAnsi="宋体" w:eastAsia="黑体" w:cs="黑体"/>
                <w:color w:val="auto"/>
                <w:kern w:val="0"/>
                <w:sz w:val="18"/>
                <w:szCs w:val="18"/>
                <w:highlight w:val="none"/>
              </w:rPr>
            </w:pPr>
            <w:r>
              <w:rPr>
                <w:rFonts w:hint="eastAsia" w:ascii="黑体" w:hAnsi="宋体" w:eastAsia="黑体" w:cs="黑体"/>
                <w:color w:val="auto"/>
                <w:kern w:val="0"/>
                <w:sz w:val="18"/>
                <w:szCs w:val="18"/>
                <w:highlight w:val="none"/>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阳光大道</w:t>
            </w:r>
          </w:p>
        </w:tc>
        <w:tc>
          <w:tcPr>
            <w:tcW w:w="27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255892.67</w:t>
            </w:r>
          </w:p>
        </w:tc>
      </w:tr>
      <w:tr>
        <w:tblPrEx>
          <w:tblCellMar>
            <w:top w:w="0" w:type="dxa"/>
            <w:left w:w="0" w:type="dxa"/>
            <w:bottom w:w="0" w:type="dxa"/>
            <w:right w:w="0" w:type="dxa"/>
          </w:tblCellMar>
        </w:tblPrEx>
        <w:trPr>
          <w:trHeight w:val="300" w:hRule="atLeast"/>
        </w:trPr>
        <w:tc>
          <w:tcPr>
            <w:tcW w:w="891" w:type="dxa"/>
            <w:vMerge w:val="continue"/>
            <w:tcBorders>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68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黑体" w:hAnsi="宋体" w:eastAsia="黑体" w:cs="黑体"/>
                <w:color w:val="auto"/>
                <w:sz w:val="18"/>
                <w:szCs w:val="18"/>
                <w:highlight w:val="none"/>
              </w:rPr>
            </w:pPr>
            <w:r>
              <w:rPr>
                <w:rFonts w:hint="eastAsia" w:ascii="黑体" w:hAnsi="宋体" w:eastAsia="黑体" w:cs="黑体"/>
                <w:b/>
                <w:bCs/>
                <w:color w:val="auto"/>
                <w:sz w:val="18"/>
                <w:szCs w:val="18"/>
                <w:highlight w:val="none"/>
              </w:rPr>
              <w:t>一类道路保洁面积：354337.95</w:t>
            </w:r>
          </w:p>
        </w:tc>
      </w:tr>
      <w:tr>
        <w:tblPrEx>
          <w:tblCellMar>
            <w:top w:w="0" w:type="dxa"/>
            <w:left w:w="0" w:type="dxa"/>
            <w:bottom w:w="0" w:type="dxa"/>
            <w:right w:w="0" w:type="dxa"/>
          </w:tblCellMar>
        </w:tblPrEx>
        <w:trPr>
          <w:trHeight w:val="465"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二类</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rPr>
              <w:t>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林垟南路</w:t>
            </w:r>
          </w:p>
        </w:tc>
        <w:tc>
          <w:tcPr>
            <w:tcW w:w="2745" w:type="dxa"/>
            <w:tcBorders>
              <w:top w:val="single" w:color="000000" w:sz="4" w:space="0"/>
              <w:left w:val="nil"/>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9192.50</w:t>
            </w:r>
          </w:p>
        </w:tc>
      </w:tr>
      <w:tr>
        <w:tblPrEx>
          <w:tblCellMar>
            <w:top w:w="0" w:type="dxa"/>
            <w:left w:w="0" w:type="dxa"/>
            <w:bottom w:w="0" w:type="dxa"/>
            <w:right w:w="0" w:type="dxa"/>
          </w:tblCellMar>
        </w:tblPrEx>
        <w:trPr>
          <w:trHeight w:val="458"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rPr>
              <w:t>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黑体" w:hAnsi="宋体" w:eastAsia="黑体" w:cs="黑体"/>
                <w:color w:val="auto"/>
                <w:sz w:val="18"/>
                <w:szCs w:val="18"/>
                <w:highlight w:val="none"/>
              </w:rPr>
            </w:pPr>
            <w:r>
              <w:rPr>
                <w:rFonts w:hint="eastAsia" w:ascii="宋体" w:hAnsi="宋体" w:cs="宋体"/>
                <w:color w:val="auto"/>
                <w:kern w:val="0"/>
                <w:sz w:val="22"/>
                <w:szCs w:val="22"/>
                <w:highlight w:val="none"/>
              </w:rPr>
              <w:t>瓯北大道</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14803.57</w:t>
            </w:r>
          </w:p>
        </w:tc>
      </w:tr>
      <w:tr>
        <w:tblPrEx>
          <w:tblCellMar>
            <w:top w:w="0" w:type="dxa"/>
            <w:left w:w="0" w:type="dxa"/>
            <w:bottom w:w="0" w:type="dxa"/>
            <w:right w:w="0" w:type="dxa"/>
          </w:tblCellMar>
        </w:tblPrEx>
        <w:trPr>
          <w:trHeight w:val="332"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kern w:val="0"/>
                <w:sz w:val="18"/>
                <w:szCs w:val="18"/>
                <w:highlight w:val="none"/>
              </w:rPr>
              <w:t>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黑体" w:hAnsi="宋体" w:eastAsia="黑体" w:cs="黑体"/>
                <w:color w:val="auto"/>
                <w:sz w:val="18"/>
                <w:szCs w:val="18"/>
                <w:highlight w:val="none"/>
              </w:rPr>
            </w:pPr>
            <w:r>
              <w:rPr>
                <w:rFonts w:hint="eastAsia" w:ascii="宋体" w:hAnsi="宋体" w:cs="宋体"/>
                <w:color w:val="auto"/>
                <w:kern w:val="0"/>
                <w:sz w:val="22"/>
                <w:szCs w:val="22"/>
                <w:highlight w:val="none"/>
              </w:rPr>
              <w:t>商业街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6573.67</w:t>
            </w:r>
          </w:p>
        </w:tc>
      </w:tr>
      <w:tr>
        <w:tblPrEx>
          <w:tblCellMar>
            <w:top w:w="0" w:type="dxa"/>
            <w:left w:w="0" w:type="dxa"/>
            <w:bottom w:w="0" w:type="dxa"/>
            <w:right w:w="0" w:type="dxa"/>
          </w:tblCellMar>
        </w:tblPrEx>
        <w:trPr>
          <w:trHeight w:val="4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kern w:val="0"/>
                <w:sz w:val="18"/>
                <w:szCs w:val="18"/>
                <w:highlight w:val="none"/>
              </w:rPr>
            </w:pPr>
            <w:r>
              <w:rPr>
                <w:rFonts w:hint="eastAsia" w:ascii="黑体" w:hAnsi="宋体" w:eastAsia="黑体" w:cs="黑体"/>
                <w:color w:val="auto"/>
                <w:kern w:val="0"/>
                <w:sz w:val="18"/>
                <w:szCs w:val="18"/>
                <w:highlight w:val="none"/>
              </w:rPr>
              <w:t>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黑体" w:hAnsi="宋体" w:eastAsia="黑体" w:cs="黑体"/>
                <w:color w:val="auto"/>
                <w:kern w:val="0"/>
                <w:sz w:val="18"/>
                <w:szCs w:val="18"/>
                <w:highlight w:val="none"/>
              </w:rPr>
            </w:pPr>
            <w:r>
              <w:rPr>
                <w:rFonts w:hint="eastAsia" w:ascii="宋体" w:hAnsi="宋体" w:cs="宋体"/>
                <w:color w:val="auto"/>
                <w:kern w:val="0"/>
                <w:sz w:val="22"/>
                <w:szCs w:val="22"/>
                <w:highlight w:val="none"/>
              </w:rPr>
              <w:t>五星路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kern w:val="0"/>
                <w:sz w:val="18"/>
                <w:szCs w:val="18"/>
                <w:highlight w:val="none"/>
              </w:rPr>
            </w:pPr>
            <w:r>
              <w:rPr>
                <w:rFonts w:hint="eastAsia" w:ascii="宋体" w:hAnsi="宋体" w:cs="宋体"/>
                <w:color w:val="auto"/>
                <w:kern w:val="0"/>
                <w:sz w:val="22"/>
                <w:szCs w:val="22"/>
                <w:highlight w:val="none"/>
              </w:rPr>
              <w:t>95192.98</w:t>
            </w:r>
          </w:p>
        </w:tc>
      </w:tr>
      <w:tr>
        <w:tblPrEx>
          <w:tblCellMar>
            <w:top w:w="0" w:type="dxa"/>
            <w:left w:w="0" w:type="dxa"/>
            <w:bottom w:w="0" w:type="dxa"/>
            <w:right w:w="0" w:type="dxa"/>
          </w:tblCellMar>
        </w:tblPrEx>
        <w:trPr>
          <w:trHeight w:val="4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kern w:val="0"/>
                <w:sz w:val="18"/>
                <w:szCs w:val="18"/>
                <w:highlight w:val="none"/>
              </w:rPr>
            </w:pPr>
            <w:r>
              <w:rPr>
                <w:rFonts w:hint="eastAsia" w:ascii="黑体" w:hAnsi="宋体" w:eastAsia="黑体" w:cs="黑体"/>
                <w:color w:val="auto"/>
                <w:kern w:val="0"/>
                <w:sz w:val="18"/>
                <w:szCs w:val="18"/>
                <w:highlight w:val="none"/>
              </w:rPr>
              <w:t>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黑体" w:hAnsi="宋体" w:eastAsia="黑体" w:cs="黑体"/>
                <w:color w:val="auto"/>
                <w:kern w:val="0"/>
                <w:sz w:val="18"/>
                <w:szCs w:val="18"/>
                <w:highlight w:val="none"/>
              </w:rPr>
            </w:pPr>
            <w:r>
              <w:rPr>
                <w:rFonts w:hint="eastAsia" w:ascii="宋体" w:hAnsi="宋体" w:cs="宋体"/>
                <w:color w:val="auto"/>
                <w:kern w:val="0"/>
                <w:sz w:val="22"/>
                <w:szCs w:val="22"/>
                <w:highlight w:val="none"/>
              </w:rPr>
              <w:t>园区大道</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kern w:val="0"/>
                <w:sz w:val="18"/>
                <w:szCs w:val="18"/>
                <w:highlight w:val="none"/>
              </w:rPr>
            </w:pPr>
            <w:r>
              <w:rPr>
                <w:rFonts w:hint="eastAsia" w:ascii="宋体" w:hAnsi="宋体" w:cs="宋体"/>
                <w:color w:val="auto"/>
                <w:kern w:val="0"/>
                <w:sz w:val="22"/>
                <w:szCs w:val="22"/>
                <w:highlight w:val="none"/>
              </w:rPr>
              <w:t>32307.15</w:t>
            </w:r>
          </w:p>
        </w:tc>
      </w:tr>
      <w:tr>
        <w:tblPrEx>
          <w:tblCellMar>
            <w:top w:w="0" w:type="dxa"/>
            <w:left w:w="0" w:type="dxa"/>
            <w:bottom w:w="0" w:type="dxa"/>
            <w:right w:w="0" w:type="dxa"/>
          </w:tblCellMar>
        </w:tblPrEx>
        <w:trPr>
          <w:trHeight w:val="45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黑体" w:hAnsi="宋体" w:eastAsia="黑体" w:cs="黑体"/>
                <w:color w:val="auto"/>
                <w:sz w:val="18"/>
                <w:szCs w:val="18"/>
                <w:highlight w:val="none"/>
              </w:rPr>
            </w:pPr>
            <w:r>
              <w:rPr>
                <w:rFonts w:hint="eastAsia" w:ascii="宋体" w:hAnsi="宋体" w:cs="宋体"/>
                <w:color w:val="auto"/>
                <w:kern w:val="0"/>
                <w:sz w:val="22"/>
                <w:szCs w:val="22"/>
                <w:highlight w:val="none"/>
              </w:rPr>
              <w:t>张堡东路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65098.62</w:t>
            </w:r>
          </w:p>
        </w:tc>
      </w:tr>
      <w:tr>
        <w:tblPrEx>
          <w:tblCellMar>
            <w:top w:w="0" w:type="dxa"/>
            <w:left w:w="0" w:type="dxa"/>
            <w:bottom w:w="0" w:type="dxa"/>
            <w:right w:w="0" w:type="dxa"/>
          </w:tblCellMar>
        </w:tblPrEx>
        <w:trPr>
          <w:trHeight w:val="285"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68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Fonts w:ascii="仿宋_GB2312" w:hAnsi="宋体" w:eastAsia="仿宋_GB2312" w:cs="仿宋_GB2312"/>
                <w:b/>
                <w:color w:val="auto"/>
                <w:sz w:val="18"/>
                <w:szCs w:val="18"/>
                <w:highlight w:val="none"/>
              </w:rPr>
            </w:pPr>
            <w:r>
              <w:rPr>
                <w:rFonts w:hint="eastAsia" w:ascii="黑体" w:hAnsi="宋体" w:eastAsia="黑体" w:cs="黑体"/>
                <w:b/>
                <w:bCs/>
                <w:color w:val="auto"/>
                <w:sz w:val="18"/>
                <w:szCs w:val="18"/>
                <w:highlight w:val="none"/>
              </w:rPr>
              <w:t>二类道路保洁面积：223168.49</w:t>
            </w:r>
            <w:r>
              <w:rPr>
                <w:rFonts w:ascii="黑体" w:hAnsi="宋体" w:eastAsia="黑体" w:cs="黑体"/>
                <w:b/>
                <w:bCs/>
                <w:color w:val="auto"/>
                <w:sz w:val="18"/>
                <w:szCs w:val="18"/>
                <w:highlight w:val="none"/>
              </w:rPr>
              <w:t>㎡</w:t>
            </w:r>
          </w:p>
        </w:tc>
      </w:tr>
      <w:tr>
        <w:tblPrEx>
          <w:tblCellMar>
            <w:top w:w="0" w:type="dxa"/>
            <w:left w:w="0" w:type="dxa"/>
            <w:bottom w:w="0" w:type="dxa"/>
            <w:right w:w="0" w:type="dxa"/>
          </w:tblCellMar>
        </w:tblPrEx>
        <w:trPr>
          <w:trHeight w:val="450" w:hRule="atLeast"/>
        </w:trPr>
        <w:tc>
          <w:tcPr>
            <w:tcW w:w="891" w:type="dxa"/>
            <w:vMerge w:val="restart"/>
            <w:tcBorders>
              <w:top w:val="nil"/>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三类</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ascii="黑体" w:hAnsi="宋体" w:eastAsia="黑体" w:cs="黑体"/>
                <w:color w:val="auto"/>
                <w:sz w:val="18"/>
                <w:szCs w:val="18"/>
                <w:highlight w:val="none"/>
              </w:rPr>
              <w:t>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百强阀门西（五星三路-轻纺路）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4020.84</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ascii="黑体" w:hAnsi="宋体" w:eastAsia="黑体" w:cs="黑体"/>
                <w:color w:val="auto"/>
                <w:sz w:val="18"/>
                <w:szCs w:val="18"/>
                <w:highlight w:val="none"/>
              </w:rPr>
              <w:t>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堡二活动场</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936.53</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ascii="黑体" w:hAnsi="宋体" w:eastAsia="黑体" w:cs="黑体"/>
                <w:color w:val="auto"/>
                <w:sz w:val="18"/>
                <w:szCs w:val="18"/>
                <w:highlight w:val="none"/>
              </w:rPr>
              <w:t>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堡二社区街巷</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19743.50</w:t>
            </w:r>
          </w:p>
        </w:tc>
      </w:tr>
      <w:tr>
        <w:tblPrEx>
          <w:tblCellMar>
            <w:top w:w="0" w:type="dxa"/>
            <w:left w:w="0" w:type="dxa"/>
            <w:bottom w:w="0" w:type="dxa"/>
            <w:right w:w="0" w:type="dxa"/>
          </w:tblCellMar>
        </w:tblPrEx>
        <w:trPr>
          <w:trHeight w:val="38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ascii="黑体" w:hAnsi="宋体" w:eastAsia="黑体" w:cs="黑体"/>
                <w:color w:val="auto"/>
                <w:sz w:val="18"/>
                <w:szCs w:val="18"/>
                <w:highlight w:val="none"/>
              </w:rPr>
              <w:t>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堡二中心大街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9235.11</w:t>
            </w:r>
          </w:p>
        </w:tc>
      </w:tr>
      <w:tr>
        <w:tblPrEx>
          <w:tblCellMar>
            <w:top w:w="0" w:type="dxa"/>
            <w:left w:w="0" w:type="dxa"/>
            <w:bottom w:w="0" w:type="dxa"/>
            <w:right w:w="0" w:type="dxa"/>
          </w:tblCellMar>
        </w:tblPrEx>
        <w:trPr>
          <w:trHeight w:val="473"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堡盛路</w:t>
            </w:r>
          </w:p>
        </w:tc>
        <w:tc>
          <w:tcPr>
            <w:tcW w:w="2745" w:type="dxa"/>
            <w:tcBorders>
              <w:top w:val="single" w:color="000000" w:sz="4" w:space="0"/>
              <w:left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1719.98</w:t>
            </w:r>
          </w:p>
        </w:tc>
      </w:tr>
      <w:tr>
        <w:tblPrEx>
          <w:tblCellMar>
            <w:top w:w="0" w:type="dxa"/>
            <w:left w:w="0" w:type="dxa"/>
            <w:bottom w:w="0" w:type="dxa"/>
            <w:right w:w="0" w:type="dxa"/>
          </w:tblCellMar>
        </w:tblPrEx>
        <w:trPr>
          <w:trHeight w:val="451"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堡一广场周边</w:t>
            </w:r>
          </w:p>
        </w:tc>
        <w:tc>
          <w:tcPr>
            <w:tcW w:w="2745" w:type="dxa"/>
            <w:tcBorders>
              <w:top w:val="single" w:color="000000" w:sz="4" w:space="0"/>
              <w:left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9666.06</w:t>
            </w:r>
          </w:p>
        </w:tc>
      </w:tr>
      <w:tr>
        <w:tblPrEx>
          <w:tblCellMar>
            <w:top w:w="0" w:type="dxa"/>
            <w:left w:w="0" w:type="dxa"/>
            <w:bottom w:w="0" w:type="dxa"/>
            <w:right w:w="0" w:type="dxa"/>
          </w:tblCellMar>
        </w:tblPrEx>
        <w:trPr>
          <w:trHeight w:val="554"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堡一景园北(张堡工业街-)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2814.33</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堡一社区</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34099.70</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堡一中心街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1676.04</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滨水公园堤坝外</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9296.06</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东瓯美食广场西</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2010.97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东瓯商业街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4360.05</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工业路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9003.43</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杭深铁路下</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6734.96</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河北东路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1293.02</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河北西路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3528.30</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河滨东路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2849.05</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河滨西路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8212.87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19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河田湖滨路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6591.67</w:t>
            </w:r>
          </w:p>
        </w:tc>
      </w:tr>
      <w:tr>
        <w:tblPrEx>
          <w:tblCellMar>
            <w:top w:w="0" w:type="dxa"/>
            <w:left w:w="0" w:type="dxa"/>
            <w:bottom w:w="0" w:type="dxa"/>
            <w:right w:w="0" w:type="dxa"/>
          </w:tblCellMar>
        </w:tblPrEx>
        <w:trPr>
          <w:trHeight w:val="573"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河田商业街</w:t>
            </w:r>
          </w:p>
        </w:tc>
        <w:tc>
          <w:tcPr>
            <w:tcW w:w="2745" w:type="dxa"/>
            <w:tcBorders>
              <w:top w:val="single" w:color="000000" w:sz="4" w:space="0"/>
              <w:left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2697.87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河田社区街巷</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35126.71</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河田西路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18469.99</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仿宋_GB2312" w:hAnsi="宋体" w:eastAsia="仿宋_GB2312" w:cs="仿宋_GB2312"/>
                <w:b/>
                <w:color w:val="auto"/>
                <w:sz w:val="18"/>
                <w:szCs w:val="18"/>
                <w:highlight w:val="none"/>
              </w:rPr>
            </w:pPr>
            <w:r>
              <w:rPr>
                <w:rFonts w:hint="eastAsia" w:ascii="宋体" w:hAnsi="宋体" w:cs="宋体"/>
                <w:color w:val="auto"/>
                <w:kern w:val="0"/>
                <w:sz w:val="22"/>
                <w:szCs w:val="22"/>
                <w:highlight w:val="none"/>
              </w:rPr>
              <w:t>河田小区旁</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2016.70</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河田月湖路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8973.71</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河田中心路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8686.34</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河西路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16353.88</w:t>
            </w:r>
          </w:p>
        </w:tc>
      </w:tr>
      <w:tr>
        <w:tblPrEx>
          <w:tblCellMar>
            <w:top w:w="0" w:type="dxa"/>
            <w:left w:w="0" w:type="dxa"/>
            <w:bottom w:w="0" w:type="dxa"/>
            <w:right w:w="0" w:type="dxa"/>
          </w:tblCellMar>
        </w:tblPrEx>
        <w:trPr>
          <w:trHeight w:val="9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恒通路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12363.34</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红蜻蜓西侧(双塔路-金贸大街)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1334.88</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29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环球阀门片道路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13986.37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建设路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6291.21</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礁华路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2071.64</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金贸大街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20413.41</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金贸景园</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1645.34</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京东路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7058.22</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林二路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4145.13</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林浦北路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8703.35</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林浦路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11700.91</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林三路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2706.05</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39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林五路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12217.54</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林下路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11527.89</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林垟社区</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19003.54</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林一路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25313.79</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罗浦礁和南（张堡东路-园区大道）</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13508.96</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瓯北大道北街巷</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5752.83</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前河东路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1107.88</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前河西路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2125.96</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轻纺路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18347.27</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上玉集团（河滨东路-恒通路）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1568.12</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49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望道路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2770.01</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文化路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1474.11</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五星东路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4896.45</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五星活动场所</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414.30</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五星金谷苑</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2214.29</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五星路-阳光大道</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3502.31</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五星三路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3912.77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五星社区街巷</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40507.50</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五星西路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3486.68</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五星小区</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2524.94</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59</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系统流程装备科学研究院空地</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2193.96</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60</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新华路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3161.47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61</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新亚路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2656.27</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62</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裕泰东(轻纺路-裕泰)</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7369.45</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63</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张堡工业街</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18817.73</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64</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张堡浦南两侧道路</w:t>
            </w:r>
          </w:p>
        </w:tc>
        <w:tc>
          <w:tcPr>
            <w:tcW w:w="2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9428.53</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65</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张堡西路</w:t>
            </w:r>
          </w:p>
        </w:tc>
        <w:tc>
          <w:tcPr>
            <w:tcW w:w="2745" w:type="dxa"/>
            <w:tcBorders>
              <w:top w:val="single" w:color="000000" w:sz="4" w:space="0"/>
              <w:left w:val="single" w:color="000000" w:sz="4" w:space="0"/>
              <w:bottom w:val="nil"/>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21186.09</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66</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振兴东路</w:t>
            </w:r>
          </w:p>
        </w:tc>
        <w:tc>
          <w:tcPr>
            <w:tcW w:w="2745" w:type="dxa"/>
            <w:tcBorders>
              <w:top w:val="single" w:color="000000" w:sz="4" w:space="0"/>
              <w:left w:val="single" w:color="000000" w:sz="4" w:space="0"/>
              <w:bottom w:val="nil"/>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4677.83</w:t>
            </w:r>
          </w:p>
        </w:tc>
      </w:tr>
      <w:tr>
        <w:tblPrEx>
          <w:tblCellMar>
            <w:top w:w="0" w:type="dxa"/>
            <w:left w:w="0" w:type="dxa"/>
            <w:bottom w:w="0" w:type="dxa"/>
            <w:right w:w="0" w:type="dxa"/>
          </w:tblCellMar>
        </w:tblPrEx>
        <w:trPr>
          <w:trHeight w:val="285"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67</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中河东路</w:t>
            </w:r>
          </w:p>
        </w:tc>
        <w:tc>
          <w:tcPr>
            <w:tcW w:w="27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3447.87</w:t>
            </w:r>
          </w:p>
        </w:tc>
      </w:tr>
      <w:tr>
        <w:tblPrEx>
          <w:tblCellMar>
            <w:top w:w="0" w:type="dxa"/>
            <w:left w:w="0" w:type="dxa"/>
            <w:bottom w:w="0" w:type="dxa"/>
            <w:right w:w="0" w:type="dxa"/>
          </w:tblCellMar>
        </w:tblPrEx>
        <w:trPr>
          <w:trHeight w:val="450" w:hRule="atLeast"/>
        </w:trPr>
        <w:tc>
          <w:tcPr>
            <w:tcW w:w="891"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auto"/>
                <w:sz w:val="18"/>
                <w:szCs w:val="18"/>
                <w:highlight w:val="none"/>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ascii="黑体" w:hAnsi="宋体" w:eastAsia="黑体" w:cs="黑体"/>
                <w:color w:val="auto"/>
                <w:sz w:val="18"/>
                <w:szCs w:val="18"/>
                <w:highlight w:val="none"/>
              </w:rPr>
            </w:pPr>
            <w:r>
              <w:rPr>
                <w:rFonts w:hint="eastAsia" w:ascii="黑体" w:hAnsi="宋体" w:eastAsia="黑体" w:cs="黑体"/>
                <w:color w:val="auto"/>
                <w:sz w:val="18"/>
                <w:szCs w:val="18"/>
                <w:highlight w:val="none"/>
              </w:rPr>
              <w:t>68</w:t>
            </w:r>
          </w:p>
        </w:tc>
        <w:tc>
          <w:tcPr>
            <w:tcW w:w="3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中河西路</w:t>
            </w:r>
          </w:p>
        </w:tc>
        <w:tc>
          <w:tcPr>
            <w:tcW w:w="2745"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1408.58</w:t>
            </w:r>
          </w:p>
        </w:tc>
      </w:tr>
      <w:tr>
        <w:tblPrEx>
          <w:tblCellMar>
            <w:top w:w="0" w:type="dxa"/>
            <w:left w:w="0" w:type="dxa"/>
            <w:bottom w:w="0" w:type="dxa"/>
            <w:right w:w="0" w:type="dxa"/>
          </w:tblCellMar>
        </w:tblPrEx>
        <w:trPr>
          <w:trHeight w:val="574" w:hRule="atLeast"/>
        </w:trPr>
        <w:tc>
          <w:tcPr>
            <w:tcW w:w="891" w:type="dxa"/>
            <w:vMerge w:val="continue"/>
            <w:tcBorders>
              <w:left w:val="single" w:color="000000" w:sz="4" w:space="0"/>
              <w:bottom w:val="nil"/>
              <w:right w:val="single" w:color="000000" w:sz="4" w:space="0"/>
            </w:tcBorders>
            <w:noWrap/>
            <w:tcMar>
              <w:top w:w="15" w:type="dxa"/>
              <w:left w:w="15" w:type="dxa"/>
              <w:right w:w="15" w:type="dxa"/>
            </w:tcMar>
            <w:vAlign w:val="center"/>
          </w:tcPr>
          <w:p>
            <w:pPr>
              <w:rPr>
                <w:rFonts w:ascii="宋体" w:hAnsi="宋体" w:cs="宋体"/>
                <w:color w:val="auto"/>
                <w:sz w:val="24"/>
                <w:highlight w:val="none"/>
              </w:rPr>
            </w:pPr>
          </w:p>
        </w:tc>
        <w:tc>
          <w:tcPr>
            <w:tcW w:w="6825" w:type="dxa"/>
            <w:gridSpan w:val="3"/>
            <w:tcBorders>
              <w:left w:val="single" w:color="auto" w:sz="4" w:space="0"/>
              <w:bottom w:val="nil"/>
              <w:right w:val="single" w:color="auto"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黑体" w:hAnsi="宋体" w:eastAsia="黑体" w:cs="黑体"/>
                <w:b/>
                <w:bCs/>
                <w:color w:val="auto"/>
                <w:sz w:val="18"/>
                <w:szCs w:val="18"/>
                <w:highlight w:val="none"/>
              </w:rPr>
              <w:t>三类道路保洁面积：573062.44</w:t>
            </w:r>
            <w:r>
              <w:rPr>
                <w:rFonts w:ascii="黑体" w:hAnsi="宋体" w:eastAsia="黑体" w:cs="黑体"/>
                <w:b/>
                <w:bCs/>
                <w:color w:val="auto"/>
                <w:sz w:val="18"/>
                <w:szCs w:val="18"/>
                <w:highlight w:val="none"/>
              </w:rPr>
              <w:t>㎡</w:t>
            </w:r>
          </w:p>
        </w:tc>
      </w:tr>
      <w:tr>
        <w:tblPrEx>
          <w:tblCellMar>
            <w:top w:w="0" w:type="dxa"/>
            <w:left w:w="0" w:type="dxa"/>
            <w:bottom w:w="0" w:type="dxa"/>
            <w:right w:w="0" w:type="dxa"/>
          </w:tblCellMar>
        </w:tblPrEx>
        <w:trPr>
          <w:trHeight w:val="285" w:hRule="atLeast"/>
        </w:trPr>
        <w:tc>
          <w:tcPr>
            <w:tcW w:w="7716"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道路保洁总面积：1150568.88</w:t>
            </w:r>
            <w:r>
              <w:rPr>
                <w:rFonts w:ascii="宋体" w:hAnsi="宋体" w:cs="宋体"/>
                <w:b/>
                <w:bCs/>
                <w:color w:val="auto"/>
                <w:kern w:val="0"/>
                <w:sz w:val="24"/>
                <w:highlight w:val="none"/>
              </w:rPr>
              <w:t>㎡</w:t>
            </w:r>
          </w:p>
        </w:tc>
      </w:tr>
    </w:tbl>
    <w:p>
      <w:pPr>
        <w:jc w:val="center"/>
        <w:rPr>
          <w:rFonts w:ascii="仿宋_GB2312" w:eastAsia="仿宋_GB2312"/>
          <w:b/>
          <w:bCs/>
          <w:color w:val="auto"/>
          <w:sz w:val="32"/>
          <w:szCs w:val="32"/>
          <w:highlight w:val="none"/>
        </w:rPr>
      </w:pPr>
    </w:p>
    <w:p>
      <w:pPr>
        <w:jc w:val="left"/>
        <w:rPr>
          <w:rFonts w:ascii="宋体" w:hAnsi="宋体"/>
          <w:bCs/>
          <w:color w:val="auto"/>
          <w:sz w:val="24"/>
          <w:highlight w:val="none"/>
        </w:rPr>
      </w:pPr>
      <w:r>
        <w:rPr>
          <w:rFonts w:hint="eastAsia" w:ascii="宋体" w:hAnsi="宋体"/>
          <w:bCs/>
          <w:color w:val="auto"/>
          <w:sz w:val="24"/>
          <w:highlight w:val="none"/>
        </w:rPr>
        <w:t>2</w:t>
      </w:r>
      <w:r>
        <w:rPr>
          <w:rFonts w:hint="eastAsia" w:ascii="宋体" w:hAnsi="Calibri"/>
          <w:color w:val="auto"/>
          <w:sz w:val="22"/>
          <w:szCs w:val="22"/>
          <w:highlight w:val="none"/>
        </w:rPr>
        <w:t>.</w:t>
      </w:r>
      <w:r>
        <w:rPr>
          <w:rFonts w:hint="eastAsia" w:ascii="宋体" w:hAnsi="宋体"/>
          <w:bCs/>
          <w:color w:val="auto"/>
          <w:sz w:val="24"/>
          <w:highlight w:val="none"/>
        </w:rPr>
        <w:t>永嘉县瓯北街道东瓯片建成区公园、广场及公共绿地保洁作业清单</w:t>
      </w:r>
    </w:p>
    <w:tbl>
      <w:tblPr>
        <w:tblStyle w:val="57"/>
        <w:tblW w:w="8043" w:type="dxa"/>
        <w:tblInd w:w="0" w:type="dxa"/>
        <w:tblLayout w:type="fixed"/>
        <w:tblCellMar>
          <w:top w:w="0" w:type="dxa"/>
          <w:left w:w="0" w:type="dxa"/>
          <w:bottom w:w="0" w:type="dxa"/>
          <w:right w:w="0" w:type="dxa"/>
        </w:tblCellMar>
      </w:tblPr>
      <w:tblGrid>
        <w:gridCol w:w="1410"/>
        <w:gridCol w:w="3583"/>
        <w:gridCol w:w="3050"/>
      </w:tblGrid>
      <w:tr>
        <w:tblPrEx>
          <w:tblCellMar>
            <w:top w:w="0" w:type="dxa"/>
            <w:left w:w="0" w:type="dxa"/>
            <w:bottom w:w="0" w:type="dxa"/>
            <w:right w:w="0" w:type="dxa"/>
          </w:tblCellMar>
        </w:tblPrEx>
        <w:trPr>
          <w:trHeight w:val="344"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Cs w:val="21"/>
                <w:highlight w:val="none"/>
              </w:rPr>
            </w:pPr>
            <w:r>
              <w:rPr>
                <w:rFonts w:hint="eastAsia" w:ascii="黑体" w:hAnsi="宋体" w:eastAsia="黑体" w:cs="黑体"/>
                <w:color w:val="auto"/>
                <w:kern w:val="0"/>
                <w:szCs w:val="21"/>
                <w:highlight w:val="none"/>
              </w:rPr>
              <w:t>序号</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Cs w:val="21"/>
                <w:highlight w:val="none"/>
              </w:rPr>
            </w:pPr>
            <w:r>
              <w:rPr>
                <w:rFonts w:hint="eastAsia" w:ascii="黑体" w:hAnsi="宋体" w:eastAsia="黑体" w:cs="黑体"/>
                <w:color w:val="auto"/>
                <w:kern w:val="0"/>
                <w:szCs w:val="21"/>
                <w:highlight w:val="none"/>
              </w:rPr>
              <w:t>名  称</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黑体" w:hAnsi="宋体" w:eastAsia="黑体" w:cs="黑体"/>
                <w:color w:val="auto"/>
                <w:szCs w:val="21"/>
                <w:highlight w:val="none"/>
              </w:rPr>
            </w:pPr>
            <w:r>
              <w:rPr>
                <w:rFonts w:hint="eastAsia" w:ascii="宋体" w:hAnsi="宋体" w:cs="宋体"/>
                <w:color w:val="auto"/>
                <w:kern w:val="0"/>
                <w:szCs w:val="21"/>
                <w:highlight w:val="none"/>
              </w:rPr>
              <w:t>面积/㎡</w:t>
            </w:r>
          </w:p>
        </w:tc>
      </w:tr>
      <w:tr>
        <w:tblPrEx>
          <w:tblCellMar>
            <w:top w:w="0" w:type="dxa"/>
            <w:left w:w="0" w:type="dxa"/>
            <w:bottom w:w="0" w:type="dxa"/>
            <w:right w:w="0" w:type="dxa"/>
          </w:tblCellMar>
        </w:tblPrEx>
        <w:trPr>
          <w:trHeight w:val="340"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河田地下人防绿化</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5271.94</w:t>
            </w:r>
          </w:p>
        </w:tc>
      </w:tr>
      <w:tr>
        <w:tblPrEx>
          <w:tblCellMar>
            <w:top w:w="0" w:type="dxa"/>
            <w:left w:w="0" w:type="dxa"/>
            <w:bottom w:w="0" w:type="dxa"/>
            <w:right w:w="0" w:type="dxa"/>
          </w:tblCellMar>
        </w:tblPrEx>
        <w:trPr>
          <w:trHeight w:val="340"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凯泉南面绿化</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3088.83</w:t>
            </w:r>
          </w:p>
        </w:tc>
      </w:tr>
      <w:tr>
        <w:tblPrEx>
          <w:tblCellMar>
            <w:top w:w="0" w:type="dxa"/>
            <w:left w:w="0" w:type="dxa"/>
            <w:bottom w:w="0" w:type="dxa"/>
            <w:right w:w="0" w:type="dxa"/>
          </w:tblCellMar>
        </w:tblPrEx>
        <w:trPr>
          <w:trHeight w:val="340"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园区大道南面绿化</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17417.21</w:t>
            </w:r>
          </w:p>
        </w:tc>
      </w:tr>
      <w:tr>
        <w:tblPrEx>
          <w:tblCellMar>
            <w:top w:w="0" w:type="dxa"/>
            <w:left w:w="0" w:type="dxa"/>
            <w:bottom w:w="0" w:type="dxa"/>
            <w:right w:w="0" w:type="dxa"/>
          </w:tblCellMar>
        </w:tblPrEx>
        <w:trPr>
          <w:trHeight w:val="362"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滨水公园绿化</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170010.27</w:t>
            </w:r>
          </w:p>
        </w:tc>
      </w:tr>
      <w:tr>
        <w:tblPrEx>
          <w:tblCellMar>
            <w:top w:w="0" w:type="dxa"/>
            <w:left w:w="0" w:type="dxa"/>
            <w:bottom w:w="0" w:type="dxa"/>
            <w:right w:w="0" w:type="dxa"/>
          </w:tblCellMar>
        </w:tblPrEx>
        <w:trPr>
          <w:trHeight w:val="340"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大自然柏悦嘉园周边</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4459.43</w:t>
            </w:r>
          </w:p>
        </w:tc>
      </w:tr>
      <w:tr>
        <w:tblPrEx>
          <w:tblCellMar>
            <w:top w:w="0" w:type="dxa"/>
            <w:left w:w="0" w:type="dxa"/>
            <w:bottom w:w="0" w:type="dxa"/>
            <w:right w:w="0" w:type="dxa"/>
          </w:tblCellMar>
        </w:tblPrEx>
        <w:trPr>
          <w:trHeight w:val="340"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3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大自然滨江花园周边</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4937.11</w:t>
            </w:r>
          </w:p>
        </w:tc>
      </w:tr>
      <w:tr>
        <w:tblPrEx>
          <w:tblCellMar>
            <w:top w:w="0" w:type="dxa"/>
            <w:left w:w="0" w:type="dxa"/>
            <w:bottom w:w="0" w:type="dxa"/>
            <w:right w:w="0" w:type="dxa"/>
          </w:tblCellMar>
        </w:tblPrEx>
        <w:trPr>
          <w:trHeight w:val="340" w:hRule="atLeast"/>
        </w:trPr>
        <w:tc>
          <w:tcPr>
            <w:tcW w:w="49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合计</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205184.79</w:t>
            </w:r>
          </w:p>
        </w:tc>
      </w:tr>
    </w:tbl>
    <w:p>
      <w:pPr>
        <w:pStyle w:val="55"/>
        <w:jc w:val="both"/>
        <w:rPr>
          <w:color w:val="auto"/>
          <w:highlight w:val="none"/>
        </w:rPr>
      </w:pPr>
    </w:p>
    <w:p>
      <w:pPr>
        <w:rPr>
          <w:color w:val="auto"/>
          <w:highlight w:val="none"/>
        </w:rPr>
      </w:pPr>
    </w:p>
    <w:p>
      <w:pPr>
        <w:jc w:val="left"/>
        <w:rPr>
          <w:rFonts w:ascii="宋体" w:hAnsi="宋体"/>
          <w:bCs/>
          <w:color w:val="auto"/>
          <w:sz w:val="24"/>
          <w:highlight w:val="none"/>
        </w:rPr>
      </w:pPr>
      <w:r>
        <w:rPr>
          <w:rFonts w:hint="eastAsia" w:ascii="宋体" w:hAnsi="宋体"/>
          <w:bCs/>
          <w:color w:val="auto"/>
          <w:sz w:val="24"/>
          <w:highlight w:val="none"/>
        </w:rPr>
        <w:t>3</w:t>
      </w:r>
      <w:r>
        <w:rPr>
          <w:rFonts w:hint="eastAsia" w:ascii="宋体" w:hAnsi="Calibri"/>
          <w:color w:val="auto"/>
          <w:sz w:val="22"/>
          <w:szCs w:val="22"/>
          <w:highlight w:val="none"/>
        </w:rPr>
        <w:t>.</w:t>
      </w:r>
      <w:r>
        <w:rPr>
          <w:rFonts w:hint="eastAsia" w:ascii="宋体" w:hAnsi="宋体"/>
          <w:bCs/>
          <w:color w:val="auto"/>
          <w:sz w:val="24"/>
          <w:highlight w:val="none"/>
        </w:rPr>
        <w:t>永嘉县瓯北街道东瓯片建成区河道保洁作业清单</w:t>
      </w:r>
    </w:p>
    <w:tbl>
      <w:tblPr>
        <w:tblStyle w:val="58"/>
        <w:tblpPr w:leftFromText="180" w:rightFromText="180" w:vertAnchor="text" w:horzAnchor="page" w:tblpX="1809" w:tblpY="243"/>
        <w:tblOverlap w:val="never"/>
        <w:tblW w:w="8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567"/>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95" w:type="dxa"/>
            <w:noWrap/>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序号</w:t>
            </w:r>
          </w:p>
        </w:tc>
        <w:tc>
          <w:tcPr>
            <w:tcW w:w="3567" w:type="dxa"/>
            <w:noWrap/>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河道名称</w:t>
            </w:r>
          </w:p>
        </w:tc>
        <w:tc>
          <w:tcPr>
            <w:tcW w:w="3050" w:type="dxa"/>
            <w:noWrap/>
            <w:vAlign w:val="center"/>
          </w:tcPr>
          <w:p>
            <w:pPr>
              <w:widowControl/>
              <w:jc w:val="center"/>
              <w:textAlignment w:val="center"/>
              <w:rPr>
                <w:color w:val="auto"/>
                <w:szCs w:val="21"/>
                <w:highlight w:val="none"/>
              </w:rPr>
            </w:pPr>
            <w:r>
              <w:rPr>
                <w:rFonts w:hint="eastAsia" w:ascii="宋体" w:hAnsi="宋体" w:cs="宋体"/>
                <w:color w:val="auto"/>
                <w:kern w:val="0"/>
                <w:szCs w:val="21"/>
                <w:highlight w:val="none"/>
              </w:rPr>
              <w:t>保洁段水域面积（M²）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1</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堡一浦</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7296.39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2</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礁张浦</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2698.57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3</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罗浦礁大河</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21411.04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4</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三闸湖</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9446.81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5</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上河浦</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13919.85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95" w:type="dxa"/>
            <w:noWrap/>
          </w:tcPr>
          <w:p>
            <w:pPr>
              <w:widowControl/>
              <w:jc w:val="center"/>
              <w:textAlignment w:val="center"/>
              <w:rPr>
                <w:color w:val="auto"/>
                <w:szCs w:val="21"/>
                <w:highlight w:val="none"/>
              </w:rPr>
            </w:pPr>
            <w:r>
              <w:rPr>
                <w:rFonts w:hint="eastAsia" w:ascii="宋体" w:hAnsi="宋体" w:cs="宋体"/>
                <w:color w:val="auto"/>
                <w:kern w:val="0"/>
                <w:szCs w:val="21"/>
                <w:highlight w:val="none"/>
              </w:rPr>
              <w:t>6</w:t>
            </w:r>
          </w:p>
        </w:tc>
        <w:tc>
          <w:tcPr>
            <w:tcW w:w="3567" w:type="dxa"/>
            <w:noWrap/>
            <w:vAlign w:val="bottom"/>
          </w:tcPr>
          <w:p>
            <w:pPr>
              <w:widowControl/>
              <w:jc w:val="left"/>
              <w:rPr>
                <w:color w:val="auto"/>
                <w:szCs w:val="21"/>
                <w:highlight w:val="none"/>
              </w:rPr>
            </w:pPr>
            <w:r>
              <w:rPr>
                <w:rFonts w:hint="eastAsia" w:ascii="宋体" w:hAnsi="宋体" w:cs="宋体"/>
                <w:color w:val="auto"/>
                <w:kern w:val="0"/>
                <w:sz w:val="22"/>
                <w:szCs w:val="22"/>
                <w:highlight w:val="none"/>
              </w:rPr>
              <w:t>张堡浦南</w:t>
            </w:r>
          </w:p>
        </w:tc>
        <w:tc>
          <w:tcPr>
            <w:tcW w:w="3050" w:type="dxa"/>
            <w:noWrap/>
            <w:vAlign w:val="bottom"/>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18213.49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062" w:type="dxa"/>
            <w:gridSpan w:val="2"/>
            <w:noWrap/>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3050" w:type="dxa"/>
            <w:noWrap/>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72986.15</w:t>
            </w:r>
          </w:p>
        </w:tc>
      </w:tr>
    </w:tbl>
    <w:p>
      <w:pPr>
        <w:rPr>
          <w:color w:val="auto"/>
          <w:highlight w:val="none"/>
        </w:rPr>
      </w:pPr>
    </w:p>
    <w:p>
      <w:pPr>
        <w:pStyle w:val="776"/>
        <w:rPr>
          <w:color w:val="auto"/>
          <w:highlight w:val="none"/>
        </w:rPr>
      </w:pPr>
    </w:p>
    <w:p>
      <w:pPr>
        <w:jc w:val="left"/>
        <w:rPr>
          <w:rFonts w:ascii="宋体" w:hAnsi="宋体"/>
          <w:bCs/>
          <w:color w:val="auto"/>
          <w:sz w:val="28"/>
          <w:szCs w:val="28"/>
          <w:highlight w:val="none"/>
        </w:rPr>
      </w:pPr>
    </w:p>
    <w:p>
      <w:pPr>
        <w:jc w:val="left"/>
        <w:rPr>
          <w:rFonts w:ascii="宋体" w:hAnsi="宋体"/>
          <w:bCs/>
          <w:color w:val="auto"/>
          <w:sz w:val="28"/>
          <w:szCs w:val="28"/>
          <w:highlight w:val="none"/>
        </w:rPr>
      </w:pPr>
    </w:p>
    <w:p>
      <w:pPr>
        <w:jc w:val="left"/>
        <w:rPr>
          <w:color w:val="auto"/>
          <w:highlight w:val="none"/>
        </w:rPr>
      </w:pPr>
      <w:r>
        <w:rPr>
          <w:rFonts w:hint="eastAsia" w:ascii="宋体" w:hAnsi="宋体"/>
          <w:bCs/>
          <w:color w:val="auto"/>
          <w:sz w:val="24"/>
          <w:highlight w:val="none"/>
        </w:rPr>
        <w:t>4</w:t>
      </w:r>
      <w:r>
        <w:rPr>
          <w:rFonts w:hint="eastAsia" w:ascii="宋体" w:hAnsi="Calibri"/>
          <w:color w:val="auto"/>
          <w:sz w:val="22"/>
          <w:szCs w:val="22"/>
          <w:highlight w:val="none"/>
        </w:rPr>
        <w:t>.</w:t>
      </w:r>
      <w:r>
        <w:rPr>
          <w:rFonts w:hint="eastAsia" w:ascii="宋体" w:hAnsi="宋体"/>
          <w:bCs/>
          <w:color w:val="auto"/>
          <w:sz w:val="24"/>
          <w:highlight w:val="none"/>
        </w:rPr>
        <w:t>永嘉县瓯北街道东瓯片建成区公厕保洁作业清单</w:t>
      </w:r>
    </w:p>
    <w:tbl>
      <w:tblPr>
        <w:tblStyle w:val="57"/>
        <w:tblW w:w="8364" w:type="dxa"/>
        <w:tblInd w:w="93" w:type="dxa"/>
        <w:tblLayout w:type="autofit"/>
        <w:tblCellMar>
          <w:top w:w="0" w:type="dxa"/>
          <w:left w:w="108" w:type="dxa"/>
          <w:bottom w:w="0" w:type="dxa"/>
          <w:right w:w="108" w:type="dxa"/>
        </w:tblCellMar>
      </w:tblPr>
      <w:tblGrid>
        <w:gridCol w:w="696"/>
        <w:gridCol w:w="3804"/>
        <w:gridCol w:w="3864"/>
      </w:tblGrid>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公厕名称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地址</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五星下村公厕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五星东路下村</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五星西路公厕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五星沿江路39号旁</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五星庆丰公厕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五星庆丰路17号</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园区大道公厕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园区大道南段</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阳光大道大自然公厕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阳光大道5305号-5307号</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阳光大道礁下广场公厕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阳光大道7601号-7603号</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阳光大道和一公厕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阳光大道8247</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堡二农贸市场公厕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堡二村河西路</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林垟公厕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林垟路高能隔壁</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河滨西路公厕（河滨东路）</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河滨西路</w:t>
            </w:r>
          </w:p>
        </w:tc>
      </w:tr>
      <w:tr>
        <w:tblPrEx>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阳光大道公厕（和田五星路）</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和田五星路</w:t>
            </w:r>
          </w:p>
        </w:tc>
      </w:tr>
      <w:tr>
        <w:tblPrEx>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堡二公厕</w:t>
            </w:r>
          </w:p>
        </w:tc>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前河东路699</w:t>
            </w:r>
          </w:p>
        </w:tc>
      </w:tr>
      <w:tr>
        <w:tblPrEx>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河田村公厕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月湖路</w:t>
            </w:r>
          </w:p>
        </w:tc>
      </w:tr>
    </w:tbl>
    <w:p>
      <w:pPr>
        <w:snapToGrid w:val="0"/>
        <w:spacing w:line="360" w:lineRule="auto"/>
        <w:jc w:val="left"/>
        <w:rPr>
          <w:rFonts w:ascii="仿宋" w:hAnsi="仿宋" w:eastAsia="仿宋"/>
          <w:b/>
          <w:bCs/>
          <w:color w:val="auto"/>
          <w:sz w:val="24"/>
          <w:highlight w:val="none"/>
        </w:rPr>
      </w:pPr>
    </w:p>
    <w:p>
      <w:pPr>
        <w:snapToGrid w:val="0"/>
        <w:spacing w:line="360" w:lineRule="auto"/>
        <w:jc w:val="left"/>
        <w:rPr>
          <w:rFonts w:ascii="仿宋" w:hAnsi="仿宋" w:eastAsia="仿宋"/>
          <w:b/>
          <w:bCs/>
          <w:color w:val="auto"/>
          <w:sz w:val="24"/>
          <w:highlight w:val="none"/>
        </w:rPr>
      </w:pPr>
    </w:p>
    <w:p>
      <w:pPr>
        <w:snapToGrid w:val="0"/>
        <w:spacing w:line="360" w:lineRule="auto"/>
        <w:jc w:val="left"/>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4.采购服务要求</w:t>
      </w:r>
    </w:p>
    <w:p>
      <w:pPr>
        <w:pStyle w:val="55"/>
        <w:jc w:val="left"/>
        <w:rPr>
          <w:color w:val="auto"/>
          <w:highlight w:val="none"/>
        </w:rPr>
      </w:pPr>
      <w:r>
        <w:rPr>
          <w:rFonts w:hint="eastAsia"/>
          <w:color w:val="auto"/>
          <w:highlight w:val="none"/>
        </w:rPr>
        <w:t>（一）道路保洁</w:t>
      </w:r>
    </w:p>
    <w:p>
      <w:pPr>
        <w:spacing w:line="400" w:lineRule="exact"/>
        <w:ind w:firstLine="440" w:firstLineChars="200"/>
        <w:rPr>
          <w:bCs/>
          <w:color w:val="auto"/>
          <w:sz w:val="22"/>
          <w:szCs w:val="22"/>
          <w:highlight w:val="none"/>
        </w:rPr>
      </w:pPr>
      <w:r>
        <w:rPr>
          <w:rFonts w:hint="eastAsia"/>
          <w:bCs/>
          <w:color w:val="auto"/>
          <w:sz w:val="22"/>
          <w:szCs w:val="22"/>
          <w:highlight w:val="none"/>
        </w:rPr>
        <w:t>1</w:t>
      </w:r>
      <w:r>
        <w:rPr>
          <w:rFonts w:hint="eastAsia" w:ascii="宋体" w:hAnsi="Calibri"/>
          <w:color w:val="auto"/>
          <w:sz w:val="22"/>
          <w:szCs w:val="22"/>
          <w:highlight w:val="none"/>
        </w:rPr>
        <w:t>.</w:t>
      </w:r>
      <w:r>
        <w:rPr>
          <w:rFonts w:hint="eastAsia"/>
          <w:bCs/>
          <w:color w:val="auto"/>
          <w:sz w:val="22"/>
          <w:szCs w:val="22"/>
          <w:highlight w:val="none"/>
        </w:rPr>
        <w:t>道路清扫</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一类保洁（精品路）：道路保洁实行清扫、清运分离，清扫标准为精扫；保洁达到18小时（5:00-23:00），标准为垃圾滞留时间不超过30分钟，否则由业主方处罚；实行道路（车行道、人行道）一周清洗一次，路面无垃圾积尘，标准为路见本色；抽查手机微信、以照片为准；公共设施（包括但不限于果壳箱、垃圾桶、不锈钢垃圾箱、花箱、垃圾屋、电线杆、交通隔离防护等设施）实行定期清洗，果壳箱、垃圾桶、不锈钢垃圾箱破损后维修；公厕日常管理及保洁（按实际公厕保洁标准进行，包括厕纸、垃圾桶、除臭物品、设备维护、水电费等一切日常使用中相关内容）；拆建、装修垃圾清运；牛皮癣、小广告实行不定期清理，标准为基本消除；园林保洁采用专业保洁工具。</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二类保洁（其它主次道路）：道路保洁实行清扫、清运分离，清扫标准为普扫；保洁达到16小时（5:00-21:00），标准为垃圾滞留时间不超过30分钟，否则由业主方处罚；实行道路（车行道、人行道）一周清洗一次，路面无垃圾积尘，标准为路见本色；公共设施（包括但不限于果壳箱、垃圾桶、不锈钢垃圾箱、花箱、垃圾屋、电线杆、交通隔离防护等设施）实行定期清洗，果壳箱、垃圾桶、不锈钢垃圾箱破损后维修；公厕日常管理及保洁（按实际公厕保洁标准进行，包括厕纸、垃圾桶、除臭物品、设备维护、水电费等一切日常使用中相关内容）；拆建、装修垃圾清运；牛皮癣、小广告实行不定期清理，标准为基本消除；园林保洁采用专业保洁工具。</w:t>
      </w:r>
    </w:p>
    <w:p>
      <w:pPr>
        <w:spacing w:line="360" w:lineRule="auto"/>
        <w:ind w:firstLine="420"/>
        <w:rPr>
          <w:color w:val="auto"/>
          <w:sz w:val="22"/>
          <w:szCs w:val="22"/>
          <w:highlight w:val="none"/>
        </w:rPr>
      </w:pPr>
      <w:r>
        <w:rPr>
          <w:rFonts w:hint="eastAsia" w:ascii="宋体" w:hAnsi="宋体" w:cs="宋体"/>
          <w:color w:val="auto"/>
          <w:sz w:val="22"/>
          <w:szCs w:val="22"/>
          <w:highlight w:val="none"/>
        </w:rPr>
        <w:t>（3）三类保洁（背街小巷、各城中村内道路、无物业管理的开放式小区及上述范围内绿地、公共广场内园路等硬质铺装）：道路保洁实行清扫、清运分离，清扫标准为普扫；保洁达到12小时（6:00-18:00），标准为垃圾滞留时间不超过30分钟，否则由业主方处罚；公共设施（包括但不限于果壳箱、垃圾桶、不锈钢垃圾箱、花箱、垃圾屋、电线杆、交通隔离防护等设施）实行定期清洗，果壳箱、垃圾桶、不锈钢垃圾箱破损后维修；公厕日常管理及保洁（按实际公厕保洁标准进行，包括厕纸、垃圾桶、除臭物品、设备维护、水电费等一切日常使用中相关内容）；拆建、装修垃圾清运；牛皮癣、小广告实行不定期清理，标准为基本消除；</w:t>
      </w:r>
      <w:r>
        <w:rPr>
          <w:rFonts w:hint="eastAsia"/>
          <w:color w:val="auto"/>
          <w:sz w:val="22"/>
          <w:szCs w:val="22"/>
          <w:highlight w:val="none"/>
        </w:rPr>
        <w:t>园林保洁采用专业保洁工具。</w:t>
      </w:r>
    </w:p>
    <w:p>
      <w:pPr>
        <w:spacing w:line="400" w:lineRule="exact"/>
        <w:ind w:firstLine="440" w:firstLineChars="200"/>
        <w:rPr>
          <w:bCs/>
          <w:color w:val="auto"/>
          <w:sz w:val="22"/>
          <w:szCs w:val="22"/>
          <w:highlight w:val="none"/>
        </w:rPr>
      </w:pPr>
      <w:r>
        <w:rPr>
          <w:rFonts w:hint="eastAsia"/>
          <w:bCs/>
          <w:color w:val="auto"/>
          <w:sz w:val="22"/>
          <w:szCs w:val="22"/>
          <w:highlight w:val="none"/>
        </w:rPr>
        <w:t>2</w:t>
      </w:r>
      <w:r>
        <w:rPr>
          <w:rFonts w:hint="eastAsia" w:ascii="宋体" w:hAnsi="Calibri"/>
          <w:color w:val="auto"/>
          <w:sz w:val="22"/>
          <w:szCs w:val="22"/>
          <w:highlight w:val="none"/>
        </w:rPr>
        <w:t>.</w:t>
      </w:r>
      <w:r>
        <w:rPr>
          <w:rFonts w:hint="eastAsia"/>
          <w:bCs/>
          <w:color w:val="auto"/>
          <w:sz w:val="22"/>
          <w:szCs w:val="22"/>
          <w:highlight w:val="none"/>
        </w:rPr>
        <w:t>机械清扫</w:t>
      </w:r>
    </w:p>
    <w:p>
      <w:pPr>
        <w:widowControl/>
        <w:spacing w:line="400" w:lineRule="exact"/>
        <w:ind w:firstLine="220" w:firstLineChars="100"/>
        <w:rPr>
          <w:rFonts w:ascii="宋体" w:hAnsi="宋体"/>
          <w:color w:val="auto"/>
          <w:sz w:val="22"/>
          <w:szCs w:val="22"/>
          <w:highlight w:val="none"/>
        </w:rPr>
      </w:pPr>
      <w:r>
        <w:rPr>
          <w:rFonts w:hint="eastAsia"/>
          <w:color w:val="auto"/>
          <w:sz w:val="22"/>
          <w:szCs w:val="22"/>
          <w:highlight w:val="none"/>
        </w:rPr>
        <w:t>（1）</w:t>
      </w:r>
      <w:r>
        <w:rPr>
          <w:rFonts w:hint="eastAsia" w:ascii="宋体" w:hAnsi="宋体"/>
          <w:color w:val="auto"/>
          <w:sz w:val="22"/>
          <w:szCs w:val="22"/>
          <w:highlight w:val="none"/>
        </w:rPr>
        <w:t>城区主干道、主车道（车行道）实行机扫，机扫到边、到位效果明显，路面无垃圾、无积泥、无沙石；清扫时间应规避上下班高峰期，每日清扫、清洗不少于二次（早上下午各1次）。要求机械化清扫道路数不得低于一、二类保洁道路总数的50%，其中主干道机扫率达到100%，且机械化清扫（清洗）的路段面积不得少于该路段清扫面积的30%。</w:t>
      </w:r>
    </w:p>
    <w:p>
      <w:pPr>
        <w:widowControl/>
        <w:spacing w:line="400" w:lineRule="exact"/>
        <w:ind w:firstLine="220" w:firstLineChars="100"/>
        <w:rPr>
          <w:rFonts w:ascii="新宋体" w:hAnsi="新宋体" w:eastAsia="新宋体"/>
          <w:color w:val="auto"/>
          <w:sz w:val="22"/>
          <w:szCs w:val="22"/>
          <w:highlight w:val="none"/>
        </w:rPr>
      </w:pPr>
      <w:r>
        <w:rPr>
          <w:rFonts w:hint="eastAsia" w:ascii="宋体" w:hAnsi="宋体"/>
          <w:color w:val="auto"/>
          <w:sz w:val="22"/>
          <w:szCs w:val="22"/>
          <w:highlight w:val="none"/>
        </w:rPr>
        <w:t>（2）出车前要进行检查后方可上路，禁止带故障运行。作业时，</w:t>
      </w:r>
      <w:r>
        <w:rPr>
          <w:rFonts w:hint="eastAsia" w:ascii="宋体" w:hAnsi="宋体"/>
          <w:b/>
          <w:color w:val="auto"/>
          <w:sz w:val="22"/>
          <w:szCs w:val="22"/>
          <w:highlight w:val="none"/>
        </w:rPr>
        <w:t>行车速度最高时速不得超过10公里/小时</w:t>
      </w:r>
      <w:r>
        <w:rPr>
          <w:rFonts w:hint="eastAsia" w:ascii="宋体" w:hAnsi="宋体"/>
          <w:color w:val="auto"/>
          <w:sz w:val="22"/>
          <w:szCs w:val="22"/>
          <w:highlight w:val="none"/>
        </w:rPr>
        <w:t>。应喷水压尘，盘扫应下放到位清扫；作业期间基本无扬尘，清扫途中无垃圾撒落；垃圾在指定地点倾倒，不得随意倾倒、偷到、乱倒垃圾；每次倾倒垃圾时间不得超过30分钟；严格按照范围、路线、时间进行机扫作业，不得随意变更；必须安装全球卫星定位系统（GPS），上路作业时，必须打开全球卫星定位系统（GPS）和警示灯或发送警示信号；作业时要遵守道路交通安全法规，礼让行车，注意行人的安全。作业完毕后及时清洗干净入库，做好作业车辆行车、维修保养记录</w:t>
      </w:r>
      <w:r>
        <w:rPr>
          <w:rFonts w:hint="eastAsia" w:ascii="新宋体" w:hAnsi="新宋体" w:eastAsia="新宋体"/>
          <w:color w:val="auto"/>
          <w:sz w:val="22"/>
          <w:szCs w:val="22"/>
          <w:highlight w:val="none"/>
        </w:rPr>
        <w:t>。</w:t>
      </w:r>
      <w:r>
        <w:rPr>
          <w:rFonts w:hint="eastAsia" w:ascii="宋体" w:hAnsi="宋体"/>
          <w:color w:val="auto"/>
          <w:sz w:val="22"/>
          <w:szCs w:val="22"/>
          <w:highlight w:val="none"/>
        </w:rPr>
        <w:t>需提供城市道路机械化清扫率报表，机扫车辆作业记录台账。</w:t>
      </w:r>
    </w:p>
    <w:p>
      <w:pPr>
        <w:spacing w:line="400" w:lineRule="exact"/>
        <w:ind w:firstLine="440" w:firstLineChars="200"/>
        <w:rPr>
          <w:bCs/>
          <w:color w:val="auto"/>
          <w:sz w:val="22"/>
          <w:szCs w:val="22"/>
          <w:highlight w:val="none"/>
        </w:rPr>
      </w:pPr>
      <w:r>
        <w:rPr>
          <w:rFonts w:hint="eastAsia"/>
          <w:bCs/>
          <w:color w:val="auto"/>
          <w:sz w:val="22"/>
          <w:szCs w:val="22"/>
          <w:highlight w:val="none"/>
        </w:rPr>
        <w:t>3</w:t>
      </w:r>
      <w:r>
        <w:rPr>
          <w:rFonts w:hint="eastAsia" w:ascii="宋体" w:hAnsi="Calibri"/>
          <w:color w:val="auto"/>
          <w:sz w:val="22"/>
          <w:szCs w:val="22"/>
          <w:highlight w:val="none"/>
        </w:rPr>
        <w:t>.</w:t>
      </w:r>
      <w:r>
        <w:rPr>
          <w:rFonts w:hint="eastAsia"/>
          <w:bCs/>
          <w:color w:val="auto"/>
          <w:sz w:val="22"/>
          <w:szCs w:val="22"/>
          <w:highlight w:val="none"/>
        </w:rPr>
        <w:t>道路冲洗、洒水</w:t>
      </w:r>
    </w:p>
    <w:p>
      <w:pPr>
        <w:spacing w:line="400" w:lineRule="exact"/>
        <w:ind w:firstLine="440" w:firstLineChars="200"/>
        <w:rPr>
          <w:color w:val="auto"/>
          <w:sz w:val="22"/>
          <w:szCs w:val="22"/>
          <w:highlight w:val="none"/>
        </w:rPr>
      </w:pPr>
      <w:r>
        <w:rPr>
          <w:rFonts w:hint="eastAsia"/>
          <w:color w:val="auto"/>
          <w:sz w:val="22"/>
          <w:szCs w:val="22"/>
          <w:highlight w:val="none"/>
        </w:rPr>
        <w:t>（1）每条道路春、冬季每日洒水不少于二次；夏、秋季每日洒水不少于三次。道路冲洗每周不少于一次；人行道包括侧石、平石实行人工药水冲刷，彩砖地面不得使用破坏釉面的药水，冲刷时间从晚10时起至次日凌晨5时。冲洗后路面无积垢、无灰尘、无烟蒂、无果壳散落：机动车道为冲洗路段，要求水冲洗后无灰尘、无烟蒂、无果壳散落；冲洗路面见本色；机动车道为洒水路段，要求洒水后无积水、无灰尘、无烟蒂、无果壳散落；冲洗路面时如发现路面有垃圾应及时清理：根据业主单位要求的时间段进行工作。</w:t>
      </w:r>
    </w:p>
    <w:p>
      <w:pPr>
        <w:spacing w:line="400" w:lineRule="exact"/>
        <w:ind w:firstLine="440" w:firstLineChars="200"/>
        <w:rPr>
          <w:rFonts w:ascii="宋体" w:hAnsi="宋体"/>
          <w:b/>
          <w:color w:val="auto"/>
          <w:sz w:val="22"/>
          <w:szCs w:val="22"/>
          <w:highlight w:val="none"/>
        </w:rPr>
      </w:pPr>
      <w:r>
        <w:rPr>
          <w:rFonts w:hint="eastAsia" w:ascii="宋体" w:hAnsi="宋体"/>
          <w:color w:val="auto"/>
          <w:sz w:val="22"/>
          <w:szCs w:val="22"/>
          <w:highlight w:val="none"/>
        </w:rPr>
        <w:t>（2）出车前要进行检查后方可上路，禁止带故障运行。作业时适应当控制水压和车速，避免把水溅到路边的行人；必须安装全球卫星定位系统（GPS），上路作业时，必须打开全球卫星定位系统（GPS）。作业时要遵守道路交通安全法规，礼让行车，注意行人的安全。作业完毕后及时清洗干净入库，做好作业车辆行车、维修保养记录。</w:t>
      </w:r>
      <w:r>
        <w:rPr>
          <w:rFonts w:hint="eastAsia" w:ascii="宋体" w:hAnsi="宋体"/>
          <w:b/>
          <w:color w:val="auto"/>
          <w:sz w:val="22"/>
          <w:szCs w:val="22"/>
          <w:highlight w:val="none"/>
        </w:rPr>
        <w:t>洒水作业行车速度最高时速不得超过25公里/小时。</w:t>
      </w:r>
    </w:p>
    <w:p>
      <w:pPr>
        <w:spacing w:line="400" w:lineRule="exact"/>
        <w:ind w:firstLine="442" w:firstLineChars="200"/>
        <w:rPr>
          <w:rFonts w:ascii="宋体" w:hAnsi="宋体"/>
          <w:color w:val="auto"/>
          <w:sz w:val="22"/>
          <w:szCs w:val="22"/>
          <w:highlight w:val="none"/>
        </w:rPr>
      </w:pPr>
      <w:r>
        <w:rPr>
          <w:rFonts w:hint="eastAsia" w:ascii="宋体" w:hAnsi="宋体"/>
          <w:b/>
          <w:color w:val="auto"/>
          <w:sz w:val="22"/>
          <w:szCs w:val="22"/>
          <w:highlight w:val="none"/>
        </w:rPr>
        <w:t>（3）遇有重大活动、突发事件或检查活动时采购人认为有必要再次洒水或冲洗的，中标方应无条件服从，费用包含在投标报价中。</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Calibri"/>
          <w:color w:val="auto"/>
          <w:sz w:val="22"/>
          <w:szCs w:val="22"/>
          <w:highlight w:val="none"/>
        </w:rPr>
        <w:t>.</w:t>
      </w:r>
      <w:r>
        <w:rPr>
          <w:rFonts w:hint="eastAsia" w:ascii="宋体" w:hAnsi="宋体" w:cs="宋体"/>
          <w:color w:val="auto"/>
          <w:sz w:val="22"/>
          <w:szCs w:val="22"/>
          <w:highlight w:val="none"/>
        </w:rPr>
        <w:t>环卫设施及城市家具保洁</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人工附属设施设备（各类灯、音响、指示牌、宣传栏、休闲椅、桥面、栏杆、扶手、凉亭、走廊、花架、园林小品等）、体育健身区域器材设施应定期清洗保持外观清洁；果壳箱应做到无敞门，无污垢；每日需清洗箱体一次；箱内的垃圾应日产日清，不过夜，不溢满；环卫设施及周边路面每天清洗不少于1次，周围地面无暴露垃圾、污水。</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（2）护栏、隔离栏清洗必须达到目测无污痕，擦拭无污垢。</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 电杆、监控杆、弱电设施一切公共室外市政设施（变压器、配电箱等店里设施围挡不计入），公交站台、站牌、灯箱、广告牌、报刊（信息）亭、电话亭、邮政信箱、固定室外座椅等一切城市家具，表面无积尘，干净整洁。</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（4）日常工作要求</w:t>
      </w:r>
    </w:p>
    <w:p>
      <w:pPr>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需在垃圾清运后清洗环卫设施箱体1次；环卫设施及周边路面每天清洗不少于1次，周围地面无暴露垃圾、污水。</w:t>
      </w:r>
    </w:p>
    <w:p>
      <w:pPr>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2.</w:t>
      </w:r>
      <w:r>
        <w:rPr>
          <w:rFonts w:ascii="宋体" w:hAnsi="宋体" w:cs="宋体"/>
          <w:color w:val="auto"/>
          <w:sz w:val="22"/>
          <w:szCs w:val="22"/>
          <w:highlight w:val="none"/>
        </w:rPr>
        <w:t>护栏、隔离栏每周清洗不少于1次，清洗保洁作业时间尽量错开交通高峰期，遇重大活动、节假日，护栏、隔离栏要随时保持清洁。</w:t>
      </w:r>
    </w:p>
    <w:p>
      <w:pPr>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3.</w:t>
      </w:r>
      <w:r>
        <w:rPr>
          <w:rFonts w:ascii="宋体" w:hAnsi="宋体" w:cs="宋体"/>
          <w:color w:val="auto"/>
          <w:sz w:val="22"/>
          <w:szCs w:val="22"/>
          <w:highlight w:val="none"/>
        </w:rPr>
        <w:t>其他市政设施及城市家具，每周按规范清洁不得少于1次。电杆、监控杆高于2米的市政设施，只需负责2米以下部分擦洗及保洁。公交站台座椅每天擦洗1次。</w:t>
      </w:r>
    </w:p>
    <w:p>
      <w:pPr>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4.</w:t>
      </w:r>
      <w:r>
        <w:rPr>
          <w:rFonts w:ascii="宋体" w:hAnsi="宋体" w:cs="宋体"/>
          <w:color w:val="auto"/>
          <w:sz w:val="22"/>
          <w:szCs w:val="22"/>
          <w:highlight w:val="none"/>
        </w:rPr>
        <w:t>每日巡查时检查垃圾桶、果壳箱、垃圾坞等垃圾分类的标识，如出现模糊或掉落等情况的，中标供应商须将标识修复。</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（5）特殊要求</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①中标供应商在合同履行期间负责垃圾桶、果壳箱、不锈钢垃圾桶的保管与维护。采购人投放的垃圾桶、果壳箱如有破损（含第三方人为破损）与丢失情况，由中标供应商在12小时内予以免费维修或更换补齐。</w:t>
      </w:r>
    </w:p>
    <w:p>
      <w:pPr>
        <w:spacing w:line="360" w:lineRule="auto"/>
        <w:ind w:firstLine="440" w:firstLineChars="200"/>
        <w:rPr>
          <w:rFonts w:ascii="宋体" w:hAnsi="Calibri"/>
          <w:color w:val="auto"/>
          <w:sz w:val="22"/>
          <w:szCs w:val="22"/>
          <w:highlight w:val="none"/>
        </w:rPr>
      </w:pPr>
      <w:r>
        <w:rPr>
          <w:rFonts w:hint="eastAsia" w:ascii="宋体" w:hAnsi="宋体" w:cs="宋体"/>
          <w:color w:val="auto"/>
          <w:sz w:val="22"/>
          <w:szCs w:val="22"/>
          <w:highlight w:val="none"/>
        </w:rPr>
        <w:t>②本项目区域垃圾桶由采购人进行采购。</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③合同期满，乙方必须将全部清扫保洁业务涉及的垃圾桶、果壳箱和不锈钢垃圾桶在足额且维护良好的情况下及时移交甲方。</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Calibri"/>
          <w:color w:val="auto"/>
          <w:sz w:val="22"/>
          <w:szCs w:val="22"/>
          <w:highlight w:val="none"/>
        </w:rPr>
        <w:t>.</w:t>
      </w:r>
      <w:r>
        <w:rPr>
          <w:rFonts w:hint="eastAsia" w:ascii="宋体" w:hAnsi="宋体" w:cs="宋体"/>
          <w:color w:val="auto"/>
          <w:sz w:val="22"/>
          <w:szCs w:val="22"/>
          <w:highlight w:val="none"/>
        </w:rPr>
        <w:t>规范作业</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作业人员作业期内穿反光安全服；在作业时间内，不集聚闲聊，工期休息不超过10分钟；作业期间不做与作业无关的事：车辆停放遵守交通法规；垃圾运输实行密闭，不得超高运输和吊挂杂物；严禁作业人员擅自向责任区内单位收取各种费用；禁止环卫工人在果壳箱内翻捡废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清扫保洁时间内（含人工清扫、机械清扫与道路冲洗）垃圾不得扫入窑井、花坛、绿化带：清扫作业中不得漏扫、甩扫；交接班不得出现空档，责任区交界处清扫保洁各过界10米；垃圾在指定地点倾倒，不得焚烧垃圾。不得在责任区外翻捡废品，干私活，侵犯他人利益。</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（3）垃圾收集车辆（含机动车和非机动车）每日清洗后方可上路。</w:t>
      </w:r>
    </w:p>
    <w:p>
      <w:pPr>
        <w:widowControl/>
        <w:autoSpaceDE w:val="0"/>
        <w:autoSpaceDN w:val="0"/>
        <w:spacing w:line="288" w:lineRule="auto"/>
        <w:textAlignment w:val="bottom"/>
        <w:rPr>
          <w:rFonts w:ascii="宋体"/>
          <w:b/>
          <w:bCs/>
          <w:color w:val="auto"/>
          <w:sz w:val="22"/>
          <w:highlight w:val="none"/>
        </w:rPr>
      </w:pPr>
      <w:r>
        <w:rPr>
          <w:rFonts w:hint="eastAsia" w:ascii="宋体"/>
          <w:b/>
          <w:bCs/>
          <w:color w:val="auto"/>
          <w:sz w:val="22"/>
          <w:highlight w:val="none"/>
        </w:rPr>
        <w:t>（二）河道保洁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1.河道保洁质量要求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（1）日常保洁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保洁内容：打捞和清运河面、迎水坡（包括滩地）、堤岸的垃圾、有害或废弃漂浮物（包括水面油渍），清除河道行洪障碍物、阻碍行洪的高杆作物、拦河渔网及木竹桩、废弃沉船等。清除杂草、水荷花、浮萍等水生植物。</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保洁质量要求：河面、河滩、堤岸无垃圾和漂浮物，无明显水生植物；水面打捞物集中堆放妥善处置，无二次污染；河道通畅，河中无障碍物。河岸周围没有垃圾，河道内没有影响景观和通航的草生植物。河岸两旁及隔离护栏下无垃圾、淤泥；河岸绿化带内无杂物、纸屑。河边垃圾</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垃圾清运要求：结合村庄与河道分布，完善垃圾集中清运点布置，打捞物堆放、清运按街道生活垃圾处置方式，集中堆放，清运至垃圾填埋点或处理站进行集中处理；堆放的打捞物对河道无二次污染。垃圾在指定地点倾倒，不得焚烧垃圾。</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人员及设备要求：保洁人员应按河道保洁要求足额配置，并统一穿着“河道保洁”字样反光安全服，各作业人员必须佩证上岗，使用有编号的船只，保持船况良好，船容整洁并配备救生设备，做到规范文明作业。每艘船只及救设备均须进行编号。</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color w:val="auto"/>
          <w:sz w:val="22"/>
          <w:szCs w:val="22"/>
          <w:highlight w:val="none"/>
        </w:rPr>
        <w:t>保洁时间和界限：保洁人员每天实行自7:00时起保洁时间不少于8小时,临界处必须交叉保洁5米以上，河岸5米范围内属于河道保洁范围，保洁起止时间将根据季节适时调整，作业时间不</w:t>
      </w:r>
      <w:r>
        <w:rPr>
          <w:rFonts w:hint="eastAsia" w:ascii="宋体" w:hAnsi="Calibri"/>
          <w:color w:val="auto"/>
          <w:sz w:val="22"/>
          <w:szCs w:val="22"/>
          <w:highlight w:val="none"/>
        </w:rPr>
        <w:t>能减少。</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（2）特殊情况保洁</w:t>
      </w:r>
    </w:p>
    <w:p>
      <w:pPr>
        <w:widowControl/>
        <w:autoSpaceDE w:val="0"/>
        <w:autoSpaceDN w:val="0"/>
        <w:spacing w:line="460" w:lineRule="atLeast"/>
        <w:ind w:firstLine="880" w:firstLineChars="400"/>
        <w:textAlignment w:val="bottom"/>
        <w:rPr>
          <w:rFonts w:ascii="宋体" w:hAnsi="Calibri"/>
          <w:color w:val="auto"/>
          <w:sz w:val="22"/>
          <w:szCs w:val="22"/>
          <w:highlight w:val="none"/>
        </w:rPr>
      </w:pPr>
      <w:r>
        <w:rPr>
          <w:rFonts w:hint="eastAsia" w:ascii="宋体" w:hAnsi="Calibri"/>
          <w:color w:val="auto"/>
          <w:sz w:val="22"/>
          <w:szCs w:val="22"/>
          <w:highlight w:val="none"/>
        </w:rPr>
        <w:t>1.台风暴雨过后，各保洁单位应在三天内清理完垃圾、漂浮物、杂草、障碍物等，确保河道畅通和河面干净整洁。</w:t>
      </w:r>
    </w:p>
    <w:p>
      <w:pPr>
        <w:widowControl/>
        <w:autoSpaceDE w:val="0"/>
        <w:autoSpaceDN w:val="0"/>
        <w:spacing w:line="460" w:lineRule="atLeast"/>
        <w:ind w:firstLine="880" w:firstLineChars="400"/>
        <w:textAlignment w:val="bottom"/>
        <w:rPr>
          <w:rFonts w:ascii="宋体" w:hAnsi="Calibri"/>
          <w:color w:val="auto"/>
          <w:sz w:val="22"/>
          <w:szCs w:val="22"/>
          <w:highlight w:val="none"/>
        </w:rPr>
      </w:pPr>
      <w:r>
        <w:rPr>
          <w:rFonts w:hint="eastAsia" w:ascii="宋体" w:hAnsi="Calibri"/>
          <w:color w:val="auto"/>
          <w:sz w:val="22"/>
          <w:szCs w:val="22"/>
          <w:highlight w:val="none"/>
        </w:rPr>
        <w:t>2.发现病死动物或病死动物产品的，应及时报告相关主管部门应及时派员指导、监督保洁作业人员按照《病害动物和病害动物产品生物安全处理规程》（GB16548-2006）落实处置。保洁工作人员拖延处置或违规处置，造成不良后果的，按有关规定追究相应责任。</w:t>
      </w:r>
    </w:p>
    <w:p>
      <w:pPr>
        <w:widowControl/>
        <w:autoSpaceDE w:val="0"/>
        <w:autoSpaceDN w:val="0"/>
        <w:spacing w:line="460" w:lineRule="atLeast"/>
        <w:ind w:firstLine="880" w:firstLineChars="400"/>
        <w:textAlignment w:val="bottom"/>
        <w:rPr>
          <w:rFonts w:ascii="宋体" w:hAnsi="Calibri"/>
          <w:color w:val="auto"/>
          <w:sz w:val="22"/>
          <w:szCs w:val="22"/>
          <w:highlight w:val="none"/>
        </w:rPr>
      </w:pPr>
      <w:r>
        <w:rPr>
          <w:rFonts w:hint="eastAsia" w:ascii="宋体" w:hAnsi="Calibri"/>
          <w:color w:val="auto"/>
          <w:sz w:val="22"/>
          <w:szCs w:val="22"/>
          <w:highlight w:val="none"/>
        </w:rPr>
        <w:t>3.发现大范围的鱼类或其他水生生物群体死亡的，应及时报告海洋与渔业局，主管部门应及时派员指导，监督保洁作业人员按照相关规程程序予以处置。保洁工作人员拖延处置或违规处置，造成不良后果的，按有关规定追究相应责任。</w:t>
      </w:r>
    </w:p>
    <w:p>
      <w:pPr>
        <w:widowControl/>
        <w:autoSpaceDE w:val="0"/>
        <w:autoSpaceDN w:val="0"/>
        <w:spacing w:line="460" w:lineRule="atLeast"/>
        <w:ind w:firstLine="880" w:firstLineChars="400"/>
        <w:textAlignment w:val="bottom"/>
        <w:rPr>
          <w:rFonts w:ascii="宋体" w:hAnsi="Calibri"/>
          <w:color w:val="auto"/>
          <w:sz w:val="22"/>
          <w:szCs w:val="22"/>
          <w:highlight w:val="none"/>
        </w:rPr>
      </w:pPr>
      <w:r>
        <w:rPr>
          <w:rFonts w:hint="eastAsia" w:ascii="宋体" w:hAnsi="Calibri"/>
          <w:color w:val="auto"/>
          <w:sz w:val="22"/>
          <w:szCs w:val="22"/>
          <w:highlight w:val="none"/>
        </w:rPr>
        <w:t>4.发生突发污染事件、河水水质(水发黑、发黄、异味重)问题及其他影响河道保洁事件的，保洁责任单位应立即向业主单位报告，并积极配合和妥善组织处置。</w:t>
      </w:r>
    </w:p>
    <w:p>
      <w:pPr>
        <w:widowControl/>
        <w:autoSpaceDE w:val="0"/>
        <w:autoSpaceDN w:val="0"/>
        <w:spacing w:line="288" w:lineRule="auto"/>
        <w:textAlignment w:val="bottom"/>
        <w:rPr>
          <w:rFonts w:ascii="宋体"/>
          <w:b/>
          <w:bCs/>
          <w:color w:val="auto"/>
          <w:sz w:val="22"/>
          <w:highlight w:val="none"/>
        </w:rPr>
      </w:pPr>
      <w:bookmarkStart w:id="59" w:name="_Toc527636123"/>
      <w:r>
        <w:rPr>
          <w:rFonts w:hint="eastAsia" w:ascii="宋体"/>
          <w:b/>
          <w:bCs/>
          <w:color w:val="auto"/>
          <w:sz w:val="22"/>
          <w:highlight w:val="none"/>
        </w:rPr>
        <w:t>（三</w:t>
      </w:r>
      <w:bookmarkEnd w:id="59"/>
      <w:r>
        <w:rPr>
          <w:rFonts w:hint="eastAsia" w:ascii="宋体"/>
          <w:b/>
          <w:bCs/>
          <w:color w:val="auto"/>
          <w:sz w:val="22"/>
          <w:highlight w:val="none"/>
        </w:rPr>
        <w:t>）公园、广场及公共绿地保洁</w:t>
      </w:r>
    </w:p>
    <w:p>
      <w:pPr>
        <w:widowControl/>
        <w:spacing w:line="460" w:lineRule="atLeast"/>
        <w:jc w:val="left"/>
        <w:rPr>
          <w:rFonts w:ascii="宋体" w:hAnsi="Calibri"/>
          <w:bCs/>
          <w:color w:val="auto"/>
          <w:sz w:val="22"/>
          <w:szCs w:val="22"/>
          <w:highlight w:val="none"/>
        </w:rPr>
      </w:pPr>
      <w:bookmarkStart w:id="60" w:name="_Toc527636124"/>
      <w:r>
        <w:rPr>
          <w:rFonts w:hint="eastAsia" w:ascii="宋体"/>
          <w:color w:val="auto"/>
          <w:sz w:val="22"/>
          <w:szCs w:val="22"/>
          <w:highlight w:val="none"/>
        </w:rPr>
        <w:t>1</w:t>
      </w:r>
      <w:r>
        <w:rPr>
          <w:rFonts w:hint="eastAsia" w:ascii="宋体" w:hAnsi="Calibri"/>
          <w:color w:val="auto"/>
          <w:sz w:val="22"/>
          <w:szCs w:val="22"/>
          <w:highlight w:val="none"/>
        </w:rPr>
        <w:t>.</w:t>
      </w:r>
      <w:r>
        <w:rPr>
          <w:rFonts w:hint="eastAsia" w:ascii="宋体"/>
          <w:color w:val="auto"/>
          <w:sz w:val="22"/>
          <w:szCs w:val="22"/>
          <w:highlight w:val="none"/>
        </w:rPr>
        <w:t>保洁范围</w:t>
      </w:r>
      <w:r>
        <w:rPr>
          <w:rFonts w:hint="eastAsia" w:ascii="宋体" w:hAnsi="Calibri"/>
          <w:bCs/>
          <w:color w:val="auto"/>
          <w:sz w:val="22"/>
          <w:szCs w:val="22"/>
          <w:highlight w:val="none"/>
        </w:rPr>
        <w:t>（公园、广场内道路、绿化地及配套的人工附属设施设备、体育健身区域等）</w:t>
      </w:r>
      <w:bookmarkEnd w:id="60"/>
    </w:p>
    <w:p>
      <w:pPr>
        <w:widowControl/>
        <w:autoSpaceDE w:val="0"/>
        <w:autoSpaceDN w:val="0"/>
        <w:spacing w:line="460" w:lineRule="atLeast"/>
        <w:textAlignment w:val="bottom"/>
        <w:rPr>
          <w:rFonts w:ascii="宋体"/>
          <w:color w:val="auto"/>
          <w:sz w:val="22"/>
          <w:szCs w:val="22"/>
          <w:highlight w:val="none"/>
        </w:rPr>
      </w:pPr>
      <w:r>
        <w:rPr>
          <w:rFonts w:hint="eastAsia" w:ascii="宋体"/>
          <w:color w:val="auto"/>
          <w:sz w:val="22"/>
          <w:szCs w:val="22"/>
          <w:highlight w:val="none"/>
        </w:rPr>
        <w:t>2</w:t>
      </w:r>
      <w:r>
        <w:rPr>
          <w:rFonts w:hint="eastAsia" w:ascii="宋体" w:hAnsi="Calibri"/>
          <w:color w:val="auto"/>
          <w:sz w:val="22"/>
          <w:szCs w:val="22"/>
          <w:highlight w:val="none"/>
        </w:rPr>
        <w:t>.</w:t>
      </w:r>
      <w:r>
        <w:rPr>
          <w:rFonts w:hint="eastAsia" w:ascii="宋体"/>
          <w:color w:val="auto"/>
          <w:sz w:val="22"/>
          <w:szCs w:val="22"/>
          <w:highlight w:val="none"/>
        </w:rPr>
        <w:t>保洁要求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（1）公园广场内道路、绿化地，保洁要达到“七无”、“五净”、“一通”标准，要求清理垃圾（含养护公司清理出的垃圾）、抛洒物、零星废弃物，无卫生死角、积存垃圾杂物，无积水、无污迹。</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（2）人工附属设施设备（各类灯、音响、指示牌、宣传栏、休闲椅、桥面、栏杆、扶手、凉亭、走廊、花架、园林小品等）、体育健身区域器材设施表面无积尘，干净整洁。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（3）排水沟目视干净无杂草、杂物，排水畅通。</w:t>
      </w:r>
    </w:p>
    <w:p>
      <w:pPr>
        <w:widowControl/>
        <w:autoSpaceDE w:val="0"/>
        <w:autoSpaceDN w:val="0"/>
        <w:spacing w:line="460" w:lineRule="atLeast"/>
        <w:ind w:firstLine="440" w:firstLineChars="200"/>
        <w:textAlignment w:val="bottom"/>
        <w:rPr>
          <w:color w:val="auto"/>
          <w:highlight w:val="none"/>
        </w:rPr>
      </w:pPr>
      <w:r>
        <w:rPr>
          <w:rFonts w:hint="eastAsia" w:ascii="宋体" w:hAnsi="Calibri"/>
          <w:color w:val="auto"/>
          <w:sz w:val="22"/>
          <w:szCs w:val="22"/>
          <w:highlight w:val="none"/>
        </w:rPr>
        <w:t>（4）道路及区内各类设施、建筑及构筑物立面上违法小广告的清除。</w:t>
      </w:r>
    </w:p>
    <w:p>
      <w:pPr>
        <w:widowControl/>
        <w:autoSpaceDE w:val="0"/>
        <w:autoSpaceDN w:val="0"/>
        <w:spacing w:line="460" w:lineRule="atLeast"/>
        <w:ind w:firstLine="440" w:firstLineChars="200"/>
        <w:textAlignment w:val="bottom"/>
        <w:rPr>
          <w:rFonts w:ascii="宋体"/>
          <w:color w:val="auto"/>
          <w:sz w:val="22"/>
          <w:szCs w:val="22"/>
          <w:highlight w:val="none"/>
        </w:rPr>
      </w:pPr>
      <w:r>
        <w:rPr>
          <w:rFonts w:hint="eastAsia" w:ascii="宋体"/>
          <w:color w:val="auto"/>
          <w:sz w:val="22"/>
          <w:szCs w:val="22"/>
          <w:highlight w:val="none"/>
        </w:rPr>
        <w:t>3</w:t>
      </w:r>
      <w:r>
        <w:rPr>
          <w:rFonts w:hint="eastAsia" w:ascii="宋体" w:hAnsi="Calibri"/>
          <w:color w:val="auto"/>
          <w:sz w:val="22"/>
          <w:szCs w:val="22"/>
          <w:highlight w:val="none"/>
        </w:rPr>
        <w:t>.</w:t>
      </w:r>
      <w:r>
        <w:rPr>
          <w:rFonts w:hint="eastAsia" w:ascii="宋体"/>
          <w:color w:val="auto"/>
          <w:sz w:val="22"/>
          <w:szCs w:val="22"/>
          <w:highlight w:val="none"/>
        </w:rPr>
        <w:t>管理及作业要求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公园、广场实施16小时动态巡回保洁，区内道路及铺装、建筑及构筑物的地面每天普扫不少于3次，每天冲洗不少于1次。各类设施、建筑及构筑物立面（2米以下部分）每天清洗不少于1次。下雨天要及时清扫路面及广场积水。</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（2）路面上的口香糖等粘性物体应及时用铲刀清理干净。</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（3）垃圾桶、果皮箱垃圾袋里的垃圾不得超过三分之二，每天至少清理1次并将垃圾集中收集至指定的垃圾中转站。</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（4）绿化地每天巡回保洁，确保草坪、花园内无瓜果皮壳、枯叶、饮料盒、纸屑、碎石、塑料袋等杂物。</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（5）人工附属设施设备（各类灯、音响、指示牌、宣传栏、休闲椅、桥面、栏杆、扶手、凉亭、走廊、花架、园林小品等）、体育健身区域器材设施每周擦洗1次。</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4.应急要求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公园、广场及公共绿地内遇到可疑人员须及时汇报行采购人管部门。</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5.公共绿地（含道路、公路的绿化带）保洁要求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清理绿化中的垃圾（含养护公司清理出的垃圾）、抛洒物、零星废弃物，卫生死角、积存垃圾杂物，确保绿化区域干净整洁。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6.季节性打叉清运要求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大型树木季节性砍杈养护，造成的树杈、落枝、落叶由中标供应商负责在12小时内清运完毕。</w:t>
      </w:r>
    </w:p>
    <w:p>
      <w:pPr>
        <w:widowControl/>
        <w:numPr>
          <w:ilvl w:val="0"/>
          <w:numId w:val="1"/>
        </w:numPr>
        <w:autoSpaceDE w:val="0"/>
        <w:autoSpaceDN w:val="0"/>
        <w:spacing w:line="288" w:lineRule="auto"/>
        <w:ind w:firstLine="221" w:firstLineChars="100"/>
        <w:textAlignment w:val="bottom"/>
        <w:rPr>
          <w:rFonts w:ascii="宋体"/>
          <w:b/>
          <w:bCs/>
          <w:color w:val="auto"/>
          <w:sz w:val="22"/>
          <w:highlight w:val="none"/>
        </w:rPr>
      </w:pPr>
      <w:r>
        <w:rPr>
          <w:rFonts w:hint="eastAsia" w:ascii="宋体"/>
          <w:b/>
          <w:bCs/>
          <w:color w:val="auto"/>
          <w:sz w:val="22"/>
          <w:highlight w:val="none"/>
        </w:rPr>
        <w:t>公厕保洁要求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1.公厕作业质量要求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（1）按规定要求公厕实行全天候免费开放使用，不得擅自停业、歇业，影响公众使用。</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（2）保证室内设施设备(门、窗、供水、供电、照明等)完好和正常使用，无漏雨、透风及管道堵塞现象。</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（3）地面、蹲位、便池、墙壁、挡板等保持完好和整洁；无地面积水、纸屑、烟头、痰迹，无积存尿液、尿垢，无蚊蝇。</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（4）换气、除臭等设施必须使用。保持厕内通风良好，无异味，厕内燃点盘香，男小便器内投放专用樟脑球，废纸篓内套放标准垃圾袋（均由中标投标人提供，计入投标报价成本中）。</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（5）保持公共厕所外周边5米范围环境整洁，无乱堆杂物、杂草、垃圾、粪便、污水等。</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（6）蝇蚊孳生季节，定时喷洒药物，有效控制蝇蛆孳生。</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（7）各项制度、责任内容按规定要求上墙，文明规范用语按要求配置。</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（8）治理清除公厕内外非法小广告。</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（9）严禁公厕内经营活动和私自收费现象。</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（10）公厕管理间卫生整洁、秩序井然，无闲杂人员，无乱堆杂物，无人员留宿。</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（11）保洁工具应放置整齐，照明灯具、洗手器具、镜子、挂衣钩、烘手器、冲水等设备完好，无积灰、污物。</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（12）公厕保洁人员不得在公厕内私设厨房及就餐。</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（13）积极配合完成管理部门的各项工作或临时突击性和检查任务。</w:t>
      </w:r>
    </w:p>
    <w:p>
      <w:pPr>
        <w:widowControl/>
        <w:autoSpaceDE w:val="0"/>
        <w:autoSpaceDN w:val="0"/>
        <w:spacing w:line="288" w:lineRule="auto"/>
        <w:ind w:firstLine="221" w:firstLineChars="100"/>
        <w:textAlignment w:val="bottom"/>
        <w:rPr>
          <w:rFonts w:ascii="宋体"/>
          <w:b/>
          <w:bCs/>
          <w:color w:val="auto"/>
          <w:sz w:val="22"/>
          <w:highlight w:val="none"/>
        </w:rPr>
      </w:pPr>
      <w:r>
        <w:rPr>
          <w:rFonts w:hint="eastAsia" w:ascii="宋体"/>
          <w:b/>
          <w:bCs/>
          <w:color w:val="auto"/>
          <w:sz w:val="22"/>
          <w:highlight w:val="none"/>
        </w:rPr>
        <w:t>（五）小广告治理要求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中标投标人负责清理及治理所属道路、公园、广场、公厕、道路两侧构筑物、建筑物、道路辅助设施上可见的小广告、非法喷涂广告。保洁人员须随时发现，随时清理干净。并配合执法部门取证打击非法张贴小广告行为。区域内利用废弃木板、纸片等涂写广告，并在公交站台、沿街外立面、绿化带等处放置的，视作乱涂乱贴进行清理。</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2.清理小广告配备电瓶三轮车，并配备相应的操作工具、材料及每辆车均配备专职工作人员。</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3.小广告清理保洁服务的标准</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（1）日常保洁要求，实行定街、定段、定人、定时、定保洁标准责任到人管理；</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清理质量要求，外墙、地面、栏杆、店面卷帘门、空调外机等清理保洁做到“日有日清”，原则上应在每日上午9点以前清除完毕。同一地方的乱张贴或乱涂写存续时间主次干道（桥梁）不能超过2小时，特殊情况不得超过1小时；其它地方不能超过3小时，特殊情况不能超过2小时；</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外墙、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（4）清除乱张贴乱涂写时注意不得污损周围墙体、地面、桥面，保持整洁；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（5）中标方在对外墙等保洁之前，应向有关建筑物的产权单位先行告知，避免产生不必要的纠纷。</w:t>
      </w:r>
    </w:p>
    <w:p>
      <w:pPr>
        <w:widowControl/>
        <w:autoSpaceDE w:val="0"/>
        <w:autoSpaceDN w:val="0"/>
        <w:spacing w:line="288" w:lineRule="auto"/>
        <w:ind w:firstLine="221" w:firstLineChars="100"/>
        <w:textAlignment w:val="bottom"/>
        <w:rPr>
          <w:rFonts w:ascii="宋体"/>
          <w:b/>
          <w:bCs/>
          <w:color w:val="auto"/>
          <w:sz w:val="22"/>
          <w:highlight w:val="none"/>
        </w:rPr>
      </w:pPr>
      <w:r>
        <w:rPr>
          <w:rFonts w:hint="eastAsia" w:ascii="宋体"/>
          <w:b/>
          <w:bCs/>
          <w:color w:val="auto"/>
          <w:sz w:val="22"/>
          <w:highlight w:val="none"/>
        </w:rPr>
        <w:t>（六）垃圾收集、清运及分类要求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1.垃圾收集范围</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道路、公园、广场、绿地等所产生的所有垃圾。</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2.保洁要求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（1）每日生活垃圾必须日产日清，及时收集清运, 无积压、溢满，周围无散落垃圾及污水；定时喷洒除臭剂、杀虫剂、消毒剂等，确保废物箱（果壳箱、垃圾桶）、垃圾坞无四害滋生。</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按照要求配套装备收集清运车辆设备，生活垃圾统一清运到就近垃圾中转站，清理、收集的其它类垃圾必须按指定地点倾倒；垃圾运输密闭，无抛洒、吊挂和污水滴漏。清运路线要合理规划设置，并报采购人备案认可。垃圾桶在定点位置统一清扫干净，方可换桶。</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（3）垃圾上门收集时，工作人员着统一工作服，摇铃提示。</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3.配置车辆要求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按照要求配套装备收集清运车辆设备，生活垃圾统一清运到就近垃圾中转站，清理、收集的其它类垃圾必须按指定地点倾倒；垃圾运输密闭，无抛洒、吊挂和污水滴漏，清运路线要合理规划设置，并报采购人备案认可；</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（2）垃圾运输车辆干净整洁（不准安装外挂袋），一日一洗，保持安全正常运转，定期维护；</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（3）垃圾运输车车身应印刷公司名称、编号，字迹清晰、整洁；</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（4）作业时车辆应靠边停放，不能太靠近车行线；</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（5）车辆上的作业工具应摆放整齐，不能对交通安全产生影响。</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4.日常工作要求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（1）道路、公园、广场、绿地垃圾收集及清运</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1）一、二级、三级道路沿街实行上门收集垃圾，每日均不少于3次。四级道路每日不少于1次。</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2）每日生活垃圾必须日产日清，及时收集清运；废物箱（果壳箱、垃圾桶）、垃圾坞无四害孳生, 无积压、溢满，周围无垃圾散落。</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2）果壳箱垃圾收集每日不少于1次、垃圾桶垃圾收集每日不少于3次、垃圾坞垃圾收集每日不少于3次。学校、医院、农贸市场、车站等重要区域应按实际需要增加收集与清运频次。</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5.垃圾分类要求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1）区域内具有生活垃圾分类处理设备的，供应商收集、清运、处置垃圾须按规定执行分类。其中涉及的可回收物、有害垃圾、厨余垃圾、其他垃圾须按照省市相关规定分类、收集、运输、处置。</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涉及生活垃圾分类的村，农村可腐烂和不可腐烂的垃圾需要分类收集和运输，需配置可腐烂和不可腐烂垃圾运输车辆，收集、运输时不可混装。农村垃圾分类处理站点运营成熟后，可将运营权移交给中标供应商，增加的费用双方协商确定。相关责任参照《永嘉县城乡垃圾分类实施方案》实施。</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3）垃圾分类政策如全面推广，造成供应商人员、车辆、管理成本增加的，增加费用应按其他区域相应平均运维费用协商结算。</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6.特殊要求</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1）本项目清扫保洁、垃圾清运范围要求招标行政区域全覆盖。</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2）本项目中标供应商中标后积极与镇街对接，提出合理化的垃圾收集点设置方案及台账，收集点应便于投放和清运工作。</w:t>
      </w:r>
    </w:p>
    <w:p>
      <w:pPr>
        <w:widowControl/>
        <w:autoSpaceDE w:val="0"/>
        <w:autoSpaceDN w:val="0"/>
        <w:spacing w:line="460" w:lineRule="atLeast"/>
        <w:ind w:firstLine="440" w:firstLineChars="200"/>
        <w:textAlignment w:val="bottom"/>
        <w:rPr>
          <w:rFonts w:ascii="宋体" w:hAnsi="Calibri"/>
          <w:color w:val="auto"/>
          <w:sz w:val="22"/>
          <w:szCs w:val="22"/>
          <w:highlight w:val="none"/>
        </w:rPr>
      </w:pPr>
      <w:r>
        <w:rPr>
          <w:rFonts w:hint="eastAsia" w:ascii="宋体" w:hAnsi="Calibri"/>
          <w:color w:val="auto"/>
          <w:sz w:val="22"/>
          <w:szCs w:val="22"/>
          <w:highlight w:val="none"/>
        </w:rPr>
        <w:t>3）后续中转站进行市场化经营、改造提升的，中标供应商须服从采购人、中转站运营方的相关管理规定。</w:t>
      </w:r>
    </w:p>
    <w:p>
      <w:pPr>
        <w:widowControl/>
        <w:autoSpaceDE w:val="0"/>
        <w:autoSpaceDN w:val="0"/>
        <w:spacing w:line="460" w:lineRule="atLeast"/>
        <w:ind w:firstLine="440" w:firstLineChars="200"/>
        <w:textAlignment w:val="bottom"/>
        <w:rPr>
          <w:color w:val="auto"/>
          <w:highlight w:val="none"/>
        </w:rPr>
      </w:pPr>
      <w:r>
        <w:rPr>
          <w:rFonts w:hint="eastAsia" w:ascii="宋体" w:hAnsi="Calibri"/>
          <w:color w:val="auto"/>
          <w:sz w:val="22"/>
          <w:szCs w:val="22"/>
          <w:highlight w:val="none"/>
        </w:rPr>
        <w:t>4）当垃圾中转站运力不足时或采购人有特殊要求时或垃圾燃烧厂消纳能力有限时，使用重型压缩车直运至采购人指定临时堆放位置，相关费用包含在投标报价内。</w:t>
      </w:r>
    </w:p>
    <w:p>
      <w:pPr>
        <w:widowControl/>
        <w:autoSpaceDE w:val="0"/>
        <w:autoSpaceDN w:val="0"/>
        <w:spacing w:line="288" w:lineRule="auto"/>
        <w:ind w:firstLine="221" w:firstLineChars="100"/>
        <w:textAlignment w:val="bottom"/>
        <w:rPr>
          <w:rFonts w:ascii="宋体"/>
          <w:b/>
          <w:bCs/>
          <w:color w:val="auto"/>
          <w:sz w:val="22"/>
          <w:highlight w:val="none"/>
        </w:rPr>
      </w:pPr>
      <w:r>
        <w:rPr>
          <w:rFonts w:hint="eastAsia" w:ascii="宋体"/>
          <w:b/>
          <w:bCs/>
          <w:color w:val="auto"/>
          <w:sz w:val="22"/>
          <w:highlight w:val="none"/>
        </w:rPr>
        <w:t>（七）首次进场“大扫除”要求</w:t>
      </w:r>
    </w:p>
    <w:p>
      <w:pPr>
        <w:spacing w:line="360" w:lineRule="auto"/>
        <w:ind w:firstLine="440" w:firstLineChars="200"/>
        <w:rPr>
          <w:color w:val="auto"/>
          <w:highlight w:val="none"/>
        </w:rPr>
      </w:pPr>
      <w:r>
        <w:rPr>
          <w:rFonts w:hint="eastAsia" w:ascii="宋体" w:hAnsi="Calibri"/>
          <w:color w:val="auto"/>
          <w:sz w:val="22"/>
          <w:szCs w:val="22"/>
          <w:highlight w:val="none"/>
        </w:rPr>
        <w:t>投标人在进场作业后30日历天内，须对保洁区域进行一次全方位环境卫生普查，并根据普查结果，对保洁区域环境卫生进行一次“大扫除”，清除、清运保洁区域内历史积存的所有垃圾，使街道面貌得以改善。</w:t>
      </w:r>
    </w:p>
    <w:p>
      <w:pPr>
        <w:widowControl/>
        <w:autoSpaceDE w:val="0"/>
        <w:autoSpaceDN w:val="0"/>
        <w:spacing w:line="288" w:lineRule="auto"/>
        <w:ind w:firstLine="221" w:firstLineChars="100"/>
        <w:textAlignment w:val="bottom"/>
        <w:rPr>
          <w:rFonts w:ascii="宋体"/>
          <w:b/>
          <w:bCs/>
          <w:color w:val="auto"/>
          <w:sz w:val="22"/>
          <w:highlight w:val="none"/>
        </w:rPr>
      </w:pPr>
      <w:r>
        <w:rPr>
          <w:rFonts w:hint="eastAsia" w:ascii="宋体"/>
          <w:b/>
          <w:bCs/>
          <w:color w:val="auto"/>
          <w:sz w:val="22"/>
          <w:highlight w:val="none"/>
        </w:rPr>
        <w:t>（八）智慧环卫平台监管（</w:t>
      </w:r>
      <w:r>
        <w:rPr>
          <w:rFonts w:hint="eastAsia" w:ascii="宋体" w:hAnsi="宋体" w:cs="宋体"/>
          <w:b/>
          <w:color w:val="auto"/>
          <w:kern w:val="0"/>
          <w:sz w:val="22"/>
          <w:szCs w:val="22"/>
          <w:highlight w:val="none"/>
        </w:rPr>
        <w:t>中标公司必须建立高效的环卫作业GPS管理平台</w:t>
      </w:r>
      <w:r>
        <w:rPr>
          <w:rFonts w:hint="eastAsia" w:ascii="宋体"/>
          <w:b/>
          <w:bCs/>
          <w:color w:val="auto"/>
          <w:sz w:val="22"/>
          <w:highlight w:val="none"/>
        </w:rPr>
        <w:t>）：</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中标人必须向采购人提供项目专用作业车辆GPS定位、作业视频监控查询功能系统，可供采购人随时检查车辆位置及工作情况。</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保洁人员的基本信息（如：身份证或市民卡信息、医疗、社保、工伤、体检情况等信息和资料）；</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必须建立保洁人员编码、佩戴定位、电子围栏、双线通话、显示功能的芯片（定位信息卡），并在保洁作业时必须佩戴整齐，确保终端实时管控；</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清扫保洁作业车辆的基本信息（如：车辆型号、购置时间、购置价格、年检时间、下次年检时间、驾驶员信息、核定重量、总质量、已使用的年份等信息和资料）；</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清扫保洁作业车辆必须安装车辆定位、超速的预警、跨区域作业预警、作业视频。</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中标单位必须在中标通知书发出后1个月内根据采购人要求车辆管理接入智慧环卫管理平台。</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w:t>
      </w:r>
      <w:r>
        <w:rPr>
          <w:rFonts w:hint="eastAsia" w:ascii="宋体" w:hAnsi="Calibri"/>
          <w:color w:val="auto"/>
          <w:sz w:val="22"/>
          <w:szCs w:val="22"/>
          <w:highlight w:val="none"/>
        </w:rPr>
        <w:t>.</w:t>
      </w:r>
      <w:r>
        <w:rPr>
          <w:rFonts w:hint="eastAsia" w:ascii="宋体" w:hAnsi="宋体" w:cs="宋体"/>
          <w:bCs/>
          <w:color w:val="auto"/>
          <w:kern w:val="0"/>
          <w:sz w:val="22"/>
          <w:szCs w:val="22"/>
          <w:highlight w:val="none"/>
        </w:rPr>
        <w:t>以上环卫作业GPS管理视频管理软、硬件建设资金由中标单位出资建设，投标单位在标书制作时应考虑其成本与维护费用。</w:t>
      </w:r>
    </w:p>
    <w:p>
      <w:pPr>
        <w:widowControl/>
        <w:autoSpaceDE w:val="0"/>
        <w:autoSpaceDN w:val="0"/>
        <w:spacing w:line="360" w:lineRule="auto"/>
        <w:ind w:firstLine="440" w:firstLineChars="200"/>
        <w:textAlignment w:val="bottom"/>
        <w:rPr>
          <w:color w:val="auto"/>
          <w:highlight w:val="none"/>
        </w:rPr>
      </w:pPr>
      <w:r>
        <w:rPr>
          <w:rFonts w:hint="eastAsia" w:ascii="宋体" w:hAnsi="Calibri" w:cs="宋体"/>
          <w:color w:val="auto"/>
          <w:sz w:val="22"/>
          <w:szCs w:val="22"/>
          <w:highlight w:val="none"/>
        </w:rPr>
        <w:t>8</w:t>
      </w:r>
      <w:r>
        <w:rPr>
          <w:rFonts w:hint="eastAsia" w:ascii="宋体" w:hAnsi="Calibri"/>
          <w:color w:val="auto"/>
          <w:sz w:val="22"/>
          <w:szCs w:val="22"/>
          <w:highlight w:val="none"/>
        </w:rPr>
        <w:t>.</w:t>
      </w:r>
      <w:r>
        <w:rPr>
          <w:rFonts w:hint="eastAsia" w:ascii="宋体" w:hAnsi="Calibri" w:cs="宋体"/>
          <w:color w:val="auto"/>
          <w:sz w:val="22"/>
          <w:szCs w:val="22"/>
          <w:highlight w:val="none"/>
        </w:rPr>
        <w:t>为了保障环卫工人的安全，建议提高安全质量保洁标准。</w:t>
      </w:r>
    </w:p>
    <w:p>
      <w:pPr>
        <w:widowControl/>
        <w:autoSpaceDE w:val="0"/>
        <w:autoSpaceDN w:val="0"/>
        <w:spacing w:line="460" w:lineRule="atLeast"/>
        <w:textAlignment w:val="bottom"/>
        <w:rPr>
          <w:rFonts w:ascii="宋体"/>
          <w:color w:val="auto"/>
          <w:sz w:val="22"/>
          <w:szCs w:val="22"/>
          <w:highlight w:val="none"/>
        </w:rPr>
      </w:pPr>
      <w:r>
        <w:rPr>
          <w:rFonts w:hint="eastAsia" w:ascii="宋体"/>
          <w:b/>
          <w:bCs/>
          <w:color w:val="auto"/>
          <w:sz w:val="22"/>
          <w:highlight w:val="none"/>
        </w:rPr>
        <w:t>（九）人员、设备要求及说明</w:t>
      </w:r>
    </w:p>
    <w:p>
      <w:pPr>
        <w:widowControl/>
        <w:autoSpaceDE w:val="0"/>
        <w:autoSpaceDN w:val="0"/>
        <w:spacing w:line="460" w:lineRule="atLeast"/>
        <w:ind w:firstLine="221" w:firstLineChars="100"/>
        <w:textAlignment w:val="bottom"/>
        <w:rPr>
          <w:rFonts w:ascii="宋体"/>
          <w:b/>
          <w:bCs/>
          <w:color w:val="auto"/>
          <w:sz w:val="22"/>
          <w:highlight w:val="none"/>
        </w:rPr>
      </w:pPr>
      <w:r>
        <w:rPr>
          <w:rFonts w:hint="eastAsia" w:ascii="宋体"/>
          <w:b/>
          <w:bCs/>
          <w:color w:val="auto"/>
          <w:sz w:val="22"/>
          <w:highlight w:val="none"/>
        </w:rPr>
        <w:t>1</w:t>
      </w:r>
      <w:r>
        <w:rPr>
          <w:rFonts w:hint="eastAsia" w:ascii="宋体" w:hAnsi="Calibri"/>
          <w:color w:val="auto"/>
          <w:sz w:val="22"/>
          <w:szCs w:val="22"/>
          <w:highlight w:val="none"/>
        </w:rPr>
        <w:t>.</w:t>
      </w:r>
      <w:r>
        <w:rPr>
          <w:rFonts w:hint="eastAsia" w:ascii="宋体"/>
          <w:b/>
          <w:bCs/>
          <w:color w:val="auto"/>
          <w:sz w:val="22"/>
          <w:highlight w:val="none"/>
        </w:rPr>
        <w:t>说明</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（1）遇重大活动或突发事件，中标供应商必须服从采购人统一指挥，及时组织力量做好清扫保洁等保障工作，费用包含在投标总报价中。</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非本地企业中标后，必须在永嘉县设立（分）公司并开立银行账户。在中标通知书发出之日（以中标通知书上落款日期为准时间）起十五个工作日内在永嘉县范围内设立（分）公司（以企业登记主管部门登记为准），若中标后不能在规定日期内设立分公司的，取消其中标资格。</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中标供应商必须服从采购人关于有利于管理的细节工作安排，应建立监管平台，并由专人负责收集信息，在接到采购人检查保洁未到位通知（可以是照片、信息或书面等形式）后，应在1小时内处理完毕，并当场将处理结果拍照传至采购人。</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（4）中标后的供应商应派1人参加采购人组织的道路卫生巡查工作，交通工具及产生费用由供应商负责提供。</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（5）遇有不可抗力因素，且超出供应商工作能力范围的，供应商应无条件配合采购人做好保洁工作，所发生的额外费用由双方协商解决。</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（6）在合同期内，因市政建设需要征用、临时占用需要调整中标人清扫保洁面积时，采购人根据占用的时间和面积数，扣除相应的清扫保洁费，中标供应商应无条件服从。</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（7）在合同期内，出现新增（减）道路，新增（减）社区或因改造、改建  新增（减）清扫保洁面积时，采购人将根据实际情况做出调整，同量调整相应的清扫保洁费用，中标人供应商应无条件服从。</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（8）本清扫保洁作业除在招投标文件中列明并经采购单位同意外，中标人不得将本项目分包与转包，一经发现立即取消承包资格，作违约处理，并承担由此引起的法律责任及一切经济损失。</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9）中标人必须在中标后十五天内，根据国家建设部［2007］157令第十八条、十九条内容规定向行业主管部门申请办理《城市生活垃圾经营性清扫、收集服务许可证》，逾期或条件不具备将作取消中标资格处理并没收投标保证金（如有）全额。</w:t>
      </w:r>
    </w:p>
    <w:p>
      <w:pPr>
        <w:widowControl/>
        <w:autoSpaceDE w:val="0"/>
        <w:autoSpaceDN w:val="0"/>
        <w:spacing w:line="460" w:lineRule="atLeast"/>
        <w:textAlignment w:val="bottom"/>
        <w:rPr>
          <w:rFonts w:ascii="宋体" w:hAnsi="Calibri"/>
          <w:color w:val="auto"/>
          <w:sz w:val="22"/>
          <w:szCs w:val="22"/>
          <w:highlight w:val="none"/>
        </w:rPr>
      </w:pPr>
      <w:r>
        <w:rPr>
          <w:rFonts w:hint="eastAsia" w:ascii="宋体"/>
          <w:b/>
          <w:bCs/>
          <w:color w:val="auto"/>
          <w:sz w:val="22"/>
          <w:highlight w:val="none"/>
        </w:rPr>
        <w:t>2</w:t>
      </w:r>
      <w:r>
        <w:rPr>
          <w:rFonts w:hint="eastAsia" w:ascii="宋体" w:hAnsi="Calibri"/>
          <w:color w:val="auto"/>
          <w:sz w:val="22"/>
          <w:szCs w:val="22"/>
          <w:highlight w:val="none"/>
        </w:rPr>
        <w:t>.</w:t>
      </w:r>
      <w:r>
        <w:rPr>
          <w:rFonts w:hint="eastAsia" w:ascii="宋体"/>
          <w:b/>
          <w:bCs/>
          <w:color w:val="auto"/>
          <w:sz w:val="22"/>
          <w:highlight w:val="none"/>
        </w:rPr>
        <w:t>人员配备要求</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（1）▲服务人员分配：运作岗位不少于170人，其中管理人员不少于12人。（包括工人工资、奖金、劳保福利、社保、意外保险、工伤费、住宿费、教育培训费及处理一切伤亡事故等费用）</w:t>
      </w:r>
    </w:p>
    <w:p>
      <w:pPr>
        <w:pStyle w:val="776"/>
        <w:ind w:firstLine="442"/>
        <w:rPr>
          <w:rFonts w:eastAsia="新宋体"/>
          <w:color w:val="auto"/>
          <w:highlight w:val="none"/>
        </w:rPr>
      </w:pPr>
      <w:r>
        <w:rPr>
          <w:rFonts w:hint="eastAsia"/>
          <w:b/>
          <w:color w:val="auto"/>
          <w:sz w:val="22"/>
          <w:highlight w:val="none"/>
          <w:u w:val="single"/>
        </w:rPr>
        <w:t>▲</w:t>
      </w:r>
      <w:r>
        <w:rPr>
          <w:rFonts w:hint="eastAsia" w:ascii="新宋体" w:hAnsi="新宋体" w:eastAsia="新宋体" w:cs="新宋体"/>
          <w:b/>
          <w:bCs/>
          <w:color w:val="auto"/>
          <w:sz w:val="22"/>
          <w:szCs w:val="22"/>
          <w:highlight w:val="none"/>
          <w:u w:val="single"/>
        </w:rPr>
        <w:t>供应商报价低于以下报价要求（包括但不限于），低于或不响应的投标文件作无效标处理。</w:t>
      </w:r>
    </w:p>
    <w:tbl>
      <w:tblPr>
        <w:tblStyle w:val="57"/>
        <w:tblW w:w="9240" w:type="dxa"/>
        <w:jc w:val="center"/>
        <w:tblLayout w:type="autofit"/>
        <w:tblCellMar>
          <w:top w:w="0" w:type="dxa"/>
          <w:left w:w="0" w:type="dxa"/>
          <w:bottom w:w="0" w:type="dxa"/>
          <w:right w:w="0" w:type="dxa"/>
        </w:tblCellMar>
      </w:tblPr>
      <w:tblGrid>
        <w:gridCol w:w="725"/>
        <w:gridCol w:w="8515"/>
      </w:tblGrid>
      <w:tr>
        <w:tblPrEx>
          <w:tblCellMar>
            <w:top w:w="0" w:type="dxa"/>
            <w:left w:w="0" w:type="dxa"/>
            <w:bottom w:w="0" w:type="dxa"/>
            <w:right w:w="0" w:type="dxa"/>
          </w:tblCellMar>
        </w:tblPrEx>
        <w:trPr>
          <w:trHeight w:val="42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序号</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auto"/>
                <w:sz w:val="22"/>
                <w:szCs w:val="22"/>
                <w:highlight w:val="none"/>
              </w:rPr>
            </w:pPr>
            <w:r>
              <w:rPr>
                <w:rFonts w:hint="eastAsia" w:ascii="宋体" w:hAnsi="宋体" w:cs="宋体"/>
                <w:b/>
                <w:color w:val="auto"/>
                <w:kern w:val="0"/>
                <w:sz w:val="22"/>
                <w:szCs w:val="22"/>
                <w:highlight w:val="none"/>
              </w:rPr>
              <w:t>报价要求</w:t>
            </w:r>
          </w:p>
        </w:tc>
      </w:tr>
      <w:tr>
        <w:tblPrEx>
          <w:tblCellMar>
            <w:top w:w="0" w:type="dxa"/>
            <w:left w:w="0" w:type="dxa"/>
            <w:bottom w:w="0" w:type="dxa"/>
            <w:right w:w="0" w:type="dxa"/>
          </w:tblCellMar>
        </w:tblPrEx>
        <w:trPr>
          <w:trHeight w:val="615"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sz w:val="22"/>
                <w:szCs w:val="22"/>
                <w:highlight w:val="none"/>
              </w:rPr>
              <w:t>结合本项目具体情况，要求本次投标供应商员工基本工资最低不得低于永嘉县本年度最低工资标准的110%（最低工资不包括下列四项收入：延长工作时间的工资；中班、夜班、高温、低温、有毒有害等特殊工作环境、条件下的津贴；贴补伙食、住房等支付给劳动者的非货币性收入；法律、法规和国家规定的劳动者福利待遇等）。本项目最低工资标准为每人每月1840*110%=2024元人民币。</w:t>
            </w:r>
          </w:p>
        </w:tc>
      </w:tr>
      <w:tr>
        <w:tblPrEx>
          <w:tblCellMar>
            <w:top w:w="0" w:type="dxa"/>
            <w:left w:w="0" w:type="dxa"/>
            <w:bottom w:w="0" w:type="dxa"/>
            <w:right w:w="0" w:type="dxa"/>
          </w:tblCellMar>
        </w:tblPrEx>
        <w:trPr>
          <w:trHeight w:val="1243"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温州市人力资源和社会保障局以及永嘉县人力资源和社会保障局社保标准计入，包括养老保险、工伤保险、生育保险、失业保险、医疗保险。注：</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养老保险基数为3957，单位须缴纳的比例为14%，即553.98元；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工伤保险基数为3957，单位须缴纳的比例为0.2%，即7.914元；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生育保险基数为3957，单位须缴纳的比例为1%，即39.57元；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失业保险基数为5642，单位须缴纳的比例为0.50%，即28.21元；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医疗保险包括：职工医保一档基数为6594，单位须缴纳的比例为3.6%，即237.38元；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职工门诊统筹基数为6594，单位须缴纳的比例为2%，即131.88元；大病医疗救助统筹2元。</w:t>
            </w:r>
          </w:p>
          <w:p>
            <w:pPr>
              <w:autoSpaceDE w:val="0"/>
              <w:autoSpaceDN w:val="0"/>
              <w:spacing w:line="380" w:lineRule="exact"/>
              <w:ind w:firstLine="440" w:firstLineChars="200"/>
              <w:textAlignment w:val="bottom"/>
              <w:rPr>
                <w:rFonts w:ascii="宋体"/>
                <w:color w:val="auto"/>
                <w:sz w:val="22"/>
                <w:szCs w:val="22"/>
                <w:highlight w:val="none"/>
              </w:rPr>
            </w:pPr>
            <w:r>
              <w:rPr>
                <w:rFonts w:hint="eastAsia" w:ascii="宋体"/>
                <w:color w:val="auto"/>
                <w:sz w:val="22"/>
                <w:szCs w:val="22"/>
                <w:highlight w:val="none"/>
              </w:rPr>
              <w:t>合计：1000.94元/人/月，每人每月社会保险报价不低于合计金额。</w:t>
            </w:r>
          </w:p>
          <w:p>
            <w:pPr>
              <w:autoSpaceDE w:val="0"/>
              <w:autoSpaceDN w:val="0"/>
              <w:spacing w:line="380" w:lineRule="exact"/>
              <w:ind w:firstLine="440" w:firstLineChars="200"/>
              <w:textAlignment w:val="bottom"/>
              <w:rPr>
                <w:rFonts w:ascii="宋体" w:hAnsi="宋体" w:cs="宋体"/>
                <w:color w:val="auto"/>
                <w:sz w:val="22"/>
                <w:szCs w:val="22"/>
                <w:highlight w:val="none"/>
              </w:rPr>
            </w:pPr>
            <w:r>
              <w:rPr>
                <w:rFonts w:hint="eastAsia" w:ascii="宋体"/>
                <w:color w:val="auto"/>
                <w:sz w:val="22"/>
                <w:szCs w:val="22"/>
                <w:highlight w:val="none"/>
              </w:rPr>
              <w:t>注：由于政府部门不定期的发布社会保险基数和金额，社保基数和金额存在动态变化，且各省、各市、各区（县）的社会保险基数和金额也存在差异，本项社会保险金额只针对本次招标作为实质性评审依据。投标供应商填报的社会保险金额符合招标文件中本项规定的，则视为有效。如投标单位按招标文件规定填报的社会保险金额与温州市最新社会保险金额存在差异，导致实际运行成本的变化，均视为投标单位在投标总价中进行了综合考虑，中标后相关报价不予调整。</w:t>
            </w:r>
          </w:p>
        </w:tc>
      </w:tr>
      <w:tr>
        <w:tblPrEx>
          <w:tblCellMar>
            <w:top w:w="0" w:type="dxa"/>
            <w:left w:w="0" w:type="dxa"/>
            <w:bottom w:w="0" w:type="dxa"/>
            <w:right w:w="0" w:type="dxa"/>
          </w:tblCellMar>
        </w:tblPrEx>
        <w:trPr>
          <w:trHeight w:val="58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节假日补贴最少按年度11天计取，要求按最低发放工资标准的三倍发放节假日补贴。本项目要求每人每年不少于2226元人民币。</w:t>
            </w:r>
          </w:p>
        </w:tc>
      </w:tr>
      <w:tr>
        <w:tblPrEx>
          <w:tblCellMar>
            <w:top w:w="0" w:type="dxa"/>
            <w:left w:w="0" w:type="dxa"/>
            <w:bottom w:w="0" w:type="dxa"/>
            <w:right w:w="0"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高温补贴共4个月（六、七、八、九共四月，逐月发放，一线工人每人每月不低于500元人民币）发放。本项目要求每人每年不少于2000元人民币。</w:t>
            </w:r>
          </w:p>
        </w:tc>
      </w:tr>
      <w:tr>
        <w:tblPrEx>
          <w:tblCellMar>
            <w:top w:w="0" w:type="dxa"/>
            <w:left w:w="0" w:type="dxa"/>
            <w:bottom w:w="0" w:type="dxa"/>
            <w:right w:w="0" w:type="dxa"/>
          </w:tblCellMar>
        </w:tblPrEx>
        <w:trPr>
          <w:trHeight w:val="60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特殊岗位津贴发放标准按10元/每人/每出勤日。本项目要求每人每年不少于3650元人民币。</w:t>
            </w:r>
          </w:p>
        </w:tc>
      </w:tr>
      <w:tr>
        <w:tblPrEx>
          <w:tblCellMar>
            <w:top w:w="0" w:type="dxa"/>
            <w:left w:w="0" w:type="dxa"/>
            <w:bottom w:w="0" w:type="dxa"/>
            <w:right w:w="0" w:type="dxa"/>
          </w:tblCellMar>
        </w:tblPrEx>
        <w:trPr>
          <w:trHeight w:val="60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中标供应商须为职工办理职工人身意外保险（每人保额不得低于50万。每人每年不得低于600元人民币）。</w:t>
            </w:r>
          </w:p>
        </w:tc>
      </w:tr>
      <w:tr>
        <w:tblPrEx>
          <w:tblCellMar>
            <w:top w:w="0" w:type="dxa"/>
            <w:left w:w="0" w:type="dxa"/>
            <w:bottom w:w="0" w:type="dxa"/>
            <w:right w:w="0" w:type="dxa"/>
          </w:tblCellMar>
        </w:tblPrEx>
        <w:trPr>
          <w:trHeight w:val="60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所有道路保洁人员的工具耗材费（包括扫把、畚箕、铁锹、垃圾钳等）及作业服饰（反光衣、反光袖套、工作服装、手套等）由供应商自行负责配备，配备标准不得低于900元/人/年，包含在投标总价中。</w:t>
            </w:r>
          </w:p>
        </w:tc>
      </w:tr>
      <w:tr>
        <w:tblPrEx>
          <w:tblCellMar>
            <w:top w:w="0" w:type="dxa"/>
            <w:left w:w="0" w:type="dxa"/>
            <w:bottom w:w="0" w:type="dxa"/>
            <w:right w:w="0"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环卫作业GPS管理平台软件硬件建设、维护及流量费用，每人每年不少于500元。</w:t>
            </w:r>
          </w:p>
        </w:tc>
      </w:tr>
      <w:tr>
        <w:tblPrEx>
          <w:tblCellMar>
            <w:top w:w="0" w:type="dxa"/>
            <w:left w:w="0" w:type="dxa"/>
            <w:bottom w:w="0" w:type="dxa"/>
            <w:right w:w="0" w:type="dxa"/>
          </w:tblCellMar>
        </w:tblPrEx>
        <w:trPr>
          <w:trHeight w:val="60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投入的作业机械车辆不得少于招标文件要求，所有作业机械车辆费用报价不得低于投标总价的20%;(包含车辆损耗及维修、保养、油耗等涉及的车辆所有费用)</w:t>
            </w:r>
          </w:p>
        </w:tc>
      </w:tr>
      <w:tr>
        <w:tblPrEx>
          <w:tblCellMar>
            <w:top w:w="0" w:type="dxa"/>
            <w:left w:w="0" w:type="dxa"/>
            <w:bottom w:w="0" w:type="dxa"/>
            <w:right w:w="0" w:type="dxa"/>
          </w:tblCellMar>
        </w:tblPrEx>
        <w:trPr>
          <w:trHeight w:val="64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管理费不得低于投标总价的1%。</w:t>
            </w:r>
          </w:p>
        </w:tc>
      </w:tr>
      <w:tr>
        <w:tblPrEx>
          <w:tblCellMar>
            <w:top w:w="0" w:type="dxa"/>
            <w:left w:w="0" w:type="dxa"/>
            <w:bottom w:w="0" w:type="dxa"/>
            <w:right w:w="0" w:type="dxa"/>
          </w:tblCellMar>
        </w:tblPrEx>
        <w:trPr>
          <w:trHeight w:val="64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jc w:val="center"/>
              <w:textAlignment w:val="bottom"/>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利润金额不得低于投标报价的5%。</w:t>
            </w:r>
          </w:p>
        </w:tc>
      </w:tr>
      <w:tr>
        <w:tblPrEx>
          <w:tblCellMar>
            <w:top w:w="0" w:type="dxa"/>
            <w:left w:w="0" w:type="dxa"/>
            <w:bottom w:w="0" w:type="dxa"/>
            <w:right w:w="0" w:type="dxa"/>
          </w:tblCellMar>
        </w:tblPrEx>
        <w:trPr>
          <w:trHeight w:val="640" w:hRule="atLeast"/>
          <w:jc w:val="center"/>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jc w:val="center"/>
              <w:textAlignment w:val="bottom"/>
              <w:rPr>
                <w:rFonts w:ascii="宋体" w:hAnsi="宋体" w:cs="宋体"/>
                <w:color w:val="auto"/>
                <w:szCs w:val="21"/>
                <w:highlight w:val="none"/>
              </w:rPr>
            </w:pPr>
            <w:r>
              <w:rPr>
                <w:rFonts w:hint="eastAsia" w:ascii="宋体" w:hAnsi="宋体" w:cs="宋体"/>
                <w:color w:val="auto"/>
                <w:kern w:val="0"/>
                <w:sz w:val="22"/>
                <w:szCs w:val="22"/>
                <w:highlight w:val="none"/>
              </w:rPr>
              <w:t>12</w:t>
            </w:r>
          </w:p>
        </w:tc>
        <w:tc>
          <w:tcPr>
            <w:tcW w:w="8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utoSpaceDE w:val="0"/>
              <w:autoSpaceDN w:val="0"/>
              <w:spacing w:line="380" w:lineRule="exact"/>
              <w:ind w:firstLine="440" w:firstLineChars="200"/>
              <w:jc w:val="left"/>
              <w:textAlignment w:val="bottom"/>
              <w:rPr>
                <w:rFonts w:ascii="宋体"/>
                <w:color w:val="auto"/>
                <w:sz w:val="22"/>
                <w:szCs w:val="22"/>
                <w:highlight w:val="none"/>
              </w:rPr>
            </w:pPr>
            <w:r>
              <w:rPr>
                <w:rFonts w:hint="eastAsia" w:ascii="宋体"/>
                <w:color w:val="auto"/>
                <w:sz w:val="22"/>
                <w:szCs w:val="22"/>
                <w:highlight w:val="none"/>
              </w:rPr>
              <w:t>税金不得低于投标总价的8%。</w:t>
            </w:r>
          </w:p>
        </w:tc>
      </w:tr>
    </w:tbl>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（2）必须按有关法律规定为员工购买各类保险。</w:t>
      </w:r>
    </w:p>
    <w:p>
      <w:pPr>
        <w:autoSpaceDE w:val="0"/>
        <w:autoSpaceDN w:val="0"/>
        <w:spacing w:after="120"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（3）供应商的报价应包括为完成本项目服务可能发生的全部费用及供应商的利润和应交纳的税金等。供应商对合同内容的费用、质量、安全、文明服务等实行全面承包。</w:t>
      </w:r>
    </w:p>
    <w:p>
      <w:pPr>
        <w:widowControl/>
        <w:autoSpaceDE w:val="0"/>
        <w:autoSpaceDN w:val="0"/>
        <w:spacing w:line="460" w:lineRule="atLeast"/>
        <w:textAlignment w:val="bottom"/>
        <w:rPr>
          <w:rFonts w:ascii="宋体"/>
          <w:b/>
          <w:bCs/>
          <w:color w:val="auto"/>
          <w:sz w:val="22"/>
          <w:highlight w:val="none"/>
        </w:rPr>
      </w:pPr>
      <w:r>
        <w:rPr>
          <w:rFonts w:hint="eastAsia" w:ascii="宋体"/>
          <w:b/>
          <w:bCs/>
          <w:color w:val="auto"/>
          <w:sz w:val="22"/>
          <w:highlight w:val="none"/>
        </w:rPr>
        <w:t>3</w:t>
      </w:r>
      <w:r>
        <w:rPr>
          <w:rFonts w:hint="eastAsia" w:ascii="宋体" w:hAnsi="Calibri"/>
          <w:color w:val="auto"/>
          <w:sz w:val="22"/>
          <w:szCs w:val="22"/>
          <w:highlight w:val="none"/>
        </w:rPr>
        <w:t>.</w:t>
      </w:r>
      <w:r>
        <w:rPr>
          <w:rFonts w:hint="eastAsia" w:ascii="宋体"/>
          <w:b/>
          <w:bCs/>
          <w:color w:val="auto"/>
          <w:sz w:val="22"/>
          <w:highlight w:val="none"/>
        </w:rPr>
        <w:t>设备要求</w:t>
      </w:r>
    </w:p>
    <w:p>
      <w:pPr>
        <w:widowControl/>
        <w:autoSpaceDE w:val="0"/>
        <w:autoSpaceDN w:val="0"/>
        <w:spacing w:line="460" w:lineRule="atLeast"/>
        <w:textAlignment w:val="bottom"/>
        <w:rPr>
          <w:rFonts w:ascii="宋体"/>
          <w:b/>
          <w:bCs/>
          <w:color w:val="auto"/>
          <w:sz w:val="22"/>
          <w:highlight w:val="none"/>
        </w:rPr>
      </w:pPr>
      <w:r>
        <w:rPr>
          <w:rFonts w:hint="eastAsia" w:ascii="宋体"/>
          <w:b/>
          <w:bCs/>
          <w:color w:val="auto"/>
          <w:sz w:val="22"/>
          <w:highlight w:val="none"/>
        </w:rPr>
        <w:t>▲本项目要求机械车辆投入的最低要求：</w:t>
      </w:r>
    </w:p>
    <w:tbl>
      <w:tblPr>
        <w:tblStyle w:val="57"/>
        <w:tblW w:w="8284" w:type="dxa"/>
        <w:tblInd w:w="93" w:type="dxa"/>
        <w:tblLayout w:type="fixed"/>
        <w:tblCellMar>
          <w:top w:w="0" w:type="dxa"/>
          <w:left w:w="108" w:type="dxa"/>
          <w:bottom w:w="0" w:type="dxa"/>
          <w:right w:w="108" w:type="dxa"/>
        </w:tblCellMar>
      </w:tblPr>
      <w:tblGrid>
        <w:gridCol w:w="1080"/>
        <w:gridCol w:w="2671"/>
        <w:gridCol w:w="1266"/>
        <w:gridCol w:w="1734"/>
        <w:gridCol w:w="1533"/>
      </w:tblGrid>
      <w:tr>
        <w:tblPrEx>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序号</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品种</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数量（辆）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auto"/>
                <w:szCs w:val="21"/>
                <w:highlight w:val="none"/>
              </w:rPr>
            </w:pPr>
            <w:r>
              <w:rPr>
                <w:rFonts w:hint="eastAsia" w:ascii="宋体" w:hAnsi="宋体" w:cs="宋体"/>
                <w:color w:val="auto"/>
                <w:kern w:val="0"/>
                <w:szCs w:val="21"/>
                <w:highlight w:val="none"/>
              </w:rPr>
              <w:t>总质量</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4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道路清扫车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≥15000kg</w:t>
            </w:r>
          </w:p>
        </w:tc>
        <w:tc>
          <w:tcPr>
            <w:tcW w:w="1533" w:type="dxa"/>
            <w:tcBorders>
              <w:top w:val="single" w:color="000000" w:sz="4" w:space="0"/>
              <w:left w:val="single" w:color="000000" w:sz="4" w:space="0"/>
              <w:bottom w:val="single" w:color="auto" w:sz="4" w:space="0"/>
              <w:right w:val="single" w:color="000000"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道路清扫车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洒水车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75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洒水车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小型电动高压冲洗车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重型多功能抑尘车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8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封闭压缩式垃圾清运车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封闭压缩式垃圾清运车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挂桶自卸式电动垃圾车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≥12辆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适用于街巷窄道</w:t>
            </w:r>
          </w:p>
        </w:tc>
      </w:tr>
      <w:tr>
        <w:tblPrEx>
          <w:tblCellMar>
            <w:top w:w="0" w:type="dxa"/>
            <w:left w:w="108" w:type="dxa"/>
            <w:bottom w:w="0" w:type="dxa"/>
            <w:right w:w="108" w:type="dxa"/>
          </w:tblCellMar>
        </w:tblPrEx>
        <w:trPr>
          <w:trHeight w:val="42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小型快速保洁车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≥12辆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ascii="宋体" w:hAnsi="宋体" w:cs="宋体"/>
                <w:color w:val="auto"/>
                <w:kern w:val="0"/>
                <w:szCs w:val="21"/>
                <w:highlight w:val="none"/>
              </w:rPr>
              <w:t>电动护栏清洗车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≥5000kg</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勾臂车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auto"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运送重型垃圾桶</w:t>
            </w:r>
          </w:p>
        </w:tc>
      </w:tr>
      <w:tr>
        <w:tblPrEx>
          <w:tblCellMar>
            <w:top w:w="0" w:type="dxa"/>
            <w:left w:w="108" w:type="dxa"/>
            <w:bottom w:w="0" w:type="dxa"/>
            <w:right w:w="108" w:type="dxa"/>
          </w:tblCellMar>
        </w:tblPrEx>
        <w:trPr>
          <w:trHeight w:val="59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河道保洁船</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≥3艘</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7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管理用车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7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人员清扫保洁电动车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≥70辆</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kern w:val="0"/>
                <w:szCs w:val="21"/>
                <w:highlight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后车厢能够封闭和打开，统一编号</w:t>
            </w:r>
          </w:p>
        </w:tc>
      </w:tr>
      <w:tr>
        <w:tblPrEx>
          <w:tblCellMar>
            <w:top w:w="0" w:type="dxa"/>
            <w:left w:w="108" w:type="dxa"/>
            <w:bottom w:w="0" w:type="dxa"/>
            <w:right w:w="108" w:type="dxa"/>
          </w:tblCellMar>
        </w:tblPrEx>
        <w:trPr>
          <w:trHeight w:val="6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完成本项目所必须的车辆及设备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auto"/>
                <w:kern w:val="0"/>
                <w:sz w:val="24"/>
                <w:highlight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 w:val="24"/>
                <w:highlight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cs="宋体"/>
                <w:b/>
                <w:bCs/>
                <w:color w:val="auto"/>
                <w:szCs w:val="21"/>
                <w:highlight w:val="none"/>
                <w:u w:val="single"/>
              </w:rPr>
            </w:pPr>
          </w:p>
        </w:tc>
      </w:tr>
    </w:tbl>
    <w:p>
      <w:pPr>
        <w:spacing w:line="360" w:lineRule="auto"/>
        <w:ind w:firstLine="630" w:firstLineChars="300"/>
        <w:rPr>
          <w:rFonts w:ascii="宋体" w:hAnsi="宋体" w:cs="宋体"/>
          <w:bCs/>
          <w:color w:val="auto"/>
          <w:szCs w:val="21"/>
          <w:highlight w:val="none"/>
        </w:rPr>
      </w:pPr>
      <w:r>
        <w:rPr>
          <w:rFonts w:hint="eastAsia" w:ascii="宋体" w:hAnsi="宋体" w:cs="宋体"/>
          <w:bCs/>
          <w:color w:val="auto"/>
          <w:szCs w:val="21"/>
          <w:highlight w:val="none"/>
        </w:rPr>
        <w:t>注：① 中标供应商在签订合同时需向采购人提供本项目工作人员花名册、车辆行驶证（如为租赁还须提供汽车租赁协议）。</w:t>
      </w:r>
    </w:p>
    <w:p>
      <w:pPr>
        <w:spacing w:line="360" w:lineRule="auto"/>
        <w:ind w:firstLine="840" w:firstLineChars="400"/>
        <w:rPr>
          <w:rFonts w:ascii="宋体" w:hAnsi="宋体" w:cs="宋体"/>
          <w:bCs/>
          <w:color w:val="auto"/>
          <w:szCs w:val="21"/>
          <w:highlight w:val="none"/>
        </w:rPr>
      </w:pPr>
      <w:r>
        <w:rPr>
          <w:rFonts w:hint="eastAsia" w:ascii="宋体" w:hAnsi="宋体" w:cs="宋体"/>
          <w:bCs/>
          <w:color w:val="auto"/>
          <w:szCs w:val="21"/>
          <w:highlight w:val="none"/>
        </w:rPr>
        <w:t>②驾驶员须持有与驾驶车型相符的驾驶证，且具备熟练驾驶经验，严禁违规、无证驾驶。</w:t>
      </w:r>
    </w:p>
    <w:p>
      <w:pPr>
        <w:spacing w:line="360" w:lineRule="auto"/>
        <w:ind w:firstLine="632" w:firstLineChars="300"/>
        <w:rPr>
          <w:rFonts w:ascii="宋体" w:hAnsi="宋体" w:cs="宋体"/>
          <w:b/>
          <w:color w:val="auto"/>
          <w:szCs w:val="21"/>
          <w:highlight w:val="none"/>
          <w:u w:val="single"/>
        </w:rPr>
      </w:pPr>
      <w:r>
        <w:rPr>
          <w:rFonts w:hint="eastAsia" w:ascii="宋体" w:hAnsi="宋体" w:cs="宋体"/>
          <w:b/>
          <w:color w:val="auto"/>
          <w:szCs w:val="21"/>
          <w:highlight w:val="none"/>
          <w:u w:val="single"/>
        </w:rPr>
        <w:t>▲③以上人员配置表中的人数、设备配置表中的要求为最低要求，如供应商拟投入人数或设备低于此要求的，则作无效标处理。</w:t>
      </w:r>
    </w:p>
    <w:bookmarkEnd w:id="58"/>
    <w:p>
      <w:pPr>
        <w:widowControl/>
        <w:autoSpaceDE w:val="0"/>
        <w:autoSpaceDN w:val="0"/>
        <w:spacing w:line="460" w:lineRule="atLeast"/>
        <w:textAlignment w:val="bottom"/>
        <w:rPr>
          <w:rFonts w:ascii="宋体"/>
          <w:b/>
          <w:bCs/>
          <w:color w:val="auto"/>
          <w:sz w:val="22"/>
          <w:highlight w:val="none"/>
        </w:rPr>
      </w:pPr>
      <w:r>
        <w:rPr>
          <w:rFonts w:hint="eastAsia" w:ascii="宋体"/>
          <w:b/>
          <w:bCs/>
          <w:color w:val="auto"/>
          <w:sz w:val="22"/>
          <w:highlight w:val="none"/>
        </w:rPr>
        <w:t>4</w:t>
      </w:r>
      <w:r>
        <w:rPr>
          <w:rFonts w:hint="eastAsia" w:ascii="宋体" w:hAnsi="Calibri"/>
          <w:color w:val="auto"/>
          <w:sz w:val="22"/>
          <w:szCs w:val="22"/>
          <w:highlight w:val="none"/>
        </w:rPr>
        <w:t>.</w:t>
      </w:r>
      <w:r>
        <w:rPr>
          <w:rFonts w:hint="eastAsia" w:ascii="宋体"/>
          <w:b/>
          <w:bCs/>
          <w:color w:val="auto"/>
          <w:sz w:val="22"/>
          <w:highlight w:val="none"/>
        </w:rPr>
        <w:t>其他要求</w:t>
      </w:r>
    </w:p>
    <w:bookmarkEnd w:id="57"/>
    <w:p>
      <w:pPr>
        <w:widowControl/>
        <w:autoSpaceDE w:val="0"/>
        <w:autoSpaceDN w:val="0"/>
        <w:spacing w:line="460" w:lineRule="atLeast"/>
        <w:ind w:firstLine="221" w:firstLineChars="100"/>
        <w:textAlignment w:val="bottom"/>
        <w:rPr>
          <w:rFonts w:ascii="宋体"/>
          <w:b/>
          <w:bCs/>
          <w:color w:val="auto"/>
          <w:sz w:val="22"/>
          <w:highlight w:val="none"/>
        </w:rPr>
      </w:pPr>
      <w:r>
        <w:rPr>
          <w:rFonts w:hint="eastAsia" w:ascii="宋体"/>
          <w:b/>
          <w:bCs/>
          <w:color w:val="auto"/>
          <w:sz w:val="22"/>
          <w:highlight w:val="none"/>
        </w:rPr>
        <w:t>1.现场条件：</w:t>
      </w:r>
    </w:p>
    <w:p>
      <w:pPr>
        <w:spacing w:line="400" w:lineRule="exact"/>
        <w:ind w:firstLine="440" w:firstLineChars="200"/>
        <w:rPr>
          <w:color w:val="auto"/>
          <w:highlight w:val="none"/>
        </w:rPr>
      </w:pPr>
      <w:r>
        <w:rPr>
          <w:rFonts w:hint="eastAsia" w:ascii="新宋体" w:hAnsi="新宋体" w:eastAsia="新宋体"/>
          <w:color w:val="auto"/>
          <w:sz w:val="22"/>
          <w:szCs w:val="22"/>
          <w:highlight w:val="none"/>
        </w:rPr>
        <w:t>（1）</w:t>
      </w:r>
      <w:r>
        <w:rPr>
          <w:rFonts w:hint="eastAsia"/>
          <w:color w:val="auto"/>
          <w:highlight w:val="none"/>
        </w:rPr>
        <w:t>此次采购所涉及的人员住房、作业工具均由供应商自行负责解决。</w:t>
      </w:r>
    </w:p>
    <w:p>
      <w:pPr>
        <w:spacing w:line="400" w:lineRule="exact"/>
        <w:ind w:firstLine="440" w:firstLineChars="200"/>
        <w:rPr>
          <w:color w:val="auto"/>
          <w:highlight w:val="none"/>
        </w:rPr>
      </w:pPr>
      <w:r>
        <w:rPr>
          <w:rFonts w:hint="eastAsia" w:ascii="新宋体" w:hAnsi="新宋体" w:eastAsia="新宋体"/>
          <w:color w:val="auto"/>
          <w:sz w:val="22"/>
          <w:szCs w:val="22"/>
          <w:highlight w:val="none"/>
        </w:rPr>
        <w:t>（2）</w:t>
      </w:r>
      <w:r>
        <w:rPr>
          <w:rFonts w:hint="eastAsia"/>
          <w:color w:val="auto"/>
          <w:highlight w:val="none"/>
        </w:rPr>
        <w:t>作业工具车辆的临时停放场地由供应商负责建设，要求中标通知书发出后1个月内建成停车场，逾期一天罚款1000元，停车场需具备清洗及排污功能，作业车辆要求规范统一停放。</w:t>
      </w:r>
    </w:p>
    <w:p>
      <w:pPr>
        <w:spacing w:line="400" w:lineRule="exact"/>
        <w:ind w:firstLine="440" w:firstLineChars="200"/>
        <w:rPr>
          <w:color w:val="auto"/>
          <w:highlight w:val="none"/>
        </w:rPr>
      </w:pPr>
      <w:r>
        <w:rPr>
          <w:rFonts w:hint="eastAsia" w:ascii="新宋体" w:hAnsi="新宋体" w:eastAsia="新宋体"/>
          <w:color w:val="auto"/>
          <w:sz w:val="22"/>
          <w:szCs w:val="22"/>
          <w:highlight w:val="none"/>
        </w:rPr>
        <w:t>（3）</w:t>
      </w:r>
      <w:r>
        <w:rPr>
          <w:rFonts w:hint="eastAsia"/>
          <w:color w:val="auto"/>
          <w:highlight w:val="none"/>
        </w:rPr>
        <w:t>中标人必须在中标通知书发出15日内达到相关设备要求，若在规定时间内达不到设备要求，采购人可以取消中标资格，并没收履约担保金。</w:t>
      </w:r>
    </w:p>
    <w:p>
      <w:pPr>
        <w:spacing w:line="400" w:lineRule="exact"/>
        <w:ind w:firstLine="440" w:firstLineChars="200"/>
        <w:rPr>
          <w:color w:val="auto"/>
          <w:highlight w:val="none"/>
        </w:rPr>
      </w:pPr>
      <w:r>
        <w:rPr>
          <w:rFonts w:hint="eastAsia" w:ascii="新宋体" w:hAnsi="新宋体" w:eastAsia="新宋体"/>
          <w:color w:val="auto"/>
          <w:sz w:val="22"/>
          <w:szCs w:val="22"/>
          <w:highlight w:val="none"/>
        </w:rPr>
        <w:t>（4）</w:t>
      </w:r>
      <w:r>
        <w:rPr>
          <w:rFonts w:hint="eastAsia"/>
          <w:color w:val="auto"/>
          <w:highlight w:val="none"/>
        </w:rPr>
        <w:t>清扫专用车：要符合密闭运输的要求，有编号、有监督电话、有责任单位，能满足垃圾及时清运的要求，全年的扫帚等清扫机具材料要落实。</w:t>
      </w:r>
    </w:p>
    <w:p>
      <w:pPr>
        <w:spacing w:line="400" w:lineRule="exact"/>
        <w:ind w:firstLine="440" w:firstLineChars="200"/>
        <w:rPr>
          <w:color w:val="auto"/>
          <w:highlight w:val="none"/>
        </w:rPr>
      </w:pPr>
      <w:r>
        <w:rPr>
          <w:rFonts w:hint="eastAsia" w:ascii="新宋体" w:hAnsi="新宋体" w:eastAsia="新宋体"/>
          <w:color w:val="auto"/>
          <w:sz w:val="22"/>
          <w:szCs w:val="22"/>
          <w:highlight w:val="none"/>
        </w:rPr>
        <w:t>（5）</w:t>
      </w:r>
      <w:r>
        <w:rPr>
          <w:rFonts w:hint="eastAsia" w:ascii="宋体" w:hAnsi="宋体"/>
          <w:color w:val="auto"/>
          <w:szCs w:val="21"/>
          <w:highlight w:val="none"/>
        </w:rPr>
        <w:t>专用车辆的保险保养费、修理费、油费和水费等均由供应商自行负责</w:t>
      </w:r>
      <w:r>
        <w:rPr>
          <w:rFonts w:hint="eastAsia"/>
          <w:color w:val="auto"/>
          <w:highlight w:val="none"/>
        </w:rPr>
        <w:t>。</w:t>
      </w:r>
    </w:p>
    <w:p>
      <w:pPr>
        <w:pStyle w:val="25"/>
        <w:ind w:firstLine="210"/>
        <w:rPr>
          <w:color w:val="auto"/>
          <w:highlight w:val="none"/>
        </w:rPr>
      </w:pPr>
      <w:r>
        <w:rPr>
          <w:rFonts w:hint="eastAsia"/>
          <w:color w:val="auto"/>
          <w:highlight w:val="none"/>
        </w:rPr>
        <w:t>（6）机械作业车辆、设备须专车专用，集中停放，停车场地由中标供应商自行解决。中标供应商须配置洗车设备，车辆外观整洁，及时清洗。</w:t>
      </w:r>
    </w:p>
    <w:p>
      <w:pPr>
        <w:widowControl/>
        <w:autoSpaceDE w:val="0"/>
        <w:autoSpaceDN w:val="0"/>
        <w:spacing w:line="460" w:lineRule="atLeast"/>
        <w:ind w:firstLine="221" w:firstLineChars="100"/>
        <w:textAlignment w:val="bottom"/>
        <w:rPr>
          <w:rFonts w:ascii="宋体"/>
          <w:b/>
          <w:bCs/>
          <w:color w:val="auto"/>
          <w:sz w:val="22"/>
          <w:highlight w:val="none"/>
        </w:rPr>
      </w:pPr>
      <w:r>
        <w:rPr>
          <w:rFonts w:hint="eastAsia" w:ascii="宋体"/>
          <w:b/>
          <w:bCs/>
          <w:color w:val="auto"/>
          <w:sz w:val="22"/>
          <w:highlight w:val="none"/>
        </w:rPr>
        <w:t>2.安全责任</w:t>
      </w:r>
    </w:p>
    <w:p>
      <w:pPr>
        <w:spacing w:line="400" w:lineRule="exact"/>
        <w:ind w:firstLine="440" w:firstLineChars="200"/>
        <w:rPr>
          <w:b/>
          <w:color w:val="auto"/>
          <w:highlight w:val="none"/>
        </w:rPr>
      </w:pPr>
      <w:r>
        <w:rPr>
          <w:rFonts w:hint="eastAsia" w:ascii="新宋体" w:hAnsi="新宋体" w:eastAsia="新宋体"/>
          <w:color w:val="auto"/>
          <w:sz w:val="22"/>
          <w:szCs w:val="22"/>
          <w:highlight w:val="none"/>
        </w:rPr>
        <w:t>（1）</w:t>
      </w:r>
      <w:r>
        <w:rPr>
          <w:rFonts w:hint="eastAsia" w:ascii="宋体" w:hAnsi="宋体"/>
          <w:color w:val="auto"/>
          <w:szCs w:val="21"/>
          <w:highlight w:val="none"/>
        </w:rPr>
        <w:t>落实安全防火和安全生产措施。</w:t>
      </w:r>
    </w:p>
    <w:p>
      <w:pPr>
        <w:spacing w:line="400" w:lineRule="exact"/>
        <w:ind w:firstLine="446" w:firstLineChars="203"/>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hint="eastAsia" w:ascii="宋体" w:hAnsi="宋体"/>
          <w:color w:val="auto"/>
          <w:szCs w:val="21"/>
          <w:highlight w:val="none"/>
        </w:rPr>
        <w:t>中标供应商提供的用于本项目的机动车辆如出安全事故，则由其自行负责处理并承担相应责任和费用。</w:t>
      </w:r>
    </w:p>
    <w:p>
      <w:pPr>
        <w:spacing w:line="400" w:lineRule="exact"/>
        <w:ind w:firstLine="440" w:firstLineChars="200"/>
        <w:rPr>
          <w:b/>
          <w:color w:val="auto"/>
          <w:highlight w:val="none"/>
        </w:rPr>
      </w:pPr>
      <w:r>
        <w:rPr>
          <w:rFonts w:hint="eastAsia" w:ascii="新宋体" w:hAnsi="新宋体" w:eastAsia="新宋体"/>
          <w:color w:val="auto"/>
          <w:sz w:val="22"/>
          <w:szCs w:val="22"/>
          <w:highlight w:val="none"/>
        </w:rPr>
        <w:t>（3）</w:t>
      </w:r>
      <w:r>
        <w:rPr>
          <w:rFonts w:hint="eastAsia" w:ascii="宋体" w:hAnsi="宋体"/>
          <w:color w:val="auto"/>
          <w:szCs w:val="21"/>
          <w:highlight w:val="none"/>
        </w:rPr>
        <w:t>中标供应商负责作业过程中的事故处理和一切相关费用。</w:t>
      </w:r>
    </w:p>
    <w:p>
      <w:pPr>
        <w:widowControl/>
        <w:autoSpaceDE w:val="0"/>
        <w:autoSpaceDN w:val="0"/>
        <w:spacing w:line="460" w:lineRule="atLeast"/>
        <w:ind w:firstLine="221" w:firstLineChars="100"/>
        <w:textAlignment w:val="bottom"/>
        <w:rPr>
          <w:rFonts w:ascii="宋体"/>
          <w:b/>
          <w:bCs/>
          <w:color w:val="auto"/>
          <w:sz w:val="22"/>
          <w:highlight w:val="none"/>
        </w:rPr>
      </w:pPr>
      <w:r>
        <w:rPr>
          <w:rFonts w:hint="eastAsia" w:ascii="宋体"/>
          <w:b/>
          <w:bCs/>
          <w:color w:val="auto"/>
          <w:sz w:val="22"/>
          <w:highlight w:val="none"/>
        </w:rPr>
        <w:t>3.考核及处罚标准</w:t>
      </w:r>
    </w:p>
    <w:p>
      <w:pPr>
        <w:spacing w:line="400" w:lineRule="exact"/>
        <w:ind w:firstLine="420" w:firstLineChars="200"/>
        <w:rPr>
          <w:color w:val="auto"/>
          <w:highlight w:val="none"/>
        </w:rPr>
      </w:pPr>
      <w:r>
        <w:rPr>
          <w:rFonts w:hint="eastAsia"/>
          <w:color w:val="auto"/>
          <w:highlight w:val="none"/>
        </w:rPr>
        <w:t>本次考核由业主单位组织进行检查考评，检查将采取明检、暗检相结合的方式，以暗检为主，具体考核细则、办法及处罚标准参照合同附件一、附件二中的有关规定。（注：合同履行首年的第一个月为过渡适应期，该月只考核，不扣分。）</w:t>
      </w:r>
    </w:p>
    <w:p>
      <w:pPr>
        <w:widowControl/>
        <w:autoSpaceDE w:val="0"/>
        <w:autoSpaceDN w:val="0"/>
        <w:spacing w:line="460" w:lineRule="atLeast"/>
        <w:ind w:firstLine="221" w:firstLineChars="100"/>
        <w:textAlignment w:val="bottom"/>
        <w:rPr>
          <w:rFonts w:ascii="宋体"/>
          <w:b/>
          <w:bCs/>
          <w:color w:val="auto"/>
          <w:sz w:val="22"/>
          <w:highlight w:val="none"/>
        </w:rPr>
      </w:pPr>
      <w:r>
        <w:rPr>
          <w:rFonts w:hint="eastAsia" w:ascii="宋体"/>
          <w:b/>
          <w:bCs/>
          <w:color w:val="auto"/>
          <w:sz w:val="22"/>
          <w:highlight w:val="none"/>
        </w:rPr>
        <w:t>4.承包期限</w:t>
      </w:r>
    </w:p>
    <w:p>
      <w:pPr>
        <w:spacing w:line="440" w:lineRule="exact"/>
        <w:ind w:firstLine="420" w:firstLineChars="200"/>
        <w:rPr>
          <w:rFonts w:ascii="宋体" w:hAnsi="宋体"/>
          <w:color w:val="auto"/>
          <w:szCs w:val="21"/>
          <w:highlight w:val="none"/>
        </w:rPr>
      </w:pPr>
      <w:r>
        <w:rPr>
          <w:rFonts w:hint="eastAsia"/>
          <w:color w:val="auto"/>
          <w:highlight w:val="none"/>
        </w:rPr>
        <w:t>承包期限：三年（从承包合同签订之日起），合同“一年一签”（承包人在承包年年终考核达到85分以上的，且采购人对供应商上一年的服务质量满意，可续签下一年的合同（第二年和第三年除政策性调整外，其合同价不予调整）。</w:t>
      </w:r>
    </w:p>
    <w:p>
      <w:pPr>
        <w:numPr>
          <w:ilvl w:val="0"/>
          <w:numId w:val="2"/>
        </w:numPr>
        <w:spacing w:line="440" w:lineRule="exact"/>
        <w:ind w:firstLine="442" w:firstLineChars="200"/>
        <w:rPr>
          <w:rFonts w:ascii="宋体"/>
          <w:b/>
          <w:bCs/>
          <w:color w:val="auto"/>
          <w:sz w:val="22"/>
          <w:highlight w:val="none"/>
        </w:rPr>
      </w:pPr>
      <w:r>
        <w:rPr>
          <w:rFonts w:hint="eastAsia" w:ascii="宋体"/>
          <w:b/>
          <w:bCs/>
          <w:color w:val="auto"/>
          <w:sz w:val="22"/>
          <w:highlight w:val="none"/>
        </w:rPr>
        <w:t>其他</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（1）本次采购不包括垃圾中转站的维护，但中标人必须将垃圾全部运往垃圾中转站。</w:t>
      </w:r>
    </w:p>
    <w:p>
      <w:pPr>
        <w:spacing w:line="440" w:lineRule="exact"/>
        <w:ind w:firstLine="420" w:firstLineChars="200"/>
        <w:rPr>
          <w:rFonts w:ascii="宋体" w:hAnsi="Calibri"/>
          <w:b/>
          <w:bCs/>
          <w:color w:val="auto"/>
          <w:sz w:val="22"/>
          <w:szCs w:val="22"/>
          <w:highlight w:val="none"/>
        </w:rPr>
      </w:pPr>
      <w:r>
        <w:rPr>
          <w:rFonts w:hint="eastAsia" w:ascii="宋体" w:hAnsi="宋体"/>
          <w:color w:val="auto"/>
          <w:szCs w:val="21"/>
          <w:highlight w:val="none"/>
        </w:rPr>
        <w:t>（2）破损、丢失及影响城市市容的垃圾桶、果壳箱作业，供应商必须及时进行</w:t>
      </w:r>
      <w:r>
        <w:rPr>
          <w:rFonts w:hint="eastAsia" w:ascii="宋体" w:hAnsi="宋体"/>
          <w:b/>
          <w:bCs/>
          <w:color w:val="auto"/>
          <w:szCs w:val="21"/>
          <w:highlight w:val="none"/>
        </w:rPr>
        <w:t>免费维修</w:t>
      </w:r>
      <w:r>
        <w:rPr>
          <w:rFonts w:hint="eastAsia" w:ascii="宋体" w:hAnsi="Calibri"/>
          <w:b/>
          <w:bCs/>
          <w:color w:val="auto"/>
          <w:sz w:val="22"/>
          <w:szCs w:val="22"/>
          <w:highlight w:val="none"/>
        </w:rPr>
        <w:t>或更换补齐。</w:t>
      </w:r>
    </w:p>
    <w:p>
      <w:pPr>
        <w:spacing w:line="400" w:lineRule="exact"/>
        <w:ind w:firstLine="422" w:firstLineChars="200"/>
        <w:rPr>
          <w:b/>
          <w:bCs/>
          <w:color w:val="auto"/>
          <w:highlight w:val="none"/>
        </w:rPr>
      </w:pPr>
      <w:r>
        <w:rPr>
          <w:rFonts w:hint="eastAsia" w:ascii="宋体" w:hAnsi="宋体"/>
          <w:b/>
          <w:bCs/>
          <w:color w:val="auto"/>
          <w:szCs w:val="21"/>
          <w:highlight w:val="none"/>
        </w:rPr>
        <w:t>（3）在合同期内，出现新增道路、河道，新增小区或因改造、改建、城中村改造、减少（新增）清扫保洁面积时，采购人将根据实际情况做出调整，或减少（增加）清扫保洁费的决定，供应商须无条件服从。</w:t>
      </w:r>
    </w:p>
    <w:p>
      <w:pPr>
        <w:widowControl/>
        <w:adjustRightInd/>
        <w:jc w:val="left"/>
        <w:rPr>
          <w:rFonts w:ascii="新宋体" w:hAnsi="新宋体" w:eastAsia="新宋体" w:cs="新宋体"/>
          <w:b/>
          <w:bCs/>
          <w:color w:val="auto"/>
          <w:sz w:val="22"/>
          <w:szCs w:val="22"/>
          <w:highlight w:val="none"/>
        </w:rPr>
      </w:pPr>
      <w:r>
        <w:rPr>
          <w:rFonts w:ascii="新宋体" w:hAnsi="新宋体" w:eastAsia="新宋体" w:cs="新宋体"/>
          <w:b/>
          <w:bCs/>
          <w:color w:val="auto"/>
          <w:sz w:val="22"/>
          <w:szCs w:val="22"/>
          <w:highlight w:val="none"/>
        </w:rPr>
        <w:br w:type="page"/>
      </w:r>
    </w:p>
    <w:p>
      <w:pPr>
        <w:snapToGrid w:val="0"/>
        <w:spacing w:beforeLines="150" w:afterLines="50" w:line="360" w:lineRule="auto"/>
        <w:jc w:val="center"/>
        <w:outlineLvl w:val="0"/>
        <w:rPr>
          <w:rFonts w:ascii="仿宋" w:hAnsi="仿宋" w:eastAsia="仿宋" w:cs="仿宋_GB2312"/>
          <w:b/>
          <w:color w:val="auto"/>
          <w:sz w:val="36"/>
          <w:szCs w:val="36"/>
          <w:highlight w:val="none"/>
        </w:rPr>
      </w:pPr>
      <w:bookmarkStart w:id="61" w:name="_Toc14220"/>
      <w:r>
        <w:rPr>
          <w:rFonts w:hint="eastAsia" w:ascii="仿宋" w:hAnsi="仿宋" w:eastAsia="仿宋" w:cs="仿宋_GB2312"/>
          <w:b/>
          <w:color w:val="auto"/>
          <w:sz w:val="36"/>
          <w:szCs w:val="36"/>
          <w:highlight w:val="none"/>
        </w:rPr>
        <w:t>第四部分  拟签订的合同文本</w:t>
      </w:r>
      <w:bookmarkEnd w:id="61"/>
    </w:p>
    <w:p>
      <w:pPr>
        <w:rPr>
          <w:rFonts w:ascii="仿宋" w:hAnsi="仿宋" w:eastAsia="仿宋"/>
          <w:b/>
          <w:color w:val="auto"/>
          <w:sz w:val="28"/>
          <w:szCs w:val="28"/>
          <w:highlight w:val="none"/>
        </w:rPr>
      </w:pPr>
      <w:r>
        <w:rPr>
          <w:rFonts w:hint="eastAsia" w:ascii="仿宋" w:hAnsi="仿宋" w:eastAsia="仿宋"/>
          <w:color w:val="auto"/>
          <w:sz w:val="24"/>
          <w:highlight w:val="none"/>
        </w:rPr>
        <w:t>合同编号：</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pPr>
        <w:widowControl/>
        <w:snapToGrid w:val="0"/>
        <w:spacing w:line="360" w:lineRule="auto"/>
        <w:jc w:val="left"/>
        <w:rPr>
          <w:rFonts w:ascii="仿宋" w:hAnsi="仿宋" w:eastAsia="仿宋" w:cs="仿宋_GB2312"/>
          <w:color w:val="auto"/>
          <w:sz w:val="24"/>
          <w:highlight w:val="none"/>
        </w:rPr>
      </w:pPr>
    </w:p>
    <w:p>
      <w:pPr>
        <w:widowControl/>
        <w:snapToGrid w:val="0"/>
        <w:spacing w:line="360" w:lineRule="auto"/>
        <w:jc w:val="left"/>
        <w:rPr>
          <w:rFonts w:ascii="仿宋" w:hAnsi="仿宋" w:eastAsia="仿宋" w:cs="仿宋_GB2312"/>
          <w:color w:val="auto"/>
          <w:sz w:val="24"/>
          <w:highlight w:val="none"/>
        </w:rPr>
      </w:pPr>
    </w:p>
    <w:p>
      <w:pPr>
        <w:spacing w:line="440" w:lineRule="exact"/>
        <w:ind w:left="420" w:leftChars="100" w:hanging="210" w:hangingChars="100"/>
        <w:rPr>
          <w:color w:val="auto"/>
          <w:szCs w:val="21"/>
          <w:highlight w:val="none"/>
        </w:rPr>
      </w:pPr>
      <w:r>
        <w:rPr>
          <w:rFonts w:hint="eastAsia"/>
          <w:color w:val="auto"/>
          <w:szCs w:val="21"/>
          <w:highlight w:val="none"/>
        </w:rPr>
        <w:t>发包方</w:t>
      </w:r>
      <w:r>
        <w:rPr>
          <w:rFonts w:hint="eastAsia" w:ascii="宋体" w:hAnsi="宋体" w:cs="宋体"/>
          <w:color w:val="auto"/>
          <w:spacing w:val="12"/>
          <w:szCs w:val="21"/>
          <w:highlight w:val="none"/>
        </w:rPr>
        <w:t>(采购单位)</w:t>
      </w:r>
      <w:r>
        <w:rPr>
          <w:rFonts w:hint="eastAsia"/>
          <w:color w:val="auto"/>
          <w:szCs w:val="21"/>
          <w:highlight w:val="none"/>
        </w:rPr>
        <w:t>：</w:t>
      </w:r>
      <w:r>
        <w:rPr>
          <w:rFonts w:hint="eastAsia"/>
          <w:color w:val="auto"/>
          <w:szCs w:val="21"/>
          <w:highlight w:val="none"/>
          <w:u w:val="single"/>
        </w:rPr>
        <w:t xml:space="preserve">                              （以下简称甲方）</w:t>
      </w:r>
    </w:p>
    <w:p>
      <w:pPr>
        <w:spacing w:line="440" w:lineRule="exact"/>
        <w:ind w:left="420" w:hanging="420" w:hangingChars="200"/>
        <w:rPr>
          <w:color w:val="auto"/>
          <w:szCs w:val="21"/>
          <w:highlight w:val="none"/>
        </w:rPr>
      </w:pPr>
    </w:p>
    <w:p>
      <w:pPr>
        <w:spacing w:line="440" w:lineRule="exact"/>
        <w:ind w:left="420" w:hanging="420" w:hangingChars="200"/>
        <w:rPr>
          <w:color w:val="auto"/>
          <w:szCs w:val="21"/>
          <w:highlight w:val="none"/>
        </w:rPr>
      </w:pPr>
      <w:r>
        <w:rPr>
          <w:rFonts w:hint="eastAsia"/>
          <w:color w:val="auto"/>
          <w:szCs w:val="21"/>
          <w:highlight w:val="none"/>
        </w:rPr>
        <w:t xml:space="preserve">    承包方</w:t>
      </w:r>
      <w:r>
        <w:rPr>
          <w:rFonts w:hint="eastAsia" w:ascii="宋体" w:hAnsi="宋体" w:cs="宋体"/>
          <w:color w:val="auto"/>
          <w:szCs w:val="21"/>
          <w:highlight w:val="none"/>
        </w:rPr>
        <w:t>(中标人)</w:t>
      </w:r>
      <w:r>
        <w:rPr>
          <w:rFonts w:hint="eastAsia"/>
          <w:color w:val="auto"/>
          <w:szCs w:val="21"/>
          <w:highlight w:val="none"/>
        </w:rPr>
        <w:t>：</w:t>
      </w:r>
      <w:r>
        <w:rPr>
          <w:rFonts w:hint="eastAsia"/>
          <w:color w:val="auto"/>
          <w:szCs w:val="21"/>
          <w:highlight w:val="none"/>
          <w:u w:val="single"/>
        </w:rPr>
        <w:t xml:space="preserve">                              （以下简称乙方）</w:t>
      </w:r>
    </w:p>
    <w:p>
      <w:pPr>
        <w:spacing w:line="440" w:lineRule="exact"/>
        <w:ind w:left="420" w:hanging="420" w:hanging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采购的（项目名称、项目编号）通过公开招标，并经评标委员会决标为 是中标人。甲、乙双方同意按照下面条款和条件。</w:t>
      </w:r>
    </w:p>
    <w:p>
      <w:pPr>
        <w:spacing w:line="440" w:lineRule="exact"/>
        <w:ind w:firstLine="420" w:firstLineChars="200"/>
        <w:rPr>
          <w:color w:val="auto"/>
          <w:szCs w:val="21"/>
          <w:highlight w:val="none"/>
        </w:rPr>
      </w:pPr>
      <w:r>
        <w:rPr>
          <w:rFonts w:hint="eastAsia"/>
          <w:color w:val="auto"/>
          <w:szCs w:val="21"/>
          <w:highlight w:val="none"/>
        </w:rPr>
        <w:t>根据《</w:t>
      </w:r>
      <w:r>
        <w:rPr>
          <w:rFonts w:hint="eastAsia"/>
          <w:b/>
          <w:color w:val="auto"/>
          <w:szCs w:val="21"/>
          <w:highlight w:val="none"/>
        </w:rPr>
        <w:t>永嘉县瓯北街道东瓯片建成区环卫保洁外包服务</w:t>
      </w:r>
      <w:r>
        <w:rPr>
          <w:rFonts w:hint="eastAsia"/>
          <w:color w:val="auto"/>
          <w:szCs w:val="21"/>
          <w:highlight w:val="none"/>
        </w:rPr>
        <w:t>》的中标通知书，甲方将</w:t>
      </w:r>
      <w:r>
        <w:rPr>
          <w:rFonts w:hint="eastAsia"/>
          <w:b/>
          <w:color w:val="auto"/>
          <w:szCs w:val="21"/>
          <w:highlight w:val="none"/>
        </w:rPr>
        <w:t>永嘉县瓯北街道东瓯片建成区环卫保洁外包服务</w:t>
      </w:r>
      <w:r>
        <w:rPr>
          <w:rFonts w:hint="eastAsia"/>
          <w:color w:val="auto"/>
          <w:szCs w:val="21"/>
          <w:highlight w:val="none"/>
        </w:rPr>
        <w:t>业务承包给乙方，为了明确甲、乙双方的权利和义务，发行各自的职责，高效优质地完成工作任务，按照《中华人民共和国合同法》的有关规定，经甲乙双方在平等、自愿的基础上共同协商一致，现签订承包合同。</w:t>
      </w:r>
    </w:p>
    <w:p>
      <w:pPr>
        <w:spacing w:line="440" w:lineRule="exact"/>
        <w:rPr>
          <w:color w:val="auto"/>
          <w:szCs w:val="21"/>
          <w:highlight w:val="none"/>
          <w:u w:val="single"/>
        </w:rPr>
      </w:pPr>
      <w:r>
        <w:rPr>
          <w:rFonts w:hint="eastAsia"/>
          <w:color w:val="auto"/>
          <w:szCs w:val="21"/>
          <w:highlight w:val="none"/>
        </w:rPr>
        <w:t>第一条  合同名称：</w:t>
      </w:r>
    </w:p>
    <w:p>
      <w:pPr>
        <w:numPr>
          <w:ilvl w:val="0"/>
          <w:numId w:val="3"/>
        </w:numPr>
        <w:spacing w:line="440" w:lineRule="exact"/>
        <w:rPr>
          <w:rFonts w:ascii="宋体" w:hAnsi="宋体"/>
          <w:color w:val="auto"/>
          <w:szCs w:val="21"/>
          <w:highlight w:val="none"/>
        </w:rPr>
      </w:pPr>
      <w:r>
        <w:rPr>
          <w:rFonts w:hint="eastAsia"/>
          <w:color w:val="auto"/>
          <w:szCs w:val="21"/>
          <w:highlight w:val="none"/>
        </w:rPr>
        <w:t xml:space="preserve"> 承包范围及内容      </w:t>
      </w:r>
    </w:p>
    <w:p>
      <w:pPr>
        <w:spacing w:line="440" w:lineRule="exact"/>
        <w:ind w:left="630" w:leftChars="200" w:hanging="210" w:hangingChars="100"/>
        <w:rPr>
          <w:color w:val="auto"/>
          <w:szCs w:val="21"/>
          <w:highlight w:val="none"/>
        </w:rPr>
      </w:pPr>
      <w:r>
        <w:rPr>
          <w:rFonts w:hint="eastAsia"/>
          <w:color w:val="auto"/>
          <w:szCs w:val="21"/>
          <w:highlight w:val="none"/>
        </w:rPr>
        <w:t>1</w:t>
      </w:r>
      <w:r>
        <w:rPr>
          <w:rFonts w:hint="eastAsia" w:ascii="宋体" w:hAnsi="Calibri"/>
          <w:color w:val="auto"/>
          <w:sz w:val="22"/>
          <w:szCs w:val="22"/>
          <w:highlight w:val="none"/>
        </w:rPr>
        <w:t>.</w:t>
      </w:r>
      <w:r>
        <w:rPr>
          <w:rFonts w:hint="eastAsia"/>
          <w:color w:val="auto"/>
          <w:szCs w:val="21"/>
          <w:highlight w:val="none"/>
        </w:rPr>
        <w:t>本次永嘉县瓯北街道东瓯片建成区环卫保洁外包服务承包总面积共计约</w:t>
      </w:r>
      <w:r>
        <w:rPr>
          <w:rFonts w:hint="eastAsia"/>
          <w:color w:val="auto"/>
          <w:szCs w:val="21"/>
          <w:highlight w:val="none"/>
          <w:u w:val="single"/>
        </w:rPr>
        <w:t xml:space="preserve">         平方米</w:t>
      </w:r>
      <w:r>
        <w:rPr>
          <w:rFonts w:hint="eastAsia"/>
          <w:color w:val="auto"/>
          <w:szCs w:val="21"/>
          <w:highlight w:val="none"/>
        </w:rPr>
        <w:t>，主要包括</w:t>
      </w:r>
      <w:r>
        <w:rPr>
          <w:rFonts w:hint="eastAsia" w:ascii="宋体" w:hAnsi="宋体" w:cs="宋体"/>
          <w:b/>
          <w:bCs/>
          <w:color w:val="auto"/>
          <w:szCs w:val="21"/>
          <w:highlight w:val="none"/>
        </w:rPr>
        <w:t>（具体以招标文件要求为准）</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1）主城区总面积共计约：</w:t>
      </w:r>
      <w:r>
        <w:rPr>
          <w:rFonts w:hint="eastAsia"/>
          <w:color w:val="auto"/>
          <w:szCs w:val="21"/>
          <w:highlight w:val="none"/>
          <w:u w:val="single"/>
        </w:rPr>
        <w:t xml:space="preserve">          平方米</w:t>
      </w:r>
      <w:r>
        <w:rPr>
          <w:rFonts w:hint="eastAsia"/>
          <w:color w:val="auto"/>
          <w:szCs w:val="21"/>
          <w:highlight w:val="none"/>
        </w:rPr>
        <w:t>，其中主街道（含城区主次干道、人行道、步行商业街、绿化带、公共广场等）和各社区村居道路小巷（含绿地）的垃圾清扫（清洗）保洁业务（具体范围见附表）。其中次街道（含城区主干道、人行道、步行商业街、公共广场等）和各社区村居道路小巷（含绿地）的垃圾清扫（清洗）保洁业务（具体范围见附表）；须成立一支12人以上的快保队伍进行快速保洁工作。</w:t>
      </w:r>
    </w:p>
    <w:p>
      <w:pPr>
        <w:spacing w:line="360" w:lineRule="auto"/>
        <w:ind w:firstLine="420" w:firstLineChars="200"/>
        <w:rPr>
          <w:color w:val="auto"/>
          <w:szCs w:val="21"/>
          <w:highlight w:val="none"/>
        </w:rPr>
      </w:pPr>
      <w:r>
        <w:rPr>
          <w:rFonts w:hint="eastAsia"/>
          <w:color w:val="auto"/>
          <w:szCs w:val="21"/>
          <w:highlight w:val="none"/>
        </w:rPr>
        <w:t>2）现状范围内一类保洁：</w:t>
      </w:r>
      <w:r>
        <w:rPr>
          <w:rFonts w:hint="eastAsia"/>
          <w:color w:val="auto"/>
          <w:szCs w:val="21"/>
          <w:highlight w:val="none"/>
          <w:u w:val="single"/>
        </w:rPr>
        <w:t xml:space="preserve">     平方米</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3）现状范围内二类保洁：</w:t>
      </w:r>
      <w:r>
        <w:rPr>
          <w:rFonts w:hint="eastAsia"/>
          <w:color w:val="auto"/>
          <w:szCs w:val="21"/>
          <w:highlight w:val="none"/>
          <w:u w:val="single"/>
        </w:rPr>
        <w:t xml:space="preserve">     平方米</w:t>
      </w:r>
      <w:r>
        <w:rPr>
          <w:rFonts w:hint="eastAsia"/>
          <w:color w:val="auto"/>
          <w:szCs w:val="21"/>
          <w:highlight w:val="none"/>
        </w:rPr>
        <w:t xml:space="preserve">； </w:t>
      </w:r>
    </w:p>
    <w:p>
      <w:pPr>
        <w:spacing w:line="360" w:lineRule="auto"/>
        <w:ind w:firstLine="420" w:firstLineChars="200"/>
        <w:rPr>
          <w:color w:val="auto"/>
          <w:szCs w:val="21"/>
          <w:highlight w:val="none"/>
        </w:rPr>
      </w:pPr>
      <w:r>
        <w:rPr>
          <w:rFonts w:hint="eastAsia"/>
          <w:color w:val="auto"/>
          <w:szCs w:val="21"/>
          <w:highlight w:val="none"/>
        </w:rPr>
        <w:t>4）现状范围内三类保洁：</w:t>
      </w:r>
      <w:r>
        <w:rPr>
          <w:rFonts w:hint="eastAsia"/>
          <w:color w:val="auto"/>
          <w:szCs w:val="21"/>
          <w:highlight w:val="none"/>
          <w:u w:val="single"/>
        </w:rPr>
        <w:t>平方米</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5）现状范围内河道保洁：</w:t>
      </w:r>
      <w:r>
        <w:rPr>
          <w:rFonts w:hint="eastAsia"/>
          <w:color w:val="auto"/>
          <w:szCs w:val="21"/>
          <w:highlight w:val="none"/>
          <w:u w:val="single"/>
        </w:rPr>
        <w:t xml:space="preserve">     平方米</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6）现状范围内公园、广场及公共绿地保洁</w:t>
      </w:r>
      <w:r>
        <w:rPr>
          <w:rFonts w:hint="eastAsia"/>
          <w:color w:val="auto"/>
          <w:szCs w:val="21"/>
          <w:highlight w:val="none"/>
          <w:u w:val="single"/>
        </w:rPr>
        <w:t>：     平方米</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7）现状范围内牛皮廯、小广告清理；</w:t>
      </w:r>
    </w:p>
    <w:p>
      <w:pPr>
        <w:spacing w:line="360" w:lineRule="auto"/>
        <w:ind w:firstLine="420" w:firstLineChars="200"/>
        <w:rPr>
          <w:color w:val="auto"/>
          <w:szCs w:val="21"/>
          <w:highlight w:val="none"/>
        </w:rPr>
      </w:pPr>
      <w:r>
        <w:rPr>
          <w:rFonts w:hint="eastAsia"/>
          <w:color w:val="auto"/>
          <w:szCs w:val="21"/>
          <w:highlight w:val="none"/>
        </w:rPr>
        <w:t>8）现状范围内公厕  座；</w:t>
      </w:r>
    </w:p>
    <w:p>
      <w:pPr>
        <w:spacing w:line="440" w:lineRule="exact"/>
        <w:ind w:firstLine="420" w:firstLineChars="200"/>
        <w:rPr>
          <w:strike/>
          <w:color w:val="auto"/>
          <w:szCs w:val="21"/>
          <w:highlight w:val="none"/>
        </w:rPr>
      </w:pPr>
      <w:r>
        <w:rPr>
          <w:rFonts w:hint="eastAsia"/>
          <w:color w:val="auto"/>
          <w:szCs w:val="21"/>
          <w:highlight w:val="none"/>
        </w:rPr>
        <w:t>注：（1）以上包括城区内道路绿化保洁、道路的围栏或隔离带、垃圾桶（果壳箱）和不锈钢垃圾箱的清理（洗）及维修、花箱及垃圾屋清理（含冲洗）、公厕保洁、维修和牛皮癣、小广告清理</w:t>
      </w:r>
      <w:r>
        <w:rPr>
          <w:rFonts w:hint="eastAsia" w:ascii="宋体" w:hAnsi="宋体"/>
          <w:b/>
          <w:bCs/>
          <w:color w:val="auto"/>
          <w:szCs w:val="21"/>
          <w:highlight w:val="none"/>
        </w:rPr>
        <w:t>（牛皮癣、小广告清理项目实施工作从招标后开始交付中标单位，费用按实际年平均工作月份数结算）</w:t>
      </w:r>
      <w:r>
        <w:rPr>
          <w:rFonts w:hint="eastAsia"/>
          <w:color w:val="auto"/>
          <w:szCs w:val="21"/>
          <w:highlight w:val="none"/>
        </w:rPr>
        <w:t>。（2）要求机械化清扫道路数，一类保洁道路100%，二类、三类保洁道路总数的50%。</w:t>
      </w:r>
    </w:p>
    <w:p>
      <w:pPr>
        <w:spacing w:line="440" w:lineRule="exact"/>
        <w:ind w:firstLine="420" w:firstLineChars="200"/>
        <w:rPr>
          <w:color w:val="auto"/>
          <w:szCs w:val="21"/>
          <w:highlight w:val="none"/>
        </w:rPr>
      </w:pPr>
      <w:r>
        <w:rPr>
          <w:rFonts w:hint="eastAsia"/>
          <w:color w:val="auto"/>
          <w:szCs w:val="21"/>
          <w:highlight w:val="none"/>
        </w:rPr>
        <w:t>2</w:t>
      </w:r>
      <w:r>
        <w:rPr>
          <w:rFonts w:hint="eastAsia" w:ascii="宋体" w:hAnsi="Calibri"/>
          <w:color w:val="auto"/>
          <w:sz w:val="22"/>
          <w:szCs w:val="22"/>
          <w:highlight w:val="none"/>
        </w:rPr>
        <w:t>.</w:t>
      </w:r>
      <w:r>
        <w:rPr>
          <w:rFonts w:hint="eastAsia"/>
          <w:color w:val="auto"/>
          <w:szCs w:val="21"/>
          <w:highlight w:val="none"/>
        </w:rPr>
        <w:t>一、二类保洁道路冲洗、洒水、机械化清扫（清洗）；</w:t>
      </w:r>
    </w:p>
    <w:p>
      <w:pPr>
        <w:spacing w:line="440" w:lineRule="exact"/>
        <w:ind w:firstLine="420" w:firstLineChars="200"/>
        <w:rPr>
          <w:color w:val="auto"/>
          <w:szCs w:val="21"/>
          <w:highlight w:val="none"/>
        </w:rPr>
      </w:pPr>
      <w:r>
        <w:rPr>
          <w:rFonts w:hint="eastAsia"/>
          <w:color w:val="auto"/>
          <w:szCs w:val="21"/>
          <w:highlight w:val="none"/>
        </w:rPr>
        <w:t>3</w:t>
      </w:r>
      <w:r>
        <w:rPr>
          <w:rFonts w:hint="eastAsia" w:ascii="宋体" w:hAnsi="Calibri"/>
          <w:color w:val="auto"/>
          <w:sz w:val="22"/>
          <w:szCs w:val="22"/>
          <w:highlight w:val="none"/>
        </w:rPr>
        <w:t>.</w:t>
      </w:r>
      <w:r>
        <w:rPr>
          <w:rFonts w:hint="eastAsia"/>
          <w:color w:val="auto"/>
          <w:szCs w:val="21"/>
          <w:highlight w:val="none"/>
        </w:rPr>
        <w:t>装修、装饰产生的垃圾清运；</w:t>
      </w:r>
    </w:p>
    <w:p>
      <w:pPr>
        <w:spacing w:line="440" w:lineRule="exact"/>
        <w:ind w:firstLine="420" w:firstLineChars="200"/>
        <w:rPr>
          <w:color w:val="auto"/>
          <w:szCs w:val="21"/>
          <w:highlight w:val="none"/>
        </w:rPr>
      </w:pPr>
      <w:r>
        <w:rPr>
          <w:rFonts w:hint="eastAsia"/>
          <w:color w:val="auto"/>
          <w:szCs w:val="21"/>
          <w:highlight w:val="none"/>
        </w:rPr>
        <w:t>4</w:t>
      </w:r>
      <w:r>
        <w:rPr>
          <w:rFonts w:hint="eastAsia" w:ascii="宋体" w:hAnsi="Calibri"/>
          <w:color w:val="auto"/>
          <w:sz w:val="22"/>
          <w:szCs w:val="22"/>
          <w:highlight w:val="none"/>
        </w:rPr>
        <w:t>.</w:t>
      </w:r>
      <w:r>
        <w:rPr>
          <w:rFonts w:hint="eastAsia"/>
          <w:color w:val="auto"/>
          <w:szCs w:val="21"/>
          <w:highlight w:val="none"/>
        </w:rPr>
        <w:t>城区内公厕的维护、管理</w:t>
      </w:r>
      <w:r>
        <w:rPr>
          <w:rFonts w:hint="eastAsia" w:ascii="宋体" w:hAnsi="宋体"/>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5</w:t>
      </w:r>
      <w:r>
        <w:rPr>
          <w:rFonts w:hint="eastAsia" w:ascii="宋体" w:hAnsi="Calibri"/>
          <w:color w:val="auto"/>
          <w:sz w:val="22"/>
          <w:szCs w:val="22"/>
          <w:highlight w:val="none"/>
        </w:rPr>
        <w:t>.</w:t>
      </w:r>
      <w:r>
        <w:rPr>
          <w:rFonts w:hint="eastAsia"/>
          <w:color w:val="auto"/>
          <w:szCs w:val="21"/>
          <w:highlight w:val="none"/>
        </w:rPr>
        <w:t>公共绿地、绿化带、广场（保洁范围内）；</w:t>
      </w:r>
    </w:p>
    <w:p>
      <w:pPr>
        <w:spacing w:line="440" w:lineRule="exact"/>
        <w:ind w:firstLine="420" w:firstLineChars="200"/>
        <w:rPr>
          <w:color w:val="auto"/>
          <w:szCs w:val="21"/>
          <w:highlight w:val="none"/>
        </w:rPr>
      </w:pPr>
      <w:r>
        <w:rPr>
          <w:rFonts w:hint="eastAsia"/>
          <w:color w:val="auto"/>
          <w:szCs w:val="21"/>
          <w:highlight w:val="none"/>
        </w:rPr>
        <w:t>6</w:t>
      </w:r>
      <w:r>
        <w:rPr>
          <w:rFonts w:hint="eastAsia" w:ascii="宋体" w:hAnsi="Calibri"/>
          <w:color w:val="auto"/>
          <w:sz w:val="22"/>
          <w:szCs w:val="22"/>
          <w:highlight w:val="none"/>
        </w:rPr>
        <w:t>.</w:t>
      </w:r>
      <w:r>
        <w:rPr>
          <w:rFonts w:hint="eastAsia"/>
          <w:color w:val="auto"/>
          <w:szCs w:val="21"/>
          <w:highlight w:val="none"/>
        </w:rPr>
        <w:t>无物业管理的开放式小区；</w:t>
      </w:r>
    </w:p>
    <w:p>
      <w:pPr>
        <w:spacing w:line="440" w:lineRule="exact"/>
        <w:ind w:firstLine="420" w:firstLineChars="200"/>
        <w:rPr>
          <w:color w:val="auto"/>
          <w:szCs w:val="21"/>
          <w:highlight w:val="none"/>
        </w:rPr>
      </w:pPr>
      <w:r>
        <w:rPr>
          <w:rFonts w:hint="eastAsia"/>
          <w:color w:val="auto"/>
          <w:szCs w:val="21"/>
          <w:highlight w:val="none"/>
        </w:rPr>
        <w:t>7</w:t>
      </w:r>
      <w:r>
        <w:rPr>
          <w:rFonts w:hint="eastAsia" w:ascii="宋体" w:hAnsi="Calibri"/>
          <w:color w:val="auto"/>
          <w:sz w:val="22"/>
          <w:szCs w:val="22"/>
          <w:highlight w:val="none"/>
        </w:rPr>
        <w:t>.</w:t>
      </w:r>
      <w:r>
        <w:rPr>
          <w:rFonts w:hint="eastAsia"/>
          <w:color w:val="auto"/>
          <w:szCs w:val="21"/>
          <w:highlight w:val="none"/>
        </w:rPr>
        <w:t>服务人员分配：</w:t>
      </w:r>
      <w:r>
        <w:rPr>
          <w:rFonts w:hint="eastAsia"/>
          <w:color w:val="auto"/>
          <w:szCs w:val="21"/>
          <w:highlight w:val="none"/>
          <w:u w:val="single"/>
        </w:rPr>
        <w:t>运作岗位      个人，其中管理人员       人。</w:t>
      </w:r>
      <w:r>
        <w:rPr>
          <w:rFonts w:hint="eastAsia"/>
          <w:color w:val="auto"/>
          <w:szCs w:val="21"/>
          <w:highlight w:val="none"/>
        </w:rPr>
        <w:t>（包括工人工资、奖金、劳保福利、社保、意外保险、工伤费、住宿费、教育培训费及处理一切伤亡事故等费用）。</w:t>
      </w:r>
    </w:p>
    <w:p>
      <w:pPr>
        <w:pStyle w:val="25"/>
        <w:tabs>
          <w:tab w:val="left" w:pos="482"/>
          <w:tab w:val="left" w:pos="2183"/>
          <w:tab w:val="left" w:pos="3884"/>
          <w:tab w:val="left" w:pos="5585"/>
        </w:tabs>
        <w:spacing w:line="360" w:lineRule="auto"/>
        <w:ind w:firstLineChars="200"/>
        <w:rPr>
          <w:color w:val="auto"/>
          <w:szCs w:val="21"/>
          <w:highlight w:val="none"/>
        </w:rPr>
      </w:pPr>
      <w:r>
        <w:rPr>
          <w:rFonts w:hint="eastAsia"/>
          <w:color w:val="auto"/>
          <w:szCs w:val="21"/>
          <w:highlight w:val="none"/>
        </w:rPr>
        <w:t>8</w:t>
      </w:r>
      <w:r>
        <w:rPr>
          <w:rFonts w:hint="eastAsia" w:ascii="宋体" w:hAnsi="Calibri"/>
          <w:color w:val="auto"/>
          <w:sz w:val="22"/>
          <w:szCs w:val="22"/>
          <w:highlight w:val="none"/>
        </w:rPr>
        <w:t>.</w:t>
      </w:r>
      <w:r>
        <w:rPr>
          <w:rFonts w:hint="eastAsia"/>
          <w:color w:val="auto"/>
          <w:szCs w:val="21"/>
          <w:highlight w:val="none"/>
        </w:rPr>
        <w:t>在合同期内因市政建设需要征用、临时占用需要调整乙方清扫保洁面积时，乙方须无条件服从。</w:t>
      </w:r>
    </w:p>
    <w:p>
      <w:pPr>
        <w:spacing w:line="360" w:lineRule="auto"/>
        <w:ind w:firstLine="420" w:firstLineChars="200"/>
        <w:rPr>
          <w:rFonts w:ascii="Calibri" w:hAnsi="Calibri"/>
          <w:color w:val="auto"/>
          <w:szCs w:val="21"/>
          <w:highlight w:val="none"/>
        </w:rPr>
      </w:pPr>
      <w:r>
        <w:rPr>
          <w:rFonts w:hint="eastAsia"/>
          <w:color w:val="auto"/>
          <w:szCs w:val="21"/>
          <w:highlight w:val="none"/>
        </w:rPr>
        <w:t>9</w:t>
      </w:r>
      <w:r>
        <w:rPr>
          <w:rFonts w:hint="eastAsia" w:ascii="宋体" w:hAnsi="Calibri"/>
          <w:color w:val="auto"/>
          <w:sz w:val="22"/>
          <w:szCs w:val="22"/>
          <w:highlight w:val="none"/>
        </w:rPr>
        <w:t>.</w:t>
      </w:r>
      <w:r>
        <w:rPr>
          <w:rFonts w:hint="eastAsia" w:ascii="宋体" w:hAnsi="宋体"/>
          <w:color w:val="auto"/>
          <w:szCs w:val="21"/>
          <w:highlight w:val="none"/>
        </w:rPr>
        <w:t>设备要求：按投标时的承诺配备。</w:t>
      </w:r>
    </w:p>
    <w:p>
      <w:pPr>
        <w:pStyle w:val="25"/>
        <w:tabs>
          <w:tab w:val="left" w:pos="482"/>
          <w:tab w:val="left" w:pos="2183"/>
          <w:tab w:val="left" w:pos="3884"/>
          <w:tab w:val="left" w:pos="5585"/>
        </w:tabs>
        <w:spacing w:line="360" w:lineRule="auto"/>
        <w:ind w:firstLineChars="200"/>
        <w:rPr>
          <w:color w:val="auto"/>
          <w:szCs w:val="21"/>
          <w:highlight w:val="none"/>
        </w:rPr>
      </w:pPr>
      <w:r>
        <w:rPr>
          <w:color w:val="auto"/>
          <w:szCs w:val="21"/>
          <w:highlight w:val="none"/>
        </w:rPr>
        <w:t>10</w:t>
      </w:r>
      <w:r>
        <w:rPr>
          <w:rFonts w:hint="eastAsia" w:ascii="宋体" w:hAnsi="Calibri"/>
          <w:color w:val="auto"/>
          <w:sz w:val="22"/>
          <w:szCs w:val="22"/>
          <w:highlight w:val="none"/>
        </w:rPr>
        <w:t>.因道路管理原因机械设备无法作业的情况下，乙方必须增加清扫人员以确保清扫保洁工作的质量。</w:t>
      </w:r>
    </w:p>
    <w:p>
      <w:pPr>
        <w:spacing w:line="440" w:lineRule="exact"/>
        <w:rPr>
          <w:color w:val="auto"/>
          <w:szCs w:val="21"/>
          <w:highlight w:val="none"/>
        </w:rPr>
      </w:pPr>
      <w:r>
        <w:rPr>
          <w:rFonts w:hint="eastAsia"/>
          <w:color w:val="auto"/>
          <w:szCs w:val="21"/>
          <w:highlight w:val="none"/>
        </w:rPr>
        <w:t>第三条  承包期限</w:t>
      </w:r>
    </w:p>
    <w:p>
      <w:pPr>
        <w:spacing w:line="440" w:lineRule="atLeast"/>
        <w:ind w:firstLine="482"/>
        <w:rPr>
          <w:color w:val="auto"/>
          <w:szCs w:val="21"/>
          <w:highlight w:val="none"/>
        </w:rPr>
      </w:pPr>
      <w:r>
        <w:rPr>
          <w:rFonts w:hint="eastAsia" w:ascii="宋体" w:hAnsi="宋体" w:cs="宋体"/>
          <w:bCs/>
          <w:color w:val="auto"/>
          <w:szCs w:val="21"/>
          <w:highlight w:val="none"/>
        </w:rPr>
        <w:t>本合同承包期限预计为三年，合同一年一签（1+1+1形式）。（年   月    日  年  月  日）从清扫保洁业务交接完毕之日起至  年  月  日止。若甲方对乙方的考核结果</w:t>
      </w:r>
      <w:r>
        <w:rPr>
          <w:rFonts w:hint="eastAsia" w:ascii="宋体" w:hAnsi="宋体" w:cs="宋体"/>
          <w:color w:val="auto"/>
          <w:szCs w:val="21"/>
          <w:highlight w:val="none"/>
        </w:rPr>
        <w:t>得分到85分（含）以上，且采购人对供应商上一年的服务质量满意</w:t>
      </w:r>
      <w:r>
        <w:rPr>
          <w:rFonts w:hint="eastAsia" w:ascii="宋体" w:hAnsi="宋体" w:cs="宋体"/>
          <w:bCs/>
          <w:color w:val="auto"/>
          <w:szCs w:val="21"/>
          <w:highlight w:val="none"/>
        </w:rPr>
        <w:t>，可以续签下年合同；若乙方有违约行为或经考核不合格，甲方有权按采购文件、合同约定，或按考核办法单方面解除合同或不续签下一年合同。</w:t>
      </w:r>
    </w:p>
    <w:p>
      <w:pPr>
        <w:spacing w:line="440" w:lineRule="exact"/>
        <w:rPr>
          <w:color w:val="auto"/>
          <w:szCs w:val="21"/>
          <w:highlight w:val="none"/>
        </w:rPr>
      </w:pPr>
      <w:r>
        <w:rPr>
          <w:rFonts w:hint="eastAsia"/>
          <w:color w:val="auto"/>
          <w:szCs w:val="21"/>
          <w:highlight w:val="none"/>
        </w:rPr>
        <w:t>第四条  承包经费</w:t>
      </w:r>
    </w:p>
    <w:p>
      <w:pPr>
        <w:snapToGrid w:val="0"/>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（一）每年承包经费为（人民币大写：   元）。</w:t>
      </w:r>
    </w:p>
    <w:p>
      <w:pPr>
        <w:snapToGrid w:val="0"/>
        <w:spacing w:line="440" w:lineRule="atLeast"/>
        <w:ind w:firstLine="420" w:firstLineChars="200"/>
        <w:rPr>
          <w:rFonts w:ascii="宋体" w:hAnsi="宋体" w:cs="宋体"/>
          <w:b/>
          <w:color w:val="auto"/>
          <w:szCs w:val="21"/>
          <w:highlight w:val="none"/>
        </w:rPr>
      </w:pPr>
      <w:r>
        <w:rPr>
          <w:rFonts w:hint="eastAsia" w:ascii="宋体" w:hAnsi="宋体" w:cs="宋体"/>
          <w:color w:val="auto"/>
          <w:szCs w:val="21"/>
          <w:highlight w:val="none"/>
        </w:rPr>
        <w:t>（二）承包经费由人工费（包括人员工资、社会保险（含基本养老、工伤、医疗（门诊、住院）、生育、失业五险种）、人身意外保险、出勤补贴、加班补贴、高温津贴、人员福利、教育培训费及处理一切伤亡事故等费用）、机械台班费、工具材料费、垃圾清运费、安全文明生产装备费（包括员工冬、夏装工作服、反光衣等）、企业应缴税金和应得利润等完成合同所需的一切本身和不可或缺的所有工作开支、政策性文件规定计入合同包含的所有风险、责任等各项全部费用组成。</w:t>
      </w:r>
    </w:p>
    <w:p>
      <w:pPr>
        <w:spacing w:line="440" w:lineRule="exact"/>
        <w:rPr>
          <w:color w:val="auto"/>
          <w:szCs w:val="21"/>
          <w:highlight w:val="none"/>
        </w:rPr>
      </w:pPr>
      <w:r>
        <w:rPr>
          <w:rFonts w:hint="eastAsia"/>
          <w:color w:val="auto"/>
          <w:szCs w:val="21"/>
          <w:highlight w:val="none"/>
        </w:rPr>
        <w:t>第五条付款方式</w:t>
      </w:r>
    </w:p>
    <w:p>
      <w:pPr>
        <w:spacing w:line="440" w:lineRule="exact"/>
        <w:ind w:left="210" w:hanging="210" w:hangingChars="100"/>
        <w:rPr>
          <w:color w:val="auto"/>
          <w:szCs w:val="21"/>
          <w:highlight w:val="none"/>
        </w:rPr>
      </w:pPr>
      <w:r>
        <w:rPr>
          <w:rFonts w:hint="eastAsia"/>
          <w:color w:val="auto"/>
          <w:szCs w:val="21"/>
          <w:highlight w:val="none"/>
        </w:rPr>
        <w:t>1</w:t>
      </w:r>
      <w:r>
        <w:rPr>
          <w:rFonts w:hint="eastAsia" w:ascii="宋体" w:hAnsi="Calibri"/>
          <w:color w:val="auto"/>
          <w:sz w:val="22"/>
          <w:szCs w:val="22"/>
          <w:highlight w:val="none"/>
        </w:rPr>
        <w:t>.</w:t>
      </w:r>
      <w:r>
        <w:rPr>
          <w:rFonts w:hint="eastAsia"/>
          <w:color w:val="auto"/>
          <w:szCs w:val="21"/>
          <w:highlight w:val="none"/>
        </w:rPr>
        <w:t>付款方式：签订合同且供应商提供履约保证金且提供支付担保函（如有）后15个工作日内支付合同金额（一年）的预付款（如有）。</w:t>
      </w:r>
    </w:p>
    <w:p>
      <w:pPr>
        <w:spacing w:line="440" w:lineRule="exact"/>
        <w:ind w:left="210" w:leftChars="100"/>
        <w:rPr>
          <w:color w:val="auto"/>
          <w:szCs w:val="21"/>
          <w:highlight w:val="none"/>
        </w:rPr>
      </w:pPr>
      <w:r>
        <w:rPr>
          <w:rFonts w:hint="eastAsia"/>
          <w:color w:val="auto"/>
          <w:szCs w:val="21"/>
          <w:highlight w:val="none"/>
        </w:rPr>
        <w:t>1）每月结算金额基数=（供应商年度投标总价-预付款（如有））/12。</w:t>
      </w:r>
    </w:p>
    <w:p>
      <w:pPr>
        <w:spacing w:line="440" w:lineRule="exact"/>
        <w:ind w:left="210" w:leftChars="100"/>
        <w:rPr>
          <w:color w:val="auto"/>
          <w:szCs w:val="21"/>
          <w:highlight w:val="none"/>
        </w:rPr>
      </w:pPr>
      <w:r>
        <w:rPr>
          <w:rFonts w:hint="eastAsia"/>
          <w:color w:val="auto"/>
          <w:szCs w:val="21"/>
          <w:highlight w:val="none"/>
        </w:rPr>
        <w:t>2）每月结算金额=（供应商年度投标总价-预付款（如有））/12-当月考核处罚，由采购单位根据前一个月的考核结果支付，每月的25日结前一个月的承包经费（遇节假日顺延）, 处罚金按月扣除，每月25日为支付日（遇节假日顺延），中标单位出具有效发票。</w:t>
      </w:r>
    </w:p>
    <w:p>
      <w:pPr>
        <w:spacing w:line="440" w:lineRule="exact"/>
        <w:ind w:left="210" w:leftChars="100"/>
        <w:rPr>
          <w:color w:val="auto"/>
          <w:szCs w:val="21"/>
          <w:highlight w:val="none"/>
        </w:rPr>
      </w:pPr>
      <w:r>
        <w:rPr>
          <w:rFonts w:hint="eastAsia"/>
          <w:color w:val="auto"/>
          <w:szCs w:val="21"/>
          <w:highlight w:val="none"/>
        </w:rPr>
        <w:t>3）每次付款，由乙方公司在永嘉县设立的（分）公司或子公司出具有效发票，款项将支付至该发票账户。</w:t>
      </w:r>
    </w:p>
    <w:p>
      <w:pPr>
        <w:spacing w:line="440" w:lineRule="exact"/>
        <w:ind w:left="210" w:leftChars="100"/>
        <w:rPr>
          <w:color w:val="auto"/>
          <w:szCs w:val="21"/>
          <w:highlight w:val="none"/>
        </w:rPr>
      </w:pPr>
      <w:r>
        <w:rPr>
          <w:rFonts w:hint="eastAsia"/>
          <w:color w:val="auto"/>
          <w:szCs w:val="21"/>
          <w:highlight w:val="none"/>
        </w:rPr>
        <w:t>4）根据《浙江省财政厅关于坚决打赢疫情防控阻击战进一步做好政府采购资金支持企业发展工作的通知》（浙财采监〔2020〕3号），《永嘉县财政局关于做好政府采购相关工作应对新冠肺炎疫情支持中小企业共渡难关的通知》（永财采监〔2020〕47号）及《浙江省财政厅关于进一步发挥政府采购政策功能全力推动经济稳进体质的通知》（浙财采监[2022]3号），本项目将根据财政实际情况决定是否执行预付款政策，如执行，具体预付金额将由中标单位与采购人协商，并在合同中明确，如有预付款则在支付预付款前中标单位须支付等额支付担保函。</w:t>
      </w:r>
    </w:p>
    <w:p>
      <w:pPr>
        <w:spacing w:line="400" w:lineRule="exact"/>
        <w:ind w:left="218" w:hanging="218" w:hangingChars="104"/>
        <w:rPr>
          <w:color w:val="auto"/>
          <w:szCs w:val="21"/>
          <w:highlight w:val="none"/>
        </w:rPr>
      </w:pPr>
      <w:r>
        <w:rPr>
          <w:rFonts w:hint="eastAsia"/>
          <w:color w:val="auto"/>
          <w:szCs w:val="21"/>
          <w:highlight w:val="none"/>
        </w:rPr>
        <w:t>2</w:t>
      </w:r>
      <w:r>
        <w:rPr>
          <w:rFonts w:hint="eastAsia" w:ascii="宋体" w:hAnsi="Calibri"/>
          <w:color w:val="auto"/>
          <w:sz w:val="22"/>
          <w:szCs w:val="22"/>
          <w:highlight w:val="none"/>
        </w:rPr>
        <w:t>.</w:t>
      </w:r>
      <w:r>
        <w:rPr>
          <w:rFonts w:hint="eastAsia"/>
          <w:color w:val="auto"/>
          <w:szCs w:val="21"/>
          <w:highlight w:val="none"/>
        </w:rPr>
        <w:t>每月按合同附件一、附件二计算出月度考核结果，</w:t>
      </w:r>
      <w:r>
        <w:rPr>
          <w:rFonts w:hint="eastAsia" w:ascii="宋体" w:hAnsi="宋体"/>
          <w:color w:val="auto"/>
          <w:szCs w:val="21"/>
          <w:highlight w:val="none"/>
        </w:rPr>
        <w:t>业主单位将根据</w:t>
      </w:r>
      <w:r>
        <w:rPr>
          <w:rFonts w:hint="eastAsia"/>
          <w:color w:val="auto"/>
          <w:highlight w:val="none"/>
        </w:rPr>
        <w:t>月度考核结果对供应商进行分档处罚，处罚金额在建成区保洁工作当月运行经费中直接扣除。（具体处罚标准按照合同附件2中的《永嘉县瓯北街道东瓯片建成区环卫保洁服务考核办法》执行）。</w:t>
      </w:r>
    </w:p>
    <w:p>
      <w:pPr>
        <w:spacing w:line="440" w:lineRule="exact"/>
        <w:jc w:val="center"/>
        <w:rPr>
          <w:color w:val="auto"/>
          <w:szCs w:val="21"/>
          <w:highlight w:val="none"/>
        </w:rPr>
      </w:pPr>
      <w:r>
        <w:rPr>
          <w:rFonts w:hint="eastAsia"/>
          <w:color w:val="auto"/>
          <w:szCs w:val="21"/>
          <w:highlight w:val="none"/>
        </w:rPr>
        <w:t>第五条  承包方式</w:t>
      </w:r>
    </w:p>
    <w:p>
      <w:pPr>
        <w:spacing w:line="400" w:lineRule="exact"/>
        <w:ind w:firstLine="420" w:firstLineChars="200"/>
        <w:rPr>
          <w:color w:val="auto"/>
          <w:szCs w:val="21"/>
          <w:highlight w:val="none"/>
        </w:rPr>
      </w:pPr>
      <w:r>
        <w:rPr>
          <w:rFonts w:hint="eastAsia"/>
          <w:color w:val="auto"/>
          <w:szCs w:val="21"/>
          <w:highlight w:val="none"/>
        </w:rPr>
        <w:t>采用全包干形式，即业务包干、经费包干方式。甲方将实际清扫保洁业务及相应的经费交给乙方，乙方按甲方的管理要求和标准组织清扫（运）保洁工作，并接受甲方的指导、监督和检查验收。</w:t>
      </w:r>
      <w:r>
        <w:rPr>
          <w:rFonts w:hint="eastAsia" w:ascii="宋体" w:hAnsi="宋体" w:cs="宋体"/>
          <w:color w:val="auto"/>
          <w:szCs w:val="21"/>
          <w:highlight w:val="none"/>
        </w:rPr>
        <w:t>乙方不得将本项目进行转包、分包。</w:t>
      </w:r>
    </w:p>
    <w:p>
      <w:pPr>
        <w:numPr>
          <w:ilvl w:val="0"/>
          <w:numId w:val="4"/>
        </w:numPr>
        <w:spacing w:line="400" w:lineRule="exact"/>
        <w:ind w:firstLine="420" w:firstLineChars="200"/>
        <w:rPr>
          <w:color w:val="auto"/>
          <w:szCs w:val="21"/>
          <w:highlight w:val="none"/>
        </w:rPr>
      </w:pPr>
      <w:r>
        <w:rPr>
          <w:rFonts w:hint="eastAsia"/>
          <w:color w:val="auto"/>
          <w:szCs w:val="21"/>
          <w:highlight w:val="none"/>
        </w:rPr>
        <w:t>承包期间，甲方对保洁面积或数量有增减时，需通知乙方；</w:t>
      </w:r>
    </w:p>
    <w:p>
      <w:pPr>
        <w:numPr>
          <w:ilvl w:val="0"/>
          <w:numId w:val="4"/>
        </w:numPr>
        <w:spacing w:line="400" w:lineRule="exact"/>
        <w:ind w:firstLine="420" w:firstLineChars="200"/>
        <w:rPr>
          <w:color w:val="auto"/>
          <w:szCs w:val="21"/>
          <w:highlight w:val="none"/>
        </w:rPr>
      </w:pPr>
      <w:r>
        <w:rPr>
          <w:rFonts w:hint="eastAsia"/>
          <w:color w:val="auto"/>
          <w:szCs w:val="21"/>
          <w:highlight w:val="none"/>
        </w:rPr>
        <w:t>承包期间，乙方对保洁面积或数量有增减或疑义时，及时向甲方提出，甲方核实后，再予以明确。</w:t>
      </w:r>
    </w:p>
    <w:p>
      <w:pPr>
        <w:spacing w:line="440" w:lineRule="exact"/>
        <w:jc w:val="center"/>
        <w:rPr>
          <w:color w:val="auto"/>
          <w:szCs w:val="21"/>
          <w:highlight w:val="none"/>
        </w:rPr>
      </w:pPr>
      <w:r>
        <w:rPr>
          <w:rFonts w:hint="eastAsia"/>
          <w:color w:val="auto"/>
          <w:szCs w:val="21"/>
          <w:highlight w:val="none"/>
        </w:rPr>
        <w:t>第六条  工作要求和质量标准</w:t>
      </w:r>
    </w:p>
    <w:p>
      <w:pPr>
        <w:spacing w:line="440" w:lineRule="exact"/>
        <w:ind w:firstLine="420" w:firstLineChars="200"/>
        <w:rPr>
          <w:color w:val="auto"/>
          <w:szCs w:val="21"/>
          <w:highlight w:val="none"/>
        </w:rPr>
      </w:pPr>
      <w:r>
        <w:rPr>
          <w:rFonts w:hint="eastAsia"/>
          <w:color w:val="auto"/>
          <w:szCs w:val="21"/>
          <w:highlight w:val="none"/>
        </w:rPr>
        <w:t>各项具体工作的质量标准和作业规范按甲方具体要求及《招标文件》中所规定的执行。</w:t>
      </w:r>
    </w:p>
    <w:p>
      <w:pPr>
        <w:spacing w:line="440" w:lineRule="exact"/>
        <w:jc w:val="center"/>
        <w:rPr>
          <w:color w:val="auto"/>
          <w:szCs w:val="21"/>
          <w:highlight w:val="none"/>
        </w:rPr>
      </w:pPr>
      <w:r>
        <w:rPr>
          <w:rFonts w:hint="eastAsia"/>
          <w:color w:val="auto"/>
          <w:szCs w:val="21"/>
          <w:highlight w:val="none"/>
        </w:rPr>
        <w:t>第七条   检查考评办法</w:t>
      </w:r>
    </w:p>
    <w:p>
      <w:pPr>
        <w:spacing w:line="440" w:lineRule="exact"/>
        <w:ind w:firstLine="420" w:firstLineChars="200"/>
        <w:rPr>
          <w:color w:val="auto"/>
          <w:szCs w:val="21"/>
          <w:highlight w:val="none"/>
        </w:rPr>
      </w:pPr>
      <w:r>
        <w:rPr>
          <w:rFonts w:hint="eastAsia"/>
          <w:color w:val="auto"/>
          <w:szCs w:val="21"/>
          <w:highlight w:val="none"/>
        </w:rPr>
        <w:t>具体的检查验收方法、内容、程序等按《招标文件》及合同附件执行。乙方应严格按照甲方具体要求及合同附件的规定，对承包的内容进行清扫（运）保洁管理。同时，还要接受甲方按合同附件一、附件二的规定进行质量检查考评。</w:t>
      </w:r>
    </w:p>
    <w:p>
      <w:pPr>
        <w:spacing w:line="440" w:lineRule="exact"/>
        <w:jc w:val="center"/>
        <w:rPr>
          <w:color w:val="auto"/>
          <w:szCs w:val="21"/>
          <w:highlight w:val="none"/>
        </w:rPr>
      </w:pPr>
      <w:r>
        <w:rPr>
          <w:rFonts w:hint="eastAsia"/>
          <w:color w:val="auto"/>
          <w:szCs w:val="21"/>
          <w:highlight w:val="none"/>
        </w:rPr>
        <w:t>第八条   履约保证金</w:t>
      </w:r>
    </w:p>
    <w:p>
      <w:pPr>
        <w:snapToGrid w:val="0"/>
        <w:spacing w:line="360" w:lineRule="auto"/>
        <w:ind w:firstLine="420" w:firstLineChars="200"/>
        <w:rPr>
          <w:color w:val="auto"/>
          <w:szCs w:val="21"/>
          <w:highlight w:val="none"/>
        </w:rPr>
      </w:pPr>
      <w:r>
        <w:rPr>
          <w:rFonts w:hint="eastAsia"/>
          <w:color w:val="auto"/>
          <w:szCs w:val="21"/>
          <w:highlight w:val="none"/>
        </w:rPr>
        <w:t>（一）签定合同前，中标供应商应当以支票、汇票、本票或者金融机构、担保机构出具的保函等非现金形式提供相应区域一年中标金额的2.5%作为履约保证金，分别缴纳至合同对应采购人指定账户。</w:t>
      </w:r>
    </w:p>
    <w:p>
      <w:pPr>
        <w:snapToGrid w:val="0"/>
        <w:spacing w:line="360" w:lineRule="auto"/>
        <w:ind w:firstLine="422" w:firstLineChars="200"/>
        <w:rPr>
          <w:color w:val="auto"/>
          <w:szCs w:val="21"/>
          <w:highlight w:val="none"/>
        </w:rPr>
      </w:pPr>
      <w:r>
        <w:rPr>
          <w:rFonts w:ascii="Arial" w:hAnsi="Arial" w:cs="Arial"/>
          <w:b/>
          <w:bCs/>
          <w:color w:val="auto"/>
          <w:szCs w:val="21"/>
          <w:highlight w:val="none"/>
        </w:rPr>
        <w:t>注：采用银行保函形式的应满足以下几个条件：</w:t>
      </w:r>
      <w:r>
        <w:rPr>
          <w:rFonts w:hint="eastAsia" w:ascii="宋体" w:hAnsi="宋体" w:cs="宋体"/>
          <w:b/>
          <w:bCs/>
          <w:color w:val="auto"/>
          <w:szCs w:val="21"/>
          <w:highlight w:val="none"/>
        </w:rPr>
        <w:t>①</w:t>
      </w:r>
      <w:r>
        <w:rPr>
          <w:rFonts w:ascii="Arial" w:hAnsi="Arial" w:cs="Arial"/>
          <w:b/>
          <w:bCs/>
          <w:color w:val="auto"/>
          <w:szCs w:val="21"/>
          <w:highlight w:val="none"/>
        </w:rPr>
        <w:t>为见索即付的无条件独立保函：即在成交供应商没有实施合同或者未履行合同义务时，采购人不需要出具任何证明和理由，只要看到成交供应商违约，就可对保函进行收兑；</w:t>
      </w:r>
      <w:r>
        <w:rPr>
          <w:rFonts w:hint="eastAsia" w:ascii="宋体" w:hAnsi="宋体" w:cs="宋体"/>
          <w:b/>
          <w:bCs/>
          <w:color w:val="auto"/>
          <w:szCs w:val="21"/>
          <w:highlight w:val="none"/>
        </w:rPr>
        <w:t>②</w:t>
      </w:r>
      <w:r>
        <w:rPr>
          <w:rFonts w:ascii="Arial" w:hAnsi="Arial" w:cs="Arial"/>
          <w:b/>
          <w:bCs/>
          <w:color w:val="auto"/>
          <w:szCs w:val="21"/>
          <w:highlight w:val="none"/>
        </w:rPr>
        <w:t>保函期限：自合同生效之日起至服务期满之日后30日历天止；</w:t>
      </w:r>
      <w:r>
        <w:rPr>
          <w:rFonts w:hint="eastAsia" w:ascii="宋体" w:hAnsi="宋体" w:cs="宋体"/>
          <w:b/>
          <w:bCs/>
          <w:color w:val="auto"/>
          <w:szCs w:val="21"/>
          <w:highlight w:val="none"/>
        </w:rPr>
        <w:t>③</w:t>
      </w:r>
      <w:r>
        <w:rPr>
          <w:rFonts w:ascii="Arial" w:hAnsi="Arial" w:cs="Arial"/>
          <w:b/>
          <w:bCs/>
          <w:color w:val="auto"/>
          <w:szCs w:val="21"/>
          <w:highlight w:val="none"/>
        </w:rPr>
        <w:t>如果银行保函的，则在前一份保函有效期满之日2个月前必须重新出具相同内容的保函。</w:t>
      </w:r>
      <w:r>
        <w:rPr>
          <w:rFonts w:hint="eastAsia" w:ascii="Arial" w:hAnsi="Arial" w:cs="Arial"/>
          <w:b/>
          <w:bCs/>
          <w:color w:val="auto"/>
          <w:szCs w:val="21"/>
          <w:highlight w:val="none"/>
        </w:rPr>
        <w:t>③采购人提取履约保证金，但未达到解除合同条件的，中标供应商须在扣罚之日起7日历天内补齐合同履约保证金至一年合同款的2.5％。拒不缴纳补齐的，采购人有权扣罚全部履约保证金，并无条件解除合同。</w:t>
      </w:r>
    </w:p>
    <w:p>
      <w:pPr>
        <w:spacing w:line="440" w:lineRule="exact"/>
        <w:ind w:left="630" w:hanging="630" w:hangingChars="300"/>
        <w:rPr>
          <w:color w:val="auto"/>
          <w:szCs w:val="21"/>
          <w:highlight w:val="none"/>
        </w:rPr>
      </w:pPr>
      <w:r>
        <w:rPr>
          <w:rFonts w:hint="eastAsia"/>
          <w:color w:val="auto"/>
          <w:szCs w:val="21"/>
          <w:highlight w:val="none"/>
        </w:rPr>
        <w:t>（二）承包任务完成且达到相关考核要求，验收移交甲方后十个工作日内，甲方无息退还给乙方剩余的合同履约保证金；</w:t>
      </w:r>
    </w:p>
    <w:p>
      <w:pPr>
        <w:spacing w:line="440" w:lineRule="exact"/>
        <w:ind w:left="630" w:hanging="630" w:hangingChars="300"/>
        <w:rPr>
          <w:color w:val="auto"/>
          <w:highlight w:val="none"/>
        </w:rPr>
      </w:pPr>
      <w:r>
        <w:rPr>
          <w:rFonts w:hint="eastAsia"/>
          <w:color w:val="auto"/>
          <w:szCs w:val="21"/>
          <w:highlight w:val="none"/>
        </w:rPr>
        <w:t>（三）乙方不能按期保质保量完成清扫（运）保洁业务，除承担一切相关责任外，甲方可相应没收合同履约保证金。</w:t>
      </w:r>
    </w:p>
    <w:p>
      <w:pPr>
        <w:spacing w:line="440" w:lineRule="exact"/>
        <w:ind w:firstLine="210" w:firstLineChars="100"/>
        <w:jc w:val="center"/>
        <w:rPr>
          <w:color w:val="auto"/>
          <w:szCs w:val="21"/>
          <w:highlight w:val="none"/>
        </w:rPr>
      </w:pPr>
      <w:r>
        <w:rPr>
          <w:rFonts w:hint="eastAsia"/>
          <w:color w:val="auto"/>
          <w:szCs w:val="21"/>
          <w:highlight w:val="none"/>
        </w:rPr>
        <w:t>第九条考评办法</w:t>
      </w:r>
    </w:p>
    <w:p>
      <w:pPr>
        <w:spacing w:line="440" w:lineRule="exact"/>
        <w:ind w:firstLine="210" w:firstLineChars="100"/>
        <w:jc w:val="left"/>
        <w:rPr>
          <w:color w:val="auto"/>
          <w:szCs w:val="21"/>
          <w:highlight w:val="none"/>
        </w:rPr>
      </w:pPr>
      <w:r>
        <w:rPr>
          <w:rFonts w:hint="eastAsia"/>
          <w:color w:val="auto"/>
          <w:szCs w:val="21"/>
          <w:highlight w:val="none"/>
        </w:rPr>
        <w:t>乙方应严格按照甲方具体要求及《招标文件》的规定，提供保洁服务。同时，还要接受甲方按《考核标准》的规定进行质量检查考评。</w:t>
      </w:r>
    </w:p>
    <w:p>
      <w:pPr>
        <w:spacing w:line="440" w:lineRule="exact"/>
        <w:ind w:firstLine="210" w:firstLineChars="100"/>
        <w:jc w:val="center"/>
        <w:rPr>
          <w:color w:val="auto"/>
          <w:szCs w:val="21"/>
          <w:highlight w:val="none"/>
        </w:rPr>
      </w:pPr>
      <w:r>
        <w:rPr>
          <w:rFonts w:hint="eastAsia"/>
          <w:color w:val="auto"/>
          <w:szCs w:val="21"/>
          <w:highlight w:val="none"/>
        </w:rPr>
        <w:t>第十条 权利和义务</w:t>
      </w:r>
    </w:p>
    <w:p>
      <w:pPr>
        <w:spacing w:line="440" w:lineRule="exact"/>
        <w:rPr>
          <w:color w:val="auto"/>
          <w:szCs w:val="21"/>
          <w:highlight w:val="none"/>
        </w:rPr>
      </w:pPr>
      <w:r>
        <w:rPr>
          <w:rFonts w:hint="eastAsia"/>
          <w:color w:val="auto"/>
          <w:szCs w:val="21"/>
          <w:highlight w:val="none"/>
        </w:rPr>
        <w:t>（一）甲方权利与义务</w:t>
      </w:r>
    </w:p>
    <w:p>
      <w:pPr>
        <w:spacing w:line="440" w:lineRule="exact"/>
        <w:ind w:left="315" w:hanging="315" w:hangingChars="150"/>
        <w:rPr>
          <w:color w:val="auto"/>
          <w:szCs w:val="21"/>
          <w:highlight w:val="none"/>
        </w:rPr>
      </w:pPr>
      <w:r>
        <w:rPr>
          <w:rFonts w:hint="eastAsia"/>
          <w:color w:val="auto"/>
          <w:szCs w:val="21"/>
          <w:highlight w:val="none"/>
        </w:rPr>
        <w:t>1</w:t>
      </w:r>
      <w:r>
        <w:rPr>
          <w:rFonts w:hint="eastAsia"/>
          <w:color w:val="auto"/>
          <w:highlight w:val="none"/>
        </w:rPr>
        <w:t>.</w:t>
      </w:r>
      <w:r>
        <w:rPr>
          <w:rFonts w:hint="eastAsia"/>
          <w:color w:val="auto"/>
          <w:szCs w:val="21"/>
          <w:highlight w:val="none"/>
        </w:rPr>
        <w:t>甲方对乙方的清扫（运）保洁业务进行全面的技术指导、检查、管理、监督和考核，对检查中发现的环境卫生质量问题及时向乙方提出书面或口头改进意见。</w:t>
      </w:r>
    </w:p>
    <w:p>
      <w:pPr>
        <w:spacing w:line="440" w:lineRule="exact"/>
        <w:ind w:left="315" w:hanging="315" w:hangingChars="150"/>
        <w:rPr>
          <w:color w:val="auto"/>
          <w:szCs w:val="21"/>
          <w:highlight w:val="none"/>
        </w:rPr>
      </w:pPr>
      <w:r>
        <w:rPr>
          <w:rFonts w:hint="eastAsia"/>
          <w:color w:val="auto"/>
          <w:szCs w:val="21"/>
          <w:highlight w:val="none"/>
        </w:rPr>
        <w:t>2</w:t>
      </w:r>
      <w:r>
        <w:rPr>
          <w:rFonts w:hint="eastAsia"/>
          <w:color w:val="auto"/>
          <w:highlight w:val="none"/>
        </w:rPr>
        <w:t>.</w:t>
      </w:r>
      <w:r>
        <w:rPr>
          <w:rFonts w:hint="eastAsia"/>
          <w:color w:val="auto"/>
          <w:szCs w:val="21"/>
          <w:highlight w:val="none"/>
        </w:rPr>
        <w:t>甲方对乙方违反合同附件中规定的行为进行惩罚。</w:t>
      </w:r>
    </w:p>
    <w:p>
      <w:pPr>
        <w:spacing w:line="440" w:lineRule="exact"/>
        <w:ind w:left="315" w:hanging="315" w:hangingChars="150"/>
        <w:rPr>
          <w:color w:val="auto"/>
          <w:szCs w:val="21"/>
          <w:highlight w:val="none"/>
        </w:rPr>
      </w:pPr>
      <w:r>
        <w:rPr>
          <w:rFonts w:hint="eastAsia"/>
          <w:color w:val="auto"/>
          <w:szCs w:val="21"/>
          <w:highlight w:val="none"/>
        </w:rPr>
        <w:t>3</w:t>
      </w:r>
      <w:r>
        <w:rPr>
          <w:rFonts w:hint="eastAsia"/>
          <w:color w:val="auto"/>
          <w:highlight w:val="none"/>
        </w:rPr>
        <w:t>.</w:t>
      </w:r>
      <w:r>
        <w:rPr>
          <w:rFonts w:hint="eastAsia"/>
          <w:color w:val="auto"/>
          <w:szCs w:val="21"/>
          <w:highlight w:val="none"/>
        </w:rPr>
        <w:t>甲方监督检查乙方落实安全生产措施（包括防台、防火、防涝）。</w:t>
      </w:r>
    </w:p>
    <w:p>
      <w:pPr>
        <w:spacing w:line="440" w:lineRule="exact"/>
        <w:ind w:left="315" w:hanging="315" w:hangingChars="150"/>
        <w:rPr>
          <w:color w:val="auto"/>
          <w:szCs w:val="21"/>
          <w:highlight w:val="none"/>
        </w:rPr>
      </w:pPr>
      <w:r>
        <w:rPr>
          <w:rFonts w:hint="eastAsia"/>
          <w:color w:val="auto"/>
          <w:szCs w:val="21"/>
          <w:highlight w:val="none"/>
        </w:rPr>
        <w:t>4</w:t>
      </w:r>
      <w:r>
        <w:rPr>
          <w:rFonts w:hint="eastAsia"/>
          <w:color w:val="auto"/>
          <w:highlight w:val="none"/>
        </w:rPr>
        <w:t>.</w:t>
      </w:r>
      <w:r>
        <w:rPr>
          <w:rFonts w:hint="eastAsia"/>
          <w:color w:val="auto"/>
          <w:szCs w:val="21"/>
          <w:highlight w:val="none"/>
        </w:rPr>
        <w:t>甲方监督检查乙方对员工进行培训的情况，以提高清扫保洁服务的技术水平。</w:t>
      </w:r>
    </w:p>
    <w:p>
      <w:pPr>
        <w:spacing w:line="440" w:lineRule="exact"/>
        <w:ind w:left="315" w:hanging="315" w:hangingChars="150"/>
        <w:rPr>
          <w:color w:val="auto"/>
          <w:szCs w:val="21"/>
          <w:highlight w:val="none"/>
        </w:rPr>
      </w:pPr>
      <w:r>
        <w:rPr>
          <w:rFonts w:hint="eastAsia"/>
          <w:color w:val="auto"/>
          <w:szCs w:val="21"/>
          <w:highlight w:val="none"/>
        </w:rPr>
        <w:t>5</w:t>
      </w:r>
      <w:r>
        <w:rPr>
          <w:rFonts w:hint="eastAsia"/>
          <w:color w:val="auto"/>
          <w:highlight w:val="none"/>
        </w:rPr>
        <w:t>.</w:t>
      </w:r>
      <w:r>
        <w:rPr>
          <w:rFonts w:hint="eastAsia"/>
          <w:color w:val="auto"/>
          <w:szCs w:val="21"/>
          <w:highlight w:val="none"/>
        </w:rPr>
        <w:t>甲方应按清扫保洁质量和检查考核结果计算经费，扣除乙方因检查不合格应扣款后，按期支付给乙方。</w:t>
      </w:r>
    </w:p>
    <w:p>
      <w:pPr>
        <w:spacing w:line="440" w:lineRule="exact"/>
        <w:ind w:left="315" w:hanging="315" w:hangingChars="150"/>
        <w:rPr>
          <w:color w:val="auto"/>
          <w:szCs w:val="21"/>
          <w:highlight w:val="none"/>
        </w:rPr>
      </w:pPr>
      <w:r>
        <w:rPr>
          <w:rFonts w:hint="eastAsia"/>
          <w:color w:val="auto"/>
          <w:szCs w:val="21"/>
          <w:highlight w:val="none"/>
        </w:rPr>
        <w:t>6</w:t>
      </w:r>
      <w:r>
        <w:rPr>
          <w:rFonts w:hint="eastAsia"/>
          <w:color w:val="auto"/>
          <w:highlight w:val="none"/>
        </w:rPr>
        <w:t>.</w:t>
      </w:r>
      <w:r>
        <w:rPr>
          <w:rFonts w:hint="eastAsia"/>
          <w:color w:val="auto"/>
          <w:szCs w:val="21"/>
          <w:highlight w:val="none"/>
        </w:rPr>
        <w:t>甲方可要求乙方调整不合格员工。</w:t>
      </w:r>
    </w:p>
    <w:p>
      <w:pPr>
        <w:spacing w:line="440" w:lineRule="exact"/>
        <w:ind w:left="315" w:hanging="315" w:hangingChars="150"/>
        <w:rPr>
          <w:color w:val="auto"/>
          <w:szCs w:val="21"/>
          <w:highlight w:val="none"/>
        </w:rPr>
      </w:pPr>
      <w:r>
        <w:rPr>
          <w:rFonts w:hint="eastAsia"/>
          <w:color w:val="auto"/>
          <w:szCs w:val="21"/>
          <w:highlight w:val="none"/>
        </w:rPr>
        <w:t>7</w:t>
      </w:r>
      <w:r>
        <w:rPr>
          <w:rFonts w:hint="eastAsia"/>
          <w:color w:val="auto"/>
          <w:highlight w:val="none"/>
        </w:rPr>
        <w:t>.</w:t>
      </w:r>
      <w:r>
        <w:rPr>
          <w:rFonts w:hint="eastAsia"/>
          <w:color w:val="auto"/>
          <w:szCs w:val="21"/>
          <w:highlight w:val="none"/>
        </w:rPr>
        <w:t>甲方可根据政策的变动并结合实际情况对本合同进行修改和补充。</w:t>
      </w:r>
    </w:p>
    <w:p>
      <w:pPr>
        <w:spacing w:line="440" w:lineRule="exact"/>
        <w:ind w:left="315" w:hanging="315" w:hangingChars="150"/>
        <w:rPr>
          <w:color w:val="auto"/>
          <w:highlight w:val="none"/>
        </w:rPr>
      </w:pPr>
      <w:r>
        <w:rPr>
          <w:rFonts w:hint="eastAsia"/>
          <w:color w:val="auto"/>
          <w:szCs w:val="21"/>
          <w:highlight w:val="none"/>
        </w:rPr>
        <w:t>8</w:t>
      </w:r>
      <w:r>
        <w:rPr>
          <w:rFonts w:hint="eastAsia"/>
          <w:color w:val="auto"/>
          <w:highlight w:val="none"/>
        </w:rPr>
        <w:t>.</w:t>
      </w:r>
      <w:r>
        <w:rPr>
          <w:rFonts w:hint="eastAsia"/>
          <w:color w:val="auto"/>
          <w:szCs w:val="21"/>
          <w:highlight w:val="none"/>
        </w:rPr>
        <w:t>甲方有权对保洁范围进行调整。</w:t>
      </w:r>
    </w:p>
    <w:p>
      <w:pPr>
        <w:spacing w:line="440" w:lineRule="exact"/>
        <w:ind w:left="315" w:hanging="315" w:hangingChars="150"/>
        <w:rPr>
          <w:color w:val="auto"/>
          <w:szCs w:val="21"/>
          <w:highlight w:val="none"/>
        </w:rPr>
      </w:pPr>
      <w:r>
        <w:rPr>
          <w:rFonts w:hint="eastAsia"/>
          <w:color w:val="auto"/>
          <w:szCs w:val="21"/>
          <w:highlight w:val="none"/>
        </w:rPr>
        <w:t>9</w:t>
      </w:r>
      <w:r>
        <w:rPr>
          <w:rFonts w:hint="eastAsia"/>
          <w:color w:val="auto"/>
          <w:highlight w:val="none"/>
        </w:rPr>
        <w:t>.</w:t>
      </w:r>
      <w:r>
        <w:rPr>
          <w:rFonts w:hint="eastAsia"/>
          <w:color w:val="auto"/>
          <w:szCs w:val="21"/>
          <w:highlight w:val="none"/>
        </w:rPr>
        <w:t>甲方应按时支付款项。本合同的经费来源于财政资金，如因政策影响，拨款未能及时到位，乙方不得以此为由而不履行本合同规定的义务。否则，甲方按规定扣罚。</w:t>
      </w:r>
    </w:p>
    <w:p>
      <w:pPr>
        <w:spacing w:line="440" w:lineRule="exact"/>
        <w:rPr>
          <w:color w:val="auto"/>
          <w:szCs w:val="21"/>
          <w:highlight w:val="none"/>
        </w:rPr>
      </w:pPr>
      <w:r>
        <w:rPr>
          <w:rFonts w:hint="eastAsia"/>
          <w:color w:val="auto"/>
          <w:szCs w:val="21"/>
          <w:highlight w:val="none"/>
        </w:rPr>
        <w:t>（二）乙方权利和义务</w:t>
      </w:r>
    </w:p>
    <w:p>
      <w:pPr>
        <w:spacing w:line="440" w:lineRule="exact"/>
        <w:ind w:left="315" w:hanging="315" w:hangingChars="150"/>
        <w:rPr>
          <w:color w:val="auto"/>
          <w:szCs w:val="21"/>
          <w:highlight w:val="none"/>
        </w:rPr>
      </w:pPr>
      <w:r>
        <w:rPr>
          <w:rFonts w:hint="eastAsia"/>
          <w:color w:val="auto"/>
          <w:szCs w:val="21"/>
          <w:highlight w:val="none"/>
        </w:rPr>
        <w:t>l</w:t>
      </w:r>
      <w:r>
        <w:rPr>
          <w:rFonts w:hint="eastAsia" w:ascii="宋体" w:hAnsi="Calibri"/>
          <w:color w:val="auto"/>
          <w:sz w:val="22"/>
          <w:szCs w:val="22"/>
          <w:highlight w:val="none"/>
        </w:rPr>
        <w:t>.</w:t>
      </w:r>
      <w:r>
        <w:rPr>
          <w:rFonts w:hint="eastAsia"/>
          <w:color w:val="auto"/>
          <w:szCs w:val="21"/>
          <w:highlight w:val="none"/>
        </w:rPr>
        <w:t>乙方有权根据承包合同按期领取承包经费。</w:t>
      </w:r>
    </w:p>
    <w:p>
      <w:pPr>
        <w:spacing w:line="440" w:lineRule="exact"/>
        <w:ind w:left="315" w:hanging="315" w:hangingChars="150"/>
        <w:rPr>
          <w:color w:val="auto"/>
          <w:szCs w:val="21"/>
          <w:highlight w:val="none"/>
        </w:rPr>
      </w:pPr>
      <w:r>
        <w:rPr>
          <w:rFonts w:hint="eastAsia"/>
          <w:color w:val="auto"/>
          <w:szCs w:val="21"/>
          <w:highlight w:val="none"/>
        </w:rPr>
        <w:t xml:space="preserve">2.乙方履行承诺的义务，并参加由甲方组织的检查和综合考评。   </w:t>
      </w:r>
    </w:p>
    <w:p>
      <w:pPr>
        <w:spacing w:line="440" w:lineRule="exact"/>
        <w:ind w:left="315" w:hanging="315" w:hangingChars="150"/>
        <w:rPr>
          <w:color w:val="auto"/>
          <w:szCs w:val="21"/>
          <w:highlight w:val="none"/>
        </w:rPr>
      </w:pPr>
      <w:r>
        <w:rPr>
          <w:rFonts w:hint="eastAsia"/>
          <w:color w:val="auto"/>
          <w:szCs w:val="21"/>
          <w:highlight w:val="none"/>
        </w:rPr>
        <w:t>3</w:t>
      </w:r>
      <w:r>
        <w:rPr>
          <w:rFonts w:hint="eastAsia" w:ascii="宋体" w:hAnsi="Calibri"/>
          <w:color w:val="auto"/>
          <w:sz w:val="22"/>
          <w:szCs w:val="22"/>
          <w:highlight w:val="none"/>
        </w:rPr>
        <w:t>.</w:t>
      </w:r>
      <w:r>
        <w:rPr>
          <w:rFonts w:hint="eastAsia"/>
          <w:color w:val="auto"/>
          <w:szCs w:val="21"/>
          <w:highlight w:val="none"/>
        </w:rPr>
        <w:t>乙方应接受甲方的检查监督及指导。</w:t>
      </w:r>
    </w:p>
    <w:p>
      <w:pPr>
        <w:spacing w:line="440" w:lineRule="exact"/>
        <w:ind w:left="315" w:hanging="315" w:hangingChars="150"/>
        <w:rPr>
          <w:color w:val="auto"/>
          <w:szCs w:val="21"/>
          <w:highlight w:val="none"/>
        </w:rPr>
      </w:pPr>
      <w:r>
        <w:rPr>
          <w:rFonts w:hint="eastAsia"/>
          <w:color w:val="auto"/>
          <w:szCs w:val="21"/>
          <w:highlight w:val="none"/>
        </w:rPr>
        <w:t>4</w:t>
      </w:r>
      <w:r>
        <w:rPr>
          <w:rFonts w:hint="eastAsia" w:ascii="宋体" w:hAnsi="Calibri"/>
          <w:color w:val="auto"/>
          <w:sz w:val="22"/>
          <w:szCs w:val="22"/>
          <w:highlight w:val="none"/>
        </w:rPr>
        <w:t>.</w:t>
      </w:r>
      <w:r>
        <w:rPr>
          <w:rFonts w:hint="eastAsia"/>
          <w:color w:val="auto"/>
          <w:szCs w:val="21"/>
          <w:highlight w:val="none"/>
        </w:rPr>
        <w:t>按甲方的要求开展工作，如有改变，乙方应提出书面申请，并征得甲方的书面同意。</w:t>
      </w:r>
    </w:p>
    <w:p>
      <w:pPr>
        <w:spacing w:line="440" w:lineRule="exact"/>
        <w:ind w:left="315" w:hanging="315" w:hangingChars="150"/>
        <w:rPr>
          <w:color w:val="auto"/>
          <w:szCs w:val="21"/>
          <w:highlight w:val="none"/>
        </w:rPr>
      </w:pPr>
      <w:r>
        <w:rPr>
          <w:rFonts w:hint="eastAsia"/>
          <w:color w:val="auto"/>
          <w:szCs w:val="21"/>
          <w:highlight w:val="none"/>
        </w:rPr>
        <w:t>5</w:t>
      </w:r>
      <w:r>
        <w:rPr>
          <w:rFonts w:hint="eastAsia" w:ascii="宋体" w:hAnsi="Calibri"/>
          <w:color w:val="auto"/>
          <w:sz w:val="22"/>
          <w:szCs w:val="22"/>
          <w:highlight w:val="none"/>
        </w:rPr>
        <w:t>.</w:t>
      </w:r>
      <w:r>
        <w:rPr>
          <w:rFonts w:hint="eastAsia"/>
          <w:color w:val="auto"/>
          <w:szCs w:val="21"/>
          <w:highlight w:val="none"/>
        </w:rPr>
        <w:t>特殊情况下（台风和暴雨等），乙方除应做好管辖地段保护工作外，还应服从甲方的统一指挥和调动，参加抢险救灾工作。</w:t>
      </w:r>
    </w:p>
    <w:p>
      <w:pPr>
        <w:spacing w:line="440" w:lineRule="exact"/>
        <w:ind w:left="315" w:hanging="315" w:hangingChars="150"/>
        <w:rPr>
          <w:color w:val="auto"/>
          <w:szCs w:val="21"/>
          <w:highlight w:val="none"/>
        </w:rPr>
      </w:pPr>
      <w:r>
        <w:rPr>
          <w:rFonts w:hint="eastAsia"/>
          <w:color w:val="auto"/>
          <w:szCs w:val="21"/>
          <w:highlight w:val="none"/>
        </w:rPr>
        <w:t>6</w:t>
      </w:r>
      <w:r>
        <w:rPr>
          <w:rFonts w:hint="eastAsia" w:ascii="宋体" w:hAnsi="Calibri"/>
          <w:color w:val="auto"/>
          <w:sz w:val="22"/>
          <w:szCs w:val="22"/>
          <w:highlight w:val="none"/>
        </w:rPr>
        <w:t>.</w:t>
      </w:r>
      <w:r>
        <w:rPr>
          <w:rFonts w:hint="eastAsia"/>
          <w:color w:val="auto"/>
          <w:szCs w:val="21"/>
          <w:highlight w:val="none"/>
        </w:rPr>
        <w:t>乙方根据本合同所承担的服务内容，</w:t>
      </w:r>
      <w:r>
        <w:rPr>
          <w:rFonts w:hint="eastAsia" w:ascii="宋体" w:hAnsi="宋体"/>
          <w:color w:val="auto"/>
          <w:szCs w:val="21"/>
          <w:highlight w:val="none"/>
        </w:rPr>
        <w:t>按实际上岗人数自行到有关部门申</w:t>
      </w:r>
      <w:r>
        <w:rPr>
          <w:rFonts w:hint="eastAsia"/>
          <w:color w:val="auto"/>
          <w:szCs w:val="21"/>
          <w:highlight w:val="none"/>
        </w:rPr>
        <w:t>办用工手续、员工劳动保险手续和办暂住证手续。员工最低工资不得低于永嘉县本年最低工资标准的110%。安排好属下人员的教育管理工作，如发生违纪事件，由乙方承担一切经济责任和法律责任。现有环卫工人愿意到乙方继续从事环卫保洁工作的，并愿意遵守乙方相关管理制度，乙方必须予以接收。</w:t>
      </w:r>
    </w:p>
    <w:p>
      <w:pPr>
        <w:spacing w:line="440" w:lineRule="exact"/>
        <w:ind w:left="315" w:hanging="315" w:hangingChars="150"/>
        <w:rPr>
          <w:color w:val="auto"/>
          <w:szCs w:val="21"/>
          <w:highlight w:val="none"/>
        </w:rPr>
      </w:pPr>
      <w:r>
        <w:rPr>
          <w:rFonts w:hint="eastAsia"/>
          <w:color w:val="auto"/>
          <w:szCs w:val="21"/>
          <w:highlight w:val="none"/>
        </w:rPr>
        <w:t>7</w:t>
      </w:r>
      <w:r>
        <w:rPr>
          <w:rFonts w:hint="eastAsia" w:ascii="宋体" w:hAnsi="Calibri"/>
          <w:color w:val="auto"/>
          <w:sz w:val="22"/>
          <w:szCs w:val="22"/>
          <w:highlight w:val="none"/>
        </w:rPr>
        <w:t>.</w:t>
      </w:r>
      <w:r>
        <w:rPr>
          <w:rFonts w:hint="eastAsia"/>
          <w:color w:val="auto"/>
          <w:szCs w:val="21"/>
          <w:highlight w:val="none"/>
        </w:rPr>
        <w:t>必须按规定为员工购买养老保险、医疗保险、工伤保险、失业保险、人身意外保险。</w:t>
      </w:r>
    </w:p>
    <w:p>
      <w:pPr>
        <w:spacing w:line="440" w:lineRule="exact"/>
        <w:ind w:left="315" w:hanging="315" w:hangingChars="150"/>
        <w:rPr>
          <w:color w:val="auto"/>
          <w:szCs w:val="21"/>
          <w:highlight w:val="none"/>
        </w:rPr>
      </w:pPr>
      <w:r>
        <w:rPr>
          <w:rFonts w:hint="eastAsia"/>
          <w:color w:val="auto"/>
          <w:szCs w:val="21"/>
          <w:highlight w:val="none"/>
        </w:rPr>
        <w:t>8</w:t>
      </w:r>
      <w:r>
        <w:rPr>
          <w:rFonts w:hint="eastAsia" w:ascii="宋体" w:hAnsi="Calibri"/>
          <w:color w:val="auto"/>
          <w:sz w:val="22"/>
          <w:szCs w:val="22"/>
          <w:highlight w:val="none"/>
        </w:rPr>
        <w:t>.</w:t>
      </w:r>
      <w:r>
        <w:rPr>
          <w:rFonts w:hint="eastAsia"/>
          <w:color w:val="auto"/>
          <w:szCs w:val="21"/>
          <w:highlight w:val="none"/>
        </w:rPr>
        <w:t>乙方应按甲方要求，为上岗工人购买统一的工作服及反光背心。</w:t>
      </w:r>
    </w:p>
    <w:p>
      <w:pPr>
        <w:spacing w:line="440" w:lineRule="exact"/>
        <w:ind w:left="420" w:hanging="420" w:hangingChars="200"/>
        <w:rPr>
          <w:color w:val="auto"/>
          <w:szCs w:val="21"/>
          <w:highlight w:val="none"/>
        </w:rPr>
      </w:pPr>
      <w:r>
        <w:rPr>
          <w:rFonts w:hint="eastAsia"/>
          <w:color w:val="auto"/>
          <w:szCs w:val="21"/>
          <w:highlight w:val="none"/>
        </w:rPr>
        <w:t>9</w:t>
      </w:r>
      <w:r>
        <w:rPr>
          <w:rFonts w:hint="eastAsia" w:ascii="宋体" w:hAnsi="Calibri"/>
          <w:color w:val="auto"/>
          <w:sz w:val="22"/>
          <w:szCs w:val="22"/>
          <w:highlight w:val="none"/>
        </w:rPr>
        <w:t>.</w:t>
      </w:r>
      <w:r>
        <w:rPr>
          <w:rFonts w:hint="eastAsia"/>
          <w:color w:val="auto"/>
          <w:szCs w:val="21"/>
          <w:highlight w:val="none"/>
        </w:rPr>
        <w:t>乙方负责提供垃圾清扫（运）等所有服务项目所需的全部工具、设备和材料。</w:t>
      </w:r>
    </w:p>
    <w:p>
      <w:pPr>
        <w:spacing w:line="440" w:lineRule="exact"/>
        <w:ind w:left="315" w:hanging="315" w:hangingChars="150"/>
        <w:rPr>
          <w:color w:val="auto"/>
          <w:szCs w:val="21"/>
          <w:highlight w:val="none"/>
        </w:rPr>
      </w:pPr>
      <w:r>
        <w:rPr>
          <w:rFonts w:hint="eastAsia"/>
          <w:color w:val="auto"/>
          <w:szCs w:val="21"/>
          <w:highlight w:val="none"/>
        </w:rPr>
        <w:t>10</w:t>
      </w:r>
      <w:r>
        <w:rPr>
          <w:rFonts w:hint="eastAsia" w:ascii="宋体" w:hAnsi="Calibri"/>
          <w:color w:val="auto"/>
          <w:sz w:val="22"/>
          <w:szCs w:val="22"/>
          <w:highlight w:val="none"/>
        </w:rPr>
        <w:t>.</w:t>
      </w:r>
      <w:r>
        <w:rPr>
          <w:rFonts w:hint="eastAsia"/>
          <w:color w:val="auto"/>
          <w:szCs w:val="21"/>
          <w:highlight w:val="none"/>
        </w:rPr>
        <w:t>乙方负责安排骨干参加业务技术的培训学习。</w:t>
      </w:r>
    </w:p>
    <w:p>
      <w:pPr>
        <w:spacing w:line="440" w:lineRule="exact"/>
        <w:ind w:left="315" w:hanging="315" w:hangingChars="150"/>
        <w:rPr>
          <w:color w:val="auto"/>
          <w:szCs w:val="21"/>
          <w:highlight w:val="none"/>
        </w:rPr>
      </w:pPr>
      <w:r>
        <w:rPr>
          <w:rFonts w:hint="eastAsia"/>
          <w:color w:val="auto"/>
          <w:szCs w:val="21"/>
          <w:highlight w:val="none"/>
        </w:rPr>
        <w:t>11</w:t>
      </w:r>
      <w:r>
        <w:rPr>
          <w:rFonts w:hint="eastAsia" w:ascii="宋体" w:hAnsi="Calibri"/>
          <w:color w:val="auto"/>
          <w:sz w:val="22"/>
          <w:szCs w:val="22"/>
          <w:highlight w:val="none"/>
        </w:rPr>
        <w:t>.</w:t>
      </w:r>
      <w:r>
        <w:rPr>
          <w:rFonts w:hint="eastAsia"/>
          <w:color w:val="auto"/>
          <w:szCs w:val="21"/>
          <w:highlight w:val="none"/>
        </w:rPr>
        <w:t>乙方负责作业过程中的事故处理和一切费用。</w:t>
      </w:r>
    </w:p>
    <w:p>
      <w:pPr>
        <w:spacing w:line="440" w:lineRule="exact"/>
        <w:ind w:left="420" w:hanging="420" w:hangingChars="200"/>
        <w:rPr>
          <w:color w:val="auto"/>
          <w:szCs w:val="21"/>
          <w:highlight w:val="none"/>
        </w:rPr>
      </w:pPr>
      <w:r>
        <w:rPr>
          <w:rFonts w:hint="eastAsia"/>
          <w:color w:val="auto"/>
          <w:szCs w:val="21"/>
          <w:highlight w:val="none"/>
        </w:rPr>
        <w:t>12</w:t>
      </w:r>
      <w:r>
        <w:rPr>
          <w:rFonts w:hint="eastAsia" w:ascii="宋体" w:hAnsi="Calibri"/>
          <w:color w:val="auto"/>
          <w:sz w:val="22"/>
          <w:szCs w:val="22"/>
          <w:highlight w:val="none"/>
        </w:rPr>
        <w:t>.</w:t>
      </w:r>
      <w:r>
        <w:rPr>
          <w:rFonts w:hint="eastAsia"/>
          <w:color w:val="auto"/>
          <w:szCs w:val="21"/>
          <w:highlight w:val="none"/>
        </w:rPr>
        <w:t>乙方应严格遵守国家法律、法规的规定，做好社会治安综合治理，不得违反国家法律、法规和温州市的有关规定。</w:t>
      </w:r>
    </w:p>
    <w:p>
      <w:pPr>
        <w:spacing w:line="440" w:lineRule="exact"/>
        <w:ind w:left="420" w:hanging="420" w:hangingChars="200"/>
        <w:rPr>
          <w:color w:val="auto"/>
          <w:szCs w:val="21"/>
          <w:highlight w:val="none"/>
        </w:rPr>
      </w:pPr>
      <w:r>
        <w:rPr>
          <w:rFonts w:hint="eastAsia"/>
          <w:color w:val="auto"/>
          <w:szCs w:val="21"/>
          <w:highlight w:val="none"/>
        </w:rPr>
        <w:t>13</w:t>
      </w:r>
      <w:r>
        <w:rPr>
          <w:rFonts w:hint="eastAsia" w:ascii="宋体" w:hAnsi="Calibri"/>
          <w:color w:val="auto"/>
          <w:sz w:val="22"/>
          <w:szCs w:val="22"/>
          <w:highlight w:val="none"/>
        </w:rPr>
        <w:t>.</w:t>
      </w:r>
      <w:r>
        <w:rPr>
          <w:rFonts w:hint="eastAsia"/>
          <w:color w:val="auto"/>
          <w:szCs w:val="21"/>
          <w:highlight w:val="none"/>
        </w:rPr>
        <w:t>在合同期内，甲方有权调整乙方管理任务和管理级别时，乙方要无条件服从，相应增减承包面积及经费。</w:t>
      </w:r>
    </w:p>
    <w:p>
      <w:pPr>
        <w:spacing w:line="440" w:lineRule="exact"/>
        <w:ind w:left="420" w:hanging="420" w:hangingChars="200"/>
        <w:rPr>
          <w:color w:val="auto"/>
          <w:szCs w:val="21"/>
          <w:highlight w:val="none"/>
        </w:rPr>
      </w:pPr>
      <w:r>
        <w:rPr>
          <w:rFonts w:hint="eastAsia"/>
          <w:color w:val="auto"/>
          <w:szCs w:val="21"/>
          <w:highlight w:val="none"/>
        </w:rPr>
        <w:t>14</w:t>
      </w:r>
      <w:r>
        <w:rPr>
          <w:rFonts w:hint="eastAsia" w:ascii="宋体" w:hAnsi="Calibri"/>
          <w:color w:val="auto"/>
          <w:sz w:val="22"/>
          <w:szCs w:val="22"/>
          <w:highlight w:val="none"/>
        </w:rPr>
        <w:t>.</w:t>
      </w:r>
      <w:r>
        <w:rPr>
          <w:rFonts w:hint="eastAsia"/>
          <w:color w:val="auto"/>
          <w:szCs w:val="21"/>
          <w:highlight w:val="none"/>
        </w:rPr>
        <w:t>乙方应遵守法律、法规和政策的规定，因以上原因使合同性质发生改变，甲方不负赔偿责任。</w:t>
      </w:r>
    </w:p>
    <w:p>
      <w:pPr>
        <w:spacing w:line="440" w:lineRule="exact"/>
        <w:jc w:val="center"/>
        <w:rPr>
          <w:color w:val="auto"/>
          <w:szCs w:val="21"/>
          <w:highlight w:val="none"/>
        </w:rPr>
      </w:pPr>
      <w:r>
        <w:rPr>
          <w:rFonts w:hint="eastAsia"/>
          <w:color w:val="auto"/>
          <w:szCs w:val="21"/>
          <w:highlight w:val="none"/>
        </w:rPr>
        <w:t>第十一条  合同组成</w:t>
      </w:r>
    </w:p>
    <w:p>
      <w:pPr>
        <w:spacing w:line="440" w:lineRule="exact"/>
        <w:ind w:firstLine="420" w:firstLineChars="200"/>
        <w:rPr>
          <w:color w:val="auto"/>
          <w:szCs w:val="21"/>
          <w:highlight w:val="none"/>
        </w:rPr>
      </w:pPr>
      <w:r>
        <w:rPr>
          <w:rFonts w:hint="eastAsia"/>
          <w:color w:val="auto"/>
          <w:szCs w:val="21"/>
          <w:highlight w:val="none"/>
        </w:rPr>
        <w:t>承包合同由《招标文件》、</w:t>
      </w:r>
      <w:r>
        <w:rPr>
          <w:rFonts w:hint="eastAsia" w:ascii="宋体" w:hAnsi="宋体" w:cs="宋体"/>
          <w:color w:val="auto"/>
          <w:szCs w:val="21"/>
          <w:highlight w:val="none"/>
        </w:rPr>
        <w:t>《投标文件》、《考核标准》</w:t>
      </w:r>
      <w:r>
        <w:rPr>
          <w:rFonts w:hint="eastAsia"/>
          <w:color w:val="auto"/>
          <w:szCs w:val="21"/>
          <w:highlight w:val="none"/>
        </w:rPr>
        <w:t>为本合同的有效组成部分。</w:t>
      </w:r>
    </w:p>
    <w:p>
      <w:pPr>
        <w:spacing w:line="440" w:lineRule="exact"/>
        <w:jc w:val="center"/>
        <w:rPr>
          <w:color w:val="auto"/>
          <w:szCs w:val="21"/>
          <w:highlight w:val="none"/>
        </w:rPr>
      </w:pPr>
      <w:r>
        <w:rPr>
          <w:rFonts w:hint="eastAsia"/>
          <w:color w:val="auto"/>
          <w:szCs w:val="21"/>
          <w:highlight w:val="none"/>
        </w:rPr>
        <w:t>第十二条  违约责任</w:t>
      </w:r>
    </w:p>
    <w:p>
      <w:pPr>
        <w:spacing w:line="440" w:lineRule="exact"/>
        <w:jc w:val="left"/>
        <w:rPr>
          <w:color w:val="auto"/>
          <w:szCs w:val="21"/>
          <w:highlight w:val="none"/>
        </w:rPr>
      </w:pPr>
      <w:r>
        <w:rPr>
          <w:rFonts w:hint="eastAsia"/>
          <w:color w:val="auto"/>
          <w:szCs w:val="21"/>
          <w:highlight w:val="none"/>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spacing w:line="440" w:lineRule="exact"/>
        <w:jc w:val="left"/>
        <w:rPr>
          <w:color w:val="auto"/>
          <w:szCs w:val="21"/>
          <w:highlight w:val="none"/>
        </w:rPr>
      </w:pPr>
      <w:r>
        <w:rPr>
          <w:rFonts w:hint="eastAsia"/>
          <w:color w:val="auto"/>
          <w:szCs w:val="21"/>
          <w:highlight w:val="none"/>
        </w:rPr>
        <w:t>（二）乙方因机械、工具或技术、劳动等跟不上管理需要影响工作，未达到质量标准，按照《考核标准》的规定，甲方有权单方终止本合同。</w:t>
      </w:r>
    </w:p>
    <w:p>
      <w:pPr>
        <w:spacing w:line="440" w:lineRule="exact"/>
        <w:jc w:val="center"/>
        <w:rPr>
          <w:color w:val="auto"/>
          <w:szCs w:val="21"/>
          <w:highlight w:val="none"/>
        </w:rPr>
      </w:pPr>
      <w:r>
        <w:rPr>
          <w:rFonts w:hint="eastAsia"/>
          <w:color w:val="auto"/>
          <w:szCs w:val="21"/>
          <w:highlight w:val="none"/>
        </w:rPr>
        <w:t>第十三条  验收移交</w:t>
      </w:r>
    </w:p>
    <w:p>
      <w:pPr>
        <w:spacing w:line="440" w:lineRule="exact"/>
        <w:ind w:left="630" w:hanging="630" w:hangingChars="300"/>
        <w:rPr>
          <w:color w:val="auto"/>
          <w:szCs w:val="21"/>
          <w:highlight w:val="none"/>
        </w:rPr>
      </w:pPr>
      <w:r>
        <w:rPr>
          <w:rFonts w:hint="eastAsia"/>
          <w:color w:val="auto"/>
          <w:szCs w:val="21"/>
          <w:highlight w:val="none"/>
        </w:rPr>
        <w:t>（一）在合同终止前十个工作日内，由乙方书面向甲方提出移交验收申请；</w:t>
      </w:r>
    </w:p>
    <w:p>
      <w:pPr>
        <w:spacing w:line="360" w:lineRule="auto"/>
        <w:ind w:firstLine="0" w:firstLineChars="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二</w:t>
      </w:r>
      <w:r>
        <w:rPr>
          <w:rFonts w:hint="eastAsia"/>
          <w:color w:val="auto"/>
          <w:szCs w:val="21"/>
          <w:highlight w:val="none"/>
          <w:lang w:eastAsia="zh-CN"/>
        </w:rPr>
        <w:t>）</w:t>
      </w:r>
      <w:r>
        <w:rPr>
          <w:rFonts w:hint="eastAsia"/>
          <w:color w:val="auto"/>
          <w:szCs w:val="21"/>
          <w:highlight w:val="none"/>
        </w:rPr>
        <w:t>合同期满，乙方必须将全部清扫保洁业务涉及垃圾桶、果壳箱和不锈钢垃圾箱在足额且维护良好的情况下及时移交甲方。未经甲方许可，合同期满，乙方不及时移交给甲方，每超过一天扣除履约保证金的10%；</w:t>
      </w:r>
    </w:p>
    <w:p>
      <w:pPr>
        <w:spacing w:line="440" w:lineRule="exact"/>
        <w:jc w:val="center"/>
        <w:rPr>
          <w:color w:val="auto"/>
          <w:szCs w:val="21"/>
          <w:highlight w:val="none"/>
        </w:rPr>
      </w:pPr>
      <w:r>
        <w:rPr>
          <w:rFonts w:hint="eastAsia"/>
          <w:color w:val="auto"/>
          <w:szCs w:val="21"/>
          <w:highlight w:val="none"/>
        </w:rPr>
        <w:t>第十四条  争议的解决</w:t>
      </w:r>
    </w:p>
    <w:p>
      <w:pPr>
        <w:spacing w:line="440" w:lineRule="exact"/>
        <w:ind w:firstLine="420" w:firstLineChars="200"/>
        <w:rPr>
          <w:color w:val="auto"/>
          <w:szCs w:val="21"/>
          <w:highlight w:val="none"/>
        </w:rPr>
      </w:pPr>
      <w:r>
        <w:rPr>
          <w:rFonts w:hint="eastAsia"/>
          <w:color w:val="auto"/>
          <w:szCs w:val="21"/>
          <w:highlight w:val="none"/>
        </w:rPr>
        <w:t>合同未尽事宜，应双方友好协调解决。协商不一致，任何一方均可提起仲裁或诉讼，仲裁或诉讼按合同履行地原则。</w:t>
      </w:r>
    </w:p>
    <w:p>
      <w:pPr>
        <w:spacing w:line="440" w:lineRule="exact"/>
        <w:jc w:val="center"/>
        <w:rPr>
          <w:color w:val="auto"/>
          <w:szCs w:val="21"/>
          <w:highlight w:val="none"/>
        </w:rPr>
      </w:pPr>
      <w:r>
        <w:rPr>
          <w:rFonts w:hint="eastAsia"/>
          <w:color w:val="auto"/>
          <w:szCs w:val="21"/>
          <w:highlight w:val="none"/>
        </w:rPr>
        <w:t>第十五条  合同生效及终止</w:t>
      </w:r>
    </w:p>
    <w:p>
      <w:pPr>
        <w:spacing w:line="440" w:lineRule="exact"/>
        <w:rPr>
          <w:color w:val="auto"/>
          <w:szCs w:val="21"/>
          <w:highlight w:val="none"/>
        </w:rPr>
      </w:pPr>
      <w:r>
        <w:rPr>
          <w:rFonts w:hint="eastAsia"/>
          <w:color w:val="auto"/>
          <w:szCs w:val="21"/>
          <w:highlight w:val="none"/>
        </w:rPr>
        <w:t>（一）合同生效：本合同自甲乙双方法定代表人签字、盖章之日起生效。</w:t>
      </w:r>
    </w:p>
    <w:p>
      <w:pPr>
        <w:spacing w:line="440" w:lineRule="exact"/>
        <w:rPr>
          <w:color w:val="auto"/>
          <w:szCs w:val="21"/>
          <w:highlight w:val="none"/>
        </w:rPr>
      </w:pPr>
      <w:r>
        <w:rPr>
          <w:rFonts w:hint="eastAsia"/>
          <w:color w:val="auto"/>
          <w:szCs w:val="21"/>
          <w:highlight w:val="none"/>
        </w:rPr>
        <w:t>（二）合同终止：本合同出现以下情况时终止。</w:t>
      </w:r>
    </w:p>
    <w:p>
      <w:pPr>
        <w:spacing w:line="440" w:lineRule="exact"/>
        <w:ind w:left="315" w:hanging="315" w:hangingChars="150"/>
        <w:rPr>
          <w:color w:val="auto"/>
          <w:szCs w:val="21"/>
          <w:highlight w:val="none"/>
        </w:rPr>
      </w:pPr>
      <w:r>
        <w:rPr>
          <w:rFonts w:hint="eastAsia"/>
          <w:color w:val="auto"/>
          <w:szCs w:val="21"/>
          <w:highlight w:val="none"/>
        </w:rPr>
        <w:t>1</w:t>
      </w:r>
      <w:r>
        <w:rPr>
          <w:rFonts w:hint="eastAsia" w:ascii="宋体" w:hAnsi="Calibri"/>
          <w:color w:val="auto"/>
          <w:sz w:val="22"/>
          <w:szCs w:val="22"/>
          <w:highlight w:val="none"/>
        </w:rPr>
        <w:t>.</w:t>
      </w:r>
      <w:r>
        <w:rPr>
          <w:rFonts w:hint="eastAsia"/>
          <w:color w:val="auto"/>
          <w:szCs w:val="21"/>
          <w:highlight w:val="none"/>
        </w:rPr>
        <w:t>期限届满时自行终止。</w:t>
      </w:r>
    </w:p>
    <w:p>
      <w:pPr>
        <w:spacing w:line="440" w:lineRule="exact"/>
        <w:ind w:left="316" w:hanging="316" w:hangingChars="150"/>
        <w:rPr>
          <w:b/>
          <w:bCs/>
          <w:color w:val="auto"/>
          <w:szCs w:val="21"/>
          <w:highlight w:val="none"/>
        </w:rPr>
      </w:pPr>
      <w:r>
        <w:rPr>
          <w:rFonts w:hint="eastAsia"/>
          <w:b/>
          <w:bCs/>
          <w:color w:val="auto"/>
          <w:szCs w:val="21"/>
          <w:highlight w:val="none"/>
        </w:rPr>
        <w:t>2</w:t>
      </w:r>
      <w:r>
        <w:rPr>
          <w:rFonts w:hint="eastAsia" w:ascii="宋体" w:hAnsi="Calibri"/>
          <w:color w:val="auto"/>
          <w:sz w:val="22"/>
          <w:szCs w:val="22"/>
          <w:highlight w:val="none"/>
        </w:rPr>
        <w:t>.</w:t>
      </w:r>
      <w:r>
        <w:rPr>
          <w:rFonts w:hint="eastAsia"/>
          <w:b/>
          <w:bCs/>
          <w:color w:val="auto"/>
          <w:szCs w:val="21"/>
          <w:highlight w:val="none"/>
        </w:rPr>
        <w:t>根据合同附件一、附件二进行检查考评，不符合相关规定需终止合同的。</w:t>
      </w:r>
    </w:p>
    <w:p>
      <w:pPr>
        <w:spacing w:line="440" w:lineRule="exact"/>
        <w:ind w:left="315" w:hanging="315" w:hangingChars="150"/>
        <w:rPr>
          <w:color w:val="auto"/>
          <w:szCs w:val="21"/>
          <w:highlight w:val="none"/>
        </w:rPr>
      </w:pPr>
      <w:r>
        <w:rPr>
          <w:rFonts w:hint="eastAsia"/>
          <w:color w:val="auto"/>
          <w:szCs w:val="21"/>
          <w:highlight w:val="none"/>
        </w:rPr>
        <w:t>3</w:t>
      </w:r>
      <w:r>
        <w:rPr>
          <w:rFonts w:hint="eastAsia" w:ascii="宋体" w:hAnsi="Calibri"/>
          <w:color w:val="auto"/>
          <w:sz w:val="22"/>
          <w:szCs w:val="22"/>
          <w:highlight w:val="none"/>
        </w:rPr>
        <w:t>.</w:t>
      </w:r>
      <w:r>
        <w:rPr>
          <w:rFonts w:hint="eastAsia"/>
          <w:color w:val="auto"/>
          <w:szCs w:val="21"/>
          <w:highlight w:val="none"/>
        </w:rPr>
        <w:t>有以下行为之一的：</w:t>
      </w:r>
    </w:p>
    <w:p>
      <w:pPr>
        <w:spacing w:line="440" w:lineRule="exact"/>
        <w:rPr>
          <w:color w:val="auto"/>
          <w:szCs w:val="21"/>
          <w:highlight w:val="none"/>
        </w:rPr>
      </w:pPr>
      <w:r>
        <w:rPr>
          <w:rFonts w:hint="eastAsia"/>
          <w:color w:val="auto"/>
          <w:szCs w:val="21"/>
          <w:highlight w:val="none"/>
        </w:rPr>
        <w:t>（1）违反安全管理、规范作业规定，造成重大伤亡或重大损失。</w:t>
      </w:r>
    </w:p>
    <w:p>
      <w:pPr>
        <w:spacing w:line="440" w:lineRule="exact"/>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经省、市级新闻媒体曝光，中标供应商为责任方，</w:t>
      </w:r>
      <w:r>
        <w:rPr>
          <w:rFonts w:hint="eastAsia"/>
          <w:color w:val="auto"/>
          <w:szCs w:val="21"/>
          <w:highlight w:val="none"/>
        </w:rPr>
        <w:t>因管理不善造成恶劣影响。</w:t>
      </w:r>
    </w:p>
    <w:p>
      <w:pPr>
        <w:spacing w:line="440" w:lineRule="exact"/>
        <w:rPr>
          <w:color w:val="auto"/>
          <w:szCs w:val="21"/>
          <w:highlight w:val="none"/>
        </w:rPr>
      </w:pPr>
      <w:r>
        <w:rPr>
          <w:rFonts w:hint="eastAsia"/>
          <w:color w:val="auto"/>
          <w:szCs w:val="21"/>
          <w:highlight w:val="none"/>
        </w:rPr>
        <w:t>（3）发现乙方挂靠及擅自将合同转包或分包给第三者。</w:t>
      </w:r>
    </w:p>
    <w:p>
      <w:pPr>
        <w:spacing w:line="440" w:lineRule="exact"/>
        <w:rPr>
          <w:color w:val="auto"/>
          <w:szCs w:val="21"/>
          <w:highlight w:val="none"/>
        </w:rPr>
      </w:pPr>
      <w:r>
        <w:rPr>
          <w:rFonts w:hint="eastAsia"/>
          <w:color w:val="auto"/>
          <w:szCs w:val="21"/>
          <w:highlight w:val="none"/>
        </w:rPr>
        <w:t>（4）</w:t>
      </w:r>
      <w:r>
        <w:rPr>
          <w:rFonts w:hint="eastAsia" w:ascii="宋体" w:hAnsi="宋体" w:cs="宋体"/>
          <w:color w:val="auto"/>
          <w:szCs w:val="21"/>
          <w:highlight w:val="none"/>
        </w:rPr>
        <w:t>经有关部门认定严重</w:t>
      </w:r>
      <w:r>
        <w:rPr>
          <w:rFonts w:hint="eastAsia"/>
          <w:color w:val="auto"/>
          <w:szCs w:val="21"/>
          <w:highlight w:val="none"/>
        </w:rPr>
        <w:t>违反劳动法或其他相关法律法规，造成恶劣影响。</w:t>
      </w:r>
    </w:p>
    <w:p>
      <w:pPr>
        <w:spacing w:line="440" w:lineRule="exact"/>
        <w:rPr>
          <w:color w:val="auto"/>
          <w:szCs w:val="21"/>
          <w:highlight w:val="none"/>
        </w:rPr>
      </w:pPr>
      <w:r>
        <w:rPr>
          <w:rFonts w:hint="eastAsia"/>
          <w:color w:val="auto"/>
          <w:szCs w:val="21"/>
          <w:highlight w:val="none"/>
        </w:rPr>
        <w:t>（5）弄虚作假及其他不正当行为。</w:t>
      </w:r>
    </w:p>
    <w:p>
      <w:pPr>
        <w:spacing w:line="440" w:lineRule="exact"/>
        <w:rPr>
          <w:color w:val="auto"/>
          <w:szCs w:val="21"/>
          <w:highlight w:val="none"/>
        </w:rPr>
      </w:pPr>
      <w:r>
        <w:rPr>
          <w:rFonts w:hint="eastAsia"/>
          <w:color w:val="auto"/>
          <w:szCs w:val="21"/>
          <w:highlight w:val="none"/>
        </w:rPr>
        <w:t>（6)合同履约期间，乙方法人组织破产，或重组变更法人主体的。</w:t>
      </w:r>
    </w:p>
    <w:p>
      <w:pPr>
        <w:spacing w:line="440" w:lineRule="exact"/>
        <w:rPr>
          <w:rFonts w:ascii="宋体" w:hAnsi="宋体" w:cs="宋体"/>
          <w:color w:val="auto"/>
          <w:szCs w:val="21"/>
          <w:highlight w:val="none"/>
        </w:rPr>
      </w:pPr>
      <w:r>
        <w:rPr>
          <w:rFonts w:hint="eastAsia"/>
          <w:color w:val="auto"/>
          <w:szCs w:val="21"/>
          <w:highlight w:val="none"/>
        </w:rPr>
        <w:t>（7）</w:t>
      </w:r>
      <w:r>
        <w:rPr>
          <w:rFonts w:hint="eastAsia" w:ascii="宋体" w:hAnsi="宋体" w:cs="宋体"/>
          <w:color w:val="auto"/>
          <w:szCs w:val="21"/>
          <w:highlight w:val="none"/>
        </w:rPr>
        <w:t>根据招标文件及合同约定，其它不续签或终止合同的规定，其它法律规定的终止情形。</w:t>
      </w:r>
    </w:p>
    <w:p>
      <w:pPr>
        <w:spacing w:line="440" w:lineRule="exact"/>
        <w:rPr>
          <w:color w:val="auto"/>
          <w:szCs w:val="21"/>
          <w:highlight w:val="none"/>
        </w:rPr>
      </w:pPr>
      <w:r>
        <w:rPr>
          <w:rFonts w:hint="eastAsia"/>
          <w:color w:val="auto"/>
          <w:szCs w:val="21"/>
          <w:highlight w:val="none"/>
        </w:rPr>
        <w:t>4</w:t>
      </w:r>
      <w:r>
        <w:rPr>
          <w:rFonts w:hint="eastAsia" w:ascii="宋体" w:hAnsi="Calibri"/>
          <w:color w:val="auto"/>
          <w:sz w:val="22"/>
          <w:szCs w:val="22"/>
          <w:highlight w:val="none"/>
        </w:rPr>
        <w:t>.</w:t>
      </w:r>
      <w:r>
        <w:rPr>
          <w:rFonts w:hint="eastAsia"/>
          <w:color w:val="auto"/>
          <w:szCs w:val="21"/>
          <w:highlight w:val="none"/>
        </w:rPr>
        <w:t>法律规定的终止事由。</w:t>
      </w:r>
    </w:p>
    <w:p>
      <w:pPr>
        <w:spacing w:line="440" w:lineRule="exact"/>
        <w:jc w:val="center"/>
        <w:rPr>
          <w:color w:val="auto"/>
          <w:szCs w:val="21"/>
          <w:highlight w:val="none"/>
        </w:rPr>
      </w:pPr>
      <w:r>
        <w:rPr>
          <w:rFonts w:hint="eastAsia"/>
          <w:color w:val="auto"/>
          <w:szCs w:val="21"/>
          <w:highlight w:val="none"/>
        </w:rPr>
        <w:t>第十六条．其他说明</w:t>
      </w:r>
    </w:p>
    <w:p>
      <w:pPr>
        <w:widowControl/>
        <w:autoSpaceDE w:val="0"/>
        <w:autoSpaceDN w:val="0"/>
        <w:spacing w:line="440" w:lineRule="exact"/>
        <w:ind w:firstLine="420" w:firstLineChars="200"/>
        <w:textAlignment w:val="bottom"/>
        <w:rPr>
          <w:rFonts w:ascii="宋体" w:hAnsi="宋体" w:cs="宋体"/>
          <w:b/>
          <w:color w:val="auto"/>
          <w:szCs w:val="21"/>
          <w:highlight w:val="none"/>
        </w:rPr>
      </w:pPr>
      <w:r>
        <w:rPr>
          <w:rFonts w:hint="eastAsia" w:ascii="宋体" w:hAnsi="宋体" w:cs="宋体"/>
          <w:color w:val="auto"/>
          <w:szCs w:val="21"/>
          <w:highlight w:val="none"/>
        </w:rPr>
        <w:t xml:space="preserve">1. </w:t>
      </w:r>
      <w:r>
        <w:rPr>
          <w:rFonts w:hint="eastAsia" w:ascii="宋体" w:hAnsi="宋体" w:cs="宋体"/>
          <w:b/>
          <w:color w:val="auto"/>
          <w:szCs w:val="21"/>
          <w:highlight w:val="none"/>
        </w:rPr>
        <w:t>▲</w:t>
      </w:r>
      <w:r>
        <w:rPr>
          <w:rFonts w:hint="eastAsia" w:ascii="宋体" w:hAnsi="宋体" w:cs="宋体"/>
          <w:b/>
          <w:color w:val="auto"/>
          <w:szCs w:val="21"/>
          <w:highlight w:val="none"/>
          <w:u w:val="single"/>
        </w:rPr>
        <w:t>本项目乙方项目负责人不得擅自变更，未经甲方同意，变更项目负责人的，扣罚10万元违约金；情节严重的，甲方可以无责任取消其中标资格及中标合同</w:t>
      </w:r>
      <w:r>
        <w:rPr>
          <w:rFonts w:hint="eastAsia" w:ascii="宋体" w:hAnsi="宋体" w:cs="宋体"/>
          <w:b/>
          <w:color w:val="auto"/>
          <w:szCs w:val="21"/>
          <w:highlight w:val="none"/>
        </w:rPr>
        <w:t>。</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Calibri"/>
          <w:color w:val="auto"/>
          <w:sz w:val="22"/>
          <w:szCs w:val="22"/>
          <w:highlight w:val="none"/>
        </w:rPr>
        <w:t>.</w:t>
      </w:r>
      <w:r>
        <w:rPr>
          <w:rFonts w:hint="eastAsia" w:ascii="宋体" w:hAnsi="宋体" w:cs="宋体"/>
          <w:color w:val="auto"/>
          <w:szCs w:val="21"/>
          <w:highlight w:val="none"/>
        </w:rPr>
        <w:t xml:space="preserve">员工劳动保障 </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（1）必须与员工签订书面劳动合同，招收人员在主管部门备案。</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（2）执行《劳动法》、《劳动合同法》有关员工保障的其他规定，由劳动部门查实的，根据查实情况处罚。</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（3）用工年龄按照国家劳动法律法规相关规定执行。</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（4）承诺投入本项目的人员社会保险和工资册，采购单位随时进行核实。</w:t>
      </w:r>
    </w:p>
    <w:p>
      <w:pPr>
        <w:widowControl/>
        <w:autoSpaceDE w:val="0"/>
        <w:autoSpaceDN w:val="0"/>
        <w:spacing w:line="440" w:lineRule="exact"/>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（5）所有人员进场前须进行身体健康检查，检查合格后方可进行环保服务。</w:t>
      </w:r>
    </w:p>
    <w:p>
      <w:pPr>
        <w:widowControl/>
        <w:autoSpaceDE w:val="0"/>
        <w:autoSpaceDN w:val="0"/>
        <w:spacing w:line="440" w:lineRule="exact"/>
        <w:ind w:firstLine="440" w:firstLineChars="200"/>
        <w:textAlignment w:val="bottom"/>
        <w:rPr>
          <w:rFonts w:ascii="宋体" w:hAnsi="宋体" w:cs="宋体"/>
          <w:color w:val="auto"/>
          <w:szCs w:val="21"/>
          <w:highlight w:val="none"/>
        </w:rPr>
      </w:pPr>
      <w:r>
        <w:rPr>
          <w:rFonts w:hint="eastAsia" w:ascii="宋体"/>
          <w:bCs/>
          <w:color w:val="auto"/>
          <w:sz w:val="22"/>
          <w:szCs w:val="22"/>
          <w:highlight w:val="none"/>
        </w:rPr>
        <w:t>3</w:t>
      </w:r>
      <w:r>
        <w:rPr>
          <w:rFonts w:hint="eastAsia" w:ascii="宋体" w:hAnsi="Calibri"/>
          <w:color w:val="auto"/>
          <w:sz w:val="22"/>
          <w:szCs w:val="22"/>
          <w:highlight w:val="none"/>
        </w:rPr>
        <w:t>.</w:t>
      </w:r>
      <w:r>
        <w:rPr>
          <w:rFonts w:hint="eastAsia" w:ascii="宋体" w:hAnsi="宋体" w:cs="宋体"/>
          <w:bCs/>
          <w:color w:val="auto"/>
          <w:szCs w:val="21"/>
          <w:highlight w:val="none"/>
        </w:rPr>
        <w:t>不</w:t>
      </w:r>
      <w:r>
        <w:rPr>
          <w:rFonts w:hint="eastAsia" w:ascii="宋体" w:hAnsi="宋体" w:cs="宋体"/>
          <w:color w:val="auto"/>
          <w:szCs w:val="21"/>
          <w:highlight w:val="none"/>
        </w:rPr>
        <w:t>可预见性因素，而导致付款或服务期限有可能存在延期的风险，不得终止清扫保洁工作，不影响保洁质量，否则按违规处理。</w:t>
      </w:r>
    </w:p>
    <w:p>
      <w:pPr>
        <w:spacing w:line="440" w:lineRule="exact"/>
        <w:jc w:val="center"/>
        <w:rPr>
          <w:color w:val="auto"/>
          <w:szCs w:val="21"/>
          <w:highlight w:val="none"/>
        </w:rPr>
      </w:pPr>
      <w:r>
        <w:rPr>
          <w:rFonts w:hint="eastAsia"/>
          <w:color w:val="auto"/>
          <w:szCs w:val="21"/>
          <w:highlight w:val="none"/>
        </w:rPr>
        <w:t>第十七条  合同的解释</w:t>
      </w:r>
    </w:p>
    <w:p>
      <w:pPr>
        <w:spacing w:line="440" w:lineRule="exact"/>
        <w:rPr>
          <w:color w:val="auto"/>
          <w:szCs w:val="21"/>
          <w:highlight w:val="none"/>
        </w:rPr>
      </w:pPr>
      <w:r>
        <w:rPr>
          <w:rFonts w:hint="eastAsia"/>
          <w:color w:val="auto"/>
          <w:szCs w:val="21"/>
          <w:highlight w:val="none"/>
        </w:rPr>
        <w:t>本合同的解释权在永嘉瓯北城市新区管理委员会。</w:t>
      </w:r>
    </w:p>
    <w:p>
      <w:pPr>
        <w:spacing w:line="440" w:lineRule="exact"/>
        <w:ind w:firstLine="420"/>
        <w:rPr>
          <w:color w:val="auto"/>
          <w:szCs w:val="21"/>
          <w:highlight w:val="none"/>
        </w:rPr>
      </w:pPr>
      <w:r>
        <w:rPr>
          <w:rFonts w:hint="eastAsia"/>
          <w:color w:val="auto"/>
          <w:szCs w:val="21"/>
          <w:highlight w:val="none"/>
        </w:rPr>
        <w:t>本合同经双方授权代表签署，甲乙双方加盖印章，且甲方收到乙方提交的履约保证金后生效，本合同</w:t>
      </w:r>
      <w:r>
        <w:rPr>
          <w:rFonts w:hint="eastAsia"/>
          <w:color w:val="auto"/>
          <w:szCs w:val="21"/>
          <w:highlight w:val="none"/>
          <w:u w:val="single"/>
        </w:rPr>
        <w:t>一式   份</w:t>
      </w:r>
      <w:r>
        <w:rPr>
          <w:rFonts w:hint="eastAsia"/>
          <w:color w:val="auto"/>
          <w:szCs w:val="21"/>
          <w:highlight w:val="none"/>
        </w:rPr>
        <w:t>，具有同等法律效力。</w:t>
      </w:r>
      <w:r>
        <w:rPr>
          <w:rFonts w:hint="eastAsia" w:ascii="宋体" w:hAnsi="宋体" w:cs="宋体"/>
          <w:color w:val="auto"/>
          <w:szCs w:val="21"/>
          <w:highlight w:val="none"/>
        </w:rPr>
        <w:t>合同签订后，乙方应将1份合同招标代理公司备案</w:t>
      </w:r>
      <w:r>
        <w:rPr>
          <w:rFonts w:hint="eastAsia"/>
          <w:color w:val="auto"/>
          <w:szCs w:val="21"/>
          <w:highlight w:val="none"/>
        </w:rPr>
        <w:t>。</w:t>
      </w:r>
    </w:p>
    <w:p>
      <w:pPr>
        <w:spacing w:line="440" w:lineRule="exact"/>
        <w:ind w:firstLine="420"/>
        <w:rPr>
          <w:color w:val="auto"/>
          <w:szCs w:val="21"/>
          <w:highlight w:val="none"/>
        </w:rPr>
      </w:pPr>
    </w:p>
    <w:p>
      <w:pPr>
        <w:spacing w:line="440" w:lineRule="exact"/>
        <w:rPr>
          <w:b/>
          <w:color w:val="auto"/>
          <w:szCs w:val="21"/>
          <w:highlight w:val="none"/>
        </w:rPr>
      </w:pPr>
      <w:r>
        <w:rPr>
          <w:rFonts w:hint="eastAsia"/>
          <w:b/>
          <w:color w:val="auto"/>
          <w:szCs w:val="21"/>
          <w:highlight w:val="none"/>
        </w:rPr>
        <w:t>合同附件：</w:t>
      </w:r>
    </w:p>
    <w:p>
      <w:pPr>
        <w:spacing w:line="440" w:lineRule="exact"/>
        <w:rPr>
          <w:b/>
          <w:color w:val="auto"/>
          <w:sz w:val="24"/>
          <w:highlight w:val="none"/>
        </w:rPr>
      </w:pPr>
      <w:r>
        <w:rPr>
          <w:rFonts w:hint="eastAsia"/>
          <w:b/>
          <w:color w:val="auto"/>
          <w:sz w:val="24"/>
          <w:highlight w:val="none"/>
        </w:rPr>
        <w:t>附件一、永嘉县瓯北街道东瓯片建成区环卫保洁服务考核评分细则</w:t>
      </w:r>
    </w:p>
    <w:p>
      <w:pPr>
        <w:outlineLvl w:val="1"/>
        <w:rPr>
          <w:b/>
          <w:color w:val="auto"/>
          <w:sz w:val="24"/>
          <w:highlight w:val="none"/>
        </w:rPr>
      </w:pPr>
      <w:bookmarkStart w:id="62" w:name="_Toc21121"/>
      <w:bookmarkStart w:id="63" w:name="_Toc6616"/>
      <w:bookmarkStart w:id="64" w:name="_Toc20465"/>
      <w:r>
        <w:rPr>
          <w:rFonts w:hint="eastAsia"/>
          <w:b/>
          <w:color w:val="auto"/>
          <w:sz w:val="24"/>
          <w:highlight w:val="none"/>
        </w:rPr>
        <w:t>附件</w:t>
      </w:r>
      <w:bookmarkEnd w:id="62"/>
      <w:bookmarkEnd w:id="63"/>
      <w:bookmarkEnd w:id="64"/>
      <w:r>
        <w:rPr>
          <w:rFonts w:hint="eastAsia"/>
          <w:b/>
          <w:color w:val="auto"/>
          <w:sz w:val="24"/>
          <w:highlight w:val="none"/>
        </w:rPr>
        <w:t>二、永嘉县瓯北街道东瓯片建成区环卫保洁服务考核办法</w:t>
      </w:r>
    </w:p>
    <w:p>
      <w:pPr>
        <w:rPr>
          <w:b/>
          <w:color w:val="auto"/>
          <w:sz w:val="24"/>
          <w:highlight w:val="none"/>
        </w:rPr>
      </w:pPr>
    </w:p>
    <w:p>
      <w:pPr>
        <w:rPr>
          <w:b/>
          <w:color w:val="auto"/>
          <w:sz w:val="24"/>
          <w:highlight w:val="none"/>
        </w:rPr>
      </w:pP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甲方（章）：</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乙方（章）：</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法定代表人：</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委托代理人：</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委托代理人：</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地址：</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地址：</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电话：</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电话：</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开户银行：</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开户银行：</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账号：</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账号：</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本合同的签署地：</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本合同的签署地：</w:t>
      </w:r>
    </w:p>
    <w:p>
      <w:pPr>
        <w:widowControl/>
        <w:snapToGrid w:val="0"/>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日期：  年  月  日</w:t>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ab/>
      </w:r>
      <w:r>
        <w:rPr>
          <w:rFonts w:hint="eastAsia" w:ascii="仿宋" w:hAnsi="仿宋" w:eastAsia="仿宋" w:cs="仿宋_GB2312"/>
          <w:color w:val="auto"/>
          <w:sz w:val="24"/>
          <w:highlight w:val="none"/>
        </w:rPr>
        <w:t>日期：  年  月  日</w:t>
      </w:r>
    </w:p>
    <w:p>
      <w:pPr>
        <w:spacing w:line="440" w:lineRule="exact"/>
        <w:rPr>
          <w:color w:val="auto"/>
          <w:highlight w:val="none"/>
        </w:rPr>
      </w:pPr>
    </w:p>
    <w:p>
      <w:pPr>
        <w:snapToGrid w:val="0"/>
        <w:spacing w:line="360" w:lineRule="exact"/>
        <w:rPr>
          <w:rFonts w:ascii="宋体" w:hAnsi="宋体" w:cs="宋体"/>
          <w:b/>
          <w:color w:val="auto"/>
          <w:szCs w:val="22"/>
          <w:highlight w:val="none"/>
        </w:rPr>
        <w:sectPr>
          <w:footerReference r:id="rId3" w:type="default"/>
          <w:pgSz w:w="11906" w:h="16838"/>
          <w:pgMar w:top="1418" w:right="1418" w:bottom="1418" w:left="1701" w:header="851" w:footer="992" w:gutter="0"/>
          <w:pgNumType w:start="1"/>
          <w:cols w:space="720" w:num="1"/>
          <w:docGrid w:type="lines" w:linePitch="312" w:charSpace="0"/>
        </w:sectPr>
      </w:pPr>
      <w:r>
        <w:rPr>
          <w:rFonts w:hint="eastAsia" w:ascii="宋体" w:hAnsi="宋体" w:cs="宋体"/>
          <w:b/>
          <w:color w:val="auto"/>
          <w:szCs w:val="22"/>
          <w:highlight w:val="none"/>
        </w:rPr>
        <w:t>注：本合同作为示范文本，具体以成交人与采购人所签定正式合同为准。</w:t>
      </w:r>
    </w:p>
    <w:p>
      <w:pPr>
        <w:jc w:val="left"/>
        <w:outlineLvl w:val="1"/>
        <w:rPr>
          <w:b/>
          <w:color w:val="auto"/>
          <w:sz w:val="28"/>
          <w:szCs w:val="28"/>
          <w:highlight w:val="none"/>
        </w:rPr>
      </w:pPr>
      <w:bookmarkStart w:id="65" w:name="_Toc27684"/>
      <w:r>
        <w:rPr>
          <w:rFonts w:hint="eastAsia"/>
          <w:b/>
          <w:color w:val="auto"/>
          <w:sz w:val="24"/>
          <w:highlight w:val="none"/>
        </w:rPr>
        <w:t>附件1</w:t>
      </w:r>
      <w:bookmarkEnd w:id="65"/>
    </w:p>
    <w:p>
      <w:pPr>
        <w:jc w:val="center"/>
        <w:outlineLvl w:val="1"/>
        <w:rPr>
          <w:b/>
          <w:color w:val="auto"/>
          <w:sz w:val="28"/>
          <w:szCs w:val="28"/>
          <w:highlight w:val="none"/>
        </w:rPr>
      </w:pPr>
      <w:r>
        <w:rPr>
          <w:rFonts w:hint="eastAsia"/>
          <w:b/>
          <w:color w:val="auto"/>
          <w:sz w:val="24"/>
          <w:highlight w:val="none"/>
        </w:rPr>
        <w:t>永嘉县瓯北街道东瓯片建成区环卫保洁服务考核评分细则</w:t>
      </w:r>
    </w:p>
    <w:tbl>
      <w:tblPr>
        <w:tblStyle w:val="57"/>
        <w:tblW w:w="1360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463"/>
        <w:gridCol w:w="729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项目</w:t>
            </w:r>
          </w:p>
        </w:tc>
        <w:tc>
          <w:tcPr>
            <w:tcW w:w="4463" w:type="dxa"/>
            <w:tcBorders>
              <w:top w:val="single" w:color="auto" w:sz="4" w:space="0"/>
              <w:left w:val="nil"/>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内容要求</w:t>
            </w:r>
          </w:p>
        </w:tc>
        <w:tc>
          <w:tcPr>
            <w:tcW w:w="7290" w:type="dxa"/>
            <w:tcBorders>
              <w:top w:val="single" w:color="auto" w:sz="4" w:space="0"/>
              <w:left w:val="nil"/>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评分标准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064" w:type="dxa"/>
            <w:vMerge w:val="restart"/>
            <w:tcBorders>
              <w:top w:val="nil"/>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道路清扫（20</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按规定晨扫时间完成晨扫，达到“七无”、“五净”标准，既无杂物；</w:t>
            </w:r>
          </w:p>
          <w:p>
            <w:pPr>
              <w:spacing w:line="240" w:lineRule="atLeast"/>
              <w:rPr>
                <w:rFonts w:ascii="Calibri" w:hAnsi="Calibri"/>
                <w:color w:val="auto"/>
                <w:szCs w:val="21"/>
                <w:highlight w:val="none"/>
              </w:rPr>
            </w:pPr>
            <w:r>
              <w:rPr>
                <w:rFonts w:hint="eastAsia" w:ascii="Calibri" w:hAnsi="Calibri"/>
                <w:color w:val="auto"/>
                <w:szCs w:val="21"/>
                <w:highlight w:val="none"/>
              </w:rPr>
              <w:t>无瓜皮果壳；</w:t>
            </w:r>
          </w:p>
          <w:p>
            <w:pPr>
              <w:spacing w:line="240" w:lineRule="atLeast"/>
              <w:rPr>
                <w:rFonts w:ascii="Calibri" w:hAnsi="Calibri"/>
                <w:color w:val="auto"/>
                <w:szCs w:val="21"/>
                <w:highlight w:val="none"/>
              </w:rPr>
            </w:pPr>
            <w:r>
              <w:rPr>
                <w:rFonts w:hint="eastAsia" w:ascii="Calibri" w:hAnsi="Calibri"/>
                <w:color w:val="auto"/>
                <w:szCs w:val="21"/>
                <w:highlight w:val="none"/>
              </w:rPr>
              <w:t>无纸屑，烟蒂、塑料袋；</w:t>
            </w:r>
          </w:p>
          <w:p>
            <w:pPr>
              <w:spacing w:line="240" w:lineRule="atLeast"/>
              <w:rPr>
                <w:rFonts w:ascii="Calibri" w:hAnsi="Calibri"/>
                <w:color w:val="auto"/>
                <w:szCs w:val="21"/>
                <w:highlight w:val="none"/>
              </w:rPr>
            </w:pPr>
            <w:r>
              <w:rPr>
                <w:rFonts w:hint="eastAsia" w:ascii="Calibri" w:hAnsi="Calibri"/>
                <w:color w:val="auto"/>
                <w:szCs w:val="21"/>
                <w:highlight w:val="none"/>
              </w:rPr>
              <w:t>无淤泥积土，无污水；</w:t>
            </w:r>
          </w:p>
          <w:p>
            <w:pPr>
              <w:spacing w:line="240" w:lineRule="atLeast"/>
              <w:rPr>
                <w:rFonts w:ascii="Calibri" w:hAnsi="Calibri"/>
                <w:color w:val="auto"/>
                <w:szCs w:val="21"/>
                <w:highlight w:val="none"/>
              </w:rPr>
            </w:pPr>
            <w:r>
              <w:rPr>
                <w:rFonts w:hint="eastAsia" w:ascii="Calibri" w:hAnsi="Calibri"/>
                <w:color w:val="auto"/>
                <w:szCs w:val="21"/>
                <w:highlight w:val="none"/>
              </w:rPr>
              <w:t>无堵塞窨井沟眼；</w:t>
            </w:r>
          </w:p>
          <w:p>
            <w:pPr>
              <w:spacing w:line="240" w:lineRule="atLeast"/>
              <w:rPr>
                <w:rFonts w:ascii="Calibri" w:hAnsi="Calibri"/>
                <w:color w:val="auto"/>
                <w:szCs w:val="21"/>
                <w:highlight w:val="none"/>
              </w:rPr>
            </w:pPr>
            <w:r>
              <w:rPr>
                <w:rFonts w:hint="eastAsia" w:ascii="Calibri" w:hAnsi="Calibri"/>
                <w:color w:val="auto"/>
                <w:szCs w:val="21"/>
                <w:highlight w:val="none"/>
              </w:rPr>
              <w:t>无卫生死角。路面、路牙净，窨井沟眼净，树穴净，边角净，花坛周围净。</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1.在规定时间内未完成晨扫的扣1</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2.被抽查路段晨扫质量未达到标准的，一条扣0.5</w:t>
            </w:r>
            <w:r>
              <w:rPr>
                <w:rFonts w:hint="eastAsia" w:ascii="宋体" w:hAnsi="宋体"/>
                <w:color w:val="auto"/>
                <w:szCs w:val="21"/>
                <w:highlight w:val="none"/>
              </w:rPr>
              <w:t>分；</w:t>
            </w:r>
          </w:p>
          <w:p>
            <w:pPr>
              <w:spacing w:line="240" w:lineRule="atLeast"/>
              <w:rPr>
                <w:color w:val="auto"/>
                <w:highlight w:val="none"/>
              </w:rPr>
            </w:pPr>
            <w:r>
              <w:rPr>
                <w:rFonts w:hint="eastAsia" w:ascii="Calibri" w:hAnsi="Calibri"/>
                <w:color w:val="auto"/>
                <w:szCs w:val="21"/>
                <w:highlight w:val="none"/>
              </w:rPr>
              <w:t>3.卫生死角发现一处扣0.1</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4.供应商将垃圾倒入河道内或扫入公园绿地未倒入指定区域，发现一次扣1.5</w:t>
            </w:r>
            <w:r>
              <w:rPr>
                <w:rFonts w:hint="eastAsia" w:ascii="宋体" w:hAnsi="宋体"/>
                <w:color w:val="auto"/>
                <w:szCs w:val="21"/>
                <w:highlight w:val="none"/>
              </w:rPr>
              <w:t xml:space="preserve">分。          </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晨扫2</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小时内</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06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Calibri" w:hAnsi="Calibri"/>
                <w:color w:val="auto"/>
                <w:szCs w:val="21"/>
                <w:highlight w:val="none"/>
              </w:rPr>
            </w:pP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动态保洁时间内，承包责任区域内无垃圾废弃物（包括烟头、纸屑、瓜果皮核、包装壳、塑料袋、砖瓦、石子等各类明显废弃物）；</w:t>
            </w:r>
          </w:p>
          <w:p>
            <w:pPr>
              <w:spacing w:line="240" w:lineRule="atLeast"/>
              <w:rPr>
                <w:rFonts w:ascii="Calibri" w:hAnsi="Calibri"/>
                <w:color w:val="auto"/>
                <w:szCs w:val="21"/>
                <w:highlight w:val="none"/>
              </w:rPr>
            </w:pPr>
            <w:r>
              <w:rPr>
                <w:rFonts w:hint="eastAsia" w:ascii="Calibri" w:hAnsi="Calibri"/>
                <w:color w:val="auto"/>
                <w:szCs w:val="21"/>
                <w:highlight w:val="none"/>
              </w:rPr>
              <w:t>无散、袋装垃圾滞留路面；人行道、步阶、墙根、树穴无明显杂草、杂物；晴天路面无积水，无蚊蝇孳生；</w:t>
            </w:r>
          </w:p>
          <w:p>
            <w:pPr>
              <w:spacing w:line="240" w:lineRule="atLeast"/>
              <w:rPr>
                <w:rFonts w:ascii="Calibri" w:hAnsi="Calibri"/>
                <w:color w:val="auto"/>
                <w:szCs w:val="21"/>
                <w:highlight w:val="none"/>
              </w:rPr>
            </w:pPr>
            <w:r>
              <w:rPr>
                <w:rFonts w:hint="eastAsia" w:ascii="Calibri" w:hAnsi="Calibri"/>
                <w:color w:val="auto"/>
                <w:szCs w:val="21"/>
                <w:highlight w:val="none"/>
              </w:rPr>
              <w:t>路两旁及隔离护栏下无淤泥，路面基本见本色。</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宋体" w:hAnsi="宋体"/>
                <w:color w:val="auto"/>
                <w:szCs w:val="21"/>
                <w:highlight w:val="none"/>
              </w:rPr>
              <w:t>1.零星垃圾散落的</w:t>
            </w:r>
            <w:r>
              <w:rPr>
                <w:rFonts w:hint="eastAsia" w:ascii="Calibri" w:hAnsi="Calibri"/>
                <w:color w:val="auto"/>
                <w:szCs w:val="21"/>
                <w:highlight w:val="none"/>
              </w:rPr>
              <w:t>，每处扣0.1</w:t>
            </w:r>
            <w:r>
              <w:rPr>
                <w:rFonts w:hint="eastAsia" w:ascii="宋体" w:hAnsi="宋体"/>
                <w:color w:val="auto"/>
                <w:szCs w:val="21"/>
                <w:highlight w:val="none"/>
              </w:rPr>
              <w:t>分、发现垃圾堆积或散落面积在</w:t>
            </w:r>
            <w:r>
              <w:rPr>
                <w:rFonts w:hint="eastAsia" w:ascii="Calibri" w:hAnsi="Calibri"/>
                <w:color w:val="auto"/>
                <w:szCs w:val="21"/>
                <w:highlight w:val="none"/>
              </w:rPr>
              <w:t>0.2</w:t>
            </w:r>
            <w:r>
              <w:rPr>
                <w:rFonts w:hint="eastAsia" w:ascii="宋体" w:hAnsi="宋体"/>
                <w:color w:val="auto"/>
                <w:szCs w:val="21"/>
                <w:highlight w:val="none"/>
              </w:rPr>
              <w:t>㎡以下的每处扣</w:t>
            </w:r>
            <w:r>
              <w:rPr>
                <w:rFonts w:hint="eastAsia" w:ascii="Calibri" w:hAnsi="Calibri"/>
                <w:color w:val="auto"/>
                <w:szCs w:val="21"/>
                <w:highlight w:val="none"/>
              </w:rPr>
              <w:t>1</w:t>
            </w:r>
            <w:r>
              <w:rPr>
                <w:rFonts w:hint="eastAsia" w:ascii="宋体" w:hAnsi="宋体"/>
                <w:color w:val="auto"/>
                <w:szCs w:val="21"/>
                <w:highlight w:val="none"/>
              </w:rPr>
              <w:t>分，在</w:t>
            </w:r>
            <w:r>
              <w:rPr>
                <w:rFonts w:hint="eastAsia" w:ascii="Calibri" w:hAnsi="Calibri"/>
                <w:color w:val="auto"/>
                <w:szCs w:val="21"/>
                <w:highlight w:val="none"/>
              </w:rPr>
              <w:t>0.2</w:t>
            </w:r>
            <w:r>
              <w:rPr>
                <w:rFonts w:hint="eastAsia" w:ascii="宋体" w:hAnsi="宋体"/>
                <w:color w:val="auto"/>
                <w:szCs w:val="21"/>
                <w:highlight w:val="none"/>
              </w:rPr>
              <w:t>㎡</w:t>
            </w:r>
            <w:r>
              <w:rPr>
                <w:rFonts w:hint="eastAsia" w:ascii="Calibri" w:hAnsi="Calibri"/>
                <w:color w:val="auto"/>
                <w:szCs w:val="21"/>
                <w:highlight w:val="none"/>
              </w:rPr>
              <w:t>-1</w:t>
            </w:r>
            <w:r>
              <w:rPr>
                <w:rFonts w:hint="eastAsia" w:ascii="宋体" w:hAnsi="宋体"/>
                <w:color w:val="auto"/>
                <w:szCs w:val="21"/>
                <w:highlight w:val="none"/>
              </w:rPr>
              <w:t>㎡的每处扣</w:t>
            </w:r>
            <w:r>
              <w:rPr>
                <w:rFonts w:hint="eastAsia" w:ascii="Calibri" w:hAnsi="Calibri"/>
                <w:color w:val="auto"/>
                <w:szCs w:val="21"/>
                <w:highlight w:val="none"/>
              </w:rPr>
              <w:t>2</w:t>
            </w:r>
            <w:r>
              <w:rPr>
                <w:rFonts w:hint="eastAsia" w:ascii="宋体" w:hAnsi="宋体"/>
                <w:color w:val="auto"/>
                <w:szCs w:val="21"/>
                <w:highlight w:val="none"/>
              </w:rPr>
              <w:t>分，</w:t>
            </w:r>
            <w:r>
              <w:rPr>
                <w:rFonts w:hint="eastAsia" w:ascii="Calibri" w:hAnsi="Calibri"/>
                <w:color w:val="auto"/>
                <w:szCs w:val="21"/>
                <w:highlight w:val="none"/>
              </w:rPr>
              <w:t>1</w:t>
            </w:r>
            <w:r>
              <w:rPr>
                <w:rFonts w:hint="eastAsia" w:ascii="宋体" w:hAnsi="宋体"/>
                <w:color w:val="auto"/>
                <w:szCs w:val="21"/>
                <w:highlight w:val="none"/>
              </w:rPr>
              <w:t>㎡以上的每处扣</w:t>
            </w:r>
            <w:r>
              <w:rPr>
                <w:rFonts w:hint="eastAsia" w:ascii="Calibri" w:hAnsi="Calibri"/>
                <w:color w:val="auto"/>
                <w:szCs w:val="21"/>
                <w:highlight w:val="none"/>
              </w:rPr>
              <w:t>3</w:t>
            </w:r>
            <w:r>
              <w:rPr>
                <w:rFonts w:hint="eastAsia" w:ascii="宋体" w:hAnsi="宋体"/>
                <w:color w:val="auto"/>
                <w:szCs w:val="21"/>
                <w:highlight w:val="none"/>
              </w:rPr>
              <w:t>分，垃圾堆积特别严重的每处扣</w:t>
            </w:r>
            <w:r>
              <w:rPr>
                <w:rFonts w:hint="eastAsia" w:ascii="Calibri" w:hAnsi="Calibri"/>
                <w:color w:val="auto"/>
                <w:szCs w:val="21"/>
                <w:highlight w:val="none"/>
              </w:rPr>
              <w:t>5</w:t>
            </w:r>
            <w:r>
              <w:rPr>
                <w:rFonts w:hint="eastAsia" w:ascii="宋体" w:hAnsi="宋体"/>
                <w:color w:val="auto"/>
                <w:szCs w:val="21"/>
                <w:highlight w:val="none"/>
              </w:rPr>
              <w:t>分，发现垃圾堆积袋装垃圾未及时清理、人行道杂草（杂物）发现一处扣</w:t>
            </w:r>
            <w:r>
              <w:rPr>
                <w:rFonts w:hint="eastAsia" w:ascii="Calibri" w:hAnsi="Calibri"/>
                <w:color w:val="auto"/>
                <w:szCs w:val="21"/>
                <w:highlight w:val="none"/>
              </w:rPr>
              <w:t>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宋体" w:hAnsi="宋体"/>
                <w:color w:val="auto"/>
                <w:szCs w:val="21"/>
                <w:highlight w:val="none"/>
              </w:rPr>
              <w:t>2.污水或蚊蝇孳生地发现一处扣</w:t>
            </w:r>
            <w:r>
              <w:rPr>
                <w:rFonts w:hint="eastAsia" w:ascii="Calibri" w:hAnsi="Calibri"/>
                <w:color w:val="auto"/>
                <w:szCs w:val="21"/>
                <w:highlight w:val="none"/>
              </w:rPr>
              <w:t>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宋体" w:hAnsi="宋体"/>
                <w:color w:val="auto"/>
                <w:szCs w:val="21"/>
                <w:highlight w:val="none"/>
              </w:rPr>
              <w:t>3.垃圾桶、果</w:t>
            </w:r>
            <w:r>
              <w:rPr>
                <w:rFonts w:hint="eastAsia" w:ascii="Calibri" w:hAnsi="Calibri"/>
                <w:color w:val="auto"/>
                <w:szCs w:val="21"/>
                <w:highlight w:val="none"/>
              </w:rPr>
              <w:t>壳箱内垃圾满溢未及时清运,</w:t>
            </w:r>
            <w:r>
              <w:rPr>
                <w:rFonts w:hint="eastAsia" w:ascii="宋体" w:hAnsi="宋体"/>
                <w:color w:val="auto"/>
                <w:szCs w:val="21"/>
                <w:highlight w:val="none"/>
              </w:rPr>
              <w:t>每处扣</w:t>
            </w:r>
            <w:r>
              <w:rPr>
                <w:rFonts w:hint="eastAsia" w:ascii="Calibri" w:hAnsi="Calibri"/>
                <w:color w:val="auto"/>
                <w:szCs w:val="21"/>
                <w:highlight w:val="none"/>
              </w:rPr>
              <w:t>0.5</w:t>
            </w:r>
            <w:r>
              <w:rPr>
                <w:rFonts w:hint="eastAsia" w:ascii="宋体" w:hAnsi="宋体"/>
                <w:color w:val="auto"/>
                <w:szCs w:val="21"/>
                <w:highlight w:val="none"/>
              </w:rPr>
              <w:t>分</w:t>
            </w:r>
            <w:r>
              <w:rPr>
                <w:rFonts w:hint="eastAsia" w:ascii="Calibri" w:hAnsi="Calibri"/>
                <w:color w:val="auto"/>
                <w:szCs w:val="21"/>
                <w:highlight w:val="none"/>
              </w:rPr>
              <w:t>。</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规定</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时间</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机械清扫（5</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承包责任区域内机扫到边、到位效果明显，路面无垃圾、无积泥、无沙石；</w:t>
            </w:r>
          </w:p>
          <w:p>
            <w:pPr>
              <w:spacing w:line="240" w:lineRule="atLeast"/>
              <w:rPr>
                <w:rFonts w:ascii="Calibri" w:hAnsi="Calibri"/>
                <w:color w:val="auto"/>
                <w:szCs w:val="21"/>
                <w:highlight w:val="none"/>
              </w:rPr>
            </w:pPr>
            <w:r>
              <w:rPr>
                <w:rFonts w:hint="eastAsia" w:ascii="Calibri" w:hAnsi="Calibri"/>
                <w:color w:val="auto"/>
                <w:szCs w:val="21"/>
                <w:highlight w:val="none"/>
              </w:rPr>
              <w:t>作业期间基本无扬尘、清扫途中无垃圾撒落；</w:t>
            </w:r>
          </w:p>
          <w:p>
            <w:pPr>
              <w:spacing w:line="240" w:lineRule="atLeast"/>
              <w:rPr>
                <w:rFonts w:ascii="Calibri" w:hAnsi="Calibri"/>
                <w:color w:val="auto"/>
                <w:szCs w:val="21"/>
                <w:highlight w:val="none"/>
              </w:rPr>
            </w:pPr>
            <w:r>
              <w:rPr>
                <w:rFonts w:hint="eastAsia" w:ascii="Calibri" w:hAnsi="Calibri"/>
                <w:color w:val="auto"/>
                <w:szCs w:val="21"/>
                <w:highlight w:val="none"/>
              </w:rPr>
              <w:t>垃圾在指定地点倾倒，不得随意倾倒、偷倒、乱倒垃圾；</w:t>
            </w:r>
          </w:p>
          <w:p>
            <w:pPr>
              <w:spacing w:line="240" w:lineRule="atLeast"/>
              <w:rPr>
                <w:rFonts w:ascii="宋体" w:hAnsi="宋体"/>
                <w:color w:val="auto"/>
                <w:szCs w:val="21"/>
                <w:highlight w:val="none"/>
              </w:rPr>
            </w:pPr>
            <w:r>
              <w:rPr>
                <w:rFonts w:hint="eastAsia" w:ascii="Calibri" w:hAnsi="Calibri"/>
                <w:color w:val="auto"/>
                <w:szCs w:val="21"/>
                <w:highlight w:val="none"/>
              </w:rPr>
              <w:t>每次倾倒垃圾时间不得超过30</w:t>
            </w:r>
            <w:r>
              <w:rPr>
                <w:rFonts w:hint="eastAsia" w:ascii="宋体" w:hAnsi="宋体"/>
                <w:color w:val="auto"/>
                <w:szCs w:val="21"/>
                <w:highlight w:val="none"/>
              </w:rPr>
              <w:t>分钟；</w:t>
            </w:r>
          </w:p>
          <w:p>
            <w:pPr>
              <w:spacing w:line="240" w:lineRule="atLeast"/>
              <w:rPr>
                <w:rFonts w:ascii="Calibri" w:hAnsi="Calibri"/>
                <w:color w:val="auto"/>
                <w:szCs w:val="21"/>
                <w:highlight w:val="none"/>
              </w:rPr>
            </w:pPr>
            <w:r>
              <w:rPr>
                <w:rFonts w:hint="eastAsia" w:ascii="宋体" w:hAnsi="宋体"/>
                <w:color w:val="auto"/>
                <w:szCs w:val="21"/>
                <w:highlight w:val="none"/>
              </w:rPr>
              <w:t>严格按照范围、路线、时间进行机扫作业，不得随意变更。</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1.在规定时间、范围、路线内没完成的一次扣0.5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2.发现机械清扫车随意倾倒、偷倒、乱排污水或乱倒垃圾的一次扣0.5</w:t>
            </w:r>
            <w:r>
              <w:rPr>
                <w:rFonts w:hint="eastAsia" w:ascii="宋体" w:hAnsi="宋体"/>
                <w:color w:val="auto"/>
                <w:szCs w:val="21"/>
                <w:highlight w:val="none"/>
              </w:rPr>
              <w:t>分；</w:t>
            </w:r>
          </w:p>
          <w:p>
            <w:pPr>
              <w:spacing w:line="240" w:lineRule="atLeast"/>
              <w:rPr>
                <w:rFonts w:ascii="宋体" w:hAnsi="宋体"/>
                <w:color w:val="auto"/>
                <w:szCs w:val="21"/>
                <w:highlight w:val="none"/>
              </w:rPr>
            </w:pPr>
            <w:r>
              <w:rPr>
                <w:rFonts w:hint="eastAsia" w:ascii="Calibri" w:hAnsi="Calibri"/>
                <w:color w:val="auto"/>
                <w:szCs w:val="21"/>
                <w:highlight w:val="none"/>
              </w:rPr>
              <w:t>3.随意变更机扫范围、路线、时间的一次扣0.5</w:t>
            </w:r>
            <w:r>
              <w:rPr>
                <w:rFonts w:hint="eastAsia" w:ascii="宋体" w:hAnsi="宋体"/>
                <w:color w:val="auto"/>
                <w:szCs w:val="21"/>
                <w:highlight w:val="none"/>
              </w:rPr>
              <w:t>分；</w:t>
            </w:r>
          </w:p>
          <w:p>
            <w:pPr>
              <w:spacing w:line="240" w:lineRule="atLeast"/>
              <w:rPr>
                <w:rFonts w:ascii="宋体" w:hAnsi="宋体"/>
                <w:color w:val="auto"/>
                <w:szCs w:val="21"/>
                <w:highlight w:val="none"/>
              </w:rPr>
            </w:pPr>
            <w:r>
              <w:rPr>
                <w:rFonts w:hint="eastAsia" w:ascii="Calibri" w:hAnsi="Calibri"/>
                <w:color w:val="auto"/>
                <w:szCs w:val="21"/>
                <w:highlight w:val="none"/>
              </w:rPr>
              <w:t>4.台账整理不完善，一次扣0.5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5.未安装或未开启GPS</w:t>
            </w:r>
            <w:r>
              <w:rPr>
                <w:rFonts w:hint="eastAsia" w:ascii="宋体" w:hAnsi="宋体"/>
                <w:color w:val="auto"/>
                <w:szCs w:val="21"/>
                <w:highlight w:val="none"/>
              </w:rPr>
              <w:t>设备上路工作的，一次扣</w:t>
            </w:r>
            <w:r>
              <w:rPr>
                <w:rFonts w:hint="eastAsia" w:ascii="Calibri" w:hAnsi="Calibri"/>
                <w:color w:val="auto"/>
                <w:szCs w:val="21"/>
                <w:highlight w:val="none"/>
              </w:rPr>
              <w:t>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注：需提供城市道路机械化清扫率报表，机扫车辆作业记录台账。</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规定</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时间</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道路冲洗、洒水</w:t>
            </w:r>
          </w:p>
          <w:p>
            <w:pPr>
              <w:autoSpaceDE w:val="0"/>
              <w:spacing w:line="240" w:lineRule="atLeast"/>
              <w:rPr>
                <w:rFonts w:ascii="Calibri" w:hAnsi="Calibri"/>
                <w:color w:val="auto"/>
                <w:szCs w:val="21"/>
                <w:highlight w:val="none"/>
              </w:rPr>
            </w:pPr>
            <w:r>
              <w:rPr>
                <w:rFonts w:hint="eastAsia" w:ascii="Calibri" w:hAnsi="Calibri"/>
                <w:color w:val="auto"/>
                <w:szCs w:val="21"/>
                <w:highlight w:val="none"/>
              </w:rPr>
              <w:t>（3</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人行道包括侧石、平石实行人工冲刷，路面无积垢、无灰尘；</w:t>
            </w:r>
          </w:p>
          <w:p>
            <w:pPr>
              <w:spacing w:line="240" w:lineRule="atLeast"/>
              <w:rPr>
                <w:rFonts w:ascii="Calibri" w:hAnsi="Calibri"/>
                <w:color w:val="auto"/>
                <w:szCs w:val="21"/>
                <w:highlight w:val="none"/>
              </w:rPr>
            </w:pPr>
            <w:r>
              <w:rPr>
                <w:rFonts w:hint="eastAsia" w:ascii="Calibri" w:hAnsi="Calibri"/>
                <w:color w:val="auto"/>
                <w:szCs w:val="21"/>
                <w:highlight w:val="none"/>
              </w:rPr>
              <w:t>机动车道为冲水路段，要求水冲后无灰尘；</w:t>
            </w:r>
          </w:p>
          <w:p>
            <w:pPr>
              <w:spacing w:line="240" w:lineRule="atLeast"/>
              <w:rPr>
                <w:rFonts w:ascii="Calibri" w:hAnsi="Calibri"/>
                <w:color w:val="auto"/>
                <w:szCs w:val="21"/>
                <w:highlight w:val="none"/>
              </w:rPr>
            </w:pPr>
            <w:r>
              <w:rPr>
                <w:rFonts w:hint="eastAsia" w:ascii="Calibri" w:hAnsi="Calibri"/>
                <w:color w:val="auto"/>
                <w:szCs w:val="21"/>
                <w:highlight w:val="none"/>
              </w:rPr>
              <w:t>冲洗路面见本色。机动车道洒水次数按规定进行。</w:t>
            </w:r>
          </w:p>
          <w:p>
            <w:pPr>
              <w:spacing w:line="240" w:lineRule="atLeast"/>
              <w:rPr>
                <w:rFonts w:ascii="Calibri" w:hAnsi="Calibri"/>
                <w:color w:val="auto"/>
                <w:szCs w:val="21"/>
                <w:highlight w:val="none"/>
              </w:rPr>
            </w:pP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 xml:space="preserve">1.被抽查路段列入人工冲刷范围有积垢、灰尘的一段扣0.5分；       </w:t>
            </w:r>
          </w:p>
          <w:p>
            <w:pPr>
              <w:spacing w:line="240" w:lineRule="atLeast"/>
              <w:rPr>
                <w:rFonts w:ascii="Calibri" w:hAnsi="Calibri"/>
                <w:color w:val="auto"/>
                <w:sz w:val="18"/>
                <w:szCs w:val="18"/>
                <w:highlight w:val="none"/>
              </w:rPr>
            </w:pPr>
            <w:r>
              <w:rPr>
                <w:rFonts w:hint="eastAsia" w:ascii="Calibri" w:hAnsi="Calibri"/>
                <w:color w:val="auto"/>
                <w:szCs w:val="21"/>
                <w:highlight w:val="none"/>
              </w:rPr>
              <w:t>2.道路冲洗（每周一次）、洒水次数（每条道路春、冬季每日洒水不少于二次；夏、秋季每日洒水不少于三次）雨天除外，未按规定要求，少一次扣0.5分；</w:t>
            </w:r>
          </w:p>
          <w:p>
            <w:pPr>
              <w:spacing w:line="240" w:lineRule="atLeast"/>
              <w:rPr>
                <w:rFonts w:ascii="Calibri" w:hAnsi="Calibri"/>
                <w:color w:val="auto"/>
                <w:szCs w:val="21"/>
                <w:highlight w:val="none"/>
              </w:rPr>
            </w:pPr>
            <w:r>
              <w:rPr>
                <w:rFonts w:hint="eastAsia" w:ascii="Calibri" w:hAnsi="Calibri"/>
                <w:color w:val="auto"/>
                <w:szCs w:val="21"/>
                <w:highlight w:val="none"/>
              </w:rPr>
              <w:t>3.台账整理不完善，一次扣0.5分；</w:t>
            </w:r>
          </w:p>
          <w:p>
            <w:pPr>
              <w:spacing w:line="240" w:lineRule="atLeast"/>
              <w:rPr>
                <w:rFonts w:ascii="Calibri" w:hAnsi="Calibri"/>
                <w:color w:val="auto"/>
                <w:szCs w:val="21"/>
                <w:highlight w:val="none"/>
              </w:rPr>
            </w:pPr>
            <w:r>
              <w:rPr>
                <w:rFonts w:hint="eastAsia" w:ascii="Calibri" w:hAnsi="Calibri"/>
                <w:color w:val="auto"/>
                <w:szCs w:val="21"/>
                <w:highlight w:val="none"/>
              </w:rPr>
              <w:t>4.未安装或未开启GPS设备上路工作的，一次扣2分。</w:t>
            </w:r>
          </w:p>
          <w:p>
            <w:pPr>
              <w:spacing w:line="240" w:lineRule="atLeast"/>
              <w:rPr>
                <w:rFonts w:ascii="Calibri" w:hAnsi="Calibri"/>
                <w:color w:val="auto"/>
                <w:szCs w:val="21"/>
                <w:highlight w:val="none"/>
              </w:rPr>
            </w:pPr>
            <w:r>
              <w:rPr>
                <w:rFonts w:hint="eastAsia" w:ascii="Calibri" w:hAnsi="Calibri"/>
                <w:color w:val="auto"/>
                <w:szCs w:val="21"/>
                <w:highlight w:val="none"/>
              </w:rPr>
              <w:t>注：现场检查和台账检查相结合。</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规定</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时间</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城市“牛皮癣”、小广告清理（5</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动态保洁时间内，实行定期清理。原则上应在每日上午9点前清除完毕。承包责任区域内无明显城市“牛皮癣”、小广告等现象，标准为基本清除。不得发生二次污染现象，清理后需及时清扫（洗）散落物等。</w:t>
            </w:r>
          </w:p>
        </w:tc>
        <w:tc>
          <w:tcPr>
            <w:tcW w:w="7290" w:type="dxa"/>
            <w:tcBorders>
              <w:top w:val="single" w:color="auto" w:sz="4" w:space="0"/>
              <w:left w:val="nil"/>
              <w:bottom w:val="single" w:color="auto" w:sz="4" w:space="0"/>
              <w:right w:val="single" w:color="auto" w:sz="4" w:space="0"/>
            </w:tcBorders>
            <w:noWrap/>
            <w:vAlign w:val="center"/>
          </w:tcPr>
          <w:p>
            <w:pPr>
              <w:numPr>
                <w:ilvl w:val="0"/>
                <w:numId w:val="5"/>
              </w:numPr>
              <w:spacing w:line="240" w:lineRule="atLeast"/>
              <w:rPr>
                <w:rFonts w:ascii="宋体" w:hAnsi="宋体"/>
                <w:color w:val="auto"/>
                <w:szCs w:val="21"/>
                <w:highlight w:val="none"/>
              </w:rPr>
            </w:pPr>
            <w:r>
              <w:rPr>
                <w:rFonts w:hint="eastAsia" w:ascii="宋体" w:hAnsi="宋体"/>
                <w:color w:val="auto"/>
                <w:szCs w:val="21"/>
                <w:highlight w:val="none"/>
              </w:rPr>
              <w:t>保洁范围内发现乱贴乱画、非法小广告，面积</w:t>
            </w:r>
            <w:r>
              <w:rPr>
                <w:rFonts w:hint="eastAsia" w:ascii="Calibri" w:hAnsi="Calibri"/>
                <w:color w:val="auto"/>
                <w:szCs w:val="21"/>
                <w:highlight w:val="none"/>
              </w:rPr>
              <w:t>1</w:t>
            </w:r>
            <w:r>
              <w:rPr>
                <w:rFonts w:hint="eastAsia" w:ascii="宋体" w:hAnsi="宋体"/>
                <w:color w:val="auto"/>
                <w:szCs w:val="21"/>
                <w:highlight w:val="none"/>
              </w:rPr>
              <w:t>㎡以下的每处扣</w:t>
            </w:r>
            <w:r>
              <w:rPr>
                <w:rFonts w:hint="eastAsia" w:ascii="Calibri" w:hAnsi="Calibri"/>
                <w:color w:val="auto"/>
                <w:szCs w:val="21"/>
                <w:highlight w:val="none"/>
              </w:rPr>
              <w:t>0.1</w:t>
            </w:r>
            <w:r>
              <w:rPr>
                <w:rFonts w:hint="eastAsia" w:ascii="宋体" w:hAnsi="宋体"/>
                <w:color w:val="auto"/>
                <w:szCs w:val="21"/>
                <w:highlight w:val="none"/>
              </w:rPr>
              <w:t>分，</w:t>
            </w:r>
            <w:r>
              <w:rPr>
                <w:rFonts w:hint="eastAsia" w:ascii="Calibri" w:hAnsi="Calibri"/>
                <w:color w:val="auto"/>
                <w:szCs w:val="21"/>
                <w:highlight w:val="none"/>
              </w:rPr>
              <w:t>1</w:t>
            </w:r>
            <w:r>
              <w:rPr>
                <w:rFonts w:hint="eastAsia" w:ascii="宋体" w:hAnsi="宋体"/>
                <w:color w:val="auto"/>
                <w:szCs w:val="21"/>
                <w:highlight w:val="none"/>
              </w:rPr>
              <w:t>㎡以上的每处扣</w:t>
            </w:r>
            <w:r>
              <w:rPr>
                <w:rFonts w:hint="eastAsia" w:ascii="Calibri" w:hAnsi="Calibri"/>
                <w:color w:val="auto"/>
                <w:szCs w:val="21"/>
                <w:highlight w:val="none"/>
              </w:rPr>
              <w:t>0.2</w:t>
            </w:r>
            <w:r>
              <w:rPr>
                <w:rFonts w:hint="eastAsia" w:ascii="宋体" w:hAnsi="宋体"/>
                <w:color w:val="auto"/>
                <w:szCs w:val="21"/>
                <w:highlight w:val="none"/>
              </w:rPr>
              <w:t>分；</w:t>
            </w:r>
          </w:p>
          <w:p>
            <w:pPr>
              <w:numPr>
                <w:ilvl w:val="0"/>
                <w:numId w:val="5"/>
              </w:numPr>
              <w:spacing w:line="240" w:lineRule="atLeast"/>
              <w:rPr>
                <w:rFonts w:ascii="Calibri" w:hAnsi="Calibri"/>
                <w:color w:val="auto"/>
                <w:szCs w:val="21"/>
                <w:highlight w:val="none"/>
              </w:rPr>
            </w:pPr>
            <w:r>
              <w:rPr>
                <w:rFonts w:hint="eastAsia" w:ascii="宋体" w:hAnsi="宋体" w:cs="宋体"/>
                <w:bCs/>
                <w:color w:val="auto"/>
                <w:szCs w:val="21"/>
                <w:highlight w:val="none"/>
              </w:rPr>
              <w:t>外墙、地面、栏杆、灯箱、电话亭、书报亭清理乱张贴或乱涂写保洁基本上做到“同色覆盖”。选用环保材料、涂料、油漆、清除乱张贴、乱涂写的涂料要用与墙体、地面、栏杆相同或相接近的颜色进行有规则（正方形、长方形等）的覆盖，对花岗岩、大理石等墙面、地面应通过清洗方式进行保洁，不能出现“白癜风”的涂写、覆盖方式；清除乱张贴乱涂写时注意不得污损周围墙体、地面、桥面，保持整洁；涂料与清除方式使用不正确的，</w:t>
            </w:r>
            <w:r>
              <w:rPr>
                <w:rFonts w:hint="eastAsia" w:ascii="宋体" w:hAnsi="宋体"/>
                <w:color w:val="auto"/>
                <w:szCs w:val="21"/>
                <w:highlight w:val="none"/>
              </w:rPr>
              <w:t>每处扣0.3分；</w:t>
            </w:r>
          </w:p>
          <w:p>
            <w:pPr>
              <w:spacing w:line="240" w:lineRule="atLeast"/>
              <w:rPr>
                <w:rFonts w:ascii="Calibri" w:hAnsi="Calibri"/>
                <w:color w:val="auto"/>
                <w:szCs w:val="21"/>
                <w:highlight w:val="none"/>
              </w:rPr>
            </w:pPr>
            <w:r>
              <w:rPr>
                <w:rFonts w:hint="eastAsia" w:ascii="Calibri" w:hAnsi="Calibri"/>
                <w:color w:val="auto"/>
                <w:szCs w:val="21"/>
                <w:highlight w:val="none"/>
              </w:rPr>
              <w:t>3.</w:t>
            </w:r>
            <w:r>
              <w:rPr>
                <w:rFonts w:hint="eastAsia" w:ascii="宋体" w:hAnsi="宋体"/>
                <w:color w:val="auto"/>
                <w:szCs w:val="21"/>
                <w:highlight w:val="none"/>
              </w:rPr>
              <w:t>存在二次污染或清理不彻底的，一次扣</w:t>
            </w:r>
            <w:r>
              <w:rPr>
                <w:rFonts w:hint="eastAsia" w:ascii="Calibri" w:hAnsi="Calibri"/>
                <w:color w:val="auto"/>
                <w:szCs w:val="21"/>
                <w:highlight w:val="none"/>
              </w:rPr>
              <w:t>0.5</w:t>
            </w:r>
            <w:r>
              <w:rPr>
                <w:rFonts w:hint="eastAsia" w:ascii="宋体" w:hAnsi="宋体"/>
                <w:color w:val="auto"/>
                <w:szCs w:val="21"/>
                <w:highlight w:val="none"/>
              </w:rPr>
              <w:t>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公厕保洁</w:t>
            </w:r>
          </w:p>
          <w:p>
            <w:pPr>
              <w:autoSpaceDE w:val="0"/>
              <w:spacing w:line="240" w:lineRule="atLeast"/>
              <w:rPr>
                <w:rFonts w:ascii="Calibri" w:hAnsi="Calibri"/>
                <w:color w:val="auto"/>
                <w:szCs w:val="21"/>
                <w:highlight w:val="none"/>
              </w:rPr>
            </w:pPr>
            <w:r>
              <w:rPr>
                <w:rFonts w:hint="eastAsia" w:ascii="Calibri" w:hAnsi="Calibri"/>
                <w:color w:val="auto"/>
                <w:szCs w:val="21"/>
                <w:highlight w:val="none"/>
              </w:rPr>
              <w:t>（5</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按公厕等级要求进行保洁。公厕内地面保持整洁，内外墙无剥落、整洁；</w:t>
            </w:r>
          </w:p>
          <w:p>
            <w:pPr>
              <w:spacing w:line="240" w:lineRule="atLeast"/>
              <w:rPr>
                <w:rFonts w:ascii="Calibri" w:hAnsi="Calibri"/>
                <w:color w:val="auto"/>
                <w:szCs w:val="21"/>
                <w:highlight w:val="none"/>
              </w:rPr>
            </w:pPr>
            <w:r>
              <w:rPr>
                <w:rFonts w:hint="eastAsia" w:ascii="Calibri" w:hAnsi="Calibri"/>
                <w:color w:val="auto"/>
                <w:szCs w:val="21"/>
                <w:highlight w:val="none"/>
              </w:rPr>
              <w:t>有防蝇、防蚊和除臭设施或措施；</w:t>
            </w:r>
          </w:p>
          <w:p>
            <w:pPr>
              <w:spacing w:line="240" w:lineRule="atLeast"/>
              <w:rPr>
                <w:rFonts w:ascii="Calibri" w:hAnsi="Calibri"/>
                <w:color w:val="auto"/>
                <w:szCs w:val="21"/>
                <w:highlight w:val="none"/>
              </w:rPr>
            </w:pPr>
            <w:r>
              <w:rPr>
                <w:rFonts w:hint="eastAsia" w:ascii="Calibri" w:hAnsi="Calibri"/>
                <w:color w:val="auto"/>
                <w:szCs w:val="21"/>
                <w:highlight w:val="none"/>
              </w:rPr>
              <w:t>有专人管理，有保洁制度；</w:t>
            </w:r>
          </w:p>
          <w:p>
            <w:pPr>
              <w:spacing w:line="240" w:lineRule="atLeast"/>
              <w:rPr>
                <w:rFonts w:ascii="Calibri" w:hAnsi="Calibri"/>
                <w:color w:val="auto"/>
                <w:szCs w:val="21"/>
                <w:highlight w:val="none"/>
              </w:rPr>
            </w:pPr>
            <w:r>
              <w:rPr>
                <w:rFonts w:hint="eastAsia" w:ascii="Calibri" w:hAnsi="Calibri"/>
                <w:color w:val="auto"/>
                <w:szCs w:val="21"/>
                <w:highlight w:val="none"/>
              </w:rPr>
              <w:t>公厕内采光、照明和通风良好，无臭味；环境卫生良好，坐便器、蹲位整洁、管道畅通；</w:t>
            </w:r>
          </w:p>
          <w:p>
            <w:pPr>
              <w:spacing w:line="240" w:lineRule="atLeast"/>
              <w:rPr>
                <w:rFonts w:ascii="Calibri" w:hAnsi="Calibri"/>
                <w:color w:val="auto"/>
                <w:szCs w:val="21"/>
                <w:highlight w:val="none"/>
              </w:rPr>
            </w:pPr>
            <w:r>
              <w:rPr>
                <w:rFonts w:hint="eastAsia" w:ascii="Calibri" w:hAnsi="Calibri"/>
                <w:color w:val="auto"/>
                <w:szCs w:val="21"/>
                <w:highlight w:val="none"/>
              </w:rPr>
              <w:t>照明灯具、洗手器具等设施完好；</w:t>
            </w:r>
          </w:p>
          <w:p>
            <w:pPr>
              <w:spacing w:line="240" w:lineRule="atLeast"/>
              <w:rPr>
                <w:rFonts w:ascii="Calibri" w:hAnsi="Calibri"/>
                <w:color w:val="auto"/>
                <w:szCs w:val="21"/>
                <w:highlight w:val="none"/>
              </w:rPr>
            </w:pPr>
            <w:r>
              <w:rPr>
                <w:rFonts w:hint="eastAsia" w:ascii="Calibri" w:hAnsi="Calibri"/>
                <w:color w:val="auto"/>
                <w:szCs w:val="21"/>
                <w:highlight w:val="none"/>
              </w:rPr>
              <w:t>公厕设有醒目标志牌，定时喷洒灭蚊蝇药物，有效控制蝇蛆孳生。</w:t>
            </w:r>
          </w:p>
        </w:tc>
        <w:tc>
          <w:tcPr>
            <w:tcW w:w="7290" w:type="dxa"/>
            <w:tcBorders>
              <w:top w:val="single" w:color="auto" w:sz="4" w:space="0"/>
              <w:left w:val="nil"/>
              <w:bottom w:val="single" w:color="auto" w:sz="4" w:space="0"/>
              <w:right w:val="single" w:color="auto" w:sz="4" w:space="0"/>
            </w:tcBorders>
            <w:noWrap/>
            <w:vAlign w:val="center"/>
          </w:tcPr>
          <w:p>
            <w:pPr>
              <w:numPr>
                <w:ilvl w:val="0"/>
                <w:numId w:val="6"/>
              </w:numPr>
              <w:spacing w:line="240" w:lineRule="atLeast"/>
              <w:ind w:left="210" w:hanging="210"/>
              <w:rPr>
                <w:rFonts w:ascii="Calibri" w:hAnsi="Calibri"/>
                <w:color w:val="auto"/>
                <w:szCs w:val="21"/>
                <w:highlight w:val="none"/>
              </w:rPr>
            </w:pPr>
            <w:r>
              <w:rPr>
                <w:rFonts w:hint="eastAsia" w:ascii="Calibri" w:hAnsi="Calibri"/>
                <w:color w:val="auto"/>
                <w:szCs w:val="21"/>
                <w:highlight w:val="none"/>
              </w:rPr>
              <w:t>地（墙）面、坐便器、蹲位、洗手台等不整洁，一座扣0.5</w:t>
            </w:r>
            <w:r>
              <w:rPr>
                <w:rFonts w:hint="eastAsia" w:ascii="宋体" w:hAnsi="宋体"/>
                <w:color w:val="auto"/>
                <w:szCs w:val="21"/>
                <w:highlight w:val="none"/>
              </w:rPr>
              <w:t>分；</w:t>
            </w:r>
          </w:p>
          <w:p>
            <w:pPr>
              <w:numPr>
                <w:ilvl w:val="0"/>
                <w:numId w:val="6"/>
              </w:numPr>
              <w:spacing w:line="240" w:lineRule="atLeast"/>
              <w:ind w:left="210" w:hanging="210"/>
              <w:rPr>
                <w:rFonts w:ascii="Calibri" w:hAnsi="Calibri"/>
                <w:color w:val="auto"/>
                <w:szCs w:val="21"/>
                <w:highlight w:val="none"/>
              </w:rPr>
            </w:pPr>
            <w:r>
              <w:rPr>
                <w:rFonts w:hint="eastAsia" w:ascii="Calibri" w:hAnsi="Calibri"/>
                <w:color w:val="auto"/>
                <w:szCs w:val="21"/>
                <w:highlight w:val="none"/>
              </w:rPr>
              <w:t>无防蝇、防蚊和除臭设施或措施，臭味明显，一座扣0.5</w:t>
            </w:r>
            <w:r>
              <w:rPr>
                <w:rFonts w:hint="eastAsia" w:ascii="宋体" w:hAnsi="宋体"/>
                <w:color w:val="auto"/>
                <w:szCs w:val="21"/>
                <w:highlight w:val="none"/>
              </w:rPr>
              <w:t>分；</w:t>
            </w:r>
          </w:p>
          <w:p>
            <w:pPr>
              <w:numPr>
                <w:ilvl w:val="0"/>
                <w:numId w:val="6"/>
              </w:numPr>
              <w:spacing w:line="240" w:lineRule="atLeast"/>
              <w:ind w:left="210" w:hanging="210"/>
              <w:rPr>
                <w:rFonts w:ascii="Calibri" w:hAnsi="Calibri"/>
                <w:color w:val="auto"/>
                <w:szCs w:val="21"/>
                <w:highlight w:val="none"/>
              </w:rPr>
            </w:pPr>
            <w:r>
              <w:rPr>
                <w:rFonts w:hint="eastAsia" w:ascii="Calibri" w:hAnsi="Calibri"/>
                <w:color w:val="auto"/>
                <w:szCs w:val="21"/>
                <w:highlight w:val="none"/>
              </w:rPr>
              <w:t>无专人管理（照片上墙）、标志牌、保洁制度，一座扣0.5</w:t>
            </w:r>
            <w:r>
              <w:rPr>
                <w:rFonts w:hint="eastAsia" w:ascii="宋体" w:hAnsi="宋体"/>
                <w:color w:val="auto"/>
                <w:szCs w:val="21"/>
                <w:highlight w:val="none"/>
              </w:rPr>
              <w:t xml:space="preserve"> 分； </w:t>
            </w:r>
          </w:p>
          <w:p>
            <w:pPr>
              <w:numPr>
                <w:ilvl w:val="0"/>
                <w:numId w:val="6"/>
              </w:numPr>
              <w:spacing w:line="240" w:lineRule="atLeast"/>
              <w:ind w:left="210" w:hanging="210"/>
              <w:rPr>
                <w:rFonts w:ascii="Calibri" w:hAnsi="Calibri"/>
                <w:color w:val="auto"/>
                <w:szCs w:val="21"/>
                <w:highlight w:val="none"/>
              </w:rPr>
            </w:pPr>
            <w:r>
              <w:rPr>
                <w:rFonts w:hint="eastAsia" w:ascii="Calibri" w:hAnsi="Calibri"/>
                <w:color w:val="auto"/>
                <w:szCs w:val="21"/>
                <w:highlight w:val="none"/>
              </w:rPr>
              <w:t>灯具、水龙头等设施破损未及时修理、更换，一座扣0.5</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宋体" w:hAnsi="宋体"/>
                <w:color w:val="auto"/>
                <w:szCs w:val="21"/>
                <w:highlight w:val="none"/>
              </w:rPr>
              <w:t>5.公厕周边有垃圾的，每处扣</w:t>
            </w:r>
            <w:r>
              <w:rPr>
                <w:rFonts w:hint="eastAsia" w:ascii="Calibri" w:hAnsi="Calibri"/>
                <w:color w:val="auto"/>
                <w:szCs w:val="21"/>
                <w:highlight w:val="none"/>
              </w:rPr>
              <w:t>0.5</w:t>
            </w:r>
            <w:r>
              <w:rPr>
                <w:rFonts w:hint="eastAsia" w:ascii="宋体" w:hAnsi="宋体"/>
                <w:color w:val="auto"/>
                <w:szCs w:val="21"/>
                <w:highlight w:val="none"/>
              </w:rPr>
              <w:t>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bCs/>
                <w:color w:val="auto"/>
                <w:sz w:val="22"/>
                <w:szCs w:val="22"/>
                <w:highlight w:val="none"/>
              </w:rPr>
              <w:t>环卫设施及城市家具保洁</w:t>
            </w:r>
          </w:p>
          <w:p>
            <w:pPr>
              <w:autoSpaceDE w:val="0"/>
              <w:spacing w:line="240" w:lineRule="atLeast"/>
              <w:rPr>
                <w:rFonts w:ascii="Calibri" w:hAnsi="Calibri"/>
                <w:color w:val="auto"/>
                <w:szCs w:val="21"/>
                <w:highlight w:val="none"/>
              </w:rPr>
            </w:pPr>
            <w:r>
              <w:rPr>
                <w:rFonts w:hint="eastAsia" w:ascii="Calibri" w:hAnsi="Calibri"/>
                <w:color w:val="auto"/>
                <w:szCs w:val="21"/>
                <w:highlight w:val="none"/>
              </w:rPr>
              <w:t>（10</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环卫设施无破损，定期清洗保持外观清洁；</w:t>
            </w:r>
          </w:p>
          <w:p>
            <w:pPr>
              <w:spacing w:line="240" w:lineRule="atLeast"/>
              <w:rPr>
                <w:rFonts w:ascii="Calibri" w:hAnsi="Calibri"/>
                <w:color w:val="auto"/>
                <w:szCs w:val="21"/>
                <w:highlight w:val="none"/>
              </w:rPr>
            </w:pPr>
            <w:r>
              <w:rPr>
                <w:rFonts w:hint="eastAsia" w:ascii="Calibri" w:hAnsi="Calibri"/>
                <w:color w:val="auto"/>
                <w:szCs w:val="21"/>
                <w:highlight w:val="none"/>
              </w:rPr>
              <w:t>果壳箱、垃圾桶及不锈钢垃圾箱破损及时清理（洗）、维修、垃圾收集车辆（含机动车和非机动车）每日清洗后方可上路；</w:t>
            </w:r>
          </w:p>
          <w:p>
            <w:pPr>
              <w:spacing w:line="240" w:lineRule="atLeast"/>
              <w:rPr>
                <w:rFonts w:ascii="Calibri" w:hAnsi="Calibri"/>
                <w:color w:val="auto"/>
                <w:szCs w:val="21"/>
                <w:highlight w:val="none"/>
              </w:rPr>
            </w:pPr>
            <w:r>
              <w:rPr>
                <w:rFonts w:hint="eastAsia" w:ascii="Calibri" w:hAnsi="Calibri"/>
                <w:color w:val="auto"/>
                <w:szCs w:val="21"/>
                <w:highlight w:val="none"/>
              </w:rPr>
              <w:t>垃圾容器封闭无四害孳生，周围无垃圾散落，管理规范，垃圾做到日产日清。</w:t>
            </w:r>
          </w:p>
        </w:tc>
        <w:tc>
          <w:tcPr>
            <w:tcW w:w="7290" w:type="dxa"/>
            <w:tcBorders>
              <w:top w:val="single" w:color="auto" w:sz="4" w:space="0"/>
              <w:left w:val="nil"/>
              <w:bottom w:val="single" w:color="auto" w:sz="4" w:space="0"/>
              <w:right w:val="single" w:color="auto" w:sz="4" w:space="0"/>
            </w:tcBorders>
            <w:noWrap/>
            <w:vAlign w:val="center"/>
          </w:tcPr>
          <w:p>
            <w:pPr>
              <w:numPr>
                <w:ilvl w:val="0"/>
                <w:numId w:val="7"/>
              </w:numPr>
              <w:spacing w:line="240" w:lineRule="atLeast"/>
              <w:ind w:left="420" w:hanging="420"/>
              <w:rPr>
                <w:color w:val="auto"/>
                <w:highlight w:val="none"/>
              </w:rPr>
            </w:pPr>
            <w:r>
              <w:rPr>
                <w:rFonts w:hint="eastAsia"/>
                <w:color w:val="auto"/>
                <w:highlight w:val="none"/>
              </w:rPr>
              <w:t>果壳箱、垃圾桶及不锈钢垃圾箱破损未及时清理（洗）、维修、更换（12小时内）、城市家具（含花箱、垃圾屋）未及时清洗的，发现一个扣1分；</w:t>
            </w:r>
          </w:p>
          <w:p>
            <w:pPr>
              <w:numPr>
                <w:ilvl w:val="0"/>
                <w:numId w:val="7"/>
              </w:numPr>
              <w:spacing w:line="240" w:lineRule="atLeast"/>
              <w:ind w:left="420" w:hanging="420"/>
              <w:rPr>
                <w:color w:val="auto"/>
                <w:highlight w:val="none"/>
              </w:rPr>
            </w:pPr>
            <w:r>
              <w:rPr>
                <w:rFonts w:hint="eastAsia"/>
                <w:color w:val="auto"/>
                <w:highlight w:val="none"/>
              </w:rPr>
              <w:t>设施不整洁或车辆未清洗发现一处的扣0.2分；</w:t>
            </w:r>
          </w:p>
          <w:p>
            <w:pPr>
              <w:numPr>
                <w:ilvl w:val="0"/>
                <w:numId w:val="7"/>
              </w:numPr>
              <w:spacing w:line="240" w:lineRule="atLeast"/>
              <w:ind w:left="420" w:hanging="420"/>
              <w:rPr>
                <w:color w:val="auto"/>
                <w:highlight w:val="none"/>
              </w:rPr>
            </w:pPr>
            <w:r>
              <w:rPr>
                <w:rFonts w:hint="eastAsia"/>
                <w:color w:val="auto"/>
                <w:highlight w:val="none"/>
              </w:rPr>
              <w:t>设施无四害孳生的发现一次扣0.5分；</w:t>
            </w:r>
          </w:p>
          <w:p>
            <w:pPr>
              <w:spacing w:line="240" w:lineRule="atLeast"/>
              <w:rPr>
                <w:color w:val="auto"/>
                <w:highlight w:val="none"/>
              </w:rPr>
            </w:pPr>
            <w:r>
              <w:rPr>
                <w:rFonts w:hint="eastAsia"/>
                <w:color w:val="auto"/>
                <w:highlight w:val="none"/>
              </w:rPr>
              <w:t>4.因乙方原因，垃圾没有日产日清的发现一次扣2分；</w:t>
            </w:r>
          </w:p>
          <w:p>
            <w:pPr>
              <w:spacing w:line="240" w:lineRule="atLeast"/>
              <w:rPr>
                <w:color w:val="auto"/>
                <w:highlight w:val="none"/>
              </w:rPr>
            </w:pPr>
            <w:r>
              <w:rPr>
                <w:rFonts w:hint="eastAsia"/>
                <w:color w:val="auto"/>
                <w:highlight w:val="none"/>
              </w:rPr>
              <w:t>5.果壳箱未及时清洗加盖、关门发现一只扣0.2分；</w:t>
            </w:r>
          </w:p>
          <w:p>
            <w:pPr>
              <w:spacing w:line="240" w:lineRule="atLeast"/>
              <w:rPr>
                <w:color w:val="auto"/>
                <w:highlight w:val="none"/>
              </w:rPr>
            </w:pPr>
            <w:r>
              <w:rPr>
                <w:rFonts w:hint="eastAsia"/>
                <w:color w:val="auto"/>
                <w:highlight w:val="none"/>
              </w:rPr>
              <w:t>6.人工附属设施设备（各类灯、音响、指示牌、宣传栏、休闲椅、桥面、栏杆、扶手、凉亭、走廊、花架、园林小品等）、体育健身区域器材设施表面无积尘，干净整洁。电杆（2米以下部分）、监控杆（2米以下部分）、弱电设施一切公共室外市政设施（变压器、配电箱等店里设施围挡不计入），公交站台、站牌、灯箱、广告牌、报刊（信息）亭、电话亭、邮政信箱、固定室外座椅等一切城市家具，表面无积尘，干净整洁。设施表面有污迹、积尘发现一处扣1分；</w:t>
            </w:r>
          </w:p>
          <w:p>
            <w:pPr>
              <w:pStyle w:val="25"/>
              <w:tabs>
                <w:tab w:val="left" w:pos="482"/>
                <w:tab w:val="left" w:pos="2183"/>
                <w:tab w:val="left" w:pos="3884"/>
                <w:tab w:val="left" w:pos="5585"/>
              </w:tabs>
              <w:ind w:firstLine="220"/>
              <w:rPr>
                <w:color w:val="auto"/>
                <w:highlight w:val="none"/>
              </w:rPr>
            </w:pPr>
            <w:r>
              <w:rPr>
                <w:rFonts w:hint="eastAsia" w:ascii="宋体" w:hAnsi="Calibri"/>
                <w:color w:val="auto"/>
                <w:sz w:val="22"/>
                <w:szCs w:val="22"/>
                <w:highlight w:val="none"/>
              </w:rPr>
              <w:t>7.</w:t>
            </w:r>
            <w:r>
              <w:rPr>
                <w:rFonts w:hint="eastAsia" w:ascii="宋体" w:hAnsi="宋体" w:cs="宋体"/>
                <w:bCs/>
                <w:color w:val="auto"/>
                <w:szCs w:val="21"/>
                <w:highlight w:val="none"/>
              </w:rPr>
              <w:t>垃圾桶、果壳箱、垃圾坞等垃圾分类的标识清晰完整，垃圾分类标识破损或掉落未及时修复更换的，每次扣1分。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64" w:type="dxa"/>
            <w:vMerge w:val="restart"/>
            <w:tcBorders>
              <w:top w:val="single" w:color="auto" w:sz="4" w:space="0"/>
              <w:left w:val="single" w:color="auto" w:sz="4" w:space="0"/>
              <w:right w:val="single" w:color="auto" w:sz="4" w:space="0"/>
            </w:tcBorders>
            <w:noWrap/>
            <w:vAlign w:val="center"/>
          </w:tcPr>
          <w:p>
            <w:pPr>
              <w:autoSpaceDE w:val="0"/>
              <w:spacing w:line="240" w:lineRule="atLeast"/>
              <w:rPr>
                <w:rFonts w:ascii="Calibri" w:hAnsi="Calibri"/>
                <w:color w:val="auto"/>
                <w:szCs w:val="21"/>
                <w:highlight w:val="none"/>
              </w:rPr>
            </w:pPr>
            <w:r>
              <w:rPr>
                <w:rFonts w:hint="eastAsia" w:ascii="Calibri" w:hAnsi="Calibri"/>
                <w:color w:val="auto"/>
                <w:szCs w:val="21"/>
                <w:highlight w:val="none"/>
              </w:rPr>
              <w:t>规范作业</w:t>
            </w:r>
          </w:p>
          <w:p>
            <w:pPr>
              <w:autoSpaceDE w:val="0"/>
              <w:spacing w:line="240" w:lineRule="atLeast"/>
              <w:rPr>
                <w:rFonts w:ascii="Calibri" w:hAnsi="Calibri"/>
                <w:color w:val="auto"/>
                <w:szCs w:val="21"/>
                <w:highlight w:val="none"/>
              </w:rPr>
            </w:pPr>
            <w:r>
              <w:rPr>
                <w:rFonts w:hint="eastAsia" w:ascii="Calibri" w:hAnsi="Calibri"/>
                <w:color w:val="auto"/>
                <w:szCs w:val="21"/>
                <w:highlight w:val="none"/>
              </w:rPr>
              <w:t>（5</w:t>
            </w:r>
            <w:r>
              <w:rPr>
                <w:rFonts w:hint="eastAsia" w:ascii="宋体" w:hAnsi="宋体"/>
                <w:color w:val="auto"/>
                <w:szCs w:val="21"/>
                <w:highlight w:val="none"/>
              </w:rPr>
              <w:t>分）</w:t>
            </w:r>
          </w:p>
        </w:tc>
        <w:tc>
          <w:tcPr>
            <w:tcW w:w="4463"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作业人员作业期间内穿反光安全服；</w:t>
            </w:r>
          </w:p>
          <w:p>
            <w:pPr>
              <w:spacing w:line="240" w:lineRule="atLeast"/>
              <w:rPr>
                <w:rFonts w:ascii="宋体" w:hAnsi="宋体"/>
                <w:color w:val="auto"/>
                <w:szCs w:val="21"/>
                <w:highlight w:val="none"/>
              </w:rPr>
            </w:pPr>
            <w:r>
              <w:rPr>
                <w:rFonts w:hint="eastAsia" w:ascii="Calibri" w:hAnsi="Calibri"/>
                <w:color w:val="auto"/>
                <w:szCs w:val="21"/>
                <w:highlight w:val="none"/>
              </w:rPr>
              <w:t>在作业时间内，不聚集闲聊，工期休息不超过10</w:t>
            </w:r>
            <w:r>
              <w:rPr>
                <w:rFonts w:hint="eastAsia" w:ascii="宋体" w:hAnsi="宋体"/>
                <w:color w:val="auto"/>
                <w:szCs w:val="21"/>
                <w:highlight w:val="none"/>
              </w:rPr>
              <w:t>分钟；作业期间不做与作业无关的事；车辆停放遵守交通法规；垃圾运输实行密闭，不得超离运输和吊挂杂物；</w:t>
            </w:r>
          </w:p>
          <w:p>
            <w:pPr>
              <w:spacing w:line="240" w:lineRule="atLeast"/>
              <w:rPr>
                <w:rFonts w:ascii="Calibri" w:hAnsi="Calibri"/>
                <w:color w:val="auto"/>
                <w:szCs w:val="21"/>
                <w:highlight w:val="none"/>
              </w:rPr>
            </w:pPr>
            <w:r>
              <w:rPr>
                <w:rFonts w:hint="eastAsia" w:ascii="宋体" w:hAnsi="宋体"/>
                <w:color w:val="auto"/>
                <w:szCs w:val="21"/>
                <w:highlight w:val="none"/>
              </w:rPr>
              <w:t>严禁作业人员擅自向责任区内单位收取各种费用。</w:t>
            </w:r>
          </w:p>
        </w:tc>
        <w:tc>
          <w:tcPr>
            <w:tcW w:w="7290" w:type="dxa"/>
            <w:tcBorders>
              <w:top w:val="single" w:color="auto" w:sz="4" w:space="0"/>
              <w:left w:val="nil"/>
              <w:bottom w:val="single" w:color="auto" w:sz="4" w:space="0"/>
              <w:right w:val="single" w:color="auto" w:sz="4" w:space="0"/>
            </w:tcBorders>
            <w:noWrap/>
            <w:vAlign w:val="center"/>
          </w:tcPr>
          <w:p>
            <w:pPr>
              <w:numPr>
                <w:ilvl w:val="0"/>
                <w:numId w:val="8"/>
              </w:numPr>
              <w:spacing w:line="240" w:lineRule="atLeast"/>
              <w:rPr>
                <w:rFonts w:ascii="Calibri" w:hAnsi="Calibri"/>
                <w:color w:val="auto"/>
                <w:szCs w:val="21"/>
                <w:highlight w:val="none"/>
              </w:rPr>
            </w:pPr>
            <w:r>
              <w:rPr>
                <w:rFonts w:hint="eastAsia" w:ascii="Calibri" w:hAnsi="Calibri"/>
                <w:color w:val="auto"/>
                <w:szCs w:val="21"/>
                <w:highlight w:val="none"/>
              </w:rPr>
              <w:t>未穿反光安全服的发现一次扣0.5</w:t>
            </w:r>
            <w:r>
              <w:rPr>
                <w:rFonts w:hint="eastAsia" w:ascii="宋体" w:hAnsi="宋体"/>
                <w:color w:val="auto"/>
                <w:szCs w:val="21"/>
                <w:highlight w:val="none"/>
              </w:rPr>
              <w:t>分；</w:t>
            </w:r>
          </w:p>
          <w:p>
            <w:pPr>
              <w:numPr>
                <w:ilvl w:val="0"/>
                <w:numId w:val="8"/>
              </w:numPr>
              <w:spacing w:line="240" w:lineRule="atLeast"/>
              <w:rPr>
                <w:rFonts w:ascii="Calibri" w:hAnsi="Calibri"/>
                <w:color w:val="auto"/>
                <w:szCs w:val="21"/>
                <w:highlight w:val="none"/>
              </w:rPr>
            </w:pPr>
            <w:r>
              <w:rPr>
                <w:rFonts w:hint="eastAsia" w:ascii="Calibri" w:hAnsi="Calibri"/>
                <w:color w:val="auto"/>
                <w:szCs w:val="21"/>
                <w:highlight w:val="none"/>
              </w:rPr>
              <w:t>聚集闲聊或坐岗超过10</w:t>
            </w:r>
            <w:r>
              <w:rPr>
                <w:rFonts w:hint="eastAsia" w:ascii="宋体" w:hAnsi="宋体"/>
                <w:color w:val="auto"/>
                <w:szCs w:val="21"/>
                <w:highlight w:val="none"/>
              </w:rPr>
              <w:t>分钟的，或作业期间做与作业无关的事，发现一次扣</w:t>
            </w:r>
            <w:r>
              <w:rPr>
                <w:rFonts w:hint="eastAsia" w:ascii="Calibri" w:hAnsi="Calibri"/>
                <w:color w:val="auto"/>
                <w:szCs w:val="21"/>
                <w:highlight w:val="none"/>
              </w:rPr>
              <w:t>0.5</w:t>
            </w:r>
            <w:r>
              <w:rPr>
                <w:rFonts w:hint="eastAsia" w:ascii="宋体" w:hAnsi="宋体"/>
                <w:color w:val="auto"/>
                <w:szCs w:val="21"/>
                <w:highlight w:val="none"/>
              </w:rPr>
              <w:t>分；</w:t>
            </w:r>
          </w:p>
          <w:p>
            <w:pPr>
              <w:numPr>
                <w:ilvl w:val="0"/>
                <w:numId w:val="8"/>
              </w:numPr>
              <w:spacing w:line="240" w:lineRule="atLeast"/>
              <w:rPr>
                <w:rFonts w:ascii="Calibri" w:hAnsi="Calibri"/>
                <w:color w:val="auto"/>
                <w:szCs w:val="21"/>
                <w:highlight w:val="none"/>
              </w:rPr>
            </w:pPr>
            <w:r>
              <w:rPr>
                <w:rFonts w:hint="eastAsia" w:ascii="宋体" w:hAnsi="宋体"/>
                <w:color w:val="auto"/>
                <w:szCs w:val="21"/>
                <w:highlight w:val="none"/>
              </w:rPr>
              <w:t>车辆停放未遵守交通法规，发现一次扣0.25分；</w:t>
            </w:r>
          </w:p>
          <w:p>
            <w:pPr>
              <w:numPr>
                <w:ilvl w:val="0"/>
                <w:numId w:val="8"/>
              </w:numPr>
              <w:spacing w:line="240" w:lineRule="atLeast"/>
              <w:rPr>
                <w:rFonts w:ascii="Calibri" w:hAnsi="Calibri"/>
                <w:color w:val="auto"/>
                <w:szCs w:val="21"/>
                <w:highlight w:val="none"/>
              </w:rPr>
            </w:pPr>
            <w:r>
              <w:rPr>
                <w:rFonts w:hint="eastAsia" w:ascii="Calibri" w:hAnsi="Calibri"/>
                <w:color w:val="auto"/>
                <w:szCs w:val="21"/>
                <w:highlight w:val="none"/>
              </w:rPr>
              <w:t>动态保洁时间内发现不在岗一次扣0.5</w:t>
            </w:r>
            <w:r>
              <w:rPr>
                <w:rFonts w:hint="eastAsia" w:ascii="宋体" w:hAnsi="宋体"/>
                <w:color w:val="auto"/>
                <w:szCs w:val="21"/>
                <w:highlight w:val="none"/>
              </w:rPr>
              <w:t>分；</w:t>
            </w:r>
          </w:p>
          <w:p>
            <w:pPr>
              <w:numPr>
                <w:ilvl w:val="0"/>
                <w:numId w:val="8"/>
              </w:numPr>
              <w:spacing w:line="240" w:lineRule="atLeast"/>
              <w:rPr>
                <w:rFonts w:ascii="宋体" w:hAnsi="宋体"/>
                <w:color w:val="auto"/>
                <w:szCs w:val="21"/>
                <w:highlight w:val="none"/>
              </w:rPr>
            </w:pPr>
            <w:r>
              <w:rPr>
                <w:rFonts w:hint="eastAsia" w:ascii="Calibri" w:hAnsi="Calibri"/>
                <w:color w:val="auto"/>
                <w:szCs w:val="21"/>
                <w:highlight w:val="none"/>
              </w:rPr>
              <w:t>垃圾未实行密闭运输一次扣0.5</w:t>
            </w:r>
            <w:r>
              <w:rPr>
                <w:rFonts w:hint="eastAsia" w:ascii="宋体" w:hAnsi="宋体"/>
                <w:color w:val="auto"/>
                <w:szCs w:val="21"/>
                <w:highlight w:val="none"/>
              </w:rPr>
              <w:t>分；</w:t>
            </w:r>
          </w:p>
          <w:p>
            <w:pPr>
              <w:numPr>
                <w:ilvl w:val="0"/>
                <w:numId w:val="8"/>
              </w:numPr>
              <w:spacing w:line="240" w:lineRule="atLeast"/>
              <w:rPr>
                <w:rFonts w:ascii="宋体" w:hAnsi="宋体"/>
                <w:color w:val="auto"/>
                <w:szCs w:val="21"/>
                <w:highlight w:val="none"/>
              </w:rPr>
            </w:pPr>
            <w:r>
              <w:rPr>
                <w:rFonts w:hint="eastAsia" w:ascii="宋体" w:hAnsi="宋体" w:cs="宋体"/>
                <w:bCs/>
                <w:color w:val="auto"/>
                <w:szCs w:val="21"/>
                <w:highlight w:val="none"/>
              </w:rPr>
              <w:t>不得超高运输和吊挂杂物，发现一次扣0.25分；</w:t>
            </w:r>
          </w:p>
          <w:p>
            <w:pPr>
              <w:numPr>
                <w:ilvl w:val="0"/>
                <w:numId w:val="8"/>
              </w:numPr>
              <w:spacing w:line="240" w:lineRule="atLeast"/>
              <w:rPr>
                <w:rFonts w:ascii="Calibri" w:hAnsi="Calibri"/>
                <w:color w:val="auto"/>
                <w:szCs w:val="21"/>
                <w:highlight w:val="none"/>
              </w:rPr>
            </w:pPr>
            <w:r>
              <w:rPr>
                <w:rFonts w:hint="eastAsia" w:ascii="Calibri" w:hAnsi="Calibri"/>
                <w:color w:val="auto"/>
                <w:szCs w:val="21"/>
                <w:highlight w:val="none"/>
              </w:rPr>
              <w:t>发现作业人员擅自收费的一次扣1.5</w:t>
            </w:r>
            <w:r>
              <w:rPr>
                <w:rFonts w:hint="eastAsia" w:ascii="宋体" w:hAnsi="宋体"/>
                <w:color w:val="auto"/>
                <w:szCs w:val="21"/>
                <w:highlight w:val="none"/>
              </w:rPr>
              <w:t>分，并</w:t>
            </w:r>
            <w:r>
              <w:rPr>
                <w:rFonts w:hint="eastAsia" w:ascii="宋体" w:hAnsi="宋体" w:cs="宋体"/>
                <w:bCs/>
                <w:color w:val="auto"/>
                <w:szCs w:val="21"/>
                <w:highlight w:val="none"/>
              </w:rPr>
              <w:t>在每月结算金额中直接扣除5-10倍的擅自收费金额</w:t>
            </w:r>
            <w:r>
              <w:rPr>
                <w:rFonts w:hint="eastAsia" w:ascii="宋体" w:hAnsi="宋体"/>
                <w:color w:val="auto"/>
                <w:szCs w:val="21"/>
                <w:highlight w:val="none"/>
              </w:rPr>
              <w:t>；</w:t>
            </w:r>
          </w:p>
          <w:p>
            <w:pPr>
              <w:numPr>
                <w:ilvl w:val="0"/>
                <w:numId w:val="8"/>
              </w:numPr>
              <w:spacing w:line="240" w:lineRule="atLeast"/>
              <w:rPr>
                <w:color w:val="auto"/>
                <w:highlight w:val="none"/>
              </w:rPr>
            </w:pPr>
            <w:r>
              <w:rPr>
                <w:rFonts w:hint="eastAsia" w:ascii="Calibri" w:hAnsi="Calibri"/>
                <w:color w:val="auto"/>
                <w:szCs w:val="21"/>
                <w:highlight w:val="none"/>
              </w:rPr>
              <w:t>未安装或未开启GPS设备上路工作的，一次扣0.5分；</w:t>
            </w:r>
          </w:p>
          <w:p>
            <w:pPr>
              <w:numPr>
                <w:ilvl w:val="0"/>
                <w:numId w:val="8"/>
              </w:numPr>
              <w:spacing w:line="240" w:lineRule="atLeast"/>
              <w:rPr>
                <w:rFonts w:ascii="Calibri" w:hAnsi="Calibri"/>
                <w:color w:val="auto"/>
                <w:szCs w:val="21"/>
                <w:highlight w:val="none"/>
              </w:rPr>
            </w:pPr>
            <w:r>
              <w:rPr>
                <w:rFonts w:hint="eastAsia" w:ascii="Calibri" w:hAnsi="Calibri"/>
                <w:color w:val="auto"/>
                <w:szCs w:val="21"/>
                <w:highlight w:val="none"/>
              </w:rPr>
              <w:t>河道保洁船只设备良好，并配备救身设备，做到规范文明作业，不符合一次扣0.5分。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064" w:type="dxa"/>
            <w:vMerge w:val="continue"/>
            <w:tcBorders>
              <w:left w:val="single" w:color="auto" w:sz="4" w:space="0"/>
              <w:right w:val="single" w:color="auto" w:sz="4" w:space="0"/>
            </w:tcBorders>
            <w:noWrap/>
            <w:vAlign w:val="center"/>
          </w:tcPr>
          <w:p>
            <w:pPr>
              <w:widowControl/>
              <w:jc w:val="left"/>
              <w:rPr>
                <w:rFonts w:ascii="Calibri" w:hAnsi="Calibri"/>
                <w:color w:val="auto"/>
                <w:szCs w:val="21"/>
                <w:highlight w:val="none"/>
              </w:rPr>
            </w:pPr>
          </w:p>
        </w:tc>
        <w:tc>
          <w:tcPr>
            <w:tcW w:w="4463"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cs="宋体"/>
                <w:color w:val="auto"/>
                <w:szCs w:val="21"/>
                <w:highlight w:val="none"/>
              </w:rPr>
            </w:pPr>
            <w:r>
              <w:rPr>
                <w:rFonts w:hint="eastAsia" w:ascii="宋体" w:hAnsi="宋体" w:cs="宋体"/>
                <w:color w:val="auto"/>
                <w:szCs w:val="21"/>
                <w:highlight w:val="none"/>
              </w:rPr>
              <w:t>清扫保洁时间内（含人工清扫、机械清扫与道路冲洗）垃圾不得扫入窨井、花坛、绿化带；</w:t>
            </w:r>
          </w:p>
          <w:p>
            <w:pPr>
              <w:spacing w:line="240" w:lineRule="atLeast"/>
              <w:rPr>
                <w:rFonts w:ascii="宋体" w:hAnsi="宋体" w:cs="宋体"/>
                <w:color w:val="auto"/>
                <w:szCs w:val="21"/>
                <w:highlight w:val="none"/>
              </w:rPr>
            </w:pPr>
            <w:r>
              <w:rPr>
                <w:rFonts w:hint="eastAsia" w:ascii="宋体" w:hAnsi="宋体" w:cs="宋体"/>
                <w:color w:val="auto"/>
                <w:szCs w:val="21"/>
                <w:highlight w:val="none"/>
              </w:rPr>
              <w:t>清扫作业中不得漏扫、甩扫；</w:t>
            </w:r>
          </w:p>
          <w:p>
            <w:pPr>
              <w:spacing w:line="240" w:lineRule="atLeast"/>
              <w:rPr>
                <w:rFonts w:ascii="宋体" w:hAnsi="宋体" w:cs="宋体"/>
                <w:color w:val="auto"/>
                <w:szCs w:val="21"/>
                <w:highlight w:val="none"/>
              </w:rPr>
            </w:pPr>
            <w:r>
              <w:rPr>
                <w:rFonts w:hint="eastAsia" w:ascii="宋体" w:hAnsi="宋体" w:cs="宋体"/>
                <w:color w:val="auto"/>
                <w:szCs w:val="21"/>
                <w:highlight w:val="none"/>
              </w:rPr>
              <w:t>交接班不得出现空挡，责任区交界处清扫保洁各过界5米；垃圾在指定地点倾倒，不得焚烧垃圾。</w:t>
            </w:r>
          </w:p>
        </w:tc>
        <w:tc>
          <w:tcPr>
            <w:tcW w:w="7290" w:type="dxa"/>
            <w:tcBorders>
              <w:top w:val="single" w:color="auto" w:sz="4" w:space="0"/>
              <w:left w:val="nil"/>
              <w:bottom w:val="single" w:color="auto" w:sz="4" w:space="0"/>
              <w:right w:val="single" w:color="auto" w:sz="4" w:space="0"/>
            </w:tcBorders>
            <w:noWrap/>
            <w:vAlign w:val="center"/>
          </w:tcPr>
          <w:p>
            <w:pPr>
              <w:numPr>
                <w:ilvl w:val="0"/>
                <w:numId w:val="9"/>
              </w:numPr>
              <w:spacing w:line="240" w:lineRule="atLeast"/>
              <w:rPr>
                <w:rFonts w:ascii="宋体" w:hAnsi="宋体" w:cs="宋体"/>
                <w:color w:val="auto"/>
                <w:szCs w:val="21"/>
                <w:highlight w:val="none"/>
              </w:rPr>
            </w:pPr>
            <w:r>
              <w:rPr>
                <w:rFonts w:hint="eastAsia" w:ascii="宋体" w:hAnsi="宋体" w:cs="宋体"/>
                <w:color w:val="auto"/>
                <w:szCs w:val="21"/>
                <w:highlight w:val="none"/>
              </w:rPr>
              <w:t>机械化清扫、洒水车等工作时如未开启双闪灯、警示音、控制车速、避让行人等行为，发现一次扣1分；</w:t>
            </w:r>
          </w:p>
          <w:p>
            <w:pPr>
              <w:numPr>
                <w:ilvl w:val="0"/>
                <w:numId w:val="9"/>
              </w:numPr>
              <w:spacing w:line="240" w:lineRule="atLeast"/>
              <w:rPr>
                <w:rFonts w:ascii="宋体" w:hAnsi="宋体" w:cs="宋体"/>
                <w:color w:val="auto"/>
                <w:szCs w:val="21"/>
                <w:highlight w:val="none"/>
              </w:rPr>
            </w:pPr>
            <w:r>
              <w:rPr>
                <w:rFonts w:hint="eastAsia" w:ascii="宋体" w:hAnsi="宋体" w:cs="宋体"/>
                <w:color w:val="auto"/>
                <w:szCs w:val="21"/>
                <w:highlight w:val="none"/>
              </w:rPr>
              <w:t>机械化清扫、洒水车等工作时违反道路交通安全法规的，发现一次扣1分。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64" w:type="dxa"/>
            <w:tcBorders>
              <w:top w:val="single" w:color="auto" w:sz="4" w:space="0"/>
              <w:left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公园、绿地公共广场保洁</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（9</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jc w:val="left"/>
              <w:rPr>
                <w:color w:val="auto"/>
                <w:highlight w:val="none"/>
              </w:rPr>
            </w:pPr>
            <w:r>
              <w:rPr>
                <w:rFonts w:hint="eastAsia"/>
                <w:color w:val="auto"/>
                <w:highlight w:val="none"/>
              </w:rPr>
              <w:t>清理绿化中的垃圾（含养护公司清理出的垃圾）、抛洒物、零星废弃物，卫生死角、积存垃圾杂物，确保绿化区域干净整洁；</w:t>
            </w:r>
          </w:p>
          <w:p>
            <w:pPr>
              <w:spacing w:line="240" w:lineRule="atLeast"/>
              <w:jc w:val="left"/>
              <w:rPr>
                <w:color w:val="auto"/>
                <w:highlight w:val="none"/>
              </w:rPr>
            </w:pPr>
            <w:r>
              <w:rPr>
                <w:rFonts w:hint="eastAsia"/>
                <w:color w:val="auto"/>
                <w:highlight w:val="none"/>
              </w:rPr>
              <w:t>人工附属设施设备（各类灯、音响、指示牌、宣传栏、休闲椅、桥面、栏杆、扶手、凉亭、走廊、花架、园林小品等）、体育健身区域器材设施表面无积尘，干净整洁；</w:t>
            </w:r>
          </w:p>
          <w:p>
            <w:pPr>
              <w:spacing w:line="240" w:lineRule="atLeast"/>
              <w:jc w:val="left"/>
              <w:rPr>
                <w:color w:val="auto"/>
                <w:highlight w:val="none"/>
              </w:rPr>
            </w:pPr>
            <w:r>
              <w:rPr>
                <w:rFonts w:hint="eastAsia"/>
                <w:color w:val="auto"/>
                <w:highlight w:val="none"/>
              </w:rPr>
              <w:t>大型树木季节性砍杈养护，造成的树杈、落枝、落叶由中标供应商负责在12小时内清运完毕；</w:t>
            </w:r>
          </w:p>
          <w:p>
            <w:pPr>
              <w:spacing w:line="240" w:lineRule="atLeast"/>
              <w:rPr>
                <w:color w:val="auto"/>
                <w:highlight w:val="none"/>
              </w:rPr>
            </w:pPr>
            <w:r>
              <w:rPr>
                <w:rFonts w:hint="eastAsia"/>
                <w:color w:val="auto"/>
                <w:highlight w:val="none"/>
              </w:rPr>
              <w:t>各类设施、建筑及构筑物立面（2米以下部分）每天清洗不少于1次。下雨天要及时清扫路面及广场积水；</w:t>
            </w:r>
          </w:p>
          <w:p>
            <w:pPr>
              <w:spacing w:line="240" w:lineRule="atLeast"/>
              <w:rPr>
                <w:color w:val="auto"/>
                <w:highlight w:val="none"/>
              </w:rPr>
            </w:pPr>
            <w:r>
              <w:rPr>
                <w:rFonts w:hint="eastAsia"/>
                <w:color w:val="auto"/>
                <w:highlight w:val="none"/>
              </w:rPr>
              <w:t>路面上的口香糖等粘性物体应及时用铲刀清理干净；</w:t>
            </w:r>
          </w:p>
          <w:p>
            <w:pPr>
              <w:spacing w:line="240" w:lineRule="atLeast"/>
              <w:rPr>
                <w:color w:val="auto"/>
                <w:highlight w:val="none"/>
              </w:rPr>
            </w:pPr>
            <w:r>
              <w:rPr>
                <w:rFonts w:hint="eastAsia"/>
                <w:color w:val="auto"/>
                <w:highlight w:val="none"/>
              </w:rPr>
              <w:t>垃圾桶、果皮箱垃圾袋里的垃圾不得超过三分之二，每天至少清理1次并将垃圾集中收集至指定的垃圾中转站；</w:t>
            </w:r>
          </w:p>
          <w:p>
            <w:pPr>
              <w:rPr>
                <w:color w:val="auto"/>
                <w:highlight w:val="none"/>
              </w:rPr>
            </w:pPr>
          </w:p>
        </w:tc>
        <w:tc>
          <w:tcPr>
            <w:tcW w:w="7290" w:type="dxa"/>
            <w:tcBorders>
              <w:top w:val="single" w:color="auto" w:sz="4" w:space="0"/>
              <w:left w:val="nil"/>
              <w:bottom w:val="single" w:color="auto" w:sz="4" w:space="0"/>
              <w:right w:val="single" w:color="auto" w:sz="4" w:space="0"/>
            </w:tcBorders>
            <w:noWrap/>
            <w:vAlign w:val="center"/>
          </w:tcPr>
          <w:p>
            <w:pPr>
              <w:numPr>
                <w:ilvl w:val="0"/>
                <w:numId w:val="10"/>
              </w:numPr>
              <w:spacing w:line="240" w:lineRule="atLeast"/>
              <w:rPr>
                <w:rFonts w:ascii="宋体" w:hAnsi="宋体" w:cs="宋体"/>
                <w:color w:val="auto"/>
                <w:szCs w:val="21"/>
                <w:highlight w:val="none"/>
              </w:rPr>
            </w:pPr>
            <w:r>
              <w:rPr>
                <w:rFonts w:hint="eastAsia" w:ascii="宋体" w:hAnsi="宋体" w:cs="宋体"/>
                <w:color w:val="auto"/>
                <w:szCs w:val="21"/>
                <w:highlight w:val="none"/>
              </w:rPr>
              <w:t>环卫设施无破损，垃圾桶、果壳箱破损、丢失未及时修复，更换的（12小时内），每次扣0.03分；</w:t>
            </w:r>
          </w:p>
          <w:p>
            <w:pPr>
              <w:numPr>
                <w:ilvl w:val="0"/>
                <w:numId w:val="10"/>
              </w:numPr>
              <w:spacing w:line="240" w:lineRule="atLeast"/>
              <w:rPr>
                <w:rFonts w:ascii="宋体" w:hAnsi="宋体" w:cs="宋体"/>
                <w:color w:val="auto"/>
                <w:szCs w:val="21"/>
                <w:highlight w:val="none"/>
              </w:rPr>
            </w:pPr>
            <w:r>
              <w:rPr>
                <w:rFonts w:hint="eastAsia" w:ascii="宋体" w:hAnsi="宋体" w:cs="宋体"/>
                <w:color w:val="auto"/>
                <w:szCs w:val="21"/>
                <w:highlight w:val="none"/>
              </w:rPr>
              <w:t>定期清洗保持外观清洁；垃圾容器封闭无四害滋生，周围无垃圾散落，垃圾做到日产日清。垃圾桶、果壳箱、垃圾坞溢满，周围不清洁，每处扣0.05分；</w:t>
            </w:r>
          </w:p>
          <w:p>
            <w:pPr>
              <w:numPr>
                <w:ilvl w:val="0"/>
                <w:numId w:val="10"/>
              </w:numPr>
              <w:spacing w:line="240" w:lineRule="atLeast"/>
              <w:rPr>
                <w:rFonts w:ascii="宋体" w:hAnsi="宋体" w:cs="宋体"/>
                <w:color w:val="auto"/>
                <w:szCs w:val="21"/>
                <w:highlight w:val="none"/>
              </w:rPr>
            </w:pPr>
            <w:r>
              <w:rPr>
                <w:rFonts w:hint="eastAsia" w:ascii="宋体" w:hAnsi="宋体" w:cs="宋体"/>
                <w:color w:val="auto"/>
                <w:szCs w:val="21"/>
                <w:highlight w:val="none"/>
              </w:rPr>
              <w:t>设施内部或周边四害滋生的发现一次扣0.05分；</w:t>
            </w:r>
          </w:p>
          <w:p>
            <w:pPr>
              <w:numPr>
                <w:ilvl w:val="0"/>
                <w:numId w:val="10"/>
              </w:numPr>
              <w:spacing w:line="240" w:lineRule="atLeast"/>
              <w:rPr>
                <w:rFonts w:ascii="宋体" w:hAnsi="宋体" w:cs="宋体"/>
                <w:color w:val="auto"/>
                <w:szCs w:val="21"/>
                <w:highlight w:val="none"/>
              </w:rPr>
            </w:pPr>
            <w:r>
              <w:rPr>
                <w:rFonts w:hint="eastAsia" w:ascii="宋体" w:hAnsi="宋体" w:cs="宋体"/>
                <w:color w:val="auto"/>
                <w:szCs w:val="21"/>
                <w:highlight w:val="none"/>
              </w:rPr>
              <w:t>发现环卫工人在果壳箱、垃圾桶内翻捡废品，每处扣0.05分；</w:t>
            </w:r>
          </w:p>
          <w:p>
            <w:pPr>
              <w:numPr>
                <w:ilvl w:val="0"/>
                <w:numId w:val="10"/>
              </w:numPr>
              <w:spacing w:line="240" w:lineRule="atLeast"/>
              <w:rPr>
                <w:rFonts w:ascii="宋体" w:hAnsi="宋体" w:cs="宋体"/>
                <w:color w:val="auto"/>
                <w:szCs w:val="21"/>
                <w:highlight w:val="none"/>
              </w:rPr>
            </w:pPr>
            <w:r>
              <w:rPr>
                <w:rFonts w:hint="eastAsia" w:ascii="宋体" w:hAnsi="宋体" w:cs="宋体"/>
                <w:color w:val="auto"/>
                <w:szCs w:val="21"/>
                <w:highlight w:val="none"/>
              </w:rPr>
              <w:t>垃圾桶、果壳箱、垃圾坞等垃圾分类的标识清晰完整，垃圾分类标识破损或掉落未及时修复更换的，每次扣0.1分。</w:t>
            </w:r>
          </w:p>
          <w:p>
            <w:pPr>
              <w:numPr>
                <w:ilvl w:val="0"/>
                <w:numId w:val="10"/>
              </w:numPr>
              <w:spacing w:line="240" w:lineRule="atLeast"/>
              <w:rPr>
                <w:rFonts w:ascii="Calibri" w:hAnsi="Calibri"/>
                <w:color w:val="auto"/>
                <w:szCs w:val="21"/>
                <w:highlight w:val="none"/>
              </w:rPr>
            </w:pPr>
            <w:r>
              <w:rPr>
                <w:rFonts w:hint="eastAsia" w:ascii="宋体" w:hAnsi="宋体" w:cs="宋体"/>
                <w:color w:val="auto"/>
                <w:szCs w:val="21"/>
                <w:highlight w:val="none"/>
              </w:rPr>
              <w:t>垃圾桶、果壳箱未及时清洗加盖、关门发现一次扣0.05分；不得将已分类的垃圾混合收运，每次扣0.05分；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无物业管理小区</w:t>
            </w:r>
          </w:p>
          <w:p>
            <w:pPr>
              <w:spacing w:line="240" w:lineRule="atLeast"/>
              <w:rPr>
                <w:rFonts w:ascii="Calibri" w:hAnsi="Calibri"/>
                <w:color w:val="auto"/>
                <w:szCs w:val="21"/>
                <w:highlight w:val="none"/>
              </w:rPr>
            </w:pPr>
            <w:r>
              <w:rPr>
                <w:rFonts w:hint="eastAsia" w:ascii="Calibri" w:hAnsi="Calibri"/>
                <w:color w:val="auto"/>
                <w:szCs w:val="21"/>
                <w:highlight w:val="none"/>
              </w:rPr>
              <w:t>（6分</w:t>
            </w:r>
            <w:r>
              <w:rPr>
                <w:rFonts w:hint="eastAsia" w:ascii="宋体" w:hAnsi="宋体"/>
                <w:color w:val="auto"/>
                <w:szCs w:val="21"/>
                <w:highlight w:val="none"/>
              </w:rPr>
              <w:t>）</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动态保洁时间内，承包责任区域内无垃圾废弃物（包括烟头、纸屑、瓜果皮核、包装壳、塑料袋、砖瓦、石子等各类明显废弃物）；无散、袋装垃圾滞留路面；</w:t>
            </w:r>
          </w:p>
          <w:p>
            <w:pPr>
              <w:spacing w:line="240" w:lineRule="atLeast"/>
              <w:rPr>
                <w:rFonts w:ascii="Calibri" w:hAnsi="Calibri"/>
                <w:color w:val="auto"/>
                <w:szCs w:val="21"/>
                <w:highlight w:val="none"/>
              </w:rPr>
            </w:pPr>
            <w:r>
              <w:rPr>
                <w:rFonts w:hint="eastAsia" w:ascii="Calibri" w:hAnsi="Calibri"/>
                <w:color w:val="auto"/>
                <w:szCs w:val="21"/>
                <w:highlight w:val="none"/>
              </w:rPr>
              <w:t>人行道、步阶、墙根、树穴无明显杂草、杂物；晴天路面无积水，无蚊蝇孳生；路两旁无淤泥，路面基本见本色，绿地内无垃圾。</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1.</w:t>
            </w:r>
            <w:r>
              <w:rPr>
                <w:rFonts w:hint="eastAsia" w:ascii="宋体" w:hAnsi="宋体"/>
                <w:color w:val="auto"/>
                <w:szCs w:val="21"/>
                <w:highlight w:val="none"/>
              </w:rPr>
              <w:t>发</w:t>
            </w:r>
            <w:r>
              <w:rPr>
                <w:rFonts w:hint="eastAsia" w:ascii="Calibri" w:hAnsi="Calibri"/>
                <w:color w:val="auto"/>
                <w:szCs w:val="21"/>
                <w:highlight w:val="none"/>
              </w:rPr>
              <w:t>现零星垃圾散落的每处扣0.5</w:t>
            </w:r>
            <w:r>
              <w:rPr>
                <w:rFonts w:hint="eastAsia" w:ascii="宋体" w:hAnsi="宋体"/>
                <w:color w:val="auto"/>
                <w:szCs w:val="21"/>
                <w:highlight w:val="none"/>
              </w:rPr>
              <w:t>分、发现垃圾堆积或散落面积在</w:t>
            </w:r>
            <w:r>
              <w:rPr>
                <w:rFonts w:hint="eastAsia" w:ascii="Calibri" w:hAnsi="Calibri"/>
                <w:color w:val="auto"/>
                <w:szCs w:val="21"/>
                <w:highlight w:val="none"/>
              </w:rPr>
              <w:t>0.2</w:t>
            </w:r>
            <w:r>
              <w:rPr>
                <w:rFonts w:hint="eastAsia" w:ascii="宋体" w:hAnsi="宋体"/>
                <w:color w:val="auto"/>
                <w:szCs w:val="21"/>
                <w:highlight w:val="none"/>
              </w:rPr>
              <w:t>㎡以下的每处扣</w:t>
            </w:r>
            <w:r>
              <w:rPr>
                <w:rFonts w:hint="eastAsia" w:ascii="Calibri" w:hAnsi="Calibri"/>
                <w:color w:val="auto"/>
                <w:szCs w:val="21"/>
                <w:highlight w:val="none"/>
              </w:rPr>
              <w:t>1</w:t>
            </w:r>
            <w:r>
              <w:rPr>
                <w:rFonts w:hint="eastAsia" w:ascii="宋体" w:hAnsi="宋体"/>
                <w:color w:val="auto"/>
                <w:szCs w:val="21"/>
                <w:highlight w:val="none"/>
              </w:rPr>
              <w:t>分，在</w:t>
            </w:r>
            <w:r>
              <w:rPr>
                <w:rFonts w:hint="eastAsia" w:ascii="Calibri" w:hAnsi="Calibri"/>
                <w:color w:val="auto"/>
                <w:szCs w:val="21"/>
                <w:highlight w:val="none"/>
              </w:rPr>
              <w:t>0.2</w:t>
            </w:r>
            <w:r>
              <w:rPr>
                <w:rFonts w:hint="eastAsia" w:ascii="宋体" w:hAnsi="宋体"/>
                <w:color w:val="auto"/>
                <w:szCs w:val="21"/>
                <w:highlight w:val="none"/>
              </w:rPr>
              <w:t>㎡</w:t>
            </w:r>
            <w:r>
              <w:rPr>
                <w:rFonts w:hint="eastAsia" w:ascii="Calibri" w:hAnsi="Calibri"/>
                <w:color w:val="auto"/>
                <w:szCs w:val="21"/>
                <w:highlight w:val="none"/>
              </w:rPr>
              <w:t>-1</w:t>
            </w:r>
            <w:r>
              <w:rPr>
                <w:rFonts w:hint="eastAsia" w:ascii="宋体" w:hAnsi="宋体"/>
                <w:color w:val="auto"/>
                <w:szCs w:val="21"/>
                <w:highlight w:val="none"/>
              </w:rPr>
              <w:t>㎡</w:t>
            </w:r>
            <w:r>
              <w:rPr>
                <w:rFonts w:hint="eastAsia" w:ascii="Calibri" w:hAnsi="Calibri"/>
                <w:color w:val="auto"/>
                <w:szCs w:val="21"/>
                <w:highlight w:val="none"/>
              </w:rPr>
              <w:t>以内的每处扣1.5</w:t>
            </w:r>
            <w:r>
              <w:rPr>
                <w:rFonts w:hint="eastAsia" w:ascii="宋体" w:hAnsi="宋体"/>
                <w:color w:val="auto"/>
                <w:szCs w:val="21"/>
                <w:highlight w:val="none"/>
              </w:rPr>
              <w:t>分，</w:t>
            </w:r>
            <w:r>
              <w:rPr>
                <w:rFonts w:hint="eastAsia" w:ascii="Calibri" w:hAnsi="Calibri"/>
                <w:color w:val="auto"/>
                <w:szCs w:val="21"/>
                <w:highlight w:val="none"/>
              </w:rPr>
              <w:t>1</w:t>
            </w:r>
            <w:r>
              <w:rPr>
                <w:rFonts w:hint="eastAsia" w:ascii="宋体" w:hAnsi="宋体"/>
                <w:color w:val="auto"/>
                <w:szCs w:val="21"/>
                <w:highlight w:val="none"/>
              </w:rPr>
              <w:t>㎡以上的每处扣</w:t>
            </w:r>
            <w:r>
              <w:rPr>
                <w:rFonts w:hint="eastAsia" w:ascii="Calibri" w:hAnsi="Calibri"/>
                <w:color w:val="auto"/>
                <w:szCs w:val="21"/>
                <w:highlight w:val="none"/>
              </w:rPr>
              <w:t>2</w:t>
            </w:r>
            <w:r>
              <w:rPr>
                <w:rFonts w:hint="eastAsia" w:ascii="宋体" w:hAnsi="宋体"/>
                <w:color w:val="auto"/>
                <w:szCs w:val="21"/>
                <w:highlight w:val="none"/>
              </w:rPr>
              <w:t>分，垃圾堆积特别严重的每处扣</w:t>
            </w:r>
            <w:r>
              <w:rPr>
                <w:rFonts w:hint="eastAsia" w:ascii="Calibri" w:hAnsi="Calibri"/>
                <w:color w:val="auto"/>
                <w:szCs w:val="21"/>
                <w:highlight w:val="none"/>
              </w:rPr>
              <w:t>3</w:t>
            </w:r>
            <w:r>
              <w:rPr>
                <w:rFonts w:hint="eastAsia" w:ascii="宋体" w:hAnsi="宋体"/>
                <w:color w:val="auto"/>
                <w:szCs w:val="21"/>
                <w:highlight w:val="none"/>
              </w:rPr>
              <w:t>分</w:t>
            </w:r>
            <w:r>
              <w:rPr>
                <w:rFonts w:hint="eastAsia" w:ascii="Calibri" w:hAnsi="Calibri"/>
                <w:color w:val="auto"/>
                <w:szCs w:val="21"/>
                <w:highlight w:val="none"/>
              </w:rPr>
              <w:t>；</w:t>
            </w:r>
          </w:p>
          <w:p>
            <w:pPr>
              <w:spacing w:line="240" w:lineRule="atLeast"/>
              <w:rPr>
                <w:rFonts w:ascii="Calibri" w:hAnsi="Calibri"/>
                <w:color w:val="auto"/>
                <w:szCs w:val="21"/>
                <w:highlight w:val="none"/>
              </w:rPr>
            </w:pPr>
            <w:r>
              <w:rPr>
                <w:rFonts w:hint="eastAsia" w:ascii="Calibri" w:hAnsi="Calibri"/>
                <w:color w:val="auto"/>
                <w:szCs w:val="21"/>
                <w:highlight w:val="none"/>
              </w:rPr>
              <w:t>2.</w:t>
            </w:r>
            <w:r>
              <w:rPr>
                <w:rFonts w:hint="eastAsia" w:ascii="宋体" w:hAnsi="宋体"/>
                <w:color w:val="auto"/>
                <w:szCs w:val="21"/>
                <w:highlight w:val="none"/>
              </w:rPr>
              <w:t>发现乱贴乱画、非法小广告面积在</w:t>
            </w:r>
            <w:r>
              <w:rPr>
                <w:rFonts w:hint="eastAsia" w:ascii="Calibri" w:hAnsi="Calibri"/>
                <w:color w:val="auto"/>
                <w:szCs w:val="21"/>
                <w:highlight w:val="none"/>
              </w:rPr>
              <w:t>1</w:t>
            </w:r>
            <w:r>
              <w:rPr>
                <w:rFonts w:hint="eastAsia" w:ascii="宋体" w:hAnsi="宋体"/>
                <w:color w:val="auto"/>
                <w:szCs w:val="21"/>
                <w:highlight w:val="none"/>
              </w:rPr>
              <w:t>㎡以下的每处扣</w:t>
            </w:r>
            <w:r>
              <w:rPr>
                <w:rFonts w:hint="eastAsia" w:ascii="Calibri" w:hAnsi="Calibri"/>
                <w:color w:val="auto"/>
                <w:szCs w:val="21"/>
                <w:highlight w:val="none"/>
              </w:rPr>
              <w:t>0.5</w:t>
            </w:r>
            <w:r>
              <w:rPr>
                <w:rFonts w:hint="eastAsia" w:ascii="宋体" w:hAnsi="宋体"/>
                <w:color w:val="auto"/>
                <w:szCs w:val="21"/>
                <w:highlight w:val="none"/>
              </w:rPr>
              <w:t>分，</w:t>
            </w:r>
            <w:r>
              <w:rPr>
                <w:rFonts w:hint="eastAsia" w:ascii="Calibri" w:hAnsi="Calibri"/>
                <w:color w:val="auto"/>
                <w:szCs w:val="21"/>
                <w:highlight w:val="none"/>
              </w:rPr>
              <w:t>1</w:t>
            </w:r>
            <w:r>
              <w:rPr>
                <w:rFonts w:hint="eastAsia" w:ascii="宋体" w:hAnsi="宋体"/>
                <w:color w:val="auto"/>
                <w:szCs w:val="21"/>
                <w:highlight w:val="none"/>
              </w:rPr>
              <w:t>㎡以上的每处扣</w:t>
            </w:r>
            <w:r>
              <w:rPr>
                <w:rFonts w:hint="eastAsia" w:ascii="Calibri" w:hAnsi="Calibri"/>
                <w:color w:val="auto"/>
                <w:szCs w:val="21"/>
                <w:highlight w:val="none"/>
              </w:rPr>
              <w:t>1</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3.</w:t>
            </w:r>
            <w:r>
              <w:rPr>
                <w:rFonts w:hint="eastAsia" w:ascii="宋体" w:hAnsi="宋体"/>
                <w:color w:val="auto"/>
                <w:szCs w:val="21"/>
                <w:highlight w:val="none"/>
              </w:rPr>
              <w:t>发现杂物乱堆放，每处扣</w:t>
            </w:r>
            <w:r>
              <w:rPr>
                <w:rFonts w:hint="eastAsia" w:ascii="Calibri" w:hAnsi="Calibri"/>
                <w:color w:val="auto"/>
                <w:szCs w:val="21"/>
                <w:highlight w:val="none"/>
              </w:rPr>
              <w:t>1</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4.</w:t>
            </w:r>
            <w:r>
              <w:rPr>
                <w:rFonts w:hint="eastAsia" w:ascii="宋体" w:hAnsi="宋体"/>
                <w:color w:val="auto"/>
                <w:szCs w:val="21"/>
                <w:highlight w:val="none"/>
              </w:rPr>
              <w:t>垃圾箱、果壳箱满溢，未及时清运，每处扣</w:t>
            </w:r>
            <w:r>
              <w:rPr>
                <w:rFonts w:hint="eastAsia" w:ascii="Calibri" w:hAnsi="Calibri"/>
                <w:color w:val="auto"/>
                <w:szCs w:val="21"/>
                <w:highlight w:val="none"/>
              </w:rPr>
              <w:t>0.2</w:t>
            </w:r>
            <w:r>
              <w:rPr>
                <w:rFonts w:hint="eastAsia" w:ascii="宋体" w:hAnsi="宋体"/>
                <w:color w:val="auto"/>
                <w:szCs w:val="21"/>
                <w:highlight w:val="none"/>
              </w:rPr>
              <w:t xml:space="preserve">分； </w:t>
            </w:r>
          </w:p>
          <w:p>
            <w:pPr>
              <w:spacing w:line="240" w:lineRule="atLeast"/>
              <w:rPr>
                <w:rFonts w:ascii="Calibri" w:hAnsi="Calibri"/>
                <w:color w:val="auto"/>
                <w:szCs w:val="21"/>
                <w:highlight w:val="none"/>
              </w:rPr>
            </w:pPr>
            <w:r>
              <w:rPr>
                <w:rFonts w:hint="eastAsia" w:ascii="Calibri" w:hAnsi="Calibri"/>
                <w:color w:val="auto"/>
                <w:szCs w:val="21"/>
                <w:highlight w:val="none"/>
              </w:rPr>
              <w:t>5.</w:t>
            </w:r>
            <w:r>
              <w:rPr>
                <w:rFonts w:hint="eastAsia" w:ascii="宋体" w:hAnsi="宋体"/>
                <w:color w:val="auto"/>
                <w:szCs w:val="21"/>
                <w:highlight w:val="none"/>
              </w:rPr>
              <w:t>垃圾箱、果壳箱破损，未及时更换，每处扣</w:t>
            </w:r>
            <w:r>
              <w:rPr>
                <w:rFonts w:hint="eastAsia" w:ascii="Calibri" w:hAnsi="Calibri"/>
                <w:color w:val="auto"/>
                <w:szCs w:val="21"/>
                <w:highlight w:val="none"/>
              </w:rPr>
              <w:t>0.2</w:t>
            </w:r>
            <w:r>
              <w:rPr>
                <w:rFonts w:hint="eastAsia" w:ascii="宋体" w:hAnsi="宋体"/>
                <w:color w:val="auto"/>
                <w:szCs w:val="21"/>
                <w:highlight w:val="none"/>
              </w:rPr>
              <w:t>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农贸市场周边</w:t>
            </w:r>
          </w:p>
          <w:p>
            <w:pPr>
              <w:spacing w:line="240" w:lineRule="atLeast"/>
              <w:rPr>
                <w:rFonts w:ascii="Calibri" w:hAnsi="Calibri"/>
                <w:color w:val="auto"/>
                <w:szCs w:val="21"/>
                <w:highlight w:val="none"/>
              </w:rPr>
            </w:pPr>
            <w:r>
              <w:rPr>
                <w:rFonts w:hint="eastAsia" w:ascii="Calibri" w:hAnsi="Calibri"/>
                <w:color w:val="auto"/>
                <w:szCs w:val="21"/>
                <w:highlight w:val="none"/>
              </w:rPr>
              <w:t>（7分</w:t>
            </w:r>
            <w:r>
              <w:rPr>
                <w:rFonts w:hint="eastAsia" w:ascii="宋体" w:hAnsi="宋体"/>
                <w:color w:val="auto"/>
                <w:szCs w:val="21"/>
                <w:highlight w:val="none"/>
              </w:rPr>
              <w:t>）</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环境整洁，环卫设施齐全，无积水，无“小广告”张贴涂鸦，无乱堆乱放，垃圾清扫（运）及时，无残留垃圾和杂物，垃圾箱、桶保持清洁，不漏水，周边环境卫生清洁，基本达到“干净、整洁”。</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1.</w:t>
            </w:r>
            <w:r>
              <w:rPr>
                <w:rFonts w:hint="eastAsia" w:ascii="宋体" w:hAnsi="宋体"/>
                <w:color w:val="auto"/>
                <w:szCs w:val="21"/>
                <w:highlight w:val="none"/>
              </w:rPr>
              <w:t>发</w:t>
            </w:r>
            <w:r>
              <w:rPr>
                <w:rFonts w:hint="eastAsia" w:ascii="Calibri" w:hAnsi="Calibri"/>
                <w:color w:val="auto"/>
                <w:szCs w:val="21"/>
                <w:highlight w:val="none"/>
              </w:rPr>
              <w:t>现零星垃圾散落的每处扣0.5</w:t>
            </w:r>
            <w:r>
              <w:rPr>
                <w:rFonts w:hint="eastAsia" w:ascii="宋体" w:hAnsi="宋体"/>
                <w:color w:val="auto"/>
                <w:szCs w:val="21"/>
                <w:highlight w:val="none"/>
              </w:rPr>
              <w:t>分、发现垃圾堆积或散落面积在</w:t>
            </w:r>
            <w:r>
              <w:rPr>
                <w:rFonts w:hint="eastAsia" w:ascii="Calibri" w:hAnsi="Calibri"/>
                <w:color w:val="auto"/>
                <w:szCs w:val="21"/>
                <w:highlight w:val="none"/>
              </w:rPr>
              <w:t>0.2</w:t>
            </w:r>
            <w:r>
              <w:rPr>
                <w:rFonts w:hint="eastAsia" w:ascii="宋体" w:hAnsi="宋体"/>
                <w:color w:val="auto"/>
                <w:szCs w:val="21"/>
                <w:highlight w:val="none"/>
              </w:rPr>
              <w:t>㎡以下的每处扣</w:t>
            </w:r>
            <w:r>
              <w:rPr>
                <w:rFonts w:hint="eastAsia" w:ascii="Calibri" w:hAnsi="Calibri"/>
                <w:color w:val="auto"/>
                <w:szCs w:val="21"/>
                <w:highlight w:val="none"/>
              </w:rPr>
              <w:t>1</w:t>
            </w:r>
            <w:r>
              <w:rPr>
                <w:rFonts w:hint="eastAsia" w:ascii="宋体" w:hAnsi="宋体"/>
                <w:color w:val="auto"/>
                <w:szCs w:val="21"/>
                <w:highlight w:val="none"/>
              </w:rPr>
              <w:t>分，在</w:t>
            </w:r>
            <w:r>
              <w:rPr>
                <w:rFonts w:hint="eastAsia" w:ascii="Calibri" w:hAnsi="Calibri"/>
                <w:color w:val="auto"/>
                <w:szCs w:val="21"/>
                <w:highlight w:val="none"/>
              </w:rPr>
              <w:t>0.2</w:t>
            </w:r>
            <w:r>
              <w:rPr>
                <w:rFonts w:hint="eastAsia" w:ascii="宋体" w:hAnsi="宋体"/>
                <w:color w:val="auto"/>
                <w:szCs w:val="21"/>
                <w:highlight w:val="none"/>
              </w:rPr>
              <w:t>㎡</w:t>
            </w:r>
            <w:r>
              <w:rPr>
                <w:rFonts w:hint="eastAsia" w:ascii="Calibri" w:hAnsi="Calibri"/>
                <w:color w:val="auto"/>
                <w:szCs w:val="21"/>
                <w:highlight w:val="none"/>
              </w:rPr>
              <w:t>-1</w:t>
            </w:r>
            <w:r>
              <w:rPr>
                <w:rFonts w:hint="eastAsia" w:ascii="宋体" w:hAnsi="宋体"/>
                <w:color w:val="auto"/>
                <w:szCs w:val="21"/>
                <w:highlight w:val="none"/>
              </w:rPr>
              <w:t>㎡</w:t>
            </w:r>
            <w:r>
              <w:rPr>
                <w:rFonts w:hint="eastAsia" w:ascii="Calibri" w:hAnsi="Calibri"/>
                <w:color w:val="auto"/>
                <w:szCs w:val="21"/>
                <w:highlight w:val="none"/>
              </w:rPr>
              <w:t>以内的每处扣1.5</w:t>
            </w:r>
            <w:r>
              <w:rPr>
                <w:rFonts w:hint="eastAsia" w:ascii="宋体" w:hAnsi="宋体"/>
                <w:color w:val="auto"/>
                <w:szCs w:val="21"/>
                <w:highlight w:val="none"/>
              </w:rPr>
              <w:t>分，</w:t>
            </w:r>
            <w:r>
              <w:rPr>
                <w:rFonts w:hint="eastAsia" w:ascii="Calibri" w:hAnsi="Calibri"/>
                <w:color w:val="auto"/>
                <w:szCs w:val="21"/>
                <w:highlight w:val="none"/>
              </w:rPr>
              <w:t>1</w:t>
            </w:r>
            <w:r>
              <w:rPr>
                <w:rFonts w:hint="eastAsia" w:ascii="宋体" w:hAnsi="宋体"/>
                <w:color w:val="auto"/>
                <w:szCs w:val="21"/>
                <w:highlight w:val="none"/>
              </w:rPr>
              <w:t>㎡以上的每处扣</w:t>
            </w:r>
            <w:r>
              <w:rPr>
                <w:rFonts w:hint="eastAsia" w:ascii="Calibri" w:hAnsi="Calibri"/>
                <w:color w:val="auto"/>
                <w:szCs w:val="21"/>
                <w:highlight w:val="none"/>
              </w:rPr>
              <w:t>2</w:t>
            </w:r>
            <w:r>
              <w:rPr>
                <w:rFonts w:hint="eastAsia" w:ascii="宋体" w:hAnsi="宋体"/>
                <w:color w:val="auto"/>
                <w:szCs w:val="21"/>
                <w:highlight w:val="none"/>
              </w:rPr>
              <w:t>分，垃圾堆积特别严重的每处扣</w:t>
            </w:r>
            <w:r>
              <w:rPr>
                <w:rFonts w:hint="eastAsia" w:ascii="Calibri" w:hAnsi="Calibri"/>
                <w:color w:val="auto"/>
                <w:szCs w:val="21"/>
                <w:highlight w:val="none"/>
              </w:rPr>
              <w:t>3</w:t>
            </w:r>
            <w:r>
              <w:rPr>
                <w:rFonts w:hint="eastAsia" w:ascii="宋体" w:hAnsi="宋体"/>
                <w:color w:val="auto"/>
                <w:szCs w:val="21"/>
                <w:highlight w:val="none"/>
              </w:rPr>
              <w:t>分</w:t>
            </w:r>
            <w:r>
              <w:rPr>
                <w:rFonts w:hint="eastAsia" w:ascii="Calibri" w:hAnsi="Calibri"/>
                <w:color w:val="auto"/>
                <w:szCs w:val="21"/>
                <w:highlight w:val="none"/>
              </w:rPr>
              <w:t>；</w:t>
            </w:r>
          </w:p>
          <w:p>
            <w:pPr>
              <w:spacing w:line="240" w:lineRule="atLeast"/>
              <w:rPr>
                <w:rFonts w:ascii="Calibri" w:hAnsi="Calibri"/>
                <w:color w:val="auto"/>
                <w:szCs w:val="21"/>
                <w:highlight w:val="none"/>
              </w:rPr>
            </w:pPr>
            <w:r>
              <w:rPr>
                <w:rFonts w:hint="eastAsia" w:ascii="Calibri" w:hAnsi="Calibri"/>
                <w:color w:val="auto"/>
                <w:szCs w:val="21"/>
                <w:highlight w:val="none"/>
              </w:rPr>
              <w:t>2.</w:t>
            </w:r>
            <w:r>
              <w:rPr>
                <w:rFonts w:hint="eastAsia" w:ascii="宋体" w:hAnsi="宋体"/>
                <w:color w:val="auto"/>
                <w:szCs w:val="21"/>
                <w:highlight w:val="none"/>
              </w:rPr>
              <w:t>发现杂物乱堆放，每处扣</w:t>
            </w:r>
            <w:r>
              <w:rPr>
                <w:rFonts w:hint="eastAsia" w:ascii="Calibri" w:hAnsi="Calibri"/>
                <w:color w:val="auto"/>
                <w:szCs w:val="21"/>
                <w:highlight w:val="none"/>
              </w:rPr>
              <w:t>0.2</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3.</w:t>
            </w:r>
            <w:r>
              <w:rPr>
                <w:rFonts w:hint="eastAsia" w:ascii="宋体" w:hAnsi="宋体"/>
                <w:color w:val="auto"/>
                <w:szCs w:val="21"/>
                <w:highlight w:val="none"/>
              </w:rPr>
              <w:t>发现“小广告”粘贴，每处扣</w:t>
            </w:r>
            <w:r>
              <w:rPr>
                <w:rFonts w:hint="eastAsia" w:ascii="Calibri" w:hAnsi="Calibri"/>
                <w:color w:val="auto"/>
                <w:szCs w:val="21"/>
                <w:highlight w:val="none"/>
              </w:rPr>
              <w:t>0.2</w:t>
            </w:r>
            <w:r>
              <w:rPr>
                <w:rFonts w:hint="eastAsia" w:ascii="宋体" w:hAnsi="宋体"/>
                <w:color w:val="auto"/>
                <w:szCs w:val="21"/>
                <w:highlight w:val="none"/>
              </w:rPr>
              <w:t>分；</w:t>
            </w:r>
          </w:p>
          <w:p>
            <w:pPr>
              <w:spacing w:line="240" w:lineRule="atLeast"/>
              <w:rPr>
                <w:rFonts w:ascii="Calibri" w:hAnsi="Calibri"/>
                <w:color w:val="auto"/>
                <w:szCs w:val="21"/>
                <w:highlight w:val="none"/>
              </w:rPr>
            </w:pPr>
            <w:r>
              <w:rPr>
                <w:rFonts w:hint="eastAsia" w:ascii="Calibri" w:hAnsi="Calibri"/>
                <w:color w:val="auto"/>
                <w:szCs w:val="21"/>
                <w:highlight w:val="none"/>
              </w:rPr>
              <w:t>4.</w:t>
            </w:r>
            <w:r>
              <w:rPr>
                <w:rFonts w:hint="eastAsia" w:ascii="宋体" w:hAnsi="宋体"/>
                <w:color w:val="auto"/>
                <w:szCs w:val="21"/>
                <w:highlight w:val="none"/>
              </w:rPr>
              <w:t>发现垃圾桶、箱脏乱、漏水每处扣</w:t>
            </w:r>
            <w:r>
              <w:rPr>
                <w:rFonts w:hint="eastAsia" w:ascii="Calibri" w:hAnsi="Calibri"/>
                <w:color w:val="auto"/>
                <w:szCs w:val="21"/>
                <w:highlight w:val="none"/>
              </w:rPr>
              <w:t>1</w:t>
            </w:r>
            <w:r>
              <w:rPr>
                <w:rFonts w:hint="eastAsia" w:ascii="宋体" w:hAnsi="宋体"/>
                <w:color w:val="auto"/>
                <w:szCs w:val="21"/>
                <w:highlight w:val="none"/>
              </w:rPr>
              <w:t>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064" w:type="dxa"/>
            <w:vMerge w:val="restart"/>
            <w:tcBorders>
              <w:left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河道保洁（5分）</w:t>
            </w:r>
          </w:p>
        </w:tc>
        <w:tc>
          <w:tcPr>
            <w:tcW w:w="4463"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（日常保洁（8）分）</w:t>
            </w:r>
          </w:p>
          <w:p>
            <w:pPr>
              <w:rPr>
                <w:rFonts w:ascii="宋体"/>
                <w:color w:val="auto"/>
                <w:sz w:val="22"/>
                <w:szCs w:val="22"/>
                <w:highlight w:val="none"/>
              </w:rPr>
            </w:pPr>
            <w:r>
              <w:rPr>
                <w:rFonts w:hint="eastAsia"/>
                <w:color w:val="auto"/>
                <w:highlight w:val="none"/>
              </w:rPr>
              <w:t>河面、河滩、堤岸无垃圾，油渍和漂浮物，无明显水生杂草；水面打捞物集中堆放妥善处置，无二次污染；河道通畅，河中无障碍物。河岸周围没有垃圾，河道内没有影响景观和通航的草生植物。河岸两旁及隔离护栏下无垃圾、淤泥；河岸绿化带内无杂物、纸屑。河边垃圾（包括生活垃圾、建筑垃圾等）做到及时清理。</w:t>
            </w:r>
          </w:p>
        </w:tc>
        <w:tc>
          <w:tcPr>
            <w:tcW w:w="7290"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1.漂浮物1㎡以上每处扣1分；1㎡以下每处扣0.5分；</w:t>
            </w:r>
          </w:p>
          <w:p>
            <w:pPr>
              <w:rPr>
                <w:color w:val="auto"/>
                <w:highlight w:val="none"/>
              </w:rPr>
            </w:pPr>
            <w:r>
              <w:rPr>
                <w:rFonts w:hint="eastAsia"/>
                <w:color w:val="auto"/>
                <w:highlight w:val="none"/>
              </w:rPr>
              <w:t>2.河道内发现有动物尸体、油渍，木头等较大物品，每处扣0.5分；</w:t>
            </w:r>
          </w:p>
          <w:p>
            <w:pPr>
              <w:rPr>
                <w:color w:val="auto"/>
                <w:highlight w:val="none"/>
              </w:rPr>
            </w:pPr>
            <w:r>
              <w:rPr>
                <w:rFonts w:hint="eastAsia"/>
                <w:color w:val="auto"/>
                <w:highlight w:val="none"/>
              </w:rPr>
              <w:t>3.河道和岸边（包括岸边5米范围内）垃圾有堆放现象，每处扣0.5分；</w:t>
            </w:r>
          </w:p>
          <w:p>
            <w:pPr>
              <w:rPr>
                <w:color w:val="auto"/>
                <w:highlight w:val="none"/>
              </w:rPr>
            </w:pPr>
            <w:r>
              <w:rPr>
                <w:rFonts w:hint="eastAsia"/>
                <w:color w:val="auto"/>
                <w:highlight w:val="none"/>
              </w:rPr>
              <w:t>4.河面有影响水生态的杂草（含水葫芦、浮萍和水草等），每处/扣0.5分；</w:t>
            </w:r>
          </w:p>
          <w:p>
            <w:pPr>
              <w:rPr>
                <w:color w:val="auto"/>
                <w:highlight w:val="none"/>
              </w:rPr>
            </w:pPr>
            <w:r>
              <w:rPr>
                <w:rFonts w:hint="eastAsia"/>
                <w:color w:val="auto"/>
                <w:highlight w:val="none"/>
              </w:rPr>
              <w:t>5.打捞上岸的垃圾、杂物实行日产日清，运到指定中转站处理，未按要求的每次扣1分；</w:t>
            </w:r>
          </w:p>
          <w:p>
            <w:pPr>
              <w:spacing w:line="240" w:lineRule="atLeast"/>
              <w:rPr>
                <w:color w:val="auto"/>
                <w:highlight w:val="none"/>
              </w:rPr>
            </w:pPr>
            <w:r>
              <w:rPr>
                <w:rFonts w:hint="eastAsia"/>
                <w:color w:val="auto"/>
                <w:highlight w:val="none"/>
              </w:rPr>
              <w:t>6.河岸两旁及隔离护栏下无垃圾、淤泥；河岸绿化带内无杂物、纸屑，如有每处扣1分；</w:t>
            </w:r>
          </w:p>
          <w:p>
            <w:pPr>
              <w:spacing w:line="240" w:lineRule="atLeast"/>
              <w:rPr>
                <w:color w:val="auto"/>
                <w:highlight w:val="none"/>
              </w:rPr>
            </w:pPr>
            <w:r>
              <w:rPr>
                <w:rFonts w:hint="eastAsia"/>
                <w:color w:val="auto"/>
                <w:highlight w:val="none"/>
              </w:rPr>
              <w:t>7.垃圾未在指定地点倾倒或焚烧的发现一次扣1分。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tcBorders>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p>
        </w:tc>
        <w:tc>
          <w:tcPr>
            <w:tcW w:w="4463"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（特殊保洁2分）</w:t>
            </w:r>
          </w:p>
          <w:p>
            <w:pPr>
              <w:rPr>
                <w:color w:val="auto"/>
                <w:highlight w:val="none"/>
              </w:rPr>
            </w:pPr>
            <w:r>
              <w:rPr>
                <w:rFonts w:hint="eastAsia"/>
                <w:color w:val="auto"/>
                <w:highlight w:val="none"/>
              </w:rPr>
              <w:t>1.风暴雨过后，保洁单位应及时清理完垃圾、漂浮物、杂草、障碍物等，确保河道畅通和河面干净整洁；</w:t>
            </w:r>
          </w:p>
          <w:p>
            <w:pPr>
              <w:rPr>
                <w:color w:val="auto"/>
                <w:highlight w:val="none"/>
              </w:rPr>
            </w:pPr>
            <w:r>
              <w:rPr>
                <w:rFonts w:hint="eastAsia"/>
                <w:color w:val="auto"/>
                <w:highlight w:val="none"/>
              </w:rPr>
              <w:t>2.发现病死动物或病死动物产品的，应及时报告；保洁工作人员拖延处置或违规处置，造成不良后果的，按有关规定追究相应责任。</w:t>
            </w:r>
          </w:p>
          <w:p>
            <w:pPr>
              <w:rPr>
                <w:color w:val="auto"/>
                <w:highlight w:val="none"/>
              </w:rPr>
            </w:pPr>
            <w:r>
              <w:rPr>
                <w:rFonts w:hint="eastAsia"/>
                <w:color w:val="auto"/>
                <w:highlight w:val="none"/>
              </w:rPr>
              <w:t>3.发现大范围的鱼类或其他水生生物群体死亡的，应及时报告；保洁工作人员拖延处置或违规处置，造成不良后果的，按有关规定追究相应责任。</w:t>
            </w:r>
          </w:p>
          <w:p>
            <w:pPr>
              <w:rPr>
                <w:rFonts w:ascii="宋体"/>
                <w:color w:val="auto"/>
                <w:sz w:val="22"/>
                <w:szCs w:val="22"/>
                <w:highlight w:val="none"/>
              </w:rPr>
            </w:pPr>
            <w:r>
              <w:rPr>
                <w:rFonts w:hint="eastAsia"/>
                <w:color w:val="auto"/>
                <w:highlight w:val="none"/>
              </w:rPr>
              <w:t>4.发生突发污染事件、河水水质(水发黑、发黄、异味重)问题及其他影响河道保洁事件的，保洁责任单位应</w:t>
            </w:r>
            <w:r>
              <w:rPr>
                <w:rFonts w:hint="eastAsia" w:ascii="宋体"/>
                <w:color w:val="auto"/>
                <w:sz w:val="22"/>
                <w:szCs w:val="22"/>
                <w:highlight w:val="none"/>
              </w:rPr>
              <w:t>立即报告，并积极配合和妥善组织处置。</w:t>
            </w:r>
          </w:p>
        </w:tc>
        <w:tc>
          <w:tcPr>
            <w:tcW w:w="7290" w:type="dxa"/>
            <w:tcBorders>
              <w:top w:val="single" w:color="auto" w:sz="4" w:space="0"/>
              <w:left w:val="nil"/>
              <w:bottom w:val="single" w:color="auto" w:sz="4" w:space="0"/>
              <w:right w:val="single" w:color="auto" w:sz="4" w:space="0"/>
            </w:tcBorders>
            <w:noWrap/>
          </w:tcPr>
          <w:p>
            <w:pPr>
              <w:rPr>
                <w:rFonts w:ascii="宋体"/>
                <w:color w:val="auto"/>
                <w:sz w:val="22"/>
                <w:szCs w:val="22"/>
                <w:highlight w:val="none"/>
              </w:rPr>
            </w:pPr>
          </w:p>
          <w:p>
            <w:pPr>
              <w:rPr>
                <w:rFonts w:ascii="宋体"/>
                <w:color w:val="auto"/>
                <w:sz w:val="22"/>
                <w:szCs w:val="22"/>
                <w:highlight w:val="none"/>
              </w:rPr>
            </w:pPr>
          </w:p>
          <w:p>
            <w:pPr>
              <w:rPr>
                <w:rFonts w:ascii="宋体"/>
                <w:color w:val="auto"/>
                <w:sz w:val="22"/>
                <w:szCs w:val="22"/>
                <w:highlight w:val="none"/>
              </w:rPr>
            </w:pPr>
          </w:p>
          <w:p>
            <w:pPr>
              <w:rPr>
                <w:rFonts w:ascii="宋体"/>
                <w:color w:val="auto"/>
                <w:sz w:val="22"/>
                <w:szCs w:val="22"/>
                <w:highlight w:val="none"/>
              </w:rPr>
            </w:pPr>
          </w:p>
          <w:p>
            <w:pPr>
              <w:rPr>
                <w:rFonts w:ascii="宋体"/>
                <w:color w:val="auto"/>
                <w:sz w:val="22"/>
                <w:szCs w:val="22"/>
                <w:highlight w:val="none"/>
              </w:rPr>
            </w:pPr>
          </w:p>
          <w:p>
            <w:pPr>
              <w:rPr>
                <w:rFonts w:ascii="宋体"/>
                <w:color w:val="auto"/>
                <w:sz w:val="22"/>
                <w:szCs w:val="22"/>
                <w:highlight w:val="none"/>
              </w:rPr>
            </w:pPr>
            <w:r>
              <w:rPr>
                <w:rFonts w:hint="eastAsia"/>
                <w:color w:val="auto"/>
                <w:highlight w:val="none"/>
              </w:rPr>
              <w:t>每发现一起未按规定落实的扣0.5分。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4" w:type="dxa"/>
            <w:vMerge w:val="continue"/>
            <w:tcBorders>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宋体" w:hAnsi="宋体" w:cs="宋体"/>
                <w:color w:val="auto"/>
                <w:szCs w:val="21"/>
                <w:highlight w:val="none"/>
              </w:rPr>
            </w:pPr>
            <w:r>
              <w:rPr>
                <w:rFonts w:hint="eastAsia" w:ascii="宋体" w:hAnsi="宋体" w:cs="宋体"/>
                <w:color w:val="auto"/>
                <w:szCs w:val="21"/>
                <w:highlight w:val="none"/>
              </w:rPr>
              <w:t>河道保洁人员应按河道保洁要求足额配置，并统一穿着“河道保洁”字样反光安全；</w:t>
            </w:r>
          </w:p>
          <w:p>
            <w:pPr>
              <w:spacing w:line="240" w:lineRule="atLeast"/>
              <w:rPr>
                <w:rFonts w:ascii="宋体" w:hAnsi="宋体" w:cs="宋体"/>
                <w:color w:val="auto"/>
                <w:szCs w:val="21"/>
                <w:highlight w:val="none"/>
              </w:rPr>
            </w:pPr>
            <w:r>
              <w:rPr>
                <w:rFonts w:hint="eastAsia" w:ascii="宋体" w:hAnsi="宋体" w:cs="宋体"/>
                <w:color w:val="auto"/>
                <w:szCs w:val="21"/>
                <w:highlight w:val="none"/>
              </w:rPr>
              <w:t>各作业人员必须佩证上岗，使用有统一配备的船只，保持船况良好，船容整洁并配备救生设备，做到规范文明作业；</w:t>
            </w:r>
          </w:p>
          <w:p>
            <w:pPr>
              <w:spacing w:line="240" w:lineRule="atLeast"/>
              <w:rPr>
                <w:rFonts w:ascii="宋体"/>
                <w:color w:val="auto"/>
                <w:sz w:val="22"/>
                <w:szCs w:val="22"/>
                <w:highlight w:val="none"/>
              </w:rPr>
            </w:pPr>
            <w:r>
              <w:rPr>
                <w:rFonts w:hint="eastAsia" w:ascii="宋体" w:hAnsi="宋体" w:cs="宋体"/>
                <w:color w:val="auto"/>
                <w:szCs w:val="21"/>
                <w:highlight w:val="none"/>
              </w:rPr>
              <w:t>每艘船只及救设备均须进行编号。</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rFonts w:ascii="宋体"/>
                <w:color w:val="auto"/>
                <w:sz w:val="22"/>
                <w:szCs w:val="22"/>
                <w:highlight w:val="none"/>
              </w:rPr>
            </w:pPr>
            <w:r>
              <w:rPr>
                <w:rFonts w:hint="eastAsia" w:ascii="宋体" w:hAnsi="宋体" w:cs="宋体"/>
                <w:color w:val="auto"/>
                <w:szCs w:val="21"/>
                <w:highlight w:val="none"/>
              </w:rPr>
              <w:t>发现一处不符合规定要求的扣1分。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64" w:type="dxa"/>
            <w:vMerge w:val="restart"/>
            <w:tcBorders>
              <w:top w:val="single" w:color="auto" w:sz="4" w:space="0"/>
              <w:left w:val="single" w:color="auto" w:sz="4" w:space="0"/>
              <w:right w:val="single" w:color="auto" w:sz="4" w:space="0"/>
            </w:tcBorders>
            <w:noWrap/>
            <w:vAlign w:val="center"/>
          </w:tcPr>
          <w:p>
            <w:pPr>
              <w:spacing w:line="240" w:lineRule="atLeast"/>
              <w:rPr>
                <w:rFonts w:ascii="宋体" w:hAnsi="宋体"/>
                <w:color w:val="auto"/>
                <w:szCs w:val="21"/>
                <w:highlight w:val="none"/>
              </w:rPr>
            </w:pPr>
            <w:r>
              <w:rPr>
                <w:rFonts w:hint="eastAsia" w:ascii="宋体" w:hAnsi="宋体" w:cs="宋体"/>
                <w:bCs/>
                <w:color w:val="auto"/>
                <w:szCs w:val="21"/>
                <w:highlight w:val="none"/>
              </w:rPr>
              <w:t>智慧环卫平台监管（10分）</w:t>
            </w:r>
          </w:p>
        </w:tc>
        <w:tc>
          <w:tcPr>
            <w:tcW w:w="4463" w:type="dxa"/>
            <w:tcBorders>
              <w:top w:val="single" w:color="auto" w:sz="4" w:space="0"/>
              <w:left w:val="nil"/>
              <w:bottom w:val="single" w:color="auto" w:sz="4" w:space="0"/>
              <w:right w:val="single" w:color="auto" w:sz="4" w:space="0"/>
            </w:tcBorders>
            <w:noWrap/>
            <w:vAlign w:val="center"/>
          </w:tcPr>
          <w:p>
            <w:pPr>
              <w:rPr>
                <w:color w:val="auto"/>
                <w:highlight w:val="none"/>
              </w:rPr>
            </w:pPr>
            <w:r>
              <w:rPr>
                <w:rFonts w:hint="eastAsia"/>
                <w:color w:val="auto"/>
                <w:highlight w:val="none"/>
              </w:rPr>
              <w:t>人员（5分）</w:t>
            </w:r>
          </w:p>
          <w:p>
            <w:pPr>
              <w:rPr>
                <w:color w:val="auto"/>
                <w:highlight w:val="none"/>
              </w:rPr>
            </w:pPr>
            <w:r>
              <w:rPr>
                <w:rFonts w:hint="eastAsia"/>
                <w:color w:val="auto"/>
                <w:highlight w:val="none"/>
              </w:rPr>
              <w:t>1.通过智慧环卫平台检查，保洁人员与管理人员需在工作时间段在岗且作业；</w:t>
            </w:r>
          </w:p>
          <w:p>
            <w:pPr>
              <w:rPr>
                <w:color w:val="auto"/>
                <w:highlight w:val="none"/>
              </w:rPr>
            </w:pPr>
            <w:r>
              <w:rPr>
                <w:rFonts w:hint="eastAsia"/>
                <w:color w:val="auto"/>
                <w:highlight w:val="none"/>
              </w:rPr>
              <w:t>2.保洁服务车辆必须安装GPS定位装置作业；</w:t>
            </w:r>
          </w:p>
          <w:p>
            <w:pPr>
              <w:rPr>
                <w:color w:val="auto"/>
                <w:highlight w:val="none"/>
              </w:rPr>
            </w:pPr>
            <w:r>
              <w:rPr>
                <w:rFonts w:hint="eastAsia"/>
                <w:color w:val="auto"/>
                <w:highlight w:val="none"/>
              </w:rPr>
              <w:t>3.GPS设备故障申报需及时；</w:t>
            </w:r>
          </w:p>
          <w:p>
            <w:pPr>
              <w:rPr>
                <w:color w:val="auto"/>
                <w:highlight w:val="none"/>
              </w:rPr>
            </w:pPr>
          </w:p>
          <w:p>
            <w:pPr>
              <w:pStyle w:val="25"/>
              <w:tabs>
                <w:tab w:val="left" w:pos="482"/>
                <w:tab w:val="left" w:pos="2183"/>
                <w:tab w:val="left" w:pos="3884"/>
                <w:tab w:val="left" w:pos="5585"/>
              </w:tabs>
              <w:ind w:firstLine="210"/>
              <w:jc w:val="left"/>
              <w:rPr>
                <w:color w:val="auto"/>
                <w:highlight w:val="none"/>
              </w:rPr>
            </w:pPr>
          </w:p>
          <w:p>
            <w:pPr>
              <w:jc w:val="left"/>
              <w:rPr>
                <w:color w:val="auto"/>
                <w:highlight w:val="none"/>
              </w:rPr>
            </w:pPr>
          </w:p>
          <w:p>
            <w:pPr>
              <w:rPr>
                <w:color w:val="auto"/>
                <w:highlight w:val="none"/>
              </w:rPr>
            </w:pPr>
          </w:p>
        </w:tc>
        <w:tc>
          <w:tcPr>
            <w:tcW w:w="7290" w:type="dxa"/>
            <w:tcBorders>
              <w:top w:val="single" w:color="auto" w:sz="4" w:space="0"/>
              <w:left w:val="nil"/>
              <w:bottom w:val="single" w:color="auto" w:sz="4" w:space="0"/>
              <w:right w:val="single" w:color="auto" w:sz="4" w:space="0"/>
            </w:tcBorders>
            <w:noWrap/>
            <w:vAlign w:val="center"/>
          </w:tcPr>
          <w:p>
            <w:pPr>
              <w:numPr>
                <w:ilvl w:val="0"/>
                <w:numId w:val="11"/>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rPr>
              <w:t>采购人通过永嘉县瓯北智慧环卫平台监查，早、中、晚检查三次或以上，发现环卫保洁人员与管理人员未在岗的或在工作时间段内工作里程未达到300米的，扣0.2分/人；</w:t>
            </w:r>
          </w:p>
          <w:p>
            <w:pPr>
              <w:numPr>
                <w:ilvl w:val="0"/>
                <w:numId w:val="11"/>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rPr>
              <w:t>采购人通过永嘉县瓯北智慧环卫平台监查，发现环卫保洁人员与管理人员一人带两只及以上设备充数的，扣0.5分/次。发生三次及以上人员充数情况的，采购人有权·终止合同；</w:t>
            </w:r>
          </w:p>
          <w:p>
            <w:pPr>
              <w:numPr>
                <w:ilvl w:val="0"/>
                <w:numId w:val="11"/>
              </w:numPr>
              <w:spacing w:line="340" w:lineRule="exact"/>
              <w:jc w:val="left"/>
              <w:rPr>
                <w:rFonts w:ascii="宋体" w:hAnsi="宋体" w:cs="宋体"/>
                <w:bCs/>
                <w:color w:val="auto"/>
                <w:szCs w:val="21"/>
                <w:highlight w:val="none"/>
              </w:rPr>
            </w:pPr>
            <w:r>
              <w:rPr>
                <w:rFonts w:hint="eastAsia" w:ascii="宋体" w:hAnsi="宋体" w:cs="宋体"/>
                <w:bCs/>
                <w:color w:val="auto"/>
                <w:szCs w:val="21"/>
                <w:highlight w:val="none"/>
              </w:rPr>
              <w:t>环卫保洁人员与管理人员把GPS定位装置放在车上，或者坐到GPS定位不到的地方休息，使GPS无法正常实现定位的，以未在岗论处。每发现一次扣0.5分；</w:t>
            </w:r>
          </w:p>
          <w:p>
            <w:pPr>
              <w:numPr>
                <w:ilvl w:val="0"/>
                <w:numId w:val="11"/>
              </w:numPr>
              <w:spacing w:line="340" w:lineRule="exact"/>
              <w:jc w:val="left"/>
              <w:rPr>
                <w:color w:val="auto"/>
                <w:highlight w:val="none"/>
              </w:rPr>
            </w:pPr>
            <w:r>
              <w:rPr>
                <w:rFonts w:hint="eastAsia" w:ascii="宋体" w:hAnsi="宋体" w:cs="宋体"/>
                <w:bCs/>
                <w:color w:val="auto"/>
                <w:szCs w:val="21"/>
                <w:highlight w:val="none"/>
              </w:rPr>
              <w:t>GPS设备故障报告每天在采购人上下午上班之前通过智慧环卫平台申报，同时以书面形式提交采购人。采购人工作人员核实故障报告后，发现与事实不符的，按不在岗（未作业）论处。人员的GPS装备发生故障若不事先报告的，按不在岗（未作业）论处，并加倍处罚。每发现一次扣0.5分；</w:t>
            </w:r>
          </w:p>
          <w:p>
            <w:pPr>
              <w:numPr>
                <w:ilvl w:val="0"/>
                <w:numId w:val="11"/>
              </w:numPr>
              <w:spacing w:line="340" w:lineRule="exact"/>
              <w:jc w:val="left"/>
              <w:rPr>
                <w:color w:val="auto"/>
                <w:highlight w:val="none"/>
              </w:rPr>
            </w:pPr>
            <w:r>
              <w:rPr>
                <w:rFonts w:hint="eastAsia" w:ascii="宋体" w:hAnsi="宋体" w:cs="宋体"/>
                <w:bCs/>
                <w:color w:val="auto"/>
                <w:szCs w:val="21"/>
                <w:highlight w:val="none"/>
              </w:rPr>
              <w:t>采购人发现未按采购文件要求配置机动人员人数的，每少一人口0.5分；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064" w:type="dxa"/>
            <w:vMerge w:val="continue"/>
            <w:tcBorders>
              <w:left w:val="single" w:color="auto" w:sz="4" w:space="0"/>
              <w:right w:val="single" w:color="auto" w:sz="4" w:space="0"/>
            </w:tcBorders>
            <w:noWrap/>
            <w:vAlign w:val="center"/>
          </w:tcPr>
          <w:p>
            <w:pPr>
              <w:spacing w:line="240" w:lineRule="atLeast"/>
              <w:rPr>
                <w:rFonts w:ascii="宋体" w:hAnsi="宋体"/>
                <w:color w:val="auto"/>
                <w:szCs w:val="21"/>
                <w:highlight w:val="none"/>
              </w:rPr>
            </w:pPr>
          </w:p>
        </w:tc>
        <w:tc>
          <w:tcPr>
            <w:tcW w:w="4463" w:type="dxa"/>
            <w:tcBorders>
              <w:top w:val="single" w:color="auto" w:sz="4" w:space="0"/>
              <w:left w:val="nil"/>
              <w:bottom w:val="single" w:color="auto" w:sz="4" w:space="0"/>
              <w:right w:val="single" w:color="auto" w:sz="4" w:space="0"/>
            </w:tcBorders>
            <w:noWrap/>
            <w:vAlign w:val="center"/>
          </w:tcPr>
          <w:p>
            <w:pPr>
              <w:jc w:val="left"/>
              <w:rPr>
                <w:color w:val="auto"/>
                <w:highlight w:val="none"/>
              </w:rPr>
            </w:pPr>
            <w:r>
              <w:rPr>
                <w:rFonts w:hint="eastAsia"/>
                <w:color w:val="auto"/>
                <w:highlight w:val="none"/>
              </w:rPr>
              <w:t>机械车辆（3分）</w:t>
            </w:r>
          </w:p>
          <w:p>
            <w:pPr>
              <w:jc w:val="left"/>
              <w:rPr>
                <w:color w:val="auto"/>
                <w:highlight w:val="none"/>
              </w:rPr>
            </w:pPr>
            <w:r>
              <w:rPr>
                <w:rFonts w:hint="eastAsia"/>
                <w:color w:val="auto"/>
                <w:highlight w:val="none"/>
              </w:rPr>
              <w:t>1.车辆设备（含车载GPS）未及时安装或出现故障，须及时反馈并修理；</w:t>
            </w:r>
          </w:p>
          <w:p>
            <w:pPr>
              <w:jc w:val="left"/>
              <w:rPr>
                <w:color w:val="auto"/>
                <w:highlight w:val="none"/>
              </w:rPr>
            </w:pPr>
            <w:r>
              <w:rPr>
                <w:rFonts w:hint="eastAsia"/>
                <w:color w:val="auto"/>
                <w:highlight w:val="none"/>
              </w:rPr>
              <w:t>2.机械车辆须按时完成当日作业量；</w:t>
            </w:r>
          </w:p>
          <w:p>
            <w:pPr>
              <w:jc w:val="left"/>
              <w:rPr>
                <w:color w:val="auto"/>
                <w:highlight w:val="none"/>
              </w:rPr>
            </w:pPr>
            <w:r>
              <w:rPr>
                <w:rFonts w:hint="eastAsia"/>
                <w:color w:val="auto"/>
                <w:highlight w:val="none"/>
              </w:rPr>
              <w:t>3.机械车辆不可随意更换范围、路线、时间；</w:t>
            </w:r>
          </w:p>
          <w:p>
            <w:pPr>
              <w:jc w:val="left"/>
              <w:rPr>
                <w:color w:val="auto"/>
                <w:highlight w:val="none"/>
              </w:rPr>
            </w:pPr>
            <w:r>
              <w:rPr>
                <w:rFonts w:hint="eastAsia"/>
                <w:color w:val="auto"/>
                <w:highlight w:val="none"/>
              </w:rPr>
              <w:t>4.行驶速度须按规定时速行驶，不得超过最高时速；</w:t>
            </w:r>
          </w:p>
          <w:p>
            <w:pPr>
              <w:pStyle w:val="25"/>
              <w:tabs>
                <w:tab w:val="left" w:pos="482"/>
                <w:tab w:val="left" w:pos="2183"/>
                <w:tab w:val="left" w:pos="3884"/>
                <w:tab w:val="left" w:pos="5585"/>
              </w:tabs>
              <w:ind w:firstLine="210"/>
              <w:rPr>
                <w:color w:val="auto"/>
                <w:highlight w:val="none"/>
              </w:rPr>
            </w:pP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color w:val="auto"/>
                <w:highlight w:val="none"/>
              </w:rPr>
            </w:pPr>
            <w:r>
              <w:rPr>
                <w:rFonts w:hint="eastAsia"/>
                <w:color w:val="auto"/>
                <w:highlight w:val="none"/>
              </w:rPr>
              <w:t>1.车辆设备（含车载GPS）未及时安装或故障未修理的，每发现一次扣1500元/车；每发现一次扣1分；</w:t>
            </w:r>
          </w:p>
          <w:p>
            <w:pPr>
              <w:spacing w:line="240" w:lineRule="atLeast"/>
              <w:rPr>
                <w:color w:val="auto"/>
                <w:highlight w:val="none"/>
              </w:rPr>
            </w:pPr>
            <w:r>
              <w:rPr>
                <w:rFonts w:hint="eastAsia"/>
                <w:color w:val="auto"/>
                <w:highlight w:val="none"/>
              </w:rPr>
              <w:t>2.经永嘉县瓯北智慧环卫平台监管检查，未作业的每发现一次扣2分；如车辆故障或其它因素导致不能正常作业的，经申报由其它车辆替代工作的，则不扣分，若申报不能完成作业的，每次扣1分；</w:t>
            </w:r>
          </w:p>
          <w:p>
            <w:pPr>
              <w:spacing w:line="240" w:lineRule="atLeast"/>
              <w:rPr>
                <w:color w:val="auto"/>
                <w:highlight w:val="none"/>
              </w:rPr>
            </w:pPr>
            <w:r>
              <w:rPr>
                <w:rFonts w:hint="eastAsia"/>
                <w:color w:val="auto"/>
                <w:highlight w:val="none"/>
              </w:rPr>
              <w:t>3.永嘉县瓯北智慧环卫平台监管检查，随意变更范围、路线、时间的，每发现一次扣1分；</w:t>
            </w:r>
          </w:p>
          <w:p>
            <w:pPr>
              <w:spacing w:line="240" w:lineRule="atLeast"/>
              <w:rPr>
                <w:color w:val="auto"/>
                <w:highlight w:val="none"/>
              </w:rPr>
            </w:pPr>
            <w:r>
              <w:rPr>
                <w:rFonts w:hint="eastAsia"/>
                <w:color w:val="auto"/>
                <w:highlight w:val="none"/>
              </w:rPr>
              <w:t>4.永嘉县瓯北智慧环卫平台监管检查，车辆作业线路未达标的，每10米扣0.2分；</w:t>
            </w:r>
          </w:p>
          <w:p>
            <w:pPr>
              <w:spacing w:line="240" w:lineRule="atLeast"/>
              <w:rPr>
                <w:color w:val="auto"/>
                <w:highlight w:val="none"/>
              </w:rPr>
            </w:pPr>
            <w:r>
              <w:rPr>
                <w:rFonts w:hint="eastAsia"/>
                <w:color w:val="auto"/>
                <w:highlight w:val="none"/>
              </w:rPr>
              <w:t>5.经永嘉县瓯北智慧环卫平台监管检查，每个垃圾清运点未清运的，每发现一次扣1分；</w:t>
            </w:r>
          </w:p>
          <w:p>
            <w:pPr>
              <w:spacing w:line="240" w:lineRule="atLeast"/>
              <w:rPr>
                <w:color w:val="auto"/>
                <w:highlight w:val="none"/>
              </w:rPr>
            </w:pPr>
            <w:r>
              <w:rPr>
                <w:rFonts w:hint="eastAsia"/>
                <w:color w:val="auto"/>
                <w:highlight w:val="none"/>
              </w:rPr>
              <w:t>6.经永嘉县瓯北智慧环卫平台监管检查，行车作业速度超过最高时速的，每发现一次扣0.2分；</w:t>
            </w:r>
          </w:p>
          <w:p>
            <w:pPr>
              <w:spacing w:line="240" w:lineRule="atLeast"/>
              <w:rPr>
                <w:color w:val="auto"/>
                <w:highlight w:val="none"/>
              </w:rPr>
            </w:pPr>
            <w:r>
              <w:rPr>
                <w:rFonts w:hint="eastAsia"/>
                <w:color w:val="auto"/>
                <w:highlight w:val="none"/>
              </w:rPr>
              <w:t>7.未经采购人同意擅自将本项目的车辆服务于其他项目的，每次发现扣2分；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4" w:type="dxa"/>
            <w:vMerge w:val="continue"/>
            <w:tcBorders>
              <w:left w:val="single" w:color="auto" w:sz="4" w:space="0"/>
              <w:bottom w:val="single" w:color="auto" w:sz="4" w:space="0"/>
              <w:right w:val="single" w:color="auto" w:sz="4" w:space="0"/>
            </w:tcBorders>
            <w:noWrap/>
            <w:vAlign w:val="center"/>
          </w:tcPr>
          <w:p>
            <w:pPr>
              <w:spacing w:line="240" w:lineRule="atLeast"/>
              <w:rPr>
                <w:rFonts w:ascii="宋体" w:hAnsi="宋体"/>
                <w:color w:val="auto"/>
                <w:szCs w:val="21"/>
                <w:highlight w:val="none"/>
              </w:rPr>
            </w:pPr>
          </w:p>
        </w:tc>
        <w:tc>
          <w:tcPr>
            <w:tcW w:w="4463" w:type="dxa"/>
            <w:tcBorders>
              <w:top w:val="single" w:color="auto" w:sz="4" w:space="0"/>
              <w:left w:val="nil"/>
              <w:bottom w:val="single" w:color="auto" w:sz="4" w:space="0"/>
              <w:right w:val="single" w:color="auto" w:sz="4" w:space="0"/>
            </w:tcBorders>
            <w:noWrap/>
            <w:vAlign w:val="center"/>
          </w:tcPr>
          <w:p>
            <w:pPr>
              <w:jc w:val="left"/>
              <w:rPr>
                <w:color w:val="auto"/>
                <w:highlight w:val="none"/>
              </w:rPr>
            </w:pPr>
            <w:r>
              <w:rPr>
                <w:rFonts w:hint="eastAsia"/>
                <w:color w:val="auto"/>
                <w:highlight w:val="none"/>
              </w:rPr>
              <w:t>其他（2分）</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color w:val="auto"/>
                <w:highlight w:val="none"/>
              </w:rPr>
            </w:pPr>
            <w:r>
              <w:rPr>
                <w:rFonts w:hint="eastAsia"/>
                <w:color w:val="auto"/>
                <w:highlight w:val="none"/>
              </w:rPr>
              <w:t>1.经永嘉县瓯北智慧环卫平台监管检查，垃圾桶、果壳箱没有按频次日清日运，每发现一次扣0.2分；</w:t>
            </w:r>
          </w:p>
          <w:p>
            <w:pPr>
              <w:spacing w:line="240" w:lineRule="atLeast"/>
              <w:rPr>
                <w:color w:val="auto"/>
                <w:highlight w:val="none"/>
              </w:rPr>
            </w:pPr>
            <w:r>
              <w:rPr>
                <w:rFonts w:hint="eastAsia"/>
                <w:color w:val="auto"/>
                <w:highlight w:val="none"/>
              </w:rPr>
              <w:t>2.垃圾桶、果壳箱丢失、GPS芯片损坏，未及时修复，更换的（12小时内），超出规定时间未处理的，每发现一次扣0.2分。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color w:val="auto"/>
                <w:szCs w:val="21"/>
                <w:highlight w:val="none"/>
              </w:rPr>
            </w:pPr>
            <w:r>
              <w:rPr>
                <w:rFonts w:hint="eastAsia" w:ascii="宋体" w:hAnsi="宋体"/>
                <w:color w:val="auto"/>
                <w:szCs w:val="21"/>
                <w:highlight w:val="none"/>
              </w:rPr>
              <w:t>垃圾分类运输（5分）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各类垃圾得到合理分类清理、运输。</w:t>
            </w:r>
          </w:p>
        </w:tc>
        <w:tc>
          <w:tcPr>
            <w:tcW w:w="7290" w:type="dxa"/>
            <w:tcBorders>
              <w:top w:val="single" w:color="auto" w:sz="4" w:space="0"/>
              <w:left w:val="nil"/>
              <w:bottom w:val="single" w:color="auto" w:sz="4" w:space="0"/>
              <w:right w:val="single" w:color="auto" w:sz="4" w:space="0"/>
            </w:tcBorders>
            <w:noWrap/>
            <w:vAlign w:val="center"/>
          </w:tcPr>
          <w:p>
            <w:pPr>
              <w:spacing w:line="240" w:lineRule="atLeast"/>
              <w:rPr>
                <w:color w:val="auto"/>
                <w:highlight w:val="none"/>
              </w:rPr>
            </w:pPr>
            <w:r>
              <w:rPr>
                <w:rFonts w:hint="eastAsia"/>
                <w:color w:val="auto"/>
                <w:highlight w:val="none"/>
              </w:rPr>
              <w:t>1.公共四分桶未设置或投放有误的每次扣0.5分；</w:t>
            </w:r>
          </w:p>
          <w:p>
            <w:pPr>
              <w:spacing w:line="240" w:lineRule="atLeast"/>
              <w:rPr>
                <w:color w:val="auto"/>
                <w:highlight w:val="none"/>
              </w:rPr>
            </w:pPr>
            <w:r>
              <w:rPr>
                <w:rFonts w:hint="eastAsia"/>
                <w:color w:val="auto"/>
                <w:highlight w:val="none"/>
              </w:rPr>
              <w:t>2.垃圾混装混收的，每次扣0.5分；</w:t>
            </w:r>
          </w:p>
          <w:p>
            <w:pPr>
              <w:spacing w:line="240" w:lineRule="atLeast"/>
              <w:rPr>
                <w:color w:val="auto"/>
                <w:highlight w:val="none"/>
              </w:rPr>
            </w:pPr>
            <w:r>
              <w:rPr>
                <w:rFonts w:hint="eastAsia"/>
                <w:color w:val="auto"/>
                <w:highlight w:val="none"/>
              </w:rPr>
              <w:t>3.垃圾转运站不达标的每次扣0.5分；</w:t>
            </w:r>
          </w:p>
          <w:p>
            <w:pPr>
              <w:spacing w:line="240" w:lineRule="atLeast"/>
              <w:rPr>
                <w:color w:val="auto"/>
                <w:highlight w:val="none"/>
              </w:rPr>
            </w:pPr>
            <w:r>
              <w:rPr>
                <w:rFonts w:hint="eastAsia"/>
                <w:color w:val="auto"/>
                <w:highlight w:val="none"/>
              </w:rPr>
              <w:t>4.对垃圾桶每日消毒一次，未消毒发现一次扣0.5分；</w:t>
            </w:r>
          </w:p>
          <w:p>
            <w:pPr>
              <w:spacing w:line="240" w:lineRule="atLeast"/>
              <w:rPr>
                <w:color w:val="auto"/>
                <w:highlight w:val="none"/>
              </w:rPr>
            </w:pPr>
            <w:r>
              <w:rPr>
                <w:rFonts w:hint="eastAsia"/>
                <w:color w:val="auto"/>
                <w:highlight w:val="none"/>
              </w:rPr>
              <w:t>5.运输途中无满桶、漏桶、落渣、漏体垃圾发现一次扣0.5；</w:t>
            </w:r>
          </w:p>
          <w:p>
            <w:pPr>
              <w:rPr>
                <w:color w:val="auto"/>
                <w:highlight w:val="none"/>
              </w:rPr>
            </w:pPr>
            <w:r>
              <w:rPr>
                <w:rFonts w:hint="eastAsia"/>
                <w:color w:val="auto"/>
                <w:highlight w:val="none"/>
              </w:rPr>
              <w:t>6.运收时间不准时或未运收一次扣0.5分。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随机</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64"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投诉、举报、通知处理         （5</w:t>
            </w:r>
            <w:r>
              <w:rPr>
                <w:rFonts w:hint="eastAsia" w:ascii="宋体" w:hAnsi="宋体"/>
                <w:color w:val="auto"/>
                <w:szCs w:val="21"/>
                <w:highlight w:val="none"/>
              </w:rPr>
              <w:t>分）</w:t>
            </w:r>
          </w:p>
        </w:tc>
        <w:tc>
          <w:tcPr>
            <w:tcW w:w="4463" w:type="dxa"/>
            <w:tcBorders>
              <w:top w:val="single" w:color="auto" w:sz="4" w:space="0"/>
              <w:left w:val="nil"/>
              <w:bottom w:val="single" w:color="auto" w:sz="4" w:space="0"/>
              <w:right w:val="single" w:color="auto" w:sz="4" w:space="0"/>
            </w:tcBorders>
            <w:noWrap/>
            <w:vAlign w:val="center"/>
          </w:tcPr>
          <w:p>
            <w:pPr>
              <w:spacing w:line="240" w:lineRule="atLeast"/>
              <w:rPr>
                <w:rFonts w:ascii="Calibri" w:hAnsi="Calibri"/>
                <w:color w:val="auto"/>
                <w:szCs w:val="21"/>
                <w:highlight w:val="none"/>
              </w:rPr>
            </w:pPr>
            <w:r>
              <w:rPr>
                <w:rFonts w:hint="eastAsia" w:ascii="Calibri" w:hAnsi="Calibri"/>
                <w:color w:val="auto"/>
                <w:szCs w:val="21"/>
                <w:highlight w:val="none"/>
              </w:rPr>
              <w:t>建立监管平台，专人负责收集信息，接到中队转发的举报、投诉或保洁未到位通知，1</w:t>
            </w:r>
            <w:r>
              <w:rPr>
                <w:rFonts w:hint="eastAsia" w:ascii="宋体" w:hAnsi="宋体"/>
                <w:color w:val="auto"/>
                <w:szCs w:val="21"/>
                <w:highlight w:val="none"/>
              </w:rPr>
              <w:t>小时内及时处理，并当场将处理结果拍照传至中队。</w:t>
            </w:r>
          </w:p>
        </w:tc>
        <w:tc>
          <w:tcPr>
            <w:tcW w:w="7290" w:type="dxa"/>
            <w:tcBorders>
              <w:top w:val="single" w:color="auto" w:sz="4" w:space="0"/>
              <w:left w:val="nil"/>
              <w:bottom w:val="single" w:color="auto" w:sz="4" w:space="0"/>
              <w:right w:val="single" w:color="auto" w:sz="4" w:space="0"/>
            </w:tcBorders>
            <w:noWrap/>
            <w:vAlign w:val="center"/>
          </w:tcPr>
          <w:p>
            <w:pPr>
              <w:numPr>
                <w:ilvl w:val="0"/>
                <w:numId w:val="12"/>
              </w:numPr>
              <w:spacing w:line="240" w:lineRule="atLeast"/>
              <w:rPr>
                <w:color w:val="auto"/>
                <w:highlight w:val="none"/>
              </w:rPr>
            </w:pPr>
            <w:r>
              <w:rPr>
                <w:rFonts w:hint="eastAsia"/>
                <w:color w:val="auto"/>
                <w:highlight w:val="none"/>
              </w:rPr>
              <w:t>被网络举报、投诉的，确认属实，每件扣1分；</w:t>
            </w:r>
          </w:p>
          <w:p>
            <w:pPr>
              <w:numPr>
                <w:ilvl w:val="0"/>
                <w:numId w:val="12"/>
              </w:numPr>
              <w:spacing w:line="240" w:lineRule="atLeast"/>
              <w:rPr>
                <w:color w:val="auto"/>
                <w:highlight w:val="none"/>
              </w:rPr>
            </w:pPr>
            <w:r>
              <w:rPr>
                <w:rFonts w:hint="eastAsia"/>
                <w:color w:val="auto"/>
                <w:highlight w:val="none"/>
              </w:rPr>
              <w:t>接到保洁未到位通知，1小时内没处理完毕，每件扣1分；</w:t>
            </w:r>
          </w:p>
          <w:p>
            <w:pPr>
              <w:numPr>
                <w:ilvl w:val="0"/>
                <w:numId w:val="12"/>
              </w:numPr>
              <w:spacing w:line="240" w:lineRule="atLeast"/>
              <w:rPr>
                <w:color w:val="auto"/>
                <w:highlight w:val="none"/>
              </w:rPr>
            </w:pPr>
            <w:r>
              <w:rPr>
                <w:rFonts w:hint="eastAsia"/>
                <w:color w:val="auto"/>
                <w:highlight w:val="none"/>
              </w:rPr>
              <w:t>处理结果没当场拍照传至中队平台，每次扣0.5分。</w:t>
            </w:r>
          </w:p>
          <w:p>
            <w:pPr>
              <w:numPr>
                <w:ilvl w:val="0"/>
                <w:numId w:val="12"/>
              </w:numPr>
              <w:spacing w:line="240" w:lineRule="atLeast"/>
              <w:rPr>
                <w:color w:val="auto"/>
                <w:highlight w:val="none"/>
              </w:rPr>
            </w:pPr>
            <w:r>
              <w:rPr>
                <w:rFonts w:hint="eastAsia"/>
                <w:color w:val="auto"/>
                <w:highlight w:val="none"/>
              </w:rPr>
              <w:t>被新闻媒体曝光，每件扣2分</w:t>
            </w:r>
          </w:p>
        </w:tc>
        <w:tc>
          <w:tcPr>
            <w:tcW w:w="789" w:type="dxa"/>
            <w:tcBorders>
              <w:top w:val="single" w:color="auto" w:sz="4" w:space="0"/>
              <w:left w:val="nil"/>
              <w:bottom w:val="single" w:color="auto" w:sz="4" w:space="0"/>
              <w:right w:val="single" w:color="auto" w:sz="4" w:space="0"/>
            </w:tcBorders>
            <w:noWrap/>
            <w:vAlign w:val="center"/>
          </w:tcPr>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台账</w:t>
            </w:r>
          </w:p>
          <w:p>
            <w:pPr>
              <w:autoSpaceDE w:val="0"/>
              <w:spacing w:line="240" w:lineRule="atLeast"/>
              <w:jc w:val="center"/>
              <w:rPr>
                <w:rFonts w:ascii="Calibri" w:hAnsi="Calibri"/>
                <w:color w:val="auto"/>
                <w:szCs w:val="21"/>
                <w:highlight w:val="none"/>
              </w:rPr>
            </w:pPr>
            <w:r>
              <w:rPr>
                <w:rFonts w:hint="eastAsia" w:ascii="Calibri" w:hAnsi="Calibri"/>
                <w:color w:val="auto"/>
                <w:szCs w:val="21"/>
                <w:highlight w:val="none"/>
              </w:rPr>
              <w:t>检查</w:t>
            </w:r>
          </w:p>
        </w:tc>
      </w:tr>
    </w:tbl>
    <w:p>
      <w:pPr>
        <w:jc w:val="left"/>
        <w:rPr>
          <w:b/>
          <w:color w:val="auto"/>
          <w:sz w:val="24"/>
          <w:highlight w:val="none"/>
        </w:rPr>
        <w:sectPr>
          <w:pgSz w:w="16838" w:h="11906" w:orient="landscape"/>
          <w:pgMar w:top="1287" w:right="1342" w:bottom="1440" w:left="1440" w:header="720" w:footer="720" w:gutter="0"/>
          <w:cols w:space="720" w:num="1"/>
          <w:docGrid w:linePitch="272" w:charSpace="-3831"/>
        </w:sectPr>
      </w:pPr>
      <w:bookmarkStart w:id="66" w:name="_Toc3579"/>
    </w:p>
    <w:p>
      <w:pPr>
        <w:jc w:val="left"/>
        <w:outlineLvl w:val="1"/>
        <w:rPr>
          <w:b/>
          <w:color w:val="auto"/>
          <w:sz w:val="24"/>
          <w:highlight w:val="none"/>
        </w:rPr>
      </w:pPr>
      <w:r>
        <w:rPr>
          <w:rFonts w:hint="eastAsia"/>
          <w:b/>
          <w:color w:val="auto"/>
          <w:sz w:val="24"/>
          <w:highlight w:val="none"/>
        </w:rPr>
        <w:t>附件2</w:t>
      </w:r>
      <w:bookmarkEnd w:id="66"/>
    </w:p>
    <w:p>
      <w:pPr>
        <w:jc w:val="center"/>
        <w:outlineLvl w:val="1"/>
        <w:rPr>
          <w:b/>
          <w:color w:val="auto"/>
          <w:sz w:val="24"/>
          <w:highlight w:val="none"/>
        </w:rPr>
      </w:pPr>
      <w:r>
        <w:rPr>
          <w:rFonts w:hint="eastAsia"/>
          <w:b/>
          <w:color w:val="auto"/>
          <w:sz w:val="24"/>
          <w:highlight w:val="none"/>
        </w:rPr>
        <w:t>永嘉县瓯北街道东瓯片建成区环卫保洁服务考核办法</w:t>
      </w:r>
    </w:p>
    <w:p>
      <w:pPr>
        <w:widowControl/>
        <w:spacing w:before="100" w:after="100" w:line="360" w:lineRule="auto"/>
        <w:jc w:val="left"/>
        <w:rPr>
          <w:rFonts w:ascii="宋体" w:hAnsi="宋体" w:cs="宋体"/>
          <w:color w:val="auto"/>
          <w:kern w:val="0"/>
          <w:sz w:val="22"/>
          <w:highlight w:val="none"/>
        </w:rPr>
      </w:pPr>
      <w:r>
        <w:rPr>
          <w:rFonts w:hint="eastAsia" w:ascii="宋体" w:hAnsi="宋体"/>
          <w:color w:val="auto"/>
          <w:szCs w:val="21"/>
          <w:highlight w:val="none"/>
        </w:rPr>
        <w:t>（</w:t>
      </w:r>
      <w:r>
        <w:rPr>
          <w:rFonts w:hint="eastAsia" w:ascii="宋体" w:hAnsi="宋体" w:cs="宋体"/>
          <w:color w:val="auto"/>
          <w:kern w:val="0"/>
          <w:sz w:val="22"/>
          <w:highlight w:val="none"/>
        </w:rPr>
        <w:t>一）考核方式</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1.本项目依照《永嘉县瓯北街道东瓯片建成区环卫保洁服务考核评分细则》评分标准进行考评。</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2.道路清扫保洁作业质量考核主体为永嘉瓯北城市新区管理委员会及各大网格（社区），如需承包单位配合的将提前一小时通知该单位派员参加。</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3.道路卫生考核由永嘉瓯北城市新区管理委员会及各大网格（社区）考核为主，采取不定时抽查、暗访相结合的考核形式，考核结果作为每月结算依据。</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4.考核时间：在规定的时间内完成（包括节假日）。 </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5.对考核中发现的问题，当场详细记录，问题路段通过微信实时发布，对不及时回复或回复内容不真实或故意不回复的，纳入当月的量化评分。 </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6.对考核有异议的，由考核人员作出解释，照片或视频保留时间为1个月。 </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7.如有需要甲方有权对承包方人员配备、福利保障、机具配置等进行检查。</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8.中标单位根据要求在合同签署后的30日内提供GPS运行软件，甲方根据需要不定时对人员、车辆轨迹进行督查。</w:t>
      </w:r>
    </w:p>
    <w:p>
      <w:pPr>
        <w:widowControl/>
        <w:spacing w:before="100" w:after="100"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9.中标单位根据要求在合同签署后的30日内提供保洁人员详细名单及身份证复印件，甲方根据保洁人员详细名单不定时对人员到岗率进行督查，保洁人员名单发生变动的，中标单位需在变动后两日内将最新名单及身份证复印件重新提交甲方 。</w:t>
      </w:r>
    </w:p>
    <w:p>
      <w:pPr>
        <w:widowControl/>
        <w:spacing w:before="100" w:after="100" w:line="360" w:lineRule="auto"/>
        <w:jc w:val="left"/>
        <w:rPr>
          <w:rFonts w:eastAsiaTheme="minorEastAsia"/>
          <w:color w:val="auto"/>
          <w:highlight w:val="none"/>
        </w:rPr>
      </w:pPr>
      <w:r>
        <w:rPr>
          <w:rFonts w:hint="eastAsia" w:ascii="宋体" w:hAnsi="宋体" w:cs="宋体"/>
          <w:color w:val="auto"/>
          <w:kern w:val="0"/>
          <w:sz w:val="22"/>
          <w:highlight w:val="none"/>
        </w:rPr>
        <w:t xml:space="preserve">10.考核满分为100分，月达标平均分为95分（含）以上为优，95分（不含）-90（含）分为良，90（不含）分-85（含）分为合格，低于85分的为不达标。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（二）结果运用</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 xml:space="preserve">   1.实施“一月一评”，对月平均分未达优或者未按照招投标文件落实相关措施的，将予以一定金额的扣罚。</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 xml:space="preserve">   2.</w:t>
      </w:r>
      <w:r>
        <w:rPr>
          <w:rFonts w:hint="eastAsia" w:ascii="宋体" w:hAnsi="宋体" w:cs="宋体"/>
          <w:color w:val="auto"/>
          <w:kern w:val="0"/>
          <w:sz w:val="22"/>
          <w:highlight w:val="none"/>
        </w:rPr>
        <w:t>月平均分为95分（不含）-90（含）分，扣款金额=[中标年度总金额÷12×(1-月平均分÷100)]×0.5</w:t>
      </w:r>
      <w:r>
        <w:rPr>
          <w:rFonts w:hint="eastAsia" w:ascii="宋体" w:hAnsi="宋体" w:cs="宋体"/>
          <w:bCs/>
          <w:color w:val="auto"/>
          <w:kern w:val="0"/>
          <w:sz w:val="22"/>
          <w:highlight w:val="none"/>
        </w:rPr>
        <w:t>；</w:t>
      </w:r>
      <w:r>
        <w:rPr>
          <w:rFonts w:hint="eastAsia" w:ascii="宋体" w:hAnsi="宋体" w:cs="宋体"/>
          <w:color w:val="auto"/>
          <w:kern w:val="0"/>
          <w:sz w:val="22"/>
          <w:highlight w:val="none"/>
        </w:rPr>
        <w:t>月平均分为90（不含）分-85（含）分，扣款金额=[中标年度总金额÷12×(1-月平均分÷100)]×0.8</w:t>
      </w:r>
      <w:r>
        <w:rPr>
          <w:rFonts w:hint="eastAsia" w:ascii="宋体" w:hAnsi="宋体" w:cs="宋体"/>
          <w:bCs/>
          <w:color w:val="auto"/>
          <w:kern w:val="0"/>
          <w:sz w:val="22"/>
          <w:highlight w:val="none"/>
        </w:rPr>
        <w:t>；</w:t>
      </w:r>
      <w:r>
        <w:rPr>
          <w:rFonts w:hint="eastAsia" w:ascii="宋体" w:hAnsi="宋体" w:cs="宋体"/>
          <w:color w:val="auto"/>
          <w:kern w:val="0"/>
          <w:sz w:val="22"/>
          <w:highlight w:val="none"/>
        </w:rPr>
        <w:t>月平均分低于85分,扣款金额=[中标年度总金额÷12×(1-月平均分÷100)]×1</w:t>
      </w:r>
      <w:r>
        <w:rPr>
          <w:rFonts w:hint="eastAsia" w:ascii="宋体" w:hAnsi="宋体" w:cs="宋体"/>
          <w:bCs/>
          <w:color w:val="auto"/>
          <w:kern w:val="0"/>
          <w:sz w:val="22"/>
          <w:highlight w:val="none"/>
        </w:rPr>
        <w:t>；月平均分低于85分（不含85分）的，应责令其限期予以改正，并发书面通知书以示警告。全年出现连续两次或者累计三次被警告的，将立即终止承包合同，并没收履约保证金。</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 xml:space="preserve">   3.作业人员配备和职工福利待遇达不到招投标文件要求的，每发现缺少一名作业人员的，扣罚5000元/人进行处罚；每发现一次故意克扣工人工资福利待遇的，按克扣额的10倍予以扣款。其中人员配置少于规定或承诺数90%以及故意被克扣工资福利人数超总人数20%的，将终止承包合同，并没收履约保证金。</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 xml:space="preserve">   4.在合同期内，项目负责人未经采购人批准不得擅自更换，如中标单位擅自更换项目负责人，则按项目负责人月工资福利总额的10倍予以扣款；采购人有权要求撤换工作不负责任、管理不力、不到位、贻误工作者的项目负责人，或造成严重的安全事故和质量事故的项目负责人。更换的项目经理到位时间为采购人发出书面通知后10天内，逾期视为未到位，按5000元/天扣款，扣款达到10万的，采购人可考虑终止合同并没收履约保证金，也可要求中标单位继续履行合同，但中标单位应赔偿采购人因此而导致的全部经济损失。</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5.每月发现机械化作业频次未达到要求的，扣2000人民币/次；每月作业车辆配备未达到要求的，扣50000元/辆。作业车辆连续两月配备不到位或者累计三个月配备不到位的，将终止承包合同，并没收履约保证金（除人力不可抗拒的特殊情况外）。</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6.有市民投诉、媒体曝光并造成社会不良影响的环境卫生事件，经核实的，每次按5000元予以扣款。</w:t>
      </w:r>
    </w:p>
    <w:p>
      <w:pPr>
        <w:widowControl/>
        <w:spacing w:before="100" w:after="100"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7.凡遇国家、省、市、县、街道重大活动或检查时，因道路清扫不到位而出现不良影响的，除给予通报批评外，将予以扣款。国家级检查发现的，每处扣5000元以上；省级检查发现的，每处扣3000元以上；市、县、街道领导检查发现的，每处扣1000元以上。</w:t>
      </w:r>
    </w:p>
    <w:p>
      <w:pPr>
        <w:widowControl/>
        <w:snapToGrid w:val="0"/>
        <w:spacing w:line="360" w:lineRule="auto"/>
        <w:jc w:val="left"/>
        <w:rPr>
          <w:rFonts w:ascii="宋体" w:hAnsi="宋体" w:cs="宋体"/>
          <w:bCs/>
          <w:color w:val="auto"/>
          <w:kern w:val="0"/>
          <w:sz w:val="22"/>
          <w:highlight w:val="none"/>
        </w:rPr>
      </w:pPr>
      <w:r>
        <w:rPr>
          <w:rFonts w:hint="eastAsia" w:ascii="宋体" w:hAnsi="宋体" w:cs="宋体"/>
          <w:bCs/>
          <w:color w:val="auto"/>
          <w:kern w:val="0"/>
          <w:sz w:val="22"/>
          <w:highlight w:val="none"/>
        </w:rPr>
        <w:t>8.以上违规情况涉及扣款均从每月承包经费中扣除，扣完为止。</w:t>
      </w:r>
    </w:p>
    <w:p>
      <w:pPr>
        <w:rPr>
          <w:color w:val="auto"/>
          <w:highlight w:val="none"/>
        </w:rPr>
      </w:pPr>
    </w:p>
    <w:p>
      <w:pPr>
        <w:pStyle w:val="25"/>
        <w:tabs>
          <w:tab w:val="left" w:pos="482"/>
          <w:tab w:val="left" w:pos="2183"/>
          <w:tab w:val="left" w:pos="3884"/>
          <w:tab w:val="left" w:pos="5585"/>
        </w:tabs>
        <w:ind w:firstLine="210"/>
        <w:rPr>
          <w:color w:val="auto"/>
          <w:highlight w:val="none"/>
        </w:rPr>
      </w:pPr>
    </w:p>
    <w:p>
      <w:pPr>
        <w:pStyle w:val="25"/>
        <w:tabs>
          <w:tab w:val="left" w:pos="482"/>
          <w:tab w:val="left" w:pos="2183"/>
          <w:tab w:val="left" w:pos="3884"/>
          <w:tab w:val="left" w:pos="5585"/>
        </w:tabs>
        <w:ind w:firstLine="210"/>
        <w:rPr>
          <w:color w:val="auto"/>
          <w:highlight w:val="none"/>
        </w:rPr>
      </w:pPr>
    </w:p>
    <w:p>
      <w:pPr>
        <w:pStyle w:val="2"/>
        <w:ind w:left="0" w:leftChars="0" w:firstLine="0" w:firstLineChars="0"/>
        <w:rPr>
          <w:rFonts w:cs="宋体"/>
          <w:b/>
          <w:color w:val="auto"/>
          <w:szCs w:val="22"/>
          <w:highlight w:val="none"/>
        </w:rPr>
        <w:sectPr>
          <w:pgSz w:w="11906" w:h="16838"/>
          <w:pgMar w:top="1418" w:right="1418" w:bottom="1418" w:left="1701" w:header="851" w:footer="992" w:gutter="0"/>
          <w:cols w:space="720" w:num="1"/>
          <w:docGrid w:type="lines" w:linePitch="312" w:charSpace="0"/>
        </w:sectPr>
      </w:pPr>
    </w:p>
    <w:p>
      <w:pPr>
        <w:widowControl/>
        <w:snapToGrid w:val="0"/>
        <w:spacing w:line="360" w:lineRule="auto"/>
        <w:jc w:val="left"/>
        <w:rPr>
          <w:rFonts w:ascii="仿宋" w:hAnsi="仿宋" w:eastAsia="仿宋" w:cs="仿宋_GB2312"/>
          <w:color w:val="auto"/>
          <w:sz w:val="24"/>
          <w:highlight w:val="none"/>
        </w:rPr>
      </w:pPr>
    </w:p>
    <w:p>
      <w:pPr>
        <w:widowControl/>
        <w:snapToGrid w:val="0"/>
        <w:spacing w:line="360" w:lineRule="auto"/>
        <w:jc w:val="left"/>
        <w:rPr>
          <w:rFonts w:ascii="仿宋_GB2312" w:hAnsi="仿宋" w:eastAsia="仿宋_GB2312" w:cs="仿宋_GB2312"/>
          <w:b/>
          <w:color w:val="auto"/>
          <w:sz w:val="36"/>
          <w:szCs w:val="36"/>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bookmarkStart w:id="67" w:name="_Toc5679"/>
      <w:bookmarkStart w:id="68" w:name="_Toc221356961"/>
      <w:bookmarkStart w:id="69" w:name="_Toc221356898"/>
      <w:r>
        <w:rPr>
          <w:rFonts w:hint="eastAsia" w:ascii="仿宋" w:hAnsi="仿宋" w:eastAsia="仿宋" w:cs="仿宋_GB2312"/>
          <w:b/>
          <w:color w:val="auto"/>
          <w:sz w:val="36"/>
          <w:szCs w:val="20"/>
          <w:highlight w:val="none"/>
        </w:rPr>
        <w:t>第五部分  应提交的有关格式范例</w:t>
      </w:r>
      <w:bookmarkEnd w:id="67"/>
    </w:p>
    <w:p>
      <w:pPr>
        <w:rPr>
          <w:rFonts w:ascii="仿宋_GB2312" w:hAnsi="仿宋" w:eastAsia="仿宋_GB2312" w:cs="仿宋_GB2312"/>
          <w:b/>
          <w:color w:val="auto"/>
          <w:kern w:val="0"/>
          <w:sz w:val="36"/>
          <w:szCs w:val="36"/>
          <w:highlight w:val="none"/>
        </w:rPr>
      </w:pPr>
    </w:p>
    <w:p>
      <w:pPr>
        <w:jc w:val="center"/>
        <w:outlineLvl w:val="1"/>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p>
    <w:p>
      <w:pPr>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 w:hAnsi="仿宋" w:eastAsia="仿宋" w:cs="仿宋_GB2312"/>
          <w:b/>
          <w:color w:val="auto"/>
          <w:kern w:val="0"/>
          <w:sz w:val="32"/>
          <w:szCs w:val="32"/>
          <w:highlight w:val="none"/>
        </w:rPr>
        <w:t>一、符合参加政府采购活动应当具备的一般条件的承诺函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（采购人）、（采购代理机构）</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我方参与（项目名称）【招标编号：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4819" w:firstLineChars="2008"/>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投标人名称</w:t>
      </w:r>
      <w:r>
        <w:rPr>
          <w:rFonts w:ascii="仿宋" w:hAnsi="仿宋" w:eastAsia="仿宋" w:cs="仿宋_GB2312"/>
          <w:color w:val="auto"/>
          <w:kern w:val="0"/>
          <w:sz w:val="24"/>
          <w:highlight w:val="none"/>
          <w:lang w:val="zh-CN"/>
        </w:rPr>
        <w:t>(电子签名)：</w:t>
      </w:r>
    </w:p>
    <w:p>
      <w:pPr>
        <w:snapToGrid w:val="0"/>
        <w:spacing w:line="360" w:lineRule="auto"/>
        <w:ind w:firstLine="4819" w:firstLineChars="2008"/>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仿宋" w:hAnsi="仿宋" w:eastAsia="仿宋" w:cs="Arial"/>
          <w:b/>
          <w:bCs/>
          <w:color w:val="auto"/>
          <w:szCs w:val="21"/>
          <w:highlight w:val="none"/>
        </w:rPr>
      </w:pPr>
      <w:r>
        <w:rPr>
          <w:rFonts w:ascii="仿宋" w:hAnsi="仿宋" w:eastAsia="仿宋" w:cs="Arial"/>
          <w:b/>
          <w:bCs/>
          <w:color w:val="auto"/>
          <w:szCs w:val="21"/>
          <w:highlight w:val="none"/>
        </w:rPr>
        <w:br w:type="page"/>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附：</w:t>
      </w:r>
    </w:p>
    <w:p>
      <w:pPr>
        <w:snapToGrid w:val="0"/>
        <w:spacing w:line="360" w:lineRule="auto"/>
        <w:jc w:val="left"/>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企业营业执照（或事业法人登记证书或其它工商等登记证明材料，自然人提供身份证)复制件；</w:t>
      </w:r>
    </w:p>
    <w:p>
      <w:pPr>
        <w:snapToGrid w:val="0"/>
        <w:spacing w:line="360" w:lineRule="auto"/>
        <w:jc w:val="left"/>
        <w:rPr>
          <w:rFonts w:ascii="仿宋" w:hAnsi="仿宋" w:eastAsia="仿宋" w:cs="Arial"/>
          <w:color w:val="auto"/>
          <w:szCs w:val="21"/>
          <w:highlight w:val="none"/>
        </w:rPr>
      </w:pPr>
    </w:p>
    <w:p>
      <w:pPr>
        <w:snapToGrid w:val="0"/>
        <w:spacing w:line="360" w:lineRule="auto"/>
        <w:jc w:val="left"/>
        <w:rPr>
          <w:rFonts w:ascii="仿宋" w:hAnsi="仿宋" w:eastAsia="仿宋" w:cs="Arial"/>
          <w:color w:val="auto"/>
          <w:szCs w:val="21"/>
          <w:highlight w:val="none"/>
        </w:rPr>
      </w:pPr>
      <w:r>
        <w:rPr>
          <w:rFonts w:hint="eastAsia" w:ascii="仿宋" w:hAnsi="仿宋" w:eastAsia="仿宋" w:cs="Arial"/>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与其他法人单位法定代表人（负责人）签署的文件材料具有同等效力）。</w:t>
      </w:r>
    </w:p>
    <w:p>
      <w:pPr>
        <w:snapToGrid w:val="0"/>
        <w:spacing w:line="360" w:lineRule="auto"/>
        <w:jc w:val="left"/>
        <w:rPr>
          <w:rFonts w:ascii="仿宋_GB2312" w:hAnsi="仿宋" w:eastAsia="仿宋_GB2312" w:cs="仿宋_GB2312"/>
          <w:color w:val="auto"/>
          <w:kern w:val="0"/>
          <w:sz w:val="28"/>
          <w:szCs w:val="28"/>
          <w:highlight w:val="none"/>
        </w:rPr>
      </w:pPr>
      <w:r>
        <w:rPr>
          <w:rFonts w:ascii="仿宋_GB2312" w:hAnsi="仿宋" w:eastAsia="仿宋_GB2312" w:cs="仿宋_GB2312"/>
          <w:color w:val="auto"/>
          <w:kern w:val="0"/>
          <w:sz w:val="28"/>
          <w:szCs w:val="28"/>
          <w:highlight w:val="none"/>
        </w:rPr>
        <w:br w:type="page"/>
      </w:r>
    </w:p>
    <w:p>
      <w:pPr>
        <w:widowControl/>
        <w:adjustRightInd/>
        <w:jc w:val="left"/>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sz w:val="24"/>
          <w:highlight w:val="none"/>
        </w:rPr>
      </w:pPr>
      <w:r>
        <w:rPr>
          <w:rFonts w:hint="eastAsia" w:ascii="仿宋" w:hAnsi="仿宋" w:eastAsia="仿宋" w:cs="仿宋_GB2312"/>
          <w:b/>
          <w:color w:val="auto"/>
          <w:kern w:val="0"/>
          <w:sz w:val="32"/>
          <w:szCs w:val="32"/>
          <w:highlight w:val="none"/>
        </w:rPr>
        <w:t>二、落实政府采购政策需满足的资格要求</w:t>
      </w:r>
    </w:p>
    <w:p>
      <w:pPr>
        <w:spacing w:line="360" w:lineRule="auto"/>
        <w:jc w:val="center"/>
        <w:rPr>
          <w:rFonts w:ascii="仿宋" w:hAnsi="仿宋" w:eastAsia="仿宋"/>
          <w:color w:val="auto"/>
          <w:sz w:val="24"/>
          <w:highlight w:val="none"/>
        </w:rPr>
      </w:pPr>
    </w:p>
    <w:p>
      <w:pPr>
        <w:pStyle w:val="842"/>
        <w:keepNext w:val="0"/>
        <w:pageBreakBefore w:val="0"/>
        <w:tabs>
          <w:tab w:val="clear" w:pos="720"/>
        </w:tabs>
        <w:snapToGrid w:val="0"/>
        <w:spacing w:before="120" w:after="120"/>
        <w:jc w:val="both"/>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附件1</w:t>
      </w:r>
    </w:p>
    <w:p>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（招标文件中明确的所属行业）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rPr>
        <w:t>人，营业收入为万元，资产总额为万元属于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spacing w:line="360" w:lineRule="auto"/>
        <w:ind w:right="1120" w:firstLine="4680" w:firstLineChars="1950"/>
        <w:rPr>
          <w:rFonts w:ascii="仿宋" w:hAnsi="仿宋" w:eastAsia="仿宋"/>
          <w:color w:val="auto"/>
          <w:sz w:val="24"/>
          <w:highlight w:val="none"/>
        </w:rPr>
      </w:pPr>
      <w:r>
        <w:rPr>
          <w:rFonts w:hint="eastAsia" w:ascii="仿宋" w:hAnsi="仿宋" w:eastAsia="仿宋"/>
          <w:color w:val="auto"/>
          <w:sz w:val="24"/>
          <w:highlight w:val="none"/>
        </w:rPr>
        <w:t>日期：</w:t>
      </w:r>
    </w:p>
    <w:p>
      <w:pPr>
        <w:spacing w:line="360" w:lineRule="auto"/>
        <w:jc w:val="left"/>
        <w:rPr>
          <w:rFonts w:ascii="仿宋" w:hAnsi="仿宋" w:eastAsia="仿宋"/>
          <w:b/>
          <w:color w:val="auto"/>
          <w:szCs w:val="21"/>
          <w:highlight w:val="none"/>
        </w:rPr>
      </w:pP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注：1、从业人员、营业收入、资产总额填报上一年度数据，无上一年度数据的新成立企业可不填报。</w:t>
      </w:r>
    </w:p>
    <w:p>
      <w:pPr>
        <w:spacing w:line="360" w:lineRule="auto"/>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w:t>
      </w:r>
      <w:r>
        <w:rPr>
          <w:rFonts w:ascii="仿宋" w:hAnsi="仿宋" w:eastAsia="仿宋"/>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bCs/>
          <w:color w:val="auto"/>
          <w:sz w:val="24"/>
          <w:szCs w:val="22"/>
          <w:highlight w:val="none"/>
        </w:rPr>
      </w:pPr>
      <w:r>
        <w:rPr>
          <w:rFonts w:ascii="宋体" w:hAnsi="宋体" w:cs="宋体"/>
          <w:b/>
          <w:bCs/>
          <w:color w:val="auto"/>
          <w:sz w:val="24"/>
          <w:szCs w:val="22"/>
          <w:highlight w:val="none"/>
        </w:rPr>
        <w:br w:type="page"/>
      </w:r>
    </w:p>
    <w:p>
      <w:pPr>
        <w:spacing w:line="360" w:lineRule="auto"/>
        <w:jc w:val="center"/>
        <w:rPr>
          <w:rFonts w:ascii="宋体" w:hAnsi="宋体" w:cs="新宋体"/>
          <w:b/>
          <w:bCs/>
          <w:color w:val="auto"/>
          <w:sz w:val="22"/>
          <w:szCs w:val="22"/>
          <w:highlight w:val="none"/>
        </w:rPr>
      </w:pPr>
    </w:p>
    <w:p>
      <w:pPr>
        <w:spacing w:line="360" w:lineRule="auto"/>
        <w:jc w:val="center"/>
        <w:rPr>
          <w:rFonts w:ascii="仿宋" w:hAnsi="仿宋" w:eastAsia="仿宋" w:cs="Arial"/>
          <w:b/>
          <w:bCs/>
          <w:color w:val="auto"/>
          <w:sz w:val="28"/>
          <w:szCs w:val="28"/>
          <w:highlight w:val="none"/>
        </w:rPr>
      </w:pPr>
      <w:r>
        <w:rPr>
          <w:rFonts w:hint="eastAsia" w:ascii="仿宋" w:hAnsi="仿宋" w:eastAsia="仿宋" w:cs="Arial"/>
          <w:b/>
          <w:bCs/>
          <w:color w:val="auto"/>
          <w:sz w:val="28"/>
          <w:szCs w:val="28"/>
          <w:highlight w:val="none"/>
        </w:rPr>
        <w:t>（2）残疾人福利性单位声明函</w:t>
      </w:r>
    </w:p>
    <w:p>
      <w:pPr>
        <w:spacing w:line="360" w:lineRule="auto"/>
        <w:jc w:val="center"/>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rPr>
        <w:t>（如有）</w:t>
      </w:r>
    </w:p>
    <w:p>
      <w:pPr>
        <w:spacing w:line="588" w:lineRule="exact"/>
        <w:jc w:val="left"/>
        <w:rPr>
          <w:rFonts w:ascii="仿宋" w:hAnsi="仿宋" w:eastAsia="仿宋" w:cs="宋体"/>
          <w:b/>
          <w:color w:val="auto"/>
          <w:spacing w:val="6"/>
          <w:sz w:val="30"/>
          <w:szCs w:val="30"/>
          <w:highlight w:val="none"/>
        </w:rPr>
      </w:pP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宋体"/>
          <w:color w:val="auto"/>
          <w:sz w:val="24"/>
          <w:highlight w:val="none"/>
        </w:rPr>
        <w:t>〔2017〕 141</w:t>
      </w:r>
      <w:r>
        <w:rPr>
          <w:rFonts w:hint="eastAsia" w:ascii="仿宋" w:hAnsi="仿宋" w:eastAsia="仿宋"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ascii="仿宋" w:hAnsi="仿宋" w:eastAsia="仿宋" w:cs="宋体"/>
          <w:color w:val="auto"/>
          <w:spacing w:val="6"/>
          <w:sz w:val="24"/>
          <w:highlight w:val="none"/>
        </w:rPr>
      </w:pPr>
      <w:r>
        <w:rPr>
          <w:rFonts w:hint="eastAsia" w:ascii="仿宋" w:hAnsi="仿宋" w:eastAsia="仿宋" w:cs="宋体"/>
          <w:color w:val="auto"/>
          <w:spacing w:val="6"/>
          <w:sz w:val="24"/>
          <w:highlight w:val="none"/>
        </w:rPr>
        <w:t>本单位对上述声明的真实性负责。如有虚假，将依法承担相应责任。</w:t>
      </w:r>
    </w:p>
    <w:p>
      <w:pPr>
        <w:spacing w:line="480" w:lineRule="auto"/>
        <w:ind w:firstLine="504" w:firstLineChars="200"/>
        <w:jc w:val="left"/>
        <w:rPr>
          <w:rFonts w:ascii="仿宋" w:hAnsi="仿宋" w:eastAsia="仿宋" w:cs="宋体"/>
          <w:color w:val="auto"/>
          <w:spacing w:val="6"/>
          <w:sz w:val="24"/>
          <w:highlight w:val="none"/>
        </w:rPr>
      </w:pPr>
    </w:p>
    <w:p>
      <w:pPr>
        <w:tabs>
          <w:tab w:val="left" w:pos="4860"/>
        </w:tabs>
        <w:spacing w:line="480" w:lineRule="auto"/>
        <w:ind w:right="1191" w:firstLine="3828" w:firstLineChars="1595"/>
        <w:jc w:val="left"/>
        <w:rPr>
          <w:rFonts w:ascii="仿宋" w:hAnsi="仿宋" w:eastAsia="仿宋" w:cs="宋体"/>
          <w:color w:val="auto"/>
          <w:spacing w:val="6"/>
          <w:sz w:val="24"/>
          <w:highlight w:val="none"/>
        </w:rPr>
      </w:pPr>
      <w:r>
        <w:rPr>
          <w:rFonts w:hint="eastAsia" w:ascii="仿宋" w:hAnsi="仿宋" w:eastAsia="仿宋" w:cs="仿宋_GB2312"/>
          <w:color w:val="auto"/>
          <w:sz w:val="24"/>
          <w:highlight w:val="none"/>
        </w:rPr>
        <w:t>投标人</w:t>
      </w:r>
      <w:r>
        <w:rPr>
          <w:rFonts w:hint="eastAsia" w:ascii="仿宋" w:hAnsi="仿宋" w:eastAsia="仿宋"/>
          <w:color w:val="auto"/>
          <w:sz w:val="24"/>
          <w:highlight w:val="none"/>
        </w:rPr>
        <w:t>名称（</w:t>
      </w:r>
      <w:r>
        <w:rPr>
          <w:rFonts w:hint="eastAsia" w:ascii="仿宋" w:hAnsi="仿宋" w:eastAsia="仿宋" w:cs="仿宋_GB2312"/>
          <w:color w:val="auto"/>
          <w:sz w:val="24"/>
          <w:highlight w:val="none"/>
        </w:rPr>
        <w:t>电子签名</w:t>
      </w:r>
      <w:r>
        <w:rPr>
          <w:rFonts w:hint="eastAsia" w:ascii="仿宋" w:hAnsi="仿宋" w:eastAsia="仿宋"/>
          <w:color w:val="auto"/>
          <w:sz w:val="24"/>
          <w:highlight w:val="none"/>
        </w:rPr>
        <w:t>）：</w:t>
      </w:r>
    </w:p>
    <w:p>
      <w:pPr>
        <w:tabs>
          <w:tab w:val="left" w:pos="4860"/>
        </w:tabs>
        <w:spacing w:line="480" w:lineRule="auto"/>
        <w:ind w:right="1560" w:firstLine="4019" w:firstLineChars="1595"/>
        <w:jc w:val="left"/>
        <w:rPr>
          <w:rFonts w:ascii="仿宋" w:hAnsi="仿宋" w:eastAsia="仿宋" w:cs="宋体"/>
          <w:color w:val="auto"/>
          <w:sz w:val="24"/>
          <w:highlight w:val="none"/>
        </w:rPr>
      </w:pPr>
      <w:r>
        <w:rPr>
          <w:rFonts w:hint="eastAsia" w:ascii="仿宋" w:hAnsi="仿宋" w:eastAsia="仿宋" w:cs="宋体"/>
          <w:color w:val="auto"/>
          <w:spacing w:val="6"/>
          <w:sz w:val="24"/>
          <w:highlight w:val="none"/>
        </w:rPr>
        <w:t>日     期：</w:t>
      </w:r>
    </w:p>
    <w:p>
      <w:pPr>
        <w:spacing w:line="360" w:lineRule="auto"/>
        <w:jc w:val="left"/>
        <w:rPr>
          <w:rFonts w:ascii="仿宋" w:hAnsi="仿宋" w:eastAsia="仿宋" w:cs="宋体"/>
          <w:b/>
          <w:color w:val="auto"/>
          <w:sz w:val="24"/>
          <w:highlight w:val="none"/>
        </w:rPr>
      </w:pPr>
    </w:p>
    <w:p>
      <w:pPr>
        <w:tabs>
          <w:tab w:val="left" w:pos="312"/>
        </w:tabs>
        <w:spacing w:line="400" w:lineRule="exact"/>
        <w:jc w:val="left"/>
        <w:rPr>
          <w:rFonts w:ascii="仿宋" w:hAnsi="仿宋" w:eastAsia="仿宋"/>
          <w:color w:val="auto"/>
          <w:sz w:val="18"/>
          <w:szCs w:val="18"/>
          <w:highlight w:val="none"/>
        </w:rPr>
      </w:pPr>
      <w:r>
        <w:rPr>
          <w:rFonts w:hint="eastAsia" w:ascii="仿宋" w:hAnsi="仿宋" w:eastAsia="仿宋"/>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ascii="仿宋" w:hAnsi="仿宋" w:eastAsia="仿宋"/>
          <w:color w:val="auto"/>
          <w:sz w:val="18"/>
          <w:szCs w:val="18"/>
          <w:highlight w:val="none"/>
        </w:rPr>
      </w:pPr>
      <w:r>
        <w:rPr>
          <w:rFonts w:hint="eastAsia" w:ascii="仿宋" w:hAnsi="仿宋" w:eastAsia="仿宋"/>
          <w:color w:val="auto"/>
          <w:sz w:val="18"/>
          <w:szCs w:val="18"/>
          <w:highlight w:val="none"/>
        </w:rPr>
        <w:t>4、供应商不属于残疾人福利性单位的，无需提供此声明函，如提供所引起的后果由供应商承担。</w:t>
      </w:r>
    </w:p>
    <w:p>
      <w:pPr>
        <w:widowControl/>
        <w:adjustRightInd/>
        <w:jc w:val="left"/>
        <w:rPr>
          <w:rFonts w:ascii="仿宋" w:hAnsi="仿宋" w:eastAsia="仿宋"/>
          <w:color w:val="auto"/>
          <w:sz w:val="28"/>
          <w:szCs w:val="28"/>
          <w:highlight w:val="none"/>
        </w:rPr>
      </w:pPr>
      <w:r>
        <w:rPr>
          <w:rFonts w:ascii="仿宋_GB2312" w:hAnsi="仿宋" w:eastAsia="仿宋_GB2312" w:cs="仿宋_GB2312"/>
          <w:b/>
          <w:color w:val="auto"/>
          <w:kern w:val="0"/>
          <w:sz w:val="32"/>
          <w:szCs w:val="32"/>
          <w:highlight w:val="none"/>
          <w:lang w:val="zh-CN"/>
        </w:rPr>
        <w:br w:type="page"/>
      </w:r>
    </w:p>
    <w:p>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三、本项目的特定资格要求</w:t>
      </w:r>
    </w:p>
    <w:p>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olor w:val="auto"/>
          <w:sz w:val="24"/>
          <w:highlight w:val="none"/>
        </w:rPr>
        <w:t>无需提供</w:t>
      </w:r>
      <w:r>
        <w:rPr>
          <w:rFonts w:hint="eastAsia" w:ascii="仿宋" w:hAnsi="仿宋" w:eastAsia="仿宋" w:cs="仿宋_GB2312"/>
          <w:color w:val="auto"/>
          <w:sz w:val="24"/>
          <w:highlight w:val="none"/>
        </w:rPr>
        <w:t>）</w:t>
      </w:r>
    </w:p>
    <w:p>
      <w:pPr>
        <w:rPr>
          <w:rFonts w:ascii="仿宋" w:hAnsi="仿宋" w:eastAsia="仿宋"/>
          <w:color w:val="auto"/>
          <w:highlight w:val="none"/>
        </w:rPr>
      </w:pPr>
    </w:p>
    <w:p>
      <w:pPr>
        <w:widowControl/>
        <w:adjustRightInd/>
        <w:jc w:val="left"/>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6"/>
          <w:szCs w:val="36"/>
          <w:highlight w:val="none"/>
        </w:rPr>
        <w:br w:type="page"/>
      </w:r>
    </w:p>
    <w:p>
      <w:pPr>
        <w:spacing w:line="360" w:lineRule="auto"/>
        <w:ind w:right="420"/>
        <w:jc w:val="center"/>
        <w:rPr>
          <w:rFonts w:ascii="仿宋" w:hAnsi="仿宋" w:eastAsia="仿宋" w:cs="仿宋_GB2312"/>
          <w:b/>
          <w:color w:val="auto"/>
          <w:kern w:val="0"/>
          <w:sz w:val="36"/>
          <w:szCs w:val="36"/>
          <w:highlight w:val="none"/>
        </w:rPr>
      </w:pPr>
      <w:bookmarkStart w:id="70" w:name="_Hlk93169794"/>
      <w:r>
        <w:rPr>
          <w:rFonts w:hint="eastAsia" w:ascii="仿宋" w:hAnsi="仿宋" w:eastAsia="仿宋" w:cs="仿宋_GB2312"/>
          <w:b/>
          <w:color w:val="auto"/>
          <w:kern w:val="0"/>
          <w:sz w:val="36"/>
          <w:szCs w:val="36"/>
          <w:highlight w:val="none"/>
        </w:rPr>
        <w:t>商务技术文件部分</w:t>
      </w:r>
      <w:bookmarkEnd w:id="70"/>
    </w:p>
    <w:p>
      <w:pPr>
        <w:spacing w:line="360" w:lineRule="auto"/>
        <w:jc w:val="center"/>
        <w:rPr>
          <w:rFonts w:ascii="仿宋" w:hAnsi="仿宋" w:eastAsia="仿宋" w:cs="仿宋_GB2312"/>
          <w:b/>
          <w:color w:val="auto"/>
          <w:kern w:val="0"/>
          <w:sz w:val="24"/>
          <w:highlight w:val="none"/>
        </w:rPr>
      </w:pPr>
    </w:p>
    <w:p>
      <w:pPr>
        <w:spacing w:line="360" w:lineRule="auto"/>
        <w:jc w:val="center"/>
        <w:outlineLvl w:val="0"/>
        <w:rPr>
          <w:rFonts w:ascii="仿宋" w:hAnsi="仿宋" w:eastAsia="仿宋" w:cs="仿宋_GB2312"/>
          <w:b/>
          <w:color w:val="auto"/>
          <w:kern w:val="0"/>
          <w:sz w:val="28"/>
          <w:szCs w:val="28"/>
          <w:highlight w:val="none"/>
        </w:rPr>
      </w:pPr>
      <w:bookmarkStart w:id="71" w:name="_Toc8005"/>
      <w:r>
        <w:rPr>
          <w:rFonts w:hint="eastAsia" w:ascii="仿宋" w:hAnsi="仿宋" w:eastAsia="仿宋" w:cs="仿宋_GB2312"/>
          <w:b/>
          <w:color w:val="auto"/>
          <w:kern w:val="0"/>
          <w:sz w:val="28"/>
          <w:szCs w:val="28"/>
          <w:highlight w:val="none"/>
        </w:rPr>
        <w:t>目录</w:t>
      </w:r>
      <w:bookmarkEnd w:id="71"/>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其他需要提供的文件格式</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）商务技术偏离表</w:t>
      </w:r>
      <w:r>
        <w:rPr>
          <w:rFonts w:hint="eastAsia" w:ascii="仿宋" w:hAnsi="仿宋" w:eastAsia="仿宋" w:cs="仿宋_GB2312"/>
          <w:color w:val="auto"/>
          <w:highlight w:val="none"/>
        </w:rPr>
        <w:t>……………………………………………………………………（页码）</w:t>
      </w:r>
    </w:p>
    <w:p>
      <w:pPr>
        <w:snapToGrid w:val="0"/>
        <w:spacing w:line="360" w:lineRule="auto"/>
        <w:jc w:val="distribute"/>
        <w:rPr>
          <w:rFonts w:ascii="仿宋" w:hAnsi="仿宋" w:eastAsia="仿宋" w:cs="仿宋_GB2312"/>
          <w:color w:val="auto"/>
          <w:highlight w:val="none"/>
        </w:rPr>
      </w:pPr>
      <w:r>
        <w:rPr>
          <w:rFonts w:hint="eastAsia" w:ascii="仿宋" w:hAnsi="仿宋" w:eastAsia="仿宋" w:cs="仿宋_GB2312"/>
          <w:color w:val="auto"/>
          <w:sz w:val="24"/>
          <w:highlight w:val="none"/>
        </w:rPr>
        <w:t>（6）针对本项目的管理工作计划、技术措施方案</w:t>
      </w:r>
      <w:r>
        <w:rPr>
          <w:rFonts w:hint="eastAsia" w:ascii="仿宋" w:hAnsi="仿宋" w:eastAsia="仿宋" w:cs="仿宋_GB2312"/>
          <w:color w:val="auto"/>
          <w:highlight w:val="none"/>
        </w:rPr>
        <w:t>………………………………（页码）</w:t>
      </w:r>
    </w:p>
    <w:p>
      <w:pPr>
        <w:snapToGrid w:val="0"/>
        <w:spacing w:line="360" w:lineRule="auto"/>
        <w:jc w:val="left"/>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snapToGrid w:val="0"/>
        <w:spacing w:line="360" w:lineRule="auto"/>
        <w:jc w:val="left"/>
        <w:outlineLvl w:val="0"/>
        <w:rPr>
          <w:rFonts w:ascii="仿宋" w:hAnsi="仿宋" w:eastAsia="仿宋" w:cs="仿宋_GB2312"/>
          <w:b/>
          <w:color w:val="auto"/>
          <w:kern w:val="0"/>
          <w:sz w:val="28"/>
          <w:szCs w:val="28"/>
          <w:highlight w:val="none"/>
        </w:rPr>
      </w:pPr>
      <w:bookmarkStart w:id="72" w:name="_Toc6709"/>
      <w:r>
        <w:rPr>
          <w:rFonts w:hint="eastAsia" w:ascii="仿宋" w:hAnsi="仿宋" w:eastAsia="仿宋" w:cs="仿宋_GB2312"/>
          <w:b/>
          <w:color w:val="auto"/>
          <w:kern w:val="0"/>
          <w:sz w:val="28"/>
          <w:szCs w:val="28"/>
          <w:highlight w:val="none"/>
        </w:rPr>
        <w:t>附件1</w:t>
      </w:r>
      <w:bookmarkEnd w:id="72"/>
    </w:p>
    <w:p>
      <w:pPr>
        <w:snapToGrid w:val="0"/>
        <w:spacing w:line="360" w:lineRule="auto"/>
        <w:jc w:val="center"/>
        <w:outlineLvl w:val="0"/>
        <w:rPr>
          <w:rFonts w:ascii="仿宋" w:hAnsi="仿宋" w:eastAsia="仿宋" w:cs="仿宋_GB2312"/>
          <w:b/>
          <w:color w:val="auto"/>
          <w:sz w:val="32"/>
          <w:szCs w:val="32"/>
          <w:highlight w:val="none"/>
        </w:rPr>
      </w:pPr>
      <w:bookmarkStart w:id="73" w:name="_Toc5953"/>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bookmarkEnd w:id="73"/>
    </w:p>
    <w:p>
      <w:pPr>
        <w:snapToGrid w:val="0"/>
        <w:spacing w:line="360" w:lineRule="auto"/>
        <w:rPr>
          <w:rFonts w:ascii="仿宋" w:hAnsi="仿宋" w:eastAsia="仿宋" w:cs="仿宋_GB2312"/>
          <w:color w:val="auto"/>
          <w:szCs w:val="21"/>
          <w:highlight w:val="none"/>
        </w:rPr>
      </w:pPr>
      <w:r>
        <w:rPr>
          <w:rFonts w:hint="eastAsia" w:ascii="仿宋" w:hAnsi="仿宋" w:eastAsia="仿宋" w:cs="仿宋_GB2312"/>
          <w:color w:val="auto"/>
          <w:szCs w:val="21"/>
          <w:highlight w:val="none"/>
        </w:rPr>
        <w:t>（采购人）、（采购代理机构）：</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我方参加你方组织的</w:t>
      </w:r>
      <w:r>
        <w:rPr>
          <w:rFonts w:hint="eastAsia" w:ascii="仿宋" w:hAnsi="仿宋" w:eastAsia="仿宋" w:cs="仿宋_GB2312"/>
          <w:color w:val="auto"/>
          <w:szCs w:val="21"/>
          <w:highlight w:val="none"/>
          <w:u w:val="single"/>
        </w:rPr>
        <w:t>（项目名称）</w:t>
      </w:r>
      <w:r>
        <w:rPr>
          <w:rFonts w:hint="eastAsia" w:ascii="仿宋" w:hAnsi="仿宋" w:eastAsia="仿宋" w:cs="仿宋_GB2312"/>
          <w:color w:val="auto"/>
          <w:szCs w:val="21"/>
          <w:highlight w:val="none"/>
        </w:rPr>
        <w:t>项目【</w:t>
      </w:r>
      <w:r>
        <w:rPr>
          <w:rFonts w:hint="eastAsia" w:ascii="仿宋" w:hAnsi="仿宋" w:eastAsia="仿宋"/>
          <w:color w:val="auto"/>
          <w:szCs w:val="21"/>
          <w:highlight w:val="none"/>
          <w:u w:val="single"/>
        </w:rPr>
        <w:t>采购编号</w:t>
      </w:r>
      <w:r>
        <w:rPr>
          <w:rFonts w:hint="eastAsia" w:ascii="仿宋" w:hAnsi="仿宋" w:eastAsia="仿宋" w:cs="仿宋_GB2312"/>
          <w:color w:val="auto"/>
          <w:szCs w:val="21"/>
          <w:highlight w:val="none"/>
        </w:rPr>
        <w:t>】采购的有关活动，并对此项目进行投标。为此：</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1.</w:t>
      </w:r>
      <w:r>
        <w:rPr>
          <w:rFonts w:ascii="仿宋" w:hAnsi="仿宋" w:eastAsia="仿宋" w:cs="仿宋_GB2312"/>
          <w:color w:val="auto"/>
          <w:szCs w:val="21"/>
          <w:highlight w:val="none"/>
        </w:rPr>
        <w:t>我方承诺投标有效期从提交投标文件的截止之日起</w:t>
      </w:r>
      <w:r>
        <w:rPr>
          <w:rFonts w:hint="eastAsia" w:ascii="仿宋" w:hAnsi="仿宋" w:eastAsia="仿宋" w:cs="仿宋_GB2312"/>
          <w:color w:val="auto"/>
          <w:szCs w:val="21"/>
          <w:highlight w:val="none"/>
        </w:rPr>
        <w:t>天（不少于</w:t>
      </w:r>
      <w:r>
        <w:rPr>
          <w:rFonts w:ascii="仿宋" w:hAnsi="仿宋" w:eastAsia="仿宋" w:cs="仿宋_GB2312"/>
          <w:color w:val="auto"/>
          <w:szCs w:val="21"/>
          <w:highlight w:val="none"/>
          <w:u w:val="single"/>
        </w:rPr>
        <w:t>90</w:t>
      </w:r>
      <w:r>
        <w:rPr>
          <w:rFonts w:ascii="仿宋" w:hAnsi="仿宋" w:eastAsia="仿宋" w:cs="仿宋_GB2312"/>
          <w:color w:val="auto"/>
          <w:szCs w:val="21"/>
          <w:highlight w:val="none"/>
        </w:rPr>
        <w:t>天）</w:t>
      </w:r>
      <w:r>
        <w:rPr>
          <w:rFonts w:hint="eastAsia" w:ascii="仿宋" w:hAnsi="仿宋" w:eastAsia="仿宋"/>
          <w:color w:val="auto"/>
          <w:szCs w:val="21"/>
          <w:highlight w:val="none"/>
        </w:rPr>
        <w:t>，</w:t>
      </w:r>
      <w:r>
        <w:rPr>
          <w:rFonts w:hint="eastAsia" w:ascii="仿宋" w:hAnsi="仿宋" w:eastAsia="仿宋" w:cs="仿宋_GB2312"/>
          <w:color w:val="auto"/>
          <w:szCs w:val="21"/>
          <w:highlight w:val="none"/>
        </w:rPr>
        <w:t>本投标文件在投标有效期满之前均具有约束力。</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我方的投标文件包括以下内容：</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2.1资格文件：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2.1.1</w:t>
      </w:r>
      <w:r>
        <w:rPr>
          <w:rFonts w:hint="eastAsia" w:ascii="仿宋" w:hAnsi="仿宋" w:eastAsia="仿宋" w:cs="仿宋_GB2312"/>
          <w:color w:val="auto"/>
          <w:szCs w:val="21"/>
          <w:highlight w:val="none"/>
        </w:rPr>
        <w:t>承诺函；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2.1.2落实政府采购政策需满足的资格要求</w:t>
      </w:r>
      <w:r>
        <w:rPr>
          <w:rFonts w:hint="eastAsia" w:ascii="仿宋" w:hAnsi="仿宋" w:eastAsia="仿宋" w:cs="仿宋_GB2312"/>
          <w:color w:val="auto"/>
          <w:szCs w:val="21"/>
          <w:highlight w:val="none"/>
        </w:rPr>
        <w:t>（如果有）；</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2.1.3本项目的特定资格要求</w:t>
      </w:r>
      <w:r>
        <w:rPr>
          <w:rFonts w:hint="eastAsia" w:ascii="仿宋" w:hAnsi="仿宋" w:eastAsia="仿宋" w:cs="仿宋_GB2312"/>
          <w:color w:val="auto"/>
          <w:szCs w:val="21"/>
          <w:highlight w:val="none"/>
        </w:rPr>
        <w:t>（如果有）。</w:t>
      </w:r>
    </w:p>
    <w:p>
      <w:pPr>
        <w:snapToGrid w:val="0"/>
        <w:spacing w:line="360" w:lineRule="auto"/>
        <w:ind w:left="210" w:leftChars="100" w:firstLine="420" w:firstLineChars="200"/>
        <w:rPr>
          <w:rFonts w:ascii="仿宋" w:hAnsi="仿宋" w:eastAsia="仿宋" w:cs="仿宋_GB2312"/>
          <w:color w:val="auto"/>
          <w:szCs w:val="21"/>
          <w:highlight w:val="none"/>
          <w:lang w:val="zh-CN"/>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2</w:t>
      </w:r>
      <w:r>
        <w:rPr>
          <w:rFonts w:hint="eastAsia" w:ascii="仿宋" w:hAnsi="仿宋" w:eastAsia="仿宋" w:cs="仿宋_GB2312"/>
          <w:color w:val="auto"/>
          <w:szCs w:val="21"/>
          <w:highlight w:val="none"/>
        </w:rPr>
        <w:t>商务技术</w:t>
      </w:r>
      <w:r>
        <w:rPr>
          <w:rFonts w:hint="eastAsia" w:ascii="仿宋" w:hAnsi="仿宋" w:eastAsia="仿宋" w:cs="仿宋_GB2312"/>
          <w:color w:val="auto"/>
          <w:szCs w:val="21"/>
          <w:highlight w:val="none"/>
          <w:lang w:val="zh-CN"/>
        </w:rPr>
        <w:t>文件：</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2.2.1投标函；</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2.2.2授权委托书或法定代表人（单位负责人）身份证明；</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符合性审查资料；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评标标准相应的商务技术资料；</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2.2.</w:t>
      </w:r>
      <w:r>
        <w:rPr>
          <w:rFonts w:hint="eastAsia" w:ascii="仿宋" w:hAnsi="仿宋" w:eastAsia="仿宋" w:cs="仿宋_GB2312"/>
          <w:color w:val="auto"/>
          <w:szCs w:val="21"/>
          <w:highlight w:val="none"/>
        </w:rPr>
        <w:t>5</w:t>
      </w:r>
      <w:r>
        <w:rPr>
          <w:rFonts w:ascii="仿宋" w:hAnsi="仿宋" w:eastAsia="仿宋" w:cs="仿宋_GB2312"/>
          <w:color w:val="auto"/>
          <w:szCs w:val="21"/>
          <w:highlight w:val="none"/>
        </w:rPr>
        <w:t>商务技术偏离表；</w:t>
      </w:r>
    </w:p>
    <w:p>
      <w:pPr>
        <w:snapToGrid w:val="0"/>
        <w:spacing w:line="360" w:lineRule="auto"/>
        <w:ind w:left="210" w:leftChars="1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w:t>
      </w:r>
      <w:r>
        <w:rPr>
          <w:rFonts w:ascii="仿宋" w:hAnsi="仿宋" w:eastAsia="仿宋" w:cs="仿宋_GB2312"/>
          <w:color w:val="auto"/>
          <w:szCs w:val="21"/>
          <w:highlight w:val="none"/>
          <w:lang w:val="zh-CN"/>
        </w:rPr>
        <w:t>.</w:t>
      </w:r>
      <w:r>
        <w:rPr>
          <w:rFonts w:ascii="仿宋" w:hAnsi="仿宋" w:eastAsia="仿宋" w:cs="仿宋_GB2312"/>
          <w:color w:val="auto"/>
          <w:szCs w:val="21"/>
          <w:highlight w:val="none"/>
        </w:rPr>
        <w:t>3报价文件</w:t>
      </w:r>
    </w:p>
    <w:p>
      <w:pPr>
        <w:snapToGrid w:val="0"/>
        <w:spacing w:line="360" w:lineRule="auto"/>
        <w:ind w:left="420" w:leftChars="200" w:firstLine="420" w:firstLineChars="200"/>
        <w:rPr>
          <w:rFonts w:ascii="仿宋" w:hAnsi="仿宋" w:eastAsia="仿宋" w:cs="仿宋_GB2312"/>
          <w:color w:val="auto"/>
          <w:szCs w:val="21"/>
          <w:highlight w:val="none"/>
        </w:rPr>
      </w:pPr>
      <w:bookmarkStart w:id="74" w:name="_Hlk93170136"/>
      <w:r>
        <w:rPr>
          <w:rFonts w:ascii="仿宋" w:hAnsi="仿宋" w:eastAsia="仿宋" w:cs="仿宋_GB2312"/>
          <w:color w:val="auto"/>
          <w:szCs w:val="21"/>
          <w:highlight w:val="none"/>
        </w:rPr>
        <w:t>2.3.1开标一览表（报价表）；</w:t>
      </w:r>
    </w:p>
    <w:p>
      <w:pPr>
        <w:snapToGrid w:val="0"/>
        <w:spacing w:line="360" w:lineRule="auto"/>
        <w:ind w:left="420" w:leftChars="200"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2</w:t>
      </w:r>
      <w:r>
        <w:rPr>
          <w:rFonts w:ascii="仿宋" w:hAnsi="仿宋" w:eastAsia="仿宋" w:cs="仿宋_GB2312"/>
          <w:color w:val="auto"/>
          <w:szCs w:val="21"/>
          <w:highlight w:val="none"/>
        </w:rPr>
        <w:t>.3.2</w:t>
      </w:r>
      <w:r>
        <w:rPr>
          <w:rFonts w:hint="eastAsia" w:ascii="仿宋" w:hAnsi="仿宋" w:eastAsia="仿宋" w:cs="仿宋_GB2312"/>
          <w:color w:val="auto"/>
          <w:szCs w:val="21"/>
          <w:highlight w:val="none"/>
        </w:rPr>
        <w:t>价格组成表；</w:t>
      </w:r>
    </w:p>
    <w:p>
      <w:pPr>
        <w:snapToGrid w:val="0"/>
        <w:spacing w:line="360" w:lineRule="auto"/>
        <w:ind w:left="420" w:leftChars="200"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2.3.3</w:t>
      </w:r>
      <w:r>
        <w:rPr>
          <w:rFonts w:hint="eastAsia" w:ascii="仿宋" w:hAnsi="仿宋" w:eastAsia="仿宋" w:cs="仿宋_GB2312"/>
          <w:color w:val="auto"/>
          <w:szCs w:val="21"/>
          <w:highlight w:val="none"/>
        </w:rPr>
        <w:t>政府采购政策情况表</w:t>
      </w:r>
      <w:bookmarkEnd w:id="74"/>
      <w:r>
        <w:rPr>
          <w:rFonts w:hint="eastAsia" w:ascii="仿宋" w:hAnsi="仿宋" w:eastAsia="仿宋" w:cs="仿宋_GB2312"/>
          <w:color w:val="auto"/>
          <w:szCs w:val="21"/>
          <w:highlight w:val="none"/>
        </w:rPr>
        <w:t>；</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3.</w:t>
      </w:r>
      <w:r>
        <w:rPr>
          <w:rFonts w:ascii="仿宋" w:hAnsi="仿宋" w:eastAsia="仿宋" w:cs="仿宋_GB2312"/>
          <w:color w:val="auto"/>
          <w:szCs w:val="21"/>
          <w:highlight w:val="none"/>
        </w:rPr>
        <w:t>我方承诺除商务技术偏离表列出的偏离外，我方响应</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的全部要求。</w:t>
      </w:r>
    </w:p>
    <w:p>
      <w:pPr>
        <w:snapToGrid w:val="0"/>
        <w:spacing w:line="360" w:lineRule="auto"/>
        <w:ind w:firstLine="420" w:firstLineChars="200"/>
        <w:rPr>
          <w:rFonts w:ascii="仿宋" w:hAnsi="仿宋" w:eastAsia="仿宋" w:cs="仿宋_GB2312"/>
          <w:color w:val="auto"/>
          <w:szCs w:val="21"/>
          <w:highlight w:val="none"/>
        </w:rPr>
      </w:pPr>
      <w:r>
        <w:rPr>
          <w:rFonts w:hint="eastAsia" w:ascii="仿宋" w:hAnsi="仿宋" w:eastAsia="仿宋" w:cs="仿宋_GB2312"/>
          <w:color w:val="auto"/>
          <w:szCs w:val="21"/>
          <w:highlight w:val="none"/>
        </w:rPr>
        <w:t>4.</w:t>
      </w:r>
      <w:r>
        <w:rPr>
          <w:rFonts w:ascii="仿宋" w:hAnsi="仿宋" w:eastAsia="仿宋" w:cs="仿宋_GB2312"/>
          <w:color w:val="auto"/>
          <w:szCs w:val="21"/>
          <w:highlight w:val="none"/>
        </w:rPr>
        <w:t>如我方中标，我方承诺：</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4.1在收到中标通知书后，在中标通知书规定的期限内与你方签订合同；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4.2在签订合同时不向你方提出附加条件；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4.3按照</w:t>
      </w:r>
      <w:r>
        <w:rPr>
          <w:rFonts w:hint="eastAsia" w:ascii="仿宋" w:hAnsi="仿宋" w:eastAsia="仿宋" w:cs="仿宋_GB2312"/>
          <w:color w:val="auto"/>
          <w:szCs w:val="21"/>
          <w:highlight w:val="none"/>
        </w:rPr>
        <w:t>招标文件</w:t>
      </w:r>
      <w:r>
        <w:rPr>
          <w:rFonts w:ascii="仿宋" w:hAnsi="仿宋" w:eastAsia="仿宋" w:cs="仿宋_GB2312"/>
          <w:color w:val="auto"/>
          <w:szCs w:val="21"/>
          <w:highlight w:val="none"/>
        </w:rPr>
        <w:t xml:space="preserve">要求提交履约保证金； </w:t>
      </w:r>
    </w:p>
    <w:p>
      <w:pPr>
        <w:snapToGrid w:val="0"/>
        <w:spacing w:line="360" w:lineRule="auto"/>
        <w:ind w:firstLine="630" w:firstLineChars="300"/>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4.4在合同约定的期限内完成合同规定的全部义务。 </w:t>
      </w:r>
    </w:p>
    <w:p>
      <w:pPr>
        <w:snapToGrid w:val="0"/>
        <w:spacing w:line="360" w:lineRule="auto"/>
        <w:ind w:firstLine="420" w:firstLineChars="200"/>
        <w:rPr>
          <w:rFonts w:ascii="仿宋" w:hAnsi="仿宋" w:eastAsia="仿宋" w:cs="仿宋_GB2312"/>
          <w:color w:val="auto"/>
          <w:szCs w:val="21"/>
          <w:highlight w:val="none"/>
        </w:rPr>
      </w:pPr>
      <w:r>
        <w:rPr>
          <w:rFonts w:ascii="仿宋" w:hAnsi="仿宋" w:eastAsia="仿宋" w:cs="仿宋_GB2312"/>
          <w:color w:val="auto"/>
          <w:szCs w:val="21"/>
          <w:highlight w:val="none"/>
        </w:rPr>
        <w:t>5</w:t>
      </w:r>
      <w:r>
        <w:rPr>
          <w:rFonts w:hint="eastAsia" w:ascii="仿宋" w:hAnsi="仿宋" w:eastAsia="仿宋" w:cs="仿宋_GB2312"/>
          <w:color w:val="auto"/>
          <w:szCs w:val="21"/>
          <w:highlight w:val="none"/>
        </w:rPr>
        <w:t>.</w:t>
      </w:r>
      <w:r>
        <w:rPr>
          <w:rFonts w:ascii="仿宋" w:hAnsi="仿宋" w:eastAsia="仿宋" w:cs="仿宋_GB2312"/>
          <w:color w:val="auto"/>
          <w:szCs w:val="21"/>
          <w:highlight w:val="none"/>
        </w:rPr>
        <w:t>其他补充说明:</w:t>
      </w:r>
      <w:r>
        <w:rPr>
          <w:rFonts w:hint="eastAsia" w:ascii="仿宋" w:hAnsi="仿宋" w:eastAsia="仿宋" w:cs="仿宋_GB2312"/>
          <w:color w:val="auto"/>
          <w:szCs w:val="21"/>
          <w:highlight w:val="none"/>
        </w:rPr>
        <w:t>。</w:t>
      </w:r>
    </w:p>
    <w:p>
      <w:pPr>
        <w:spacing w:line="360" w:lineRule="auto"/>
        <w:ind w:firstLine="3150" w:firstLineChars="1500"/>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投标人名称（电子签名）：</w:t>
      </w:r>
    </w:p>
    <w:p>
      <w:pPr>
        <w:spacing w:line="360" w:lineRule="auto"/>
        <w:jc w:val="center"/>
        <w:rPr>
          <w:rFonts w:ascii="仿宋" w:hAnsi="仿宋" w:eastAsia="仿宋" w:cs="仿宋_GB2312"/>
          <w:color w:val="auto"/>
          <w:szCs w:val="21"/>
          <w:highlight w:val="none"/>
        </w:rPr>
      </w:pPr>
      <w:r>
        <w:rPr>
          <w:rFonts w:ascii="仿宋" w:hAnsi="仿宋" w:eastAsia="仿宋" w:cs="仿宋_GB2312"/>
          <w:color w:val="auto"/>
          <w:szCs w:val="21"/>
          <w:highlight w:val="none"/>
        </w:rPr>
        <w:t xml:space="preserve">     日期：  年   月   日</w:t>
      </w:r>
    </w:p>
    <w:p>
      <w:pPr>
        <w:widowControl/>
        <w:adjustRightInd/>
        <w:jc w:val="left"/>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kern w:val="0"/>
          <w:sz w:val="32"/>
          <w:szCs w:val="32"/>
          <w:highlight w:val="none"/>
          <w:lang w:val="zh-CN"/>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lang w:val="zh-CN"/>
        </w:rPr>
        <w:t>附件</w:t>
      </w:r>
      <w:r>
        <w:rPr>
          <w:rFonts w:hint="eastAsia" w:ascii="仿宋" w:hAnsi="仿宋" w:eastAsia="仿宋" w:cs="仿宋_GB2312"/>
          <w:b/>
          <w:color w:val="auto"/>
          <w:kern w:val="0"/>
          <w:sz w:val="28"/>
          <w:szCs w:val="28"/>
          <w:highlight w:val="none"/>
        </w:rPr>
        <w:t>2</w:t>
      </w:r>
    </w:p>
    <w:p>
      <w:pPr>
        <w:jc w:val="center"/>
        <w:rPr>
          <w:rFonts w:ascii="仿宋" w:hAnsi="仿宋" w:eastAsia="仿宋" w:cs="仿宋_GB2312"/>
          <w:b/>
          <w:color w:val="auto"/>
          <w:kern w:val="0"/>
          <w:sz w:val="32"/>
          <w:szCs w:val="32"/>
          <w:highlight w:val="none"/>
          <w:lang w:val="zh-CN"/>
        </w:rPr>
      </w:pPr>
    </w:p>
    <w:p>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（采购人）、（采购代理机构）</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hint="eastAsia" w:ascii="仿宋" w:hAnsi="仿宋" w:eastAsia="仿宋" w:cs="仿宋_GB2312"/>
          <w:color w:val="auto"/>
          <w:kern w:val="0"/>
          <w:sz w:val="24"/>
          <w:highlight w:val="none"/>
          <w:u w:val="single"/>
          <w:lang w:val="zh-CN"/>
        </w:rPr>
        <w:t>（姓名）</w:t>
      </w:r>
      <w:r>
        <w:rPr>
          <w:rFonts w:hint="eastAsia" w:ascii="仿宋" w:hAnsi="仿宋" w:eastAsia="仿宋" w:cs="仿宋_GB2312"/>
          <w:color w:val="auto"/>
          <w:kern w:val="0"/>
          <w:sz w:val="24"/>
          <w:highlight w:val="none"/>
          <w:lang w:val="zh-CN"/>
        </w:rPr>
        <w:t>为我方代理人（身份证号码：，手机：），以我方名义处理</w:t>
      </w:r>
      <w:r>
        <w:rPr>
          <w:rFonts w:hint="eastAsia" w:ascii="仿宋" w:hAnsi="仿宋" w:eastAsia="仿宋" w:cs="仿宋_GB2312"/>
          <w:color w:val="auto"/>
          <w:sz w:val="24"/>
          <w:highlight w:val="none"/>
          <w:u w:val="single"/>
        </w:rPr>
        <w:t>（项目名称）【招标编号：</w:t>
      </w:r>
      <w:r>
        <w:rPr>
          <w:rFonts w:hint="eastAsia" w:ascii="仿宋" w:hAnsi="仿宋" w:eastAsia="仿宋"/>
          <w:color w:val="auto"/>
          <w:sz w:val="24"/>
          <w:highlight w:val="none"/>
          <w:u w:val="single"/>
        </w:rPr>
        <w:t>（采购编号）</w:t>
      </w:r>
      <w:r>
        <w:rPr>
          <w:rFonts w:hint="eastAsia" w:ascii="仿宋" w:hAnsi="仿宋" w:eastAsia="仿宋" w:cs="仿宋_GB2312"/>
          <w:color w:val="auto"/>
          <w:sz w:val="24"/>
          <w:highlight w:val="none"/>
          <w:u w:val="singl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b/>
          <w:color w:val="auto"/>
          <w:kern w:val="0"/>
          <w:sz w:val="32"/>
          <w:szCs w:val="32"/>
          <w:highlight w:val="none"/>
          <w:lang w:val="zh-CN"/>
        </w:rPr>
      </w:pPr>
      <w:r>
        <w:rPr>
          <w:rFonts w:ascii="仿宋" w:hAnsi="仿宋" w:eastAsia="仿宋" w:cs="仿宋_GB2312"/>
          <w:color w:val="auto"/>
          <w:kern w:val="0"/>
          <w:sz w:val="24"/>
          <w:highlight w:val="none"/>
          <w:lang w:val="zh-CN"/>
        </w:rPr>
        <w:t xml:space="preserve">                                            签发日期：  年  月   日</w:t>
      </w:r>
    </w:p>
    <w:p>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的身份证明（适用于法定代表人、单位负责人或者自然人本人代表投标人参加投标）</w:t>
      </w:r>
    </w:p>
    <w:p>
      <w:pPr>
        <w:pStyle w:val="257"/>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8240" w:type="dxa"/>
          </w:tcPr>
          <w:p>
            <w:pPr>
              <w:pStyle w:val="257"/>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pPr>
              <w:pStyle w:val="257"/>
              <w:adjustRightIn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附件3</w:t>
      </w:r>
    </w:p>
    <w:p>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三、符合性审查资料</w:t>
      </w:r>
    </w:p>
    <w:p>
      <w:pPr>
        <w:jc w:val="center"/>
        <w:rPr>
          <w:rFonts w:ascii="仿宋" w:hAnsi="仿宋" w:eastAsia="仿宋" w:cs="仿宋_GB2312"/>
          <w:b/>
          <w:color w:val="auto"/>
          <w:kern w:val="0"/>
          <w:sz w:val="32"/>
          <w:szCs w:val="32"/>
          <w:highlight w:val="none"/>
        </w:rPr>
      </w:pPr>
    </w:p>
    <w:tbl>
      <w:tblPr>
        <w:tblStyle w:val="5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3987"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响应情况</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1</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3987" w:type="dxa"/>
            <w:vAlign w:val="center"/>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pStyle w:val="5"/>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3</w:t>
            </w:r>
          </w:p>
        </w:tc>
        <w:tc>
          <w:tcPr>
            <w:tcW w:w="3987" w:type="dxa"/>
            <w:vAlign w:val="center"/>
          </w:tcPr>
          <w:p>
            <w:pPr>
              <w:spacing w:line="360" w:lineRule="auto"/>
              <w:jc w:val="center"/>
              <w:rPr>
                <w:rFonts w:ascii="仿宋" w:hAnsi="仿宋" w:eastAsia="仿宋" w:cs="仿宋_GB2312"/>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jc w:val="center"/>
              <w:rPr>
                <w:rFonts w:ascii="仿宋" w:hAnsi="仿宋" w:eastAsia="仿宋"/>
                <w:color w:val="auto"/>
                <w:sz w:val="24"/>
                <w:highlight w:val="none"/>
              </w:rPr>
            </w:pPr>
            <w:r>
              <w:rPr>
                <w:rFonts w:ascii="仿宋" w:hAnsi="仿宋" w:eastAsia="仿宋"/>
                <w:color w:val="auto"/>
                <w:sz w:val="24"/>
                <w:highlight w:val="none"/>
              </w:rPr>
              <w:t>4</w:t>
            </w:r>
          </w:p>
        </w:tc>
        <w:tc>
          <w:tcPr>
            <w:tcW w:w="3987" w:type="dxa"/>
          </w:tcPr>
          <w:p>
            <w:pPr>
              <w:spacing w:line="360" w:lineRule="auto"/>
              <w:jc w:val="center"/>
              <w:rPr>
                <w:rFonts w:ascii="仿宋" w:hAnsi="仿宋" w:eastAsia="仿宋"/>
                <w:color w:val="auto"/>
                <w:sz w:val="24"/>
                <w:highlight w:val="none"/>
              </w:rPr>
            </w:pPr>
          </w:p>
        </w:tc>
        <w:tc>
          <w:tcPr>
            <w:tcW w:w="2551" w:type="dxa"/>
            <w:vAlign w:val="center"/>
          </w:tcPr>
          <w:p>
            <w:pPr>
              <w:jc w:val="center"/>
              <w:rPr>
                <w:rFonts w:ascii="仿宋" w:hAnsi="仿宋" w:eastAsia="仿宋"/>
                <w:color w:val="auto"/>
                <w:sz w:val="24"/>
                <w:highlight w:val="none"/>
              </w:rPr>
            </w:pPr>
          </w:p>
        </w:tc>
        <w:tc>
          <w:tcPr>
            <w:tcW w:w="1418" w:type="dxa"/>
          </w:tcPr>
          <w:p>
            <w:pPr>
              <w:jc w:val="center"/>
              <w:rPr>
                <w:rFonts w:ascii="仿宋" w:hAnsi="仿宋" w:eastAsia="仿宋"/>
                <w:color w:val="auto"/>
                <w:sz w:val="24"/>
                <w:highlight w:val="none"/>
              </w:rPr>
            </w:pPr>
          </w:p>
        </w:tc>
      </w:tr>
    </w:tbl>
    <w:p>
      <w:pPr>
        <w:rPr>
          <w:rFonts w:ascii="仿宋" w:hAnsi="仿宋" w:eastAsia="仿宋" w:cs="仿宋_GB2312"/>
          <w:color w:val="auto"/>
          <w:kern w:val="0"/>
          <w:szCs w:val="21"/>
          <w:highlight w:val="none"/>
        </w:rPr>
      </w:pPr>
    </w:p>
    <w:p>
      <w:pPr>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注：根据招标文件第六部分“评标办法”第2.2款“符合性审查”的要求，逐条作出实质性响应。</w:t>
      </w: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jc w:val="center"/>
        <w:rPr>
          <w:rFonts w:ascii="仿宋" w:hAnsi="仿宋" w:eastAsia="仿宋" w:cs="仿宋_GB2312"/>
          <w:b/>
          <w:color w:val="auto"/>
          <w:kern w:val="0"/>
          <w:sz w:val="32"/>
          <w:szCs w:val="32"/>
          <w:highlight w:val="none"/>
        </w:rPr>
      </w:pPr>
    </w:p>
    <w:p>
      <w:pPr>
        <w:widowControl/>
        <w:adjustRightInd/>
        <w:jc w:val="left"/>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附件4</w:t>
      </w:r>
    </w:p>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rPr>
        <w:t>四、其他需要提供的文件格式</w:t>
      </w:r>
    </w:p>
    <w:p>
      <w:pPr>
        <w:autoSpaceDE w:val="0"/>
        <w:autoSpaceDN w:val="0"/>
        <w:spacing w:line="440" w:lineRule="atLeast"/>
        <w:jc w:val="center"/>
        <w:rPr>
          <w:rFonts w:ascii="宋体" w:cs="仿宋_GB2312"/>
          <w:color w:val="auto"/>
          <w:sz w:val="32"/>
          <w:szCs w:val="32"/>
          <w:highlight w:val="none"/>
        </w:rPr>
      </w:pPr>
      <w:r>
        <w:rPr>
          <w:rFonts w:hint="eastAsia" w:ascii="宋体" w:cs="仿宋_GB2312"/>
          <w:color w:val="auto"/>
          <w:sz w:val="32"/>
          <w:szCs w:val="32"/>
          <w:highlight w:val="none"/>
        </w:rPr>
        <w:t>2017年2月以来保洁服务业绩证明</w:t>
      </w:r>
    </w:p>
    <w:p>
      <w:pPr>
        <w:pStyle w:val="2"/>
        <w:rPr>
          <w:color w:val="auto"/>
          <w:highlight w:val="none"/>
        </w:rPr>
      </w:pPr>
    </w:p>
    <w:tbl>
      <w:tblPr>
        <w:tblStyle w:val="57"/>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40"/>
        <w:gridCol w:w="1740"/>
        <w:gridCol w:w="1740"/>
        <w:gridCol w:w="1080"/>
        <w:gridCol w:w="108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jc w:val="center"/>
              <w:rPr>
                <w:color w:val="auto"/>
                <w:szCs w:val="21"/>
                <w:highlight w:val="none"/>
              </w:rPr>
            </w:pPr>
            <w:r>
              <w:rPr>
                <w:rFonts w:hint="eastAsia"/>
                <w:color w:val="auto"/>
                <w:szCs w:val="21"/>
                <w:highlight w:val="none"/>
              </w:rPr>
              <w:t>序号</w:t>
            </w:r>
          </w:p>
        </w:tc>
        <w:tc>
          <w:tcPr>
            <w:tcW w:w="1740" w:type="dxa"/>
            <w:noWrap/>
            <w:vAlign w:val="center"/>
          </w:tcPr>
          <w:p>
            <w:pPr>
              <w:jc w:val="center"/>
              <w:rPr>
                <w:color w:val="auto"/>
                <w:szCs w:val="21"/>
                <w:highlight w:val="none"/>
              </w:rPr>
            </w:pPr>
            <w:r>
              <w:rPr>
                <w:rFonts w:hint="eastAsia"/>
                <w:color w:val="auto"/>
                <w:szCs w:val="21"/>
                <w:highlight w:val="none"/>
              </w:rPr>
              <w:t>项目名称</w:t>
            </w:r>
          </w:p>
        </w:tc>
        <w:tc>
          <w:tcPr>
            <w:tcW w:w="1740" w:type="dxa"/>
            <w:noWrap/>
            <w:vAlign w:val="center"/>
          </w:tcPr>
          <w:p>
            <w:pPr>
              <w:jc w:val="center"/>
              <w:rPr>
                <w:color w:val="auto"/>
                <w:szCs w:val="21"/>
                <w:highlight w:val="none"/>
              </w:rPr>
            </w:pPr>
            <w:r>
              <w:rPr>
                <w:rFonts w:hint="eastAsia"/>
                <w:color w:val="auto"/>
                <w:szCs w:val="21"/>
                <w:highlight w:val="none"/>
              </w:rPr>
              <w:t>项目地址</w:t>
            </w:r>
          </w:p>
        </w:tc>
        <w:tc>
          <w:tcPr>
            <w:tcW w:w="1740" w:type="dxa"/>
            <w:noWrap/>
            <w:vAlign w:val="center"/>
          </w:tcPr>
          <w:p>
            <w:pPr>
              <w:jc w:val="center"/>
              <w:rPr>
                <w:color w:val="auto"/>
                <w:szCs w:val="21"/>
                <w:highlight w:val="none"/>
              </w:rPr>
            </w:pPr>
            <w:r>
              <w:rPr>
                <w:rFonts w:hint="eastAsia"/>
                <w:color w:val="auto"/>
                <w:szCs w:val="21"/>
                <w:highlight w:val="none"/>
              </w:rPr>
              <w:t>合同内容</w:t>
            </w:r>
          </w:p>
        </w:tc>
        <w:tc>
          <w:tcPr>
            <w:tcW w:w="1080" w:type="dxa"/>
            <w:noWrap/>
            <w:vAlign w:val="center"/>
          </w:tcPr>
          <w:p>
            <w:pPr>
              <w:jc w:val="center"/>
              <w:rPr>
                <w:color w:val="auto"/>
                <w:szCs w:val="21"/>
                <w:highlight w:val="none"/>
              </w:rPr>
            </w:pPr>
            <w:r>
              <w:rPr>
                <w:rFonts w:hint="eastAsia"/>
                <w:color w:val="auto"/>
                <w:szCs w:val="21"/>
                <w:highlight w:val="none"/>
              </w:rPr>
              <w:t>合同总价</w:t>
            </w:r>
          </w:p>
        </w:tc>
        <w:tc>
          <w:tcPr>
            <w:tcW w:w="1080" w:type="dxa"/>
            <w:noWrap/>
            <w:vAlign w:val="center"/>
          </w:tcPr>
          <w:p>
            <w:pPr>
              <w:jc w:val="center"/>
              <w:rPr>
                <w:color w:val="auto"/>
                <w:szCs w:val="21"/>
                <w:highlight w:val="none"/>
              </w:rPr>
            </w:pPr>
            <w:r>
              <w:rPr>
                <w:rFonts w:hint="eastAsia"/>
                <w:color w:val="auto"/>
                <w:szCs w:val="21"/>
                <w:highlight w:val="none"/>
              </w:rPr>
              <w:t>签约日期</w:t>
            </w:r>
          </w:p>
        </w:tc>
        <w:tc>
          <w:tcPr>
            <w:tcW w:w="1126" w:type="dxa"/>
            <w:noWrap/>
            <w:vAlign w:val="center"/>
          </w:tcPr>
          <w:p>
            <w:pPr>
              <w:jc w:val="center"/>
              <w:rPr>
                <w:b/>
                <w:color w:val="auto"/>
                <w:szCs w:val="21"/>
                <w:highlight w:val="none"/>
              </w:rPr>
            </w:pPr>
            <w:r>
              <w:rPr>
                <w:rFonts w:hint="eastAsia"/>
                <w:bCs/>
                <w:color w:val="auto"/>
                <w:szCs w:val="21"/>
                <w:highlight w:val="none"/>
              </w:rPr>
              <w:t>是否创省卫或国卫成功项目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126"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126" w:type="dxa"/>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74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080" w:type="dxa"/>
            <w:noWrap/>
            <w:vAlign w:val="center"/>
          </w:tcPr>
          <w:p>
            <w:pPr>
              <w:jc w:val="center"/>
              <w:rPr>
                <w:color w:val="auto"/>
                <w:szCs w:val="21"/>
                <w:highlight w:val="none"/>
              </w:rPr>
            </w:pPr>
          </w:p>
        </w:tc>
        <w:tc>
          <w:tcPr>
            <w:tcW w:w="1126" w:type="dxa"/>
            <w:noWrap/>
            <w:vAlign w:val="center"/>
          </w:tcPr>
          <w:p>
            <w:pPr>
              <w:jc w:val="center"/>
              <w:rPr>
                <w:color w:val="auto"/>
                <w:szCs w:val="21"/>
                <w:highlight w:val="none"/>
              </w:rPr>
            </w:pPr>
          </w:p>
        </w:tc>
      </w:tr>
    </w:tbl>
    <w:p>
      <w:pPr>
        <w:spacing w:line="380" w:lineRule="exact"/>
        <w:rPr>
          <w:rFonts w:ascii="仿宋" w:hAnsi="仿宋" w:eastAsia="仿宋" w:cs="新宋体"/>
          <w:bCs/>
          <w:color w:val="auto"/>
          <w:sz w:val="22"/>
          <w:szCs w:val="22"/>
          <w:highlight w:val="none"/>
          <w:u w:val="single"/>
        </w:rPr>
      </w:pPr>
      <w:r>
        <w:rPr>
          <w:rFonts w:hint="eastAsia"/>
          <w:color w:val="auto"/>
          <w:szCs w:val="21"/>
          <w:highlight w:val="none"/>
        </w:rPr>
        <w:t>注：</w:t>
      </w:r>
      <w:r>
        <w:rPr>
          <w:rFonts w:hint="eastAsia" w:ascii="仿宋" w:hAnsi="仿宋" w:eastAsia="仿宋" w:cs="新宋体"/>
          <w:color w:val="auto"/>
          <w:sz w:val="22"/>
          <w:szCs w:val="22"/>
          <w:highlight w:val="none"/>
          <w:u w:val="single"/>
        </w:rPr>
        <w:t>1.▲</w:t>
      </w:r>
      <w:r>
        <w:rPr>
          <w:rFonts w:hint="eastAsia" w:ascii="仿宋" w:hAnsi="仿宋" w:eastAsia="仿宋" w:cs="新宋体"/>
          <w:bCs/>
          <w:color w:val="auto"/>
          <w:sz w:val="22"/>
          <w:szCs w:val="22"/>
          <w:highlight w:val="none"/>
          <w:u w:val="single"/>
        </w:rPr>
        <w:t>提供合同原件的扫描件、中标通知书原件的扫描件</w:t>
      </w:r>
    </w:p>
    <w:p>
      <w:pPr>
        <w:spacing w:line="380" w:lineRule="exact"/>
        <w:ind w:firstLine="440" w:firstLineChars="200"/>
        <w:rPr>
          <w:rFonts w:ascii="仿宋" w:hAnsi="仿宋" w:eastAsia="仿宋" w:cs="新宋体"/>
          <w:bCs/>
          <w:color w:val="auto"/>
          <w:sz w:val="22"/>
          <w:szCs w:val="22"/>
          <w:highlight w:val="none"/>
          <w:u w:val="single"/>
        </w:rPr>
      </w:pPr>
      <w:r>
        <w:rPr>
          <w:rFonts w:hint="eastAsia" w:ascii="仿宋" w:hAnsi="仿宋" w:eastAsia="仿宋" w:cs="新宋体"/>
          <w:bCs/>
          <w:color w:val="auto"/>
          <w:sz w:val="22"/>
          <w:szCs w:val="22"/>
          <w:highlight w:val="none"/>
          <w:u w:val="single"/>
        </w:rPr>
        <w:t>2.</w:t>
      </w:r>
      <w:r>
        <w:rPr>
          <w:rFonts w:hint="eastAsia" w:ascii="仿宋" w:hAnsi="仿宋" w:eastAsia="仿宋" w:cs="新宋体"/>
          <w:color w:val="auto"/>
          <w:sz w:val="22"/>
          <w:szCs w:val="22"/>
          <w:highlight w:val="none"/>
          <w:u w:val="single"/>
        </w:rPr>
        <w:t>▲</w:t>
      </w:r>
      <w:r>
        <w:rPr>
          <w:rFonts w:hint="eastAsia" w:ascii="仿宋" w:hAnsi="仿宋" w:eastAsia="仿宋" w:cs="新宋体"/>
          <w:bCs/>
          <w:color w:val="auto"/>
          <w:sz w:val="22"/>
          <w:szCs w:val="22"/>
          <w:highlight w:val="none"/>
          <w:u w:val="single"/>
        </w:rPr>
        <w:t>保洁时间以合同签订时间为准。</w:t>
      </w:r>
    </w:p>
    <w:p>
      <w:pPr>
        <w:spacing w:line="380" w:lineRule="exact"/>
        <w:ind w:firstLine="440" w:firstLineChars="200"/>
        <w:rPr>
          <w:rFonts w:ascii="仿宋" w:hAnsi="仿宋" w:eastAsia="仿宋" w:cs="新宋体"/>
          <w:bCs/>
          <w:color w:val="auto"/>
          <w:sz w:val="22"/>
          <w:szCs w:val="22"/>
          <w:highlight w:val="none"/>
          <w:u w:val="single"/>
        </w:rPr>
      </w:pPr>
      <w:r>
        <w:rPr>
          <w:rFonts w:hint="eastAsia" w:ascii="仿宋" w:hAnsi="仿宋" w:eastAsia="仿宋" w:cs="新宋体"/>
          <w:bCs/>
          <w:color w:val="auto"/>
          <w:sz w:val="22"/>
          <w:szCs w:val="22"/>
          <w:highlight w:val="none"/>
          <w:u w:val="single"/>
        </w:rPr>
        <w:t>3.</w:t>
      </w:r>
      <w:r>
        <w:rPr>
          <w:rFonts w:hint="eastAsia" w:ascii="仿宋" w:hAnsi="仿宋" w:eastAsia="仿宋" w:cs="新宋体"/>
          <w:color w:val="auto"/>
          <w:sz w:val="22"/>
          <w:szCs w:val="22"/>
          <w:highlight w:val="none"/>
          <w:u w:val="single"/>
        </w:rPr>
        <w:t>▲</w:t>
      </w:r>
      <w:r>
        <w:rPr>
          <w:rFonts w:hint="eastAsia" w:ascii="仿宋" w:hAnsi="仿宋" w:eastAsia="仿宋" w:cs="新宋体"/>
          <w:bCs/>
          <w:color w:val="auto"/>
          <w:sz w:val="22"/>
          <w:szCs w:val="22"/>
          <w:highlight w:val="none"/>
          <w:u w:val="single"/>
        </w:rPr>
        <w:t>此表仅提供了表格形式，投标人可按此表格复制。</w:t>
      </w:r>
    </w:p>
    <w:p>
      <w:pPr>
        <w:pStyle w:val="33"/>
        <w:spacing w:line="340" w:lineRule="exact"/>
        <w:ind w:firstLine="420" w:firstLineChars="200"/>
        <w:rPr>
          <w:rFonts w:hAnsi="宋体"/>
          <w:color w:val="auto"/>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left"/>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pStyle w:val="2"/>
        <w:ind w:firstLine="643"/>
        <w:rPr>
          <w:rFonts w:ascii="仿宋" w:hAnsi="仿宋" w:eastAsia="仿宋" w:cs="仿宋_GB2312"/>
          <w:b/>
          <w:color w:val="auto"/>
          <w:kern w:val="0"/>
          <w:sz w:val="32"/>
          <w:szCs w:val="32"/>
          <w:highlight w:val="non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附件5</w:t>
      </w:r>
    </w:p>
    <w:p>
      <w:pPr>
        <w:autoSpaceDE w:val="0"/>
        <w:autoSpaceDN w:val="0"/>
        <w:spacing w:line="440" w:lineRule="atLeast"/>
        <w:rPr>
          <w:rFonts w:ascii="宋体" w:cs="仿宋_GB2312"/>
          <w:color w:val="auto"/>
          <w:sz w:val="32"/>
          <w:szCs w:val="32"/>
          <w:highlight w:val="none"/>
        </w:rPr>
      </w:pPr>
    </w:p>
    <w:p>
      <w:pPr>
        <w:autoSpaceDE w:val="0"/>
        <w:autoSpaceDN w:val="0"/>
        <w:spacing w:line="440" w:lineRule="atLeast"/>
        <w:jc w:val="center"/>
        <w:rPr>
          <w:rFonts w:ascii="宋体" w:cs="仿宋_GB2312"/>
          <w:color w:val="auto"/>
          <w:sz w:val="32"/>
          <w:szCs w:val="32"/>
          <w:highlight w:val="none"/>
        </w:rPr>
      </w:pPr>
      <w:r>
        <w:rPr>
          <w:rFonts w:hint="eastAsia" w:ascii="宋体" w:cs="仿宋_GB2312"/>
          <w:color w:val="auto"/>
          <w:sz w:val="32"/>
          <w:szCs w:val="32"/>
          <w:highlight w:val="none"/>
        </w:rPr>
        <w:t>拟投入的各种设备配置情况</w:t>
      </w:r>
    </w:p>
    <w:p>
      <w:pPr>
        <w:pStyle w:val="2"/>
        <w:rPr>
          <w:color w:val="auto"/>
          <w:highlight w:val="none"/>
        </w:rPr>
      </w:pP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项目名称：                                             项目编号：   </w:t>
      </w:r>
    </w:p>
    <w:p>
      <w:pPr>
        <w:autoSpaceDE w:val="0"/>
        <w:autoSpaceDN w:val="0"/>
        <w:rPr>
          <w:rFonts w:ascii="宋体" w:hAnsi="宋体" w:cs="宋体"/>
          <w:color w:val="auto"/>
          <w:szCs w:val="21"/>
          <w:highlight w:val="none"/>
        </w:rPr>
      </w:pPr>
    </w:p>
    <w:tbl>
      <w:tblPr>
        <w:tblStyle w:val="5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755"/>
        <w:gridCol w:w="1350"/>
        <w:gridCol w:w="1620"/>
        <w:gridCol w:w="1492"/>
        <w:gridCol w:w="1250"/>
        <w:gridCol w:w="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宋体" w:cs="仿宋_GB2312"/>
                <w:color w:val="auto"/>
                <w:sz w:val="22"/>
                <w:szCs w:val="22"/>
                <w:highlight w:val="none"/>
                <w:lang w:val="zh-CN"/>
              </w:rPr>
              <w:t>序号</w:t>
            </w:r>
          </w:p>
        </w:tc>
        <w:tc>
          <w:tcPr>
            <w:tcW w:w="1701"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设备名称</w:t>
            </w:r>
          </w:p>
        </w:tc>
        <w:tc>
          <w:tcPr>
            <w:tcW w:w="755"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350"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规格型号、总质量</w:t>
            </w:r>
          </w:p>
        </w:tc>
        <w:tc>
          <w:tcPr>
            <w:tcW w:w="1620"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品牌/产地/价格</w:t>
            </w:r>
          </w:p>
        </w:tc>
        <w:tc>
          <w:tcPr>
            <w:tcW w:w="1492"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拟投入车辆已使用年份或承诺购买新车（船）或租赁</w:t>
            </w:r>
          </w:p>
        </w:tc>
        <w:tc>
          <w:tcPr>
            <w:tcW w:w="1250"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车（船）牌号</w:t>
            </w:r>
          </w:p>
        </w:tc>
        <w:tc>
          <w:tcPr>
            <w:tcW w:w="749"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widowControl/>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701" w:type="dxa"/>
            <w:tcBorders>
              <w:tl2br w:val="nil"/>
              <w:tr2bl w:val="nil"/>
            </w:tcBorders>
            <w:noWrap/>
            <w:vAlign w:val="center"/>
          </w:tcPr>
          <w:p>
            <w:pPr>
              <w:snapToGrid w:val="0"/>
              <w:spacing w:line="360" w:lineRule="exact"/>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widowControl/>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701"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widowControl/>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701"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701" w:type="dxa"/>
            <w:tcBorders>
              <w:tl2br w:val="nil"/>
              <w:tr2bl w:val="nil"/>
            </w:tcBorders>
            <w:noWrap/>
            <w:vAlign w:val="center"/>
          </w:tcPr>
          <w:p>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755"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3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1620"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492"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c>
          <w:tcPr>
            <w:tcW w:w="1250" w:type="dxa"/>
            <w:tcBorders>
              <w:tl2br w:val="nil"/>
              <w:tr2bl w:val="nil"/>
            </w:tcBorders>
            <w:noWrap/>
          </w:tcPr>
          <w:p>
            <w:pPr>
              <w:snapToGrid w:val="0"/>
              <w:jc w:val="center"/>
              <w:rPr>
                <w:rFonts w:ascii="新宋体" w:hAnsi="新宋体" w:eastAsia="新宋体" w:cs="新宋体"/>
                <w:color w:val="auto"/>
                <w:sz w:val="22"/>
                <w:szCs w:val="22"/>
                <w:highlight w:val="none"/>
              </w:rPr>
            </w:pPr>
          </w:p>
        </w:tc>
        <w:tc>
          <w:tcPr>
            <w:tcW w:w="749" w:type="dxa"/>
            <w:tcBorders>
              <w:tl2br w:val="nil"/>
              <w:tr2bl w:val="nil"/>
            </w:tcBorders>
            <w:noWrap/>
            <w:vAlign w:val="center"/>
          </w:tcPr>
          <w:p>
            <w:pPr>
              <w:snapToGrid w:val="0"/>
              <w:jc w:val="center"/>
              <w:rPr>
                <w:rFonts w:ascii="新宋体" w:hAnsi="新宋体" w:eastAsia="新宋体" w:cs="新宋体"/>
                <w:color w:val="auto"/>
                <w:sz w:val="22"/>
                <w:szCs w:val="22"/>
                <w:highlight w:val="none"/>
              </w:rPr>
            </w:pPr>
          </w:p>
        </w:tc>
      </w:tr>
    </w:tbl>
    <w:p>
      <w:pPr>
        <w:spacing w:line="44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注：1.本表所列为供应商拟投入的作业机具、设备清单。</w:t>
      </w:r>
    </w:p>
    <w:p>
      <w:pPr>
        <w:spacing w:line="440" w:lineRule="exact"/>
        <w:ind w:left="437" w:leftChars="208"/>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2.本表可在不改变格式的情况下根据具体需要自行增减。</w:t>
      </w:r>
    </w:p>
    <w:p>
      <w:pPr>
        <w:spacing w:line="440" w:lineRule="exact"/>
        <w:ind w:left="437" w:leftChars="208"/>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3.以上拟投入设备如无牌号的，则该栏中无需填写牌号或填写“无”。</w:t>
      </w:r>
    </w:p>
    <w:p>
      <w:pPr>
        <w:spacing w:line="440" w:lineRule="exact"/>
        <w:ind w:firstLine="220" w:firstLineChars="100"/>
        <w:rPr>
          <w:rFonts w:ascii="新宋体" w:hAnsi="新宋体" w:eastAsia="新宋体" w:cs="新宋体"/>
          <w:bCs/>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Cs/>
          <w:color w:val="auto"/>
          <w:sz w:val="22"/>
          <w:szCs w:val="22"/>
          <w:highlight w:val="none"/>
          <w:u w:val="single"/>
        </w:rPr>
        <w:t>4.承诺中标后按采购人要求时间全部到位，否则愿意承担由此造成的所有后果，且采购人有权解除合同。</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jc w:val="left"/>
        <w:rPr>
          <w:rFonts w:ascii="仿宋" w:hAnsi="仿宋" w:eastAsia="仿宋" w:cs="仿宋_GB2312"/>
          <w:b/>
          <w:color w:val="auto"/>
          <w:kern w:val="0"/>
          <w:sz w:val="28"/>
          <w:szCs w:val="28"/>
          <w:highlight w:val="none"/>
        </w:rPr>
      </w:pPr>
    </w:p>
    <w:p>
      <w:pPr>
        <w:pStyle w:val="2"/>
        <w:rPr>
          <w:color w:val="auto"/>
          <w:highlight w:val="non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附件6</w:t>
      </w:r>
    </w:p>
    <w:p>
      <w:pPr>
        <w:autoSpaceDE w:val="0"/>
        <w:autoSpaceDN w:val="0"/>
        <w:spacing w:line="440" w:lineRule="atLeast"/>
        <w:jc w:val="left"/>
        <w:rPr>
          <w:rFonts w:ascii="宋体" w:cs="仿宋_GB2312"/>
          <w:color w:val="auto"/>
          <w:sz w:val="32"/>
          <w:szCs w:val="32"/>
          <w:highlight w:val="none"/>
        </w:rPr>
      </w:pPr>
    </w:p>
    <w:p>
      <w:pPr>
        <w:autoSpaceDE w:val="0"/>
        <w:autoSpaceDN w:val="0"/>
        <w:spacing w:line="440" w:lineRule="atLeast"/>
        <w:jc w:val="center"/>
        <w:rPr>
          <w:rFonts w:ascii="宋体" w:cs="仿宋_GB2312"/>
          <w:color w:val="auto"/>
          <w:sz w:val="32"/>
          <w:szCs w:val="32"/>
          <w:highlight w:val="none"/>
        </w:rPr>
      </w:pPr>
      <w:r>
        <w:rPr>
          <w:rFonts w:hint="eastAsia" w:ascii="宋体" w:cs="仿宋_GB2312"/>
          <w:color w:val="auto"/>
          <w:sz w:val="32"/>
          <w:szCs w:val="32"/>
          <w:highlight w:val="none"/>
        </w:rPr>
        <w:t>保洁耗材配备明细表</w:t>
      </w:r>
    </w:p>
    <w:tbl>
      <w:tblPr>
        <w:tblStyle w:val="57"/>
        <w:tblpPr w:leftFromText="180" w:rightFromText="180" w:vertAnchor="text" w:horzAnchor="margin" w:tblpY="5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904"/>
        <w:gridCol w:w="1691"/>
        <w:gridCol w:w="1903"/>
        <w:gridCol w:w="787"/>
        <w:gridCol w:w="998"/>
        <w:gridCol w:w="1140"/>
        <w:gridCol w:w="8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550"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序号</w:t>
            </w:r>
          </w:p>
        </w:tc>
        <w:tc>
          <w:tcPr>
            <w:tcW w:w="1904"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耗材名称</w:t>
            </w:r>
          </w:p>
        </w:tc>
        <w:tc>
          <w:tcPr>
            <w:tcW w:w="1691"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规格型号</w:t>
            </w:r>
          </w:p>
        </w:tc>
        <w:tc>
          <w:tcPr>
            <w:tcW w:w="1903"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品牌/产地</w:t>
            </w:r>
          </w:p>
        </w:tc>
        <w:tc>
          <w:tcPr>
            <w:tcW w:w="787"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数量</w:t>
            </w:r>
          </w:p>
        </w:tc>
        <w:tc>
          <w:tcPr>
            <w:tcW w:w="998" w:type="dxa"/>
            <w:tcBorders>
              <w:right w:val="single" w:color="auto" w:sz="4" w:space="0"/>
            </w:tcBorders>
            <w:noWrap/>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单价 (元)</w:t>
            </w:r>
          </w:p>
        </w:tc>
        <w:tc>
          <w:tcPr>
            <w:tcW w:w="1140" w:type="dxa"/>
            <w:tcBorders>
              <w:left w:val="single" w:color="auto" w:sz="4" w:space="0"/>
            </w:tcBorders>
            <w:noWrap/>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合价 (元)</w:t>
            </w:r>
          </w:p>
        </w:tc>
        <w:tc>
          <w:tcPr>
            <w:tcW w:w="881" w:type="dxa"/>
            <w:noWrap/>
            <w:vAlign w:val="center"/>
          </w:tcPr>
          <w:p>
            <w:pPr>
              <w:jc w:val="center"/>
              <w:rPr>
                <w:rFonts w:ascii="宋体" w:cs="仿宋_GB2312"/>
                <w:color w:val="auto"/>
                <w:sz w:val="22"/>
                <w:szCs w:val="22"/>
                <w:highlight w:val="none"/>
                <w:lang w:val="zh-CN"/>
              </w:rPr>
            </w:pPr>
            <w:r>
              <w:rPr>
                <w:rFonts w:hint="eastAsia" w:ascii="宋体" w:cs="仿宋_GB2312"/>
                <w:color w:val="auto"/>
                <w:sz w:val="22"/>
                <w:szCs w:val="22"/>
                <w:highlight w:val="none"/>
                <w:lang w:val="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exact"/>
        </w:trPr>
        <w:tc>
          <w:tcPr>
            <w:tcW w:w="550" w:type="dxa"/>
            <w:noWrap/>
            <w:vAlign w:val="center"/>
          </w:tcPr>
          <w:p>
            <w:pPr>
              <w:spacing w:line="360" w:lineRule="auto"/>
              <w:jc w:val="left"/>
              <w:rPr>
                <w:rFonts w:ascii="宋体" w:hAnsi="宋体" w:cs="宋体"/>
                <w:color w:val="auto"/>
                <w:szCs w:val="21"/>
                <w:highlight w:val="none"/>
              </w:rPr>
            </w:pPr>
          </w:p>
        </w:tc>
        <w:tc>
          <w:tcPr>
            <w:tcW w:w="1904" w:type="dxa"/>
            <w:noWrap/>
            <w:vAlign w:val="center"/>
          </w:tcPr>
          <w:p>
            <w:pPr>
              <w:spacing w:line="360" w:lineRule="auto"/>
              <w:jc w:val="left"/>
              <w:rPr>
                <w:rFonts w:ascii="宋体" w:hAnsi="宋体" w:cs="宋体"/>
                <w:b/>
                <w:color w:val="auto"/>
                <w:szCs w:val="21"/>
                <w:highlight w:val="none"/>
              </w:rPr>
            </w:pPr>
          </w:p>
        </w:tc>
        <w:tc>
          <w:tcPr>
            <w:tcW w:w="1691" w:type="dxa"/>
            <w:noWrap/>
          </w:tcPr>
          <w:p>
            <w:pPr>
              <w:spacing w:line="360" w:lineRule="auto"/>
              <w:jc w:val="left"/>
              <w:rPr>
                <w:rFonts w:ascii="宋体" w:hAnsi="宋体" w:cs="宋体"/>
                <w:b/>
                <w:color w:val="auto"/>
                <w:szCs w:val="21"/>
                <w:highlight w:val="none"/>
              </w:rPr>
            </w:pPr>
          </w:p>
        </w:tc>
        <w:tc>
          <w:tcPr>
            <w:tcW w:w="1903" w:type="dxa"/>
            <w:noWrap/>
            <w:vAlign w:val="center"/>
          </w:tcPr>
          <w:p>
            <w:pPr>
              <w:spacing w:line="360" w:lineRule="auto"/>
              <w:jc w:val="left"/>
              <w:rPr>
                <w:rFonts w:ascii="宋体" w:hAnsi="宋体" w:cs="宋体"/>
                <w:b/>
                <w:color w:val="auto"/>
                <w:szCs w:val="21"/>
                <w:highlight w:val="none"/>
              </w:rPr>
            </w:pPr>
          </w:p>
        </w:tc>
        <w:tc>
          <w:tcPr>
            <w:tcW w:w="787" w:type="dxa"/>
            <w:noWrap/>
          </w:tcPr>
          <w:p>
            <w:pPr>
              <w:spacing w:line="360" w:lineRule="auto"/>
              <w:jc w:val="left"/>
              <w:rPr>
                <w:rFonts w:ascii="宋体" w:hAnsi="宋体" w:cs="宋体"/>
                <w:b/>
                <w:color w:val="auto"/>
                <w:szCs w:val="21"/>
                <w:highlight w:val="none"/>
              </w:rPr>
            </w:pPr>
          </w:p>
        </w:tc>
        <w:tc>
          <w:tcPr>
            <w:tcW w:w="998" w:type="dxa"/>
            <w:tcBorders>
              <w:right w:val="single" w:color="auto" w:sz="4" w:space="0"/>
            </w:tcBorders>
            <w:noWrap/>
            <w:vAlign w:val="center"/>
          </w:tcPr>
          <w:p>
            <w:pPr>
              <w:spacing w:line="360" w:lineRule="auto"/>
              <w:jc w:val="left"/>
              <w:rPr>
                <w:rFonts w:ascii="宋体" w:hAnsi="宋体" w:cs="宋体"/>
                <w:b/>
                <w:color w:val="auto"/>
                <w:szCs w:val="21"/>
                <w:highlight w:val="none"/>
              </w:rPr>
            </w:pPr>
          </w:p>
        </w:tc>
        <w:tc>
          <w:tcPr>
            <w:tcW w:w="1140" w:type="dxa"/>
            <w:tcBorders>
              <w:left w:val="single" w:color="auto" w:sz="4" w:space="0"/>
            </w:tcBorders>
            <w:noWrap/>
            <w:vAlign w:val="center"/>
          </w:tcPr>
          <w:p>
            <w:pPr>
              <w:spacing w:line="360" w:lineRule="auto"/>
              <w:jc w:val="left"/>
              <w:rPr>
                <w:rFonts w:ascii="宋体" w:hAnsi="宋体" w:cs="宋体"/>
                <w:b/>
                <w:color w:val="auto"/>
                <w:szCs w:val="21"/>
                <w:highlight w:val="none"/>
              </w:rPr>
            </w:pPr>
          </w:p>
        </w:tc>
        <w:tc>
          <w:tcPr>
            <w:tcW w:w="881" w:type="dxa"/>
            <w:noWrap/>
          </w:tcPr>
          <w:p>
            <w:pPr>
              <w:jc w:val="lef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exact"/>
        </w:trPr>
        <w:tc>
          <w:tcPr>
            <w:tcW w:w="550" w:type="dxa"/>
            <w:noWrap/>
            <w:vAlign w:val="center"/>
          </w:tcPr>
          <w:p>
            <w:pPr>
              <w:spacing w:line="360" w:lineRule="auto"/>
              <w:jc w:val="left"/>
              <w:rPr>
                <w:rFonts w:ascii="宋体" w:hAnsi="宋体" w:cs="宋体"/>
                <w:color w:val="auto"/>
                <w:szCs w:val="21"/>
                <w:highlight w:val="none"/>
              </w:rPr>
            </w:pPr>
          </w:p>
        </w:tc>
        <w:tc>
          <w:tcPr>
            <w:tcW w:w="1904" w:type="dxa"/>
            <w:noWrap/>
            <w:vAlign w:val="center"/>
          </w:tcPr>
          <w:p>
            <w:pPr>
              <w:spacing w:line="360" w:lineRule="auto"/>
              <w:jc w:val="left"/>
              <w:rPr>
                <w:rFonts w:ascii="宋体" w:hAnsi="宋体" w:cs="宋体"/>
                <w:b/>
                <w:color w:val="auto"/>
                <w:szCs w:val="21"/>
                <w:highlight w:val="none"/>
              </w:rPr>
            </w:pPr>
          </w:p>
        </w:tc>
        <w:tc>
          <w:tcPr>
            <w:tcW w:w="1691" w:type="dxa"/>
            <w:noWrap/>
          </w:tcPr>
          <w:p>
            <w:pPr>
              <w:spacing w:line="360" w:lineRule="auto"/>
              <w:jc w:val="left"/>
              <w:rPr>
                <w:rFonts w:ascii="宋体" w:hAnsi="宋体" w:cs="宋体"/>
                <w:b/>
                <w:color w:val="auto"/>
                <w:szCs w:val="21"/>
                <w:highlight w:val="none"/>
              </w:rPr>
            </w:pPr>
          </w:p>
        </w:tc>
        <w:tc>
          <w:tcPr>
            <w:tcW w:w="1903" w:type="dxa"/>
            <w:noWrap/>
            <w:vAlign w:val="center"/>
          </w:tcPr>
          <w:p>
            <w:pPr>
              <w:spacing w:line="360" w:lineRule="auto"/>
              <w:jc w:val="left"/>
              <w:rPr>
                <w:rFonts w:ascii="宋体" w:hAnsi="宋体" w:cs="宋体"/>
                <w:b/>
                <w:color w:val="auto"/>
                <w:szCs w:val="21"/>
                <w:highlight w:val="none"/>
              </w:rPr>
            </w:pPr>
          </w:p>
        </w:tc>
        <w:tc>
          <w:tcPr>
            <w:tcW w:w="787" w:type="dxa"/>
            <w:noWrap/>
          </w:tcPr>
          <w:p>
            <w:pPr>
              <w:spacing w:line="360" w:lineRule="auto"/>
              <w:jc w:val="left"/>
              <w:rPr>
                <w:rFonts w:ascii="宋体" w:hAnsi="宋体" w:cs="宋体"/>
                <w:b/>
                <w:color w:val="auto"/>
                <w:szCs w:val="21"/>
                <w:highlight w:val="none"/>
              </w:rPr>
            </w:pPr>
          </w:p>
        </w:tc>
        <w:tc>
          <w:tcPr>
            <w:tcW w:w="998" w:type="dxa"/>
            <w:tcBorders>
              <w:right w:val="single" w:color="auto" w:sz="4" w:space="0"/>
            </w:tcBorders>
            <w:noWrap/>
            <w:vAlign w:val="center"/>
          </w:tcPr>
          <w:p>
            <w:pPr>
              <w:spacing w:line="360" w:lineRule="auto"/>
              <w:jc w:val="left"/>
              <w:rPr>
                <w:rFonts w:ascii="宋体" w:hAnsi="宋体" w:cs="宋体"/>
                <w:b/>
                <w:color w:val="auto"/>
                <w:szCs w:val="21"/>
                <w:highlight w:val="none"/>
              </w:rPr>
            </w:pPr>
          </w:p>
        </w:tc>
        <w:tc>
          <w:tcPr>
            <w:tcW w:w="1140" w:type="dxa"/>
            <w:tcBorders>
              <w:left w:val="single" w:color="auto" w:sz="4" w:space="0"/>
            </w:tcBorders>
            <w:noWrap/>
            <w:vAlign w:val="center"/>
          </w:tcPr>
          <w:p>
            <w:pPr>
              <w:spacing w:line="360" w:lineRule="auto"/>
              <w:jc w:val="left"/>
              <w:rPr>
                <w:rFonts w:ascii="宋体" w:hAnsi="宋体" w:cs="宋体"/>
                <w:b/>
                <w:color w:val="auto"/>
                <w:szCs w:val="21"/>
                <w:highlight w:val="none"/>
              </w:rPr>
            </w:pPr>
          </w:p>
        </w:tc>
        <w:tc>
          <w:tcPr>
            <w:tcW w:w="881" w:type="dxa"/>
            <w:noWrap/>
          </w:tcPr>
          <w:p>
            <w:pPr>
              <w:jc w:val="left"/>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exact"/>
        </w:trPr>
        <w:tc>
          <w:tcPr>
            <w:tcW w:w="550" w:type="dxa"/>
            <w:noWrap/>
            <w:vAlign w:val="center"/>
          </w:tcPr>
          <w:p>
            <w:pPr>
              <w:spacing w:line="360" w:lineRule="auto"/>
              <w:jc w:val="left"/>
              <w:rPr>
                <w:rFonts w:ascii="宋体" w:hAnsi="宋体" w:cs="宋体"/>
                <w:color w:val="auto"/>
                <w:szCs w:val="21"/>
                <w:highlight w:val="none"/>
              </w:rPr>
            </w:pPr>
          </w:p>
        </w:tc>
        <w:tc>
          <w:tcPr>
            <w:tcW w:w="1904" w:type="dxa"/>
            <w:noWrap/>
            <w:vAlign w:val="center"/>
          </w:tcPr>
          <w:p>
            <w:pPr>
              <w:spacing w:line="360" w:lineRule="auto"/>
              <w:jc w:val="left"/>
              <w:rPr>
                <w:rFonts w:ascii="宋体" w:hAnsi="宋体" w:cs="宋体"/>
                <w:b/>
                <w:color w:val="auto"/>
                <w:szCs w:val="21"/>
                <w:highlight w:val="none"/>
              </w:rPr>
            </w:pPr>
          </w:p>
        </w:tc>
        <w:tc>
          <w:tcPr>
            <w:tcW w:w="1691" w:type="dxa"/>
            <w:noWrap/>
          </w:tcPr>
          <w:p>
            <w:pPr>
              <w:spacing w:line="360" w:lineRule="auto"/>
              <w:jc w:val="left"/>
              <w:rPr>
                <w:rFonts w:ascii="宋体" w:hAnsi="宋体" w:cs="宋体"/>
                <w:b/>
                <w:color w:val="auto"/>
                <w:szCs w:val="21"/>
                <w:highlight w:val="none"/>
              </w:rPr>
            </w:pPr>
          </w:p>
        </w:tc>
        <w:tc>
          <w:tcPr>
            <w:tcW w:w="1903" w:type="dxa"/>
            <w:noWrap/>
            <w:vAlign w:val="center"/>
          </w:tcPr>
          <w:p>
            <w:pPr>
              <w:spacing w:line="360" w:lineRule="auto"/>
              <w:jc w:val="left"/>
              <w:rPr>
                <w:rFonts w:ascii="宋体" w:hAnsi="宋体" w:cs="宋体"/>
                <w:b/>
                <w:color w:val="auto"/>
                <w:szCs w:val="21"/>
                <w:highlight w:val="none"/>
              </w:rPr>
            </w:pPr>
          </w:p>
        </w:tc>
        <w:tc>
          <w:tcPr>
            <w:tcW w:w="787" w:type="dxa"/>
            <w:noWrap/>
          </w:tcPr>
          <w:p>
            <w:pPr>
              <w:spacing w:line="360" w:lineRule="auto"/>
              <w:jc w:val="left"/>
              <w:rPr>
                <w:rFonts w:ascii="宋体" w:hAnsi="宋体" w:cs="宋体"/>
                <w:b/>
                <w:color w:val="auto"/>
                <w:szCs w:val="21"/>
                <w:highlight w:val="none"/>
              </w:rPr>
            </w:pPr>
          </w:p>
        </w:tc>
        <w:tc>
          <w:tcPr>
            <w:tcW w:w="998" w:type="dxa"/>
            <w:tcBorders>
              <w:right w:val="single" w:color="auto" w:sz="4" w:space="0"/>
            </w:tcBorders>
            <w:noWrap/>
            <w:vAlign w:val="center"/>
          </w:tcPr>
          <w:p>
            <w:pPr>
              <w:spacing w:line="360" w:lineRule="auto"/>
              <w:jc w:val="left"/>
              <w:rPr>
                <w:rFonts w:ascii="宋体" w:hAnsi="宋体" w:cs="宋体"/>
                <w:b/>
                <w:color w:val="auto"/>
                <w:szCs w:val="21"/>
                <w:highlight w:val="none"/>
              </w:rPr>
            </w:pPr>
          </w:p>
        </w:tc>
        <w:tc>
          <w:tcPr>
            <w:tcW w:w="1140" w:type="dxa"/>
            <w:tcBorders>
              <w:left w:val="single" w:color="auto" w:sz="4" w:space="0"/>
            </w:tcBorders>
            <w:noWrap/>
            <w:vAlign w:val="center"/>
          </w:tcPr>
          <w:p>
            <w:pPr>
              <w:spacing w:line="360" w:lineRule="auto"/>
              <w:jc w:val="left"/>
              <w:rPr>
                <w:rFonts w:ascii="宋体" w:hAnsi="宋体" w:cs="宋体"/>
                <w:b/>
                <w:color w:val="auto"/>
                <w:szCs w:val="21"/>
                <w:highlight w:val="none"/>
              </w:rPr>
            </w:pPr>
          </w:p>
        </w:tc>
        <w:tc>
          <w:tcPr>
            <w:tcW w:w="881" w:type="dxa"/>
            <w:noWrap/>
          </w:tcPr>
          <w:p>
            <w:pPr>
              <w:jc w:val="left"/>
              <w:rPr>
                <w:rFonts w:ascii="宋体" w:hAnsi="宋体" w:cs="宋体"/>
                <w:color w:val="auto"/>
                <w:szCs w:val="21"/>
                <w:highlight w:val="none"/>
              </w:rPr>
            </w:pPr>
          </w:p>
        </w:tc>
      </w:tr>
    </w:tbl>
    <w:p>
      <w:pPr>
        <w:autoSpaceDE w:val="0"/>
        <w:autoSpaceDN w:val="0"/>
        <w:rPr>
          <w:rFonts w:ascii="宋体" w:hAnsi="宋体" w:cs="宋体"/>
          <w:color w:val="auto"/>
          <w:sz w:val="24"/>
          <w:highlight w:val="none"/>
        </w:rPr>
      </w:pPr>
      <w:r>
        <w:rPr>
          <w:rFonts w:hint="eastAsia" w:ascii="宋体" w:hAnsi="宋体" w:cs="宋体"/>
          <w:color w:val="auto"/>
          <w:sz w:val="24"/>
          <w:highlight w:val="none"/>
        </w:rPr>
        <w:t>项目名称：                                          招标编号：</w:t>
      </w:r>
    </w:p>
    <w:p>
      <w:pPr>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注：1.本表所列为投标供应商拟投入的消耗材料清单。</w:t>
      </w:r>
    </w:p>
    <w:p>
      <w:pPr>
        <w:numPr>
          <w:ilvl w:val="0"/>
          <w:numId w:val="13"/>
        </w:numPr>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此表仅提供了表格形式，投标供应商可按此表格复制。</w:t>
      </w:r>
    </w:p>
    <w:p>
      <w:pPr>
        <w:numPr>
          <w:ilvl w:val="0"/>
          <w:numId w:val="13"/>
        </w:numPr>
        <w:spacing w:line="3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此表可后附功能说明等介绍（如有）。</w:t>
      </w:r>
    </w:p>
    <w:p>
      <w:pPr>
        <w:spacing w:line="380" w:lineRule="exact"/>
        <w:ind w:firstLine="4800" w:firstLineChars="2000"/>
        <w:jc w:val="right"/>
        <w:rPr>
          <w:rFonts w:ascii="宋体" w:hAnsi="宋体"/>
          <w:color w:val="auto"/>
          <w:sz w:val="24"/>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pStyle w:val="2"/>
        <w:ind w:firstLine="440"/>
        <w:rPr>
          <w:rFonts w:cs="宋体"/>
          <w:color w:val="auto"/>
          <w:kern w:val="0"/>
          <w:sz w:val="22"/>
          <w:szCs w:val="22"/>
          <w:highlight w:val="none"/>
        </w:rPr>
      </w:pPr>
    </w:p>
    <w:p>
      <w:pPr>
        <w:spacing w:line="380" w:lineRule="exact"/>
        <w:rPr>
          <w:rFonts w:ascii="宋体" w:hAnsi="宋体"/>
          <w:b/>
          <w:color w:val="auto"/>
          <w:sz w:val="22"/>
          <w:highlight w:val="non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附件7</w:t>
      </w:r>
    </w:p>
    <w:p>
      <w:pPr>
        <w:jc w:val="center"/>
        <w:rPr>
          <w:rFonts w:ascii="宋体" w:cs="仿宋_GB2312"/>
          <w:color w:val="auto"/>
          <w:sz w:val="32"/>
          <w:szCs w:val="32"/>
          <w:highlight w:val="none"/>
        </w:rPr>
      </w:pPr>
      <w:r>
        <w:rPr>
          <w:rFonts w:hint="eastAsia" w:ascii="宋体" w:cs="仿宋_GB2312"/>
          <w:color w:val="auto"/>
          <w:sz w:val="32"/>
          <w:szCs w:val="32"/>
          <w:highlight w:val="none"/>
        </w:rPr>
        <w:t>购买新车承诺书</w:t>
      </w:r>
    </w:p>
    <w:p>
      <w:pPr>
        <w:pStyle w:val="2"/>
        <w:ind w:left="840" w:leftChars="400" w:firstLine="0" w:firstLineChars="0"/>
        <w:rPr>
          <w:color w:val="auto"/>
          <w:highlight w:val="none"/>
        </w:rPr>
      </w:pPr>
    </w:p>
    <w:p>
      <w:pPr>
        <w:autoSpaceDE w:val="0"/>
        <w:autoSpaceDN w:val="0"/>
        <w:rPr>
          <w:rFonts w:ascii="宋体" w:hAnsi="宋体" w:cs="宋体"/>
          <w:color w:val="auto"/>
          <w:sz w:val="24"/>
          <w:highlight w:val="none"/>
        </w:rPr>
      </w:pPr>
      <w:r>
        <w:rPr>
          <w:rFonts w:hint="eastAsia" w:ascii="宋体" w:hAnsi="宋体" w:cs="宋体"/>
          <w:color w:val="auto"/>
          <w:sz w:val="24"/>
          <w:highlight w:val="none"/>
        </w:rPr>
        <w:t>项目名称：                                          招标编号：</w:t>
      </w:r>
    </w:p>
    <w:p>
      <w:pPr>
        <w:spacing w:line="600" w:lineRule="exact"/>
        <w:ind w:left="108" w:hanging="107" w:hangingChars="49"/>
        <w:rPr>
          <w:rFonts w:ascii="宋体" w:hAnsi="宋体"/>
          <w:color w:val="auto"/>
          <w:sz w:val="22"/>
          <w:highlight w:val="none"/>
        </w:rPr>
      </w:pPr>
    </w:p>
    <w:p>
      <w:pPr>
        <w:spacing w:line="600" w:lineRule="exact"/>
        <w:ind w:left="108" w:hanging="107" w:hangingChars="49"/>
        <w:rPr>
          <w:rFonts w:ascii="宋体" w:hAnsi="宋体"/>
          <w:color w:val="auto"/>
          <w:sz w:val="22"/>
          <w:highlight w:val="none"/>
        </w:rPr>
      </w:pPr>
      <w:r>
        <w:rPr>
          <w:rFonts w:hint="eastAsia" w:ascii="宋体" w:hAnsi="宋体"/>
          <w:color w:val="auto"/>
          <w:sz w:val="22"/>
          <w:highlight w:val="none"/>
        </w:rPr>
        <w:t>永嘉瓯北城市新区管理委员会</w:t>
      </w:r>
      <w:r>
        <w:rPr>
          <w:rFonts w:ascii="宋体" w:hAnsi="宋体"/>
          <w:color w:val="auto"/>
          <w:sz w:val="22"/>
          <w:highlight w:val="none"/>
        </w:rPr>
        <w:t>：</w:t>
      </w:r>
    </w:p>
    <w:p>
      <w:pPr>
        <w:spacing w:line="600" w:lineRule="exact"/>
        <w:ind w:left="107" w:leftChars="51" w:firstLine="440" w:firstLineChars="200"/>
        <w:rPr>
          <w:rFonts w:ascii="宋体" w:hAnsi="宋体"/>
          <w:color w:val="auto"/>
          <w:sz w:val="22"/>
          <w:highlight w:val="none"/>
        </w:rPr>
      </w:pPr>
      <w:r>
        <w:rPr>
          <w:rFonts w:ascii="宋体" w:hAnsi="宋体"/>
          <w:color w:val="auto"/>
          <w:sz w:val="22"/>
          <w:highlight w:val="none"/>
        </w:rPr>
        <w:t>我公司就</w:t>
      </w:r>
      <w:r>
        <w:rPr>
          <w:rFonts w:hint="eastAsia" w:ascii="宋体" w:hAnsi="宋体"/>
          <w:color w:val="auto"/>
          <w:sz w:val="22"/>
          <w:highlight w:val="none"/>
        </w:rPr>
        <w:t>永嘉县瓯北街道东瓯片建成区环卫保洁外包服务</w:t>
      </w:r>
      <w:r>
        <w:rPr>
          <w:rFonts w:ascii="宋体" w:hAnsi="宋体"/>
          <w:color w:val="auto"/>
          <w:sz w:val="22"/>
          <w:highlight w:val="none"/>
        </w:rPr>
        <w:t>（项目编号：       ）的投标</w:t>
      </w:r>
      <w:r>
        <w:rPr>
          <w:rFonts w:hint="eastAsia" w:ascii="宋体" w:hAnsi="宋体"/>
          <w:color w:val="auto"/>
          <w:sz w:val="22"/>
          <w:highlight w:val="none"/>
        </w:rPr>
        <w:t>购买新车</w:t>
      </w:r>
      <w:r>
        <w:rPr>
          <w:rFonts w:ascii="宋体" w:hAnsi="宋体"/>
          <w:color w:val="auto"/>
          <w:sz w:val="22"/>
          <w:highlight w:val="none"/>
        </w:rPr>
        <w:t>作如下承诺：若我公司在本项目中标，将按照</w:t>
      </w:r>
      <w:r>
        <w:rPr>
          <w:rFonts w:hint="eastAsia" w:ascii="宋体" w:hAnsi="宋体"/>
          <w:color w:val="auto"/>
          <w:sz w:val="22"/>
          <w:highlight w:val="none"/>
        </w:rPr>
        <w:t>招标</w:t>
      </w:r>
      <w:r>
        <w:rPr>
          <w:rFonts w:ascii="宋体" w:hAnsi="宋体"/>
          <w:color w:val="auto"/>
          <w:sz w:val="22"/>
          <w:highlight w:val="none"/>
        </w:rPr>
        <w:t>文件</w:t>
      </w:r>
      <w:r>
        <w:rPr>
          <w:rFonts w:hint="eastAsia" w:ascii="宋体" w:hAnsi="宋体"/>
          <w:color w:val="auto"/>
          <w:sz w:val="22"/>
          <w:highlight w:val="none"/>
        </w:rPr>
        <w:t>规定</w:t>
      </w:r>
      <w:r>
        <w:rPr>
          <w:rFonts w:hint="eastAsia" w:ascii="宋体" w:hAnsi="宋体"/>
          <w:color w:val="auto"/>
          <w:spacing w:val="6"/>
          <w:sz w:val="22"/>
          <w:szCs w:val="22"/>
          <w:highlight w:val="none"/>
        </w:rPr>
        <w:t>在中标通知书发出之日起（以中标通知书落款日期为准）</w:t>
      </w:r>
      <w:r>
        <w:rPr>
          <w:rFonts w:hint="eastAsia" w:ascii="宋体" w:hAnsi="宋体"/>
          <w:color w:val="auto"/>
          <w:spacing w:val="6"/>
          <w:sz w:val="22"/>
          <w:szCs w:val="22"/>
          <w:highlight w:val="none"/>
          <w:lang w:eastAsia="zh-CN"/>
        </w:rPr>
        <w:t>1</w:t>
      </w:r>
      <w:r>
        <w:rPr>
          <w:rFonts w:hint="eastAsia" w:ascii="宋体" w:hAnsi="宋体"/>
          <w:color w:val="auto"/>
          <w:spacing w:val="6"/>
          <w:sz w:val="22"/>
          <w:szCs w:val="22"/>
          <w:highlight w:val="none"/>
          <w:lang w:val="en-US" w:eastAsia="zh-CN"/>
        </w:rPr>
        <w:t>5</w:t>
      </w:r>
      <w:r>
        <w:rPr>
          <w:rFonts w:hint="eastAsia" w:ascii="宋体" w:hAnsi="宋体"/>
          <w:color w:val="auto"/>
          <w:spacing w:val="6"/>
          <w:sz w:val="22"/>
          <w:szCs w:val="22"/>
          <w:highlight w:val="none"/>
        </w:rPr>
        <w:t>个工作日内按要求时间（</w:t>
      </w:r>
      <w:r>
        <w:rPr>
          <w:rFonts w:hint="eastAsia" w:ascii="宋体" w:hAnsi="宋体"/>
          <w:color w:val="auto"/>
          <w:spacing w:val="6"/>
          <w:sz w:val="22"/>
          <w:szCs w:val="22"/>
          <w:highlight w:val="none"/>
          <w:u w:val="single"/>
        </w:rPr>
        <w:t xml:space="preserve">采购的新车   </w:t>
      </w:r>
      <w:r>
        <w:rPr>
          <w:rFonts w:hint="eastAsia" w:ascii="宋体" w:hAnsi="宋体"/>
          <w:color w:val="auto"/>
          <w:spacing w:val="6"/>
          <w:sz w:val="22"/>
          <w:szCs w:val="22"/>
          <w:highlight w:val="none"/>
        </w:rPr>
        <w:t>）到位投入清扫工作</w:t>
      </w:r>
      <w:r>
        <w:rPr>
          <w:rFonts w:ascii="宋体" w:hAnsi="宋体"/>
          <w:color w:val="auto"/>
          <w:sz w:val="22"/>
          <w:highlight w:val="none"/>
        </w:rPr>
        <w:t>，如不能履行上述承诺，视为我公司自动放弃中标资格</w:t>
      </w:r>
      <w:r>
        <w:rPr>
          <w:rFonts w:hint="eastAsia" w:ascii="宋体" w:hAnsi="宋体"/>
          <w:color w:val="auto"/>
          <w:sz w:val="22"/>
          <w:highlight w:val="none"/>
        </w:rPr>
        <w:t>，</w:t>
      </w:r>
      <w:r>
        <w:rPr>
          <w:rFonts w:hint="eastAsia" w:ascii="宋体" w:hAnsi="宋体"/>
          <w:color w:val="auto"/>
          <w:spacing w:val="6"/>
          <w:sz w:val="22"/>
          <w:szCs w:val="22"/>
          <w:highlight w:val="none"/>
        </w:rPr>
        <w:t>且有权取消其中标资格。</w:t>
      </w:r>
    </w:p>
    <w:p>
      <w:pPr>
        <w:spacing w:line="600" w:lineRule="exact"/>
        <w:ind w:left="107" w:leftChars="51" w:firstLine="464" w:firstLineChars="200"/>
        <w:rPr>
          <w:rFonts w:ascii="宋体" w:hAnsi="宋体"/>
          <w:color w:val="auto"/>
          <w:spacing w:val="6"/>
          <w:sz w:val="22"/>
          <w:szCs w:val="22"/>
          <w:highlight w:val="none"/>
        </w:rPr>
      </w:pPr>
    </w:p>
    <w:p>
      <w:pPr>
        <w:spacing w:line="600" w:lineRule="exact"/>
        <w:ind w:left="107" w:leftChars="51" w:firstLine="464" w:firstLineChars="200"/>
        <w:rPr>
          <w:rFonts w:ascii="宋体" w:hAnsi="宋体"/>
          <w:color w:val="auto"/>
          <w:spacing w:val="6"/>
          <w:sz w:val="22"/>
          <w:szCs w:val="22"/>
          <w:highlight w:val="none"/>
        </w:rPr>
      </w:pPr>
    </w:p>
    <w:p>
      <w:pPr>
        <w:spacing w:line="600" w:lineRule="exact"/>
        <w:ind w:left="107" w:leftChars="51" w:firstLine="330" w:firstLineChars="150"/>
        <w:rPr>
          <w:rFonts w:ascii="宋体" w:hAnsi="宋体"/>
          <w:color w:val="auto"/>
          <w:sz w:val="22"/>
          <w:highlight w:val="none"/>
        </w:rPr>
      </w:pPr>
      <w:r>
        <w:rPr>
          <w:rFonts w:ascii="宋体" w:hAnsi="宋体"/>
          <w:color w:val="auto"/>
          <w:sz w:val="22"/>
          <w:highlight w:val="none"/>
        </w:rPr>
        <w:t>特此承诺！</w:t>
      </w:r>
    </w:p>
    <w:p>
      <w:pPr>
        <w:spacing w:line="600" w:lineRule="exact"/>
        <w:ind w:left="108" w:hanging="107" w:hangingChars="49"/>
        <w:rPr>
          <w:rFonts w:ascii="宋体" w:hAnsi="宋体"/>
          <w:color w:val="auto"/>
          <w:sz w:val="22"/>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pacing w:line="460" w:lineRule="exact"/>
        <w:rPr>
          <w:rFonts w:ascii="宋体" w:hAnsi="宋体"/>
          <w:b/>
          <w:bCs/>
          <w:color w:val="auto"/>
          <w:sz w:val="28"/>
          <w:szCs w:val="28"/>
          <w:highlight w:val="none"/>
        </w:rPr>
      </w:pPr>
    </w:p>
    <w:p>
      <w:pPr>
        <w:spacing w:line="460" w:lineRule="exact"/>
        <w:jc w:val="center"/>
        <w:rPr>
          <w:rFonts w:ascii="宋体" w:hAnsi="宋体"/>
          <w:b/>
          <w:bCs/>
          <w:color w:val="auto"/>
          <w:sz w:val="28"/>
          <w:szCs w:val="28"/>
          <w:highlight w:val="none"/>
        </w:rPr>
      </w:pPr>
    </w:p>
    <w:p>
      <w:pPr>
        <w:spacing w:line="460" w:lineRule="exact"/>
        <w:jc w:val="center"/>
        <w:rPr>
          <w:rFonts w:ascii="宋体" w:hAnsi="宋体"/>
          <w:b/>
          <w:bCs/>
          <w:color w:val="auto"/>
          <w:sz w:val="28"/>
          <w:szCs w:val="28"/>
          <w:highlight w:val="none"/>
        </w:rPr>
      </w:pPr>
    </w:p>
    <w:p>
      <w:pPr>
        <w:spacing w:line="460" w:lineRule="exact"/>
        <w:jc w:val="center"/>
        <w:rPr>
          <w:rFonts w:ascii="宋体" w:hAnsi="宋体"/>
          <w:b/>
          <w:bCs/>
          <w:color w:val="auto"/>
          <w:sz w:val="28"/>
          <w:szCs w:val="28"/>
          <w:highlight w:val="none"/>
        </w:rPr>
      </w:pPr>
    </w:p>
    <w:p>
      <w:pPr>
        <w:spacing w:line="460" w:lineRule="exact"/>
        <w:jc w:val="center"/>
        <w:rPr>
          <w:rFonts w:ascii="宋体" w:hAnsi="宋体"/>
          <w:b/>
          <w:bCs/>
          <w:color w:val="auto"/>
          <w:sz w:val="28"/>
          <w:szCs w:val="28"/>
          <w:highlight w:val="none"/>
        </w:rPr>
      </w:pPr>
    </w:p>
    <w:p>
      <w:pPr>
        <w:spacing w:line="460" w:lineRule="exact"/>
        <w:jc w:val="left"/>
        <w:rPr>
          <w:rFonts w:ascii="宋体" w:hAnsi="宋体"/>
          <w:b/>
          <w:color w:val="auto"/>
          <w:sz w:val="22"/>
          <w:szCs w:val="22"/>
          <w:highlight w:val="none"/>
          <w:u w:val="single"/>
        </w:rPr>
      </w:pPr>
      <w:r>
        <w:rPr>
          <w:rFonts w:hint="eastAsia" w:ascii="宋体" w:hAnsi="宋体"/>
          <w:b/>
          <w:color w:val="auto"/>
          <w:sz w:val="22"/>
          <w:szCs w:val="22"/>
          <w:highlight w:val="none"/>
          <w:u w:val="single"/>
        </w:rPr>
        <w:t>注：如投标人若承诺购买新车，须提交本承诺书，不购买新车的则无须提交。</w:t>
      </w:r>
    </w:p>
    <w:p>
      <w:pPr>
        <w:pStyle w:val="2"/>
        <w:ind w:left="0" w:leftChars="0" w:firstLine="0" w:firstLineChars="0"/>
        <w:rPr>
          <w:b/>
          <w:color w:val="auto"/>
          <w:sz w:val="22"/>
          <w:szCs w:val="22"/>
          <w:highlight w:val="none"/>
          <w:u w:val="single"/>
        </w:rPr>
      </w:pPr>
    </w:p>
    <w:p>
      <w:pPr>
        <w:pStyle w:val="2"/>
        <w:ind w:left="0" w:leftChars="0" w:firstLine="0" w:firstLineChars="0"/>
        <w:rPr>
          <w:b/>
          <w:color w:val="auto"/>
          <w:sz w:val="22"/>
          <w:szCs w:val="22"/>
          <w:highlight w:val="none"/>
          <w:u w:val="single"/>
        </w:rPr>
      </w:pPr>
    </w:p>
    <w:p>
      <w:pPr>
        <w:pStyle w:val="2"/>
        <w:ind w:left="0" w:leftChars="0" w:firstLine="0" w:firstLineChars="0"/>
        <w:rPr>
          <w:b/>
          <w:color w:val="auto"/>
          <w:sz w:val="22"/>
          <w:szCs w:val="22"/>
          <w:highlight w:val="none"/>
          <w:u w:val="single"/>
        </w:rPr>
      </w:pPr>
    </w:p>
    <w:p>
      <w:pPr>
        <w:pStyle w:val="2"/>
        <w:ind w:left="0" w:leftChars="0" w:firstLine="0" w:firstLineChars="0"/>
        <w:rPr>
          <w:b/>
          <w:color w:val="auto"/>
          <w:sz w:val="22"/>
          <w:szCs w:val="22"/>
          <w:highlight w:val="none"/>
          <w:u w:val="singl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附件8</w:t>
      </w:r>
    </w:p>
    <w:p>
      <w:pPr>
        <w:jc w:val="center"/>
        <w:rPr>
          <w:rFonts w:ascii="宋体" w:cs="仿宋_GB2312"/>
          <w:color w:val="auto"/>
          <w:sz w:val="32"/>
          <w:szCs w:val="32"/>
          <w:highlight w:val="none"/>
        </w:rPr>
      </w:pPr>
      <w:r>
        <w:rPr>
          <w:rFonts w:hint="eastAsia" w:ascii="宋体" w:cs="仿宋_GB2312"/>
          <w:color w:val="auto"/>
          <w:sz w:val="32"/>
          <w:szCs w:val="32"/>
          <w:highlight w:val="none"/>
        </w:rPr>
        <w:t>项目负责人、主管人员、专业人员概况</w:t>
      </w:r>
    </w:p>
    <w:p>
      <w:pPr>
        <w:pStyle w:val="2"/>
        <w:rPr>
          <w:color w:val="auto"/>
          <w:highlight w:val="none"/>
        </w:rPr>
      </w:pPr>
    </w:p>
    <w:p>
      <w:pPr>
        <w:autoSpaceDE w:val="0"/>
        <w:autoSpaceDN w:val="0"/>
        <w:rPr>
          <w:rFonts w:ascii="宋体" w:hAnsi="宋体" w:cs="宋体"/>
          <w:color w:val="auto"/>
          <w:sz w:val="24"/>
          <w:highlight w:val="none"/>
        </w:rPr>
      </w:pPr>
      <w:r>
        <w:rPr>
          <w:rFonts w:hint="eastAsia" w:ascii="宋体" w:hAnsi="宋体" w:cs="宋体"/>
          <w:color w:val="auto"/>
          <w:sz w:val="24"/>
          <w:highlight w:val="none"/>
        </w:rPr>
        <w:t>项目名称：                                          招标编号：</w:t>
      </w:r>
    </w:p>
    <w:p>
      <w:pPr>
        <w:pStyle w:val="2"/>
        <w:ind w:left="0" w:leftChars="0" w:firstLine="0" w:firstLineChars="0"/>
        <w:rPr>
          <w:color w:val="auto"/>
          <w:highlight w:val="none"/>
        </w:rPr>
      </w:pPr>
    </w:p>
    <w:tbl>
      <w:tblPr>
        <w:tblStyle w:val="57"/>
        <w:tblW w:w="918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303"/>
        <w:gridCol w:w="851"/>
        <w:gridCol w:w="992"/>
        <w:gridCol w:w="1174"/>
        <w:gridCol w:w="720"/>
        <w:gridCol w:w="234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20" w:type="dxa"/>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303" w:type="dxa"/>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851" w:type="dxa"/>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992" w:type="dxa"/>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174" w:type="dxa"/>
            <w:noWrap/>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学历</w:t>
            </w:r>
          </w:p>
        </w:tc>
        <w:tc>
          <w:tcPr>
            <w:tcW w:w="720" w:type="dxa"/>
            <w:noWrap/>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现任职务</w:t>
            </w:r>
          </w:p>
        </w:tc>
        <w:tc>
          <w:tcPr>
            <w:tcW w:w="2340" w:type="dxa"/>
            <w:noWrap/>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从事清扫保洁服务简历、年限</w:t>
            </w:r>
          </w:p>
        </w:tc>
        <w:tc>
          <w:tcPr>
            <w:tcW w:w="1080" w:type="dxa"/>
            <w:noWrap/>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0" w:type="dxa"/>
            <w:noWrap/>
            <w:vAlign w:val="center"/>
          </w:tcPr>
          <w:p>
            <w:pPr>
              <w:spacing w:line="360" w:lineRule="auto"/>
              <w:jc w:val="center"/>
              <w:rPr>
                <w:rFonts w:ascii="新宋体" w:hAnsi="新宋体" w:eastAsia="新宋体"/>
                <w:color w:val="auto"/>
                <w:sz w:val="22"/>
                <w:szCs w:val="22"/>
                <w:highlight w:val="none"/>
              </w:rPr>
            </w:pPr>
          </w:p>
        </w:tc>
        <w:tc>
          <w:tcPr>
            <w:tcW w:w="1303" w:type="dxa"/>
            <w:noWrap/>
            <w:vAlign w:val="center"/>
          </w:tcPr>
          <w:p>
            <w:pPr>
              <w:spacing w:line="360" w:lineRule="auto"/>
              <w:jc w:val="center"/>
              <w:rPr>
                <w:rFonts w:ascii="新宋体" w:hAnsi="新宋体" w:eastAsia="新宋体"/>
                <w:color w:val="auto"/>
                <w:sz w:val="22"/>
                <w:szCs w:val="22"/>
                <w:highlight w:val="none"/>
              </w:rPr>
            </w:pPr>
          </w:p>
        </w:tc>
        <w:tc>
          <w:tcPr>
            <w:tcW w:w="851" w:type="dxa"/>
            <w:noWrap/>
            <w:vAlign w:val="center"/>
          </w:tcPr>
          <w:p>
            <w:pPr>
              <w:spacing w:line="360" w:lineRule="auto"/>
              <w:jc w:val="center"/>
              <w:rPr>
                <w:rFonts w:ascii="新宋体" w:hAnsi="新宋体" w:eastAsia="新宋体"/>
                <w:color w:val="auto"/>
                <w:sz w:val="22"/>
                <w:szCs w:val="22"/>
                <w:highlight w:val="none"/>
              </w:rPr>
            </w:pPr>
          </w:p>
        </w:tc>
        <w:tc>
          <w:tcPr>
            <w:tcW w:w="992" w:type="dxa"/>
            <w:noWrap/>
            <w:vAlign w:val="center"/>
          </w:tcPr>
          <w:p>
            <w:pPr>
              <w:spacing w:line="360" w:lineRule="auto"/>
              <w:jc w:val="center"/>
              <w:rPr>
                <w:rFonts w:ascii="新宋体" w:hAnsi="新宋体" w:eastAsia="新宋体"/>
                <w:color w:val="auto"/>
                <w:sz w:val="22"/>
                <w:szCs w:val="22"/>
                <w:highlight w:val="none"/>
              </w:rPr>
            </w:pPr>
          </w:p>
        </w:tc>
        <w:tc>
          <w:tcPr>
            <w:tcW w:w="1174" w:type="dxa"/>
            <w:noWrap/>
            <w:vAlign w:val="center"/>
          </w:tcPr>
          <w:p>
            <w:pPr>
              <w:spacing w:line="360" w:lineRule="auto"/>
              <w:jc w:val="center"/>
              <w:rPr>
                <w:rFonts w:ascii="新宋体" w:hAnsi="新宋体" w:eastAsia="新宋体"/>
                <w:color w:val="auto"/>
                <w:sz w:val="22"/>
                <w:szCs w:val="22"/>
                <w:highlight w:val="none"/>
              </w:rPr>
            </w:pPr>
          </w:p>
        </w:tc>
        <w:tc>
          <w:tcPr>
            <w:tcW w:w="720" w:type="dxa"/>
            <w:noWrap/>
            <w:vAlign w:val="center"/>
          </w:tcPr>
          <w:p>
            <w:pPr>
              <w:spacing w:line="360" w:lineRule="auto"/>
              <w:jc w:val="center"/>
              <w:rPr>
                <w:rFonts w:ascii="新宋体" w:hAnsi="新宋体" w:eastAsia="新宋体"/>
                <w:color w:val="auto"/>
                <w:sz w:val="22"/>
                <w:szCs w:val="22"/>
                <w:highlight w:val="none"/>
              </w:rPr>
            </w:pPr>
          </w:p>
        </w:tc>
        <w:tc>
          <w:tcPr>
            <w:tcW w:w="2340" w:type="dxa"/>
            <w:noWrap/>
          </w:tcPr>
          <w:p>
            <w:pPr>
              <w:spacing w:line="360" w:lineRule="auto"/>
              <w:jc w:val="center"/>
              <w:rPr>
                <w:rFonts w:ascii="新宋体" w:hAnsi="新宋体" w:eastAsia="新宋体"/>
                <w:color w:val="auto"/>
                <w:sz w:val="22"/>
                <w:szCs w:val="22"/>
                <w:highlight w:val="none"/>
              </w:rPr>
            </w:pPr>
          </w:p>
        </w:tc>
        <w:tc>
          <w:tcPr>
            <w:tcW w:w="1080" w:type="dxa"/>
            <w:noWrap/>
            <w:vAlign w:val="center"/>
          </w:tcPr>
          <w:p>
            <w:pPr>
              <w:spacing w:line="360" w:lineRule="auto"/>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0" w:type="dxa"/>
            <w:noWrap/>
            <w:vAlign w:val="center"/>
          </w:tcPr>
          <w:p>
            <w:pPr>
              <w:spacing w:line="360" w:lineRule="auto"/>
              <w:jc w:val="center"/>
              <w:rPr>
                <w:rFonts w:ascii="新宋体" w:hAnsi="新宋体" w:eastAsia="新宋体"/>
                <w:color w:val="auto"/>
                <w:sz w:val="22"/>
                <w:szCs w:val="22"/>
                <w:highlight w:val="none"/>
              </w:rPr>
            </w:pPr>
          </w:p>
        </w:tc>
        <w:tc>
          <w:tcPr>
            <w:tcW w:w="1303" w:type="dxa"/>
            <w:noWrap/>
            <w:vAlign w:val="center"/>
          </w:tcPr>
          <w:p>
            <w:pPr>
              <w:spacing w:line="360" w:lineRule="auto"/>
              <w:jc w:val="center"/>
              <w:rPr>
                <w:rFonts w:ascii="新宋体" w:hAnsi="新宋体" w:eastAsia="新宋体"/>
                <w:color w:val="auto"/>
                <w:sz w:val="22"/>
                <w:szCs w:val="22"/>
                <w:highlight w:val="none"/>
              </w:rPr>
            </w:pPr>
          </w:p>
        </w:tc>
        <w:tc>
          <w:tcPr>
            <w:tcW w:w="851" w:type="dxa"/>
            <w:noWrap/>
            <w:vAlign w:val="center"/>
          </w:tcPr>
          <w:p>
            <w:pPr>
              <w:spacing w:line="360" w:lineRule="auto"/>
              <w:jc w:val="center"/>
              <w:rPr>
                <w:rFonts w:ascii="新宋体" w:hAnsi="新宋体" w:eastAsia="新宋体"/>
                <w:color w:val="auto"/>
                <w:sz w:val="22"/>
                <w:szCs w:val="22"/>
                <w:highlight w:val="none"/>
              </w:rPr>
            </w:pPr>
          </w:p>
        </w:tc>
        <w:tc>
          <w:tcPr>
            <w:tcW w:w="992" w:type="dxa"/>
            <w:noWrap/>
            <w:vAlign w:val="center"/>
          </w:tcPr>
          <w:p>
            <w:pPr>
              <w:spacing w:line="360" w:lineRule="auto"/>
              <w:jc w:val="center"/>
              <w:rPr>
                <w:rFonts w:ascii="新宋体" w:hAnsi="新宋体" w:eastAsia="新宋体"/>
                <w:color w:val="auto"/>
                <w:sz w:val="22"/>
                <w:szCs w:val="22"/>
                <w:highlight w:val="none"/>
              </w:rPr>
            </w:pPr>
          </w:p>
        </w:tc>
        <w:tc>
          <w:tcPr>
            <w:tcW w:w="1174" w:type="dxa"/>
            <w:noWrap/>
            <w:vAlign w:val="center"/>
          </w:tcPr>
          <w:p>
            <w:pPr>
              <w:spacing w:line="360" w:lineRule="auto"/>
              <w:jc w:val="center"/>
              <w:rPr>
                <w:rFonts w:ascii="新宋体" w:hAnsi="新宋体" w:eastAsia="新宋体"/>
                <w:color w:val="auto"/>
                <w:sz w:val="22"/>
                <w:szCs w:val="22"/>
                <w:highlight w:val="none"/>
              </w:rPr>
            </w:pPr>
          </w:p>
        </w:tc>
        <w:tc>
          <w:tcPr>
            <w:tcW w:w="720" w:type="dxa"/>
            <w:noWrap/>
            <w:vAlign w:val="center"/>
          </w:tcPr>
          <w:p>
            <w:pPr>
              <w:spacing w:line="360" w:lineRule="auto"/>
              <w:jc w:val="center"/>
              <w:rPr>
                <w:rFonts w:ascii="新宋体" w:hAnsi="新宋体" w:eastAsia="新宋体"/>
                <w:color w:val="auto"/>
                <w:sz w:val="22"/>
                <w:szCs w:val="22"/>
                <w:highlight w:val="none"/>
              </w:rPr>
            </w:pPr>
          </w:p>
        </w:tc>
        <w:tc>
          <w:tcPr>
            <w:tcW w:w="2340" w:type="dxa"/>
            <w:noWrap/>
          </w:tcPr>
          <w:p>
            <w:pPr>
              <w:spacing w:line="360" w:lineRule="auto"/>
              <w:jc w:val="center"/>
              <w:rPr>
                <w:rFonts w:ascii="新宋体" w:hAnsi="新宋体" w:eastAsia="新宋体"/>
                <w:color w:val="auto"/>
                <w:sz w:val="22"/>
                <w:szCs w:val="22"/>
                <w:highlight w:val="none"/>
              </w:rPr>
            </w:pPr>
          </w:p>
        </w:tc>
        <w:tc>
          <w:tcPr>
            <w:tcW w:w="1080" w:type="dxa"/>
            <w:noWrap/>
            <w:vAlign w:val="center"/>
          </w:tcPr>
          <w:p>
            <w:pPr>
              <w:spacing w:line="360" w:lineRule="auto"/>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0" w:type="dxa"/>
            <w:noWrap/>
            <w:vAlign w:val="center"/>
          </w:tcPr>
          <w:p>
            <w:pPr>
              <w:spacing w:line="360" w:lineRule="auto"/>
              <w:jc w:val="center"/>
              <w:rPr>
                <w:rFonts w:ascii="新宋体" w:hAnsi="新宋体" w:eastAsia="新宋体"/>
                <w:color w:val="auto"/>
                <w:sz w:val="22"/>
                <w:szCs w:val="22"/>
                <w:highlight w:val="none"/>
              </w:rPr>
            </w:pPr>
          </w:p>
        </w:tc>
        <w:tc>
          <w:tcPr>
            <w:tcW w:w="1303" w:type="dxa"/>
            <w:noWrap/>
            <w:vAlign w:val="center"/>
          </w:tcPr>
          <w:p>
            <w:pPr>
              <w:spacing w:line="360" w:lineRule="auto"/>
              <w:jc w:val="center"/>
              <w:rPr>
                <w:rFonts w:ascii="新宋体" w:hAnsi="新宋体" w:eastAsia="新宋体"/>
                <w:color w:val="auto"/>
                <w:sz w:val="22"/>
                <w:szCs w:val="22"/>
                <w:highlight w:val="none"/>
              </w:rPr>
            </w:pPr>
          </w:p>
        </w:tc>
        <w:tc>
          <w:tcPr>
            <w:tcW w:w="851" w:type="dxa"/>
            <w:noWrap/>
            <w:vAlign w:val="center"/>
          </w:tcPr>
          <w:p>
            <w:pPr>
              <w:spacing w:line="360" w:lineRule="auto"/>
              <w:jc w:val="center"/>
              <w:rPr>
                <w:rFonts w:ascii="新宋体" w:hAnsi="新宋体" w:eastAsia="新宋体"/>
                <w:color w:val="auto"/>
                <w:sz w:val="22"/>
                <w:szCs w:val="22"/>
                <w:highlight w:val="none"/>
              </w:rPr>
            </w:pPr>
          </w:p>
        </w:tc>
        <w:tc>
          <w:tcPr>
            <w:tcW w:w="992" w:type="dxa"/>
            <w:noWrap/>
            <w:vAlign w:val="center"/>
          </w:tcPr>
          <w:p>
            <w:pPr>
              <w:spacing w:line="360" w:lineRule="auto"/>
              <w:jc w:val="center"/>
              <w:rPr>
                <w:rFonts w:ascii="新宋体" w:hAnsi="新宋体" w:eastAsia="新宋体"/>
                <w:color w:val="auto"/>
                <w:sz w:val="22"/>
                <w:szCs w:val="22"/>
                <w:highlight w:val="none"/>
              </w:rPr>
            </w:pPr>
          </w:p>
        </w:tc>
        <w:tc>
          <w:tcPr>
            <w:tcW w:w="1174" w:type="dxa"/>
            <w:noWrap/>
            <w:vAlign w:val="center"/>
          </w:tcPr>
          <w:p>
            <w:pPr>
              <w:spacing w:line="360" w:lineRule="auto"/>
              <w:jc w:val="center"/>
              <w:rPr>
                <w:rFonts w:ascii="新宋体" w:hAnsi="新宋体" w:eastAsia="新宋体"/>
                <w:color w:val="auto"/>
                <w:sz w:val="22"/>
                <w:szCs w:val="22"/>
                <w:highlight w:val="none"/>
              </w:rPr>
            </w:pPr>
          </w:p>
        </w:tc>
        <w:tc>
          <w:tcPr>
            <w:tcW w:w="720" w:type="dxa"/>
            <w:noWrap/>
            <w:vAlign w:val="center"/>
          </w:tcPr>
          <w:p>
            <w:pPr>
              <w:spacing w:line="360" w:lineRule="auto"/>
              <w:jc w:val="center"/>
              <w:rPr>
                <w:rFonts w:ascii="新宋体" w:hAnsi="新宋体" w:eastAsia="新宋体"/>
                <w:color w:val="auto"/>
                <w:sz w:val="22"/>
                <w:szCs w:val="22"/>
                <w:highlight w:val="none"/>
              </w:rPr>
            </w:pPr>
          </w:p>
        </w:tc>
        <w:tc>
          <w:tcPr>
            <w:tcW w:w="2340" w:type="dxa"/>
            <w:noWrap/>
          </w:tcPr>
          <w:p>
            <w:pPr>
              <w:spacing w:line="360" w:lineRule="auto"/>
              <w:jc w:val="center"/>
              <w:rPr>
                <w:rFonts w:ascii="新宋体" w:hAnsi="新宋体" w:eastAsia="新宋体"/>
                <w:color w:val="auto"/>
                <w:sz w:val="22"/>
                <w:szCs w:val="22"/>
                <w:highlight w:val="none"/>
              </w:rPr>
            </w:pPr>
          </w:p>
        </w:tc>
        <w:tc>
          <w:tcPr>
            <w:tcW w:w="1080" w:type="dxa"/>
            <w:noWrap/>
            <w:vAlign w:val="center"/>
          </w:tcPr>
          <w:p>
            <w:pPr>
              <w:spacing w:line="360" w:lineRule="auto"/>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720" w:type="dxa"/>
            <w:noWrap/>
            <w:vAlign w:val="center"/>
          </w:tcPr>
          <w:p>
            <w:pPr>
              <w:spacing w:line="360" w:lineRule="auto"/>
              <w:jc w:val="center"/>
              <w:rPr>
                <w:rFonts w:ascii="新宋体" w:hAnsi="新宋体" w:eastAsia="新宋体"/>
                <w:color w:val="auto"/>
                <w:sz w:val="22"/>
                <w:szCs w:val="22"/>
                <w:highlight w:val="none"/>
              </w:rPr>
            </w:pPr>
          </w:p>
        </w:tc>
        <w:tc>
          <w:tcPr>
            <w:tcW w:w="1303" w:type="dxa"/>
            <w:noWrap/>
            <w:vAlign w:val="center"/>
          </w:tcPr>
          <w:p>
            <w:pPr>
              <w:spacing w:line="360" w:lineRule="auto"/>
              <w:jc w:val="center"/>
              <w:rPr>
                <w:rFonts w:ascii="新宋体" w:hAnsi="新宋体" w:eastAsia="新宋体"/>
                <w:color w:val="auto"/>
                <w:sz w:val="22"/>
                <w:szCs w:val="22"/>
                <w:highlight w:val="none"/>
              </w:rPr>
            </w:pPr>
          </w:p>
        </w:tc>
        <w:tc>
          <w:tcPr>
            <w:tcW w:w="851" w:type="dxa"/>
            <w:noWrap/>
            <w:vAlign w:val="center"/>
          </w:tcPr>
          <w:p>
            <w:pPr>
              <w:spacing w:line="360" w:lineRule="auto"/>
              <w:jc w:val="center"/>
              <w:rPr>
                <w:rFonts w:ascii="新宋体" w:hAnsi="新宋体" w:eastAsia="新宋体"/>
                <w:color w:val="auto"/>
                <w:sz w:val="22"/>
                <w:szCs w:val="22"/>
                <w:highlight w:val="none"/>
              </w:rPr>
            </w:pPr>
          </w:p>
        </w:tc>
        <w:tc>
          <w:tcPr>
            <w:tcW w:w="992" w:type="dxa"/>
            <w:noWrap/>
            <w:vAlign w:val="center"/>
          </w:tcPr>
          <w:p>
            <w:pPr>
              <w:spacing w:line="360" w:lineRule="auto"/>
              <w:jc w:val="center"/>
              <w:rPr>
                <w:rFonts w:ascii="新宋体" w:hAnsi="新宋体" w:eastAsia="新宋体"/>
                <w:color w:val="auto"/>
                <w:sz w:val="22"/>
                <w:szCs w:val="22"/>
                <w:highlight w:val="none"/>
              </w:rPr>
            </w:pPr>
          </w:p>
        </w:tc>
        <w:tc>
          <w:tcPr>
            <w:tcW w:w="1174" w:type="dxa"/>
            <w:noWrap/>
            <w:vAlign w:val="center"/>
          </w:tcPr>
          <w:p>
            <w:pPr>
              <w:spacing w:line="360" w:lineRule="auto"/>
              <w:jc w:val="center"/>
              <w:rPr>
                <w:rFonts w:ascii="新宋体" w:hAnsi="新宋体" w:eastAsia="新宋体"/>
                <w:color w:val="auto"/>
                <w:sz w:val="22"/>
                <w:szCs w:val="22"/>
                <w:highlight w:val="none"/>
              </w:rPr>
            </w:pPr>
          </w:p>
        </w:tc>
        <w:tc>
          <w:tcPr>
            <w:tcW w:w="720" w:type="dxa"/>
            <w:noWrap/>
            <w:vAlign w:val="center"/>
          </w:tcPr>
          <w:p>
            <w:pPr>
              <w:spacing w:line="360" w:lineRule="auto"/>
              <w:jc w:val="center"/>
              <w:rPr>
                <w:rFonts w:ascii="新宋体" w:hAnsi="新宋体" w:eastAsia="新宋体"/>
                <w:color w:val="auto"/>
                <w:sz w:val="22"/>
                <w:szCs w:val="22"/>
                <w:highlight w:val="none"/>
              </w:rPr>
            </w:pPr>
          </w:p>
        </w:tc>
        <w:tc>
          <w:tcPr>
            <w:tcW w:w="2340" w:type="dxa"/>
            <w:noWrap/>
          </w:tcPr>
          <w:p>
            <w:pPr>
              <w:spacing w:line="360" w:lineRule="auto"/>
              <w:jc w:val="center"/>
              <w:rPr>
                <w:rFonts w:ascii="新宋体" w:hAnsi="新宋体" w:eastAsia="新宋体"/>
                <w:color w:val="auto"/>
                <w:sz w:val="22"/>
                <w:szCs w:val="22"/>
                <w:highlight w:val="none"/>
              </w:rPr>
            </w:pPr>
          </w:p>
        </w:tc>
        <w:tc>
          <w:tcPr>
            <w:tcW w:w="1080" w:type="dxa"/>
            <w:noWrap/>
            <w:vAlign w:val="center"/>
          </w:tcPr>
          <w:p>
            <w:pPr>
              <w:spacing w:line="360" w:lineRule="auto"/>
              <w:jc w:val="center"/>
              <w:rPr>
                <w:rFonts w:ascii="新宋体" w:hAnsi="新宋体" w:eastAsia="新宋体"/>
                <w:color w:val="auto"/>
                <w:sz w:val="22"/>
                <w:szCs w:val="22"/>
                <w:highlight w:val="none"/>
              </w:rPr>
            </w:pPr>
          </w:p>
        </w:tc>
      </w:tr>
    </w:tbl>
    <w:p>
      <w:pPr>
        <w:pStyle w:val="33"/>
        <w:spacing w:line="400" w:lineRule="atLeast"/>
        <w:ind w:left="630" w:hanging="630" w:hangingChars="300"/>
        <w:rPr>
          <w:rFonts w:hAnsi="宋体"/>
          <w:color w:val="auto"/>
          <w:highlight w:val="none"/>
        </w:rPr>
      </w:pPr>
      <w:r>
        <w:rPr>
          <w:rFonts w:hint="eastAsia" w:hAnsi="宋体"/>
          <w:color w:val="auto"/>
          <w:highlight w:val="none"/>
        </w:rPr>
        <w:t>注：</w:t>
      </w:r>
      <w:r>
        <w:rPr>
          <w:rFonts w:hint="eastAsia" w:hAnsi="宋体" w:eastAsia="宋体"/>
          <w:color w:val="auto"/>
          <w:highlight w:val="none"/>
        </w:rPr>
        <w:t>1.</w:t>
      </w:r>
      <w:r>
        <w:rPr>
          <w:rFonts w:hint="eastAsia" w:hAnsi="宋体"/>
          <w:color w:val="auto"/>
          <w:highlight w:val="none"/>
        </w:rPr>
        <w:t>本表应附身份证</w:t>
      </w:r>
      <w:r>
        <w:rPr>
          <w:rFonts w:hint="eastAsia" w:hAnsi="宋体" w:eastAsia="宋体"/>
          <w:color w:val="auto"/>
          <w:highlight w:val="none"/>
        </w:rPr>
        <w:t>原件的扫描件</w:t>
      </w:r>
      <w:r>
        <w:rPr>
          <w:rFonts w:hint="eastAsia" w:hAnsi="宋体"/>
          <w:color w:val="auto"/>
          <w:highlight w:val="none"/>
        </w:rPr>
        <w:t>。</w:t>
      </w:r>
    </w:p>
    <w:p>
      <w:pPr>
        <w:pStyle w:val="33"/>
        <w:numPr>
          <w:ilvl w:val="0"/>
          <w:numId w:val="14"/>
        </w:numPr>
        <w:spacing w:line="400" w:lineRule="atLeast"/>
        <w:ind w:left="649" w:leftChars="209" w:hanging="210" w:hangingChars="100"/>
        <w:rPr>
          <w:rFonts w:hAnsi="宋体"/>
          <w:color w:val="auto"/>
          <w:highlight w:val="none"/>
        </w:rPr>
      </w:pPr>
      <w:r>
        <w:rPr>
          <w:rFonts w:hint="eastAsia" w:hAnsi="宋体"/>
          <w:color w:val="auto"/>
          <w:highlight w:val="none"/>
        </w:rPr>
        <w:t xml:space="preserve">此表仅提供了表格形式，投标人可按此表格复制。  </w:t>
      </w:r>
    </w:p>
    <w:p>
      <w:pPr>
        <w:pStyle w:val="33"/>
        <w:spacing w:line="400" w:lineRule="atLeast"/>
        <w:ind w:left="229" w:leftChars="109"/>
        <w:rPr>
          <w:rFonts w:hAnsi="宋体"/>
          <w:color w:val="auto"/>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color w:val="auto"/>
          <w:highlight w:val="none"/>
        </w:rPr>
      </w:pPr>
      <w:r>
        <w:rPr>
          <w:rFonts w:ascii="仿宋" w:hAnsi="仿宋" w:eastAsia="仿宋" w:cs="仿宋_GB2312"/>
          <w:color w:val="auto"/>
          <w:kern w:val="0"/>
          <w:sz w:val="24"/>
          <w:highlight w:val="none"/>
          <w:lang w:val="zh-CN"/>
        </w:rPr>
        <w:t xml:space="preserve">                   日期：  年  月  日</w:t>
      </w: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附件9</w:t>
      </w:r>
    </w:p>
    <w:p>
      <w:pPr>
        <w:pStyle w:val="33"/>
        <w:spacing w:line="400" w:lineRule="atLeast"/>
        <w:ind w:left="661" w:leftChars="315" w:firstLine="1968" w:firstLineChars="700"/>
        <w:rPr>
          <w:rFonts w:ascii="新宋体" w:hAnsi="新宋体" w:eastAsia="新宋体"/>
          <w:b/>
          <w:color w:val="auto"/>
          <w:sz w:val="28"/>
          <w:szCs w:val="28"/>
          <w:highlight w:val="none"/>
        </w:rPr>
      </w:pPr>
    </w:p>
    <w:p>
      <w:pPr>
        <w:jc w:val="center"/>
        <w:rPr>
          <w:rFonts w:ascii="宋体" w:cs="仿宋_GB2312"/>
          <w:color w:val="auto"/>
          <w:sz w:val="32"/>
          <w:szCs w:val="32"/>
          <w:highlight w:val="none"/>
        </w:rPr>
      </w:pPr>
      <w:r>
        <w:rPr>
          <w:rFonts w:hint="eastAsia" w:ascii="宋体" w:cs="仿宋_GB2312"/>
          <w:color w:val="auto"/>
          <w:sz w:val="32"/>
          <w:szCs w:val="32"/>
          <w:highlight w:val="none"/>
        </w:rPr>
        <w:t>项目负责人履职表</w:t>
      </w:r>
    </w:p>
    <w:p>
      <w:pPr>
        <w:pStyle w:val="33"/>
        <w:spacing w:line="400" w:lineRule="atLeast"/>
        <w:ind w:left="632" w:hanging="630" w:hangingChars="300"/>
        <w:rPr>
          <w:rFonts w:hAnsi="宋体"/>
          <w:b/>
          <w:color w:val="auto"/>
          <w:highlight w:val="none"/>
          <w:u w:val="single"/>
        </w:rPr>
      </w:pPr>
      <w:r>
        <w:rPr>
          <w:rFonts w:hint="eastAsia" w:hAnsi="宋体"/>
          <w:b/>
          <w:color w:val="auto"/>
          <w:highlight w:val="none"/>
        </w:rPr>
        <w:t>项目名称：                                            项目编号：</w:t>
      </w:r>
    </w:p>
    <w:tbl>
      <w:tblPr>
        <w:tblStyle w:val="57"/>
        <w:tblW w:w="92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868"/>
        <w:gridCol w:w="1530"/>
        <w:gridCol w:w="1635"/>
        <w:gridCol w:w="979"/>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167" w:type="dxa"/>
            <w:tcBorders>
              <w:top w:val="single" w:color="auto" w:sz="12" w:space="0"/>
              <w:left w:val="single" w:color="auto" w:sz="12"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姓 名</w:t>
            </w:r>
          </w:p>
        </w:tc>
        <w:tc>
          <w:tcPr>
            <w:tcW w:w="1868" w:type="dxa"/>
            <w:tcBorders>
              <w:top w:val="single" w:color="auto" w:sz="12"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p>
        </w:tc>
        <w:tc>
          <w:tcPr>
            <w:tcW w:w="1530" w:type="dxa"/>
            <w:tcBorders>
              <w:top w:val="single" w:color="auto" w:sz="12"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性 别</w:t>
            </w:r>
          </w:p>
        </w:tc>
        <w:tc>
          <w:tcPr>
            <w:tcW w:w="1635" w:type="dxa"/>
            <w:tcBorders>
              <w:top w:val="single" w:color="auto" w:sz="12"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p>
        </w:tc>
        <w:tc>
          <w:tcPr>
            <w:tcW w:w="979" w:type="dxa"/>
            <w:tcBorders>
              <w:top w:val="single" w:color="auto" w:sz="12"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年 龄</w:t>
            </w:r>
          </w:p>
        </w:tc>
        <w:tc>
          <w:tcPr>
            <w:tcW w:w="2061" w:type="dxa"/>
            <w:tcBorders>
              <w:top w:val="single" w:color="auto" w:sz="12" w:space="0"/>
              <w:left w:val="single" w:color="auto" w:sz="6" w:space="0"/>
              <w:bottom w:val="single" w:color="auto" w:sz="6" w:space="0"/>
              <w:right w:val="single" w:color="auto" w:sz="12" w:space="0"/>
            </w:tcBorders>
            <w:vAlign w:val="center"/>
          </w:tcPr>
          <w:p>
            <w:pPr>
              <w:pStyle w:val="33"/>
              <w:spacing w:line="400" w:lineRule="atLeast"/>
              <w:ind w:left="630" w:hanging="630" w:hangingChars="30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167" w:type="dxa"/>
            <w:tcBorders>
              <w:top w:val="single" w:color="auto" w:sz="6" w:space="0"/>
              <w:left w:val="single" w:color="auto" w:sz="12"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学 历</w:t>
            </w:r>
          </w:p>
        </w:tc>
        <w:tc>
          <w:tcPr>
            <w:tcW w:w="1868" w:type="dxa"/>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p>
        </w:tc>
        <w:tc>
          <w:tcPr>
            <w:tcW w:w="1530" w:type="dxa"/>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职 称</w:t>
            </w:r>
          </w:p>
        </w:tc>
        <w:tc>
          <w:tcPr>
            <w:tcW w:w="1635" w:type="dxa"/>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p>
        </w:tc>
        <w:tc>
          <w:tcPr>
            <w:tcW w:w="979" w:type="dxa"/>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职 务</w:t>
            </w:r>
          </w:p>
        </w:tc>
        <w:tc>
          <w:tcPr>
            <w:tcW w:w="2061" w:type="dxa"/>
            <w:tcBorders>
              <w:top w:val="single" w:color="auto" w:sz="6" w:space="0"/>
              <w:left w:val="single" w:color="auto" w:sz="6" w:space="0"/>
              <w:bottom w:val="single" w:color="auto" w:sz="6" w:space="0"/>
              <w:right w:val="single" w:color="auto" w:sz="12" w:space="0"/>
            </w:tcBorders>
            <w:vAlign w:val="center"/>
          </w:tcPr>
          <w:p>
            <w:pPr>
              <w:pStyle w:val="33"/>
              <w:spacing w:line="400" w:lineRule="atLeast"/>
              <w:ind w:left="630" w:hanging="630" w:hangingChars="30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167" w:type="dxa"/>
            <w:tcBorders>
              <w:top w:val="single" w:color="auto" w:sz="6" w:space="0"/>
              <w:left w:val="single" w:color="auto" w:sz="12"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r>
              <w:rPr>
                <w:rFonts w:hint="eastAsia" w:hAnsi="宋体"/>
                <w:color w:val="auto"/>
                <w:highlight w:val="none"/>
              </w:rPr>
              <w:t>联系电话</w:t>
            </w:r>
          </w:p>
        </w:tc>
        <w:tc>
          <w:tcPr>
            <w:tcW w:w="3398" w:type="dxa"/>
            <w:gridSpan w:val="2"/>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30" w:hanging="630" w:hangingChars="300"/>
              <w:rPr>
                <w:rFonts w:hAnsi="宋体"/>
                <w:color w:val="auto"/>
                <w:highlight w:val="none"/>
              </w:rPr>
            </w:pPr>
          </w:p>
        </w:tc>
        <w:tc>
          <w:tcPr>
            <w:tcW w:w="1635" w:type="dxa"/>
            <w:tcBorders>
              <w:top w:val="single" w:color="auto" w:sz="6" w:space="0"/>
              <w:left w:val="single" w:color="auto" w:sz="6" w:space="0"/>
              <w:bottom w:val="single" w:color="auto" w:sz="6" w:space="0"/>
              <w:right w:val="single" w:color="auto" w:sz="6" w:space="0"/>
            </w:tcBorders>
            <w:vAlign w:val="center"/>
          </w:tcPr>
          <w:p>
            <w:pPr>
              <w:pStyle w:val="33"/>
              <w:spacing w:line="400" w:lineRule="atLeast"/>
              <w:ind w:left="661" w:leftChars="315"/>
              <w:rPr>
                <w:rFonts w:hAnsi="宋体"/>
                <w:color w:val="auto"/>
                <w:highlight w:val="none"/>
              </w:rPr>
            </w:pPr>
            <w:r>
              <w:rPr>
                <w:rFonts w:hint="eastAsia" w:hAnsi="宋体"/>
                <w:color w:val="auto"/>
                <w:highlight w:val="none"/>
              </w:rPr>
              <w:t>手 机</w:t>
            </w:r>
          </w:p>
        </w:tc>
        <w:tc>
          <w:tcPr>
            <w:tcW w:w="3040" w:type="dxa"/>
            <w:gridSpan w:val="2"/>
            <w:tcBorders>
              <w:top w:val="single" w:color="auto" w:sz="6" w:space="0"/>
              <w:left w:val="single" w:color="auto" w:sz="6" w:space="0"/>
              <w:bottom w:val="single" w:color="auto" w:sz="6" w:space="0"/>
              <w:right w:val="single" w:color="auto" w:sz="12" w:space="0"/>
            </w:tcBorders>
            <w:vAlign w:val="center"/>
          </w:tcPr>
          <w:p>
            <w:pPr>
              <w:pStyle w:val="33"/>
              <w:spacing w:line="400" w:lineRule="atLeast"/>
              <w:ind w:left="630" w:hanging="630" w:hangingChars="30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9240" w:type="dxa"/>
            <w:gridSpan w:val="6"/>
            <w:tcBorders>
              <w:top w:val="single" w:color="auto" w:sz="6" w:space="0"/>
              <w:left w:val="single" w:color="auto" w:sz="12" w:space="0"/>
              <w:bottom w:val="single" w:color="auto" w:sz="12" w:space="0"/>
              <w:right w:val="single" w:color="auto" w:sz="12" w:space="0"/>
            </w:tcBorders>
          </w:tcPr>
          <w:p>
            <w:pPr>
              <w:pStyle w:val="33"/>
              <w:spacing w:line="400" w:lineRule="atLeast"/>
              <w:ind w:left="630" w:hanging="630" w:hangingChars="300"/>
              <w:rPr>
                <w:rFonts w:hAnsi="宋体"/>
                <w:color w:val="auto"/>
                <w:highlight w:val="none"/>
              </w:rPr>
            </w:pPr>
            <w:r>
              <w:rPr>
                <w:rFonts w:hint="eastAsia" w:hAnsi="宋体"/>
                <w:color w:val="auto"/>
                <w:highlight w:val="none"/>
              </w:rPr>
              <w:t>近五年从事相关工作经历及业绩：</w:t>
            </w:r>
          </w:p>
        </w:tc>
      </w:tr>
    </w:tbl>
    <w:p>
      <w:pPr>
        <w:pStyle w:val="33"/>
        <w:spacing w:line="400" w:lineRule="atLeast"/>
        <w:ind w:left="630" w:hanging="630" w:hangingChars="300"/>
        <w:rPr>
          <w:rFonts w:hAnsi="宋体"/>
          <w:color w:val="auto"/>
          <w:highlight w:val="none"/>
          <w:u w:val="single"/>
        </w:rPr>
      </w:pPr>
      <w:r>
        <w:rPr>
          <w:rFonts w:hint="eastAsia" w:hAnsi="宋体"/>
          <w:color w:val="auto"/>
          <w:highlight w:val="none"/>
        </w:rPr>
        <w:t>注：1.</w:t>
      </w:r>
      <w:r>
        <w:rPr>
          <w:rFonts w:hint="eastAsia" w:hAnsi="宋体"/>
          <w:color w:val="auto"/>
          <w:highlight w:val="none"/>
          <w:u w:val="single"/>
        </w:rPr>
        <w:t>本表应附</w:t>
      </w:r>
      <w:r>
        <w:rPr>
          <w:rFonts w:hint="eastAsia" w:hAnsi="宋体" w:eastAsia="宋体"/>
          <w:color w:val="auto"/>
          <w:highlight w:val="none"/>
          <w:u w:val="single"/>
        </w:rPr>
        <w:t>履职期间的社保证明</w:t>
      </w:r>
      <w:r>
        <w:rPr>
          <w:rFonts w:hint="eastAsia" w:hAnsi="宋体"/>
          <w:color w:val="auto"/>
          <w:highlight w:val="none"/>
          <w:u w:val="single"/>
        </w:rPr>
        <w:t>。</w:t>
      </w:r>
    </w:p>
    <w:p>
      <w:pPr>
        <w:pStyle w:val="33"/>
        <w:spacing w:line="360" w:lineRule="exact"/>
        <w:ind w:left="764" w:leftChars="364" w:firstLine="3740" w:firstLineChars="1700"/>
        <w:rPr>
          <w:rFonts w:hAnsi="宋体"/>
          <w:color w:val="auto"/>
          <w:highlight w:val="none"/>
        </w:rPr>
      </w:pPr>
      <w:r>
        <w:rPr>
          <w:rFonts w:hint="eastAsia" w:ascii="宋体" w:eastAsia="宋体"/>
          <w:color w:val="auto"/>
          <w:sz w:val="22"/>
          <w:szCs w:val="22"/>
          <w:highlight w:val="none"/>
        </w:rPr>
        <w:t>投标供应商</w:t>
      </w:r>
      <w:r>
        <w:rPr>
          <w:rFonts w:hint="eastAsia" w:hAnsi="宋体"/>
          <w:color w:val="auto"/>
          <w:highlight w:val="none"/>
        </w:rPr>
        <w:t>全称（公章）：</w:t>
      </w:r>
    </w:p>
    <w:p>
      <w:pPr>
        <w:pStyle w:val="33"/>
        <w:spacing w:line="360" w:lineRule="exact"/>
        <w:ind w:left="764" w:leftChars="364" w:firstLine="3570" w:firstLineChars="1700"/>
        <w:rPr>
          <w:rFonts w:hAnsi="宋体"/>
          <w:color w:val="auto"/>
          <w:highlight w:val="none"/>
        </w:rPr>
      </w:pPr>
      <w:r>
        <w:rPr>
          <w:rFonts w:hint="eastAsia" w:hAnsi="宋体"/>
          <w:color w:val="auto"/>
          <w:highlight w:val="none"/>
        </w:rPr>
        <w:t>法定代表人或授权代表（签字或盖章）：</w:t>
      </w:r>
    </w:p>
    <w:p>
      <w:pPr>
        <w:pStyle w:val="33"/>
        <w:spacing w:line="360" w:lineRule="exact"/>
        <w:ind w:left="764" w:leftChars="364" w:firstLine="3570" w:firstLineChars="1700"/>
        <w:rPr>
          <w:rFonts w:hAnsi="宋体"/>
          <w:color w:val="auto"/>
          <w:highlight w:val="none"/>
        </w:rPr>
      </w:pPr>
      <w:r>
        <w:rPr>
          <w:rFonts w:hint="eastAsia" w:hAnsi="宋体"/>
          <w:color w:val="auto"/>
          <w:highlight w:val="none"/>
        </w:rPr>
        <w:t xml:space="preserve">日   期：    </w:t>
      </w:r>
      <w:r>
        <w:rPr>
          <w:rFonts w:hint="eastAsia"/>
          <w:color w:val="auto"/>
          <w:highlight w:val="none"/>
        </w:rPr>
        <w:t>年   月   日</w:t>
      </w:r>
    </w:p>
    <w:p>
      <w:pPr>
        <w:pStyle w:val="33"/>
        <w:spacing w:line="360" w:lineRule="exact"/>
        <w:ind w:left="764" w:leftChars="364" w:firstLine="3570" w:firstLineChars="1700"/>
        <w:rPr>
          <w:color w:val="auto"/>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p>
    <w:p>
      <w:pPr>
        <w:jc w:val="left"/>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附件10</w:t>
      </w:r>
    </w:p>
    <w:p>
      <w:pPr>
        <w:pStyle w:val="33"/>
        <w:spacing w:line="360" w:lineRule="exact"/>
        <w:ind w:left="764" w:leftChars="364" w:firstLine="3570" w:firstLineChars="1700"/>
        <w:rPr>
          <w:color w:val="auto"/>
          <w:highlight w:val="none"/>
        </w:rPr>
      </w:pPr>
    </w:p>
    <w:p>
      <w:pPr>
        <w:autoSpaceDE w:val="0"/>
        <w:autoSpaceDN w:val="0"/>
        <w:spacing w:line="440" w:lineRule="atLeast"/>
        <w:jc w:val="center"/>
        <w:rPr>
          <w:rFonts w:ascii="宋体" w:cs="仿宋_GB2312"/>
          <w:color w:val="auto"/>
          <w:sz w:val="32"/>
          <w:szCs w:val="32"/>
          <w:highlight w:val="none"/>
        </w:rPr>
      </w:pPr>
      <w:r>
        <w:rPr>
          <w:rFonts w:hint="eastAsia" w:ascii="宋体" w:cs="仿宋_GB2312"/>
          <w:color w:val="auto"/>
          <w:sz w:val="32"/>
          <w:szCs w:val="32"/>
          <w:highlight w:val="none"/>
        </w:rPr>
        <w:t>岗位员工配置计划表</w:t>
      </w:r>
    </w:p>
    <w:p>
      <w:pPr>
        <w:pStyle w:val="2"/>
        <w:rPr>
          <w:color w:val="auto"/>
          <w:highlight w:val="none"/>
        </w:rPr>
      </w:pPr>
    </w:p>
    <w:p>
      <w:pPr>
        <w:autoSpaceDE w:val="0"/>
        <w:autoSpaceDN w:val="0"/>
        <w:rPr>
          <w:rFonts w:ascii="宋体" w:hAnsi="宋体" w:cs="宋体"/>
          <w:color w:val="auto"/>
          <w:sz w:val="24"/>
          <w:highlight w:val="none"/>
        </w:rPr>
      </w:pPr>
      <w:r>
        <w:rPr>
          <w:rFonts w:hint="eastAsia" w:ascii="宋体" w:hAnsi="宋体" w:cs="宋体"/>
          <w:color w:val="auto"/>
          <w:sz w:val="24"/>
          <w:highlight w:val="none"/>
        </w:rPr>
        <w:t>项目名称：                                          招标编号：</w:t>
      </w:r>
    </w:p>
    <w:p>
      <w:pPr>
        <w:pStyle w:val="2"/>
        <w:ind w:left="0" w:leftChars="0" w:firstLine="0" w:firstLineChars="0"/>
        <w:rPr>
          <w:color w:val="auto"/>
          <w:highlight w:val="none"/>
        </w:rPr>
      </w:pPr>
    </w:p>
    <w:tbl>
      <w:tblPr>
        <w:tblStyle w:val="57"/>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3"/>
        <w:gridCol w:w="1135"/>
        <w:gridCol w:w="2411"/>
        <w:gridCol w:w="4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383" w:type="dxa"/>
            <w:noWrap/>
          </w:tcPr>
          <w:p>
            <w:pPr>
              <w:spacing w:line="480" w:lineRule="auto"/>
              <w:jc w:val="center"/>
              <w:rPr>
                <w:rFonts w:ascii="宋体" w:hAnsi="宋体"/>
                <w:color w:val="auto"/>
                <w:szCs w:val="21"/>
                <w:highlight w:val="none"/>
              </w:rPr>
            </w:pPr>
            <w:r>
              <w:rPr>
                <w:rFonts w:hint="eastAsia" w:ascii="宋体" w:hAnsi="宋体"/>
                <w:color w:val="auto"/>
                <w:szCs w:val="21"/>
                <w:highlight w:val="none"/>
              </w:rPr>
              <w:t>岗位</w:t>
            </w:r>
          </w:p>
        </w:tc>
        <w:tc>
          <w:tcPr>
            <w:tcW w:w="1135" w:type="dxa"/>
            <w:noWrap/>
          </w:tcPr>
          <w:p>
            <w:pPr>
              <w:spacing w:line="480" w:lineRule="auto"/>
              <w:jc w:val="center"/>
              <w:rPr>
                <w:rFonts w:ascii="宋体" w:hAnsi="宋体"/>
                <w:color w:val="auto"/>
                <w:szCs w:val="21"/>
                <w:highlight w:val="none"/>
              </w:rPr>
            </w:pPr>
            <w:r>
              <w:rPr>
                <w:rFonts w:hint="eastAsia" w:ascii="宋体" w:hAnsi="宋体"/>
                <w:color w:val="auto"/>
                <w:szCs w:val="21"/>
                <w:highlight w:val="none"/>
              </w:rPr>
              <w:t>人数</w:t>
            </w:r>
          </w:p>
        </w:tc>
        <w:tc>
          <w:tcPr>
            <w:tcW w:w="2411" w:type="dxa"/>
            <w:noWrap/>
          </w:tcPr>
          <w:p>
            <w:pPr>
              <w:spacing w:line="480" w:lineRule="auto"/>
              <w:jc w:val="center"/>
              <w:rPr>
                <w:rFonts w:ascii="宋体" w:hAnsi="宋体"/>
                <w:color w:val="auto"/>
                <w:szCs w:val="21"/>
                <w:highlight w:val="none"/>
              </w:rPr>
            </w:pPr>
            <w:r>
              <w:rPr>
                <w:rFonts w:hint="eastAsia" w:ascii="宋体" w:hAnsi="宋体"/>
                <w:color w:val="auto"/>
                <w:szCs w:val="21"/>
                <w:highlight w:val="none"/>
              </w:rPr>
              <w:t>现 场 承 担 工 作</w:t>
            </w:r>
          </w:p>
        </w:tc>
        <w:tc>
          <w:tcPr>
            <w:tcW w:w="4393" w:type="dxa"/>
            <w:noWrap/>
          </w:tcPr>
          <w:p>
            <w:pPr>
              <w:spacing w:line="48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trPr>
        <w:tc>
          <w:tcPr>
            <w:tcW w:w="1383" w:type="dxa"/>
            <w:noWrap/>
          </w:tcPr>
          <w:p>
            <w:pPr>
              <w:spacing w:line="480" w:lineRule="auto"/>
              <w:rPr>
                <w:rFonts w:ascii="宋体" w:hAnsi="宋体"/>
                <w:color w:val="auto"/>
                <w:szCs w:val="21"/>
                <w:highlight w:val="none"/>
              </w:rPr>
            </w:pPr>
          </w:p>
        </w:tc>
        <w:tc>
          <w:tcPr>
            <w:tcW w:w="1135" w:type="dxa"/>
            <w:noWrap/>
          </w:tcPr>
          <w:p>
            <w:pPr>
              <w:spacing w:line="480" w:lineRule="auto"/>
              <w:rPr>
                <w:rFonts w:ascii="宋体" w:hAnsi="宋体"/>
                <w:color w:val="auto"/>
                <w:szCs w:val="21"/>
                <w:highlight w:val="none"/>
              </w:rPr>
            </w:pPr>
          </w:p>
        </w:tc>
        <w:tc>
          <w:tcPr>
            <w:tcW w:w="2411" w:type="dxa"/>
            <w:noWrap/>
          </w:tcPr>
          <w:p>
            <w:pPr>
              <w:spacing w:line="480" w:lineRule="auto"/>
              <w:rPr>
                <w:rFonts w:ascii="宋体" w:hAnsi="宋体"/>
                <w:color w:val="auto"/>
                <w:szCs w:val="21"/>
                <w:highlight w:val="none"/>
              </w:rPr>
            </w:pPr>
          </w:p>
        </w:tc>
        <w:tc>
          <w:tcPr>
            <w:tcW w:w="4393" w:type="dxa"/>
            <w:noWrap/>
          </w:tcPr>
          <w:p>
            <w:pPr>
              <w:spacing w:line="480" w:lineRule="auto"/>
              <w:jc w:val="left"/>
              <w:rPr>
                <w:rFonts w:ascii="宋体" w:hAnsi="宋体"/>
                <w:color w:val="auto"/>
                <w:sz w:val="16"/>
                <w:szCs w:val="1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383" w:type="dxa"/>
            <w:noWrap/>
          </w:tcPr>
          <w:p>
            <w:pPr>
              <w:spacing w:line="480" w:lineRule="auto"/>
              <w:rPr>
                <w:rFonts w:ascii="宋体" w:hAnsi="宋体"/>
                <w:color w:val="auto"/>
                <w:szCs w:val="21"/>
                <w:highlight w:val="none"/>
              </w:rPr>
            </w:pPr>
          </w:p>
        </w:tc>
        <w:tc>
          <w:tcPr>
            <w:tcW w:w="1135" w:type="dxa"/>
            <w:noWrap/>
          </w:tcPr>
          <w:p>
            <w:pPr>
              <w:spacing w:line="480" w:lineRule="auto"/>
              <w:rPr>
                <w:rFonts w:ascii="宋体" w:hAnsi="宋体"/>
                <w:color w:val="auto"/>
                <w:szCs w:val="21"/>
                <w:highlight w:val="none"/>
              </w:rPr>
            </w:pPr>
          </w:p>
        </w:tc>
        <w:tc>
          <w:tcPr>
            <w:tcW w:w="2411" w:type="dxa"/>
            <w:noWrap/>
          </w:tcPr>
          <w:p>
            <w:pPr>
              <w:spacing w:line="480" w:lineRule="auto"/>
              <w:rPr>
                <w:rFonts w:ascii="宋体" w:hAnsi="宋体"/>
                <w:color w:val="auto"/>
                <w:szCs w:val="21"/>
                <w:highlight w:val="none"/>
              </w:rPr>
            </w:pPr>
          </w:p>
        </w:tc>
        <w:tc>
          <w:tcPr>
            <w:tcW w:w="4393" w:type="dxa"/>
            <w:noWrap/>
          </w:tcPr>
          <w:p>
            <w:pPr>
              <w:spacing w:line="48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383" w:type="dxa"/>
            <w:noWrap/>
          </w:tcPr>
          <w:p>
            <w:pPr>
              <w:spacing w:line="480" w:lineRule="auto"/>
              <w:rPr>
                <w:rFonts w:ascii="宋体" w:hAnsi="宋体"/>
                <w:color w:val="auto"/>
                <w:szCs w:val="21"/>
                <w:highlight w:val="none"/>
              </w:rPr>
            </w:pPr>
          </w:p>
        </w:tc>
        <w:tc>
          <w:tcPr>
            <w:tcW w:w="1135" w:type="dxa"/>
            <w:noWrap/>
          </w:tcPr>
          <w:p>
            <w:pPr>
              <w:spacing w:line="480" w:lineRule="auto"/>
              <w:rPr>
                <w:rFonts w:ascii="宋体" w:hAnsi="宋体"/>
                <w:color w:val="auto"/>
                <w:szCs w:val="21"/>
                <w:highlight w:val="none"/>
              </w:rPr>
            </w:pPr>
          </w:p>
        </w:tc>
        <w:tc>
          <w:tcPr>
            <w:tcW w:w="2411" w:type="dxa"/>
            <w:noWrap/>
          </w:tcPr>
          <w:p>
            <w:pPr>
              <w:spacing w:line="480" w:lineRule="auto"/>
              <w:rPr>
                <w:rFonts w:ascii="宋体" w:hAnsi="宋体"/>
                <w:color w:val="auto"/>
                <w:szCs w:val="21"/>
                <w:highlight w:val="none"/>
              </w:rPr>
            </w:pPr>
          </w:p>
        </w:tc>
        <w:tc>
          <w:tcPr>
            <w:tcW w:w="4393" w:type="dxa"/>
            <w:noWrap/>
          </w:tcPr>
          <w:p>
            <w:pPr>
              <w:spacing w:line="48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383" w:type="dxa"/>
            <w:noWrap/>
          </w:tcPr>
          <w:p>
            <w:pPr>
              <w:spacing w:line="480" w:lineRule="auto"/>
              <w:rPr>
                <w:rFonts w:ascii="宋体" w:hAnsi="宋体"/>
                <w:color w:val="auto"/>
                <w:szCs w:val="21"/>
                <w:highlight w:val="none"/>
              </w:rPr>
            </w:pPr>
          </w:p>
        </w:tc>
        <w:tc>
          <w:tcPr>
            <w:tcW w:w="1135" w:type="dxa"/>
            <w:noWrap/>
          </w:tcPr>
          <w:p>
            <w:pPr>
              <w:spacing w:line="480" w:lineRule="auto"/>
              <w:rPr>
                <w:rFonts w:ascii="宋体" w:hAnsi="宋体"/>
                <w:color w:val="auto"/>
                <w:szCs w:val="21"/>
                <w:highlight w:val="none"/>
              </w:rPr>
            </w:pPr>
          </w:p>
        </w:tc>
        <w:tc>
          <w:tcPr>
            <w:tcW w:w="2411" w:type="dxa"/>
            <w:noWrap/>
          </w:tcPr>
          <w:p>
            <w:pPr>
              <w:spacing w:line="480" w:lineRule="auto"/>
              <w:rPr>
                <w:rFonts w:ascii="宋体" w:hAnsi="宋体"/>
                <w:color w:val="auto"/>
                <w:szCs w:val="21"/>
                <w:highlight w:val="none"/>
              </w:rPr>
            </w:pPr>
          </w:p>
        </w:tc>
        <w:tc>
          <w:tcPr>
            <w:tcW w:w="4393" w:type="dxa"/>
            <w:noWrap/>
          </w:tcPr>
          <w:p>
            <w:pPr>
              <w:spacing w:line="480" w:lineRule="auto"/>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trPr>
        <w:tc>
          <w:tcPr>
            <w:tcW w:w="1383" w:type="dxa"/>
            <w:noWrap/>
          </w:tcPr>
          <w:p>
            <w:pPr>
              <w:spacing w:line="480" w:lineRule="auto"/>
              <w:rPr>
                <w:rFonts w:ascii="宋体" w:hAnsi="宋体"/>
                <w:color w:val="auto"/>
                <w:szCs w:val="21"/>
                <w:highlight w:val="none"/>
              </w:rPr>
            </w:pPr>
          </w:p>
        </w:tc>
        <w:tc>
          <w:tcPr>
            <w:tcW w:w="1135" w:type="dxa"/>
            <w:noWrap/>
          </w:tcPr>
          <w:p>
            <w:pPr>
              <w:spacing w:line="480" w:lineRule="auto"/>
              <w:rPr>
                <w:rFonts w:ascii="宋体" w:hAnsi="宋体"/>
                <w:color w:val="auto"/>
                <w:szCs w:val="21"/>
                <w:highlight w:val="none"/>
              </w:rPr>
            </w:pPr>
          </w:p>
        </w:tc>
        <w:tc>
          <w:tcPr>
            <w:tcW w:w="2411" w:type="dxa"/>
            <w:noWrap/>
          </w:tcPr>
          <w:p>
            <w:pPr>
              <w:spacing w:line="480" w:lineRule="auto"/>
              <w:rPr>
                <w:rFonts w:ascii="宋体" w:hAnsi="宋体"/>
                <w:color w:val="auto"/>
                <w:szCs w:val="21"/>
                <w:highlight w:val="none"/>
              </w:rPr>
            </w:pPr>
          </w:p>
        </w:tc>
        <w:tc>
          <w:tcPr>
            <w:tcW w:w="4393" w:type="dxa"/>
            <w:noWrap/>
          </w:tcPr>
          <w:p>
            <w:pPr>
              <w:spacing w:line="480" w:lineRule="auto"/>
              <w:rPr>
                <w:rFonts w:ascii="宋体" w:hAnsi="宋体"/>
                <w:color w:val="auto"/>
                <w:szCs w:val="21"/>
                <w:highlight w:val="none"/>
              </w:rPr>
            </w:pPr>
          </w:p>
        </w:tc>
      </w:tr>
    </w:tbl>
    <w:p>
      <w:pPr>
        <w:pStyle w:val="33"/>
        <w:tabs>
          <w:tab w:val="left" w:pos="0"/>
          <w:tab w:val="left" w:pos="540"/>
        </w:tabs>
        <w:spacing w:line="300" w:lineRule="auto"/>
        <w:rPr>
          <w:rFonts w:hAnsi="宋体"/>
          <w:color w:val="auto"/>
          <w:highlight w:val="none"/>
        </w:rPr>
      </w:pPr>
      <w:r>
        <w:rPr>
          <w:rFonts w:hint="eastAsia" w:hAnsi="宋体"/>
          <w:color w:val="auto"/>
          <w:highlight w:val="none"/>
        </w:rPr>
        <w:t>注：此表仅提供了表格形式，投标人可按此表格复制。</w:t>
      </w:r>
    </w:p>
    <w:p>
      <w:pPr>
        <w:pStyle w:val="33"/>
        <w:tabs>
          <w:tab w:val="left" w:pos="0"/>
          <w:tab w:val="left" w:pos="540"/>
        </w:tabs>
        <w:spacing w:line="300" w:lineRule="auto"/>
        <w:rPr>
          <w:rFonts w:hAnsi="宋体"/>
          <w:color w:val="auto"/>
          <w:highlight w:val="none"/>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pacing w:beforeLines="50" w:afterLines="50"/>
        <w:ind w:firstLine="280" w:firstLineChars="100"/>
        <w:rPr>
          <w:rFonts w:ascii="宋体" w:hAnsi="宋体"/>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jc w:val="center"/>
        <w:rPr>
          <w:b/>
          <w:color w:val="auto"/>
          <w:sz w:val="28"/>
          <w:szCs w:val="28"/>
          <w:highlight w:val="none"/>
        </w:rPr>
      </w:pPr>
    </w:p>
    <w:p>
      <w:pPr>
        <w:pStyle w:val="4"/>
        <w:spacing w:before="120" w:after="120" w:line="300" w:lineRule="exact"/>
        <w:ind w:right="315"/>
        <w:jc w:val="both"/>
        <w:rPr>
          <w:color w:val="auto"/>
          <w:sz w:val="22"/>
          <w:szCs w:val="22"/>
          <w:highlight w:val="none"/>
        </w:rPr>
      </w:pPr>
    </w:p>
    <w:p>
      <w:pPr>
        <w:pStyle w:val="4"/>
        <w:spacing w:before="120" w:after="120" w:line="300" w:lineRule="exact"/>
        <w:ind w:right="315"/>
        <w:jc w:val="both"/>
        <w:rPr>
          <w:color w:val="auto"/>
          <w:sz w:val="22"/>
          <w:szCs w:val="22"/>
          <w:highlight w:val="none"/>
        </w:rPr>
      </w:pPr>
    </w:p>
    <w:p>
      <w:pPr>
        <w:pStyle w:val="4"/>
        <w:spacing w:before="120" w:after="120" w:line="300" w:lineRule="exact"/>
        <w:ind w:right="315"/>
        <w:jc w:val="both"/>
        <w:rPr>
          <w:color w:val="auto"/>
          <w:sz w:val="22"/>
          <w:szCs w:val="22"/>
          <w:highlight w:val="none"/>
        </w:rPr>
      </w:pPr>
    </w:p>
    <w:p>
      <w:pPr>
        <w:rPr>
          <w:rFonts w:ascii="宋体"/>
          <w:color w:val="auto"/>
          <w:sz w:val="22"/>
          <w:szCs w:val="22"/>
          <w:highlight w:val="none"/>
        </w:rPr>
      </w:pPr>
    </w:p>
    <w:p>
      <w:pPr>
        <w:widowControl/>
        <w:adjustRightInd/>
        <w:jc w:val="left"/>
        <w:rPr>
          <w:rFonts w:ascii="仿宋" w:hAnsi="仿宋" w:eastAsia="仿宋" w:cs="仿宋_GB2312"/>
          <w:b/>
          <w:color w:val="auto"/>
          <w:kern w:val="0"/>
          <w:sz w:val="28"/>
          <w:szCs w:val="28"/>
          <w:highlight w:val="none"/>
        </w:rPr>
      </w:pPr>
      <w:r>
        <w:rPr>
          <w:rFonts w:ascii="仿宋_GB2312" w:hAnsi="仿宋" w:eastAsia="仿宋_GB2312" w:cs="仿宋_GB2312"/>
          <w:b/>
          <w:color w:val="auto"/>
          <w:kern w:val="0"/>
          <w:sz w:val="32"/>
          <w:szCs w:val="32"/>
          <w:highlight w:val="none"/>
        </w:rPr>
        <w:br w:type="page"/>
      </w:r>
      <w:r>
        <w:rPr>
          <w:rFonts w:hint="eastAsia" w:ascii="仿宋" w:hAnsi="仿宋" w:eastAsia="仿宋" w:cs="仿宋_GB2312"/>
          <w:b/>
          <w:color w:val="auto"/>
          <w:kern w:val="0"/>
          <w:sz w:val="28"/>
          <w:szCs w:val="28"/>
          <w:highlight w:val="none"/>
        </w:rPr>
        <w:t>附件11</w:t>
      </w:r>
    </w:p>
    <w:p>
      <w:pPr>
        <w:numPr>
          <w:ilvl w:val="0"/>
          <w:numId w:val="15"/>
        </w:num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针对本项目的管理工作计划、技术措施方案</w:t>
      </w:r>
    </w:p>
    <w:p>
      <w:pPr>
        <w:rPr>
          <w:rFonts w:ascii="仿宋" w:hAnsi="仿宋" w:eastAsia="仿宋" w:cs="仿宋_GB2312"/>
          <w:b/>
          <w:color w:val="auto"/>
          <w:kern w:val="0"/>
          <w:sz w:val="32"/>
          <w:szCs w:val="32"/>
          <w:highlight w:val="none"/>
        </w:rPr>
      </w:pPr>
    </w:p>
    <w:tbl>
      <w:tblPr>
        <w:tblStyle w:val="57"/>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4" w:hRule="atLeast"/>
        </w:trPr>
        <w:tc>
          <w:tcPr>
            <w:tcW w:w="8690" w:type="dxa"/>
            <w:noWrap/>
          </w:tcPr>
          <w:p>
            <w:pPr>
              <w:jc w:val="center"/>
              <w:outlineLvl w:val="1"/>
              <w:rPr>
                <w:b/>
                <w:bCs/>
                <w:color w:val="auto"/>
                <w:sz w:val="28"/>
                <w:szCs w:val="28"/>
                <w:highlight w:val="none"/>
              </w:rPr>
            </w:pPr>
            <w:r>
              <w:rPr>
                <w:rFonts w:hint="eastAsia"/>
                <w:b/>
                <w:bCs/>
                <w:color w:val="auto"/>
                <w:sz w:val="28"/>
                <w:szCs w:val="28"/>
                <w:highlight w:val="none"/>
              </w:rPr>
              <w:t xml:space="preserve"> 环卫保洁实施方案</w:t>
            </w:r>
          </w:p>
          <w:p>
            <w:pPr>
              <w:spacing w:line="380" w:lineRule="exact"/>
              <w:ind w:firstLine="315" w:firstLineChars="150"/>
              <w:rPr>
                <w:rFonts w:ascii="宋体" w:hAnsi="宋体" w:cs="Arial"/>
                <w:color w:val="auto"/>
                <w:szCs w:val="21"/>
                <w:highlight w:val="none"/>
              </w:rPr>
            </w:pPr>
            <w:r>
              <w:rPr>
                <w:rFonts w:ascii="宋体" w:hAnsi="宋体" w:cs="Arial"/>
                <w:color w:val="auto"/>
                <w:szCs w:val="21"/>
                <w:highlight w:val="none"/>
              </w:rPr>
              <w:t>投标人应按照</w:t>
            </w:r>
            <w:r>
              <w:rPr>
                <w:rFonts w:hint="eastAsia" w:ascii="宋体" w:hAnsi="宋体" w:cs="Arial"/>
                <w:color w:val="auto"/>
                <w:szCs w:val="21"/>
                <w:highlight w:val="none"/>
              </w:rPr>
              <w:t>采购</w:t>
            </w:r>
            <w:r>
              <w:rPr>
                <w:rFonts w:ascii="宋体" w:hAnsi="宋体" w:cs="Arial"/>
                <w:color w:val="auto"/>
                <w:szCs w:val="21"/>
                <w:highlight w:val="none"/>
              </w:rPr>
              <w:t>要求提交以下投标技术方案</w:t>
            </w:r>
            <w:r>
              <w:rPr>
                <w:rFonts w:ascii="宋体" w:hAnsi="宋体" w:cs="Arial"/>
                <w:b/>
                <w:bCs/>
                <w:color w:val="auto"/>
                <w:szCs w:val="21"/>
                <w:highlight w:val="none"/>
              </w:rPr>
              <w:t>（包括但不限于以下各项）</w:t>
            </w:r>
          </w:p>
          <w:p>
            <w:pPr>
              <w:tabs>
                <w:tab w:val="left" w:pos="630"/>
              </w:tabs>
              <w:spacing w:line="380" w:lineRule="exact"/>
              <w:ind w:left="2"/>
              <w:rPr>
                <w:rFonts w:ascii="宋体" w:hAnsi="宋体"/>
                <w:b/>
                <w:color w:val="auto"/>
                <w:szCs w:val="21"/>
                <w:highlight w:val="none"/>
              </w:rPr>
            </w:pPr>
            <w:r>
              <w:rPr>
                <w:rFonts w:hint="eastAsia" w:ascii="宋体" w:hAnsi="宋体"/>
                <w:b/>
                <w:color w:val="auto"/>
                <w:szCs w:val="21"/>
                <w:highlight w:val="none"/>
              </w:rPr>
              <w:t>1.对本项目保洁工作的现状调查与问题剖析</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根据投标人对项目范围内道路、河道的现状、保洁情况、绿化养护保洁情况、存在的问题和本项目清扫保洁的重点、难点等问题进行调查剖析，并针对性的提出合理化的设想和建议。</w:t>
            </w:r>
          </w:p>
          <w:p>
            <w:pPr>
              <w:tabs>
                <w:tab w:val="left" w:pos="630"/>
              </w:tabs>
              <w:spacing w:line="380" w:lineRule="exact"/>
              <w:ind w:left="2"/>
              <w:rPr>
                <w:rFonts w:ascii="宋体" w:hAnsi="宋体"/>
                <w:b/>
                <w:color w:val="auto"/>
                <w:szCs w:val="21"/>
                <w:highlight w:val="none"/>
              </w:rPr>
            </w:pPr>
            <w:r>
              <w:rPr>
                <w:rFonts w:hint="eastAsia" w:ascii="宋体" w:hAnsi="宋体"/>
                <w:b/>
                <w:color w:val="auto"/>
                <w:szCs w:val="21"/>
                <w:highlight w:val="none"/>
              </w:rPr>
              <w:t>2.项目管理服务机构设置方案、运作流程、管理方式及计划</w:t>
            </w:r>
          </w:p>
          <w:p>
            <w:pPr>
              <w:spacing w:line="380" w:lineRule="exact"/>
              <w:ind w:left="439" w:leftChars="209"/>
              <w:rPr>
                <w:rFonts w:ascii="宋体" w:hAnsi="宋体"/>
                <w:b/>
                <w:color w:val="auto"/>
                <w:szCs w:val="21"/>
                <w:highlight w:val="none"/>
              </w:rPr>
            </w:pPr>
            <w:r>
              <w:rPr>
                <w:rFonts w:hint="eastAsia" w:ascii="宋体" w:hAnsi="宋体"/>
                <w:color w:val="auto"/>
                <w:szCs w:val="21"/>
                <w:highlight w:val="none"/>
              </w:rPr>
              <w:t>包括（但不限于）拟为本项目设立的组织机构设置（附组织机构图）、运作流程（附运作流程图）、激励机制、监督机制自我约束机制和信息反馈渠道及处理机制。</w:t>
            </w:r>
          </w:p>
          <w:p>
            <w:pPr>
              <w:spacing w:line="380" w:lineRule="exact"/>
              <w:rPr>
                <w:rFonts w:ascii="宋体" w:hAnsi="宋体"/>
                <w:b/>
                <w:color w:val="auto"/>
                <w:szCs w:val="21"/>
                <w:highlight w:val="none"/>
              </w:rPr>
            </w:pPr>
            <w:r>
              <w:rPr>
                <w:rFonts w:hint="eastAsia" w:ascii="宋体" w:hAnsi="宋体"/>
                <w:b/>
                <w:color w:val="auto"/>
                <w:szCs w:val="21"/>
                <w:highlight w:val="none"/>
              </w:rPr>
              <w:t>3.清扫保洁，公园、广场及公共绿地保洁，河道保洁等具体实施计划和方案</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1）道路（保洁范围内）清扫保洁技术措施；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2）河道（保洁范围内）保洁技术措施；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3）公园、广场及公共绿地保洁技术措施；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4）公厕维护，管理技术措施；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5）果壳箱、树穴、花坛、绿化带、长时间停车地带保洁技术措施；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6）道路清扫保洁安全生产和技术措施（清扫工和机械设备）；</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7）牛皮廯、小广告清理技术措施；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8）道路清扫保洁的人员、工作排班、时间安排和分工计划，拟投入的管理、作业人员、作业车辆、耗材等所投入的数量、概况及力度；</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9）提供每条道路、河道的清扫保洁人员、巡回保洁人员、绿化保洁人员、果壳箱清洗人员配置清单；</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10）清扫（运）保洁质量控制手段和保证措施；</w:t>
            </w:r>
          </w:p>
          <w:p>
            <w:pPr>
              <w:spacing w:line="380" w:lineRule="exact"/>
              <w:ind w:left="439" w:leftChars="209"/>
              <w:rPr>
                <w:rFonts w:ascii="宋体" w:hAnsi="宋体"/>
                <w:color w:val="auto"/>
                <w:szCs w:val="21"/>
                <w:highlight w:val="none"/>
              </w:rPr>
            </w:pPr>
            <w:r>
              <w:rPr>
                <w:rFonts w:hint="eastAsia" w:ascii="宋体" w:hAnsi="宋体"/>
                <w:color w:val="auto"/>
                <w:szCs w:val="21"/>
                <w:highlight w:val="none"/>
              </w:rPr>
              <w:t>11）不可抗力、重大活动或突发事件应急预案及相应措施；</w:t>
            </w:r>
          </w:p>
          <w:p>
            <w:pPr>
              <w:spacing w:line="380" w:lineRule="exact"/>
              <w:rPr>
                <w:rFonts w:ascii="宋体" w:hAnsi="宋体"/>
                <w:b/>
                <w:color w:val="auto"/>
                <w:szCs w:val="21"/>
                <w:highlight w:val="none"/>
              </w:rPr>
            </w:pPr>
            <w:r>
              <w:rPr>
                <w:rFonts w:hint="eastAsia" w:ascii="宋体" w:hAnsi="宋体"/>
                <w:b/>
                <w:color w:val="auto"/>
                <w:szCs w:val="21"/>
                <w:highlight w:val="none"/>
              </w:rPr>
              <w:t>4.内部管理制度</w:t>
            </w:r>
          </w:p>
          <w:p>
            <w:pPr>
              <w:tabs>
                <w:tab w:val="left" w:pos="525"/>
                <w:tab w:val="left" w:pos="720"/>
              </w:tabs>
              <w:spacing w:line="380" w:lineRule="exact"/>
              <w:ind w:left="426"/>
              <w:rPr>
                <w:rFonts w:ascii="新宋体" w:hAnsi="新宋体" w:eastAsia="新宋体"/>
                <w:color w:val="auto"/>
                <w:szCs w:val="21"/>
                <w:highlight w:val="none"/>
              </w:rPr>
            </w:pPr>
            <w:r>
              <w:rPr>
                <w:rFonts w:hint="eastAsia" w:ascii="新宋体" w:hAnsi="新宋体" w:eastAsia="新宋体"/>
                <w:color w:val="auto"/>
                <w:szCs w:val="21"/>
                <w:highlight w:val="none"/>
              </w:rPr>
              <w:t>1）各项规章制度、内部岗位责任制度、考核制度及标准（但不限于）：</w:t>
            </w:r>
          </w:p>
          <w:p>
            <w:pPr>
              <w:tabs>
                <w:tab w:val="left" w:pos="525"/>
                <w:tab w:val="left" w:pos="720"/>
              </w:tabs>
              <w:spacing w:line="380" w:lineRule="exact"/>
              <w:ind w:left="426"/>
              <w:rPr>
                <w:rFonts w:ascii="新宋体" w:hAnsi="新宋体" w:eastAsia="新宋体"/>
                <w:color w:val="auto"/>
                <w:szCs w:val="21"/>
                <w:highlight w:val="none"/>
              </w:rPr>
            </w:pPr>
            <w:r>
              <w:rPr>
                <w:rFonts w:hint="eastAsia" w:ascii="新宋体" w:hAnsi="新宋体" w:eastAsia="新宋体"/>
                <w:color w:val="auto"/>
                <w:szCs w:val="21"/>
                <w:highlight w:val="none"/>
              </w:rPr>
              <w:t>2）要求符合规范，体现高标准、高档次、科学合理、详细完备；</w:t>
            </w:r>
          </w:p>
          <w:p>
            <w:pPr>
              <w:widowControl/>
              <w:spacing w:line="380" w:lineRule="exact"/>
              <w:ind w:left="426"/>
              <w:jc w:val="left"/>
              <w:rPr>
                <w:rFonts w:ascii="Arial" w:hAnsi="Arial" w:eastAsia="新宋体" w:cs="Arial"/>
                <w:color w:val="auto"/>
                <w:szCs w:val="21"/>
                <w:highlight w:val="none"/>
              </w:rPr>
            </w:pPr>
            <w:r>
              <w:rPr>
                <w:rFonts w:hint="eastAsia" w:ascii="新宋体" w:hAnsi="新宋体" w:eastAsia="新宋体"/>
                <w:color w:val="auto"/>
                <w:szCs w:val="21"/>
                <w:highlight w:val="none"/>
              </w:rPr>
              <w:t>3）人员、设施、设备管理服务、采购人方反馈资料、行政文件资料等档案的建立与管理。</w:t>
            </w:r>
          </w:p>
          <w:p>
            <w:pPr>
              <w:spacing w:line="380" w:lineRule="exact"/>
              <w:rPr>
                <w:rFonts w:ascii="新宋体" w:hAnsi="新宋体" w:eastAsia="新宋体"/>
                <w:b/>
                <w:color w:val="auto"/>
                <w:szCs w:val="21"/>
                <w:highlight w:val="none"/>
              </w:rPr>
            </w:pPr>
            <w:r>
              <w:rPr>
                <w:rFonts w:hint="eastAsia" w:ascii="新宋体" w:hAnsi="新宋体" w:eastAsia="新宋体"/>
                <w:b/>
                <w:color w:val="auto"/>
                <w:szCs w:val="21"/>
                <w:highlight w:val="none"/>
              </w:rPr>
              <w:t>…………</w:t>
            </w:r>
          </w:p>
          <w:p>
            <w:pPr>
              <w:pStyle w:val="25"/>
              <w:tabs>
                <w:tab w:val="left" w:pos="482"/>
                <w:tab w:val="left" w:pos="2183"/>
                <w:tab w:val="left" w:pos="3884"/>
                <w:tab w:val="left" w:pos="5585"/>
              </w:tabs>
              <w:ind w:firstLine="210"/>
              <w:rPr>
                <w:color w:val="auto"/>
                <w:highlight w:val="none"/>
              </w:rPr>
            </w:pPr>
          </w:p>
        </w:tc>
      </w:tr>
    </w:tbl>
    <w:p>
      <w:pPr>
        <w:snapToGrid w:val="0"/>
        <w:spacing w:line="360" w:lineRule="auto"/>
        <w:ind w:firstLine="1200" w:firstLineChars="500"/>
        <w:jc w:val="righ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right"/>
        <w:rPr>
          <w:rFonts w:ascii="仿宋_GB2312" w:hAnsi="仿宋" w:eastAsia="仿宋_GB2312" w:cs="仿宋_GB2312"/>
          <w:b/>
          <w:color w:val="auto"/>
          <w:kern w:val="0"/>
          <w:sz w:val="36"/>
          <w:szCs w:val="36"/>
          <w:highlight w:val="none"/>
        </w:rPr>
      </w:pPr>
      <w:r>
        <w:rPr>
          <w:rFonts w:ascii="仿宋" w:hAnsi="仿宋" w:eastAsia="仿宋" w:cs="仿宋_GB2312"/>
          <w:color w:val="auto"/>
          <w:kern w:val="0"/>
          <w:sz w:val="24"/>
          <w:highlight w:val="none"/>
          <w:lang w:val="zh-CN"/>
        </w:rPr>
        <w:t xml:space="preserve">          日期：  年  月  日</w:t>
      </w:r>
    </w:p>
    <w:p>
      <w:pPr>
        <w:pStyle w:val="2"/>
        <w:ind w:firstLine="643"/>
        <w:jc w:val="right"/>
        <w:rPr>
          <w:rFonts w:ascii="仿宋" w:hAnsi="仿宋" w:eastAsia="仿宋" w:cs="仿宋_GB2312"/>
          <w:b/>
          <w:color w:val="auto"/>
          <w:kern w:val="0"/>
          <w:sz w:val="32"/>
          <w:szCs w:val="32"/>
          <w:highlight w:val="none"/>
        </w:rPr>
      </w:pPr>
    </w:p>
    <w:p>
      <w:pPr>
        <w:widowControl/>
        <w:adjustRightInd/>
        <w:jc w:val="left"/>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28"/>
          <w:szCs w:val="28"/>
          <w:highlight w:val="none"/>
        </w:rPr>
        <w:t>附件12</w:t>
      </w:r>
    </w:p>
    <w:p>
      <w:pPr>
        <w:numPr>
          <w:ilvl w:val="0"/>
          <w:numId w:val="15"/>
        </w:num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商务技术偏离表</w:t>
      </w:r>
    </w:p>
    <w:p>
      <w:pPr>
        <w:pStyle w:val="2"/>
        <w:rPr>
          <w:color w:val="auto"/>
          <w:highlight w:val="none"/>
        </w:rPr>
      </w:pPr>
    </w:p>
    <w:p>
      <w:pPr>
        <w:autoSpaceDE w:val="0"/>
        <w:autoSpaceDN w:val="0"/>
        <w:rPr>
          <w:rFonts w:ascii="宋体" w:hAnsi="宋体" w:cs="宋体"/>
          <w:color w:val="auto"/>
          <w:sz w:val="24"/>
          <w:highlight w:val="none"/>
        </w:rPr>
      </w:pPr>
      <w:r>
        <w:rPr>
          <w:rFonts w:hint="eastAsia" w:ascii="宋体" w:hAnsi="宋体" w:cs="宋体"/>
          <w:color w:val="auto"/>
          <w:sz w:val="24"/>
          <w:highlight w:val="none"/>
        </w:rPr>
        <w:t>项目名称：                                          招标编号：</w:t>
      </w:r>
    </w:p>
    <w:p>
      <w:pPr>
        <w:pStyle w:val="2"/>
        <w:rPr>
          <w:color w:val="auto"/>
          <w:highlight w:val="none"/>
        </w:rPr>
      </w:pP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402"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招标文件章节及具体内容</w:t>
            </w:r>
          </w:p>
        </w:tc>
        <w:tc>
          <w:tcPr>
            <w:tcW w:w="3260"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76" w:type="dxa"/>
            <w:shd w:val="clear" w:color="auto" w:fill="auto"/>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402" w:type="dxa"/>
            <w:shd w:val="clear" w:color="auto" w:fill="auto"/>
          </w:tcPr>
          <w:p>
            <w:pPr>
              <w:jc w:val="center"/>
              <w:rPr>
                <w:rFonts w:ascii="仿宋" w:hAnsi="仿宋" w:eastAsia="仿宋" w:cs="仿宋_GB2312"/>
                <w:b/>
                <w:color w:val="auto"/>
                <w:kern w:val="0"/>
                <w:sz w:val="32"/>
                <w:szCs w:val="32"/>
                <w:highlight w:val="none"/>
              </w:rPr>
            </w:pPr>
          </w:p>
        </w:tc>
        <w:tc>
          <w:tcPr>
            <w:tcW w:w="3260" w:type="dxa"/>
            <w:shd w:val="clear" w:color="auto" w:fill="auto"/>
          </w:tcPr>
          <w:p>
            <w:pPr>
              <w:jc w:val="center"/>
              <w:rPr>
                <w:rFonts w:ascii="仿宋" w:hAnsi="仿宋" w:eastAsia="仿宋" w:cs="仿宋_GB2312"/>
                <w:b/>
                <w:color w:val="auto"/>
                <w:kern w:val="0"/>
                <w:sz w:val="32"/>
                <w:szCs w:val="32"/>
                <w:highlight w:val="none"/>
              </w:rPr>
            </w:pPr>
          </w:p>
        </w:tc>
        <w:tc>
          <w:tcPr>
            <w:tcW w:w="1276" w:type="dxa"/>
            <w:shd w:val="clear" w:color="auto" w:fill="auto"/>
          </w:tcPr>
          <w:p>
            <w:pPr>
              <w:jc w:val="center"/>
              <w:rPr>
                <w:rFonts w:ascii="仿宋" w:hAnsi="仿宋" w:eastAsia="仿宋" w:cs="仿宋_GB2312"/>
                <w:b/>
                <w:color w:val="auto"/>
                <w:kern w:val="0"/>
                <w:sz w:val="32"/>
                <w:szCs w:val="32"/>
                <w:highlight w:val="none"/>
              </w:rPr>
            </w:pPr>
          </w:p>
        </w:tc>
      </w:tr>
    </w:tbl>
    <w:p>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投标人保证：除商务技术偏离表列出的偏离外，投标人响应招标响应文件的全部要求</w:t>
      </w:r>
    </w:p>
    <w:p>
      <w:pPr>
        <w:snapToGrid w:val="0"/>
        <w:spacing w:line="360" w:lineRule="auto"/>
        <w:ind w:firstLine="1200" w:firstLineChars="500"/>
        <w:rPr>
          <w:rFonts w:ascii="仿宋" w:hAnsi="仿宋" w:eastAsia="仿宋" w:cs="仿宋_GB2312"/>
          <w:color w:val="auto"/>
          <w:kern w:val="0"/>
          <w:sz w:val="24"/>
          <w:highlight w:val="none"/>
          <w:lang w:val="zh-CN"/>
        </w:rPr>
      </w:pPr>
    </w:p>
    <w:p>
      <w:pPr>
        <w:snapToGrid w:val="0"/>
        <w:spacing w:line="360" w:lineRule="auto"/>
        <w:ind w:firstLine="1200" w:firstLineChars="5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left"/>
        <w:rPr>
          <w:rFonts w:ascii="仿宋_GB2312" w:hAnsi="仿宋" w:eastAsia="仿宋_GB2312" w:cs="仿宋_GB2312"/>
          <w:b/>
          <w:color w:val="auto"/>
          <w:kern w:val="0"/>
          <w:sz w:val="36"/>
          <w:szCs w:val="36"/>
          <w:highlight w:val="none"/>
        </w:rPr>
      </w:pPr>
      <w:r>
        <w:rPr>
          <w:rFonts w:ascii="仿宋" w:hAnsi="仿宋" w:eastAsia="仿宋" w:cs="仿宋_GB2312"/>
          <w:color w:val="auto"/>
          <w:kern w:val="0"/>
          <w:sz w:val="24"/>
          <w:highlight w:val="none"/>
          <w:lang w:val="zh-CN"/>
        </w:rPr>
        <w:t xml:space="preserve">          日期：  年  月  日</w:t>
      </w:r>
    </w:p>
    <w:p>
      <w:pPr>
        <w:spacing w:line="360" w:lineRule="auto"/>
        <w:jc w:val="center"/>
        <w:rPr>
          <w:rFonts w:ascii="仿宋" w:hAnsi="仿宋" w:eastAsia="仿宋" w:cs="仿宋_GB2312"/>
          <w:b/>
          <w:color w:val="auto"/>
          <w:kern w:val="0"/>
          <w:sz w:val="36"/>
          <w:szCs w:val="36"/>
          <w:highlight w:val="none"/>
        </w:rPr>
      </w:pPr>
    </w:p>
    <w:p>
      <w:pPr>
        <w:spacing w:line="360" w:lineRule="auto"/>
        <w:jc w:val="center"/>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firstLine="723"/>
        <w:rPr>
          <w:rFonts w:ascii="仿宋" w:hAnsi="仿宋" w:eastAsia="仿宋" w:cs="仿宋_GB2312"/>
          <w:b/>
          <w:color w:val="auto"/>
          <w:kern w:val="0"/>
          <w:sz w:val="36"/>
          <w:szCs w:val="36"/>
          <w:highlight w:val="none"/>
        </w:rPr>
      </w:pPr>
    </w:p>
    <w:p>
      <w:pPr>
        <w:pStyle w:val="2"/>
        <w:ind w:left="0" w:leftChars="0" w:firstLine="0" w:firstLineChars="0"/>
        <w:rPr>
          <w:rFonts w:ascii="仿宋" w:hAnsi="仿宋" w:eastAsia="仿宋" w:cs="仿宋_GB2312"/>
          <w:b/>
          <w:color w:val="auto"/>
          <w:kern w:val="0"/>
          <w:sz w:val="36"/>
          <w:szCs w:val="36"/>
          <w:highlight w:val="none"/>
        </w:rPr>
      </w:pPr>
    </w:p>
    <w:p>
      <w:pPr>
        <w:spacing w:line="360" w:lineRule="auto"/>
        <w:jc w:val="center"/>
        <w:outlineLvl w:val="0"/>
        <w:rPr>
          <w:rFonts w:ascii="仿宋" w:hAnsi="仿宋" w:eastAsia="仿宋" w:cs="仿宋_GB2312"/>
          <w:b/>
          <w:color w:val="auto"/>
          <w:kern w:val="0"/>
          <w:sz w:val="36"/>
          <w:szCs w:val="36"/>
          <w:highlight w:val="none"/>
        </w:rPr>
      </w:pPr>
      <w:bookmarkStart w:id="75" w:name="_Toc1337"/>
      <w:r>
        <w:rPr>
          <w:rFonts w:hint="eastAsia" w:ascii="仿宋" w:hAnsi="仿宋" w:eastAsia="仿宋" w:cs="仿宋_GB2312"/>
          <w:b/>
          <w:color w:val="auto"/>
          <w:kern w:val="0"/>
          <w:sz w:val="36"/>
          <w:szCs w:val="36"/>
          <w:highlight w:val="none"/>
        </w:rPr>
        <w:t>报价文件部分</w:t>
      </w:r>
      <w:bookmarkEnd w:id="75"/>
    </w:p>
    <w:p>
      <w:pPr>
        <w:spacing w:line="360" w:lineRule="auto"/>
        <w:jc w:val="center"/>
        <w:outlineLvl w:val="0"/>
        <w:rPr>
          <w:rFonts w:ascii="仿宋" w:hAnsi="仿宋" w:eastAsia="仿宋" w:cs="仿宋_GB2312"/>
          <w:b/>
          <w:color w:val="auto"/>
          <w:kern w:val="0"/>
          <w:sz w:val="36"/>
          <w:szCs w:val="36"/>
          <w:highlight w:val="none"/>
        </w:rPr>
      </w:pPr>
      <w:bookmarkStart w:id="76" w:name="_Toc16362"/>
      <w:r>
        <w:rPr>
          <w:rFonts w:hint="eastAsia" w:ascii="仿宋" w:hAnsi="仿宋" w:eastAsia="仿宋" w:cs="仿宋_GB2312"/>
          <w:b/>
          <w:color w:val="auto"/>
          <w:kern w:val="0"/>
          <w:sz w:val="36"/>
          <w:szCs w:val="36"/>
          <w:highlight w:val="none"/>
        </w:rPr>
        <w:t>目录</w:t>
      </w:r>
      <w:bookmarkEnd w:id="76"/>
    </w:p>
    <w:p>
      <w:pPr>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1）开标一览表（报价表）……</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）价格组成表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jc w:val="distribute"/>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政府采购政策情况表</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…………………………………………………（页码）</w:t>
      </w:r>
    </w:p>
    <w:p>
      <w:pPr>
        <w:snapToGrid w:val="0"/>
        <w:spacing w:line="360" w:lineRule="auto"/>
        <w:jc w:val="distribute"/>
        <w:rPr>
          <w:rFonts w:ascii="仿宋" w:hAnsi="仿宋" w:eastAsia="仿宋" w:cs="仿宋_GB2312"/>
          <w:color w:val="auto"/>
          <w:sz w:val="24"/>
          <w:highlight w:val="none"/>
        </w:rPr>
      </w:pPr>
    </w:p>
    <w:p>
      <w:pPr>
        <w:pStyle w:val="2"/>
        <w:rPr>
          <w:color w:val="auto"/>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 w:hAnsi="仿宋" w:eastAsia="仿宋"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adjustRightInd/>
        <w:jc w:val="left"/>
        <w:rPr>
          <w:rFonts w:ascii="新宋体" w:hAnsi="新宋体" w:eastAsia="新宋体" w:cs="新宋体"/>
          <w:b/>
          <w:bCs/>
          <w:color w:val="auto"/>
          <w:kern w:val="0"/>
          <w:sz w:val="22"/>
          <w:szCs w:val="22"/>
          <w:highlight w:val="none"/>
          <w:lang w:val="zh-CN"/>
        </w:rPr>
      </w:pPr>
      <w:bookmarkStart w:id="77" w:name="_Toc25942242"/>
      <w:bookmarkStart w:id="78" w:name="_Toc14812100"/>
      <w:r>
        <w:rPr>
          <w:rFonts w:ascii="新宋体" w:hAnsi="新宋体" w:eastAsia="新宋体" w:cs="新宋体"/>
          <w:b/>
          <w:bCs/>
          <w:color w:val="auto"/>
          <w:kern w:val="0"/>
          <w:sz w:val="22"/>
          <w:szCs w:val="22"/>
          <w:highlight w:val="none"/>
          <w:lang w:val="zh-CN"/>
        </w:rPr>
        <w:br w:type="page"/>
      </w:r>
    </w:p>
    <w:p>
      <w:pPr>
        <w:autoSpaceDE w:val="0"/>
        <w:autoSpaceDN w:val="0"/>
        <w:spacing w:line="460" w:lineRule="atLeast"/>
        <w:jc w:val="left"/>
        <w:rPr>
          <w:rFonts w:ascii="仿宋" w:hAnsi="仿宋" w:eastAsia="仿宋" w:cs="仿宋_GB2312"/>
          <w:b/>
          <w:color w:val="auto"/>
          <w:kern w:val="0"/>
          <w:sz w:val="28"/>
          <w:szCs w:val="28"/>
          <w:highlight w:val="none"/>
        </w:rPr>
      </w:pPr>
      <w:bookmarkStart w:id="79" w:name="_Hlk93170250"/>
      <w:r>
        <w:rPr>
          <w:rFonts w:hint="eastAsia" w:ascii="仿宋" w:hAnsi="仿宋" w:eastAsia="仿宋" w:cs="仿宋_GB2312"/>
          <w:b/>
          <w:color w:val="auto"/>
          <w:kern w:val="0"/>
          <w:sz w:val="28"/>
          <w:szCs w:val="28"/>
          <w:highlight w:val="none"/>
        </w:rPr>
        <w:t>附件13</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一、开标一览表</w:t>
      </w:r>
    </w:p>
    <w:p>
      <w:pPr>
        <w:pStyle w:val="3"/>
        <w:ind w:left="-420" w:leftChars="-200" w:firstLine="0" w:firstLineChars="0"/>
        <w:rPr>
          <w:rFonts w:ascii="仿宋" w:hAnsi="仿宋" w:eastAsia="仿宋" w:cs="新宋体"/>
          <w:color w:val="auto"/>
          <w:highlight w:val="none"/>
          <w:lang w:val="zh-CN"/>
        </w:rPr>
      </w:pP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价格单位：人民币（元）</w:t>
      </w:r>
    </w:p>
    <w:tbl>
      <w:tblPr>
        <w:tblStyle w:val="57"/>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22"/>
        <w:gridCol w:w="261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85" w:type="dxa"/>
            <w:noWrap/>
            <w:vAlign w:val="center"/>
          </w:tcPr>
          <w:p>
            <w:pPr>
              <w:spacing w:line="460" w:lineRule="atLeast"/>
              <w:jc w:val="center"/>
              <w:rPr>
                <w:rFonts w:ascii="宋体" w:cs="宋体"/>
                <w:color w:val="auto"/>
                <w:sz w:val="22"/>
                <w:szCs w:val="22"/>
                <w:highlight w:val="none"/>
              </w:rPr>
            </w:pPr>
            <w:r>
              <w:rPr>
                <w:rFonts w:hint="eastAsia" w:ascii="宋体" w:cs="宋体"/>
                <w:color w:val="auto"/>
                <w:sz w:val="22"/>
                <w:szCs w:val="22"/>
                <w:highlight w:val="none"/>
              </w:rPr>
              <w:t>项目名称</w:t>
            </w:r>
          </w:p>
        </w:tc>
        <w:tc>
          <w:tcPr>
            <w:tcW w:w="2422" w:type="dxa"/>
            <w:noWrap/>
            <w:vAlign w:val="center"/>
          </w:tcPr>
          <w:p>
            <w:pPr>
              <w:spacing w:line="460" w:lineRule="atLeast"/>
              <w:jc w:val="center"/>
              <w:rPr>
                <w:rFonts w:hint="default"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年度报价</w:t>
            </w:r>
          </w:p>
        </w:tc>
        <w:tc>
          <w:tcPr>
            <w:tcW w:w="2616" w:type="dxa"/>
            <w:noWrap/>
            <w:vAlign w:val="center"/>
          </w:tcPr>
          <w:p>
            <w:pPr>
              <w:spacing w:line="460" w:lineRule="atLeast"/>
              <w:jc w:val="center"/>
              <w:rPr>
                <w:rFonts w:hint="eastAsia" w:ascii="宋体" w:eastAsia="宋体" w:cs="宋体"/>
                <w:color w:val="auto"/>
                <w:sz w:val="22"/>
                <w:szCs w:val="22"/>
                <w:highlight w:val="none"/>
                <w:lang w:eastAsia="zh-CN"/>
              </w:rPr>
            </w:pPr>
            <w:r>
              <w:rPr>
                <w:rFonts w:hint="eastAsia" w:ascii="宋体" w:cs="宋体"/>
                <w:color w:val="auto"/>
                <w:sz w:val="22"/>
                <w:szCs w:val="22"/>
                <w:highlight w:val="none"/>
                <w:lang w:val="en-US" w:eastAsia="zh-CN"/>
              </w:rPr>
              <w:t>3年投标总价</w:t>
            </w:r>
          </w:p>
        </w:tc>
        <w:tc>
          <w:tcPr>
            <w:tcW w:w="872" w:type="dxa"/>
            <w:noWrap/>
            <w:vAlign w:val="center"/>
          </w:tcPr>
          <w:p>
            <w:pPr>
              <w:spacing w:line="460" w:lineRule="atLeast"/>
              <w:jc w:val="center"/>
              <w:rPr>
                <w:rFonts w:hint="eastAsia"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3085" w:type="dxa"/>
            <w:noWrap/>
            <w:vAlign w:val="center"/>
          </w:tcPr>
          <w:p>
            <w:pPr>
              <w:spacing w:line="460" w:lineRule="atLeast"/>
              <w:jc w:val="center"/>
              <w:rPr>
                <w:rFonts w:ascii="宋体" w:cs="宋体"/>
                <w:bCs/>
                <w:color w:val="auto"/>
                <w:sz w:val="22"/>
                <w:szCs w:val="22"/>
                <w:highlight w:val="none"/>
              </w:rPr>
            </w:pPr>
          </w:p>
        </w:tc>
        <w:tc>
          <w:tcPr>
            <w:tcW w:w="2422" w:type="dxa"/>
            <w:noWrap/>
            <w:vAlign w:val="center"/>
          </w:tcPr>
          <w:p>
            <w:pPr>
              <w:spacing w:line="460" w:lineRule="atLeast"/>
              <w:rPr>
                <w:rFonts w:ascii="宋体" w:cs="宋体"/>
                <w:color w:val="auto"/>
                <w:sz w:val="22"/>
                <w:szCs w:val="22"/>
                <w:highlight w:val="none"/>
              </w:rPr>
            </w:pPr>
            <w:r>
              <w:rPr>
                <w:rFonts w:hint="eastAsia" w:ascii="宋体" w:cs="宋体"/>
                <w:color w:val="auto"/>
                <w:sz w:val="22"/>
                <w:szCs w:val="22"/>
                <w:highlight w:val="none"/>
              </w:rPr>
              <w:t>大写：            元</w:t>
            </w:r>
          </w:p>
          <w:p>
            <w:pPr>
              <w:spacing w:line="460" w:lineRule="atLeast"/>
              <w:rPr>
                <w:rFonts w:ascii="宋体" w:cs="宋体"/>
                <w:color w:val="auto"/>
                <w:sz w:val="22"/>
                <w:szCs w:val="22"/>
                <w:highlight w:val="none"/>
              </w:rPr>
            </w:pPr>
            <w:r>
              <w:rPr>
                <w:rFonts w:hint="eastAsia" w:ascii="宋体" w:cs="宋体"/>
                <w:color w:val="auto"/>
                <w:sz w:val="22"/>
                <w:szCs w:val="22"/>
                <w:highlight w:val="none"/>
              </w:rPr>
              <w:t>小写：            元</w:t>
            </w:r>
          </w:p>
        </w:tc>
        <w:tc>
          <w:tcPr>
            <w:tcW w:w="2616" w:type="dxa"/>
            <w:noWrap/>
            <w:vAlign w:val="center"/>
          </w:tcPr>
          <w:p>
            <w:pPr>
              <w:spacing w:line="460" w:lineRule="atLeast"/>
              <w:rPr>
                <w:rFonts w:ascii="宋体" w:cs="宋体"/>
                <w:color w:val="auto"/>
                <w:sz w:val="22"/>
                <w:szCs w:val="22"/>
                <w:highlight w:val="none"/>
              </w:rPr>
            </w:pPr>
            <w:r>
              <w:rPr>
                <w:rFonts w:hint="eastAsia" w:ascii="宋体" w:cs="宋体"/>
                <w:color w:val="auto"/>
                <w:sz w:val="22"/>
                <w:szCs w:val="22"/>
                <w:highlight w:val="none"/>
              </w:rPr>
              <w:t>大写：            元</w:t>
            </w:r>
          </w:p>
          <w:p>
            <w:pPr>
              <w:spacing w:line="460" w:lineRule="atLeast"/>
              <w:jc w:val="both"/>
              <w:rPr>
                <w:rFonts w:hint="default" w:ascii="宋体" w:eastAsia="宋体" w:cs="宋体"/>
                <w:color w:val="auto"/>
                <w:sz w:val="22"/>
                <w:szCs w:val="22"/>
                <w:highlight w:val="none"/>
                <w:lang w:val="en-US" w:eastAsia="zh-CN"/>
              </w:rPr>
            </w:pPr>
            <w:r>
              <w:rPr>
                <w:rFonts w:hint="eastAsia" w:ascii="宋体" w:cs="宋体"/>
                <w:color w:val="auto"/>
                <w:sz w:val="22"/>
                <w:szCs w:val="22"/>
                <w:highlight w:val="none"/>
              </w:rPr>
              <w:t>小写：            元</w:t>
            </w:r>
          </w:p>
        </w:tc>
        <w:tc>
          <w:tcPr>
            <w:tcW w:w="872" w:type="dxa"/>
            <w:noWrap/>
            <w:vAlign w:val="center"/>
          </w:tcPr>
          <w:p>
            <w:pPr>
              <w:spacing w:line="460" w:lineRule="atLeast"/>
              <w:jc w:val="center"/>
              <w:rPr>
                <w:rFonts w:hint="eastAsia" w:ascii="宋体" w:hAnsi="宋体" w:cs="宋体"/>
                <w:color w:val="auto"/>
                <w:szCs w:val="21"/>
                <w:highlight w:val="none"/>
                <w:lang w:val="en-US" w:eastAsia="zh-CN"/>
              </w:rPr>
            </w:pPr>
          </w:p>
        </w:tc>
      </w:tr>
    </w:tbl>
    <w:p>
      <w:pPr>
        <w:spacing w:line="380" w:lineRule="exact"/>
        <w:ind w:left="529" w:leftChars="-66" w:hanging="668" w:hangingChars="304"/>
        <w:rPr>
          <w:rFonts w:ascii="仿宋" w:hAnsi="仿宋" w:eastAsia="仿宋" w:cs="新宋体"/>
          <w:color w:val="auto"/>
          <w:sz w:val="22"/>
          <w:szCs w:val="22"/>
          <w:highlight w:val="none"/>
        </w:rPr>
      </w:pPr>
      <w:r>
        <w:rPr>
          <w:rFonts w:hint="eastAsia" w:ascii="仿宋" w:hAnsi="仿宋" w:eastAsia="仿宋" w:cs="新宋体"/>
          <w:color w:val="auto"/>
          <w:sz w:val="22"/>
          <w:szCs w:val="22"/>
          <w:highlight w:val="none"/>
        </w:rPr>
        <w:t>说明：</w:t>
      </w:r>
    </w:p>
    <w:p>
      <w:pPr>
        <w:numPr>
          <w:ilvl w:val="0"/>
          <w:numId w:val="16"/>
        </w:num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w:t>
      </w:r>
      <w:r>
        <w:rPr>
          <w:rFonts w:hint="eastAsia" w:ascii="仿宋" w:hAnsi="仿宋" w:eastAsia="仿宋" w:cs="新宋体"/>
          <w:color w:val="auto"/>
          <w:sz w:val="22"/>
          <w:szCs w:val="22"/>
          <w:highlight w:val="none"/>
          <w:u w:val="single"/>
          <w:lang w:val="en-US" w:eastAsia="zh-CN"/>
        </w:rPr>
        <w:t>3年投标总价=</w:t>
      </w:r>
      <w:r>
        <w:rPr>
          <w:rFonts w:hint="eastAsia" w:ascii="仿宋" w:hAnsi="仿宋" w:eastAsia="仿宋" w:cs="新宋体"/>
          <w:bCs/>
          <w:color w:val="auto"/>
          <w:sz w:val="22"/>
          <w:szCs w:val="22"/>
          <w:highlight w:val="none"/>
          <w:u w:val="single"/>
          <w:lang w:val="en-US" w:eastAsia="zh-CN"/>
        </w:rPr>
        <w:t>年度报价X 3</w:t>
      </w:r>
      <w:r>
        <w:rPr>
          <w:rFonts w:hint="eastAsia" w:ascii="仿宋" w:hAnsi="仿宋" w:eastAsia="仿宋" w:cs="新宋体"/>
          <w:bCs/>
          <w:color w:val="auto"/>
          <w:sz w:val="22"/>
          <w:szCs w:val="22"/>
          <w:highlight w:val="none"/>
          <w:u w:val="single"/>
        </w:rPr>
        <w:t>。</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2.</w:t>
      </w:r>
      <w:r>
        <w:rPr>
          <w:rFonts w:hint="eastAsia" w:ascii="仿宋" w:hAnsi="仿宋" w:eastAsia="仿宋" w:cs="新宋体"/>
          <w:color w:val="auto"/>
          <w:sz w:val="22"/>
          <w:szCs w:val="22"/>
          <w:highlight w:val="none"/>
          <w:u w:val="single"/>
        </w:rPr>
        <w:t>▲本表中的投标报价须与附件1</w:t>
      </w:r>
      <w:r>
        <w:rPr>
          <w:rFonts w:ascii="仿宋" w:hAnsi="仿宋" w:eastAsia="仿宋" w:cs="新宋体"/>
          <w:color w:val="auto"/>
          <w:sz w:val="22"/>
          <w:szCs w:val="22"/>
          <w:highlight w:val="none"/>
          <w:u w:val="single"/>
        </w:rPr>
        <w:t>0</w:t>
      </w:r>
      <w:r>
        <w:rPr>
          <w:rFonts w:hint="eastAsia" w:ascii="仿宋" w:hAnsi="仿宋" w:eastAsia="仿宋" w:cs="新宋体"/>
          <w:color w:val="auto"/>
          <w:sz w:val="22"/>
          <w:szCs w:val="22"/>
          <w:highlight w:val="none"/>
          <w:u w:val="single"/>
        </w:rPr>
        <w:t>《价格组成表》中总价一致。</w:t>
      </w:r>
    </w:p>
    <w:p>
      <w:pPr>
        <w:spacing w:line="380" w:lineRule="exact"/>
        <w:rPr>
          <w:rFonts w:ascii="仿宋" w:hAnsi="仿宋" w:eastAsia="仿宋" w:cs="新宋体"/>
          <w:color w:val="auto"/>
          <w:sz w:val="22"/>
          <w:szCs w:val="22"/>
          <w:highlight w:val="none"/>
        </w:rPr>
      </w:pPr>
      <w:r>
        <w:rPr>
          <w:rFonts w:hint="eastAsia" w:ascii="仿宋" w:hAnsi="仿宋" w:eastAsia="仿宋" w:cs="新宋体"/>
          <w:bCs/>
          <w:color w:val="auto"/>
          <w:sz w:val="22"/>
          <w:szCs w:val="22"/>
          <w:highlight w:val="none"/>
        </w:rPr>
        <w:t>3.</w:t>
      </w:r>
      <w:r>
        <w:rPr>
          <w:rFonts w:hint="eastAsia" w:ascii="仿宋" w:hAnsi="仿宋" w:eastAsia="仿宋" w:cs="新宋体"/>
          <w:color w:val="auto"/>
          <w:sz w:val="22"/>
          <w:szCs w:val="22"/>
          <w:highlight w:val="none"/>
          <w:u w:val="single"/>
        </w:rPr>
        <w:t>▲未提供开标一览表的投标文件将被视为未实质性响应招标文件要求，投标无效。</w:t>
      </w:r>
    </w:p>
    <w:p>
      <w:pPr>
        <w:autoSpaceDE w:val="0"/>
        <w:autoSpaceDN w:val="0"/>
        <w:spacing w:line="380" w:lineRule="atLeast"/>
        <w:ind w:left="36"/>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bookmarkEnd w:id="79"/>
    </w:p>
    <w:p>
      <w:pPr>
        <w:widowControl/>
        <w:adjustRightInd/>
        <w:jc w:val="left"/>
        <w:rPr>
          <w:rFonts w:ascii="仿宋" w:hAnsi="仿宋" w:eastAsia="仿宋"/>
          <w:color w:val="auto"/>
          <w:sz w:val="28"/>
          <w:szCs w:val="36"/>
          <w:highlight w:val="none"/>
        </w:rPr>
      </w:pPr>
      <w:r>
        <w:rPr>
          <w:rFonts w:ascii="仿宋" w:hAnsi="仿宋" w:eastAsia="仿宋"/>
          <w:color w:val="auto"/>
          <w:sz w:val="28"/>
          <w:szCs w:val="36"/>
          <w:highlight w:val="none"/>
        </w:rPr>
        <w:br w:type="page"/>
      </w:r>
    </w:p>
    <w:p>
      <w:pPr>
        <w:widowControl/>
        <w:adjustRightInd/>
        <w:jc w:val="left"/>
        <w:rPr>
          <w:rFonts w:ascii="仿宋" w:hAnsi="仿宋" w:eastAsia="仿宋" w:cs="仿宋_GB2312"/>
          <w:b/>
          <w:bCs/>
          <w:color w:val="auto"/>
          <w:sz w:val="28"/>
          <w:szCs w:val="28"/>
          <w:highlight w:val="none"/>
        </w:rPr>
      </w:pPr>
      <w:r>
        <w:rPr>
          <w:rFonts w:hint="eastAsia" w:ascii="仿宋" w:hAnsi="仿宋" w:eastAsia="仿宋" w:cs="仿宋_GB2312"/>
          <w:b/>
          <w:bCs/>
          <w:color w:val="auto"/>
          <w:sz w:val="28"/>
          <w:szCs w:val="28"/>
          <w:highlight w:val="none"/>
        </w:rPr>
        <w:t>附件14</w:t>
      </w:r>
    </w:p>
    <w:p>
      <w:pPr>
        <w:autoSpaceDE w:val="0"/>
        <w:autoSpaceDN w:val="0"/>
        <w:spacing w:line="460" w:lineRule="atLeast"/>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二、价格组成表</w:t>
      </w:r>
    </w:p>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项目名称：                                       项目编号：</w:t>
      </w:r>
    </w:p>
    <w:p>
      <w:pPr>
        <w:spacing w:line="380" w:lineRule="exact"/>
        <w:rPr>
          <w:color w:val="auto"/>
          <w:szCs w:val="21"/>
          <w:highlight w:val="none"/>
        </w:rPr>
      </w:pPr>
      <w:r>
        <w:rPr>
          <w:rFonts w:hint="eastAsia" w:ascii="仿宋" w:hAnsi="仿宋" w:eastAsia="仿宋" w:cs="新宋体"/>
          <w:bCs/>
          <w:color w:val="auto"/>
          <w:sz w:val="22"/>
          <w:szCs w:val="22"/>
          <w:highlight w:val="none"/>
        </w:rPr>
        <w:t>价格单位：人民币（元）</w:t>
      </w:r>
    </w:p>
    <w:p>
      <w:pPr>
        <w:ind w:left="315" w:hanging="315" w:hangingChars="150"/>
        <w:rPr>
          <w:color w:val="auto"/>
          <w:szCs w:val="21"/>
          <w:highlight w:val="none"/>
        </w:rPr>
      </w:pPr>
    </w:p>
    <w:tbl>
      <w:tblPr>
        <w:tblStyle w:val="57"/>
        <w:tblW w:w="97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6"/>
        <w:gridCol w:w="770"/>
        <w:gridCol w:w="467"/>
        <w:gridCol w:w="1233"/>
        <w:gridCol w:w="1783"/>
        <w:gridCol w:w="1117"/>
        <w:gridCol w:w="1467"/>
        <w:gridCol w:w="60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项目内容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数量</w:t>
            </w: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单位</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月度报价/金额（元）</w:t>
            </w: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月度计算依据（公式及过程）</w:t>
            </w: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年度报价/金额（元）</w:t>
            </w: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lang w:val="en-US" w:eastAsia="zh-CN"/>
              </w:rPr>
              <w:t>3年投标总价</w:t>
            </w:r>
            <w:r>
              <w:rPr>
                <w:rFonts w:hint="eastAsia" w:ascii="宋体" w:cs="宋体"/>
                <w:color w:val="auto"/>
                <w:sz w:val="22"/>
                <w:szCs w:val="22"/>
                <w:highlight w:val="none"/>
              </w:rPr>
              <w:t>/金额（元）</w:t>
            </w:r>
          </w:p>
        </w:tc>
        <w:tc>
          <w:tcPr>
            <w:tcW w:w="603" w:type="dxa"/>
            <w:tcBorders>
              <w:tl2br w:val="nil"/>
              <w:tr2bl w:val="nil"/>
            </w:tcBorders>
            <w:noWrap/>
            <w:tcMar>
              <w:top w:w="15" w:type="dxa"/>
              <w:left w:w="15" w:type="dxa"/>
              <w:right w:w="15" w:type="dxa"/>
            </w:tcMar>
            <w:vAlign w:val="center"/>
          </w:tcPr>
          <w:p>
            <w:pPr>
              <w:spacing w:line="460" w:lineRule="atLeast"/>
              <w:jc w:val="left"/>
              <w:rPr>
                <w:rFonts w:hint="eastAsia" w:ascii="宋体" w:cs="宋体"/>
                <w:color w:val="auto"/>
                <w:sz w:val="22"/>
                <w:szCs w:val="22"/>
                <w:highlight w:val="none"/>
              </w:rPr>
            </w:pPr>
            <w:r>
              <w:rPr>
                <w:rFonts w:hint="eastAsia" w:ascii="宋体" w:cs="宋体"/>
                <w:color w:val="auto"/>
                <w:sz w:val="22"/>
                <w:szCs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一、人工费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1.工人工资</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（１）管理员</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（２）清扫保洁员</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（3）河道保洁人员</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（4）公园、广场及公共绿地保洁保洁人员</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２.社会保险</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（１）养老保险    </w:t>
            </w:r>
          </w:p>
        </w:tc>
        <w:tc>
          <w:tcPr>
            <w:tcW w:w="770"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（２）医疗保险    </w:t>
            </w:r>
          </w:p>
        </w:tc>
        <w:tc>
          <w:tcPr>
            <w:tcW w:w="770"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（３）工伤保险    </w:t>
            </w:r>
          </w:p>
        </w:tc>
        <w:tc>
          <w:tcPr>
            <w:tcW w:w="770"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（４）失业保险    </w:t>
            </w:r>
          </w:p>
        </w:tc>
        <w:tc>
          <w:tcPr>
            <w:tcW w:w="770"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（5）生育保险</w:t>
            </w:r>
          </w:p>
        </w:tc>
        <w:tc>
          <w:tcPr>
            <w:tcW w:w="770"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（6）人身意外保险</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３.其他</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（1）法定节假日加班费     </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（2）节假日福利</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（3）高温补贴</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（4）特殊津贴</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（5）考核奖励</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（6）慰问费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二、环卫作业GPS管理平台软件硬件建设、维护及流量费用</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三、设备耗损费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１.安全生产设备</w:t>
            </w:r>
          </w:p>
        </w:tc>
        <w:tc>
          <w:tcPr>
            <w:tcW w:w="770"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人</w:t>
            </w:r>
          </w:p>
        </w:tc>
        <w:tc>
          <w:tcPr>
            <w:tcW w:w="1233"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restart"/>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2.工具耗材费及作业服饰</w:t>
            </w:r>
          </w:p>
        </w:tc>
        <w:tc>
          <w:tcPr>
            <w:tcW w:w="770"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vMerge w:val="continue"/>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四、作业车辆及损耗费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1.船和小型车辆折旧</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（1）小型电动高压冲洗车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（2）挂桶自卸式电动垃圾车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（3）小型快速保洁车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（4）电动护栏清洗车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（5）勾臂车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(6)河道保洁船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艘</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（7）……</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2.机械车辆折旧</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（1）道路清扫车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（2）道路洒水车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（3）封闭压缩式垃圾清运车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（4）重型多功能抑尘车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（5）……</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3.车辆维修费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4.车辆规费及保险</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5.油料费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6.水费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辆</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五、垃圾清运费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六、办公月费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1.水电费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2.电话费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3.办公用品</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4.业务开支</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5.租赁费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 xml:space="preserve"> 6.电脑、空调等折旧</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七、管理费</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八、不可预见费及其他经费（包括无主垃圾）</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九、利润</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十、税金</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项</w:t>
            </w: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年度</w:t>
            </w:r>
            <w:r>
              <w:rPr>
                <w:rFonts w:hint="eastAsia" w:ascii="宋体" w:cs="宋体"/>
                <w:color w:val="auto"/>
                <w:sz w:val="22"/>
                <w:szCs w:val="22"/>
                <w:highlight w:val="none"/>
                <w:lang w:val="en-US" w:eastAsia="zh-CN"/>
              </w:rPr>
              <w:t>报价</w:t>
            </w:r>
            <w:r>
              <w:rPr>
                <w:rFonts w:hint="eastAsia" w:ascii="宋体" w:cs="宋体"/>
                <w:color w:val="auto"/>
                <w:sz w:val="22"/>
                <w:szCs w:val="22"/>
                <w:highlight w:val="none"/>
              </w:rPr>
              <w:t xml:space="preserve"> （以上月报价×12个月）</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286"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r>
              <w:rPr>
                <w:rFonts w:hint="eastAsia" w:ascii="宋体" w:cs="宋体"/>
                <w:color w:val="auto"/>
                <w:sz w:val="22"/>
                <w:szCs w:val="22"/>
                <w:highlight w:val="none"/>
              </w:rPr>
              <w:t>投标总价（年度投标总价×3年）</w:t>
            </w:r>
          </w:p>
        </w:tc>
        <w:tc>
          <w:tcPr>
            <w:tcW w:w="770"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23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78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11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1467"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c>
          <w:tcPr>
            <w:tcW w:w="603" w:type="dxa"/>
            <w:tcBorders>
              <w:tl2br w:val="nil"/>
              <w:tr2bl w:val="nil"/>
            </w:tcBorders>
            <w:noWrap/>
            <w:tcMar>
              <w:top w:w="15" w:type="dxa"/>
              <w:left w:w="15" w:type="dxa"/>
              <w:right w:w="15" w:type="dxa"/>
            </w:tcMar>
            <w:vAlign w:val="center"/>
          </w:tcPr>
          <w:p>
            <w:pPr>
              <w:spacing w:line="460" w:lineRule="atLeast"/>
              <w:jc w:val="left"/>
              <w:rPr>
                <w:rFonts w:ascii="宋体" w:cs="宋体"/>
                <w:color w:val="auto"/>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2286" w:type="dxa"/>
            <w:tcBorders>
              <w:tl2br w:val="nil"/>
              <w:tr2bl w:val="nil"/>
            </w:tcBorders>
            <w:noWrap/>
            <w:tcMar>
              <w:top w:w="15" w:type="dxa"/>
              <w:left w:w="15" w:type="dxa"/>
              <w:right w:w="15" w:type="dxa"/>
            </w:tcMar>
            <w:vAlign w:val="center"/>
          </w:tcPr>
          <w:p>
            <w:pPr>
              <w:widowControl/>
              <w:jc w:val="left"/>
              <w:textAlignment w:val="center"/>
              <w:rPr>
                <w:rFonts w:ascii="宋体" w:hAnsi="宋体" w:cs="宋体"/>
                <w:color w:val="auto"/>
                <w:szCs w:val="21"/>
                <w:highlight w:val="none"/>
              </w:rPr>
            </w:pPr>
          </w:p>
        </w:tc>
        <w:tc>
          <w:tcPr>
            <w:tcW w:w="4253" w:type="dxa"/>
            <w:gridSpan w:val="4"/>
            <w:tcBorders>
              <w:tl2br w:val="nil"/>
              <w:tr2bl w:val="nil"/>
            </w:tcBorders>
            <w:noWrap/>
            <w:tcMar>
              <w:top w:w="15" w:type="dxa"/>
              <w:left w:w="15" w:type="dxa"/>
              <w:right w:w="15" w:type="dxa"/>
            </w:tcMar>
            <w:vAlign w:val="center"/>
          </w:tcPr>
          <w:p>
            <w:pPr>
              <w:widowControl/>
              <w:textAlignment w:val="center"/>
              <w:rPr>
                <w:rFonts w:ascii="宋体" w:hAnsi="宋体" w:cs="宋体"/>
                <w:color w:val="auto"/>
                <w:szCs w:val="21"/>
                <w:highlight w:val="none"/>
              </w:rPr>
            </w:pPr>
          </w:p>
        </w:tc>
        <w:tc>
          <w:tcPr>
            <w:tcW w:w="1117" w:type="dxa"/>
            <w:tcBorders>
              <w:tl2br w:val="nil"/>
              <w:tr2bl w:val="nil"/>
            </w:tcBorders>
            <w:noWrap/>
            <w:tcMar>
              <w:top w:w="15" w:type="dxa"/>
              <w:left w:w="15" w:type="dxa"/>
              <w:right w:w="15" w:type="dxa"/>
            </w:tcMar>
            <w:vAlign w:val="center"/>
          </w:tcPr>
          <w:p>
            <w:pPr>
              <w:widowControl/>
              <w:textAlignment w:val="center"/>
              <w:rPr>
                <w:rFonts w:ascii="宋体" w:hAnsi="宋体" w:cs="宋体"/>
                <w:color w:val="auto"/>
                <w:szCs w:val="21"/>
                <w:highlight w:val="none"/>
              </w:rPr>
            </w:pPr>
          </w:p>
        </w:tc>
        <w:tc>
          <w:tcPr>
            <w:tcW w:w="1467" w:type="dxa"/>
            <w:tcBorders>
              <w:tl2br w:val="nil"/>
              <w:tr2bl w:val="nil"/>
            </w:tcBorders>
            <w:noWrap/>
            <w:tcMar>
              <w:top w:w="15" w:type="dxa"/>
              <w:left w:w="15" w:type="dxa"/>
              <w:right w:w="15" w:type="dxa"/>
            </w:tcMar>
            <w:vAlign w:val="center"/>
          </w:tcPr>
          <w:p>
            <w:pPr>
              <w:jc w:val="center"/>
              <w:rPr>
                <w:rFonts w:ascii="宋体" w:hAnsi="宋体" w:cs="宋体"/>
                <w:color w:val="auto"/>
                <w:szCs w:val="21"/>
                <w:highlight w:val="none"/>
              </w:rPr>
            </w:pPr>
          </w:p>
        </w:tc>
        <w:tc>
          <w:tcPr>
            <w:tcW w:w="603" w:type="dxa"/>
            <w:tcBorders>
              <w:tl2br w:val="nil"/>
              <w:tr2bl w:val="nil"/>
            </w:tcBorders>
            <w:noWrap/>
            <w:tcMar>
              <w:top w:w="15" w:type="dxa"/>
              <w:left w:w="15" w:type="dxa"/>
              <w:right w:w="15" w:type="dxa"/>
            </w:tcMar>
            <w:vAlign w:val="center"/>
          </w:tcPr>
          <w:p>
            <w:pPr>
              <w:jc w:val="center"/>
              <w:rPr>
                <w:rFonts w:ascii="宋体" w:hAnsi="宋体" w:cs="宋体"/>
                <w:color w:val="auto"/>
                <w:szCs w:val="21"/>
                <w:highlight w:val="none"/>
              </w:rPr>
            </w:pPr>
          </w:p>
        </w:tc>
      </w:tr>
    </w:tbl>
    <w:p>
      <w:pPr>
        <w:spacing w:line="380" w:lineRule="exact"/>
        <w:rPr>
          <w:rFonts w:ascii="仿宋" w:hAnsi="仿宋" w:eastAsia="仿宋" w:cs="新宋体"/>
          <w:bCs/>
          <w:color w:val="auto"/>
          <w:sz w:val="22"/>
          <w:szCs w:val="22"/>
          <w:highlight w:val="none"/>
        </w:rPr>
      </w:pPr>
      <w:r>
        <w:rPr>
          <w:rFonts w:hint="eastAsia" w:ascii="仿宋" w:hAnsi="仿宋" w:eastAsia="仿宋" w:cs="新宋体"/>
          <w:bCs/>
          <w:color w:val="auto"/>
          <w:sz w:val="22"/>
          <w:szCs w:val="22"/>
          <w:highlight w:val="none"/>
        </w:rPr>
        <w:t>说明：</w:t>
      </w:r>
    </w:p>
    <w:p>
      <w:pPr>
        <w:spacing w:line="380" w:lineRule="exact"/>
        <w:rPr>
          <w:rFonts w:ascii="仿宋" w:hAnsi="仿宋" w:eastAsia="仿宋" w:cs="新宋体"/>
          <w:bCs/>
          <w:color w:val="auto"/>
          <w:sz w:val="22"/>
          <w:szCs w:val="22"/>
          <w:highlight w:val="none"/>
          <w:u w:val="single"/>
        </w:rPr>
      </w:pPr>
      <w:r>
        <w:rPr>
          <w:rFonts w:hint="eastAsia" w:ascii="仿宋" w:hAnsi="仿宋" w:eastAsia="仿宋" w:cs="新宋体"/>
          <w:color w:val="auto"/>
          <w:sz w:val="22"/>
          <w:szCs w:val="22"/>
          <w:highlight w:val="none"/>
          <w:u w:val="single"/>
        </w:rPr>
        <w:t>1.▲</w:t>
      </w:r>
      <w:r>
        <w:rPr>
          <w:rFonts w:hint="eastAsia" w:ascii="仿宋" w:hAnsi="仿宋" w:eastAsia="仿宋" w:cs="新宋体"/>
          <w:bCs/>
          <w:color w:val="auto"/>
          <w:sz w:val="22"/>
          <w:szCs w:val="22"/>
          <w:highlight w:val="none"/>
          <w:u w:val="single"/>
        </w:rPr>
        <w:t>投标分项报价表内年度</w:t>
      </w:r>
      <w:r>
        <w:rPr>
          <w:rFonts w:hint="eastAsia" w:ascii="仿宋" w:hAnsi="仿宋" w:eastAsia="仿宋" w:cs="新宋体"/>
          <w:bCs/>
          <w:color w:val="auto"/>
          <w:sz w:val="22"/>
          <w:szCs w:val="22"/>
          <w:highlight w:val="none"/>
          <w:u w:val="single"/>
          <w:lang w:val="en-US" w:eastAsia="zh-CN"/>
        </w:rPr>
        <w:t>报价</w:t>
      </w:r>
      <w:r>
        <w:rPr>
          <w:rFonts w:hint="eastAsia" w:ascii="仿宋" w:hAnsi="仿宋" w:eastAsia="仿宋" w:cs="新宋体"/>
          <w:bCs/>
          <w:color w:val="auto"/>
          <w:sz w:val="22"/>
          <w:szCs w:val="22"/>
          <w:highlight w:val="none"/>
          <w:u w:val="single"/>
        </w:rPr>
        <w:t>应与“开标一览表”年度</w:t>
      </w:r>
      <w:r>
        <w:rPr>
          <w:rFonts w:hint="eastAsia" w:ascii="仿宋" w:hAnsi="仿宋" w:eastAsia="仿宋" w:cs="新宋体"/>
          <w:bCs/>
          <w:color w:val="auto"/>
          <w:sz w:val="22"/>
          <w:szCs w:val="22"/>
          <w:highlight w:val="none"/>
          <w:u w:val="single"/>
          <w:lang w:val="en-US" w:eastAsia="zh-CN"/>
        </w:rPr>
        <w:t>报价</w:t>
      </w:r>
      <w:r>
        <w:rPr>
          <w:rFonts w:hint="eastAsia" w:ascii="仿宋" w:hAnsi="仿宋" w:eastAsia="仿宋" w:cs="新宋体"/>
          <w:bCs/>
          <w:color w:val="auto"/>
          <w:sz w:val="22"/>
          <w:szCs w:val="22"/>
          <w:highlight w:val="none"/>
          <w:u w:val="single"/>
        </w:rPr>
        <w:t>相一致。</w:t>
      </w:r>
    </w:p>
    <w:p>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2.▲</w:t>
      </w:r>
      <w:r>
        <w:rPr>
          <w:rFonts w:hint="eastAsia" w:ascii="仿宋" w:hAnsi="仿宋" w:eastAsia="仿宋" w:cs="新宋体"/>
          <w:bCs/>
          <w:color w:val="auto"/>
          <w:sz w:val="22"/>
          <w:szCs w:val="22"/>
          <w:highlight w:val="none"/>
          <w:u w:val="single"/>
        </w:rPr>
        <w:t>不提供此表的报价，视为没有实质性响应招标文件要求。</w:t>
      </w:r>
    </w:p>
    <w:p>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3.▲</w:t>
      </w:r>
      <w:r>
        <w:rPr>
          <w:rFonts w:hint="eastAsia" w:ascii="仿宋" w:hAnsi="仿宋" w:eastAsia="仿宋" w:cs="新宋体"/>
          <w:bCs/>
          <w:color w:val="auto"/>
          <w:sz w:val="22"/>
          <w:szCs w:val="22"/>
          <w:highlight w:val="none"/>
          <w:u w:val="single"/>
        </w:rPr>
        <w:t>本表可在不改变格式的情况下根据具体需要自行增减。</w:t>
      </w:r>
    </w:p>
    <w:p>
      <w:pPr>
        <w:spacing w:line="380" w:lineRule="exact"/>
        <w:rPr>
          <w:rFonts w:ascii="仿宋" w:hAnsi="仿宋" w:eastAsia="仿宋" w:cs="新宋体"/>
          <w:bCs/>
          <w:color w:val="auto"/>
          <w:sz w:val="22"/>
          <w:szCs w:val="22"/>
          <w:highlight w:val="none"/>
        </w:rPr>
      </w:pPr>
      <w:r>
        <w:rPr>
          <w:rFonts w:hint="eastAsia" w:ascii="仿宋" w:hAnsi="仿宋" w:eastAsia="仿宋" w:cs="新宋体"/>
          <w:color w:val="auto"/>
          <w:sz w:val="22"/>
          <w:szCs w:val="22"/>
          <w:highlight w:val="none"/>
          <w:u w:val="single"/>
        </w:rPr>
        <w:t>4.▲</w:t>
      </w:r>
      <w:r>
        <w:rPr>
          <w:rFonts w:hint="eastAsia" w:ascii="仿宋" w:hAnsi="仿宋" w:eastAsia="仿宋" w:cs="新宋体"/>
          <w:bCs/>
          <w:color w:val="auto"/>
          <w:sz w:val="22"/>
          <w:szCs w:val="22"/>
          <w:highlight w:val="none"/>
          <w:u w:val="single"/>
        </w:rPr>
        <w:t>各项费用如已包含在其它费用中请注明“含”，若免费请注明“免”, 若没有请注明“无”。</w:t>
      </w:r>
    </w:p>
    <w:p>
      <w:pPr>
        <w:snapToGrid w:val="0"/>
        <w:ind w:firstLine="315" w:firstLineChars="150"/>
        <w:rPr>
          <w:rFonts w:ascii="宋体" w:hAnsi="宋体" w:cs="宋体"/>
          <w:color w:val="auto"/>
          <w:szCs w:val="21"/>
          <w:highlight w:val="none"/>
        </w:rPr>
      </w:pPr>
    </w:p>
    <w:p>
      <w:pPr>
        <w:autoSpaceDE w:val="0"/>
        <w:autoSpaceDN w:val="0"/>
        <w:spacing w:line="380" w:lineRule="atLeast"/>
        <w:ind w:firstLine="660"/>
        <w:rPr>
          <w:rFonts w:ascii="仿宋" w:hAnsi="仿宋" w:eastAsia="仿宋" w:cs="新宋体"/>
          <w:color w:val="auto"/>
          <w:kern w:val="0"/>
          <w:sz w:val="22"/>
          <w:szCs w:val="22"/>
          <w:highlight w:val="none"/>
          <w:lang w:val="zh-CN"/>
        </w:rPr>
      </w:pP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投标人名称(电子签名)：                              </w:t>
      </w:r>
    </w:p>
    <w:p>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jc w:val="left"/>
        <w:rPr>
          <w:rStyle w:val="77"/>
          <w:rFonts w:ascii="仿宋" w:hAnsi="仿宋" w:eastAsia="仿宋" w:cs="新宋体"/>
          <w:color w:val="auto"/>
          <w:sz w:val="28"/>
          <w:szCs w:val="28"/>
          <w:highlight w:val="none"/>
        </w:rPr>
      </w:pPr>
      <w:r>
        <w:rPr>
          <w:rStyle w:val="77"/>
          <w:rFonts w:ascii="仿宋" w:hAnsi="仿宋" w:eastAsia="仿宋" w:cs="新宋体"/>
          <w:color w:val="auto"/>
          <w:sz w:val="28"/>
          <w:szCs w:val="28"/>
          <w:highlight w:val="none"/>
        </w:rPr>
        <w:br w:type="page"/>
      </w:r>
    </w:p>
    <w:p>
      <w:pPr>
        <w:rPr>
          <w:rFonts w:ascii="仿宋" w:hAnsi="仿宋" w:eastAsia="仿宋"/>
          <w:b/>
          <w:color w:val="auto"/>
          <w:sz w:val="28"/>
          <w:szCs w:val="36"/>
          <w:highlight w:val="none"/>
        </w:rPr>
      </w:pPr>
      <w:r>
        <w:rPr>
          <w:rFonts w:hint="eastAsia" w:ascii="仿宋" w:hAnsi="仿宋" w:eastAsia="仿宋"/>
          <w:b/>
          <w:color w:val="auto"/>
          <w:sz w:val="28"/>
          <w:szCs w:val="36"/>
          <w:highlight w:val="none"/>
        </w:rPr>
        <w:t>附件15</w:t>
      </w:r>
    </w:p>
    <w:p>
      <w:pPr>
        <w:jc w:val="center"/>
        <w:rPr>
          <w:rFonts w:ascii="仿宋" w:hAnsi="仿宋" w:eastAsia="仿宋"/>
          <w:b/>
          <w:bCs/>
          <w:color w:val="auto"/>
          <w:sz w:val="28"/>
          <w:szCs w:val="36"/>
          <w:highlight w:val="none"/>
        </w:rPr>
      </w:pPr>
      <w:r>
        <w:rPr>
          <w:rFonts w:hint="eastAsia" w:ascii="仿宋" w:hAnsi="仿宋" w:eastAsia="仿宋"/>
          <w:b/>
          <w:bCs/>
          <w:color w:val="auto"/>
          <w:sz w:val="28"/>
          <w:szCs w:val="36"/>
          <w:highlight w:val="none"/>
        </w:rPr>
        <w:t>三、政府采购政策情况表</w:t>
      </w:r>
      <w:bookmarkEnd w:id="77"/>
      <w:bookmarkEnd w:id="78"/>
    </w:p>
    <w:p>
      <w:pPr>
        <w:pStyle w:val="33"/>
        <w:spacing w:line="360" w:lineRule="auto"/>
        <w:rPr>
          <w:rFonts w:ascii="仿宋" w:hAnsi="仿宋" w:eastAsia="仿宋" w:cs="Times New Roman"/>
          <w:color w:val="auto"/>
          <w:sz w:val="28"/>
          <w:szCs w:val="28"/>
          <w:highlight w:val="none"/>
        </w:rPr>
      </w:pPr>
      <w:r>
        <w:rPr>
          <w:rFonts w:hint="eastAsia" w:ascii="仿宋" w:hAnsi="仿宋" w:eastAsia="仿宋" w:cs="Times New Roman"/>
          <w:color w:val="auto"/>
          <w:kern w:val="0"/>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988"/>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lang w:val="en-GB"/>
              </w:rPr>
              <w:t>中小企业、监狱企业及残疾人福利性单位扶持政策</w:t>
            </w:r>
          </w:p>
        </w:tc>
        <w:tc>
          <w:tcPr>
            <w:tcW w:w="8700" w:type="dxa"/>
            <w:gridSpan w:val="6"/>
            <w:vAlign w:val="center"/>
          </w:tcPr>
          <w:p>
            <w:pPr>
              <w:pStyle w:val="988"/>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lang w:val="en-GB"/>
              </w:rPr>
              <w:t>如属所列情形的，请在括号内打</w:t>
            </w:r>
            <w:r>
              <w:rPr>
                <w:rFonts w:ascii="仿宋" w:hAnsi="仿宋" w:eastAsia="仿宋"/>
                <w:color w:val="auto"/>
                <w:szCs w:val="21"/>
                <w:highlight w:val="none"/>
                <w:lang w:val="en-GB"/>
              </w:rPr>
              <w:t>“√”</w:t>
            </w:r>
            <w:r>
              <w:rPr>
                <w:rFonts w:hint="eastAsia" w:ascii="仿宋" w:hAnsi="仿宋" w:eastAsia="仿宋"/>
                <w:color w:val="auto"/>
                <w:szCs w:val="21"/>
                <w:highlight w:val="none"/>
                <w:lang w:val="en-GB"/>
              </w:rPr>
              <w:t>，并</w:t>
            </w:r>
            <w:r>
              <w:rPr>
                <w:rFonts w:hint="eastAsia" w:ascii="仿宋" w:hAnsi="仿宋" w:eastAsia="仿宋"/>
                <w:color w:val="auto"/>
                <w:szCs w:val="21"/>
                <w:highlight w:val="none"/>
              </w:rPr>
              <w:t>请填写下表内容：</w:t>
            </w:r>
            <w:r>
              <w:rPr>
                <w:rFonts w:hint="eastAsia" w:ascii="仿宋" w:hAnsi="仿宋" w:eastAsia="仿宋"/>
                <w:color w:val="auto"/>
                <w:szCs w:val="21"/>
                <w:highlight w:val="none"/>
                <w:lang w:val="en-GB"/>
              </w:rPr>
              <w:t>：</w:t>
            </w:r>
          </w:p>
          <w:p>
            <w:pPr>
              <w:pStyle w:val="988"/>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（）小型、微型企业投标且提供本企业制造的产品。</w:t>
            </w:r>
          </w:p>
          <w:p>
            <w:pPr>
              <w:pStyle w:val="988"/>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（）监狱企业投标且提供本企业制造的产品。</w:t>
            </w:r>
          </w:p>
          <w:p>
            <w:pPr>
              <w:pStyle w:val="988"/>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（）小微企业投标且提供其它小型、微型企业产品。</w:t>
            </w:r>
          </w:p>
          <w:p>
            <w:pPr>
              <w:pStyle w:val="988"/>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0"/>
                <w:highlight w:val="none"/>
              </w:rPr>
              <w:t>残疾人福利性单位投标</w:t>
            </w:r>
            <w:r>
              <w:rPr>
                <w:rFonts w:hint="eastAsia" w:ascii="仿宋" w:hAnsi="仿宋" w:eastAsia="仿宋"/>
                <w:color w:val="auto"/>
                <w:szCs w:val="21"/>
                <w:highlight w:val="none"/>
              </w:rPr>
              <w:t>且提供本企业制造的产品。</w:t>
            </w:r>
          </w:p>
          <w:p>
            <w:pPr>
              <w:pStyle w:val="988"/>
              <w:tabs>
                <w:tab w:val="left" w:pos="1260"/>
              </w:tabs>
              <w:snapToGrid w:val="0"/>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w:t>
            </w:r>
            <w:r>
              <w:rPr>
                <w:rFonts w:hint="eastAsia" w:ascii="仿宋" w:hAnsi="仿宋" w:eastAsia="仿宋"/>
                <w:color w:val="auto"/>
                <w:szCs w:val="20"/>
                <w:highlight w:val="none"/>
              </w:rPr>
              <w:t>残疾人福利性单位投标</w:t>
            </w:r>
            <w:r>
              <w:rPr>
                <w:rFonts w:hint="eastAsia" w:ascii="仿宋" w:hAnsi="仿宋" w:eastAsia="仿宋"/>
                <w:color w:val="auto"/>
                <w:szCs w:val="21"/>
                <w:highlight w:val="none"/>
              </w:rPr>
              <w:t>且提供其它</w:t>
            </w:r>
            <w:r>
              <w:rPr>
                <w:rFonts w:hint="eastAsia" w:ascii="仿宋" w:hAnsi="仿宋" w:eastAsia="仿宋"/>
                <w:color w:val="auto"/>
                <w:szCs w:val="20"/>
                <w:highlight w:val="none"/>
              </w:rPr>
              <w:t>残疾人福利性单位制造的</w:t>
            </w:r>
            <w:r>
              <w:rPr>
                <w:rFonts w:hint="eastAsia" w:ascii="仿宋" w:hAnsi="仿宋" w:eastAsia="仿宋"/>
                <w:color w:val="auto"/>
                <w:szCs w:val="21"/>
                <w:highlight w:val="none"/>
              </w:rPr>
              <w:t>货物</w:t>
            </w:r>
            <w:r>
              <w:rPr>
                <w:rFonts w:hint="eastAsia" w:ascii="仿宋" w:hAnsi="仿宋" w:eastAsia="仿宋"/>
                <w:color w:val="auto"/>
                <w:szCs w:val="20"/>
                <w:highlight w:val="none"/>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产品名称</w:t>
            </w:r>
          </w:p>
        </w:tc>
        <w:tc>
          <w:tcPr>
            <w:tcW w:w="1425"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品牌</w:t>
            </w:r>
          </w:p>
        </w:tc>
        <w:tc>
          <w:tcPr>
            <w:tcW w:w="1487"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rPr>
              <w:t>型号、规格</w:t>
            </w:r>
          </w:p>
        </w:tc>
        <w:tc>
          <w:tcPr>
            <w:tcW w:w="1537"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制造商</w:t>
            </w:r>
          </w:p>
        </w:tc>
        <w:tc>
          <w:tcPr>
            <w:tcW w:w="1477"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制造商</w:t>
            </w:r>
          </w:p>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企业类型</w:t>
            </w:r>
          </w:p>
        </w:tc>
        <w:tc>
          <w:tcPr>
            <w:tcW w:w="1628" w:type="dxa"/>
            <w:vAlign w:val="center"/>
          </w:tcPr>
          <w:p>
            <w:pPr>
              <w:pStyle w:val="988"/>
              <w:tabs>
                <w:tab w:val="left" w:pos="1260"/>
              </w:tabs>
              <w:snapToGrid w:val="0"/>
              <w:spacing w:line="360" w:lineRule="auto"/>
              <w:jc w:val="center"/>
              <w:rPr>
                <w:rFonts w:ascii="仿宋" w:hAnsi="仿宋" w:eastAsia="仿宋"/>
                <w:color w:val="auto"/>
                <w:szCs w:val="21"/>
                <w:highlight w:val="none"/>
                <w:lang w:val="en-GB"/>
              </w:rPr>
            </w:pPr>
            <w:r>
              <w:rPr>
                <w:rFonts w:hint="eastAsia" w:ascii="仿宋" w:hAnsi="仿宋" w:eastAsia="仿宋"/>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146"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25"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8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53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477"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1628"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c>
          <w:tcPr>
            <w:tcW w:w="7072" w:type="dxa"/>
            <w:gridSpan w:val="5"/>
            <w:vAlign w:val="center"/>
          </w:tcPr>
          <w:p>
            <w:pPr>
              <w:pStyle w:val="988"/>
              <w:tabs>
                <w:tab w:val="left" w:pos="1260"/>
              </w:tabs>
              <w:snapToGrid w:val="0"/>
              <w:spacing w:line="360" w:lineRule="auto"/>
              <w:jc w:val="left"/>
              <w:rPr>
                <w:rFonts w:ascii="仿宋" w:hAnsi="仿宋" w:eastAsia="仿宋"/>
                <w:color w:val="auto"/>
                <w:szCs w:val="21"/>
                <w:highlight w:val="none"/>
                <w:lang w:val="en-GB"/>
              </w:rPr>
            </w:pPr>
            <w:r>
              <w:rPr>
                <w:rFonts w:hint="eastAsia" w:ascii="仿宋" w:hAnsi="仿宋" w:eastAsia="仿宋"/>
                <w:color w:val="auto"/>
                <w:szCs w:val="21"/>
                <w:highlight w:val="none"/>
              </w:rPr>
              <w:t>小型、微型企业产品</w:t>
            </w:r>
            <w:r>
              <w:rPr>
                <w:rFonts w:hint="eastAsia" w:ascii="仿宋" w:hAnsi="仿宋" w:eastAsia="仿宋"/>
                <w:color w:val="auto"/>
                <w:szCs w:val="21"/>
                <w:highlight w:val="none"/>
                <w:lang w:val="en-GB"/>
              </w:rPr>
              <w:t>金额合计</w:t>
            </w:r>
          </w:p>
        </w:tc>
        <w:tc>
          <w:tcPr>
            <w:tcW w:w="1628" w:type="dxa"/>
            <w:vAlign w:val="center"/>
          </w:tcPr>
          <w:p>
            <w:pPr>
              <w:pStyle w:val="988"/>
              <w:tabs>
                <w:tab w:val="left" w:pos="1260"/>
              </w:tabs>
              <w:snapToGrid w:val="0"/>
              <w:spacing w:line="360" w:lineRule="auto"/>
              <w:jc w:val="left"/>
              <w:rPr>
                <w:rFonts w:ascii="仿宋" w:hAnsi="仿宋" w:eastAsia="仿宋"/>
                <w:color w:val="auto"/>
                <w:szCs w:val="21"/>
                <w:highlight w:val="none"/>
                <w:lang w:val="en-GB"/>
              </w:rPr>
            </w:pPr>
          </w:p>
        </w:tc>
      </w:tr>
    </w:tbl>
    <w:p>
      <w:pPr>
        <w:pStyle w:val="33"/>
        <w:spacing w:line="360" w:lineRule="auto"/>
        <w:rPr>
          <w:rFonts w:ascii="仿宋" w:hAnsi="仿宋" w:eastAsia="仿宋" w:cs="Times New Roman"/>
          <w:b/>
          <w:color w:val="auto"/>
          <w:highlight w:val="none"/>
        </w:rPr>
      </w:pPr>
    </w:p>
    <w:p>
      <w:pPr>
        <w:spacing w:line="360" w:lineRule="auto"/>
        <w:ind w:firstLine="420" w:firstLineChars="200"/>
        <w:jc w:val="left"/>
        <w:rPr>
          <w:rFonts w:ascii="仿宋" w:hAnsi="仿宋" w:eastAsia="仿宋"/>
          <w:color w:val="auto"/>
          <w:szCs w:val="21"/>
          <w:highlight w:val="none"/>
        </w:rPr>
      </w:pPr>
      <w:bookmarkStart w:id="80" w:name="_Toc514420711"/>
      <w:bookmarkStart w:id="81" w:name="_Toc508709359"/>
      <w:bookmarkStart w:id="82" w:name="_Toc513560346"/>
      <w:bookmarkStart w:id="83" w:name="_Toc515011017"/>
      <w:bookmarkStart w:id="84" w:name="_Toc509218976"/>
      <w:bookmarkStart w:id="85" w:name="_Toc515011118"/>
      <w:bookmarkStart w:id="86" w:name="_Toc518546798"/>
      <w:bookmarkStart w:id="87" w:name="_Toc514337540"/>
      <w:r>
        <w:rPr>
          <w:rFonts w:hint="eastAsia" w:ascii="仿宋" w:hAnsi="仿宋" w:eastAsia="仿宋"/>
          <w:color w:val="auto"/>
          <w:szCs w:val="21"/>
          <w:highlight w:val="none"/>
        </w:rPr>
        <w:t>填报要求：</w:t>
      </w:r>
      <w:bookmarkEnd w:id="80"/>
      <w:bookmarkEnd w:id="81"/>
      <w:bookmarkEnd w:id="82"/>
      <w:bookmarkEnd w:id="83"/>
      <w:bookmarkEnd w:id="84"/>
      <w:bookmarkEnd w:id="85"/>
      <w:bookmarkEnd w:id="86"/>
      <w:bookmarkEnd w:id="87"/>
    </w:p>
    <w:p>
      <w:pPr>
        <w:spacing w:line="360" w:lineRule="auto"/>
        <w:ind w:firstLine="420" w:firstLineChars="200"/>
        <w:jc w:val="left"/>
        <w:rPr>
          <w:rFonts w:ascii="仿宋" w:hAnsi="仿宋" w:eastAsia="仿宋"/>
          <w:color w:val="auto"/>
          <w:szCs w:val="21"/>
          <w:highlight w:val="none"/>
        </w:rPr>
      </w:pPr>
      <w:bookmarkStart w:id="88" w:name="_Toc508709360"/>
      <w:bookmarkStart w:id="89" w:name="_Toc515011119"/>
      <w:bookmarkStart w:id="90" w:name="_Toc509218977"/>
      <w:bookmarkStart w:id="91" w:name="_Toc514337541"/>
      <w:bookmarkStart w:id="92" w:name="_Toc513560347"/>
      <w:bookmarkStart w:id="93" w:name="_Toc518546799"/>
      <w:bookmarkStart w:id="94" w:name="_Toc515011018"/>
      <w:bookmarkStart w:id="95" w:name="_Toc514420712"/>
      <w:r>
        <w:rPr>
          <w:rFonts w:ascii="仿宋" w:hAnsi="仿宋" w:eastAsia="仿宋"/>
          <w:color w:val="auto"/>
          <w:szCs w:val="21"/>
          <w:highlight w:val="none"/>
        </w:rPr>
        <w:t xml:space="preserve">1. </w:t>
      </w:r>
      <w:r>
        <w:rPr>
          <w:rFonts w:hint="eastAsia" w:ascii="仿宋" w:hAnsi="仿宋" w:eastAsia="仿宋"/>
          <w:color w:val="auto"/>
          <w:szCs w:val="21"/>
          <w:highlight w:val="none"/>
        </w:rPr>
        <w:t>本表的“产品名称”、“品牌”、“型号、规格”、金额应与《价格组成表》的“设备名称”、“品牌、产地”、“规格、型号”、“出厂单价（含税）”一致。</w:t>
      </w:r>
      <w:bookmarkEnd w:id="88"/>
      <w:bookmarkEnd w:id="89"/>
      <w:bookmarkEnd w:id="90"/>
      <w:bookmarkEnd w:id="91"/>
      <w:bookmarkEnd w:id="92"/>
      <w:bookmarkEnd w:id="93"/>
      <w:bookmarkEnd w:id="94"/>
      <w:bookmarkEnd w:id="95"/>
    </w:p>
    <w:p>
      <w:pPr>
        <w:spacing w:line="360" w:lineRule="auto"/>
        <w:ind w:firstLine="420" w:firstLineChars="200"/>
        <w:jc w:val="left"/>
        <w:rPr>
          <w:rFonts w:ascii="仿宋" w:hAnsi="仿宋" w:eastAsia="仿宋"/>
          <w:color w:val="auto"/>
          <w:szCs w:val="21"/>
          <w:highlight w:val="none"/>
        </w:rPr>
      </w:pPr>
      <w:bookmarkStart w:id="96" w:name="_Toc515011120"/>
      <w:bookmarkStart w:id="97" w:name="_Toc514337542"/>
      <w:bookmarkStart w:id="98" w:name="_Toc513560348"/>
      <w:bookmarkStart w:id="99" w:name="_Toc508709361"/>
      <w:bookmarkStart w:id="100" w:name="_Toc514420713"/>
      <w:bookmarkStart w:id="101" w:name="_Toc509218978"/>
      <w:bookmarkStart w:id="102" w:name="_Toc518546800"/>
      <w:bookmarkStart w:id="103" w:name="_Toc515011019"/>
      <w:r>
        <w:rPr>
          <w:rFonts w:ascii="仿宋" w:hAnsi="仿宋" w:eastAsia="仿宋"/>
          <w:color w:val="auto"/>
          <w:szCs w:val="21"/>
          <w:highlight w:val="none"/>
        </w:rPr>
        <w:t>2. “</w:t>
      </w:r>
      <w:r>
        <w:rPr>
          <w:rFonts w:hint="eastAsia" w:ascii="仿宋" w:hAnsi="仿宋" w:eastAsia="仿宋"/>
          <w:color w:val="auto"/>
          <w:szCs w:val="21"/>
          <w:highlight w:val="none"/>
        </w:rPr>
        <w:t>制造商企业类型</w:t>
      </w:r>
      <w:r>
        <w:rPr>
          <w:rFonts w:ascii="仿宋" w:hAnsi="仿宋" w:eastAsia="仿宋"/>
          <w:color w:val="auto"/>
          <w:szCs w:val="21"/>
          <w:highlight w:val="none"/>
        </w:rPr>
        <w:t>”</w:t>
      </w:r>
      <w:r>
        <w:rPr>
          <w:rFonts w:hint="eastAsia" w:ascii="仿宋" w:hAnsi="仿宋" w:eastAsia="仿宋"/>
          <w:color w:val="auto"/>
          <w:szCs w:val="21"/>
          <w:highlight w:val="none"/>
        </w:rPr>
        <w:t>栏填写内容应为</w:t>
      </w:r>
      <w:r>
        <w:rPr>
          <w:rFonts w:ascii="仿宋" w:hAnsi="仿宋" w:eastAsia="仿宋"/>
          <w:color w:val="auto"/>
          <w:szCs w:val="21"/>
          <w:highlight w:val="none"/>
        </w:rPr>
        <w:t>“</w:t>
      </w:r>
      <w:r>
        <w:rPr>
          <w:rFonts w:hint="eastAsia" w:ascii="仿宋" w:hAnsi="仿宋" w:eastAsia="仿宋"/>
          <w:color w:val="auto"/>
          <w:szCs w:val="21"/>
          <w:highlight w:val="none"/>
        </w:rPr>
        <w:t>小型</w:t>
      </w:r>
      <w:r>
        <w:rPr>
          <w:rFonts w:ascii="仿宋" w:hAnsi="仿宋" w:eastAsia="仿宋"/>
          <w:color w:val="auto"/>
          <w:szCs w:val="21"/>
          <w:highlight w:val="none"/>
        </w:rPr>
        <w:t>”</w:t>
      </w:r>
      <w:r>
        <w:rPr>
          <w:rFonts w:hint="eastAsia" w:ascii="仿宋" w:hAnsi="仿宋" w:eastAsia="仿宋"/>
          <w:color w:val="auto"/>
          <w:szCs w:val="21"/>
          <w:highlight w:val="none"/>
        </w:rPr>
        <w:t>、</w:t>
      </w:r>
      <w:r>
        <w:rPr>
          <w:rFonts w:ascii="仿宋" w:hAnsi="仿宋" w:eastAsia="仿宋"/>
          <w:color w:val="auto"/>
          <w:szCs w:val="21"/>
          <w:highlight w:val="none"/>
        </w:rPr>
        <w:t>“</w:t>
      </w:r>
      <w:r>
        <w:rPr>
          <w:rFonts w:hint="eastAsia" w:ascii="仿宋" w:hAnsi="仿宋" w:eastAsia="仿宋"/>
          <w:color w:val="auto"/>
          <w:szCs w:val="21"/>
          <w:highlight w:val="none"/>
        </w:rPr>
        <w:t>微型</w:t>
      </w:r>
      <w:r>
        <w:rPr>
          <w:rFonts w:ascii="仿宋" w:hAnsi="仿宋" w:eastAsia="仿宋"/>
          <w:color w:val="auto"/>
          <w:szCs w:val="21"/>
          <w:highlight w:val="none"/>
        </w:rPr>
        <w:t>”</w:t>
      </w:r>
      <w:r>
        <w:rPr>
          <w:rFonts w:hint="eastAsia" w:ascii="仿宋" w:hAnsi="仿宋" w:eastAsia="仿宋"/>
          <w:color w:val="auto"/>
          <w:szCs w:val="21"/>
          <w:highlight w:val="none"/>
        </w:rPr>
        <w:t>、“监狱企业”或“</w:t>
      </w:r>
      <w:r>
        <w:rPr>
          <w:rFonts w:hint="eastAsia" w:ascii="仿宋" w:hAnsi="仿宋" w:eastAsia="仿宋"/>
          <w:color w:val="auto"/>
          <w:highlight w:val="none"/>
        </w:rPr>
        <w:t>残疾人福利性单位</w:t>
      </w:r>
      <w:r>
        <w:rPr>
          <w:rFonts w:hint="eastAsia" w:ascii="仿宋" w:hAnsi="仿宋" w:eastAsia="仿宋"/>
          <w:color w:val="auto"/>
          <w:szCs w:val="21"/>
          <w:highlight w:val="none"/>
        </w:rPr>
        <w:t>”。</w:t>
      </w:r>
      <w:bookmarkEnd w:id="96"/>
      <w:bookmarkEnd w:id="97"/>
      <w:bookmarkEnd w:id="98"/>
      <w:bookmarkEnd w:id="99"/>
      <w:bookmarkEnd w:id="100"/>
      <w:bookmarkEnd w:id="101"/>
      <w:bookmarkEnd w:id="102"/>
      <w:bookmarkEnd w:id="103"/>
    </w:p>
    <w:p>
      <w:pPr>
        <w:spacing w:line="360" w:lineRule="auto"/>
        <w:ind w:firstLine="420" w:firstLineChars="200"/>
        <w:jc w:val="left"/>
        <w:rPr>
          <w:rFonts w:ascii="仿宋" w:hAnsi="仿宋" w:eastAsia="仿宋"/>
          <w:color w:val="auto"/>
          <w:highlight w:val="none"/>
        </w:rPr>
      </w:pPr>
      <w:bookmarkStart w:id="104" w:name="_Toc513560349"/>
      <w:bookmarkStart w:id="105" w:name="_Toc514420714"/>
      <w:bookmarkStart w:id="106" w:name="_Toc515011020"/>
      <w:bookmarkStart w:id="107" w:name="_Toc514337543"/>
      <w:bookmarkStart w:id="108" w:name="_Toc515011121"/>
      <w:bookmarkStart w:id="109" w:name="_Toc509218979"/>
      <w:bookmarkStart w:id="110" w:name="_Toc508709362"/>
      <w:bookmarkStart w:id="111" w:name="_Toc518546801"/>
      <w:r>
        <w:rPr>
          <w:rFonts w:ascii="仿宋" w:hAnsi="仿宋" w:eastAsia="仿宋"/>
          <w:color w:val="auto"/>
          <w:highlight w:val="none"/>
        </w:rPr>
        <w:t xml:space="preserve">3. </w:t>
      </w:r>
      <w:r>
        <w:rPr>
          <w:rFonts w:hint="eastAsia" w:ascii="仿宋" w:hAnsi="仿宋" w:eastAsia="仿宋"/>
          <w:color w:val="auto"/>
          <w:highlight w:val="none"/>
        </w:rPr>
        <w:t>请投标人正确填写本表，所填内容将作为报价的评分依据。如果填写不完整或有误，不再享受上述政策优惠。</w:t>
      </w:r>
      <w:bookmarkEnd w:id="104"/>
      <w:bookmarkEnd w:id="105"/>
      <w:bookmarkEnd w:id="106"/>
      <w:bookmarkEnd w:id="107"/>
      <w:bookmarkEnd w:id="108"/>
      <w:bookmarkEnd w:id="109"/>
      <w:bookmarkEnd w:id="110"/>
      <w:bookmarkEnd w:id="111"/>
    </w:p>
    <w:p>
      <w:pPr>
        <w:spacing w:line="360" w:lineRule="auto"/>
        <w:ind w:firstLine="420" w:firstLineChars="200"/>
        <w:jc w:val="left"/>
        <w:rPr>
          <w:rFonts w:ascii="仿宋" w:hAnsi="仿宋" w:eastAsia="仿宋"/>
          <w:color w:val="auto"/>
          <w:highlight w:val="none"/>
        </w:rPr>
      </w:pPr>
      <w:r>
        <w:rPr>
          <w:rFonts w:hint="eastAsia" w:ascii="仿宋" w:hAnsi="仿宋" w:eastAsia="仿宋"/>
          <w:color w:val="auto"/>
          <w:highlight w:val="none"/>
        </w:rPr>
        <w:t>4. 如本项目未专门面向中小企业，投标人也未在资格文件部分/落实政府采购政策需满足的资格要求中提供《中小企业声明函》。</w:t>
      </w:r>
    </w:p>
    <w:p>
      <w:pPr>
        <w:widowControl/>
        <w:adjustRightInd/>
        <w:jc w:val="left"/>
        <w:rPr>
          <w:rFonts w:ascii="仿宋_GB2312" w:hAnsi="仿宋" w:eastAsia="仿宋_GB2312" w:cs="仿宋_GB2312"/>
          <w:b/>
          <w:color w:val="auto"/>
          <w:kern w:val="0"/>
          <w:sz w:val="32"/>
          <w:szCs w:val="32"/>
          <w:highlight w:val="none"/>
          <w:lang w:val="zh-CN"/>
        </w:rPr>
      </w:pPr>
      <w:r>
        <w:rPr>
          <w:rStyle w:val="77"/>
          <w:rFonts w:ascii="仿宋" w:hAnsi="仿宋" w:eastAsia="仿宋" w:cs="新宋体"/>
          <w:color w:val="auto"/>
          <w:sz w:val="28"/>
          <w:szCs w:val="28"/>
          <w:highlight w:val="none"/>
        </w:rPr>
        <w:br w:type="page"/>
      </w:r>
    </w:p>
    <w:p>
      <w:pPr>
        <w:widowControl/>
        <w:adjustRightInd/>
        <w:jc w:val="left"/>
        <w:rPr>
          <w:rStyle w:val="77"/>
          <w:rFonts w:ascii="仿宋" w:hAnsi="仿宋" w:eastAsia="仿宋" w:cs="新宋体"/>
          <w:color w:val="auto"/>
          <w:sz w:val="28"/>
          <w:szCs w:val="28"/>
          <w:highlight w:val="none"/>
        </w:rPr>
      </w:pPr>
    </w:p>
    <w:p>
      <w:pPr>
        <w:pStyle w:val="24"/>
        <w:overflowPunct w:val="0"/>
        <w:spacing w:after="0" w:line="460" w:lineRule="exact"/>
        <w:jc w:val="center"/>
        <w:outlineLvl w:val="0"/>
        <w:rPr>
          <w:rFonts w:ascii="仿宋" w:hAnsi="仿宋" w:eastAsia="仿宋" w:cs="新宋体"/>
          <w:b/>
          <w:color w:val="auto"/>
          <w:sz w:val="36"/>
          <w:szCs w:val="36"/>
          <w:highlight w:val="none"/>
        </w:rPr>
      </w:pPr>
      <w:bookmarkStart w:id="112" w:name="_Toc15301"/>
      <w:r>
        <w:rPr>
          <w:rStyle w:val="77"/>
          <w:rFonts w:hint="eastAsia" w:ascii="仿宋" w:hAnsi="仿宋" w:eastAsia="仿宋" w:cs="新宋体"/>
          <w:color w:val="auto"/>
          <w:sz w:val="36"/>
          <w:szCs w:val="36"/>
          <w:highlight w:val="none"/>
        </w:rPr>
        <w:t>第六部分  评标办法</w:t>
      </w:r>
      <w:bookmarkEnd w:id="112"/>
    </w:p>
    <w:p>
      <w:pPr>
        <w:pStyle w:val="24"/>
        <w:overflowPunct w:val="0"/>
        <w:spacing w:after="0" w:line="460" w:lineRule="exact"/>
        <w:rPr>
          <w:rFonts w:ascii="新宋体" w:hAnsi="新宋体" w:eastAsia="新宋体" w:cs="新宋体"/>
          <w:b/>
          <w:color w:val="auto"/>
          <w:highlight w:val="none"/>
        </w:rPr>
      </w:pPr>
    </w:p>
    <w:p>
      <w:pPr>
        <w:snapToGrid w:val="0"/>
        <w:spacing w:line="360" w:lineRule="auto"/>
        <w:jc w:val="center"/>
        <w:rPr>
          <w:rFonts w:ascii="仿宋" w:hAnsi="仿宋" w:eastAsia="仿宋" w:cs="仿宋_GB2312"/>
          <w:b/>
          <w:color w:val="auto"/>
          <w:sz w:val="28"/>
          <w:szCs w:val="28"/>
          <w:highlight w:val="none"/>
        </w:rPr>
      </w:pPr>
      <w:bookmarkStart w:id="113" w:name="_Hlk93170489"/>
      <w:r>
        <w:rPr>
          <w:rFonts w:hint="eastAsia" w:ascii="仿宋" w:hAnsi="仿宋" w:eastAsia="仿宋" w:cs="仿宋_GB2312"/>
          <w:b/>
          <w:color w:val="auto"/>
          <w:sz w:val="28"/>
          <w:szCs w:val="28"/>
          <w:highlight w:val="none"/>
        </w:rPr>
        <w:t>评标办法前附表</w:t>
      </w:r>
    </w:p>
    <w:tbl>
      <w:tblPr>
        <w:tblStyle w:val="57"/>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953"/>
        <w:gridCol w:w="1966"/>
        <w:gridCol w:w="5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829"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条款号</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评审因素</w:t>
            </w:r>
          </w:p>
        </w:tc>
        <w:tc>
          <w:tcPr>
            <w:tcW w:w="5350" w:type="dxa"/>
            <w:tcBorders>
              <w:top w:val="single" w:color="auto" w:sz="4" w:space="0"/>
              <w:left w:val="single" w:color="auto" w:sz="4" w:space="0"/>
              <w:bottom w:val="single" w:color="auto" w:sz="4" w:space="0"/>
            </w:tcBorders>
            <w:vAlign w:val="center"/>
          </w:tcPr>
          <w:p>
            <w:pPr>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w:t>
            </w:r>
          </w:p>
        </w:tc>
        <w:tc>
          <w:tcPr>
            <w:tcW w:w="969"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评标方法</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评标办法</w:t>
            </w:r>
          </w:p>
        </w:tc>
        <w:tc>
          <w:tcPr>
            <w:tcW w:w="5350" w:type="dxa"/>
            <w:tcBorders>
              <w:top w:val="single" w:color="auto" w:sz="4" w:space="0"/>
              <w:left w:val="single" w:color="auto" w:sz="4" w:space="0"/>
              <w:bottom w:val="single" w:color="auto" w:sz="4" w:space="0"/>
            </w:tcBorders>
            <w:vAlign w:val="center"/>
          </w:tcPr>
          <w:p>
            <w:pPr>
              <w:rPr>
                <w:rFonts w:ascii="仿宋" w:hAnsi="仿宋" w:eastAsia="仿宋"/>
                <w:color w:val="auto"/>
                <w:szCs w:val="21"/>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s="Arial"/>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推荐中标候选人的数量</w:t>
            </w:r>
          </w:p>
        </w:tc>
        <w:tc>
          <w:tcPr>
            <w:tcW w:w="5350"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综合评分、投标报价均相等时确定中标候选人排序的方式</w:t>
            </w:r>
          </w:p>
        </w:tc>
        <w:tc>
          <w:tcPr>
            <w:tcW w:w="5350"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s="Arial"/>
                <w:color w:val="auto"/>
                <w:szCs w:val="21"/>
                <w:highlight w:val="none"/>
              </w:rPr>
              <w:t>抽签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5" w:hRule="atLeast"/>
        </w:trPr>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2.1.</w:t>
            </w:r>
            <w:r>
              <w:rPr>
                <w:rFonts w:hint="eastAsia" w:ascii="仿宋" w:hAnsi="仿宋" w:eastAsia="仿宋" w:cs="宋体"/>
                <w:color w:val="auto"/>
                <w:szCs w:val="21"/>
                <w:highlight w:val="none"/>
                <w:lang w:eastAsia="zh-CN"/>
              </w:rPr>
              <w:t>2</w:t>
            </w:r>
          </w:p>
        </w:tc>
        <w:tc>
          <w:tcPr>
            <w:tcW w:w="969"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资格审查</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Arial"/>
                <w:color w:val="auto"/>
                <w:szCs w:val="21"/>
                <w:highlight w:val="none"/>
              </w:rPr>
              <w:t>落实政府采购政策需满足的资格要求</w:t>
            </w:r>
          </w:p>
        </w:tc>
        <w:tc>
          <w:tcPr>
            <w:tcW w:w="5350" w:type="dxa"/>
            <w:tcBorders>
              <w:top w:val="single" w:color="auto" w:sz="4" w:space="0"/>
              <w:left w:val="single" w:color="auto" w:sz="4" w:space="0"/>
              <w:bottom w:val="single" w:color="auto" w:sz="4" w:space="0"/>
            </w:tcBorders>
            <w:vAlign w:val="center"/>
          </w:tcPr>
          <w:p>
            <w:pPr>
              <w:rPr>
                <w:color w:val="auto"/>
                <w:highlight w:val="none"/>
              </w:rPr>
            </w:pPr>
            <w:r>
              <w:rPr>
                <w:rFonts w:hint="eastAsia" w:ascii="仿宋" w:hAnsi="MS Gothic" w:eastAsia="仿宋" w:cs="Arial"/>
                <w:color w:val="auto"/>
                <w:kern w:val="0"/>
                <w:szCs w:val="21"/>
                <w:highlight w:val="none"/>
              </w:rPr>
              <w:sym w:font="Wingdings" w:char="00FE"/>
            </w:r>
            <w:r>
              <w:rPr>
                <w:rFonts w:hint="eastAsia" w:ascii="仿宋" w:hAnsi="仿宋" w:eastAsia="仿宋" w:cs="Arial"/>
                <w:color w:val="auto"/>
                <w:szCs w:val="21"/>
                <w:highlight w:val="none"/>
              </w:rPr>
              <w:t>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2.1.</w:t>
            </w:r>
            <w:r>
              <w:rPr>
                <w:rFonts w:hint="eastAsia" w:ascii="仿宋" w:hAnsi="仿宋" w:eastAsia="仿宋" w:cs="宋体"/>
                <w:color w:val="auto"/>
                <w:szCs w:val="21"/>
                <w:highlight w:val="none"/>
                <w:lang w:eastAsia="zh-CN"/>
              </w:rPr>
              <w:t>3</w:t>
            </w:r>
          </w:p>
        </w:tc>
        <w:tc>
          <w:tcPr>
            <w:tcW w:w="969"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特定资格条件要求</w:t>
            </w:r>
          </w:p>
        </w:tc>
        <w:tc>
          <w:tcPr>
            <w:tcW w:w="5350" w:type="dxa"/>
            <w:tcBorders>
              <w:top w:val="single" w:color="auto" w:sz="4" w:space="0"/>
              <w:left w:val="single" w:color="auto" w:sz="4" w:space="0"/>
              <w:bottom w:val="single" w:color="auto" w:sz="4" w:space="0"/>
            </w:tcBorders>
            <w:vAlign w:val="center"/>
          </w:tcPr>
          <w:p>
            <w:pPr>
              <w:rPr>
                <w:rFonts w:ascii="仿宋" w:hAnsi="MS Gothic" w:eastAsia="仿宋" w:cs="Arial"/>
                <w:color w:val="auto"/>
                <w:kern w:val="0"/>
                <w:szCs w:val="21"/>
                <w:highlight w:val="none"/>
                <w:u w:val="single"/>
              </w:rPr>
            </w:pPr>
            <w:r>
              <w:rPr>
                <w:rFonts w:hint="eastAsia" w:ascii="仿宋" w:hAnsi="MS Gothic" w:eastAsia="仿宋" w:cs="Arial"/>
                <w:color w:val="auto"/>
                <w:kern w:val="0"/>
                <w:szCs w:val="21"/>
                <w:highlight w:val="none"/>
                <w:u w:val="single"/>
              </w:rPr>
              <w:sym w:font="Wingdings" w:char="00FE"/>
            </w:r>
            <w:r>
              <w:rPr>
                <w:rFonts w:hint="eastAsia" w:ascii="仿宋" w:hAnsi="MS Gothic" w:eastAsia="仿宋" w:cs="Arial"/>
                <w:color w:val="auto"/>
                <w:kern w:val="0"/>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860"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2.2</w:t>
            </w:r>
          </w:p>
        </w:tc>
        <w:tc>
          <w:tcPr>
            <w:tcW w:w="969"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符合性审查</w:t>
            </w:r>
          </w:p>
        </w:tc>
        <w:tc>
          <w:tcPr>
            <w:tcW w:w="196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投标供应商名称</w:t>
            </w:r>
          </w:p>
        </w:tc>
        <w:tc>
          <w:tcPr>
            <w:tcW w:w="5350" w:type="dxa"/>
            <w:tcBorders>
              <w:top w:val="single" w:color="auto" w:sz="4" w:space="0"/>
              <w:left w:val="single" w:color="auto" w:sz="4" w:space="0"/>
              <w:bottom w:val="single" w:color="auto" w:sz="4" w:space="0"/>
            </w:tcBorders>
            <w:vAlign w:val="center"/>
          </w:tcPr>
          <w:p>
            <w:pPr>
              <w:pStyle w:val="16"/>
              <w:spacing w:line="360" w:lineRule="auto"/>
              <w:ind w:firstLine="0"/>
              <w:jc w:val="left"/>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与营业执照（或企业法人营业执照或事业单位法人证书或个体工商户营业执照或自然人身份证明执业许可证等证明文件）一致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投标函签字盖章</w:t>
            </w:r>
          </w:p>
        </w:tc>
        <w:tc>
          <w:tcPr>
            <w:tcW w:w="5350" w:type="dxa"/>
            <w:tcBorders>
              <w:top w:val="single" w:color="auto" w:sz="4" w:space="0"/>
              <w:left w:val="single" w:color="auto" w:sz="4" w:space="0"/>
              <w:bottom w:val="single" w:color="auto" w:sz="4" w:space="0"/>
            </w:tcBorders>
            <w:vAlign w:val="center"/>
          </w:tcPr>
          <w:p>
            <w:pPr>
              <w:pStyle w:val="16"/>
              <w:spacing w:line="360" w:lineRule="auto"/>
              <w:ind w:firstLine="0"/>
              <w:jc w:val="left"/>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有盖单位章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left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投标文件编制</w:t>
            </w:r>
          </w:p>
        </w:tc>
        <w:tc>
          <w:tcPr>
            <w:tcW w:w="5350" w:type="dxa"/>
            <w:tcBorders>
              <w:top w:val="single" w:color="auto" w:sz="4" w:space="0"/>
              <w:left w:val="single" w:color="auto" w:sz="4" w:space="0"/>
              <w:bottom w:val="single" w:color="auto" w:sz="4" w:space="0"/>
            </w:tcBorders>
            <w:vAlign w:val="center"/>
          </w:tcPr>
          <w:p>
            <w:pPr>
              <w:pStyle w:val="16"/>
              <w:spacing w:line="360" w:lineRule="auto"/>
              <w:ind w:firstLine="0"/>
              <w:jc w:val="left"/>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符合招标文件的编制要求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投标有效期</w:t>
            </w:r>
          </w:p>
        </w:tc>
        <w:tc>
          <w:tcPr>
            <w:tcW w:w="5350" w:type="dxa"/>
            <w:tcBorders>
              <w:top w:val="single" w:color="auto" w:sz="4" w:space="0"/>
              <w:left w:val="single" w:color="auto" w:sz="4" w:space="0"/>
              <w:bottom w:val="single" w:color="auto" w:sz="4" w:space="0"/>
            </w:tcBorders>
            <w:vAlign w:val="center"/>
          </w:tcPr>
          <w:p>
            <w:pPr>
              <w:pStyle w:val="16"/>
              <w:spacing w:line="360" w:lineRule="auto"/>
              <w:ind w:firstLine="0"/>
              <w:jc w:val="left"/>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不少于90天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69"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pPr>
              <w:pStyle w:val="16"/>
              <w:spacing w:line="360" w:lineRule="auto"/>
              <w:ind w:firstLine="0"/>
              <w:jc w:val="center"/>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实质性响应内容</w:t>
            </w:r>
          </w:p>
        </w:tc>
        <w:tc>
          <w:tcPr>
            <w:tcW w:w="5350" w:type="dxa"/>
            <w:tcBorders>
              <w:top w:val="single" w:color="auto" w:sz="4" w:space="0"/>
              <w:left w:val="single" w:color="auto" w:sz="4" w:space="0"/>
              <w:bottom w:val="single" w:color="auto" w:sz="4" w:space="0"/>
            </w:tcBorders>
            <w:vAlign w:val="center"/>
          </w:tcPr>
          <w:p>
            <w:pPr>
              <w:pStyle w:val="16"/>
              <w:spacing w:line="360" w:lineRule="auto"/>
              <w:ind w:firstLine="0"/>
              <w:jc w:val="left"/>
              <w:rPr>
                <w:rFonts w:ascii="仿宋" w:hAnsi="仿宋" w:eastAsia="仿宋" w:cs="宋体"/>
                <w:snapToGrid/>
                <w:color w:val="auto"/>
                <w:kern w:val="2"/>
                <w:sz w:val="21"/>
                <w:szCs w:val="21"/>
                <w:highlight w:val="none"/>
              </w:rPr>
            </w:pPr>
            <w:r>
              <w:rPr>
                <w:rFonts w:hint="eastAsia" w:ascii="仿宋" w:hAnsi="仿宋" w:eastAsia="仿宋" w:cs="宋体"/>
                <w:snapToGrid/>
                <w:color w:val="auto"/>
                <w:kern w:val="2"/>
                <w:sz w:val="21"/>
                <w:szCs w:val="21"/>
                <w:highlight w:val="none"/>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29"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2.3.1</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分值权重构成</w:t>
            </w:r>
          </w:p>
        </w:tc>
        <w:tc>
          <w:tcPr>
            <w:tcW w:w="5350" w:type="dxa"/>
            <w:tcBorders>
              <w:top w:val="single" w:color="auto" w:sz="4" w:space="0"/>
              <w:left w:val="single" w:color="auto" w:sz="4" w:space="0"/>
              <w:bottom w:val="single" w:color="auto" w:sz="4" w:space="0"/>
            </w:tcBorders>
            <w:vAlign w:val="center"/>
          </w:tcPr>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商务技术权重：</w:t>
            </w:r>
            <w:r>
              <w:rPr>
                <w:rFonts w:hint="eastAsia" w:ascii="仿宋" w:hAnsi="仿宋" w:eastAsia="仿宋" w:cs="宋体"/>
                <w:color w:val="auto"/>
                <w:szCs w:val="21"/>
                <w:highlight w:val="none"/>
                <w:u w:val="single"/>
              </w:rPr>
              <w:t xml:space="preserve">  80 </w:t>
            </w:r>
            <w:r>
              <w:rPr>
                <w:rFonts w:hint="eastAsia" w:ascii="仿宋" w:hAnsi="仿宋" w:eastAsia="仿宋" w:cs="宋体"/>
                <w:color w:val="auto"/>
                <w:szCs w:val="21"/>
                <w:highlight w:val="none"/>
              </w:rPr>
              <w:t>%</w:t>
            </w:r>
          </w:p>
          <w:p>
            <w:pPr>
              <w:snapToGrid w:val="0"/>
              <w:rPr>
                <w:rFonts w:ascii="仿宋" w:hAnsi="仿宋" w:eastAsia="仿宋" w:cs="宋体"/>
                <w:color w:val="auto"/>
                <w:szCs w:val="21"/>
                <w:highlight w:val="none"/>
              </w:rPr>
            </w:pPr>
            <w:r>
              <w:rPr>
                <w:rFonts w:hint="eastAsia" w:ascii="仿宋" w:hAnsi="仿宋" w:eastAsia="仿宋" w:cs="宋体"/>
                <w:color w:val="auto"/>
                <w:szCs w:val="21"/>
                <w:highlight w:val="none"/>
              </w:rPr>
              <w:t>报价权重：</w:t>
            </w:r>
            <w:r>
              <w:rPr>
                <w:rFonts w:hint="eastAsia" w:ascii="仿宋" w:hAnsi="仿宋" w:eastAsia="仿宋" w:cs="宋体"/>
                <w:color w:val="auto"/>
                <w:szCs w:val="21"/>
                <w:highlight w:val="none"/>
                <w:u w:val="single"/>
              </w:rPr>
              <w:t xml:space="preserve"> 20  </w:t>
            </w:r>
            <w:r>
              <w:rPr>
                <w:rFonts w:hint="eastAsia" w:ascii="仿宋" w:hAnsi="仿宋" w:eastAsia="仿宋"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2.3.2</w:t>
            </w:r>
          </w:p>
        </w:tc>
        <w:tc>
          <w:tcPr>
            <w:tcW w:w="953"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p>
            <w:pPr>
              <w:pStyle w:val="55"/>
              <w:rPr>
                <w:rFonts w:ascii="仿宋" w:hAnsi="仿宋" w:eastAsia="仿宋" w:cs="宋体"/>
                <w:color w:val="auto"/>
                <w:szCs w:val="21"/>
                <w:highlight w:val="none"/>
              </w:rPr>
            </w:pPr>
          </w:p>
          <w:p>
            <w:pPr>
              <w:rPr>
                <w:rFonts w:ascii="仿宋" w:hAnsi="仿宋" w:eastAsia="仿宋" w:cs="宋体"/>
                <w:color w:val="auto"/>
                <w:szCs w:val="21"/>
                <w:highlight w:val="none"/>
              </w:rPr>
            </w:pPr>
          </w:p>
          <w:p>
            <w:pPr>
              <w:pStyle w:val="55"/>
              <w:rPr>
                <w:rFonts w:ascii="仿宋" w:hAnsi="仿宋" w:eastAsia="仿宋" w:cs="宋体"/>
                <w:color w:val="auto"/>
                <w:szCs w:val="21"/>
                <w:highlight w:val="none"/>
              </w:rPr>
            </w:pPr>
          </w:p>
          <w:p>
            <w:pPr>
              <w:rPr>
                <w:rFonts w:ascii="仿宋" w:hAnsi="仿宋" w:eastAsia="仿宋" w:cs="宋体"/>
                <w:color w:val="auto"/>
                <w:szCs w:val="21"/>
                <w:highlight w:val="none"/>
              </w:rPr>
            </w:pPr>
          </w:p>
          <w:p>
            <w:pPr>
              <w:pStyle w:val="55"/>
              <w:rPr>
                <w:rFonts w:ascii="仿宋" w:hAnsi="仿宋" w:eastAsia="仿宋" w:cs="宋体"/>
                <w:color w:val="auto"/>
                <w:szCs w:val="21"/>
                <w:highlight w:val="none"/>
              </w:rPr>
            </w:pPr>
          </w:p>
          <w:p>
            <w:pPr>
              <w:rPr>
                <w:rFonts w:ascii="仿宋" w:hAnsi="仿宋" w:eastAsia="仿宋" w:cs="宋体"/>
                <w:color w:val="auto"/>
                <w:szCs w:val="21"/>
                <w:highlight w:val="none"/>
              </w:rPr>
            </w:pPr>
          </w:p>
          <w:p>
            <w:pPr>
              <w:pStyle w:val="55"/>
              <w:rPr>
                <w:rFonts w:ascii="仿宋" w:hAnsi="仿宋" w:eastAsia="仿宋" w:cs="宋体"/>
                <w:color w:val="auto"/>
                <w:szCs w:val="21"/>
                <w:highlight w:val="none"/>
              </w:rPr>
            </w:pPr>
          </w:p>
          <w:p>
            <w:pPr>
              <w:rPr>
                <w:rFonts w:ascii="仿宋" w:hAnsi="仿宋" w:eastAsia="仿宋" w:cs="宋体"/>
                <w:color w:val="auto"/>
                <w:szCs w:val="21"/>
                <w:highlight w:val="none"/>
              </w:rPr>
            </w:pPr>
          </w:p>
          <w:p>
            <w:pPr>
              <w:pStyle w:val="55"/>
              <w:rPr>
                <w:rFonts w:ascii="仿宋" w:hAnsi="仿宋" w:eastAsia="仿宋" w:cs="宋体"/>
                <w:color w:val="auto"/>
                <w:szCs w:val="21"/>
                <w:highlight w:val="none"/>
              </w:rPr>
            </w:pPr>
          </w:p>
          <w:p>
            <w:pPr>
              <w:rPr>
                <w:color w:val="auto"/>
                <w:highlight w:val="none"/>
              </w:rPr>
            </w:pPr>
          </w:p>
          <w:p>
            <w:pPr>
              <w:pStyle w:val="55"/>
              <w:rPr>
                <w:color w:val="auto"/>
                <w:highlight w:val="none"/>
              </w:rPr>
            </w:pPr>
          </w:p>
          <w:p>
            <w:pPr>
              <w:rPr>
                <w:color w:val="auto"/>
                <w:highlight w:val="none"/>
              </w:rPr>
            </w:pPr>
          </w:p>
          <w:p>
            <w:pPr>
              <w:pStyle w:val="55"/>
              <w:rPr>
                <w:color w:val="auto"/>
                <w:highlight w:val="none"/>
              </w:rPr>
            </w:pPr>
          </w:p>
          <w:p>
            <w:pPr>
              <w:rPr>
                <w:color w:val="auto"/>
                <w:highlight w:val="none"/>
              </w:rPr>
            </w:pPr>
          </w:p>
          <w:p>
            <w:pPr>
              <w:pStyle w:val="55"/>
              <w:rPr>
                <w:color w:val="auto"/>
                <w:highlight w:val="none"/>
              </w:rPr>
            </w:pPr>
          </w:p>
          <w:p>
            <w:pPr>
              <w:jc w:val="left"/>
              <w:rPr>
                <w:rFonts w:ascii="仿宋" w:hAnsi="仿宋" w:eastAsia="仿宋" w:cs="宋体"/>
                <w:color w:val="auto"/>
                <w:szCs w:val="21"/>
                <w:highlight w:val="none"/>
              </w:rPr>
            </w:pPr>
            <w:r>
              <w:rPr>
                <w:rFonts w:hint="eastAsia" w:ascii="仿宋" w:hAnsi="仿宋" w:eastAsia="仿宋" w:cs="宋体"/>
                <w:color w:val="auto"/>
                <w:szCs w:val="21"/>
                <w:highlight w:val="none"/>
              </w:rPr>
              <w:t xml:space="preserve">                             商务技术评分标准（0-80分</w:t>
            </w:r>
          </w:p>
        </w:tc>
        <w:tc>
          <w:tcPr>
            <w:tcW w:w="1966"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评审因素</w:t>
            </w:r>
          </w:p>
        </w:tc>
        <w:tc>
          <w:tcPr>
            <w:tcW w:w="5350" w:type="dxa"/>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评审标准（分值）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restart"/>
            <w:tcBorders>
              <w:top w:val="single" w:color="auto" w:sz="4" w:space="0"/>
              <w:left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对本项目范围内清扫保洁工作的现状调查与问题剖析（0-30分）</w:t>
            </w: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根据投标人对项目范围内道路的现状、保洁情况、存在的问题和清扫保洁的难点、要点等问题进行调查剖析，并提出克服难点、要点技术措施等进行综合打分。（0-5分）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5"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center"/>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根据投标人对项目范围内河道的现状、保洁情况、存在的问题和清扫保洁的难点、要点等问题进行调查剖析，并针对性的提出克服难点和要点技术措施等进行综合打分。（0-5分）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center"/>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根据投标人对项目范围内公园、广场及公共绿地的现状、保洁情况、存在的问题和清扫保洁的难点、要点等问题进行调查剖析，并针对性的提出克服难点和要点技术措施等进行综合打分。（0-5分）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center"/>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根据投标人对项目范围内小广告清理的现状、情况、存在的问题和难点、要点等问题进行调查剖析，并针对性的提出克服难点和要点技术措施等进行综合打分。（0-5分）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1"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center"/>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根据投标人对项目范围内公厕现状、保洁情况、存在的问题和保洁的难点、要点等问题进行调查剖析，并针对性的提出克服难点和要点技术措施等进行综合打分。（0-5分）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根据投标人对项目范围内垃圾清运现状、情况、存在的问题和难点、要点等问题进行调查剖析，并针对性的提出克服难点和要点技术措施等进行综合打分。（0-5分）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项目管理服务机构设置方案、运作流程、管理方式及计划、督检制度（0-3分）</w:t>
            </w:r>
          </w:p>
        </w:tc>
        <w:tc>
          <w:tcPr>
            <w:tcW w:w="5350"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根据投标人拟为本项目设立的组织机构设置（附组织机构图）、运作流程（附运作流程图）、激励机制、监督机制自我约束机制和信息反馈渠道及处理机制等进行综合打分。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restart"/>
            <w:tcBorders>
              <w:top w:val="single" w:color="auto" w:sz="4" w:space="0"/>
              <w:left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清扫保洁、公园、广场及公共绿地等保洁具体实施计划和方案（0-14分）</w:t>
            </w: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根据道路清扫清洗实施方案，保洁人员、作业车辆、设备、耗材、管理等投入情况、时间安排、计划安排及可行性合理性进行综合打分（供应商需提供具体测算方法及依据）。（0-2分）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根据投标人制定的关于公园、公共广场、绿化带的清扫保洁方案，设备和人员投入情况进行综合打分。（0-2分）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根据投标人制定的关于河道保洁方案，保洁船只、设备和人员投入情况进行综合打分。（0-2分）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根据投标人制定的关于户外小广告清理实施方案，设备和人员投入情况进行综合打分。（0-2分）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根据投标人制定的关于公厕保洁方案，设备、物资投入配置和人员投入情况、作业时间安排等进行综合打分。（0-2分）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6"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根据投标人制定的关于市政设施和环卫设施清洗方案，设备和人员投入情况等进行综合打分。（0-2分）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vMerge w:val="continue"/>
            <w:tcBorders>
              <w:left w:val="single" w:color="auto" w:sz="4" w:space="0"/>
            </w:tcBorders>
            <w:vAlign w:val="center"/>
          </w:tcPr>
          <w:p>
            <w:pPr>
              <w:tabs>
                <w:tab w:val="left" w:pos="0"/>
              </w:tabs>
              <w:jc w:val="left"/>
              <w:rPr>
                <w:rFonts w:ascii="仿宋" w:hAnsi="仿宋" w:eastAsia="仿宋" w:cs="宋体"/>
                <w:color w:val="auto"/>
                <w:szCs w:val="21"/>
                <w:highlight w:val="none"/>
              </w:rPr>
            </w:pPr>
          </w:p>
        </w:tc>
        <w:tc>
          <w:tcPr>
            <w:tcW w:w="5350"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根据投标人制定的关于垃圾收集、清运方案，机械设备和人员投入情况、时间计划安排可行性合理性进行综合打分。（0-2分）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售后服务及应急方案（0-2分）</w:t>
            </w:r>
          </w:p>
        </w:tc>
        <w:tc>
          <w:tcPr>
            <w:tcW w:w="5350" w:type="dxa"/>
            <w:tcBorders>
              <w:top w:val="single" w:color="auto" w:sz="4" w:space="0"/>
              <w:left w:val="single" w:color="auto" w:sz="4" w:space="0"/>
              <w:bottom w:val="single" w:color="auto" w:sz="4" w:space="0"/>
            </w:tcBorders>
            <w:vAlign w:val="center"/>
          </w:tcPr>
          <w:p>
            <w:pPr>
              <w:tabs>
                <w:tab w:val="left" w:pos="0"/>
              </w:tabs>
              <w:jc w:val="left"/>
              <w:rPr>
                <w:rFonts w:ascii="仿宋" w:hAnsi="仿宋" w:eastAsia="仿宋" w:cs="宋体"/>
                <w:color w:val="auto"/>
                <w:szCs w:val="21"/>
                <w:highlight w:val="none"/>
              </w:rPr>
            </w:pPr>
            <w:r>
              <w:rPr>
                <w:rFonts w:hint="eastAsia" w:ascii="仿宋" w:hAnsi="仿宋" w:eastAsia="仿宋" w:cs="宋体"/>
                <w:color w:val="auto"/>
                <w:szCs w:val="21"/>
                <w:highlight w:val="none"/>
              </w:rPr>
              <w:t>投标人承诺提供的售后服务方案（服务能力、服务措施、服务响应时间的承诺等方面）情况，并针对各类上级检查、突击检查、重大节假日、恶劣天气等各类突发事件及较大规模破坏环境卫生面貌的状况编制应急方案（包括：应急情况分析及响应时间、人员及设备安排方案、应急处理办法）。根据其承诺的售后服务以及应急方案的可行性、完整性以及后续的技术实施保障措施进行综合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车辆统一停放管理方案（0-2分）</w:t>
            </w:r>
          </w:p>
        </w:tc>
        <w:tc>
          <w:tcPr>
            <w:tcW w:w="5350" w:type="dxa"/>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投标人对拟投入车辆安排统一停放场地，根据停放场地条件的环境好坏、远近，和停放管理方案的科学性、合理性进行综合打分。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autoSpaceDE w:val="0"/>
              <w:autoSpaceDN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项目负责人管理经验（0-3分）</w:t>
            </w:r>
          </w:p>
        </w:tc>
        <w:tc>
          <w:tcPr>
            <w:tcW w:w="5350" w:type="dxa"/>
            <w:tcBorders>
              <w:top w:val="single" w:color="auto" w:sz="4" w:space="0"/>
              <w:left w:val="single" w:color="auto" w:sz="4" w:space="0"/>
              <w:bottom w:val="single" w:color="auto" w:sz="4" w:space="0"/>
            </w:tcBorders>
            <w:vAlign w:val="center"/>
          </w:tcPr>
          <w:p>
            <w:p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根据本次投入的项目负责人2017年2月1日至今履职经历进行综合评审。【提供附件9“项目负责人履职表”、完成项目业主单位盖章的履约评价（格式自拟）、以及履职期间的社保】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spacing w:line="340" w:lineRule="exact"/>
              <w:jc w:val="center"/>
              <w:rPr>
                <w:rFonts w:ascii="仿宋" w:hAnsi="仿宋" w:cs="宋体"/>
                <w:color w:val="auto"/>
                <w:szCs w:val="21"/>
                <w:highlight w:val="none"/>
              </w:rPr>
            </w:pPr>
            <w:r>
              <w:rPr>
                <w:rFonts w:hint="eastAsia" w:ascii="仿宋" w:hAnsi="仿宋" w:eastAsia="仿宋" w:cs="宋体"/>
                <w:color w:val="auto"/>
                <w:szCs w:val="21"/>
                <w:highlight w:val="none"/>
              </w:rPr>
              <w:t>实施本项目能力情况（0-2分）</w:t>
            </w:r>
          </w:p>
        </w:tc>
        <w:tc>
          <w:tcPr>
            <w:tcW w:w="5350" w:type="dxa"/>
            <w:tcBorders>
              <w:top w:val="single" w:color="auto" w:sz="4" w:space="0"/>
              <w:left w:val="single" w:color="auto" w:sz="4" w:space="0"/>
              <w:bottom w:val="single" w:color="auto" w:sz="4" w:space="0"/>
            </w:tcBorders>
            <w:vAlign w:val="center"/>
          </w:tcPr>
          <w:p>
            <w:pPr>
              <w:autoSpaceDE w:val="0"/>
              <w:autoSpaceDN w:val="0"/>
              <w:jc w:val="left"/>
              <w:rPr>
                <w:rFonts w:ascii="仿宋" w:hAnsi="仿宋" w:cs="宋体"/>
                <w:color w:val="auto"/>
                <w:szCs w:val="21"/>
                <w:highlight w:val="none"/>
              </w:rPr>
            </w:pPr>
            <w:r>
              <w:rPr>
                <w:rFonts w:hint="eastAsia" w:ascii="仿宋" w:hAnsi="仿宋" w:eastAsia="仿宋" w:cs="宋体"/>
                <w:color w:val="auto"/>
                <w:szCs w:val="21"/>
                <w:highlight w:val="none"/>
              </w:rPr>
              <w:t>2017年2月1日以来供应商的市政道路清扫保洁保洁服务的业绩证明，每提供一份有效业绩（中标通知书原件的扫描件、合同原件的扫描件，业绩时间以合同签订时间为准）得1分，最多得2分。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6" w:type="dxa"/>
            <w:gridSpan w:val="2"/>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restart"/>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投入本项目机械设备配置（0-18分）</w:t>
            </w:r>
          </w:p>
        </w:tc>
        <w:tc>
          <w:tcPr>
            <w:tcW w:w="5350" w:type="dxa"/>
            <w:tcBorders>
              <w:top w:val="single" w:color="auto" w:sz="4" w:space="0"/>
              <w:left w:val="single" w:color="auto" w:sz="4" w:space="0"/>
              <w:bottom w:val="single" w:color="auto" w:sz="4" w:space="0"/>
            </w:tcBorders>
            <w:vAlign w:val="center"/>
          </w:tcPr>
          <w:p>
            <w:pPr>
              <w:numPr>
                <w:ilvl w:val="0"/>
                <w:numId w:val="17"/>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道路清扫车：</w:t>
            </w:r>
          </w:p>
          <w:p>
            <w:pPr>
              <w:numPr>
                <w:ilvl w:val="0"/>
                <w:numId w:val="18"/>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重型（≥15000kg）道路清扫车（0-3分）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①拟投入重型道路清扫车为已有自有车辆（使用年份</w:t>
            </w:r>
            <w:r>
              <w:rPr>
                <w:rFonts w:hint="eastAsia" w:ascii="微软雅黑" w:hAnsi="微软雅黑" w:eastAsia="微软雅黑" w:cs="微软雅黑"/>
                <w:color w:val="auto"/>
                <w:szCs w:val="21"/>
                <w:highlight w:val="none"/>
              </w:rPr>
              <w:t>≤</w:t>
            </w:r>
            <w:r>
              <w:rPr>
                <w:rFonts w:hint="eastAsia" w:ascii="仿宋" w:hAnsi="仿宋" w:eastAsia="仿宋" w:cs="宋体"/>
                <w:color w:val="auto"/>
                <w:szCs w:val="21"/>
                <w:highlight w:val="none"/>
              </w:rPr>
              <w:t>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②拟投入重型道路清扫车为已有自有车辆（4年</w:t>
            </w:r>
            <w:r>
              <w:rPr>
                <w:rFonts w:hint="eastAsia" w:ascii="微软雅黑" w:hAnsi="微软雅黑" w:eastAsia="微软雅黑" w:cs="微软雅黑"/>
                <w:color w:val="auto"/>
                <w:szCs w:val="21"/>
                <w:highlight w:val="none"/>
              </w:rPr>
              <w:t>&lt;</w:t>
            </w:r>
            <w:r>
              <w:rPr>
                <w:rFonts w:hint="eastAsia" w:ascii="仿宋" w:hAnsi="仿宋" w:eastAsia="仿宋" w:cs="宋体"/>
                <w:color w:val="auto"/>
                <w:szCs w:val="21"/>
                <w:highlight w:val="none"/>
              </w:rPr>
              <w:t>使用年份</w:t>
            </w:r>
            <w:r>
              <w:rPr>
                <w:rFonts w:hint="eastAsia" w:ascii="微软雅黑" w:hAnsi="微软雅黑" w:eastAsia="微软雅黑" w:cs="微软雅黑"/>
                <w:color w:val="auto"/>
                <w:szCs w:val="21"/>
                <w:highlight w:val="none"/>
              </w:rPr>
              <w:t>≤</w:t>
            </w:r>
            <w:r>
              <w:rPr>
                <w:rFonts w:hint="eastAsia" w:ascii="仿宋" w:hAnsi="仿宋" w:eastAsia="仿宋" w:cs="宋体"/>
                <w:color w:val="auto"/>
                <w:szCs w:val="21"/>
                <w:highlight w:val="none"/>
              </w:rPr>
              <w:t>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 拟投入重型道路清扫车为已有自有车辆（6年</w:t>
            </w:r>
            <w:r>
              <w:rPr>
                <w:rFonts w:hint="eastAsia" w:ascii="微软雅黑" w:hAnsi="微软雅黑" w:eastAsia="微软雅黑" w:cs="微软雅黑"/>
                <w:color w:val="auto"/>
                <w:szCs w:val="21"/>
                <w:highlight w:val="none"/>
              </w:rPr>
              <w:t>&lt;</w:t>
            </w:r>
            <w:r>
              <w:rPr>
                <w:rFonts w:hint="eastAsia" w:ascii="仿宋" w:hAnsi="仿宋" w:eastAsia="仿宋" w:cs="宋体"/>
                <w:color w:val="auto"/>
                <w:szCs w:val="21"/>
                <w:highlight w:val="none"/>
              </w:rPr>
              <w:t>使用年份）或租赁的，每1辆得2分，本小项最高得2分；</w:t>
            </w:r>
          </w:p>
          <w:p>
            <w:pPr>
              <w:numPr>
                <w:ilvl w:val="0"/>
                <w:numId w:val="18"/>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中型或中型以上（≥5000kg）道路清扫车（0-3分）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①拟投入中型或中型以上道路清扫车为已有自有车辆（使用年份≤4年）的每1辆得3分，本小项最高得3分；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②拟投入中型或中型以上道路清扫车为已有自有车辆（4年&lt;使用年份≤6年内）或承诺购买新车的，每1辆得2.5分，本小项最高得2.5分；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③拟投入中型或中型以上道路清扫车为已有自有车辆（6年&lt;使用年份）或租赁的，每1辆得2分，本小项最高得2分；</w:t>
            </w:r>
          </w:p>
          <w:p>
            <w:pPr>
              <w:numPr>
                <w:ilvl w:val="0"/>
                <w:numId w:val="17"/>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道路洒水车：</w:t>
            </w:r>
          </w:p>
          <w:p>
            <w:pPr>
              <w:numPr>
                <w:ilvl w:val="0"/>
                <w:numId w:val="19"/>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重型（≥15000kg）道路洒水车（0-3分）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①拟投入重型道路洒水车为已有自有车辆（使用年份≤4年）的每1辆得3分，本小项最高得3分；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②拟投入重型道路洒水车为已有自有车辆（4年&lt;使用年份≤6年内）或承诺购买新车的，每1辆得2.5分，本小项最高得2.5分；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③拟投入重型道路洒水车为已有自有车辆（6年&lt;使用年份）或租赁的，每1辆得2分，本小项最高得2分；</w:t>
            </w:r>
          </w:p>
          <w:p>
            <w:pPr>
              <w:numPr>
                <w:ilvl w:val="0"/>
                <w:numId w:val="19"/>
              </w:numPr>
              <w:autoSpaceDE w:val="0"/>
              <w:autoSpaceDN w:val="0"/>
              <w:jc w:val="left"/>
              <w:rPr>
                <w:color w:val="auto"/>
                <w:highlight w:val="none"/>
              </w:rPr>
            </w:pPr>
            <w:r>
              <w:rPr>
                <w:rFonts w:hint="eastAsia" w:ascii="仿宋" w:hAnsi="仿宋" w:eastAsia="仿宋" w:cs="宋体"/>
                <w:color w:val="auto"/>
                <w:szCs w:val="21"/>
                <w:highlight w:val="none"/>
              </w:rPr>
              <w:t>中型或中型以上（≥5000kg）道路洒水车（0-3分）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①拟投入中型或中型以上道路洒水车为已有自有车辆（使用年份≤4年）的每1辆得3分，本小项最高得3分；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②拟投入中型或中型以上道路洒水车为已有自有车辆（4年&lt;使用年份≤6年内）或承诺购买新车的，每1辆得2.5分，本小项最高得2.5分；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③拟投入中型或中型以上道路洒水车为已有自有车辆（6年&lt;使用年份）或租赁的，每1辆得2分，本小项最高得2分；</w:t>
            </w:r>
          </w:p>
          <w:p>
            <w:pPr>
              <w:numPr>
                <w:ilvl w:val="0"/>
                <w:numId w:val="17"/>
              </w:numPr>
              <w:autoSpaceDE w:val="0"/>
              <w:autoSpaceDN w:val="0"/>
              <w:jc w:val="left"/>
              <w:rPr>
                <w:rFonts w:ascii="仿宋" w:hAnsi="仿宋" w:eastAsia="仿宋" w:cs="宋体"/>
                <w:color w:val="auto"/>
                <w:szCs w:val="21"/>
                <w:highlight w:val="none"/>
              </w:rPr>
            </w:pPr>
            <w:r>
              <w:rPr>
                <w:rFonts w:hint="eastAsia" w:ascii="仿宋" w:hAnsi="仿宋" w:eastAsia="仿宋" w:cs="宋体"/>
                <w:color w:val="auto"/>
                <w:szCs w:val="21"/>
                <w:highlight w:val="none"/>
              </w:rPr>
              <w:t>封闭压缩式垃圾清运车：</w:t>
            </w:r>
          </w:p>
          <w:p>
            <w:pPr>
              <w:pStyle w:val="2"/>
              <w:ind w:left="0" w:leftChars="0" w:firstLine="0" w:firstLineChars="0"/>
              <w:rPr>
                <w:color w:val="auto"/>
                <w:highlight w:val="none"/>
              </w:rPr>
            </w:pPr>
            <w:r>
              <w:rPr>
                <w:rFonts w:hint="eastAsia" w:ascii="仿宋" w:hAnsi="仿宋" w:eastAsia="仿宋" w:cs="宋体"/>
                <w:color w:val="auto"/>
                <w:szCs w:val="21"/>
                <w:highlight w:val="none"/>
              </w:rPr>
              <w:t>1.重型（≥15000kg）封闭压缩式垃圾清运车（0-3分）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①拟投入重型封闭压缩式垃圾清运车为已有自有车辆（使用年份≤4年）的每1辆得3分，本小项最高得3分；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②拟投入重型封闭压缩式垃圾清运车为已有自有车辆（4年&lt;使用年份≤6年内）或承诺购买新车的，每1辆得2.5分，本小项最高得2.5分；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③拟投入重型封闭压缩式垃圾清运车为已有自有车辆（6年&lt;使用年份）或租赁的，每1辆得2分，本小项最高得2分；</w:t>
            </w:r>
          </w:p>
          <w:p>
            <w:pPr>
              <w:pStyle w:val="2"/>
              <w:ind w:left="0" w:leftChars="0" w:firstLine="0" w:firstLineChars="0"/>
              <w:rPr>
                <w:rFonts w:ascii="仿宋" w:hAnsi="仿宋" w:eastAsia="仿宋" w:cs="宋体"/>
                <w:color w:val="auto"/>
                <w:szCs w:val="21"/>
                <w:highlight w:val="none"/>
              </w:rPr>
            </w:pPr>
            <w:r>
              <w:rPr>
                <w:rFonts w:hint="eastAsia" w:ascii="仿宋" w:hAnsi="仿宋" w:eastAsia="仿宋" w:cs="宋体"/>
                <w:color w:val="auto"/>
                <w:szCs w:val="21"/>
                <w:highlight w:val="none"/>
              </w:rPr>
              <w:t>2.中型或中型以上（≥5000kg）封闭压缩式垃圾清运车（0-3分）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①拟投入中型或中型以上封闭压缩式垃圾清运车为已有自有车辆（使用年份≤4年）的每1辆得3分，本小项最高得3分；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②拟投入中型或中型以上封闭压缩式垃圾清运车为已有自有车辆（4年&lt;使用年份≤6年内）或承诺购买新车的，每1辆得2.5分，本小项最高得2.5分；</w:t>
            </w:r>
          </w:p>
          <w:p>
            <w:pPr>
              <w:pStyle w:val="25"/>
              <w:ind w:firstLine="210"/>
              <w:rPr>
                <w:rFonts w:ascii="仿宋" w:hAnsi="仿宋" w:eastAsia="仿宋" w:cs="宋体"/>
                <w:color w:val="auto"/>
                <w:szCs w:val="21"/>
                <w:highlight w:val="none"/>
              </w:rPr>
            </w:pPr>
            <w:r>
              <w:rPr>
                <w:rFonts w:hint="eastAsia" w:ascii="仿宋" w:hAnsi="仿宋" w:eastAsia="仿宋" w:cs="宋体"/>
                <w:color w:val="auto"/>
                <w:szCs w:val="21"/>
                <w:highlight w:val="none"/>
              </w:rPr>
              <w:t>③拟投入重型封闭压缩式垃圾清运车为已有自有车辆（6年&lt;使用年份）或租赁的，每1辆得2分，本小项最高得2分；</w:t>
            </w:r>
          </w:p>
          <w:p>
            <w:pPr>
              <w:autoSpaceDE w:val="0"/>
              <w:autoSpaceDN w:val="0"/>
              <w:jc w:val="left"/>
              <w:rPr>
                <w:rFonts w:ascii="仿宋" w:hAnsi="仿宋" w:eastAsia="仿宋" w:cs="宋体"/>
                <w:color w:val="auto"/>
                <w:szCs w:val="21"/>
                <w:highlight w:val="none"/>
                <w:u w:val="single"/>
              </w:rPr>
            </w:pPr>
          </w:p>
          <w:p>
            <w:pPr>
              <w:autoSpaceDE w:val="0"/>
              <w:autoSpaceDN w:val="0"/>
              <w:jc w:val="left"/>
              <w:rPr>
                <w:rFonts w:ascii="仿宋" w:hAnsi="仿宋" w:eastAsia="仿宋" w:cs="宋体"/>
                <w:color w:val="auto"/>
                <w:szCs w:val="21"/>
                <w:highlight w:val="none"/>
                <w:u w:val="single"/>
              </w:rPr>
            </w:pPr>
            <w:r>
              <w:rPr>
                <w:rFonts w:hint="eastAsia" w:ascii="仿宋" w:hAnsi="仿宋" w:eastAsia="仿宋" w:cs="宋体"/>
                <w:color w:val="auto"/>
                <w:szCs w:val="21"/>
                <w:highlight w:val="none"/>
                <w:u w:val="single"/>
              </w:rPr>
              <w:t>注：</w:t>
            </w:r>
          </w:p>
          <w:p>
            <w:pPr>
              <w:autoSpaceDE w:val="0"/>
              <w:autoSpaceDN w:val="0"/>
              <w:ind w:firstLine="422" w:firstLineChars="200"/>
              <w:jc w:val="left"/>
              <w:rPr>
                <w:rFonts w:ascii="仿宋" w:hAnsi="仿宋" w:eastAsia="仿宋" w:cs="宋体"/>
                <w:color w:val="auto"/>
                <w:szCs w:val="21"/>
                <w:highlight w:val="none"/>
                <w:u w:val="single"/>
              </w:rPr>
            </w:pPr>
            <w:r>
              <w:rPr>
                <w:rFonts w:hint="eastAsia" w:ascii="宋体" w:hAnsi="宋体" w:cs="宋体"/>
                <w:b/>
                <w:color w:val="auto"/>
                <w:szCs w:val="21"/>
                <w:highlight w:val="none"/>
                <w:u w:val="single"/>
              </w:rPr>
              <w:t>▲</w:t>
            </w:r>
            <w:r>
              <w:rPr>
                <w:rFonts w:hint="eastAsia" w:ascii="仿宋" w:hAnsi="仿宋" w:eastAsia="仿宋" w:cs="宋体"/>
                <w:color w:val="auto"/>
                <w:szCs w:val="21"/>
                <w:highlight w:val="none"/>
                <w:u w:val="single"/>
              </w:rPr>
              <w:t>已有自有车辆需提供车辆照片、车辆行驶证、机动车登记证书的扫描件。若证明材料不能证明车辆使用年份等特征的，则不予记分；</w:t>
            </w:r>
          </w:p>
          <w:p>
            <w:pPr>
              <w:autoSpaceDE w:val="0"/>
              <w:autoSpaceDN w:val="0"/>
              <w:ind w:firstLine="422" w:firstLineChars="200"/>
              <w:jc w:val="left"/>
              <w:rPr>
                <w:color w:val="auto"/>
                <w:highlight w:val="none"/>
              </w:rPr>
            </w:pPr>
            <w:r>
              <w:rPr>
                <w:rFonts w:hint="eastAsia" w:ascii="宋体" w:hAnsi="宋体" w:cs="宋体"/>
                <w:b/>
                <w:color w:val="auto"/>
                <w:szCs w:val="21"/>
                <w:highlight w:val="none"/>
                <w:u w:val="single"/>
              </w:rPr>
              <w:t>▲</w:t>
            </w:r>
            <w:r>
              <w:rPr>
                <w:rFonts w:hint="eastAsia" w:ascii="仿宋" w:hAnsi="仿宋" w:eastAsia="仿宋" w:cs="宋体"/>
                <w:color w:val="auto"/>
                <w:szCs w:val="21"/>
                <w:highlight w:val="none"/>
                <w:u w:val="single"/>
              </w:rPr>
              <w:t>租赁方式提供的车辆需提供租赁合同和车辆行驶证扫描件（行驶证上车辆的所有人必须和租赁合同中的出租人一致），否则不予记分；</w:t>
            </w:r>
          </w:p>
          <w:p>
            <w:pPr>
              <w:autoSpaceDE w:val="0"/>
              <w:autoSpaceDN w:val="0"/>
              <w:ind w:firstLine="422" w:firstLineChars="200"/>
              <w:jc w:val="left"/>
              <w:rPr>
                <w:rFonts w:ascii="仿宋" w:hAnsi="仿宋" w:eastAsia="仿宋" w:cs="宋体"/>
                <w:color w:val="auto"/>
                <w:szCs w:val="21"/>
                <w:highlight w:val="none"/>
              </w:rPr>
            </w:pPr>
            <w:r>
              <w:rPr>
                <w:rFonts w:hint="eastAsia" w:ascii="宋体" w:hAnsi="宋体" w:cs="宋体"/>
                <w:b/>
                <w:color w:val="auto"/>
                <w:szCs w:val="21"/>
                <w:highlight w:val="none"/>
                <w:u w:val="single"/>
              </w:rPr>
              <w:t>▲</w:t>
            </w:r>
            <w:r>
              <w:rPr>
                <w:rFonts w:hint="eastAsia" w:ascii="仿宋" w:hAnsi="仿宋" w:eastAsia="仿宋" w:cs="宋体"/>
                <w:color w:val="auto"/>
                <w:szCs w:val="21"/>
                <w:highlight w:val="none"/>
                <w:u w:val="single"/>
              </w:rPr>
              <w:t>车辆使用年份由车辆出厂日期至开标截止时间止。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top w:val="single" w:color="auto" w:sz="4" w:space="0"/>
              <w:right w:val="single" w:color="auto" w:sz="4" w:space="0"/>
            </w:tcBorders>
            <w:vAlign w:val="center"/>
          </w:tcPr>
          <w:p>
            <w:pPr>
              <w:jc w:val="center"/>
              <w:rPr>
                <w:rFonts w:ascii="仿宋" w:hAnsi="仿宋" w:eastAsia="仿宋" w:cs="宋体"/>
                <w:color w:val="auto"/>
                <w:szCs w:val="21"/>
                <w:highlight w:val="none"/>
              </w:rPr>
            </w:pPr>
          </w:p>
        </w:tc>
        <w:tc>
          <w:tcPr>
            <w:tcW w:w="1966" w:type="dxa"/>
            <w:tcBorders>
              <w:top w:val="single" w:color="auto" w:sz="4" w:space="0"/>
              <w:left w:val="single" w:color="auto" w:sz="4" w:space="0"/>
              <w:bottom w:val="single" w:color="auto" w:sz="4" w:space="0"/>
            </w:tcBorders>
            <w:vAlign w:val="center"/>
          </w:tcPr>
          <w:p>
            <w:pPr>
              <w:tabs>
                <w:tab w:val="left" w:pos="0"/>
              </w:tabs>
              <w:jc w:val="center"/>
              <w:rPr>
                <w:rFonts w:ascii="仿宋" w:hAnsi="仿宋" w:eastAsia="仿宋" w:cs="宋体"/>
                <w:color w:val="auto"/>
                <w:szCs w:val="21"/>
                <w:highlight w:val="none"/>
              </w:rPr>
            </w:pPr>
            <w:r>
              <w:rPr>
                <w:rFonts w:hint="eastAsia" w:ascii="仿宋" w:hAnsi="仿宋" w:eastAsia="仿宋" w:cs="宋体"/>
                <w:color w:val="auto"/>
                <w:szCs w:val="21"/>
                <w:highlight w:val="none"/>
              </w:rPr>
              <w:t>企业认证（0-6分）</w:t>
            </w:r>
          </w:p>
        </w:tc>
        <w:tc>
          <w:tcPr>
            <w:tcW w:w="5350" w:type="dxa"/>
            <w:tcBorders>
              <w:top w:val="single" w:color="auto" w:sz="4" w:space="0"/>
              <w:left w:val="single" w:color="auto" w:sz="4" w:space="0"/>
              <w:bottom w:val="single" w:color="auto" w:sz="4" w:space="0"/>
            </w:tcBorders>
            <w:vAlign w:val="center"/>
          </w:tcPr>
          <w:p>
            <w:pPr>
              <w:spacing w:line="360" w:lineRule="exact"/>
              <w:rPr>
                <w:color w:val="auto"/>
                <w:highlight w:val="none"/>
              </w:rPr>
            </w:pPr>
            <w:r>
              <w:rPr>
                <w:rFonts w:hint="eastAsia" w:ascii="仿宋" w:hAnsi="仿宋" w:eastAsia="仿宋" w:cs="宋体"/>
                <w:color w:val="auto"/>
                <w:szCs w:val="21"/>
                <w:highlight w:val="none"/>
              </w:rPr>
              <w:t>根据投标供应商拥有以下证书情况评分，本项最高得6分：</w:t>
            </w:r>
          </w:p>
          <w:p>
            <w:pPr>
              <w:spacing w:line="360" w:lineRule="exact"/>
              <w:rPr>
                <w:rFonts w:ascii="仿宋" w:hAnsi="仿宋" w:eastAsia="仿宋" w:cs="宋体"/>
                <w:color w:val="auto"/>
                <w:szCs w:val="21"/>
                <w:highlight w:val="none"/>
              </w:rPr>
            </w:pPr>
            <w:r>
              <w:rPr>
                <w:rFonts w:hint="eastAsia"/>
                <w:color w:val="auto"/>
                <w:highlight w:val="none"/>
              </w:rPr>
              <w:t>1.</w:t>
            </w:r>
            <w:r>
              <w:rPr>
                <w:rFonts w:hint="eastAsia" w:ascii="仿宋" w:hAnsi="仿宋" w:eastAsia="仿宋" w:cs="宋体"/>
                <w:color w:val="auto"/>
                <w:szCs w:val="21"/>
                <w:highlight w:val="none"/>
              </w:rPr>
              <w:t>有效期的ISO9001质量管理体系认证证书，得1分；</w:t>
            </w:r>
          </w:p>
          <w:p>
            <w:pPr>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hint="eastAsia"/>
                <w:color w:val="auto"/>
                <w:highlight w:val="none"/>
              </w:rPr>
              <w:t>.</w:t>
            </w:r>
            <w:r>
              <w:rPr>
                <w:rFonts w:hint="eastAsia" w:ascii="仿宋" w:hAnsi="仿宋" w:eastAsia="仿宋" w:cs="宋体"/>
                <w:color w:val="auto"/>
                <w:szCs w:val="21"/>
                <w:highlight w:val="none"/>
              </w:rPr>
              <w:t>有效期的ISO14000环境管理体系认证证书，得1分；</w:t>
            </w:r>
          </w:p>
          <w:p>
            <w:pPr>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3</w:t>
            </w:r>
            <w:r>
              <w:rPr>
                <w:rFonts w:hint="eastAsia"/>
                <w:color w:val="auto"/>
                <w:highlight w:val="none"/>
              </w:rPr>
              <w:t>.</w:t>
            </w:r>
            <w:r>
              <w:rPr>
                <w:rFonts w:hint="eastAsia" w:ascii="仿宋" w:hAnsi="仿宋" w:eastAsia="仿宋" w:cs="宋体"/>
                <w:color w:val="auto"/>
                <w:szCs w:val="21"/>
                <w:highlight w:val="none"/>
              </w:rPr>
              <w:t>有效期的OHSAS18001或ISO45001职业健康安全管理体系认证证书，得1分；</w:t>
            </w:r>
          </w:p>
          <w:p>
            <w:pPr>
              <w:spacing w:line="360" w:lineRule="exact"/>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rPr>
              <w:t>4</w:t>
            </w:r>
            <w:r>
              <w:rPr>
                <w:rFonts w:hint="eastAsia"/>
                <w:color w:val="auto"/>
                <w:highlight w:val="none"/>
              </w:rPr>
              <w:t>.</w:t>
            </w:r>
            <w:r>
              <w:rPr>
                <w:rFonts w:hint="eastAsia" w:ascii="仿宋" w:hAnsi="仿宋" w:eastAsia="仿宋" w:cs="宋体"/>
                <w:color w:val="auto"/>
                <w:szCs w:val="21"/>
                <w:highlight w:val="none"/>
              </w:rPr>
              <w:t>有效的企业诚信管理体系证书，得1分</w:t>
            </w:r>
            <w:r>
              <w:rPr>
                <w:rFonts w:hint="eastAsia" w:ascii="仿宋" w:hAnsi="仿宋" w:eastAsia="仿宋" w:cs="宋体"/>
                <w:color w:val="auto"/>
                <w:szCs w:val="21"/>
                <w:highlight w:val="none"/>
                <w:lang w:eastAsia="zh-CN"/>
              </w:rPr>
              <w:t>；</w:t>
            </w:r>
          </w:p>
          <w:p>
            <w:pPr>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5</w:t>
            </w:r>
            <w:r>
              <w:rPr>
                <w:rFonts w:hint="eastAsia"/>
                <w:color w:val="auto"/>
                <w:highlight w:val="none"/>
              </w:rPr>
              <w:t>.</w:t>
            </w:r>
            <w:r>
              <w:rPr>
                <w:rFonts w:hint="eastAsia" w:ascii="仿宋" w:hAnsi="仿宋" w:eastAsia="仿宋" w:cs="宋体"/>
                <w:color w:val="auto"/>
                <w:szCs w:val="21"/>
                <w:highlight w:val="none"/>
              </w:rPr>
              <w:t>有效的企业安全生产标准化证书，得1分；</w:t>
            </w:r>
          </w:p>
          <w:p>
            <w:pPr>
              <w:spacing w:line="360" w:lineRule="exact"/>
              <w:rPr>
                <w:rFonts w:ascii="仿宋" w:hAnsi="仿宋" w:eastAsia="仿宋" w:cs="宋体"/>
                <w:color w:val="auto"/>
                <w:szCs w:val="21"/>
                <w:highlight w:val="none"/>
              </w:rPr>
            </w:pPr>
            <w:r>
              <w:rPr>
                <w:rFonts w:hint="eastAsia" w:ascii="仿宋" w:hAnsi="仿宋" w:eastAsia="仿宋" w:cs="宋体"/>
                <w:color w:val="auto"/>
                <w:szCs w:val="21"/>
                <w:highlight w:val="none"/>
              </w:rPr>
              <w:t>6</w:t>
            </w:r>
            <w:r>
              <w:rPr>
                <w:rFonts w:hint="eastAsia"/>
                <w:color w:val="auto"/>
                <w:highlight w:val="none"/>
              </w:rPr>
              <w:t>.</w:t>
            </w:r>
            <w:r>
              <w:rPr>
                <w:rFonts w:hint="eastAsia" w:ascii="仿宋" w:hAnsi="仿宋" w:eastAsia="仿宋" w:cs="宋体"/>
                <w:color w:val="auto"/>
                <w:szCs w:val="21"/>
                <w:highlight w:val="none"/>
              </w:rPr>
              <w:t>城市生活垃圾经营性清扫、收集、运输服务许可证，得1分。</w:t>
            </w:r>
          </w:p>
          <w:p>
            <w:pPr>
              <w:autoSpaceDE w:val="0"/>
              <w:autoSpaceDN w:val="0"/>
              <w:jc w:val="left"/>
              <w:rPr>
                <w:color w:val="auto"/>
                <w:highlight w:val="none"/>
              </w:rPr>
            </w:pPr>
            <w:r>
              <w:rPr>
                <w:rFonts w:hint="eastAsia" w:ascii="仿宋" w:hAnsi="仿宋" w:eastAsia="仿宋" w:cs="宋体"/>
                <w:color w:val="auto"/>
                <w:szCs w:val="21"/>
                <w:highlight w:val="none"/>
              </w:rPr>
              <w:t>注：需提供证明材料予以得分。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876" w:type="dxa"/>
            <w:gridSpan w:val="2"/>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953" w:type="dxa"/>
            <w:vMerge w:val="continue"/>
            <w:tcBorders>
              <w:right w:val="single" w:color="auto" w:sz="4" w:space="0"/>
            </w:tcBorders>
            <w:vAlign w:val="center"/>
          </w:tcPr>
          <w:p>
            <w:pPr>
              <w:jc w:val="center"/>
              <w:rPr>
                <w:rFonts w:ascii="仿宋" w:hAnsi="仿宋" w:eastAsia="仿宋" w:cs="宋体"/>
                <w:color w:val="auto"/>
                <w:szCs w:val="21"/>
                <w:highlight w:val="none"/>
              </w:rPr>
            </w:pPr>
          </w:p>
        </w:tc>
        <w:tc>
          <w:tcPr>
            <w:tcW w:w="7316" w:type="dxa"/>
            <w:gridSpan w:val="2"/>
            <w:tcBorders>
              <w:top w:val="single" w:color="auto" w:sz="4" w:space="0"/>
              <w:left w:val="single" w:color="auto" w:sz="4" w:space="0"/>
            </w:tcBorders>
          </w:tcPr>
          <w:p>
            <w:pPr>
              <w:tabs>
                <w:tab w:val="left" w:pos="0"/>
              </w:tabs>
              <w:rPr>
                <w:rFonts w:ascii="仿宋" w:hAnsi="仿宋" w:eastAsia="仿宋"/>
                <w:color w:val="auto"/>
                <w:szCs w:val="21"/>
                <w:highlight w:val="none"/>
              </w:rPr>
            </w:pPr>
            <w:r>
              <w:rPr>
                <w:rFonts w:hint="eastAsia" w:ascii="仿宋" w:hAnsi="仿宋" w:eastAsia="仿宋"/>
                <w:color w:val="auto"/>
                <w:szCs w:val="21"/>
                <w:highlight w:val="none"/>
              </w:rPr>
              <w:t>说明：无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829"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2.3.3</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报价评分办法</w:t>
            </w:r>
          </w:p>
        </w:tc>
        <w:tc>
          <w:tcPr>
            <w:tcW w:w="5350" w:type="dxa"/>
            <w:tcBorders>
              <w:top w:val="single" w:color="auto" w:sz="4" w:space="0"/>
              <w:left w:val="single" w:color="auto" w:sz="4" w:space="0"/>
              <w:bottom w:val="single" w:color="auto" w:sz="4" w:space="0"/>
            </w:tcBorders>
            <w:vAlign w:val="center"/>
          </w:tcPr>
          <w:p>
            <w:pPr>
              <w:snapToGrid w:val="0"/>
              <w:rPr>
                <w:rFonts w:cs="Arial" w:asciiTheme="minorEastAsia" w:hAnsiTheme="minorEastAsia" w:eastAsiaTheme="minorEastAsia"/>
                <w:color w:val="auto"/>
                <w:kern w:val="0"/>
                <w:szCs w:val="21"/>
                <w:highlight w:val="none"/>
              </w:rPr>
            </w:pPr>
            <w:r>
              <w:rPr>
                <w:rFonts w:hint="eastAsia" w:ascii="仿宋" w:hAnsi="仿宋" w:eastAsia="仿宋" w:cs="宋体"/>
                <w:color w:val="auto"/>
                <w:szCs w:val="21"/>
                <w:highlight w:val="none"/>
              </w:rPr>
              <w:t>是否采用低价优先法：</w:t>
            </w:r>
          </w:p>
          <w:p>
            <w:pPr>
              <w:snapToGrid w:val="0"/>
              <w:rPr>
                <w:rFonts w:ascii="仿宋" w:hAnsi="仿宋" w:eastAsia="仿宋" w:cs="宋体"/>
                <w:color w:val="auto"/>
                <w:szCs w:val="21"/>
                <w:highlight w:val="none"/>
              </w:rPr>
            </w:pPr>
            <w:r>
              <w:rPr>
                <w:rFonts w:cs="Arial" w:asciiTheme="minorEastAsia" w:hAnsiTheme="minorEastAsia" w:eastAsiaTheme="minorEastAsia"/>
                <w:color w:val="auto"/>
                <w:kern w:val="0"/>
                <w:szCs w:val="21"/>
                <w:highlight w:val="none"/>
              </w:rPr>
              <w:sym w:font="Wingdings" w:char="F0FE"/>
            </w:r>
            <w:r>
              <w:rPr>
                <w:rFonts w:hint="eastAsia" w:ascii="仿宋" w:hAnsi="仿宋" w:eastAsia="仿宋"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829"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w:t>
            </w:r>
            <w:r>
              <w:rPr>
                <w:rFonts w:ascii="仿宋" w:hAnsi="仿宋" w:eastAsia="仿宋" w:cs="宋体"/>
                <w:color w:val="auto"/>
                <w:szCs w:val="21"/>
                <w:highlight w:val="none"/>
              </w:rPr>
              <w:t>.3.3</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报价评分标准（低价优先法）</w:t>
            </w:r>
          </w:p>
        </w:tc>
        <w:tc>
          <w:tcPr>
            <w:tcW w:w="5350"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宋体"/>
                <w:color w:val="auto"/>
                <w:szCs w:val="21"/>
                <w:highlight w:val="none"/>
              </w:rPr>
            </w:pPr>
            <w:bookmarkStart w:id="114" w:name="_Toc26900"/>
            <w:r>
              <w:rPr>
                <w:rFonts w:hint="eastAsia" w:ascii="仿宋" w:hAnsi="仿宋" w:eastAsia="仿宋" w:cs="宋体"/>
                <w:color w:val="auto"/>
                <w:szCs w:val="21"/>
                <w:highlight w:val="none"/>
              </w:rPr>
              <w:t>报价得分=（评标基准价/评标价）×报价权重×100</w:t>
            </w:r>
            <w:bookmarkEnd w:id="114"/>
          </w:p>
          <w:p>
            <w:pPr>
              <w:spacing w:line="360" w:lineRule="exact"/>
              <w:rPr>
                <w:rFonts w:hint="eastAsia" w:ascii="仿宋" w:hAnsi="仿宋" w:eastAsia="仿宋" w:cs="宋体"/>
                <w:color w:val="auto"/>
                <w:szCs w:val="21"/>
                <w:highlight w:val="none"/>
              </w:rPr>
            </w:pPr>
            <w:r>
              <w:rPr>
                <w:rFonts w:hint="eastAsia" w:ascii="仿宋" w:hAnsi="仿宋" w:eastAsia="仿宋" w:cs="宋体"/>
                <w:color w:val="auto"/>
                <w:szCs w:val="21"/>
                <w:highlight w:val="none"/>
              </w:rPr>
              <w:t>（1）报价评分以投标人</w:t>
            </w:r>
            <w:bookmarkStart w:id="130" w:name="_GoBack"/>
            <w:bookmarkEnd w:id="130"/>
            <w:r>
              <w:rPr>
                <w:rFonts w:hint="eastAsia" w:ascii="仿宋" w:hAnsi="仿宋" w:eastAsia="仿宋" w:cs="宋体"/>
                <w:color w:val="auto"/>
                <w:szCs w:val="21"/>
                <w:highlight w:val="none"/>
              </w:rPr>
              <w:t>投标报价按政府采购政策扣除后的评标价为准进行评审。</w:t>
            </w:r>
          </w:p>
          <w:p>
            <w:pPr>
              <w:spacing w:line="360" w:lineRule="exact"/>
              <w:rPr>
                <w:rFonts w:hint="eastAsia" w:ascii="仿宋" w:hAnsi="仿宋" w:eastAsia="仿宋" w:cs="宋体"/>
                <w:color w:val="auto"/>
                <w:szCs w:val="21"/>
                <w:highlight w:val="none"/>
              </w:rPr>
            </w:pPr>
            <w:r>
              <w:rPr>
                <w:rFonts w:hint="eastAsia" w:ascii="仿宋" w:hAnsi="仿宋" w:eastAsia="仿宋" w:cs="宋体"/>
                <w:color w:val="auto"/>
                <w:szCs w:val="21"/>
                <w:highlight w:val="none"/>
              </w:rPr>
              <w:t>（2）满足招标文件要求且最低的评标价为评标基准价。</w:t>
            </w:r>
          </w:p>
          <w:p>
            <w:pPr>
              <w:spacing w:line="360" w:lineRule="exact"/>
              <w:rPr>
                <w:rFonts w:hint="default" w:eastAsia="仿宋"/>
                <w:lang w:val="en-US" w:eastAsia="zh-CN"/>
              </w:rPr>
            </w:pPr>
            <w:r>
              <w:rPr>
                <w:rFonts w:hint="eastAsia" w:ascii="仿宋" w:hAnsi="仿宋" w:eastAsia="仿宋" w:cs="宋体"/>
                <w:color w:val="auto"/>
                <w:szCs w:val="21"/>
                <w:highlight w:val="none"/>
                <w:lang w:val="en-US" w:eastAsia="zh-CN"/>
              </w:rPr>
              <w:t>（3）评标价以3年投标总价为依据。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829" w:type="dxa"/>
            <w:gridSpan w:val="3"/>
            <w:tcBorders>
              <w:top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2.3.3</w:t>
            </w:r>
          </w:p>
        </w:tc>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auto"/>
                <w:szCs w:val="21"/>
                <w:highlight w:val="none"/>
              </w:rPr>
            </w:pPr>
            <w:r>
              <w:rPr>
                <w:rFonts w:hint="eastAsia" w:ascii="仿宋" w:hAnsi="仿宋" w:eastAsia="仿宋" w:cs="Arial"/>
                <w:color w:val="auto"/>
                <w:szCs w:val="21"/>
                <w:highlight w:val="none"/>
              </w:rPr>
              <w:t>落实政府采购政策需进行的价格扣除</w:t>
            </w:r>
          </w:p>
        </w:tc>
        <w:tc>
          <w:tcPr>
            <w:tcW w:w="5350" w:type="dxa"/>
            <w:tcBorders>
              <w:top w:val="single" w:color="auto" w:sz="4" w:space="0"/>
              <w:left w:val="single" w:color="auto" w:sz="4" w:space="0"/>
              <w:bottom w:val="single" w:color="auto" w:sz="4" w:space="0"/>
            </w:tcBorders>
            <w:vAlign w:val="center"/>
          </w:tcPr>
          <w:p>
            <w:pPr>
              <w:snapToGrid w:val="0"/>
              <w:jc w:val="left"/>
              <w:rPr>
                <w:rFonts w:hint="default" w:ascii="仿宋" w:hAnsi="仿宋" w:eastAsia="仿宋"/>
                <w:color w:val="auto"/>
                <w:szCs w:val="21"/>
                <w:highlight w:val="none"/>
              </w:rPr>
            </w:pPr>
            <w:r>
              <w:rPr>
                <w:rFonts w:hint="eastAsia" w:ascii="仿宋" w:hAnsi="仿宋" w:eastAsia="仿宋" w:cs="新宋体"/>
                <w:bCs/>
                <w:color w:val="auto"/>
                <w:spacing w:val="6"/>
                <w:szCs w:val="21"/>
                <w:highlight w:val="none"/>
                <w:lang w:val="en-US" w:eastAsia="zh-CN"/>
              </w:rPr>
              <w:t>该项目整体</w:t>
            </w:r>
            <w:r>
              <w:rPr>
                <w:rFonts w:hint="eastAsia" w:ascii="仿宋" w:hAnsi="仿宋" w:eastAsia="仿宋"/>
                <w:color w:val="auto"/>
                <w:szCs w:val="21"/>
                <w:highlight w:val="none"/>
                <w:lang w:eastAsia="zh-CN"/>
              </w:rPr>
              <w:t>专门</w:t>
            </w:r>
            <w:r>
              <w:rPr>
                <w:rFonts w:hint="eastAsia" w:ascii="仿宋" w:hAnsi="仿宋" w:eastAsia="仿宋"/>
                <w:color w:val="auto"/>
                <w:szCs w:val="21"/>
                <w:highlight w:val="none"/>
                <w:lang w:val="en-US" w:eastAsia="zh-CN"/>
              </w:rPr>
              <w:t>面向中小企业，故对投标人投标报价不作扣除。</w:t>
            </w:r>
          </w:p>
        </w:tc>
      </w:tr>
    </w:tbl>
    <w:p>
      <w:pPr>
        <w:snapToGrid w:val="0"/>
        <w:spacing w:line="360" w:lineRule="auto"/>
        <w:rPr>
          <w:rFonts w:ascii="仿宋" w:hAnsi="仿宋" w:eastAsia="仿宋" w:cs="仿宋_GB2312"/>
          <w:b/>
          <w:color w:val="auto"/>
          <w:sz w:val="24"/>
          <w:highlight w:val="none"/>
        </w:rPr>
      </w:pPr>
    </w:p>
    <w:p>
      <w:pPr>
        <w:widowControl/>
        <w:adjustRightInd/>
        <w:jc w:val="left"/>
        <w:rPr>
          <w:rFonts w:ascii="仿宋_GB2312" w:hAnsi="仿宋" w:eastAsia="仿宋_GB2312" w:cs="仿宋_GB2312"/>
          <w:b/>
          <w:color w:val="auto"/>
          <w:sz w:val="32"/>
          <w:highlight w:val="none"/>
        </w:rPr>
      </w:pPr>
      <w:r>
        <w:rPr>
          <w:rFonts w:ascii="仿宋_GB2312" w:hAnsi="仿宋" w:eastAsia="仿宋_GB2312" w:cs="仿宋_GB2312"/>
          <w:b/>
          <w:color w:val="auto"/>
          <w:sz w:val="32"/>
          <w:highlight w:val="none"/>
        </w:rPr>
        <w:br w:type="page"/>
      </w:r>
    </w:p>
    <w:p>
      <w:pPr>
        <w:pStyle w:val="5"/>
        <w:snapToGrid w:val="0"/>
        <w:spacing w:before="0" w:after="0" w:line="360" w:lineRule="auto"/>
        <w:rPr>
          <w:rFonts w:ascii="仿宋" w:hAnsi="仿宋" w:eastAsia="仿宋"/>
          <w:color w:val="auto"/>
          <w:sz w:val="24"/>
          <w:szCs w:val="24"/>
          <w:highlight w:val="none"/>
        </w:rPr>
      </w:pPr>
      <w:bookmarkStart w:id="115" w:name="_Toc63189375"/>
      <w:bookmarkStart w:id="116" w:name="_Toc55302373"/>
      <w:r>
        <w:rPr>
          <w:rFonts w:ascii="仿宋" w:hAnsi="仿宋" w:eastAsia="仿宋"/>
          <w:color w:val="auto"/>
          <w:sz w:val="24"/>
          <w:szCs w:val="24"/>
          <w:highlight w:val="none"/>
        </w:rPr>
        <w:t>1.评标方法</w:t>
      </w:r>
      <w:bookmarkEnd w:id="115"/>
      <w:bookmarkEnd w:id="116"/>
    </w:p>
    <w:p>
      <w:pPr>
        <w:snapToGrid w:val="0"/>
        <w:spacing w:line="360" w:lineRule="auto"/>
        <w:ind w:firstLine="480" w:firstLineChars="200"/>
        <w:rPr>
          <w:rFonts w:ascii="仿宋" w:hAnsi="仿宋" w:eastAsia="仿宋" w:cs="Arial"/>
          <w:color w:val="auto"/>
          <w:sz w:val="24"/>
          <w:highlight w:val="none"/>
        </w:rPr>
      </w:pPr>
      <w:r>
        <w:rPr>
          <w:rFonts w:ascii="仿宋" w:hAnsi="仿宋" w:eastAsia="仿宋" w:cs="Arial"/>
          <w:color w:val="auto"/>
          <w:sz w:val="24"/>
          <w:highlight w:val="none"/>
        </w:rPr>
        <w:t>本次</w:t>
      </w:r>
      <w:r>
        <w:rPr>
          <w:rFonts w:hint="eastAsia" w:ascii="仿宋" w:hAnsi="仿宋" w:eastAsia="仿宋" w:cs="Arial"/>
          <w:color w:val="auto"/>
          <w:sz w:val="24"/>
          <w:highlight w:val="none"/>
        </w:rPr>
        <w:t>采用的</w:t>
      </w:r>
      <w:r>
        <w:rPr>
          <w:rFonts w:ascii="仿宋" w:hAnsi="仿宋" w:eastAsia="仿宋" w:cs="Arial"/>
          <w:color w:val="auto"/>
          <w:sz w:val="24"/>
          <w:highlight w:val="none"/>
        </w:rPr>
        <w:t>评标</w:t>
      </w:r>
      <w:r>
        <w:rPr>
          <w:rFonts w:hint="eastAsia" w:ascii="仿宋" w:hAnsi="仿宋" w:eastAsia="仿宋" w:cs="Arial"/>
          <w:color w:val="auto"/>
          <w:sz w:val="24"/>
          <w:highlight w:val="none"/>
        </w:rPr>
        <w:t>办法及推荐中标候选人的人数见评标办法前附表</w:t>
      </w:r>
      <w:r>
        <w:rPr>
          <w:rFonts w:ascii="仿宋" w:hAnsi="仿宋" w:eastAsia="仿宋" w:cs="Arial"/>
          <w:color w:val="auto"/>
          <w:sz w:val="24"/>
          <w:highlight w:val="none"/>
        </w:rPr>
        <w:t>。</w:t>
      </w:r>
    </w:p>
    <w:p>
      <w:pPr>
        <w:snapToGrid w:val="0"/>
        <w:spacing w:line="360" w:lineRule="auto"/>
        <w:ind w:firstLine="480" w:firstLineChars="200"/>
        <w:rPr>
          <w:rFonts w:ascii="仿宋" w:hAnsi="仿宋" w:eastAsia="仿宋" w:cs="Arial"/>
          <w:color w:val="auto"/>
          <w:sz w:val="24"/>
          <w:highlight w:val="none"/>
        </w:rPr>
      </w:pPr>
      <w:r>
        <w:rPr>
          <w:rFonts w:hint="eastAsia" w:ascii="仿宋" w:hAnsi="仿宋" w:eastAsia="仿宋" w:cs="Arial"/>
          <w:color w:val="auto"/>
          <w:sz w:val="24"/>
          <w:highlight w:val="none"/>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投标报价相等时，由评标委员会通过评标办法前附表约定的方式确定中标候选人的排序。</w:t>
      </w:r>
    </w:p>
    <w:p>
      <w:pPr>
        <w:snapToGrid w:val="0"/>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r>
        <w:rPr>
          <w:rFonts w:ascii="仿宋" w:hAnsi="仿宋" w:eastAsia="仿宋" w:cs="Arial"/>
          <w:color w:val="auto"/>
          <w:kern w:val="0"/>
          <w:sz w:val="24"/>
          <w:highlight w:val="none"/>
        </w:rPr>
        <w:t>综合评分相等时，</w:t>
      </w:r>
      <w:r>
        <w:rPr>
          <w:rFonts w:hint="eastAsia" w:ascii="仿宋" w:hAnsi="仿宋" w:eastAsia="仿宋" w:cs="Arial"/>
          <w:color w:val="auto"/>
          <w:kern w:val="0"/>
          <w:sz w:val="24"/>
          <w:highlight w:val="none"/>
        </w:rPr>
        <w:t>以投标报价低者优先；投标报价也相等的，由评标委员会通过</w:t>
      </w:r>
      <w:r>
        <w:rPr>
          <w:rFonts w:hint="eastAsia" w:ascii="仿宋" w:hAnsi="仿宋" w:eastAsia="仿宋" w:cs="Arial"/>
          <w:color w:val="auto"/>
          <w:sz w:val="24"/>
          <w:highlight w:val="none"/>
        </w:rPr>
        <w:t>评标办法前附表约定的方式</w:t>
      </w:r>
      <w:r>
        <w:rPr>
          <w:rFonts w:hint="eastAsia" w:ascii="仿宋" w:hAnsi="仿宋" w:eastAsia="仿宋" w:cs="Arial"/>
          <w:color w:val="auto"/>
          <w:kern w:val="0"/>
          <w:sz w:val="24"/>
          <w:highlight w:val="none"/>
        </w:rPr>
        <w:t>确定</w:t>
      </w:r>
      <w:r>
        <w:rPr>
          <w:rFonts w:ascii="仿宋" w:hAnsi="仿宋" w:eastAsia="仿宋" w:cs="Arial"/>
          <w:color w:val="auto"/>
          <w:kern w:val="0"/>
          <w:sz w:val="24"/>
          <w:highlight w:val="none"/>
        </w:rPr>
        <w:t>中标候选人</w:t>
      </w:r>
      <w:r>
        <w:rPr>
          <w:rFonts w:hint="eastAsia" w:ascii="仿宋" w:hAnsi="仿宋" w:eastAsia="仿宋" w:cs="Arial"/>
          <w:color w:val="auto"/>
          <w:kern w:val="0"/>
          <w:sz w:val="24"/>
          <w:highlight w:val="none"/>
        </w:rPr>
        <w:t>的排序</w:t>
      </w:r>
      <w:r>
        <w:rPr>
          <w:rFonts w:ascii="仿宋" w:hAnsi="仿宋" w:eastAsia="仿宋" w:cs="Arial"/>
          <w:color w:val="auto"/>
          <w:kern w:val="0"/>
          <w:sz w:val="24"/>
          <w:highlight w:val="none"/>
        </w:rPr>
        <w:t>。</w:t>
      </w:r>
    </w:p>
    <w:p>
      <w:pPr>
        <w:pStyle w:val="5"/>
        <w:snapToGrid w:val="0"/>
        <w:spacing w:before="0" w:after="0" w:line="360" w:lineRule="auto"/>
        <w:rPr>
          <w:rFonts w:ascii="仿宋" w:hAnsi="仿宋" w:eastAsia="仿宋"/>
          <w:color w:val="auto"/>
          <w:sz w:val="24"/>
          <w:szCs w:val="24"/>
          <w:highlight w:val="none"/>
        </w:rPr>
      </w:pPr>
      <w:bookmarkStart w:id="117" w:name="_Toc55302374"/>
      <w:bookmarkStart w:id="118" w:name="_Toc63189376"/>
      <w:r>
        <w:rPr>
          <w:rFonts w:hint="eastAsia" w:ascii="仿宋" w:hAnsi="仿宋" w:eastAsia="仿宋"/>
          <w:color w:val="auto"/>
          <w:sz w:val="24"/>
          <w:szCs w:val="24"/>
          <w:highlight w:val="none"/>
        </w:rPr>
        <w:t>2</w:t>
      </w:r>
      <w:r>
        <w:rPr>
          <w:rFonts w:ascii="仿宋" w:hAnsi="仿宋" w:eastAsia="仿宋"/>
          <w:color w:val="auto"/>
          <w:sz w:val="24"/>
          <w:szCs w:val="24"/>
          <w:highlight w:val="none"/>
        </w:rPr>
        <w:t>.评标程序</w:t>
      </w:r>
      <w:bookmarkEnd w:id="117"/>
      <w:bookmarkEnd w:id="118"/>
      <w:r>
        <w:rPr>
          <w:rFonts w:hint="eastAsia" w:ascii="仿宋" w:hAnsi="仿宋" w:eastAsia="仿宋"/>
          <w:color w:val="auto"/>
          <w:sz w:val="24"/>
          <w:szCs w:val="24"/>
          <w:highlight w:val="none"/>
        </w:rPr>
        <w:t>及标准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2.1资格审查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2.1.1</w:t>
      </w:r>
      <w:r>
        <w:rPr>
          <w:rFonts w:hint="eastAsia" w:ascii="仿宋" w:hAnsi="仿宋" w:eastAsia="仿宋" w:cs="Arial"/>
          <w:b/>
          <w:color w:val="auto"/>
          <w:sz w:val="24"/>
          <w:highlight w:val="none"/>
          <w:u w:val="single"/>
        </w:rPr>
        <w:t>▲提供符合参加政府采购活动应当具备的一般条件的承诺函</w:t>
      </w:r>
      <w:r>
        <w:rPr>
          <w:rFonts w:hint="eastAsia" w:ascii="仿宋" w:hAnsi="仿宋" w:eastAsia="仿宋" w:cs="Arial"/>
          <w:color w:val="auto"/>
          <w:sz w:val="24"/>
          <w:highlight w:val="none"/>
          <w:u w:val="single"/>
        </w:rPr>
        <w:t>及有效的</w:t>
      </w:r>
      <w:r>
        <w:rPr>
          <w:rFonts w:hint="eastAsia" w:ascii="仿宋" w:hAnsi="仿宋" w:eastAsia="仿宋" w:cs="Arial"/>
          <w:b/>
          <w:color w:val="auto"/>
          <w:sz w:val="24"/>
          <w:highlight w:val="none"/>
          <w:u w:val="single"/>
        </w:rPr>
        <w:t>企业营业执照</w:t>
      </w:r>
      <w:r>
        <w:rPr>
          <w:rFonts w:hint="eastAsia" w:ascii="仿宋" w:hAnsi="仿宋" w:eastAsia="仿宋" w:cs="Arial"/>
          <w:color w:val="auto"/>
          <w:sz w:val="24"/>
          <w:highlight w:val="none"/>
          <w:u w:val="single"/>
        </w:rPr>
        <w:t>（或事业法人登记证书或其它工商等登记证明材料，自然人提供身份证)扫描件</w:t>
      </w:r>
      <w:r>
        <w:rPr>
          <w:rFonts w:hint="eastAsia" w:ascii="仿宋" w:hAnsi="仿宋" w:eastAsia="仿宋" w:cs="Arial"/>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2.1.2落实政府采购政策需满足的资格要求：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2.1.3本项目的特定资格要求：</w:t>
      </w:r>
      <w:r>
        <w:rPr>
          <w:rFonts w:hint="eastAsia" w:ascii="仿宋" w:hAnsi="仿宋" w:eastAsia="仿宋" w:cs="Arial"/>
          <w:b/>
          <w:color w:val="auto"/>
          <w:sz w:val="24"/>
          <w:highlight w:val="none"/>
        </w:rPr>
        <w:t>见评标办法前附表</w:t>
      </w:r>
      <w:r>
        <w:rPr>
          <w:rFonts w:hint="eastAsia" w:ascii="仿宋" w:hAnsi="仿宋" w:eastAsia="仿宋" w:cs="Arial"/>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评标委员会对资格审查合格的投标人进行符合性审查：</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2.2.1</w:t>
      </w:r>
      <w:r>
        <w:rPr>
          <w:rFonts w:hint="eastAsia" w:ascii="仿宋" w:hAnsi="仿宋" w:eastAsia="仿宋" w:cs="Arial"/>
          <w:b/>
          <w:color w:val="auto"/>
          <w:sz w:val="24"/>
          <w:highlight w:val="none"/>
          <w:u w:val="single"/>
        </w:rPr>
        <w:t>▲投标人存在下列情况之一的，投标无效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（1）仅提交“备份投标文件”的；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（2）不具备招标文件中规定的资格要求的；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（3）投标文件未按招标文件要求签署、盖章的；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4</w:t>
      </w:r>
      <w:r>
        <w:rPr>
          <w:rFonts w:hint="eastAsia" w:ascii="仿宋" w:hAnsi="仿宋" w:eastAsia="仿宋" w:cs="Arial"/>
          <w:b/>
          <w:color w:val="auto"/>
          <w:sz w:val="24"/>
          <w:highlight w:val="none"/>
        </w:rPr>
        <w:t>）明显不符合招标文件中标注“▲”且加下划线的实质性要求和条件（主要技术规格、商务技术标准或服务要求）的；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5</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采购人拟采购的产品属于政府强制采购的节能产品品目清单范围的，</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未按</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要求提供国家确定的认证机构出具的、处于有效期之内的节能产品认证证书</w:t>
      </w:r>
      <w:r>
        <w:rPr>
          <w:rFonts w:hint="eastAsia" w:ascii="仿宋" w:hAnsi="仿宋" w:eastAsia="仿宋" w:cs="Arial"/>
          <w:b/>
          <w:color w:val="auto"/>
          <w:kern w:val="0"/>
          <w:sz w:val="24"/>
          <w:highlight w:val="none"/>
        </w:rPr>
        <w:t>的；</w:t>
      </w:r>
    </w:p>
    <w:p>
      <w:pPr>
        <w:snapToGrid w:val="0"/>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投标文件中承诺的投标有效期少于</w:t>
      </w:r>
      <w:r>
        <w:rPr>
          <w:rFonts w:hint="eastAsia" w:ascii="仿宋" w:hAnsi="仿宋" w:eastAsia="仿宋" w:cs="Arial"/>
          <w:b/>
          <w:color w:val="auto"/>
          <w:kern w:val="0"/>
          <w:sz w:val="24"/>
          <w:highlight w:val="none"/>
        </w:rPr>
        <w:t>招标文件</w:t>
      </w:r>
      <w:r>
        <w:rPr>
          <w:rFonts w:ascii="仿宋" w:hAnsi="仿宋" w:eastAsia="仿宋" w:cs="Arial"/>
          <w:b/>
          <w:color w:val="auto"/>
          <w:kern w:val="0"/>
          <w:sz w:val="24"/>
          <w:highlight w:val="none"/>
        </w:rPr>
        <w:t>中载明的投标有效期的；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7</w:t>
      </w:r>
      <w:r>
        <w:rPr>
          <w:rFonts w:hint="eastAsia" w:ascii="仿宋" w:hAnsi="仿宋" w:eastAsia="仿宋" w:cs="Arial"/>
          <w:b/>
          <w:color w:val="auto"/>
          <w:sz w:val="24"/>
          <w:highlight w:val="none"/>
        </w:rPr>
        <w:t>）投标文件实质性内容不全或关键字迹模糊无法辨认的；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sz w:val="24"/>
          <w:highlight w:val="none"/>
        </w:rPr>
        <w:t>（</w:t>
      </w:r>
      <w:r>
        <w:rPr>
          <w:rFonts w:ascii="仿宋" w:hAnsi="仿宋" w:eastAsia="仿宋" w:cs="Arial"/>
          <w:b/>
          <w:color w:val="auto"/>
          <w:sz w:val="24"/>
          <w:highlight w:val="none"/>
        </w:rPr>
        <w:t>8</w:t>
      </w:r>
      <w:r>
        <w:rPr>
          <w:rFonts w:hint="eastAsia" w:ascii="仿宋" w:hAnsi="仿宋" w:eastAsia="仿宋" w:cs="Arial"/>
          <w:b/>
          <w:color w:val="auto"/>
          <w:sz w:val="24"/>
          <w:highlight w:val="none"/>
        </w:rPr>
        <w:t>）投标报价超过采购预算或最高限价；</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w:t>
      </w:r>
      <w:r>
        <w:rPr>
          <w:rFonts w:ascii="仿宋" w:hAnsi="仿宋" w:eastAsia="仿宋" w:cs="仿宋"/>
          <w:b/>
          <w:color w:val="auto"/>
          <w:kern w:val="0"/>
          <w:sz w:val="24"/>
          <w:highlight w:val="none"/>
        </w:rPr>
        <w:t>9</w:t>
      </w:r>
      <w:r>
        <w:rPr>
          <w:rFonts w:hint="eastAsia" w:ascii="仿宋" w:hAnsi="仿宋" w:eastAsia="仿宋" w:cs="仿宋"/>
          <w:b/>
          <w:color w:val="auto"/>
          <w:kern w:val="0"/>
          <w:sz w:val="24"/>
          <w:highlight w:val="none"/>
        </w:rPr>
        <w:t>）投标文件出现不是唯一的、有选择性投标报价的；</w:t>
      </w:r>
    </w:p>
    <w:p>
      <w:pPr>
        <w:snapToGrid w:val="0"/>
        <w:spacing w:line="360" w:lineRule="auto"/>
        <w:ind w:firstLine="482" w:firstLineChars="200"/>
        <w:jc w:val="left"/>
        <w:rPr>
          <w:rFonts w:ascii="仿宋" w:hAnsi="仿宋" w:eastAsia="仿宋" w:cs="仿宋"/>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0</w:t>
      </w:r>
      <w:r>
        <w:rPr>
          <w:rFonts w:hint="eastAsia" w:ascii="仿宋" w:hAnsi="仿宋" w:eastAsia="仿宋" w:cs="Arial"/>
          <w:b/>
          <w:color w:val="auto"/>
          <w:kern w:val="0"/>
          <w:sz w:val="24"/>
          <w:highlight w:val="none"/>
        </w:rPr>
        <w:t>）投标人</w:t>
      </w:r>
      <w:r>
        <w:rPr>
          <w:rFonts w:ascii="仿宋" w:hAnsi="仿宋" w:eastAsia="仿宋" w:cs="Arial"/>
          <w:b/>
          <w:color w:val="auto"/>
          <w:kern w:val="0"/>
          <w:sz w:val="24"/>
          <w:highlight w:val="none"/>
        </w:rPr>
        <w:t>对根据修正原则修正后的报价不确认的；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）投标文件有采购人不能接受的附加条件的；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2</w:t>
      </w:r>
      <w:r>
        <w:rPr>
          <w:rFonts w:hint="eastAsia" w:ascii="仿宋" w:hAnsi="仿宋" w:eastAsia="仿宋" w:cs="Arial"/>
          <w:b/>
          <w:color w:val="auto"/>
          <w:sz w:val="24"/>
          <w:highlight w:val="none"/>
        </w:rPr>
        <w:t>）投标人提供虚假材料投标的；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3</w:t>
      </w:r>
      <w:r>
        <w:rPr>
          <w:rFonts w:hint="eastAsia" w:ascii="仿宋" w:hAnsi="仿宋" w:eastAsia="仿宋" w:cs="Arial"/>
          <w:b/>
          <w:color w:val="auto"/>
          <w:sz w:val="24"/>
          <w:highlight w:val="none"/>
        </w:rPr>
        <w:t>）法律、法规和招标文件规定的其他无效情形。</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2.2.2</w:t>
      </w:r>
      <w:r>
        <w:rPr>
          <w:rFonts w:hint="eastAsia" w:ascii="仿宋" w:hAnsi="仿宋" w:eastAsia="仿宋" w:cs="Arial"/>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（2）投标人按照采购人或者采购代理机构的授意撤换、修改投标文件的；</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（5）投标人之间事先约定由某一特定投标人中标、成交；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2.2.3</w:t>
      </w:r>
      <w:r>
        <w:rPr>
          <w:rFonts w:hint="eastAsia" w:ascii="仿宋" w:hAnsi="仿宋" w:eastAsia="仿宋" w:cs="Arial"/>
          <w:b/>
          <w:color w:val="auto"/>
          <w:sz w:val="24"/>
          <w:highlight w:val="none"/>
          <w:u w:val="single"/>
        </w:rPr>
        <w:t>▲有下列情形之一的，视为投标人串通投标，其投标无效</w:t>
      </w:r>
      <w:r>
        <w:rPr>
          <w:rFonts w:hint="eastAsia" w:ascii="仿宋" w:hAnsi="仿宋" w:eastAsia="仿宋" w:cs="Arial"/>
          <w:b/>
          <w:color w:val="auto"/>
          <w:sz w:val="24"/>
          <w:highlight w:val="none"/>
        </w:rPr>
        <w:t>：</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（1）不同投标人的投标文件由同一单位或者个人编制；</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（2）不同投标人委托同一单位或者个人办理投标事宜；</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（3）不同投标人的投标文件载明的项目管理成员或者联系人员为同一人；</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（4）不同投标人的投标文件异常一致或者投标报价呈规律性差异；</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（5）不同投标人的投标文件相互混装；</w:t>
      </w:r>
    </w:p>
    <w:p>
      <w:pPr>
        <w:snapToGrid w:val="0"/>
        <w:spacing w:line="360" w:lineRule="auto"/>
        <w:ind w:firstLine="482" w:firstLineChars="200"/>
        <w:jc w:val="left"/>
        <w:rPr>
          <w:rFonts w:ascii="仿宋" w:hAnsi="仿宋" w:eastAsia="仿宋" w:cs="Arial"/>
          <w:b/>
          <w:color w:val="auto"/>
          <w:sz w:val="24"/>
          <w:highlight w:val="none"/>
        </w:rPr>
      </w:pPr>
      <w:r>
        <w:rPr>
          <w:rFonts w:hint="eastAsia" w:ascii="仿宋" w:hAnsi="仿宋" w:eastAsia="仿宋" w:cs="Arial"/>
          <w:b/>
          <w:color w:val="auto"/>
          <w:sz w:val="24"/>
          <w:highlight w:val="none"/>
        </w:rPr>
        <w:t>2.2.4符合性审查其他要求见评标办法前附表。</w:t>
      </w:r>
    </w:p>
    <w:p>
      <w:pPr>
        <w:snapToGrid w:val="0"/>
        <w:spacing w:line="360" w:lineRule="auto"/>
        <w:ind w:firstLine="482" w:firstLineChars="200"/>
        <w:jc w:val="left"/>
        <w:rPr>
          <w:rFonts w:ascii="仿宋" w:hAnsi="仿宋" w:eastAsia="仿宋" w:cs="Arial"/>
          <w:color w:val="auto"/>
          <w:sz w:val="24"/>
          <w:highlight w:val="none"/>
        </w:rPr>
      </w:pPr>
      <w:r>
        <w:rPr>
          <w:rFonts w:hint="eastAsia" w:ascii="仿宋" w:hAnsi="仿宋" w:eastAsia="仿宋" w:cs="Arial"/>
          <w:b/>
          <w:color w:val="auto"/>
          <w:sz w:val="24"/>
          <w:highlight w:val="none"/>
        </w:rPr>
        <w:t>2.2.5实质上没有响应招标文件要求的投标将被否决，投标人不得通过修正或撤消不合要求的偏离或保留从而使其投标成为实质上响应的投标。</w:t>
      </w:r>
    </w:p>
    <w:p>
      <w:pPr>
        <w:pStyle w:val="6"/>
        <w:widowControl/>
        <w:snapToGrid w:val="0"/>
        <w:spacing w:before="0" w:after="0" w:line="360" w:lineRule="auto"/>
        <w:ind w:firstLine="482" w:firstLineChars="200"/>
        <w:jc w:val="left"/>
        <w:rPr>
          <w:rFonts w:ascii="仿宋" w:hAnsi="仿宋" w:eastAsia="仿宋" w:cstheme="majorBidi"/>
          <w:color w:val="auto"/>
          <w:sz w:val="24"/>
          <w:szCs w:val="24"/>
          <w:highlight w:val="none"/>
        </w:rPr>
      </w:pPr>
      <w:bookmarkStart w:id="119" w:name="_Toc5724"/>
      <w:bookmarkStart w:id="120" w:name="_Toc55302377"/>
      <w:bookmarkStart w:id="121" w:name="_Toc63189379"/>
      <w:bookmarkStart w:id="122" w:name="_Toc55375024"/>
      <w:r>
        <w:rPr>
          <w:rFonts w:hint="eastAsia" w:ascii="仿宋" w:hAnsi="仿宋" w:eastAsia="仿宋" w:cstheme="majorBidi"/>
          <w:color w:val="auto"/>
          <w:sz w:val="24"/>
          <w:szCs w:val="24"/>
          <w:highlight w:val="none"/>
        </w:rPr>
        <w:t>2</w:t>
      </w:r>
      <w:r>
        <w:rPr>
          <w:rFonts w:ascii="仿宋" w:hAnsi="仿宋" w:eastAsia="仿宋" w:cstheme="majorBidi"/>
          <w:color w:val="auto"/>
          <w:sz w:val="24"/>
          <w:szCs w:val="24"/>
          <w:highlight w:val="none"/>
        </w:rPr>
        <w:t>.</w:t>
      </w:r>
      <w:r>
        <w:rPr>
          <w:rFonts w:hint="eastAsia" w:ascii="仿宋" w:hAnsi="仿宋" w:eastAsia="仿宋" w:cstheme="majorBidi"/>
          <w:color w:val="auto"/>
          <w:sz w:val="24"/>
          <w:szCs w:val="24"/>
          <w:highlight w:val="none"/>
        </w:rPr>
        <w:t>3比较与评价（适用于综合评分法）</w:t>
      </w:r>
    </w:p>
    <w:bookmarkEnd w:id="119"/>
    <w:bookmarkEnd w:id="120"/>
    <w:bookmarkEnd w:id="121"/>
    <w:bookmarkEnd w:id="122"/>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.3.1</w:t>
      </w:r>
      <w:r>
        <w:rPr>
          <w:rFonts w:hint="eastAsia" w:ascii="仿宋" w:hAnsi="仿宋" w:eastAsia="仿宋" w:cs="Arial"/>
          <w:color w:val="auto"/>
          <w:sz w:val="24"/>
          <w:highlight w:val="none"/>
        </w:rPr>
        <w:t>分值权重构成</w:t>
      </w:r>
      <w:r>
        <w:rPr>
          <w:rFonts w:hint="eastAsia" w:ascii="仿宋" w:hAnsi="仿宋" w:eastAsia="仿宋"/>
          <w:color w:val="auto"/>
          <w:sz w:val="24"/>
          <w:highlight w:val="none"/>
        </w:rPr>
        <w:t>，见评标办法前附表。</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.2商务技术</w:t>
      </w:r>
      <w:r>
        <w:rPr>
          <w:rFonts w:hint="eastAsia" w:ascii="仿宋" w:hAnsi="仿宋" w:eastAsia="仿宋"/>
          <w:color w:val="auto"/>
          <w:sz w:val="24"/>
          <w:highlight w:val="none"/>
        </w:rPr>
        <w:t>评分标准，见评标办法前附表。</w:t>
      </w:r>
    </w:p>
    <w:p>
      <w:pPr>
        <w:pStyle w:val="25"/>
        <w:snapToGrid w:val="0"/>
        <w:spacing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3</w:t>
      </w:r>
      <w:r>
        <w:rPr>
          <w:rFonts w:hint="eastAsia" w:ascii="仿宋" w:hAnsi="仿宋" w:eastAsia="仿宋"/>
          <w:color w:val="auto"/>
          <w:sz w:val="24"/>
          <w:highlight w:val="none"/>
        </w:rPr>
        <w:t>.3报价评分标准，见评标办法前附表。</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4</w:t>
      </w:r>
      <w:r>
        <w:rPr>
          <w:rFonts w:ascii="仿宋" w:hAnsi="仿宋" w:eastAsia="仿宋" w:cs="Arial"/>
          <w:color w:val="auto"/>
          <w:sz w:val="24"/>
          <w:highlight w:val="none"/>
        </w:rPr>
        <w:t>评分分值计算保留小数点后两位，小数点后第三位“四舍五入”。</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5</w:t>
      </w:r>
      <w:r>
        <w:rPr>
          <w:rFonts w:ascii="仿宋" w:hAnsi="仿宋" w:eastAsia="仿宋" w:cs="Arial"/>
          <w:color w:val="auto"/>
          <w:sz w:val="24"/>
          <w:highlight w:val="none"/>
        </w:rPr>
        <w:t>投标人综合得分=</w:t>
      </w:r>
      <w:r>
        <w:rPr>
          <w:rFonts w:hint="eastAsia" w:ascii="仿宋" w:hAnsi="仿宋" w:eastAsia="仿宋" w:cs="Arial"/>
          <w:color w:val="auto"/>
          <w:sz w:val="24"/>
          <w:highlight w:val="none"/>
        </w:rPr>
        <w:t>商务技术得分+报价得分</w:t>
      </w:r>
      <w:r>
        <w:rPr>
          <w:rFonts w:ascii="仿宋" w:hAnsi="仿宋" w:eastAsia="仿宋" w:cs="Arial"/>
          <w:color w:val="auto"/>
          <w:sz w:val="24"/>
          <w:highlight w:val="none"/>
        </w:rPr>
        <w:t>。</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ascii="仿宋" w:hAnsi="仿宋" w:eastAsia="仿宋" w:cs="Arial"/>
          <w:color w:val="auto"/>
          <w:sz w:val="24"/>
          <w:highlight w:val="none"/>
        </w:rPr>
        <w:t>.3.</w:t>
      </w:r>
      <w:r>
        <w:rPr>
          <w:rFonts w:hint="eastAsia" w:ascii="仿宋" w:hAnsi="仿宋" w:eastAsia="仿宋" w:cs="Arial"/>
          <w:color w:val="auto"/>
          <w:sz w:val="24"/>
          <w:highlight w:val="none"/>
        </w:rPr>
        <w:t>6</w:t>
      </w:r>
      <w:r>
        <w:rPr>
          <w:rFonts w:hint="eastAsia" w:ascii="仿宋" w:hAnsi="仿宋" w:eastAsia="仿宋" w:cs="Arial"/>
          <w:b/>
          <w:color w:val="auto"/>
          <w:sz w:val="24"/>
          <w:highlight w:val="none"/>
          <w:u w:val="single"/>
        </w:rPr>
        <w:t>▲</w:t>
      </w:r>
      <w:r>
        <w:rPr>
          <w:rFonts w:ascii="仿宋" w:hAnsi="仿宋" w:eastAsia="仿宋" w:cs="Arial"/>
          <w:b/>
          <w:color w:val="auto"/>
          <w:sz w:val="24"/>
          <w:highlight w:val="none"/>
          <w:u w:val="single"/>
        </w:rPr>
        <w:t>评标委员会发现投标人的报价明显低于其他投标报价，使得其投标报价可能低于其个别成本的，应当要求该投标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作出书面说明并提供相应的证明材料。投标投标人不能合理说明或者不能提供相应证明材料的，评标委员会应当认定该投标</w:t>
      </w:r>
      <w:r>
        <w:rPr>
          <w:rFonts w:hint="eastAsia" w:ascii="仿宋" w:hAnsi="仿宋" w:eastAsia="仿宋" w:cs="Arial"/>
          <w:b/>
          <w:color w:val="auto"/>
          <w:sz w:val="24"/>
          <w:highlight w:val="none"/>
          <w:u w:val="single"/>
        </w:rPr>
        <w:t>人</w:t>
      </w:r>
      <w:r>
        <w:rPr>
          <w:rFonts w:ascii="仿宋" w:hAnsi="仿宋" w:eastAsia="仿宋" w:cs="Arial"/>
          <w:b/>
          <w:color w:val="auto"/>
          <w:sz w:val="24"/>
          <w:highlight w:val="none"/>
          <w:u w:val="single"/>
        </w:rPr>
        <w:t>以低于成本报价竞标，并否决其投标</w:t>
      </w:r>
      <w:r>
        <w:rPr>
          <w:rFonts w:ascii="仿宋" w:hAnsi="仿宋" w:eastAsia="仿宋" w:cs="Arial"/>
          <w:color w:val="auto"/>
          <w:sz w:val="24"/>
          <w:highlight w:val="none"/>
        </w:rPr>
        <w:t>。</w:t>
      </w:r>
    </w:p>
    <w:p>
      <w:pPr>
        <w:pStyle w:val="6"/>
        <w:widowControl/>
        <w:snapToGrid w:val="0"/>
        <w:spacing w:before="0" w:after="0" w:line="360" w:lineRule="auto"/>
        <w:ind w:firstLine="480" w:firstLineChars="200"/>
        <w:jc w:val="left"/>
        <w:rPr>
          <w:rFonts w:ascii="仿宋" w:hAnsi="仿宋" w:eastAsia="仿宋" w:cs="Arial"/>
          <w:b w:val="0"/>
          <w:color w:val="auto"/>
          <w:sz w:val="24"/>
          <w:szCs w:val="24"/>
          <w:highlight w:val="none"/>
        </w:rPr>
      </w:pPr>
      <w:bookmarkStart w:id="123" w:name="_Toc55302378"/>
      <w:bookmarkStart w:id="124" w:name="_Toc55375025"/>
      <w:bookmarkStart w:id="125" w:name="_Toc11195"/>
      <w:bookmarkStart w:id="126" w:name="_Toc63189380"/>
      <w:r>
        <w:rPr>
          <w:rFonts w:hint="eastAsia" w:ascii="仿宋" w:hAnsi="仿宋" w:eastAsia="仿宋" w:cs="Arial"/>
          <w:b w:val="0"/>
          <w:color w:val="auto"/>
          <w:sz w:val="24"/>
          <w:szCs w:val="24"/>
          <w:highlight w:val="none"/>
        </w:rPr>
        <w:t>2</w:t>
      </w:r>
      <w:r>
        <w:rPr>
          <w:rFonts w:ascii="仿宋" w:hAnsi="仿宋" w:eastAsia="仿宋" w:cs="Arial"/>
          <w:b w:val="0"/>
          <w:color w:val="auto"/>
          <w:sz w:val="24"/>
          <w:szCs w:val="24"/>
          <w:highlight w:val="none"/>
        </w:rPr>
        <w:t>.</w:t>
      </w:r>
      <w:r>
        <w:rPr>
          <w:rFonts w:hint="eastAsia" w:ascii="仿宋" w:hAnsi="仿宋" w:eastAsia="仿宋" w:cs="Arial"/>
          <w:b w:val="0"/>
          <w:color w:val="auto"/>
          <w:sz w:val="24"/>
          <w:szCs w:val="24"/>
          <w:highlight w:val="none"/>
        </w:rPr>
        <w:t>4</w:t>
      </w:r>
      <w:r>
        <w:rPr>
          <w:rFonts w:ascii="仿宋" w:hAnsi="仿宋" w:eastAsia="仿宋" w:cs="Arial"/>
          <w:b w:val="0"/>
          <w:color w:val="auto"/>
          <w:sz w:val="24"/>
          <w:szCs w:val="24"/>
          <w:highlight w:val="none"/>
        </w:rPr>
        <w:t>投标文件的澄清</w:t>
      </w:r>
      <w:bookmarkEnd w:id="123"/>
      <w:bookmarkEnd w:id="124"/>
      <w:bookmarkEnd w:id="125"/>
      <w:bookmarkEnd w:id="126"/>
    </w:p>
    <w:p>
      <w:pPr>
        <w:snapToGrid w:val="0"/>
        <w:spacing w:line="360" w:lineRule="auto"/>
        <w:ind w:firstLine="480" w:firstLineChars="200"/>
        <w:jc w:val="left"/>
        <w:rPr>
          <w:rFonts w:ascii="仿宋" w:hAnsi="仿宋" w:eastAsia="仿宋" w:cs="Arial"/>
          <w:bCs/>
          <w:color w:val="auto"/>
          <w:sz w:val="24"/>
          <w:highlight w:val="none"/>
        </w:rPr>
      </w:pPr>
      <w:r>
        <w:rPr>
          <w:rFonts w:hint="eastAsia" w:ascii="仿宋" w:hAnsi="仿宋" w:eastAsia="仿宋" w:cs="Arial"/>
          <w:bCs/>
          <w:color w:val="auto"/>
          <w:sz w:val="24"/>
          <w:highlight w:val="none"/>
        </w:rPr>
        <w:t>2.4</w:t>
      </w:r>
      <w:r>
        <w:rPr>
          <w:rFonts w:ascii="仿宋" w:hAnsi="仿宋" w:eastAsia="仿宋" w:cs="Arial"/>
          <w:bCs/>
          <w:color w:val="auto"/>
          <w:sz w:val="24"/>
          <w:highlight w:val="none"/>
        </w:rPr>
        <w:t>.1</w:t>
      </w:r>
      <w:r>
        <w:rPr>
          <w:rFonts w:hint="eastAsia" w:ascii="仿宋" w:hAnsi="仿宋" w:eastAsia="仿宋" w:cs="Arial"/>
          <w:bCs/>
          <w:color w:val="auto"/>
          <w:sz w:val="24"/>
          <w:highlight w:val="none"/>
        </w:rPr>
        <w:t>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pPr>
        <w:pStyle w:val="89"/>
        <w:snapToGrid w:val="0"/>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2.4.2</w:t>
      </w:r>
      <w:r>
        <w:rPr>
          <w:rFonts w:ascii="仿宋" w:hAnsi="仿宋" w:eastAsia="仿宋" w:cs="Arial"/>
          <w:color w:val="auto"/>
          <w:kern w:val="0"/>
          <w:szCs w:val="24"/>
          <w:highlight w:val="none"/>
        </w:rPr>
        <w:t>投标文件报价出现前后不一致的，按照下列规定修正：</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ascii="仿宋" w:hAnsi="仿宋" w:eastAsia="仿宋" w:cs="仿宋"/>
          <w:color w:val="auto"/>
          <w:kern w:val="0"/>
          <w:szCs w:val="24"/>
          <w:highlight w:val="none"/>
        </w:rPr>
        <w:t>投标文件中开标一览表(报价表)内容与投标文件中相应内容不一致的，以开标一览表(报价表)为准;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大写金额和小写金额不一致的，以大写金额为准;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r>
        <w:rPr>
          <w:rFonts w:ascii="仿宋" w:hAnsi="仿宋" w:eastAsia="仿宋" w:cs="仿宋"/>
          <w:color w:val="auto"/>
          <w:kern w:val="0"/>
          <w:szCs w:val="24"/>
          <w:highlight w:val="none"/>
        </w:rPr>
        <w:t>单价金额小数点或者百分比有明显错位的，以开标一览表的总价为准，并修改单价;</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ascii="仿宋" w:hAnsi="仿宋" w:eastAsia="仿宋" w:cs="仿宋"/>
          <w:color w:val="auto"/>
          <w:kern w:val="0"/>
          <w:szCs w:val="24"/>
          <w:highlight w:val="none"/>
        </w:rPr>
        <w:t>总价金额与按单价汇总金额不一致的，以单价金额计算结果为准。</w:t>
      </w:r>
    </w:p>
    <w:p>
      <w:pPr>
        <w:pStyle w:val="89"/>
        <w:snapToGrid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ascii="仿宋" w:hAnsi="仿宋" w:eastAsia="仿宋" w:cs="仿宋"/>
          <w:color w:val="auto"/>
          <w:kern w:val="0"/>
          <w:szCs w:val="24"/>
          <w:highlight w:val="none"/>
        </w:rPr>
        <w:t>同时出现两种以上不一致的，按照</w:t>
      </w:r>
      <w:r>
        <w:rPr>
          <w:rFonts w:hint="eastAsia" w:ascii="仿宋" w:hAnsi="仿宋" w:eastAsia="仿宋" w:cs="仿宋"/>
          <w:color w:val="auto"/>
          <w:kern w:val="0"/>
          <w:szCs w:val="24"/>
          <w:highlight w:val="none"/>
        </w:rPr>
        <w:t>上述规定的顺序修正。修正后的报价经投标人确认后产生约束力。</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澄清、说明或补正不得超出投标文件的范围且不得改变投标文件的实质性内容，并构成投标文件的组成部分。</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2.4</w:t>
      </w:r>
      <w:r>
        <w:rPr>
          <w:rFonts w:ascii="仿宋" w:hAnsi="仿宋" w:eastAsia="仿宋" w:cs="Arial"/>
          <w:color w:val="auto"/>
          <w:sz w:val="24"/>
          <w:highlight w:val="none"/>
        </w:rPr>
        <w:t>.</w:t>
      </w:r>
      <w:r>
        <w:rPr>
          <w:rFonts w:hint="eastAsia" w:ascii="仿宋" w:hAnsi="仿宋" w:eastAsia="仿宋" w:cs="Arial"/>
          <w:color w:val="auto"/>
          <w:sz w:val="24"/>
          <w:highlight w:val="none"/>
        </w:rPr>
        <w:t>4</w:t>
      </w:r>
      <w:r>
        <w:rPr>
          <w:rFonts w:ascii="仿宋" w:hAnsi="仿宋" w:eastAsia="仿宋" w:cs="Arial"/>
          <w:color w:val="auto"/>
          <w:sz w:val="24"/>
          <w:highlight w:val="none"/>
        </w:rPr>
        <w:t>评标委员会对投标</w:t>
      </w:r>
      <w:r>
        <w:rPr>
          <w:rFonts w:hint="eastAsia" w:ascii="仿宋" w:hAnsi="仿宋" w:eastAsia="仿宋" w:cs="Arial"/>
          <w:color w:val="auto"/>
          <w:sz w:val="24"/>
          <w:highlight w:val="none"/>
        </w:rPr>
        <w:t>人</w:t>
      </w:r>
      <w:r>
        <w:rPr>
          <w:rFonts w:ascii="仿宋" w:hAnsi="仿宋" w:eastAsia="仿宋" w:cs="Arial"/>
          <w:color w:val="auto"/>
          <w:sz w:val="24"/>
          <w:highlight w:val="none"/>
        </w:rPr>
        <w:t>提交的澄清、说明或补正有疑问的，可以要求投标</w:t>
      </w:r>
      <w:r>
        <w:rPr>
          <w:rFonts w:hint="eastAsia" w:ascii="仿宋" w:hAnsi="仿宋" w:eastAsia="仿宋" w:cs="Arial"/>
          <w:color w:val="auto"/>
          <w:sz w:val="24"/>
          <w:highlight w:val="none"/>
        </w:rPr>
        <w:t>人</w:t>
      </w:r>
      <w:r>
        <w:rPr>
          <w:rFonts w:ascii="仿宋" w:hAnsi="仿宋" w:eastAsia="仿宋" w:cs="Arial"/>
          <w:color w:val="auto"/>
          <w:sz w:val="24"/>
          <w:highlight w:val="none"/>
        </w:rPr>
        <w:t>进一步澄清、说明或补正，直至满足评标委员会的要求。</w:t>
      </w:r>
    </w:p>
    <w:p>
      <w:pPr>
        <w:pStyle w:val="5"/>
        <w:snapToGrid w:val="0"/>
        <w:spacing w:before="0" w:after="0" w:line="360" w:lineRule="auto"/>
        <w:rPr>
          <w:rFonts w:ascii="仿宋" w:hAnsi="仿宋" w:eastAsia="仿宋"/>
          <w:color w:val="auto"/>
          <w:sz w:val="24"/>
          <w:szCs w:val="24"/>
          <w:highlight w:val="none"/>
        </w:rPr>
      </w:pPr>
      <w:bookmarkStart w:id="127" w:name="_Toc55302379"/>
      <w:bookmarkStart w:id="128" w:name="_Toc63189381"/>
      <w:bookmarkStart w:id="129" w:name="_Toc11850"/>
      <w:r>
        <w:rPr>
          <w:rFonts w:hint="eastAsia" w:ascii="仿宋" w:hAnsi="仿宋" w:eastAsia="仿宋"/>
          <w:color w:val="auto"/>
          <w:sz w:val="24"/>
          <w:szCs w:val="24"/>
          <w:highlight w:val="none"/>
        </w:rPr>
        <w:t>3</w:t>
      </w:r>
      <w:r>
        <w:rPr>
          <w:rFonts w:ascii="仿宋" w:hAnsi="仿宋" w:eastAsia="仿宋"/>
          <w:color w:val="auto"/>
          <w:sz w:val="24"/>
          <w:szCs w:val="24"/>
          <w:highlight w:val="none"/>
        </w:rPr>
        <w:t>.评标结果</w:t>
      </w:r>
      <w:bookmarkEnd w:id="127"/>
      <w:bookmarkEnd w:id="128"/>
      <w:bookmarkEnd w:id="129"/>
    </w:p>
    <w:p>
      <w:pPr>
        <w:snapToGrid w:val="0"/>
        <w:spacing w:line="360" w:lineRule="auto"/>
        <w:ind w:firstLine="480" w:firstLineChars="200"/>
        <w:jc w:val="left"/>
        <w:rPr>
          <w:rFonts w:ascii="仿宋" w:hAnsi="仿宋" w:eastAsia="仿宋" w:cs="Arial"/>
          <w:color w:val="auto"/>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1</w:t>
      </w:r>
      <w:r>
        <w:rPr>
          <w:rFonts w:hint="eastAsia" w:ascii="仿宋" w:hAnsi="仿宋" w:eastAsia="仿宋" w:cs="Arial"/>
          <w:color w:val="auto"/>
          <w:sz w:val="24"/>
          <w:highlight w:val="none"/>
        </w:rPr>
        <w:t>采用最低评标价法的，评标委员会按评标价（投标报价）从低到高的排序推荐中标候选人。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sz w:val="24"/>
          <w:highlight w:val="none"/>
        </w:rPr>
        <w:t>采用综合评分法的，</w:t>
      </w:r>
      <w:r>
        <w:rPr>
          <w:rFonts w:ascii="仿宋" w:hAnsi="仿宋" w:eastAsia="仿宋" w:cs="Arial"/>
          <w:color w:val="auto"/>
          <w:sz w:val="24"/>
          <w:highlight w:val="none"/>
        </w:rPr>
        <w:t>评标委员会按照投标</w:t>
      </w:r>
      <w:r>
        <w:rPr>
          <w:rFonts w:hint="eastAsia" w:ascii="仿宋" w:hAnsi="仿宋" w:eastAsia="仿宋" w:cs="Arial"/>
          <w:color w:val="auto"/>
          <w:sz w:val="24"/>
          <w:highlight w:val="none"/>
        </w:rPr>
        <w:t>人</w:t>
      </w:r>
      <w:r>
        <w:rPr>
          <w:rFonts w:ascii="仿宋" w:hAnsi="仿宋" w:eastAsia="仿宋" w:cs="Arial"/>
          <w:color w:val="auto"/>
          <w:sz w:val="24"/>
          <w:highlight w:val="none"/>
        </w:rPr>
        <w:t>综合得分由高到低的顺序推荐中标候选人。</w:t>
      </w:r>
    </w:p>
    <w:p>
      <w:pPr>
        <w:snapToGrid w:val="0"/>
        <w:spacing w:line="360" w:lineRule="auto"/>
        <w:ind w:firstLine="480" w:firstLineChars="200"/>
        <w:jc w:val="left"/>
        <w:rPr>
          <w:rFonts w:ascii="仿宋" w:hAnsi="仿宋" w:eastAsia="仿宋" w:cs="Arial"/>
          <w:color w:val="auto"/>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ascii="仿宋" w:hAnsi="仿宋" w:eastAsia="仿宋" w:cs="Arial"/>
          <w:b/>
          <w:color w:val="auto"/>
          <w:kern w:val="0"/>
          <w:sz w:val="24"/>
          <w:highlight w:val="none"/>
        </w:rPr>
      </w:pPr>
      <w:r>
        <w:rPr>
          <w:rFonts w:ascii="仿宋" w:hAnsi="仿宋" w:eastAsia="仿宋" w:cs="Arial"/>
          <w:color w:val="auto"/>
          <w:sz w:val="24"/>
          <w:highlight w:val="none"/>
        </w:rPr>
        <w:t>3</w:t>
      </w:r>
      <w:r>
        <w:rPr>
          <w:rFonts w:hint="eastAsia" w:ascii="仿宋" w:hAnsi="仿宋" w:eastAsia="仿宋" w:cs="Arial"/>
          <w:color w:val="auto"/>
          <w:sz w:val="24"/>
          <w:highlight w:val="none"/>
        </w:rPr>
        <w:t>.</w:t>
      </w:r>
      <w:r>
        <w:rPr>
          <w:rFonts w:ascii="仿宋" w:hAnsi="仿宋" w:eastAsia="仿宋" w:cs="Arial"/>
          <w:color w:val="auto"/>
          <w:sz w:val="24"/>
          <w:highlight w:val="none"/>
        </w:rPr>
        <w:t>2 评标委员会完成评标后，应当向采购人提交书面评标报告和中标候选人名单。</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4.其他</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4.1</w:t>
      </w:r>
      <w:r>
        <w:rPr>
          <w:rFonts w:ascii="仿宋" w:hAnsi="仿宋" w:eastAsia="仿宋" w:cs="仿宋_GB2312"/>
          <w:color w:val="auto"/>
          <w:sz w:val="24"/>
          <w:highlight w:val="none"/>
        </w:rPr>
        <w:t>废标</w:t>
      </w:r>
    </w:p>
    <w:p>
      <w:pPr>
        <w:widowControl/>
        <w:shd w:val="clear" w:color="auto" w:fill="FFFFFF"/>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根据《中华人民共和国政府采购法》第三十六条之规定，在采购中，出现下列情形之一的，应予废标：</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符合专业条件的投标人或者对</w:t>
      </w:r>
      <w:r>
        <w:rPr>
          <w:rFonts w:hint="eastAsia" w:ascii="仿宋" w:hAnsi="仿宋" w:eastAsia="仿宋" w:cs="仿宋_GB2312"/>
          <w:color w:val="auto"/>
          <w:highlight w:val="none"/>
        </w:rPr>
        <w:t>招标文件</w:t>
      </w:r>
      <w:r>
        <w:rPr>
          <w:rFonts w:ascii="仿宋" w:hAnsi="仿宋" w:eastAsia="仿宋" w:cs="仿宋_GB2312"/>
          <w:color w:val="auto"/>
          <w:highlight w:val="none"/>
        </w:rPr>
        <w:t>作实质响应的投标人不足3家的；</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w:t>
      </w:r>
      <w:r>
        <w:rPr>
          <w:rFonts w:ascii="仿宋" w:hAnsi="仿宋" w:eastAsia="仿宋" w:cs="仿宋_GB2312"/>
          <w:color w:val="auto"/>
          <w:highlight w:val="none"/>
        </w:rPr>
        <w:t>出现影响采购公正的违法、违规行为的；</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（3）投标人</w:t>
      </w:r>
      <w:r>
        <w:rPr>
          <w:rFonts w:ascii="仿宋" w:hAnsi="仿宋" w:eastAsia="仿宋" w:cs="仿宋_GB2312"/>
          <w:color w:val="auto"/>
          <w:highlight w:val="none"/>
        </w:rPr>
        <w:t>的报价均超过了采购预算，采购人不能支付的；</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w:t>
      </w:r>
      <w:r>
        <w:rPr>
          <w:rFonts w:ascii="仿宋" w:hAnsi="仿宋" w:eastAsia="仿宋" w:cs="仿宋_GB2312"/>
          <w:color w:val="auto"/>
          <w:highlight w:val="none"/>
        </w:rPr>
        <w:t>因重大变故，采购任务取消的。</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废标后，采购机构应当将废标理由通知所有投标人。</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4.2</w:t>
      </w:r>
      <w:r>
        <w:rPr>
          <w:rFonts w:ascii="仿宋" w:hAnsi="仿宋" w:eastAsia="仿宋" w:cs="仿宋_GB2312"/>
          <w:color w:val="auto"/>
          <w:highlight w:val="none"/>
        </w:rPr>
        <w:t>修改</w:t>
      </w:r>
      <w:r>
        <w:rPr>
          <w:rFonts w:hint="eastAsia" w:ascii="仿宋" w:hAnsi="仿宋" w:eastAsia="仿宋" w:cs="仿宋_GB2312"/>
          <w:color w:val="auto"/>
          <w:highlight w:val="none"/>
        </w:rPr>
        <w:t>招标文件</w:t>
      </w:r>
      <w:r>
        <w:rPr>
          <w:rFonts w:ascii="仿宋" w:hAnsi="仿宋" w:eastAsia="仿宋" w:cs="仿宋_GB2312"/>
          <w:color w:val="auto"/>
          <w:highlight w:val="none"/>
        </w:rPr>
        <w:t>，重新组织采购活动。</w:t>
      </w:r>
    </w:p>
    <w:p>
      <w:pPr>
        <w:pStyle w:val="3"/>
        <w:adjustRightInd w:val="0"/>
        <w:snapToGrid w:val="0"/>
        <w:spacing w:line="360" w:lineRule="auto"/>
        <w:ind w:left="0"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13"/>
    </w:p>
    <w:bookmarkEnd w:id="68"/>
    <w:bookmarkEnd w:id="69"/>
    <w:p>
      <w:pPr>
        <w:widowControl/>
        <w:adjustRightInd/>
        <w:jc w:val="left"/>
        <w:rPr>
          <w:rFonts w:ascii="仿宋" w:hAnsi="仿宋" w:eastAsia="仿宋"/>
          <w:color w:val="auto"/>
          <w:sz w:val="24"/>
          <w:highlight w:val="none"/>
        </w:rPr>
      </w:pPr>
    </w:p>
    <w:sectPr>
      <w:footerReference r:id="rId5" w:type="first"/>
      <w:footerReference r:id="rId4" w:type="default"/>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D0C46"/>
    <w:multiLevelType w:val="singleLevel"/>
    <w:tmpl w:val="8DFD0C46"/>
    <w:lvl w:ilvl="0" w:tentative="0">
      <w:start w:val="5"/>
      <w:numFmt w:val="chineseCounting"/>
      <w:suff w:val="nothing"/>
      <w:lvlText w:val="%1、"/>
      <w:lvlJc w:val="left"/>
      <w:rPr>
        <w:rFonts w:hint="eastAsia"/>
      </w:rPr>
    </w:lvl>
  </w:abstractNum>
  <w:abstractNum w:abstractNumId="1">
    <w:nsid w:val="B7FC8153"/>
    <w:multiLevelType w:val="singleLevel"/>
    <w:tmpl w:val="B7FC8153"/>
    <w:lvl w:ilvl="0" w:tentative="0">
      <w:start w:val="1"/>
      <w:numFmt w:val="decimal"/>
      <w:suff w:val="nothing"/>
      <w:lvlText w:val="%1、"/>
      <w:lvlJc w:val="left"/>
    </w:lvl>
  </w:abstractNum>
  <w:abstractNum w:abstractNumId="2">
    <w:nsid w:val="B8338D29"/>
    <w:multiLevelType w:val="singleLevel"/>
    <w:tmpl w:val="B8338D29"/>
    <w:lvl w:ilvl="0" w:tentative="0">
      <w:start w:val="4"/>
      <w:numFmt w:val="chineseCounting"/>
      <w:suff w:val="space"/>
      <w:lvlText w:val="（%1）"/>
      <w:lvlJc w:val="left"/>
      <w:rPr>
        <w:rFonts w:hint="eastAsia"/>
      </w:rPr>
    </w:lvl>
  </w:abstractNum>
  <w:abstractNum w:abstractNumId="3">
    <w:nsid w:val="C50E6E8F"/>
    <w:multiLevelType w:val="singleLevel"/>
    <w:tmpl w:val="C50E6E8F"/>
    <w:lvl w:ilvl="0" w:tentative="0">
      <w:start w:val="5"/>
      <w:numFmt w:val="decimal"/>
      <w:lvlText w:val="%1."/>
      <w:lvlJc w:val="left"/>
      <w:pPr>
        <w:tabs>
          <w:tab w:val="left" w:pos="312"/>
        </w:tabs>
      </w:pPr>
    </w:lvl>
  </w:abstractNum>
  <w:abstractNum w:abstractNumId="4">
    <w:nsid w:val="FD6FAA81"/>
    <w:multiLevelType w:val="singleLevel"/>
    <w:tmpl w:val="FD6FAA81"/>
    <w:lvl w:ilvl="0" w:tentative="0">
      <w:start w:val="1"/>
      <w:numFmt w:val="chineseCounting"/>
      <w:suff w:val="nothing"/>
      <w:lvlText w:val="%1、"/>
      <w:lvlJc w:val="left"/>
      <w:rPr>
        <w:rFonts w:hint="eastAsia"/>
      </w:rPr>
    </w:lvl>
  </w:abstractNum>
  <w:abstractNum w:abstractNumId="5">
    <w:nsid w:val="01A857E6"/>
    <w:multiLevelType w:val="singleLevel"/>
    <w:tmpl w:val="01A857E6"/>
    <w:lvl w:ilvl="0" w:tentative="0">
      <w:start w:val="1"/>
      <w:numFmt w:val="decimal"/>
      <w:lvlText w:val="%1."/>
      <w:lvlJc w:val="left"/>
      <w:pPr>
        <w:tabs>
          <w:tab w:val="left" w:pos="312"/>
        </w:tabs>
      </w:pPr>
    </w:lvl>
  </w:abstractNum>
  <w:abstractNum w:abstractNumId="6">
    <w:nsid w:val="020E0753"/>
    <w:multiLevelType w:val="multilevel"/>
    <w:tmpl w:val="020E075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A806EE9"/>
    <w:multiLevelType w:val="multilevel"/>
    <w:tmpl w:val="0A806EE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55D3B3F"/>
    <w:multiLevelType w:val="multilevel"/>
    <w:tmpl w:val="155D3B3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C1BAE51"/>
    <w:multiLevelType w:val="singleLevel"/>
    <w:tmpl w:val="1C1BAE51"/>
    <w:lvl w:ilvl="0" w:tentative="0">
      <w:start w:val="2"/>
      <w:numFmt w:val="decimal"/>
      <w:suff w:val="nothing"/>
      <w:lvlText w:val="%1、"/>
      <w:lvlJc w:val="left"/>
    </w:lvl>
  </w:abstractNum>
  <w:abstractNum w:abstractNumId="10">
    <w:nsid w:val="1EAA50E6"/>
    <w:multiLevelType w:val="singleLevel"/>
    <w:tmpl w:val="1EAA50E6"/>
    <w:lvl w:ilvl="0" w:tentative="0">
      <w:start w:val="2"/>
      <w:numFmt w:val="decimal"/>
      <w:suff w:val="nothing"/>
      <w:lvlText w:val="%1、"/>
      <w:lvlJc w:val="left"/>
    </w:lvl>
  </w:abstractNum>
  <w:abstractNum w:abstractNumId="11">
    <w:nsid w:val="2F4D7D92"/>
    <w:multiLevelType w:val="singleLevel"/>
    <w:tmpl w:val="2F4D7D92"/>
    <w:lvl w:ilvl="0" w:tentative="0">
      <w:start w:val="1"/>
      <w:numFmt w:val="decimal"/>
      <w:suff w:val="nothing"/>
      <w:lvlText w:val="%1、"/>
      <w:lvlJc w:val="left"/>
    </w:lvl>
  </w:abstractNum>
  <w:abstractNum w:abstractNumId="12">
    <w:nsid w:val="43D51630"/>
    <w:multiLevelType w:val="multilevel"/>
    <w:tmpl w:val="43D5163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DA7216A"/>
    <w:multiLevelType w:val="singleLevel"/>
    <w:tmpl w:val="4DA7216A"/>
    <w:lvl w:ilvl="0" w:tentative="0">
      <w:start w:val="1"/>
      <w:numFmt w:val="decimal"/>
      <w:lvlText w:val="%1."/>
      <w:lvlJc w:val="left"/>
      <w:pPr>
        <w:tabs>
          <w:tab w:val="left" w:pos="312"/>
        </w:tabs>
      </w:pPr>
    </w:lvl>
  </w:abstractNum>
  <w:abstractNum w:abstractNumId="14">
    <w:nsid w:val="57DFD373"/>
    <w:multiLevelType w:val="singleLevel"/>
    <w:tmpl w:val="57DFD373"/>
    <w:lvl w:ilvl="0" w:tentative="0">
      <w:start w:val="2"/>
      <w:numFmt w:val="chineseCounting"/>
      <w:suff w:val="space"/>
      <w:lvlText w:val="第%1条"/>
      <w:lvlJc w:val="left"/>
    </w:lvl>
  </w:abstractNum>
  <w:abstractNum w:abstractNumId="15">
    <w:nsid w:val="57EB736D"/>
    <w:multiLevelType w:val="singleLevel"/>
    <w:tmpl w:val="57EB736D"/>
    <w:lvl w:ilvl="0" w:tentative="0">
      <w:start w:val="1"/>
      <w:numFmt w:val="chineseCounting"/>
      <w:suff w:val="nothing"/>
      <w:lvlText w:val="（%1）"/>
      <w:lvlJc w:val="left"/>
    </w:lvl>
  </w:abstractNum>
  <w:abstractNum w:abstractNumId="16">
    <w:nsid w:val="5F237DC7"/>
    <w:multiLevelType w:val="singleLevel"/>
    <w:tmpl w:val="5F237DC7"/>
    <w:lvl w:ilvl="0" w:tentative="0">
      <w:start w:val="1"/>
      <w:numFmt w:val="decimal"/>
      <w:suff w:val="nothing"/>
      <w:lvlText w:val="%1、"/>
      <w:lvlJc w:val="left"/>
    </w:lvl>
  </w:abstractNum>
  <w:abstractNum w:abstractNumId="17">
    <w:nsid w:val="5F842F8B"/>
    <w:multiLevelType w:val="singleLevel"/>
    <w:tmpl w:val="5F842F8B"/>
    <w:lvl w:ilvl="0" w:tentative="0">
      <w:start w:val="1"/>
      <w:numFmt w:val="decimal"/>
      <w:lvlText w:val="%1."/>
      <w:lvlJc w:val="left"/>
      <w:pPr>
        <w:tabs>
          <w:tab w:val="left" w:pos="312"/>
        </w:tabs>
      </w:pPr>
    </w:lvl>
  </w:abstractNum>
  <w:abstractNum w:abstractNumId="18">
    <w:nsid w:val="672D77B4"/>
    <w:multiLevelType w:val="multilevel"/>
    <w:tmpl w:val="672D77B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14"/>
  </w:num>
  <w:num w:numId="4">
    <w:abstractNumId w:val="15"/>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0"/>
  </w:num>
  <w:num w:numId="16">
    <w:abstractNumId w:val="17"/>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37B75"/>
    <w:rsid w:val="0015627F"/>
    <w:rsid w:val="00174731"/>
    <w:rsid w:val="001906B5"/>
    <w:rsid w:val="00195681"/>
    <w:rsid w:val="0019582A"/>
    <w:rsid w:val="00197512"/>
    <w:rsid w:val="001A1625"/>
    <w:rsid w:val="001A298E"/>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E58CB"/>
    <w:rsid w:val="002F67B8"/>
    <w:rsid w:val="00316D20"/>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9573E"/>
    <w:rsid w:val="004B3955"/>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13D5"/>
    <w:rsid w:val="00744343"/>
    <w:rsid w:val="007540F0"/>
    <w:rsid w:val="00785ECA"/>
    <w:rsid w:val="007939B2"/>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2771"/>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7A15"/>
    <w:rsid w:val="00A81A07"/>
    <w:rsid w:val="00A834D3"/>
    <w:rsid w:val="00A9254C"/>
    <w:rsid w:val="00AA01F8"/>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EF78D4"/>
    <w:rsid w:val="00F06DF6"/>
    <w:rsid w:val="00F25DD9"/>
    <w:rsid w:val="00F264A2"/>
    <w:rsid w:val="00F46AC9"/>
    <w:rsid w:val="00F65871"/>
    <w:rsid w:val="00FC3129"/>
    <w:rsid w:val="00FE150A"/>
    <w:rsid w:val="00FF01A3"/>
    <w:rsid w:val="00FF49D3"/>
    <w:rsid w:val="00FF52D0"/>
    <w:rsid w:val="00FF675A"/>
    <w:rsid w:val="01E00940"/>
    <w:rsid w:val="01F75C9B"/>
    <w:rsid w:val="01FD4515"/>
    <w:rsid w:val="02CE204E"/>
    <w:rsid w:val="02DC0F56"/>
    <w:rsid w:val="03FC2AF8"/>
    <w:rsid w:val="040F24B3"/>
    <w:rsid w:val="04C6640A"/>
    <w:rsid w:val="054E3583"/>
    <w:rsid w:val="058F1DA1"/>
    <w:rsid w:val="05AB20CE"/>
    <w:rsid w:val="06674241"/>
    <w:rsid w:val="06996619"/>
    <w:rsid w:val="0A3B7A5B"/>
    <w:rsid w:val="0B133295"/>
    <w:rsid w:val="0C5F5830"/>
    <w:rsid w:val="0C787E11"/>
    <w:rsid w:val="100B564F"/>
    <w:rsid w:val="11650805"/>
    <w:rsid w:val="116B48A3"/>
    <w:rsid w:val="12A24DD3"/>
    <w:rsid w:val="13F31CEC"/>
    <w:rsid w:val="146E71FC"/>
    <w:rsid w:val="171341C7"/>
    <w:rsid w:val="17F53B40"/>
    <w:rsid w:val="197E12C4"/>
    <w:rsid w:val="1A2B69FB"/>
    <w:rsid w:val="1A8A2CA1"/>
    <w:rsid w:val="1DCC3252"/>
    <w:rsid w:val="1EAC1274"/>
    <w:rsid w:val="1F0D2F22"/>
    <w:rsid w:val="1FAF692C"/>
    <w:rsid w:val="1FB56100"/>
    <w:rsid w:val="2002491C"/>
    <w:rsid w:val="201E5705"/>
    <w:rsid w:val="216C41C5"/>
    <w:rsid w:val="22A4567B"/>
    <w:rsid w:val="23284BC1"/>
    <w:rsid w:val="234B38E8"/>
    <w:rsid w:val="23EE3F08"/>
    <w:rsid w:val="243B6401"/>
    <w:rsid w:val="24B93367"/>
    <w:rsid w:val="24DA4A14"/>
    <w:rsid w:val="25B508B9"/>
    <w:rsid w:val="25D12A1F"/>
    <w:rsid w:val="26AD52DE"/>
    <w:rsid w:val="276245CA"/>
    <w:rsid w:val="290B5854"/>
    <w:rsid w:val="2A3C4980"/>
    <w:rsid w:val="2BDF0788"/>
    <w:rsid w:val="2DF44B03"/>
    <w:rsid w:val="2E221EB6"/>
    <w:rsid w:val="30BD0A0F"/>
    <w:rsid w:val="31C92B6A"/>
    <w:rsid w:val="33705100"/>
    <w:rsid w:val="348F2135"/>
    <w:rsid w:val="34994E28"/>
    <w:rsid w:val="351816B7"/>
    <w:rsid w:val="36AA1648"/>
    <w:rsid w:val="377E0EAD"/>
    <w:rsid w:val="38B457B7"/>
    <w:rsid w:val="393437A5"/>
    <w:rsid w:val="3F1B1148"/>
    <w:rsid w:val="3F8735D7"/>
    <w:rsid w:val="400C48E8"/>
    <w:rsid w:val="415C535B"/>
    <w:rsid w:val="41C41E06"/>
    <w:rsid w:val="43010842"/>
    <w:rsid w:val="433754B8"/>
    <w:rsid w:val="437A6770"/>
    <w:rsid w:val="43DF6CA5"/>
    <w:rsid w:val="46285882"/>
    <w:rsid w:val="467F3293"/>
    <w:rsid w:val="46B77092"/>
    <w:rsid w:val="481B6B4D"/>
    <w:rsid w:val="4A3C5CD9"/>
    <w:rsid w:val="4A992A6B"/>
    <w:rsid w:val="4B440D3F"/>
    <w:rsid w:val="4F945E2B"/>
    <w:rsid w:val="50951247"/>
    <w:rsid w:val="528B0138"/>
    <w:rsid w:val="53144943"/>
    <w:rsid w:val="541C4452"/>
    <w:rsid w:val="54ED43FA"/>
    <w:rsid w:val="560C3D45"/>
    <w:rsid w:val="572940E1"/>
    <w:rsid w:val="572B3201"/>
    <w:rsid w:val="58827129"/>
    <w:rsid w:val="59AE324E"/>
    <w:rsid w:val="5B7070BD"/>
    <w:rsid w:val="5BA62285"/>
    <w:rsid w:val="5C3A4B6E"/>
    <w:rsid w:val="5DBB5D65"/>
    <w:rsid w:val="5E1D1E0D"/>
    <w:rsid w:val="5E2F23C7"/>
    <w:rsid w:val="5F785328"/>
    <w:rsid w:val="60F4769D"/>
    <w:rsid w:val="6192725F"/>
    <w:rsid w:val="64330903"/>
    <w:rsid w:val="65F07FF5"/>
    <w:rsid w:val="684E61E3"/>
    <w:rsid w:val="6A7E67C9"/>
    <w:rsid w:val="6AC34BAE"/>
    <w:rsid w:val="6B78215A"/>
    <w:rsid w:val="6DE92087"/>
    <w:rsid w:val="6E7853A9"/>
    <w:rsid w:val="6F4E0AFA"/>
    <w:rsid w:val="71091734"/>
    <w:rsid w:val="71091775"/>
    <w:rsid w:val="72ED2AD8"/>
    <w:rsid w:val="732C0C94"/>
    <w:rsid w:val="735C6312"/>
    <w:rsid w:val="73D15ABA"/>
    <w:rsid w:val="73D257CB"/>
    <w:rsid w:val="74CF0287"/>
    <w:rsid w:val="74E7049B"/>
    <w:rsid w:val="75742372"/>
    <w:rsid w:val="760F39AA"/>
    <w:rsid w:val="770D0A7C"/>
    <w:rsid w:val="7B2B4F64"/>
    <w:rsid w:val="7C327EAD"/>
    <w:rsid w:val="7F3C401D"/>
    <w:rsid w:val="7F6E3D2A"/>
    <w:rsid w:val="7F9A5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8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96"/>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0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160"/>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2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16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42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2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2"/>
    <w:semiHidden/>
    <w:unhideWhenUsed/>
    <w:qFormat/>
    <w:uiPriority w:val="0"/>
    <w:pPr>
      <w:adjustRightInd w:val="0"/>
      <w:spacing w:after="120"/>
      <w:ind w:left="420" w:leftChars="200" w:firstLine="420" w:firstLineChars="200"/>
    </w:pPr>
    <w:rPr>
      <w:rFonts w:ascii="宋体" w:hAnsi="宋体" w:eastAsiaTheme="minorEastAsia"/>
      <w:sz w:val="21"/>
    </w:rPr>
  </w:style>
  <w:style w:type="paragraph" w:styleId="3">
    <w:name w:val="Body Text Indent"/>
    <w:basedOn w:val="1"/>
    <w:link w:val="83"/>
    <w:qFormat/>
    <w:uiPriority w:val="0"/>
    <w:pPr>
      <w:adjustRightInd/>
      <w:ind w:left="480" w:hanging="480" w:hangingChars="200"/>
    </w:pPr>
    <w:rPr>
      <w:rFonts w:eastAsia="Cambria" w:asciiTheme="minorHAnsi" w:hAnsiTheme="minorHAnsi" w:cstheme="minorBidi"/>
      <w:sz w:val="24"/>
    </w:r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99"/>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7">
    <w:name w:val="caption"/>
    <w:basedOn w:val="1"/>
    <w:next w:val="1"/>
    <w:link w:val="332"/>
    <w:qFormat/>
    <w:uiPriority w:val="0"/>
    <w:rPr>
      <w:rFonts w:asciiTheme="minorHAnsi" w:hAnsiTheme="minorHAnsi" w:eastAsiaTheme="minorEastAsia" w:cstheme="minorBidi"/>
      <w:b/>
      <w:sz w:val="28"/>
      <w:szCs w:val="22"/>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307"/>
    <w:qFormat/>
    <w:uiPriority w:val="0"/>
    <w:pPr>
      <w:shd w:val="clear" w:color="auto" w:fill="000080"/>
    </w:pPr>
    <w:rPr>
      <w:rFonts w:asciiTheme="minorHAnsi" w:hAnsiTheme="minorHAnsi" w:eastAsiaTheme="minorEastAsia" w:cstheme="minorBidi"/>
    </w:rPr>
  </w:style>
  <w:style w:type="paragraph" w:styleId="20">
    <w:name w:val="annotation text"/>
    <w:basedOn w:val="1"/>
    <w:link w:val="97"/>
    <w:qFormat/>
    <w:uiPriority w:val="0"/>
    <w:pPr>
      <w:adjustRightInd/>
      <w:jc w:val="left"/>
    </w:pPr>
    <w:rPr>
      <w:szCs w:val="21"/>
    </w:rPr>
  </w:style>
  <w:style w:type="paragraph" w:styleId="21">
    <w:name w:val="Salutation"/>
    <w:basedOn w:val="1"/>
    <w:next w:val="1"/>
    <w:link w:val="395"/>
    <w:qFormat/>
    <w:uiPriority w:val="0"/>
    <w:rPr>
      <w:rFonts w:ascii="仿宋_GB2312" w:eastAsia="仿宋_GB2312" w:hAnsiTheme="minorHAnsi" w:cstheme="minorBidi"/>
      <w:sz w:val="28"/>
      <w:szCs w:val="22"/>
    </w:rPr>
  </w:style>
  <w:style w:type="paragraph" w:styleId="22">
    <w:name w:val="Body Text 3"/>
    <w:basedOn w:val="1"/>
    <w:link w:val="410"/>
    <w:qFormat/>
    <w:uiPriority w:val="0"/>
    <w:pPr>
      <w:jc w:val="center"/>
    </w:pPr>
    <w:rPr>
      <w:rFonts w:asciiTheme="minorHAnsi" w:hAnsiTheme="minorHAnsi" w:eastAsiaTheme="minorEastAsia" w:cstheme="minorBidi"/>
      <w:szCs w:val="22"/>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
    <w:unhideWhenUsed/>
    <w:qFormat/>
    <w:uiPriority w:val="0"/>
    <w:pPr>
      <w:spacing w:after="120"/>
    </w:pPr>
  </w:style>
  <w:style w:type="paragraph" w:styleId="25">
    <w:name w:val="Body Text First Indent"/>
    <w:basedOn w:val="24"/>
    <w:next w:val="26"/>
    <w:link w:val="94"/>
    <w:unhideWhenUsed/>
    <w:qFormat/>
    <w:uiPriority w:val="99"/>
    <w:pPr>
      <w:ind w:firstLine="420" w:firstLineChars="100"/>
    </w:pPr>
  </w:style>
  <w:style w:type="paragraph" w:styleId="26">
    <w:name w:val="toc 6"/>
    <w:basedOn w:val="1"/>
    <w:next w:val="1"/>
    <w:semiHidden/>
    <w:qFormat/>
    <w:uiPriority w:val="0"/>
    <w:pPr>
      <w:ind w:left="1050"/>
      <w:jc w:val="left"/>
    </w:pPr>
    <w:rPr>
      <w:sz w:val="18"/>
      <w:szCs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2"/>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3"/>
    <w:basedOn w:val="1"/>
    <w:next w:val="1"/>
    <w:unhideWhenUsed/>
    <w:qFormat/>
    <w:uiPriority w:val="39"/>
    <w:pPr>
      <w:ind w:left="840" w:leftChars="400"/>
    </w:pPr>
  </w:style>
  <w:style w:type="paragraph" w:styleId="33">
    <w:name w:val="Plain Text"/>
    <w:basedOn w:val="1"/>
    <w:link w:val="82"/>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99"/>
    <w:unhideWhenUsed/>
    <w:qFormat/>
    <w:uiPriority w:val="0"/>
    <w:pPr>
      <w:ind w:left="100" w:leftChars="2500"/>
    </w:pPr>
  </w:style>
  <w:style w:type="paragraph" w:styleId="36">
    <w:name w:val="Body Text Indent 2"/>
    <w:basedOn w:val="1"/>
    <w:link w:val="401"/>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59"/>
    <w:qFormat/>
    <w:uiPriority w:val="0"/>
    <w:rPr>
      <w:rFonts w:asciiTheme="minorHAnsi" w:hAnsiTheme="minorHAnsi" w:eastAsiaTheme="minorEastAsia" w:cstheme="minorBidi"/>
      <w:lang w:val="zh-CN"/>
    </w:rPr>
  </w:style>
  <w:style w:type="paragraph" w:styleId="38">
    <w:name w:val="Balloon Text"/>
    <w:basedOn w:val="1"/>
    <w:link w:val="98"/>
    <w:unhideWhenUsed/>
    <w:qFormat/>
    <w:uiPriority w:val="0"/>
    <w:rPr>
      <w:sz w:val="18"/>
      <w:szCs w:val="18"/>
    </w:rPr>
  </w:style>
  <w:style w:type="paragraph" w:styleId="39">
    <w:name w:val="footer"/>
    <w:basedOn w:val="1"/>
    <w:link w:val="76"/>
    <w:unhideWhenUsed/>
    <w:qFormat/>
    <w:uiPriority w:val="99"/>
    <w:pPr>
      <w:tabs>
        <w:tab w:val="center" w:pos="4153"/>
        <w:tab w:val="right" w:pos="8306"/>
      </w:tabs>
      <w:snapToGrid w:val="0"/>
      <w:jc w:val="left"/>
    </w:pPr>
    <w:rPr>
      <w:sz w:val="18"/>
      <w:szCs w:val="18"/>
    </w:rPr>
  </w:style>
  <w:style w:type="paragraph" w:styleId="4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92"/>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2">
    <w:name w:val="toc 1"/>
    <w:basedOn w:val="1"/>
    <w:next w:val="1"/>
    <w:unhideWhenUsed/>
    <w:qFormat/>
    <w:uiPriority w:val="39"/>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2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02"/>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49">
    <w:name w:val="List 5"/>
    <w:basedOn w:val="1"/>
    <w:qFormat/>
    <w:uiPriority w:val="0"/>
    <w:pPr>
      <w:adjustRightInd/>
      <w:ind w:left="100" w:leftChars="800" w:hanging="200" w:hangingChars="200"/>
    </w:pPr>
  </w:style>
  <w:style w:type="paragraph" w:styleId="50">
    <w:name w:val="Body Text Indent 3"/>
    <w:basedOn w:val="1"/>
    <w:link w:val="433"/>
    <w:qFormat/>
    <w:uiPriority w:val="0"/>
    <w:pPr>
      <w:spacing w:line="360" w:lineRule="auto"/>
      <w:ind w:firstLine="420"/>
    </w:pPr>
    <w:rPr>
      <w:rFonts w:asciiTheme="minorHAnsi" w:hAnsiTheme="minorHAnsi" w:eastAsiaTheme="minorEastAsia" w:cstheme="minorBidi"/>
      <w:sz w:val="24"/>
      <w:szCs w:val="22"/>
    </w:rPr>
  </w:style>
  <w:style w:type="paragraph" w:styleId="51">
    <w:name w:val="toc 2"/>
    <w:basedOn w:val="1"/>
    <w:next w:val="1"/>
    <w:unhideWhenUsed/>
    <w:qFormat/>
    <w:uiPriority w:val="39"/>
    <w:pPr>
      <w:ind w:left="420" w:leftChars="200"/>
    </w:pPr>
  </w:style>
  <w:style w:type="paragraph" w:styleId="52">
    <w:name w:val="Body Text 2"/>
    <w:basedOn w:val="1"/>
    <w:link w:val="397"/>
    <w:qFormat/>
    <w:uiPriority w:val="0"/>
    <w:pPr>
      <w:spacing w:after="120" w:line="480" w:lineRule="auto"/>
    </w:pPr>
    <w:rPr>
      <w:rFonts w:asciiTheme="minorHAnsi" w:hAnsiTheme="minorHAnsi" w:eastAsiaTheme="minorEastAsia" w:cstheme="minorBidi"/>
    </w:rPr>
  </w:style>
  <w:style w:type="paragraph" w:styleId="53">
    <w:name w:val="HTML Preformatted"/>
    <w:basedOn w:val="1"/>
    <w:link w:val="1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4">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5">
    <w:name w:val="Title"/>
    <w:basedOn w:val="1"/>
    <w:next w:val="1"/>
    <w:link w:val="388"/>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6">
    <w:name w:val="annotation subject"/>
    <w:basedOn w:val="20"/>
    <w:next w:val="20"/>
    <w:link w:val="124"/>
    <w:qFormat/>
    <w:uiPriority w:val="0"/>
    <w:pPr>
      <w:adjustRightInd w:val="0"/>
    </w:pPr>
    <w:rPr>
      <w:rFonts w:asciiTheme="minorHAnsi" w:hAnsiTheme="minorHAnsi" w:eastAsiaTheme="minorEastAsia" w:cstheme="minorBidi"/>
      <w:b/>
      <w:bCs/>
      <w:szCs w:val="24"/>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yperlink"/>
    <w:basedOn w:val="64"/>
    <w:unhideWhenUsed/>
    <w:qFormat/>
    <w:uiPriority w:val="99"/>
    <w:rPr>
      <w:color w:val="0000FF" w:themeColor="hyperlink"/>
      <w:u w:val="single"/>
      <w14:textFill>
        <w14:solidFill>
          <w14:schemeClr w14:val="hlink"/>
        </w14:solidFill>
      </w14:textFill>
    </w:rPr>
  </w:style>
  <w:style w:type="character" w:styleId="72">
    <w:name w:val="HTML Code"/>
    <w:qFormat/>
    <w:uiPriority w:val="0"/>
    <w:rPr>
      <w:rFonts w:ascii="黑体" w:hAnsi="Courier New" w:eastAsia="黑体" w:cs="楷体_GB2312"/>
      <w:sz w:val="20"/>
      <w:szCs w:val="20"/>
    </w:rPr>
  </w:style>
  <w:style w:type="character" w:styleId="73">
    <w:name w:val="annotation reference"/>
    <w:basedOn w:val="64"/>
    <w:qFormat/>
    <w:uiPriority w:val="99"/>
    <w:rPr>
      <w:sz w:val="21"/>
      <w:szCs w:val="21"/>
    </w:rPr>
  </w:style>
  <w:style w:type="character" w:styleId="74">
    <w:name w:val="HTML Sample"/>
    <w:basedOn w:val="64"/>
    <w:unhideWhenUsed/>
    <w:qFormat/>
    <w:uiPriority w:val="99"/>
    <w:rPr>
      <w:rFonts w:ascii="宋体" w:hAnsi="宋体" w:eastAsia="宋体" w:cs="宋体"/>
    </w:rPr>
  </w:style>
  <w:style w:type="character" w:customStyle="1" w:styleId="75">
    <w:name w:val="页眉 Char"/>
    <w:basedOn w:val="64"/>
    <w:link w:val="40"/>
    <w:qFormat/>
    <w:uiPriority w:val="0"/>
    <w:rPr>
      <w:sz w:val="18"/>
      <w:szCs w:val="18"/>
    </w:rPr>
  </w:style>
  <w:style w:type="character" w:customStyle="1" w:styleId="76">
    <w:name w:val="页脚 Char"/>
    <w:basedOn w:val="64"/>
    <w:link w:val="39"/>
    <w:qFormat/>
    <w:uiPriority w:val="0"/>
    <w:rPr>
      <w:sz w:val="18"/>
      <w:szCs w:val="18"/>
    </w:rPr>
  </w:style>
  <w:style w:type="character" w:customStyle="1" w:styleId="77">
    <w:name w:val="标题 1 Char"/>
    <w:basedOn w:val="64"/>
    <w:link w:val="4"/>
    <w:qFormat/>
    <w:uiPriority w:val="9"/>
    <w:rPr>
      <w:rFonts w:ascii="宋体" w:hAnsi="宋体" w:eastAsia="宋体" w:cs="宋体"/>
      <w:b/>
      <w:bCs/>
      <w:kern w:val="36"/>
      <w:sz w:val="48"/>
      <w:szCs w:val="48"/>
    </w:rPr>
  </w:style>
  <w:style w:type="character" w:customStyle="1" w:styleId="78">
    <w:name w:val="skancount"/>
    <w:basedOn w:val="64"/>
    <w:qFormat/>
    <w:uiPriority w:val="0"/>
  </w:style>
  <w:style w:type="character" w:customStyle="1" w:styleId="79">
    <w:name w:val="bookmark-item"/>
    <w:basedOn w:val="64"/>
    <w:qFormat/>
    <w:uiPriority w:val="0"/>
  </w:style>
  <w:style w:type="paragraph" w:customStyle="1" w:styleId="80">
    <w:name w:val="[Normal]"/>
    <w:qFormat/>
    <w:uiPriority w:val="0"/>
    <w:rPr>
      <w:rFonts w:ascii="宋体" w:hAnsi="宋体" w:eastAsia="宋体" w:cs="Times New Roman"/>
      <w:sz w:val="24"/>
      <w:szCs w:val="22"/>
      <w:lang w:val="zh-CN" w:eastAsia="zh-CN" w:bidi="ar-SA"/>
    </w:rPr>
  </w:style>
  <w:style w:type="character" w:customStyle="1" w:styleId="81">
    <w:name w:val="标题 2 Char"/>
    <w:basedOn w:val="64"/>
    <w:link w:val="5"/>
    <w:qFormat/>
    <w:uiPriority w:val="0"/>
    <w:rPr>
      <w:rFonts w:asciiTheme="majorHAnsi" w:hAnsiTheme="majorHAnsi" w:eastAsiaTheme="majorEastAsia" w:cstheme="majorBidi"/>
      <w:b/>
      <w:bCs/>
      <w:sz w:val="32"/>
      <w:szCs w:val="32"/>
    </w:rPr>
  </w:style>
  <w:style w:type="character" w:customStyle="1" w:styleId="82">
    <w:name w:val="纯文本 Char"/>
    <w:link w:val="33"/>
    <w:qFormat/>
    <w:uiPriority w:val="0"/>
    <w:rPr>
      <w:rFonts w:ascii="Cambria" w:hAnsi="隶书" w:eastAsia="Cambria"/>
      <w:szCs w:val="21"/>
    </w:rPr>
  </w:style>
  <w:style w:type="character" w:customStyle="1" w:styleId="83">
    <w:name w:val="正文文本缩进 Char"/>
    <w:link w:val="3"/>
    <w:qFormat/>
    <w:uiPriority w:val="0"/>
    <w:rPr>
      <w:rFonts w:eastAsia="Cambria"/>
      <w:sz w:val="24"/>
      <w:szCs w:val="24"/>
    </w:rPr>
  </w:style>
  <w:style w:type="paragraph" w:customStyle="1" w:styleId="84">
    <w:name w:val="Default"/>
    <w:next w:val="39"/>
    <w:link w:val="3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85">
    <w:name w:val="正文文本缩进 Char1"/>
    <w:basedOn w:val="64"/>
    <w:qFormat/>
    <w:uiPriority w:val="0"/>
    <w:rPr>
      <w:rFonts w:ascii="Times New Roman" w:hAnsi="Times New Roman" w:eastAsia="宋体" w:cs="Times New Roman"/>
      <w:szCs w:val="24"/>
    </w:rPr>
  </w:style>
  <w:style w:type="character" w:customStyle="1" w:styleId="86">
    <w:name w:val="纯文本 Char1"/>
    <w:basedOn w:val="64"/>
    <w:link w:val="87"/>
    <w:qFormat/>
    <w:uiPriority w:val="99"/>
    <w:rPr>
      <w:rFonts w:ascii="宋体" w:hAnsi="Courier New" w:eastAsia="宋体" w:cs="Courier New"/>
      <w:szCs w:val="21"/>
    </w:rPr>
  </w:style>
  <w:style w:type="paragraph" w:customStyle="1" w:styleId="87">
    <w:name w:val="纯文本1"/>
    <w:basedOn w:val="1"/>
    <w:link w:val="86"/>
    <w:qFormat/>
    <w:uiPriority w:val="0"/>
    <w:pPr>
      <w:adjustRightInd/>
    </w:pPr>
    <w:rPr>
      <w:rFonts w:ascii="宋体" w:hAnsi="Courier New" w:cs="Courier New"/>
      <w:szCs w:val="21"/>
    </w:rPr>
  </w:style>
  <w:style w:type="character" w:customStyle="1" w:styleId="88">
    <w:name w:val="正文2 Char Char"/>
    <w:link w:val="89"/>
    <w:qFormat/>
    <w:uiPriority w:val="0"/>
    <w:rPr>
      <w:rFonts w:eastAsia="宋体"/>
      <w:sz w:val="24"/>
    </w:rPr>
  </w:style>
  <w:style w:type="paragraph" w:customStyle="1" w:styleId="89">
    <w:name w:val="正文2"/>
    <w:basedOn w:val="1"/>
    <w:link w:val="88"/>
    <w:qFormat/>
    <w:uiPriority w:val="0"/>
    <w:pPr>
      <w:spacing w:before="156" w:line="360" w:lineRule="auto"/>
      <w:ind w:firstLine="510" w:firstLineChars="200"/>
    </w:pPr>
    <w:rPr>
      <w:rFonts w:asciiTheme="minorHAnsi" w:hAnsiTheme="minorHAnsi" w:cstheme="minorBidi"/>
      <w:sz w:val="24"/>
      <w:szCs w:val="22"/>
    </w:rPr>
  </w:style>
  <w:style w:type="character" w:customStyle="1" w:styleId="90">
    <w:name w:val="纯文本 字符1"/>
    <w:qFormat/>
    <w:uiPriority w:val="0"/>
    <w:rPr>
      <w:rFonts w:ascii="宋体" w:hAnsi="Courier New" w:eastAsia="宋体" w:cs="Arial"/>
      <w:snapToGrid w:val="0"/>
      <w:kern w:val="2"/>
      <w:sz w:val="21"/>
      <w:szCs w:val="21"/>
      <w:lang w:val="en-US" w:eastAsia="zh-CN" w:bidi="ar-SA"/>
    </w:rPr>
  </w:style>
  <w:style w:type="character" w:customStyle="1" w:styleId="91">
    <w:name w:val="样式5 Char"/>
    <w:qFormat/>
    <w:uiPriority w:val="0"/>
    <w:rPr>
      <w:rFonts w:ascii="仿宋_GB2312" w:hAnsi="仿宋" w:eastAsia="仿宋_GB2312"/>
      <w:kern w:val="2"/>
      <w:sz w:val="24"/>
      <w:szCs w:val="24"/>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Char"/>
    <w:basedOn w:val="64"/>
    <w:link w:val="24"/>
    <w:qFormat/>
    <w:uiPriority w:val="0"/>
    <w:rPr>
      <w:rFonts w:ascii="Times New Roman" w:hAnsi="Times New Roman" w:eastAsia="宋体" w:cs="Times New Roman"/>
      <w:szCs w:val="24"/>
    </w:rPr>
  </w:style>
  <w:style w:type="character" w:customStyle="1" w:styleId="94">
    <w:name w:val="正文首行缩进 Char"/>
    <w:basedOn w:val="93"/>
    <w:link w:val="25"/>
    <w:qFormat/>
    <w:uiPriority w:val="99"/>
    <w:rPr>
      <w:rFonts w:ascii="Times New Roman" w:hAnsi="Times New Roman" w:eastAsia="宋体" w:cs="Times New Roman"/>
      <w:szCs w:val="24"/>
    </w:rPr>
  </w:style>
  <w:style w:type="character" w:customStyle="1" w:styleId="95">
    <w:name w:val="标题 Char1"/>
    <w:qFormat/>
    <w:uiPriority w:val="0"/>
    <w:rPr>
      <w:rFonts w:ascii="Cambria" w:hAnsi="Cambria" w:eastAsia="宋体" w:cs="Times New Roman"/>
      <w:b/>
      <w:bCs/>
      <w:sz w:val="32"/>
      <w:szCs w:val="32"/>
      <w:lang w:bidi="ar-SA"/>
    </w:rPr>
  </w:style>
  <w:style w:type="character" w:customStyle="1" w:styleId="96">
    <w:name w:val="标题 3 Char"/>
    <w:basedOn w:val="64"/>
    <w:link w:val="6"/>
    <w:semiHidden/>
    <w:qFormat/>
    <w:uiPriority w:val="9"/>
    <w:rPr>
      <w:rFonts w:ascii="Times New Roman" w:hAnsi="Times New Roman" w:eastAsia="宋体" w:cs="Times New Roman"/>
      <w:b/>
      <w:bCs/>
      <w:sz w:val="32"/>
      <w:szCs w:val="32"/>
    </w:rPr>
  </w:style>
  <w:style w:type="character" w:customStyle="1" w:styleId="97">
    <w:name w:val="批注文字 Char"/>
    <w:basedOn w:val="64"/>
    <w:link w:val="20"/>
    <w:qFormat/>
    <w:uiPriority w:val="99"/>
    <w:rPr>
      <w:rFonts w:ascii="Times New Roman" w:hAnsi="Times New Roman" w:eastAsia="宋体" w:cs="Times New Roman"/>
      <w:szCs w:val="21"/>
    </w:rPr>
  </w:style>
  <w:style w:type="character" w:customStyle="1" w:styleId="98">
    <w:name w:val="批注框文本 Char"/>
    <w:basedOn w:val="64"/>
    <w:link w:val="38"/>
    <w:semiHidden/>
    <w:qFormat/>
    <w:uiPriority w:val="99"/>
    <w:rPr>
      <w:rFonts w:ascii="Times New Roman" w:hAnsi="Times New Roman" w:eastAsia="宋体" w:cs="Times New Roman"/>
      <w:sz w:val="18"/>
      <w:szCs w:val="18"/>
    </w:rPr>
  </w:style>
  <w:style w:type="character" w:customStyle="1" w:styleId="99">
    <w:name w:val="日期 Char"/>
    <w:basedOn w:val="64"/>
    <w:link w:val="35"/>
    <w:semiHidden/>
    <w:qFormat/>
    <w:uiPriority w:val="99"/>
    <w:rPr>
      <w:rFonts w:ascii="Times New Roman" w:hAnsi="Times New Roman" w:eastAsia="宋体" w:cs="Times New Roman"/>
      <w:szCs w:val="24"/>
    </w:rPr>
  </w:style>
  <w:style w:type="paragraph" w:customStyle="1" w:styleId="1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1">
    <w:name w:val="索引 11"/>
    <w:basedOn w:val="1"/>
    <w:next w:val="1"/>
    <w:qFormat/>
    <w:uiPriority w:val="99"/>
    <w:pPr>
      <w:adjustRightInd/>
      <w:spacing w:line="360" w:lineRule="auto"/>
    </w:pPr>
    <w:rPr>
      <w:rFonts w:ascii="仿宋_GB2312" w:eastAsia="仿宋_GB2312"/>
      <w:sz w:val="24"/>
      <w:szCs w:val="20"/>
    </w:rPr>
  </w:style>
  <w:style w:type="paragraph" w:customStyle="1" w:styleId="10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
    <w:name w:val="标题 4 Char"/>
    <w:basedOn w:val="64"/>
    <w:qFormat/>
    <w:uiPriority w:val="0"/>
    <w:rPr>
      <w:rFonts w:asciiTheme="majorHAnsi" w:hAnsiTheme="majorHAnsi" w:eastAsiaTheme="majorEastAsia" w:cstheme="majorBidi"/>
      <w:b/>
      <w:bCs/>
      <w:sz w:val="28"/>
      <w:szCs w:val="28"/>
    </w:rPr>
  </w:style>
  <w:style w:type="character" w:customStyle="1" w:styleId="104">
    <w:name w:val="标题 5 Char"/>
    <w:basedOn w:val="64"/>
    <w:semiHidden/>
    <w:qFormat/>
    <w:uiPriority w:val="9"/>
    <w:rPr>
      <w:rFonts w:ascii="Times New Roman" w:hAnsi="Times New Roman" w:eastAsia="宋体" w:cs="Times New Roman"/>
      <w:b/>
      <w:bCs/>
      <w:sz w:val="28"/>
      <w:szCs w:val="28"/>
    </w:rPr>
  </w:style>
  <w:style w:type="character" w:customStyle="1" w:styleId="105">
    <w:name w:val="标题 6 Char"/>
    <w:basedOn w:val="64"/>
    <w:semiHidden/>
    <w:qFormat/>
    <w:uiPriority w:val="9"/>
    <w:rPr>
      <w:rFonts w:asciiTheme="majorHAnsi" w:hAnsiTheme="majorHAnsi" w:eastAsiaTheme="majorEastAsia" w:cstheme="majorBidi"/>
      <w:b/>
      <w:bCs/>
      <w:sz w:val="24"/>
      <w:szCs w:val="24"/>
    </w:rPr>
  </w:style>
  <w:style w:type="character" w:customStyle="1" w:styleId="106">
    <w:name w:val="标题 7 Char"/>
    <w:basedOn w:val="64"/>
    <w:semiHidden/>
    <w:qFormat/>
    <w:uiPriority w:val="9"/>
    <w:rPr>
      <w:rFonts w:ascii="Times New Roman" w:hAnsi="Times New Roman" w:eastAsia="宋体" w:cs="Times New Roman"/>
      <w:b/>
      <w:bCs/>
      <w:sz w:val="24"/>
      <w:szCs w:val="24"/>
    </w:rPr>
  </w:style>
  <w:style w:type="character" w:customStyle="1" w:styleId="107">
    <w:name w:val="标题 8 Char"/>
    <w:basedOn w:val="64"/>
    <w:semiHidden/>
    <w:qFormat/>
    <w:uiPriority w:val="9"/>
    <w:rPr>
      <w:rFonts w:asciiTheme="majorHAnsi" w:hAnsiTheme="majorHAnsi" w:eastAsiaTheme="majorEastAsia" w:cstheme="majorBidi"/>
      <w:sz w:val="24"/>
      <w:szCs w:val="24"/>
    </w:rPr>
  </w:style>
  <w:style w:type="character" w:customStyle="1" w:styleId="108">
    <w:name w:val="标题 9 Char"/>
    <w:basedOn w:val="64"/>
    <w:semiHidden/>
    <w:qFormat/>
    <w:uiPriority w:val="9"/>
    <w:rPr>
      <w:rFonts w:asciiTheme="majorHAnsi" w:hAnsiTheme="majorHAnsi" w:eastAsiaTheme="majorEastAsia" w:cstheme="majorBidi"/>
      <w:szCs w:val="21"/>
    </w:rPr>
  </w:style>
  <w:style w:type="character" w:customStyle="1" w:styleId="109">
    <w:name w:val="large1"/>
    <w:qFormat/>
    <w:uiPriority w:val="0"/>
    <w:rPr>
      <w:rFonts w:hint="eastAsia" w:ascii="宋体" w:hAnsi="宋体" w:eastAsia="宋体"/>
      <w:sz w:val="21"/>
      <w:szCs w:val="21"/>
    </w:rPr>
  </w:style>
  <w:style w:type="character" w:customStyle="1" w:styleId="1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1">
    <w:name w:val="bulletintext1"/>
    <w:qFormat/>
    <w:uiPriority w:val="0"/>
    <w:rPr>
      <w:color w:val="000000"/>
      <w:sz w:val="18"/>
    </w:rPr>
  </w:style>
  <w:style w:type="character" w:customStyle="1" w:styleId="112">
    <w:name w:val="solutionfonts"/>
    <w:qFormat/>
    <w:uiPriority w:val="0"/>
  </w:style>
  <w:style w:type="character" w:customStyle="1" w:styleId="113">
    <w:name w:val="标题 Char"/>
    <w:qFormat/>
    <w:uiPriority w:val="0"/>
    <w:rPr>
      <w:rFonts w:eastAsia="宋体"/>
      <w:b/>
      <w:sz w:val="24"/>
      <w:lang w:val="en-US" w:eastAsia="zh-CN" w:bidi="ar-SA"/>
    </w:rPr>
  </w:style>
  <w:style w:type="character" w:customStyle="1" w:styleId="114">
    <w:name w:val="apple-converted-space"/>
    <w:qFormat/>
    <w:uiPriority w:val="0"/>
  </w:style>
  <w:style w:type="character" w:customStyle="1" w:styleId="115">
    <w:name w:val="正文说明 Char"/>
    <w:link w:val="116"/>
    <w:qFormat/>
    <w:uiPriority w:val="0"/>
    <w:rPr>
      <w:sz w:val="24"/>
      <w:szCs w:val="24"/>
    </w:rPr>
  </w:style>
  <w:style w:type="paragraph" w:customStyle="1" w:styleId="116">
    <w:name w:val="正文说明"/>
    <w:basedOn w:val="1"/>
    <w:link w:val="115"/>
    <w:qFormat/>
    <w:uiPriority w:val="0"/>
    <w:pPr>
      <w:adjustRightInd/>
      <w:spacing w:line="360" w:lineRule="auto"/>
    </w:pPr>
    <w:rPr>
      <w:rFonts w:asciiTheme="minorHAnsi" w:hAnsiTheme="minorHAnsi" w:eastAsiaTheme="minorEastAsia" w:cstheme="minorBidi"/>
      <w:sz w:val="24"/>
    </w:rPr>
  </w:style>
  <w:style w:type="character" w:customStyle="1" w:styleId="117">
    <w:name w:val="edui-clickable2"/>
    <w:qFormat/>
    <w:uiPriority w:val="0"/>
    <w:rPr>
      <w:color w:val="0000FF"/>
      <w:u w:val="single"/>
    </w:rPr>
  </w:style>
  <w:style w:type="character" w:customStyle="1" w:styleId="118">
    <w:name w:val="段落 Char Char"/>
    <w:link w:val="119"/>
    <w:qFormat/>
    <w:uiPriority w:val="0"/>
    <w:rPr>
      <w:rFonts w:ascii="宋体" w:hAnsi="宋体"/>
      <w:sz w:val="24"/>
    </w:rPr>
  </w:style>
  <w:style w:type="paragraph" w:customStyle="1" w:styleId="119">
    <w:name w:val="段落"/>
    <w:basedOn w:val="1"/>
    <w:link w:val="11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0">
    <w:name w:val="dandyren_title1"/>
    <w:qFormat/>
    <w:uiPriority w:val="0"/>
    <w:rPr>
      <w:b/>
      <w:bCs/>
      <w:color w:val="FF6633"/>
      <w:sz w:val="18"/>
      <w:szCs w:val="18"/>
    </w:rPr>
  </w:style>
  <w:style w:type="character" w:customStyle="1" w:styleId="121">
    <w:name w:val="正文段 Char"/>
    <w:link w:val="122"/>
    <w:qFormat/>
    <w:uiPriority w:val="0"/>
    <w:rPr>
      <w:sz w:val="24"/>
    </w:rPr>
  </w:style>
  <w:style w:type="paragraph" w:customStyle="1" w:styleId="122">
    <w:name w:val="正文段"/>
    <w:basedOn w:val="1"/>
    <w:link w:val="121"/>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4">
    <w:name w:val="批注主题 Char2"/>
    <w:link w:val="56"/>
    <w:qFormat/>
    <w:uiPriority w:val="0"/>
    <w:rPr>
      <w:b/>
      <w:bCs/>
      <w:szCs w:val="24"/>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txt"/>
    <w:qFormat/>
    <w:uiPriority w:val="0"/>
    <w:rPr>
      <w:rFonts w:ascii="仿宋_GB2312" w:eastAsia="微软雅黑"/>
      <w:b/>
      <w:kern w:val="2"/>
      <w:sz w:val="32"/>
      <w:szCs w:val="32"/>
      <w:lang w:val="en-US" w:eastAsia="zh-CN" w:bidi="ar-SA"/>
    </w:rPr>
  </w:style>
  <w:style w:type="character" w:customStyle="1" w:styleId="128">
    <w:name w:val="二级标题 Char Char"/>
    <w:qFormat/>
    <w:uiPriority w:val="0"/>
    <w:rPr>
      <w:rFonts w:ascii="宋体" w:hAnsi="宋体" w:eastAsia="宋体"/>
      <w:b/>
      <w:snapToGrid w:val="0"/>
      <w:kern w:val="2"/>
      <w:sz w:val="24"/>
      <w:szCs w:val="24"/>
      <w:lang w:val="en-US" w:eastAsia="zh-CN" w:bidi="ar-SA"/>
    </w:rPr>
  </w:style>
  <w:style w:type="character" w:customStyle="1" w:styleId="129">
    <w:name w:val="h4 Char"/>
    <w:qFormat/>
    <w:uiPriority w:val="0"/>
    <w:rPr>
      <w:rFonts w:ascii="Arial" w:hAnsi="Arial" w:eastAsia="黑体"/>
      <w:b/>
      <w:bCs/>
      <w:kern w:val="2"/>
      <w:sz w:val="28"/>
      <w:szCs w:val="28"/>
      <w:lang w:val="zh-CN" w:eastAsia="zh-CN" w:bidi="ar-SA"/>
    </w:rPr>
  </w:style>
  <w:style w:type="character" w:customStyle="1" w:styleId="130">
    <w:name w:val="h3 Char1"/>
    <w:qFormat/>
    <w:uiPriority w:val="0"/>
    <w:rPr>
      <w:rFonts w:eastAsia="宋体"/>
      <w:b/>
      <w:bCs/>
      <w:kern w:val="2"/>
      <w:sz w:val="32"/>
      <w:szCs w:val="32"/>
      <w:lang w:bidi="ar-SA"/>
    </w:rPr>
  </w:style>
  <w:style w:type="character" w:customStyle="1" w:styleId="131">
    <w:name w:val="普通文字 Char Char1"/>
    <w:qFormat/>
    <w:uiPriority w:val="0"/>
    <w:rPr>
      <w:rFonts w:ascii="宋体" w:hAnsi="Courier New"/>
      <w:kern w:val="2"/>
      <w:sz w:val="21"/>
    </w:rPr>
  </w:style>
  <w:style w:type="character" w:customStyle="1" w:styleId="132">
    <w:name w:val="正文缩进 Char"/>
    <w:qFormat/>
    <w:uiPriority w:val="0"/>
    <w:rPr>
      <w:rFonts w:eastAsia="宋体"/>
      <w:kern w:val="2"/>
      <w:sz w:val="21"/>
      <w:lang w:val="en-US" w:eastAsia="zh-CN"/>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哈哈正文 Char"/>
    <w:link w:val="135"/>
    <w:qFormat/>
    <w:uiPriority w:val="0"/>
    <w:rPr>
      <w:rFonts w:ascii="宋体" w:hAnsi="宋体" w:eastAsia="宋体"/>
      <w:sz w:val="24"/>
    </w:rPr>
  </w:style>
  <w:style w:type="paragraph" w:customStyle="1" w:styleId="135">
    <w:name w:val="哈哈正文"/>
    <w:basedOn w:val="1"/>
    <w:link w:val="134"/>
    <w:qFormat/>
    <w:uiPriority w:val="0"/>
    <w:pPr>
      <w:adjustRightInd/>
      <w:spacing w:line="360" w:lineRule="auto"/>
      <w:ind w:firstLine="200" w:firstLineChars="200"/>
    </w:pPr>
    <w:rPr>
      <w:rFonts w:ascii="宋体" w:hAnsi="宋体" w:cstheme="minorBidi"/>
      <w:sz w:val="24"/>
      <w:szCs w:val="22"/>
    </w:rPr>
  </w:style>
  <w:style w:type="character" w:customStyle="1" w:styleId="136">
    <w:name w:val="Footer Char"/>
    <w:qFormat/>
    <w:locked/>
    <w:uiPriority w:val="0"/>
    <w:rPr>
      <w:rFonts w:eastAsia="宋体"/>
      <w:kern w:val="2"/>
      <w:sz w:val="18"/>
      <w:lang w:val="en-US" w:eastAsia="zh-CN" w:bidi="ar-SA"/>
    </w:rPr>
  </w:style>
  <w:style w:type="character" w:customStyle="1" w:styleId="137">
    <w:name w:val="Char Char32"/>
    <w:qFormat/>
    <w:uiPriority w:val="6"/>
    <w:rPr>
      <w:b/>
      <w:kern w:val="1"/>
      <w:sz w:val="24"/>
      <w:szCs w:val="24"/>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首行缩进 Char1"/>
    <w:qFormat/>
    <w:uiPriority w:val="0"/>
    <w:rPr>
      <w:rFonts w:ascii="宋体" w:hAnsi="Times New Roman" w:eastAsia="宋体" w:cs="Times New Roman"/>
      <w:snapToGrid w:val="0"/>
      <w:kern w:val="2"/>
      <w:sz w:val="24"/>
      <w:szCs w:val="21"/>
      <w:lang w:val="zh-CN"/>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插图说明 Char"/>
    <w:qFormat/>
    <w:uiPriority w:val="0"/>
    <w:rPr>
      <w:rFonts w:eastAsia="黑体"/>
      <w:sz w:val="24"/>
      <w:lang w:val="en-US" w:eastAsia="zh-CN"/>
    </w:rPr>
  </w:style>
  <w:style w:type="character" w:customStyle="1" w:styleId="142">
    <w:name w:val="Char Char6"/>
    <w:qFormat/>
    <w:uiPriority w:val="0"/>
    <w:rPr>
      <w:rFonts w:eastAsia="宋体"/>
      <w:kern w:val="2"/>
      <w:sz w:val="21"/>
      <w:szCs w:val="24"/>
      <w:lang w:val="en-US" w:eastAsia="zh-CN" w:bidi="ar-SA"/>
    </w:rPr>
  </w:style>
  <w:style w:type="character" w:customStyle="1" w:styleId="143">
    <w:name w:val="tw4winTerm"/>
    <w:qFormat/>
    <w:uiPriority w:val="0"/>
    <w:rPr>
      <w:color w:val="0000FF"/>
    </w:rPr>
  </w:style>
  <w:style w:type="character" w:customStyle="1" w:styleId="144">
    <w:name w:val="Char Char71"/>
    <w:semiHidden/>
    <w:qFormat/>
    <w:uiPriority w:val="0"/>
    <w:rPr>
      <w:rFonts w:eastAsia="宋体"/>
      <w:kern w:val="2"/>
      <w:sz w:val="21"/>
      <w:szCs w:val="24"/>
      <w:lang w:val="en-US" w:eastAsia="zh-CN" w:bidi="ar-SA"/>
    </w:rPr>
  </w:style>
  <w:style w:type="character" w:customStyle="1" w:styleId="145">
    <w:name w:val="链接"/>
    <w:qFormat/>
    <w:uiPriority w:val="0"/>
    <w:rPr>
      <w:color w:val="0000FF"/>
      <w:sz w:val="21"/>
      <w:szCs w:val="21"/>
      <w:u w:val="single"/>
    </w:rPr>
  </w:style>
  <w:style w:type="paragraph" w:customStyle="1" w:styleId="146">
    <w:name w:val="_Style 96"/>
    <w:basedOn w:val="1"/>
    <w:next w:val="1"/>
    <w:link w:val="147"/>
    <w:qFormat/>
    <w:uiPriority w:val="0"/>
    <w:pPr>
      <w:ind w:left="1260" w:leftChars="600"/>
    </w:pPr>
    <w:rPr>
      <w:rFonts w:ascii="宋体" w:hAnsiTheme="minorHAnsi" w:eastAsiaTheme="minorEastAsia" w:cstheme="minorBidi"/>
      <w:sz w:val="24"/>
      <w:szCs w:val="22"/>
      <w:lang w:val="zh-CN"/>
    </w:rPr>
  </w:style>
  <w:style w:type="character" w:customStyle="1" w:styleId="147">
    <w:name w:val="正文文本首行缩进 字符"/>
    <w:link w:val="146"/>
    <w:qFormat/>
    <w:uiPriority w:val="0"/>
    <w:rPr>
      <w:rFonts w:ascii="宋体"/>
      <w:sz w:val="24"/>
      <w:lang w:val="zh-CN"/>
    </w:rPr>
  </w:style>
  <w:style w:type="character" w:customStyle="1" w:styleId="148">
    <w:name w:val="正文文本 字符"/>
    <w:qFormat/>
    <w:uiPriority w:val="0"/>
    <w:rPr>
      <w:rFonts w:ascii="宋体" w:hAnsi="Arial" w:eastAsia="宋体" w:cs="Arial"/>
      <w:snapToGrid w:val="0"/>
      <w:kern w:val="2"/>
      <w:sz w:val="24"/>
      <w:szCs w:val="21"/>
      <w:lang w:val="zh-CN" w:eastAsia="zh-CN" w:bidi="ar-SA"/>
    </w:rPr>
  </w:style>
  <w:style w:type="character" w:customStyle="1" w:styleId="149">
    <w:name w:val="Char Char212"/>
    <w:qFormat/>
    <w:uiPriority w:val="0"/>
    <w:rPr>
      <w:rFonts w:eastAsia="宋体"/>
      <w:b/>
      <w:bCs/>
      <w:kern w:val="2"/>
      <w:sz w:val="21"/>
      <w:szCs w:val="24"/>
      <w:lang w:val="en-US" w:eastAsia="zh-CN" w:bidi="ar-SA"/>
    </w:rPr>
  </w:style>
  <w:style w:type="character" w:customStyle="1" w:styleId="150">
    <w:name w:val="正文缩进 字符"/>
    <w:qFormat/>
    <w:uiPriority w:val="0"/>
    <w:rPr>
      <w:rFonts w:ascii="宋体" w:eastAsia="宋体"/>
      <w:snapToGrid w:val="0"/>
      <w:color w:val="000000"/>
      <w:kern w:val="28"/>
      <w:sz w:val="28"/>
      <w:lang w:val="en-US" w:eastAsia="zh-CN" w:bidi="ar-SA"/>
    </w:rPr>
  </w:style>
  <w:style w:type="character" w:customStyle="1" w:styleId="151">
    <w:name w:val="样式8 Char"/>
    <w:qFormat/>
    <w:uiPriority w:val="0"/>
    <w:rPr>
      <w:rFonts w:ascii="仿宋_GB2312" w:hAnsi="宋体" w:eastAsia="仿宋_GB2312"/>
      <w:b/>
      <w:bCs/>
      <w:kern w:val="2"/>
      <w:sz w:val="24"/>
      <w:szCs w:val="24"/>
    </w:rPr>
  </w:style>
  <w:style w:type="character" w:customStyle="1" w:styleId="152">
    <w:name w:val="页脚 字符"/>
    <w:qFormat/>
    <w:uiPriority w:val="99"/>
    <w:rPr>
      <w:kern w:val="2"/>
      <w:sz w:val="18"/>
      <w:szCs w:val="18"/>
    </w:rPr>
  </w:style>
  <w:style w:type="character" w:customStyle="1" w:styleId="153">
    <w:name w:val="f141"/>
    <w:qFormat/>
    <w:uiPriority w:val="0"/>
    <w:rPr>
      <w:rFonts w:ascii="Tahoma" w:hAnsi="Tahoma" w:eastAsia="宋体"/>
      <w:b/>
      <w:kern w:val="2"/>
      <w:sz w:val="21"/>
      <w:szCs w:val="21"/>
      <w:lang w:val="en-US" w:eastAsia="zh-CN" w:bidi="ar-SA"/>
    </w:rPr>
  </w:style>
  <w:style w:type="character" w:customStyle="1" w:styleId="154">
    <w:name w:val="h3 Char"/>
    <w:qFormat/>
    <w:uiPriority w:val="0"/>
    <w:rPr>
      <w:rFonts w:eastAsia="宋体"/>
      <w:b/>
      <w:kern w:val="2"/>
      <w:sz w:val="32"/>
      <w:lang w:val="en-US" w:eastAsia="zh-CN" w:bidi="ar-SA"/>
    </w:rPr>
  </w:style>
  <w:style w:type="character" w:customStyle="1" w:styleId="155">
    <w:name w:val="style1"/>
    <w:qFormat/>
    <w:uiPriority w:val="0"/>
    <w:rPr>
      <w:rFonts w:ascii="Arial" w:hAnsi="Arial" w:eastAsia="黑体" w:cs="Arial"/>
      <w:snapToGrid w:val="0"/>
      <w:kern w:val="0"/>
      <w:szCs w:val="21"/>
    </w:rPr>
  </w:style>
  <w:style w:type="character" w:customStyle="1" w:styleId="156">
    <w:name w:val="日期 Char1"/>
    <w:semiHidden/>
    <w:qFormat/>
    <w:uiPriority w:val="99"/>
    <w:rPr>
      <w:rFonts w:ascii="Times New Roman" w:hAnsi="Times New Roman" w:eastAsia="宋体" w:cs="Times New Roman"/>
      <w:szCs w:val="24"/>
    </w:rPr>
  </w:style>
  <w:style w:type="character" w:customStyle="1" w:styleId="157">
    <w:name w:val="标书1 Char1"/>
    <w:qFormat/>
    <w:uiPriority w:val="0"/>
    <w:rPr>
      <w:rFonts w:eastAsia="宋体"/>
      <w:b/>
      <w:bCs/>
      <w:kern w:val="44"/>
      <w:sz w:val="44"/>
      <w:szCs w:val="44"/>
      <w:lang w:val="en-US" w:eastAsia="zh-CN" w:bidi="ar-SA"/>
    </w:rPr>
  </w:style>
  <w:style w:type="character" w:customStyle="1" w:styleId="158">
    <w:name w:val="tw4winError"/>
    <w:qFormat/>
    <w:uiPriority w:val="0"/>
    <w:rPr>
      <w:rFonts w:ascii="Courier New" w:hAnsi="Courier New" w:cs="Courier New"/>
      <w:color w:val="00FF00"/>
      <w:sz w:val="40"/>
      <w:szCs w:val="40"/>
    </w:rPr>
  </w:style>
  <w:style w:type="character" w:customStyle="1" w:styleId="159">
    <w:name w:val="正文文本 字符1"/>
    <w:qFormat/>
    <w:uiPriority w:val="0"/>
    <w:rPr>
      <w:rFonts w:ascii="Calibri" w:hAnsi="Calibri" w:eastAsia="黑体" w:cs="Arial"/>
      <w:snapToGrid w:val="0"/>
      <w:kern w:val="2"/>
      <w:sz w:val="28"/>
      <w:szCs w:val="21"/>
    </w:rPr>
  </w:style>
  <w:style w:type="character" w:customStyle="1" w:styleId="160">
    <w:name w:val="标题 5 Char1"/>
    <w:link w:val="8"/>
    <w:qFormat/>
    <w:uiPriority w:val="9"/>
    <w:rPr>
      <w:rFonts w:ascii="Times New Roman" w:hAnsi="Times New Roman" w:eastAsia="宋体" w:cs="Times New Roman"/>
      <w:b/>
      <w:bCs/>
      <w:sz w:val="28"/>
      <w:szCs w:val="28"/>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hui"/>
    <w:qFormat/>
    <w:uiPriority w:val="0"/>
    <w:rPr>
      <w:rFonts w:ascii="Arial" w:hAnsi="Arial" w:eastAsia="黑体" w:cs="Arial"/>
      <w:snapToGrid w:val="0"/>
      <w:kern w:val="0"/>
      <w:szCs w:val="21"/>
    </w:rPr>
  </w:style>
  <w:style w:type="character" w:customStyle="1" w:styleId="163">
    <w:name w:val="tw4winPopup"/>
    <w:qFormat/>
    <w:uiPriority w:val="0"/>
    <w:rPr>
      <w:rFonts w:ascii="Courier New" w:hAnsi="Courier New" w:cs="Courier New"/>
      <w:color w:val="008000"/>
      <w:lang w:val="en-US" w:eastAsia="zh-CN"/>
    </w:rPr>
  </w:style>
  <w:style w:type="character" w:customStyle="1" w:styleId="164">
    <w:name w:val="unnamed31"/>
    <w:qFormat/>
    <w:uiPriority w:val="0"/>
    <w:rPr>
      <w:rFonts w:ascii="Tahoma" w:hAnsi="Tahoma" w:eastAsia="宋体"/>
      <w:b/>
      <w:kern w:val="2"/>
      <w:sz w:val="24"/>
      <w:szCs w:val="32"/>
      <w:u w:val="none"/>
      <w:lang w:val="en-US" w:eastAsia="zh-CN" w:bidi="ar-SA"/>
    </w:rPr>
  </w:style>
  <w:style w:type="character" w:customStyle="1" w:styleId="165">
    <w:name w:val="文档结构图 Char"/>
    <w:qFormat/>
    <w:uiPriority w:val="0"/>
    <w:rPr>
      <w:rFonts w:eastAsia="宋体"/>
      <w:kern w:val="2"/>
      <w:sz w:val="21"/>
      <w:szCs w:val="24"/>
      <w:lang w:val="en-US" w:eastAsia="zh-CN" w:bidi="ar-SA"/>
    </w:rPr>
  </w:style>
  <w:style w:type="character" w:customStyle="1" w:styleId="166">
    <w:name w:val="HTML 预设格式 Char2"/>
    <w:link w:val="53"/>
    <w:qFormat/>
    <w:uiPriority w:val="0"/>
    <w:rPr>
      <w:rFonts w:ascii="黑体" w:hAnsi="Courier New" w:eastAsia="黑体"/>
    </w:rPr>
  </w:style>
  <w:style w:type="character" w:customStyle="1" w:styleId="167">
    <w:name w:val="标题 7 Char1"/>
    <w:link w:val="10"/>
    <w:qFormat/>
    <w:uiPriority w:val="0"/>
    <w:rPr>
      <w:rFonts w:ascii="Times New Roman" w:hAnsi="Times New Roman" w:eastAsia="宋体" w:cs="Times New Roman"/>
      <w:b/>
      <w:bCs/>
      <w:sz w:val="24"/>
      <w:szCs w:val="24"/>
    </w:rPr>
  </w:style>
  <w:style w:type="character" w:customStyle="1" w:styleId="168">
    <w:name w:val="Char Char5"/>
    <w:qFormat/>
    <w:uiPriority w:val="0"/>
    <w:rPr>
      <w:rFonts w:ascii="宋体" w:hAnsi="Courier New" w:eastAsia="宋体"/>
      <w:kern w:val="2"/>
      <w:sz w:val="21"/>
      <w:lang w:val="en-US" w:eastAsia="zh-CN"/>
    </w:rPr>
  </w:style>
  <w:style w:type="character" w:customStyle="1" w:styleId="169">
    <w:name w:val="页眉 字符1"/>
    <w:qFormat/>
    <w:uiPriority w:val="99"/>
    <w:rPr>
      <w:kern w:val="2"/>
      <w:sz w:val="18"/>
      <w:szCs w:val="18"/>
    </w:rPr>
  </w:style>
  <w:style w:type="character" w:customStyle="1" w:styleId="170">
    <w:name w:val="正文非缩进 Char"/>
    <w:qFormat/>
    <w:uiPriority w:val="0"/>
    <w:rPr>
      <w:rFonts w:ascii="宋体" w:eastAsia="宋体"/>
      <w:snapToGrid w:val="0"/>
      <w:color w:val="000000"/>
      <w:kern w:val="28"/>
      <w:sz w:val="28"/>
      <w:lang w:val="en-US" w:eastAsia="zh-CN" w:bidi="ar-SA"/>
    </w:rPr>
  </w:style>
  <w:style w:type="character" w:customStyle="1" w:styleId="171">
    <w:name w:val="apple-style-span"/>
    <w:qFormat/>
    <w:uiPriority w:val="0"/>
    <w:rPr>
      <w:rFonts w:ascii="Arial" w:hAnsi="Arial" w:eastAsia="黑体" w:cs="Arial"/>
      <w:snapToGrid w:val="0"/>
      <w:kern w:val="0"/>
      <w:szCs w:val="21"/>
    </w:rPr>
  </w:style>
  <w:style w:type="character" w:customStyle="1" w:styleId="172">
    <w:name w:val="Char Char33"/>
    <w:qFormat/>
    <w:uiPriority w:val="6"/>
    <w:rPr>
      <w:rFonts w:ascii="Arial" w:hAnsi="Arial" w:eastAsia="黑体"/>
      <w:b/>
      <w:kern w:val="1"/>
      <w:sz w:val="24"/>
      <w:szCs w:val="24"/>
    </w:rPr>
  </w:style>
  <w:style w:type="character" w:customStyle="1" w:styleId="173">
    <w:name w:val="font21"/>
    <w:qFormat/>
    <w:uiPriority w:val="0"/>
    <w:rPr>
      <w:rFonts w:hint="eastAsia" w:ascii="宋体" w:hAnsi="宋体" w:eastAsia="宋体"/>
      <w:kern w:val="2"/>
      <w:sz w:val="28"/>
      <w:szCs w:val="28"/>
      <w:lang w:val="en-US" w:eastAsia="zh-CN" w:bidi="ar-SA"/>
    </w:rPr>
  </w:style>
  <w:style w:type="character" w:customStyle="1" w:styleId="174">
    <w:name w:val="Char Char121"/>
    <w:qFormat/>
    <w:uiPriority w:val="6"/>
    <w:rPr>
      <w:rFonts w:ascii="仿宋_GB2312" w:eastAsia="仿宋_GB2312"/>
      <w:b/>
      <w:bCs/>
      <w:kern w:val="2"/>
      <w:sz w:val="24"/>
      <w:szCs w:val="24"/>
      <w:lang w:val="zh-CN" w:eastAsia="zh-CN" w:bidi="ar-SA"/>
    </w:rPr>
  </w:style>
  <w:style w:type="character" w:customStyle="1" w:styleId="175">
    <w:name w:val="Char Char26"/>
    <w:qFormat/>
    <w:uiPriority w:val="6"/>
    <w:rPr>
      <w:kern w:val="1"/>
      <w:sz w:val="21"/>
      <w:szCs w:val="24"/>
    </w:rPr>
  </w:style>
  <w:style w:type="character" w:customStyle="1" w:styleId="176">
    <w:name w:val="edui-unclickable"/>
    <w:qFormat/>
    <w:uiPriority w:val="0"/>
    <w:rPr>
      <w:color w:val="808080"/>
    </w:rPr>
  </w:style>
  <w:style w:type="character" w:customStyle="1" w:styleId="177">
    <w:name w:val="页脚 字符2"/>
    <w:qFormat/>
    <w:locked/>
    <w:uiPriority w:val="99"/>
    <w:rPr>
      <w:kern w:val="2"/>
      <w:sz w:val="18"/>
      <w:szCs w:val="18"/>
    </w:rPr>
  </w:style>
  <w:style w:type="character" w:customStyle="1" w:styleId="178">
    <w:name w:val="Item List Char"/>
    <w:link w:val="179"/>
    <w:qFormat/>
    <w:uiPriority w:val="0"/>
    <w:rPr>
      <w:rFonts w:ascii="Arial"/>
      <w:bCs/>
      <w:szCs w:val="21"/>
    </w:rPr>
  </w:style>
  <w:style w:type="paragraph" w:customStyle="1" w:styleId="179">
    <w:name w:val="Item List"/>
    <w:link w:val="178"/>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0">
    <w:name w:val="ksfind_class_select1"/>
    <w:qFormat/>
    <w:uiPriority w:val="0"/>
    <w:rPr>
      <w:color w:val="000000"/>
      <w:shd w:val="clear" w:color="auto" w:fill="EFD200"/>
    </w:rPr>
  </w:style>
  <w:style w:type="character" w:customStyle="1" w:styleId="181">
    <w:name w:val="Char Char41"/>
    <w:qFormat/>
    <w:uiPriority w:val="0"/>
    <w:rPr>
      <w:rFonts w:eastAsia="宋体"/>
      <w:b/>
      <w:sz w:val="24"/>
      <w:lang w:val="en-US" w:eastAsia="zh-CN" w:bidi="ar-SA"/>
    </w:rPr>
  </w:style>
  <w:style w:type="character" w:customStyle="1" w:styleId="182">
    <w:name w:val="Char Char52"/>
    <w:qFormat/>
    <w:uiPriority w:val="0"/>
    <w:rPr>
      <w:rFonts w:ascii="宋体" w:hAnsi="Courier New" w:eastAsia="宋体"/>
      <w:kern w:val="2"/>
      <w:sz w:val="21"/>
      <w:lang w:val="en-US" w:eastAsia="zh-CN"/>
    </w:rPr>
  </w:style>
  <w:style w:type="character" w:customStyle="1" w:styleId="183">
    <w:name w:val="冯广丽 Char"/>
    <w:link w:val="184"/>
    <w:qFormat/>
    <w:uiPriority w:val="0"/>
    <w:rPr>
      <w:rFonts w:ascii="宋体" w:hAnsi="宋体"/>
      <w:sz w:val="24"/>
    </w:rPr>
  </w:style>
  <w:style w:type="paragraph" w:customStyle="1" w:styleId="184">
    <w:name w:val="冯广丽"/>
    <w:basedOn w:val="1"/>
    <w:link w:val="183"/>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5">
    <w:name w:val="Char Char1211"/>
    <w:qFormat/>
    <w:uiPriority w:val="0"/>
    <w:rPr>
      <w:rFonts w:ascii="仿宋_GB2312" w:eastAsia="仿宋_GB2312"/>
      <w:b/>
      <w:bCs/>
      <w:kern w:val="2"/>
      <w:sz w:val="24"/>
      <w:szCs w:val="24"/>
      <w:lang w:val="zh-CN" w:eastAsia="zh-CN" w:bidi="ar-SA"/>
    </w:rPr>
  </w:style>
  <w:style w:type="character" w:customStyle="1" w:styleId="186">
    <w:name w:val="Table Text Char"/>
    <w:link w:val="187"/>
    <w:qFormat/>
    <w:uiPriority w:val="0"/>
    <w:rPr>
      <w:sz w:val="24"/>
      <w:szCs w:val="24"/>
    </w:rPr>
  </w:style>
  <w:style w:type="paragraph" w:customStyle="1" w:styleId="187">
    <w:name w:val="Table Text"/>
    <w:basedOn w:val="1"/>
    <w:link w:val="186"/>
    <w:qFormat/>
    <w:uiPriority w:val="0"/>
    <w:pPr>
      <w:widowControl/>
      <w:spacing w:before="60" w:after="60"/>
      <w:jc w:val="left"/>
    </w:pPr>
    <w:rPr>
      <w:rFonts w:asciiTheme="minorHAnsi" w:hAnsiTheme="minorHAnsi" w:eastAsiaTheme="minorEastAsia" w:cstheme="minorBidi"/>
      <w:sz w:val="24"/>
    </w:rPr>
  </w:style>
  <w:style w:type="character" w:customStyle="1" w:styleId="188">
    <w:name w:val="Used by Word for text of Help footnotes Char Char"/>
    <w:qFormat/>
    <w:uiPriority w:val="0"/>
    <w:rPr>
      <w:rFonts w:ascii="Times New Roman" w:hAnsi="Times New Roman" w:eastAsia="宋体" w:cs="Times New Roman"/>
      <w:sz w:val="20"/>
      <w:szCs w:val="20"/>
    </w:rPr>
  </w:style>
  <w:style w:type="character" w:customStyle="1" w:styleId="189">
    <w:name w:val="Bold"/>
    <w:qFormat/>
    <w:uiPriority w:val="0"/>
    <w:rPr>
      <w:rFonts w:ascii="Arial" w:hAnsi="Arial" w:eastAsia="黑体" w:cs="Times New Roman"/>
      <w:b/>
      <w:kern w:val="2"/>
      <w:sz w:val="32"/>
      <w:szCs w:val="32"/>
      <w:lang w:val="en-US" w:eastAsia="zh-CN" w:bidi="ar-SA"/>
    </w:rPr>
  </w:style>
  <w:style w:type="character" w:customStyle="1" w:styleId="190">
    <w:name w:val="批注文字 字符1"/>
    <w:qFormat/>
    <w:uiPriority w:val="0"/>
    <w:rPr>
      <w:kern w:val="2"/>
      <w:sz w:val="21"/>
      <w:szCs w:val="24"/>
    </w:rPr>
  </w:style>
  <w:style w:type="character" w:customStyle="1" w:styleId="191">
    <w:name w:val="标题 2 Char Char"/>
    <w:qFormat/>
    <w:uiPriority w:val="0"/>
    <w:rPr>
      <w:rFonts w:ascii="楷体_GB2312" w:hAnsi="Arial" w:eastAsia="楷体_GB2312"/>
      <w:b/>
      <w:bCs/>
      <w:kern w:val="2"/>
      <w:sz w:val="24"/>
      <w:szCs w:val="32"/>
      <w:lang w:val="en-US" w:eastAsia="zh-CN" w:bidi="ar-SA"/>
    </w:rPr>
  </w:style>
  <w:style w:type="character" w:customStyle="1" w:styleId="192">
    <w:name w:val="签名 Char2"/>
    <w:link w:val="41"/>
    <w:qFormat/>
    <w:uiPriority w:val="0"/>
    <w:rPr>
      <w:rFonts w:eastAsia="仿宋_GB2312"/>
      <w:sz w:val="24"/>
    </w:rPr>
  </w:style>
  <w:style w:type="character" w:customStyle="1" w:styleId="193">
    <w:name w:val="Char Char37"/>
    <w:qFormat/>
    <w:uiPriority w:val="6"/>
    <w:rPr>
      <w:b/>
      <w:kern w:val="1"/>
      <w:sz w:val="44"/>
      <w:szCs w:val="44"/>
    </w:rPr>
  </w:style>
  <w:style w:type="character" w:customStyle="1" w:styleId="194">
    <w:name w:val="正文文本缩进 3 Char1"/>
    <w:semiHidden/>
    <w:qFormat/>
    <w:uiPriority w:val="99"/>
    <w:rPr>
      <w:rFonts w:ascii="Times New Roman" w:hAnsi="Times New Roman" w:eastAsia="宋体" w:cs="Times New Roman"/>
      <w:sz w:val="16"/>
      <w:szCs w:val="16"/>
    </w:rPr>
  </w:style>
  <w:style w:type="character" w:customStyle="1" w:styleId="195">
    <w:name w:val="列出段落 Char"/>
    <w:qFormat/>
    <w:uiPriority w:val="0"/>
    <w:rPr>
      <w:rFonts w:eastAsia="楷体_GB2312" w:cs="Lucida Sans"/>
      <w:kern w:val="2"/>
      <w:sz w:val="24"/>
      <w:szCs w:val="24"/>
      <w:lang w:val="en-US" w:eastAsia="zh-CN" w:bidi="ar-SA"/>
    </w:rPr>
  </w:style>
  <w:style w:type="character" w:customStyle="1" w:styleId="196">
    <w:name w:val="标题 1 字符"/>
    <w:qFormat/>
    <w:uiPriority w:val="9"/>
    <w:rPr>
      <w:rFonts w:ascii="Arial" w:hAnsi="Arial" w:eastAsia="黑体" w:cs="Arial"/>
      <w:b/>
      <w:bCs/>
      <w:snapToGrid w:val="0"/>
      <w:kern w:val="44"/>
      <w:sz w:val="44"/>
      <w:szCs w:val="44"/>
    </w:rPr>
  </w:style>
  <w:style w:type="character" w:customStyle="1" w:styleId="197">
    <w:name w:val="标题 1 Char Char"/>
    <w:qFormat/>
    <w:uiPriority w:val="0"/>
    <w:rPr>
      <w:rFonts w:hint="eastAsia" w:ascii="宋体" w:hAnsi="宋体" w:eastAsia="宋体"/>
      <w:b/>
      <w:spacing w:val="-2"/>
      <w:sz w:val="24"/>
      <w:lang w:val="en-US" w:eastAsia="zh-CN" w:bidi="ar-SA"/>
    </w:rPr>
  </w:style>
  <w:style w:type="character" w:customStyle="1" w:styleId="198">
    <w:name w:val="正文（缩进2汉字） Char"/>
    <w:link w:val="199"/>
    <w:qFormat/>
    <w:uiPriority w:val="0"/>
    <w:rPr>
      <w:rFonts w:ascii="宋体"/>
    </w:rPr>
  </w:style>
  <w:style w:type="paragraph" w:customStyle="1" w:styleId="199">
    <w:name w:val="正文（缩进2汉字）"/>
    <w:basedOn w:val="1"/>
    <w:link w:val="198"/>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0">
    <w:name w:val="哈哈正文 Char Char"/>
    <w:qFormat/>
    <w:uiPriority w:val="0"/>
    <w:rPr>
      <w:rFonts w:ascii="宋体" w:hAnsi="宋体" w:eastAsia="宋体" w:cs="宋体"/>
      <w:kern w:val="2"/>
      <w:sz w:val="24"/>
      <w:lang w:val="en-US" w:eastAsia="zh-CN" w:bidi="ar-SA"/>
    </w:rPr>
  </w:style>
  <w:style w:type="character" w:customStyle="1" w:styleId="201">
    <w:name w:val="content"/>
    <w:qFormat/>
    <w:uiPriority w:val="0"/>
  </w:style>
  <w:style w:type="character" w:customStyle="1" w:styleId="202">
    <w:name w:val="font51"/>
    <w:qFormat/>
    <w:uiPriority w:val="0"/>
    <w:rPr>
      <w:rFonts w:hint="eastAsia" w:ascii="仿宋" w:hAnsi="仿宋" w:eastAsia="仿宋" w:cs="仿宋"/>
      <w:color w:val="000000"/>
      <w:sz w:val="20"/>
      <w:szCs w:val="20"/>
      <w:u w:val="none"/>
    </w:rPr>
  </w:style>
  <w:style w:type="character" w:customStyle="1" w:styleId="203">
    <w:name w:val="批注文字 字符"/>
    <w:qFormat/>
    <w:uiPriority w:val="0"/>
    <w:rPr>
      <w:rFonts w:ascii="Arial" w:hAnsi="Arial" w:eastAsia="黑体" w:cs="Arial"/>
      <w:snapToGrid w:val="0"/>
      <w:kern w:val="0"/>
      <w:szCs w:val="21"/>
    </w:rPr>
  </w:style>
  <w:style w:type="character" w:customStyle="1" w:styleId="204">
    <w:name w:val="编号，小四 Char"/>
    <w:link w:val="205"/>
    <w:qFormat/>
    <w:uiPriority w:val="0"/>
    <w:rPr>
      <w:rFonts w:ascii="Arial" w:hAnsi="Arial"/>
      <w:sz w:val="24"/>
    </w:rPr>
  </w:style>
  <w:style w:type="paragraph" w:customStyle="1" w:styleId="205">
    <w:name w:val="编号，小四"/>
    <w:basedOn w:val="1"/>
    <w:link w:val="204"/>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6">
    <w:name w:val="Font Style82"/>
    <w:qFormat/>
    <w:uiPriority w:val="99"/>
    <w:rPr>
      <w:rFonts w:ascii="宋体" w:eastAsia="宋体" w:cs="宋体"/>
      <w:color w:val="000000"/>
      <w:sz w:val="14"/>
      <w:szCs w:val="14"/>
    </w:rPr>
  </w:style>
  <w:style w:type="character" w:customStyle="1" w:styleId="207">
    <w:name w:val="正文首行缩进 Char Char Char Char Char Char"/>
    <w:qFormat/>
    <w:uiPriority w:val="0"/>
    <w:rPr>
      <w:rFonts w:ascii="宋体" w:eastAsia="宋体"/>
      <w:kern w:val="2"/>
      <w:sz w:val="24"/>
      <w:lang w:val="zh-CN" w:bidi="ar-SA"/>
    </w:rPr>
  </w:style>
  <w:style w:type="character" w:customStyle="1" w:styleId="208">
    <w:name w:val="DO_NOT_TRANSLATE"/>
    <w:qFormat/>
    <w:uiPriority w:val="0"/>
    <w:rPr>
      <w:rFonts w:ascii="Courier New" w:hAnsi="Courier New" w:cs="Courier New"/>
      <w:color w:val="800000"/>
      <w:lang w:val="en-US" w:eastAsia="zh-CN"/>
    </w:rPr>
  </w:style>
  <w:style w:type="character" w:customStyle="1" w:styleId="209">
    <w:name w:val="gray6"/>
    <w:qFormat/>
    <w:uiPriority w:val="0"/>
    <w:rPr>
      <w:rFonts w:ascii="Arial" w:hAnsi="Arial" w:eastAsia="黑体" w:cs="Arial"/>
      <w:snapToGrid w:val="0"/>
      <w:kern w:val="0"/>
      <w:szCs w:val="21"/>
    </w:rPr>
  </w:style>
  <w:style w:type="character" w:customStyle="1" w:styleId="210">
    <w:name w:val="正文文本缩进 字符"/>
    <w:qFormat/>
    <w:uiPriority w:val="0"/>
    <w:rPr>
      <w:rFonts w:ascii="Century Gothic" w:hAnsi="Century Gothic" w:eastAsia="Century Gothic"/>
      <w:kern w:val="2"/>
      <w:sz w:val="24"/>
      <w:lang w:val="en-US" w:eastAsia="zh-CN" w:bidi="ar-SA"/>
    </w:rPr>
  </w:style>
  <w:style w:type="character" w:customStyle="1" w:styleId="211">
    <w:name w:val="Char Char36"/>
    <w:qFormat/>
    <w:uiPriority w:val="6"/>
    <w:rPr>
      <w:rFonts w:ascii="仿宋_GB2312" w:hAnsi="仿宋_GB2312" w:eastAsia="仿宋_GB2312" w:cs="Arial"/>
      <w:b/>
      <w:kern w:val="1"/>
      <w:sz w:val="32"/>
      <w:szCs w:val="32"/>
      <w:lang w:val="zh-CN" w:eastAsia="zh-CN" w:bidi="ar-SA"/>
    </w:rPr>
  </w:style>
  <w:style w:type="character" w:customStyle="1" w:styleId="212">
    <w:name w:val="15"/>
    <w:qFormat/>
    <w:uiPriority w:val="0"/>
    <w:rPr>
      <w:rFonts w:hint="default" w:ascii="Calibri" w:hAnsi="Calibri"/>
      <w:color w:val="0000FF"/>
      <w:u w:val="single"/>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交叉引用"/>
    <w:qFormat/>
    <w:uiPriority w:val="1"/>
    <w:rPr>
      <w:rFonts w:ascii="Arial" w:hAnsi="Arial" w:eastAsia="黑体"/>
      <w:snapToGrid w:val="0"/>
      <w:color w:val="0000FF"/>
      <w:kern w:val="0"/>
      <w:sz w:val="20"/>
      <w:szCs w:val="21"/>
      <w:u w:val="single"/>
      <w:lang w:val="en-US" w:eastAsia="zh-CN"/>
    </w:rPr>
  </w:style>
  <w:style w:type="character" w:customStyle="1" w:styleId="215">
    <w:name w:val="页脚 字符1"/>
    <w:qFormat/>
    <w:locked/>
    <w:uiPriority w:val="99"/>
    <w:rPr>
      <w:kern w:val="2"/>
      <w:sz w:val="18"/>
      <w:szCs w:val="18"/>
    </w:rPr>
  </w:style>
  <w:style w:type="character" w:customStyle="1" w:styleId="216">
    <w:name w:val="首行缩进 Char"/>
    <w:qFormat/>
    <w:uiPriority w:val="0"/>
    <w:rPr>
      <w:rFonts w:ascii="宋体" w:eastAsia="宋体"/>
      <w:kern w:val="2"/>
      <w:sz w:val="24"/>
      <w:lang w:val="en-US" w:eastAsia="zh-CN" w:bidi="ar-SA"/>
    </w:rPr>
  </w:style>
  <w:style w:type="character" w:customStyle="1" w:styleId="217">
    <w:name w:val="U_正文 Char"/>
    <w:link w:val="218"/>
    <w:qFormat/>
    <w:uiPriority w:val="0"/>
    <w:rPr>
      <w:sz w:val="24"/>
      <w:szCs w:val="24"/>
    </w:rPr>
  </w:style>
  <w:style w:type="paragraph" w:customStyle="1" w:styleId="218">
    <w:name w:val="U_正文"/>
    <w:basedOn w:val="1"/>
    <w:link w:val="217"/>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19">
    <w:name w:val="b11_01b Char"/>
    <w:link w:val="220"/>
    <w:qFormat/>
    <w:uiPriority w:val="0"/>
    <w:rPr>
      <w:rFonts w:ascii="Verdana" w:hAnsi="Verdana"/>
      <w:b/>
      <w:bCs/>
      <w:color w:val="4A82CA"/>
      <w:sz w:val="17"/>
      <w:szCs w:val="17"/>
    </w:rPr>
  </w:style>
  <w:style w:type="paragraph" w:customStyle="1" w:styleId="220">
    <w:name w:val="b11_01b"/>
    <w:basedOn w:val="1"/>
    <w:next w:val="1"/>
    <w:link w:val="21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1">
    <w:name w:val="Char Char161"/>
    <w:qFormat/>
    <w:uiPriority w:val="0"/>
    <w:rPr>
      <w:rFonts w:eastAsia="宋体"/>
      <w:b/>
      <w:kern w:val="2"/>
      <w:sz w:val="32"/>
      <w:lang w:val="en-US" w:eastAsia="zh-CN"/>
    </w:rPr>
  </w:style>
  <w:style w:type="character" w:customStyle="1" w:styleId="222">
    <w:name w:val="表格非标题文字 Char"/>
    <w:link w:val="223"/>
    <w:qFormat/>
    <w:uiPriority w:val="0"/>
    <w:rPr>
      <w:rFonts w:ascii="Futura Bk" w:hAnsi="Futura Bk"/>
      <w:sz w:val="18"/>
      <w:szCs w:val="21"/>
    </w:rPr>
  </w:style>
  <w:style w:type="paragraph" w:customStyle="1" w:styleId="223">
    <w:name w:val="表格非标题文字"/>
    <w:link w:val="22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4">
    <w:name w:val="*正文 Char"/>
    <w:link w:val="225"/>
    <w:qFormat/>
    <w:locked/>
    <w:uiPriority w:val="0"/>
    <w:rPr>
      <w:rFonts w:ascii="宋体" w:hAnsi="宋体"/>
      <w:sz w:val="24"/>
    </w:rPr>
  </w:style>
  <w:style w:type="paragraph" w:customStyle="1" w:styleId="225">
    <w:name w:val="*正文"/>
    <w:basedOn w:val="1"/>
    <w:link w:val="224"/>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6">
    <w:name w:val="Char Char28"/>
    <w:qFormat/>
    <w:uiPriority w:val="6"/>
    <w:rPr>
      <w:rFonts w:ascii="仿宋_GB2312" w:hAnsi="仿宋_GB2312" w:eastAsia="仿宋_GB2312"/>
      <w:kern w:val="1"/>
      <w:sz w:val="28"/>
    </w:rPr>
  </w:style>
  <w:style w:type="character" w:customStyle="1" w:styleId="227">
    <w:name w:val="Heading 1 Char"/>
    <w:qFormat/>
    <w:uiPriority w:val="6"/>
    <w:rPr>
      <w:rFonts w:ascii="Times New Roman" w:hAnsi="Times New Roman" w:eastAsia="黑体" w:cs="Times New Roman"/>
      <w:b/>
      <w:kern w:val="0"/>
      <w:sz w:val="24"/>
      <w:szCs w:val="24"/>
    </w:rPr>
  </w:style>
  <w:style w:type="character" w:customStyle="1" w:styleId="228">
    <w:name w:val="HTML 地址 Char1"/>
    <w:qFormat/>
    <w:uiPriority w:val="0"/>
    <w:rPr>
      <w:rFonts w:ascii="Times New Roman" w:hAnsi="Times New Roman" w:eastAsia="宋体" w:cs="Times New Roman"/>
      <w:i/>
      <w:iCs/>
      <w:szCs w:val="24"/>
    </w:rPr>
  </w:style>
  <w:style w:type="character" w:customStyle="1" w:styleId="229">
    <w:name w:val="Char Char51"/>
    <w:qFormat/>
    <w:uiPriority w:val="0"/>
    <w:rPr>
      <w:rFonts w:ascii="宋体" w:hAnsi="Courier New" w:eastAsia="宋体"/>
      <w:kern w:val="2"/>
      <w:sz w:val="21"/>
      <w:lang w:val="en-US" w:eastAsia="zh-CN"/>
    </w:rPr>
  </w:style>
  <w:style w:type="character" w:customStyle="1" w:styleId="230">
    <w:name w:val="表正文 Char"/>
    <w:qFormat/>
    <w:uiPriority w:val="0"/>
    <w:rPr>
      <w:rFonts w:ascii="宋体" w:eastAsia="宋体"/>
      <w:snapToGrid w:val="0"/>
      <w:color w:val="000000"/>
      <w:kern w:val="28"/>
      <w:sz w:val="28"/>
      <w:lang w:val="en-US" w:eastAsia="zh-CN" w:bidi="ar-SA"/>
    </w:rPr>
  </w:style>
  <w:style w:type="character" w:customStyle="1" w:styleId="231">
    <w:name w:val="Char Char34"/>
    <w:qFormat/>
    <w:uiPriority w:val="6"/>
    <w:rPr>
      <w:b/>
      <w:kern w:val="1"/>
      <w:sz w:val="28"/>
      <w:szCs w:val="28"/>
    </w:rPr>
  </w:style>
  <w:style w:type="character" w:customStyle="1" w:styleId="2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3">
    <w:name w:val="未处理的提及1"/>
    <w:qFormat/>
    <w:uiPriority w:val="0"/>
    <w:rPr>
      <w:color w:val="808080"/>
      <w:shd w:val="clear" w:color="auto" w:fill="E6E6E6"/>
    </w:rPr>
  </w:style>
  <w:style w:type="character" w:customStyle="1" w:styleId="234">
    <w:name w:val="PI Char1"/>
    <w:qFormat/>
    <w:uiPriority w:val="0"/>
    <w:rPr>
      <w:rFonts w:ascii="宋体" w:hAnsi="宋体"/>
      <w:kern w:val="2"/>
      <w:sz w:val="24"/>
      <w:szCs w:val="24"/>
    </w:rPr>
  </w:style>
  <w:style w:type="character" w:customStyle="1" w:styleId="235">
    <w:name w:val="Char Char101"/>
    <w:qFormat/>
    <w:uiPriority w:val="6"/>
    <w:rPr>
      <w:rFonts w:ascii="宋体" w:hAnsi="宋体"/>
      <w:kern w:val="2"/>
      <w:sz w:val="21"/>
      <w:szCs w:val="24"/>
      <w:lang w:val="en-US" w:eastAsia="zh-CN"/>
    </w:rPr>
  </w:style>
  <w:style w:type="character" w:customStyle="1" w:styleId="236">
    <w:name w:val="5正文 Char"/>
    <w:link w:val="237"/>
    <w:qFormat/>
    <w:uiPriority w:val="0"/>
    <w:rPr>
      <w:rFonts w:ascii="仿宋_GB2312" w:hAnsi="微软雅黑" w:eastAsia="仿宋_GB2312"/>
      <w:sz w:val="28"/>
      <w:szCs w:val="21"/>
    </w:rPr>
  </w:style>
  <w:style w:type="paragraph" w:customStyle="1" w:styleId="237">
    <w:name w:val="5正文"/>
    <w:basedOn w:val="1"/>
    <w:link w:val="23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8">
    <w:name w:val="标题 3 字符"/>
    <w:qFormat/>
    <w:uiPriority w:val="9"/>
    <w:rPr>
      <w:b/>
      <w:bCs/>
      <w:kern w:val="2"/>
      <w:sz w:val="32"/>
      <w:szCs w:val="32"/>
    </w:rPr>
  </w:style>
  <w:style w:type="character" w:customStyle="1" w:styleId="239">
    <w:name w:val="样式6 Char"/>
    <w:qFormat/>
    <w:uiPriority w:val="0"/>
    <w:rPr>
      <w:rFonts w:ascii="仿宋_GB2312" w:hAnsi="宋体" w:eastAsia="仿宋_GB2312"/>
      <w:b/>
      <w:bCs/>
      <w:kern w:val="2"/>
      <w:sz w:val="24"/>
      <w:szCs w:val="24"/>
      <w:lang w:val="en-US" w:eastAsia="zh-CN" w:bidi="ar-SA"/>
    </w:rPr>
  </w:style>
  <w:style w:type="character" w:customStyle="1" w:styleId="240">
    <w:name w:val="Char Char14"/>
    <w:qFormat/>
    <w:uiPriority w:val="6"/>
    <w:rPr>
      <w:rFonts w:ascii="黑体" w:hAnsi="黑体" w:eastAsia="黑体"/>
    </w:rPr>
  </w:style>
  <w:style w:type="character" w:customStyle="1" w:styleId="241">
    <w:name w:val="Heading 2 Hidden Char"/>
    <w:qFormat/>
    <w:uiPriority w:val="0"/>
    <w:rPr>
      <w:rFonts w:ascii="仿宋_GB2312" w:eastAsia="仿宋_GB2312"/>
      <w:b/>
      <w:bCs/>
      <w:kern w:val="2"/>
      <w:sz w:val="24"/>
      <w:szCs w:val="24"/>
      <w:lang w:val="zh-CN" w:eastAsia="zh-CN" w:bidi="ar-SA"/>
    </w:rPr>
  </w:style>
  <w:style w:type="character" w:customStyle="1" w:styleId="242">
    <w:name w:val="正文首行缩进 2 Char2"/>
    <w:link w:val="2"/>
    <w:qFormat/>
    <w:uiPriority w:val="0"/>
    <w:rPr>
      <w:rFonts w:ascii="宋体" w:hAnsi="宋体"/>
      <w:kern w:val="2"/>
      <w:sz w:val="21"/>
      <w:szCs w:val="24"/>
    </w:rPr>
  </w:style>
  <w:style w:type="character" w:customStyle="1" w:styleId="243">
    <w:name w:val="font11"/>
    <w:qFormat/>
    <w:uiPriority w:val="0"/>
    <w:rPr>
      <w:rFonts w:hint="default" w:ascii="Times New Roman" w:hAnsi="Times New Roman" w:cs="Times New Roman"/>
      <w:color w:val="000000"/>
      <w:sz w:val="22"/>
      <w:szCs w:val="22"/>
      <w:u w:val="none"/>
    </w:rPr>
  </w:style>
  <w:style w:type="character" w:customStyle="1" w:styleId="244">
    <w:name w:val="blue1"/>
    <w:qFormat/>
    <w:uiPriority w:val="0"/>
    <w:rPr>
      <w:rFonts w:ascii="Arial" w:hAnsi="Arial" w:eastAsia="黑体" w:cs="Arial"/>
      <w:snapToGrid w:val="0"/>
      <w:kern w:val="0"/>
      <w:szCs w:val="21"/>
    </w:rPr>
  </w:style>
  <w:style w:type="character" w:customStyle="1" w:styleId="245">
    <w:name w:val="Char Char24"/>
    <w:qFormat/>
    <w:uiPriority w:val="6"/>
    <w:rPr>
      <w:kern w:val="1"/>
      <w:sz w:val="21"/>
    </w:rPr>
  </w:style>
  <w:style w:type="character" w:customStyle="1" w:styleId="246">
    <w:name w:val="副标题 Char3"/>
    <w:link w:val="45"/>
    <w:qFormat/>
    <w:uiPriority w:val="0"/>
    <w:rPr>
      <w:rFonts w:ascii="Arial" w:hAnsi="Arial" w:eastAsia="隶书"/>
      <w:b/>
      <w:bCs/>
      <w:kern w:val="28"/>
      <w:sz w:val="44"/>
      <w:szCs w:val="32"/>
    </w:rPr>
  </w:style>
  <w:style w:type="character" w:customStyle="1" w:styleId="247">
    <w:name w:val="普通文字 Char1 Char"/>
    <w:qFormat/>
    <w:uiPriority w:val="0"/>
    <w:rPr>
      <w:rFonts w:ascii="宋体" w:hAnsi="Courier New" w:eastAsia="宋体"/>
      <w:kern w:val="2"/>
      <w:sz w:val="21"/>
      <w:szCs w:val="24"/>
      <w:lang w:val="en-US" w:eastAsia="zh-CN" w:bidi="ar-SA"/>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font12gray1"/>
    <w:qFormat/>
    <w:uiPriority w:val="0"/>
    <w:rPr>
      <w:rFonts w:ascii="仿宋_GB2312" w:eastAsia="微软雅黑"/>
      <w:b/>
      <w:spacing w:val="300"/>
      <w:kern w:val="2"/>
      <w:sz w:val="18"/>
      <w:szCs w:val="18"/>
      <w:lang w:val="en-US" w:eastAsia="zh-CN" w:bidi="ar-SA"/>
    </w:rPr>
  </w:style>
  <w:style w:type="character" w:customStyle="1" w:styleId="251">
    <w:name w:val="Char Char7"/>
    <w:semiHidden/>
    <w:qFormat/>
    <w:uiPriority w:val="0"/>
    <w:rPr>
      <w:rFonts w:eastAsia="宋体"/>
      <w:kern w:val="2"/>
      <w:sz w:val="21"/>
      <w:szCs w:val="24"/>
      <w:lang w:val="en-US" w:eastAsia="zh-CN" w:bidi="ar-SA"/>
    </w:rPr>
  </w:style>
  <w:style w:type="character" w:customStyle="1" w:styleId="252">
    <w:name w:val="表名 Char"/>
    <w:qFormat/>
    <w:uiPriority w:val="0"/>
    <w:rPr>
      <w:rFonts w:eastAsia="宋体"/>
      <w:b/>
      <w:bCs/>
      <w:kern w:val="2"/>
      <w:sz w:val="24"/>
      <w:szCs w:val="24"/>
      <w:lang w:val="en-US" w:eastAsia="zh-CN" w:bidi="ar-SA"/>
    </w:rPr>
  </w:style>
  <w:style w:type="character" w:customStyle="1" w:styleId="253">
    <w:name w:val="Document Map Char"/>
    <w:qFormat/>
    <w:locked/>
    <w:uiPriority w:val="0"/>
    <w:rPr>
      <w:rFonts w:eastAsia="宋体"/>
      <w:kern w:val="2"/>
      <w:sz w:val="21"/>
      <w:szCs w:val="24"/>
      <w:lang w:val="en-US" w:eastAsia="zh-CN" w:bidi="ar-SA"/>
    </w:rPr>
  </w:style>
  <w:style w:type="character" w:customStyle="1" w:styleId="254">
    <w:name w:val="font41"/>
    <w:qFormat/>
    <w:uiPriority w:val="0"/>
    <w:rPr>
      <w:rFonts w:hint="eastAsia" w:ascii="仿宋_GB2312" w:eastAsia="仿宋_GB2312" w:cs="仿宋_GB2312"/>
      <w:color w:val="000000"/>
      <w:sz w:val="22"/>
      <w:szCs w:val="22"/>
      <w:u w:val="none"/>
    </w:rPr>
  </w:style>
  <w:style w:type="character" w:customStyle="1" w:styleId="255">
    <w:name w:val="标题 6 Char2"/>
    <w:link w:val="9"/>
    <w:qFormat/>
    <w:uiPriority w:val="0"/>
    <w:rPr>
      <w:rFonts w:ascii="Arial" w:hAnsi="Arial" w:eastAsia="黑体" w:cs="Times New Roman"/>
      <w:b/>
      <w:bCs/>
      <w:sz w:val="24"/>
      <w:szCs w:val="24"/>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qFormat/>
    <w:uiPriority w:val="0"/>
    <w:rPr>
      <w:rFonts w:ascii="仿宋_GB2312" w:hAnsi="仿宋_GB2312" w:eastAsia="仿宋_GB2312"/>
      <w:kern w:val="2"/>
      <w:sz w:val="24"/>
      <w:lang w:bidi="ar-SA"/>
    </w:rPr>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批注主题 Char"/>
    <w:qFormat/>
    <w:uiPriority w:val="0"/>
    <w:rPr>
      <w:rFonts w:eastAsia="宋体"/>
      <w:b/>
      <w:bCs/>
      <w:kern w:val="2"/>
      <w:sz w:val="21"/>
      <w:szCs w:val="24"/>
      <w:lang w:val="en-US" w:eastAsia="zh-CN" w:bidi="ar-SA"/>
    </w:rPr>
  </w:style>
  <w:style w:type="character" w:customStyle="1" w:styleId="272">
    <w:name w:val="Comment Text Char"/>
    <w:qFormat/>
    <w:locked/>
    <w:uiPriority w:val="0"/>
    <w:rPr>
      <w:rFonts w:ascii="宋体" w:hAnsi="宋体" w:eastAsia="宋体"/>
      <w:kern w:val="2"/>
      <w:sz w:val="24"/>
      <w:lang w:val="en-US" w:eastAsia="zh-CN" w:bidi="ar-SA"/>
    </w:rPr>
  </w:style>
  <w:style w:type="character" w:customStyle="1" w:styleId="273">
    <w:name w:val="标题 2 字符"/>
    <w:qFormat/>
    <w:uiPriority w:val="1"/>
    <w:rPr>
      <w:rFonts w:ascii="仿宋_GB2312" w:hAnsi="Times New Roman" w:eastAsia="仿宋_GB2312" w:cs="Times New Roman"/>
      <w:b/>
      <w:kern w:val="2"/>
      <w:sz w:val="24"/>
      <w:lang w:val="zh-CN"/>
    </w:rPr>
  </w:style>
  <w:style w:type="character" w:customStyle="1" w:styleId="274">
    <w:name w:val="Char Char72"/>
    <w:qFormat/>
    <w:uiPriority w:val="0"/>
    <w:rPr>
      <w:rFonts w:eastAsia="宋体"/>
      <w:kern w:val="2"/>
      <w:sz w:val="21"/>
      <w:szCs w:val="24"/>
      <w:lang w:val="en-US" w:eastAsia="zh-CN" w:bidi="ar-SA"/>
    </w:rPr>
  </w:style>
  <w:style w:type="character" w:customStyle="1" w:styleId="275">
    <w:name w:val="正文文本缩进 Char2"/>
    <w:qFormat/>
    <w:uiPriority w:val="0"/>
    <w:rPr>
      <w:rFonts w:ascii="Times New Roman" w:hAnsi="Times New Roman" w:eastAsia="宋体" w:cs="Times New Roman"/>
      <w:snapToGrid w:val="0"/>
      <w:kern w:val="0"/>
      <w:szCs w:val="24"/>
    </w:rPr>
  </w:style>
  <w:style w:type="character" w:customStyle="1" w:styleId="276">
    <w:name w:val="样式2 Char"/>
    <w:qFormat/>
    <w:uiPriority w:val="0"/>
    <w:rPr>
      <w:rFonts w:ascii="仿宋_GB2312" w:hAnsi="仿宋" w:eastAsia="仿宋_GB2312" w:cs="仿宋_GB2312"/>
      <w:b/>
      <w:bCs/>
      <w:sz w:val="32"/>
      <w:szCs w:val="30"/>
      <w:lang w:val="zh-CN"/>
    </w:rPr>
  </w:style>
  <w:style w:type="character" w:customStyle="1" w:styleId="277">
    <w:name w:val="表格名称[858D7CFB-ED40-4347-BF05-701D383B685F]"/>
    <w:link w:val="278"/>
    <w:qFormat/>
    <w:uiPriority w:val="0"/>
    <w:rPr>
      <w:sz w:val="32"/>
    </w:rPr>
  </w:style>
  <w:style w:type="paragraph" w:customStyle="1" w:styleId="278">
    <w:name w:val="表格名称"/>
    <w:basedOn w:val="5"/>
    <w:link w:val="277"/>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9">
    <w:name w:val="Char Char4"/>
    <w:qFormat/>
    <w:uiPriority w:val="0"/>
    <w:rPr>
      <w:rFonts w:eastAsia="宋体"/>
      <w:b/>
      <w:sz w:val="24"/>
      <w:lang w:val="en-US" w:eastAsia="zh-CN" w:bidi="ar-SA"/>
    </w:rPr>
  </w:style>
  <w:style w:type="character" w:customStyle="1" w:styleId="280">
    <w:name w:val="c7 style3"/>
    <w:qFormat/>
    <w:uiPriority w:val="0"/>
  </w:style>
  <w:style w:type="character" w:customStyle="1" w:styleId="281">
    <w:name w:val="正文文本 3 Char1"/>
    <w:semiHidden/>
    <w:qFormat/>
    <w:uiPriority w:val="99"/>
    <w:rPr>
      <w:rFonts w:ascii="Times New Roman" w:hAnsi="Times New Roman" w:eastAsia="宋体" w:cs="Times New Roman"/>
      <w:sz w:val="16"/>
      <w:szCs w:val="16"/>
    </w:rPr>
  </w:style>
  <w:style w:type="character" w:customStyle="1" w:styleId="282">
    <w:name w:val="tw4winInternal"/>
    <w:qFormat/>
    <w:uiPriority w:val="0"/>
    <w:rPr>
      <w:rFonts w:ascii="Courier New" w:hAnsi="Courier New" w:cs="Courier New"/>
      <w:color w:val="FF0000"/>
      <w:lang w:val="en-US" w:eastAsia="zh-CN"/>
    </w:rPr>
  </w:style>
  <w:style w:type="character" w:customStyle="1" w:styleId="283">
    <w:name w:val="Char Char10"/>
    <w:semiHidden/>
    <w:qFormat/>
    <w:uiPriority w:val="0"/>
    <w:rPr>
      <w:rFonts w:ascii="宋体" w:hAnsi="宋体"/>
      <w:kern w:val="2"/>
      <w:sz w:val="21"/>
      <w:szCs w:val="24"/>
      <w:lang w:val="en-US" w:eastAsia="zh-CN"/>
    </w:rPr>
  </w:style>
  <w:style w:type="character" w:customStyle="1" w:styleId="284">
    <w:name w:val="shadow11"/>
    <w:qFormat/>
    <w:uiPriority w:val="0"/>
    <w:rPr>
      <w:color w:val="000000"/>
      <w:sz w:val="21"/>
    </w:rPr>
  </w:style>
  <w:style w:type="character" w:customStyle="1" w:styleId="285">
    <w:name w:val="正文非缩进 Char3"/>
    <w:qFormat/>
    <w:uiPriority w:val="0"/>
    <w:rPr>
      <w:rFonts w:ascii="宋体" w:eastAsia="宋体"/>
      <w:snapToGrid w:val="0"/>
      <w:color w:val="000000"/>
      <w:kern w:val="28"/>
      <w:sz w:val="28"/>
      <w:lang w:val="en-US" w:eastAsia="zh-CN" w:bidi="ar-SA"/>
    </w:rPr>
  </w:style>
  <w:style w:type="character" w:customStyle="1" w:styleId="286">
    <w:name w:val="Char Char"/>
    <w:qFormat/>
    <w:uiPriority w:val="0"/>
    <w:rPr>
      <w:rFonts w:ascii="宋体" w:hAnsi="Courier New" w:eastAsia="宋体"/>
      <w:kern w:val="2"/>
      <w:sz w:val="21"/>
      <w:lang w:val="en-US" w:eastAsia="zh-CN" w:bidi="ar-SA"/>
    </w:rPr>
  </w:style>
  <w:style w:type="character" w:customStyle="1" w:styleId="287">
    <w:name w:val="签名 Char1"/>
    <w:qFormat/>
    <w:uiPriority w:val="0"/>
    <w:rPr>
      <w:rFonts w:ascii="Times New Roman" w:hAnsi="Times New Roman" w:eastAsia="宋体" w:cs="Times New Roman"/>
      <w:szCs w:val="24"/>
    </w:rPr>
  </w:style>
  <w:style w:type="character" w:customStyle="1" w:styleId="288">
    <w:name w:val="日期 字符"/>
    <w:qFormat/>
    <w:uiPriority w:val="0"/>
    <w:rPr>
      <w:rFonts w:ascii="宋体"/>
      <w:kern w:val="2"/>
      <w:sz w:val="24"/>
      <w:szCs w:val="21"/>
      <w:lang w:val="zh-CN"/>
    </w:rPr>
  </w:style>
  <w:style w:type="character" w:customStyle="1" w:styleId="289">
    <w:name w:val="标题 9 Char1"/>
    <w:link w:val="12"/>
    <w:qFormat/>
    <w:uiPriority w:val="0"/>
    <w:rPr>
      <w:rFonts w:ascii="Arial" w:hAnsi="Arial" w:eastAsia="黑体" w:cs="Times New Roman"/>
      <w:szCs w:val="21"/>
    </w:rPr>
  </w:style>
  <w:style w:type="character" w:customStyle="1" w:styleId="290">
    <w:name w:val="Char Char18"/>
    <w:qFormat/>
    <w:uiPriority w:val="6"/>
    <w:rPr>
      <w:rFonts w:ascii="宋体" w:hAnsi="宋体"/>
      <w:sz w:val="28"/>
    </w:rPr>
  </w:style>
  <w:style w:type="character" w:customStyle="1" w:styleId="291">
    <w:name w:val="Char Char22"/>
    <w:qFormat/>
    <w:uiPriority w:val="6"/>
    <w:rPr>
      <w:rFonts w:ascii="宋体" w:hAnsi="宋体"/>
      <w:kern w:val="1"/>
      <w:sz w:val="24"/>
      <w:szCs w:val="24"/>
    </w:rPr>
  </w:style>
  <w:style w:type="character" w:customStyle="1" w:styleId="292">
    <w:name w:val="pt141"/>
    <w:qFormat/>
    <w:uiPriority w:val="0"/>
    <w:rPr>
      <w:color w:val="330066"/>
      <w:sz w:val="22"/>
      <w:szCs w:val="22"/>
    </w:rPr>
  </w:style>
  <w:style w:type="character" w:customStyle="1" w:styleId="293">
    <w:name w:val="正文文本缩进 2 Char1"/>
    <w:semiHidden/>
    <w:qFormat/>
    <w:uiPriority w:val="99"/>
    <w:rPr>
      <w:rFonts w:ascii="Times New Roman" w:hAnsi="Times New Roman" w:eastAsia="宋体" w:cs="Times New Roman"/>
      <w:szCs w:val="24"/>
    </w:rPr>
  </w:style>
  <w:style w:type="character" w:customStyle="1" w:styleId="294">
    <w:name w:val="批注框文本 字符1"/>
    <w:qFormat/>
    <w:uiPriority w:val="0"/>
    <w:rPr>
      <w:kern w:val="2"/>
      <w:sz w:val="18"/>
      <w:szCs w:val="18"/>
    </w:rPr>
  </w:style>
  <w:style w:type="character" w:customStyle="1" w:styleId="295">
    <w:name w:val="Char Char611"/>
    <w:qFormat/>
    <w:uiPriority w:val="0"/>
    <w:rPr>
      <w:rFonts w:eastAsia="宋体"/>
      <w:kern w:val="2"/>
      <w:sz w:val="21"/>
      <w:szCs w:val="24"/>
      <w:lang w:val="en-US" w:eastAsia="zh-CN" w:bidi="ar-SA"/>
    </w:rPr>
  </w:style>
  <w:style w:type="character" w:customStyle="1" w:styleId="296">
    <w:name w:val="highlight1"/>
    <w:qFormat/>
    <w:uiPriority w:val="0"/>
    <w:rPr>
      <w:rFonts w:ascii="仿宋_GB2312" w:eastAsia="微软雅黑"/>
      <w:b/>
      <w:kern w:val="2"/>
      <w:sz w:val="23"/>
      <w:szCs w:val="23"/>
      <w:lang w:val="en-US" w:eastAsia="zh-CN" w:bidi="ar-SA"/>
    </w:rPr>
  </w:style>
  <w:style w:type="character" w:customStyle="1" w:styleId="297">
    <w:name w:val="my正文 Char"/>
    <w:link w:val="298"/>
    <w:qFormat/>
    <w:locked/>
    <w:uiPriority w:val="0"/>
    <w:rPr>
      <w:rFonts w:ascii="Tahoma" w:hAnsi="Tahoma"/>
      <w:sz w:val="24"/>
      <w:szCs w:val="24"/>
    </w:rPr>
  </w:style>
  <w:style w:type="paragraph" w:customStyle="1" w:styleId="298">
    <w:name w:val="my正文"/>
    <w:basedOn w:val="1"/>
    <w:link w:val="297"/>
    <w:qFormat/>
    <w:uiPriority w:val="0"/>
    <w:pPr>
      <w:adjustRightInd/>
      <w:spacing w:line="360" w:lineRule="auto"/>
      <w:ind w:firstLine="480" w:firstLineChars="200"/>
    </w:pPr>
    <w:rPr>
      <w:rFonts w:ascii="Tahoma" w:hAnsi="Tahoma" w:eastAsiaTheme="minorEastAsia" w:cstheme="minorBidi"/>
      <w:sz w:val="24"/>
    </w:rPr>
  </w:style>
  <w:style w:type="character" w:customStyle="1" w:styleId="299">
    <w:name w:val="正文缩进 Char2"/>
    <w:link w:val="16"/>
    <w:qFormat/>
    <w:uiPriority w:val="0"/>
    <w:rPr>
      <w:rFonts w:ascii="宋体" w:eastAsia="宋体"/>
      <w:snapToGrid w:val="0"/>
      <w:color w:val="000000"/>
      <w:kern w:val="28"/>
      <w:sz w:val="28"/>
    </w:rPr>
  </w:style>
  <w:style w:type="character" w:customStyle="1" w:styleId="300">
    <w:name w:val="Used by Word for text of Help footnotes Char Char1"/>
    <w:qFormat/>
    <w:uiPriority w:val="0"/>
    <w:rPr>
      <w:color w:val="0000FF"/>
      <w:sz w:val="21"/>
    </w:rPr>
  </w:style>
  <w:style w:type="character" w:customStyle="1" w:styleId="301">
    <w:name w:val="FA正文 Char Char"/>
    <w:qFormat/>
    <w:uiPriority w:val="0"/>
    <w:rPr>
      <w:rFonts w:hAnsi="宋体"/>
      <w:kern w:val="2"/>
      <w:sz w:val="24"/>
      <w:lang w:bidi="ar-SA"/>
    </w:rPr>
  </w:style>
  <w:style w:type="character" w:customStyle="1" w:styleId="302">
    <w:name w:val="纯文本 字符"/>
    <w:qFormat/>
    <w:uiPriority w:val="0"/>
    <w:rPr>
      <w:rFonts w:ascii="宋体" w:hAnsi="Courier New" w:eastAsia="宋体" w:cs="Arial"/>
      <w:snapToGrid w:val="0"/>
      <w:kern w:val="2"/>
      <w:sz w:val="21"/>
      <w:szCs w:val="21"/>
      <w:lang w:val="en-US" w:eastAsia="zh-CN" w:bidi="ar-SA"/>
    </w:rPr>
  </w:style>
  <w:style w:type="character" w:customStyle="1" w:styleId="303">
    <w:name w:val="3级 Char"/>
    <w:link w:val="304"/>
    <w:qFormat/>
    <w:uiPriority w:val="0"/>
    <w:rPr>
      <w:rFonts w:ascii="宋体" w:hAnsi="宋体"/>
      <w:b/>
      <w:bCs/>
      <w:sz w:val="28"/>
    </w:rPr>
  </w:style>
  <w:style w:type="paragraph" w:customStyle="1" w:styleId="304">
    <w:name w:val="3级"/>
    <w:basedOn w:val="305"/>
    <w:link w:val="303"/>
    <w:qFormat/>
    <w:uiPriority w:val="0"/>
    <w:pPr>
      <w:ind w:left="0" w:right="466" w:firstLine="288"/>
    </w:pPr>
    <w:rPr>
      <w:rFonts w:hAnsi="宋体" w:eastAsiaTheme="minorEastAsia" w:cstheme="minorBidi"/>
      <w:snapToGrid/>
      <w:kern w:val="2"/>
      <w:szCs w:val="22"/>
    </w:rPr>
  </w:style>
  <w:style w:type="paragraph" w:customStyle="1" w:styleId="305">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6">
    <w:name w:val="myp11"/>
    <w:qFormat/>
    <w:uiPriority w:val="0"/>
    <w:rPr>
      <w:rFonts w:ascii="仿宋_GB2312" w:eastAsia="微软雅黑"/>
      <w:b/>
      <w:kern w:val="2"/>
      <w:sz w:val="32"/>
      <w:szCs w:val="32"/>
      <w:lang w:val="en-US" w:eastAsia="zh-CN" w:bidi="ar-SA"/>
    </w:rPr>
  </w:style>
  <w:style w:type="character" w:customStyle="1" w:styleId="307">
    <w:name w:val="文档结构图 Char2"/>
    <w:link w:val="19"/>
    <w:qFormat/>
    <w:uiPriority w:val="0"/>
    <w:rPr>
      <w:szCs w:val="24"/>
      <w:shd w:val="clear" w:color="auto" w:fill="000080"/>
    </w:rPr>
  </w:style>
  <w:style w:type="character" w:customStyle="1" w:styleId="308">
    <w:name w:val="H6 Char"/>
    <w:qFormat/>
    <w:uiPriority w:val="0"/>
    <w:rPr>
      <w:rFonts w:ascii="Arial" w:hAnsi="Arial" w:eastAsia="黑体"/>
      <w:b/>
      <w:bCs/>
      <w:kern w:val="2"/>
      <w:sz w:val="24"/>
      <w:szCs w:val="24"/>
    </w:rPr>
  </w:style>
  <w:style w:type="character" w:customStyle="1" w:styleId="309">
    <w:name w:val="Char Char91"/>
    <w:qFormat/>
    <w:uiPriority w:val="0"/>
    <w:rPr>
      <w:rFonts w:eastAsia="宋体"/>
      <w:kern w:val="2"/>
      <w:sz w:val="18"/>
      <w:szCs w:val="18"/>
      <w:lang w:val="en-US" w:eastAsia="zh-CN" w:bidi="ar-SA"/>
    </w:rPr>
  </w:style>
  <w:style w:type="character" w:customStyle="1" w:styleId="310">
    <w:name w:val="副标题 Char1"/>
    <w:qFormat/>
    <w:uiPriority w:val="0"/>
    <w:rPr>
      <w:rFonts w:ascii="Cambria" w:hAnsi="Cambria" w:eastAsia="宋体" w:cs="Times New Roman"/>
      <w:b/>
      <w:bCs/>
      <w:snapToGrid w:val="0"/>
      <w:kern w:val="28"/>
      <w:sz w:val="32"/>
      <w:szCs w:val="32"/>
    </w:rPr>
  </w:style>
  <w:style w:type="character" w:customStyle="1" w:styleId="311">
    <w:name w:val="font61"/>
    <w:qFormat/>
    <w:uiPriority w:val="0"/>
    <w:rPr>
      <w:rFonts w:hint="eastAsia" w:ascii="仿宋" w:hAnsi="仿宋" w:eastAsia="仿宋" w:cs="仿宋"/>
      <w:color w:val="000000"/>
      <w:sz w:val="20"/>
      <w:szCs w:val="20"/>
      <w:u w:val="none"/>
    </w:rPr>
  </w:style>
  <w:style w:type="character" w:customStyle="1" w:styleId="3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3">
    <w:name w:val="Char Char211"/>
    <w:qFormat/>
    <w:uiPriority w:val="0"/>
    <w:rPr>
      <w:rFonts w:eastAsia="宋体"/>
      <w:b/>
      <w:bCs/>
      <w:kern w:val="2"/>
      <w:sz w:val="21"/>
      <w:szCs w:val="24"/>
      <w:lang w:val="en-US" w:eastAsia="zh-CN" w:bidi="ar-SA"/>
    </w:rPr>
  </w:style>
  <w:style w:type="character" w:customStyle="1" w:styleId="314">
    <w:name w:val="maywed421"/>
    <w:qFormat/>
    <w:uiPriority w:val="0"/>
    <w:rPr>
      <w:color w:val="366FB6"/>
      <w:u w:val="none"/>
    </w:rPr>
  </w:style>
  <w:style w:type="character" w:customStyle="1" w:styleId="315">
    <w:name w:val="Char Char102"/>
    <w:semiHidden/>
    <w:qFormat/>
    <w:uiPriority w:val="0"/>
    <w:rPr>
      <w:rFonts w:ascii="宋体" w:hAnsi="宋体"/>
      <w:kern w:val="2"/>
      <w:sz w:val="21"/>
      <w:szCs w:val="24"/>
      <w:lang w:val="en-US" w:eastAsia="zh-CN"/>
    </w:rPr>
  </w:style>
  <w:style w:type="character" w:customStyle="1" w:styleId="316">
    <w:name w:val="页眉 Char1"/>
    <w:qFormat/>
    <w:uiPriority w:val="0"/>
    <w:rPr>
      <w:rFonts w:eastAsia="宋体"/>
      <w:kern w:val="2"/>
      <w:sz w:val="18"/>
      <w:szCs w:val="18"/>
      <w:lang w:val="en-US" w:eastAsia="zh-CN" w:bidi="ar-SA"/>
    </w:rPr>
  </w:style>
  <w:style w:type="character" w:customStyle="1" w:styleId="317">
    <w:name w:val="md"/>
    <w:qFormat/>
    <w:uiPriority w:val="0"/>
    <w:rPr>
      <w:rFonts w:ascii="Arial" w:hAnsi="Arial" w:eastAsia="黑体" w:cs="Arial"/>
      <w:snapToGrid w:val="0"/>
      <w:kern w:val="0"/>
      <w:szCs w:val="21"/>
    </w:rPr>
  </w:style>
  <w:style w:type="character" w:customStyle="1" w:styleId="318">
    <w:name w:val="big1"/>
    <w:qFormat/>
    <w:uiPriority w:val="0"/>
    <w:rPr>
      <w:rFonts w:hint="eastAsia" w:ascii="宋体" w:hAnsi="宋体" w:eastAsia="宋体"/>
      <w:color w:val="333333"/>
      <w:sz w:val="22"/>
      <w:szCs w:val="22"/>
    </w:rPr>
  </w:style>
  <w:style w:type="character" w:customStyle="1" w:styleId="319">
    <w:name w:val="Char Char311"/>
    <w:qFormat/>
    <w:uiPriority w:val="0"/>
    <w:rPr>
      <w:rFonts w:eastAsia="宋体"/>
      <w:kern w:val="2"/>
      <w:sz w:val="21"/>
      <w:szCs w:val="24"/>
      <w:lang w:val="en-US" w:eastAsia="zh-CN" w:bidi="ar-SA"/>
    </w:rPr>
  </w:style>
  <w:style w:type="character" w:customStyle="1" w:styleId="320">
    <w:name w:val="Char Char81"/>
    <w:qFormat/>
    <w:uiPriority w:val="6"/>
    <w:rPr>
      <w:rFonts w:eastAsia="宋体"/>
      <w:b/>
      <w:sz w:val="24"/>
      <w:lang w:val="en-US" w:eastAsia="zh-CN"/>
    </w:rPr>
  </w:style>
  <w:style w:type="character" w:customStyle="1" w:styleId="321">
    <w:name w:val="样式3 Char"/>
    <w:qFormat/>
    <w:uiPriority w:val="0"/>
    <w:rPr>
      <w:rFonts w:ascii="仿宋_GB2312" w:hAnsi="仿宋" w:eastAsia="仿宋_GB2312" w:cs="仿宋_GB2312"/>
      <w:b/>
      <w:bCs/>
      <w:sz w:val="32"/>
      <w:szCs w:val="30"/>
      <w:lang w:val="zh-CN"/>
    </w:rPr>
  </w:style>
  <w:style w:type="character" w:customStyle="1" w:styleId="322">
    <w:name w:val="HTML 地址 Char2"/>
    <w:link w:val="31"/>
    <w:qFormat/>
    <w:uiPriority w:val="0"/>
    <w:rPr>
      <w:rFonts w:ascii="宋体" w:hAnsi="宋体"/>
      <w:i/>
      <w:iCs/>
      <w:sz w:val="24"/>
      <w:szCs w:val="24"/>
    </w:rPr>
  </w:style>
  <w:style w:type="character" w:customStyle="1" w:styleId="323">
    <w:name w:val="正文首行缩进 2 Char1"/>
    <w:qFormat/>
    <w:uiPriority w:val="0"/>
    <w:rPr>
      <w:rFonts w:ascii="Times New Roman" w:hAnsi="Times New Roman" w:eastAsia="宋体" w:cs="Times New Roman"/>
      <w:kern w:val="2"/>
      <w:sz w:val="24"/>
      <w:szCs w:val="24"/>
    </w:rPr>
  </w:style>
  <w:style w:type="character" w:customStyle="1" w:styleId="324">
    <w:name w:val="副标题 Char2"/>
    <w:qFormat/>
    <w:uiPriority w:val="0"/>
    <w:rPr>
      <w:rFonts w:ascii="Cambria" w:hAnsi="Cambria" w:eastAsia="宋体" w:cs="Times New Roman"/>
      <w:b/>
      <w:bCs/>
      <w:snapToGrid w:val="0"/>
      <w:kern w:val="28"/>
      <w:sz w:val="32"/>
      <w:szCs w:val="32"/>
    </w:rPr>
  </w:style>
  <w:style w:type="character" w:customStyle="1" w:styleId="325">
    <w:name w:val="标题4-dyf Char"/>
    <w:link w:val="326"/>
    <w:qFormat/>
    <w:uiPriority w:val="0"/>
    <w:rPr>
      <w:rFonts w:ascii="Cambria" w:hAnsi="Cambria"/>
      <w:b/>
      <w:bCs/>
      <w:color w:val="000000"/>
      <w:szCs w:val="21"/>
    </w:rPr>
  </w:style>
  <w:style w:type="paragraph" w:customStyle="1" w:styleId="326">
    <w:name w:val="标题4-dyf"/>
    <w:basedOn w:val="7"/>
    <w:link w:val="325"/>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7">
    <w:name w:val="dectext1"/>
    <w:qFormat/>
    <w:uiPriority w:val="0"/>
    <w:rPr>
      <w:rFonts w:ascii="宋体" w:hAnsi="宋体" w:eastAsia="宋体"/>
      <w:color w:val="333333"/>
      <w:sz w:val="21"/>
      <w:szCs w:val="21"/>
      <w:u w:val="none"/>
    </w:rPr>
  </w:style>
  <w:style w:type="character" w:customStyle="1" w:styleId="328">
    <w:name w:val="冯 Char"/>
    <w:link w:val="329"/>
    <w:qFormat/>
    <w:uiPriority w:val="0"/>
    <w:rPr>
      <w:rFonts w:ascii="宋体" w:hAnsi="宋体"/>
      <w:color w:val="000000"/>
      <w:sz w:val="24"/>
      <w:szCs w:val="24"/>
    </w:rPr>
  </w:style>
  <w:style w:type="paragraph" w:customStyle="1" w:styleId="329">
    <w:name w:val="冯"/>
    <w:basedOn w:val="1"/>
    <w:link w:val="32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0">
    <w:name w:val="Header Char"/>
    <w:qFormat/>
    <w:locked/>
    <w:uiPriority w:val="0"/>
    <w:rPr>
      <w:rFonts w:eastAsia="宋体"/>
      <w:kern w:val="2"/>
      <w:sz w:val="18"/>
      <w:szCs w:val="18"/>
      <w:lang w:val="en-US" w:eastAsia="zh-CN" w:bidi="ar-SA"/>
    </w:rPr>
  </w:style>
  <w:style w:type="character" w:customStyle="1" w:styleId="331">
    <w:name w:val="Char Char12"/>
    <w:qFormat/>
    <w:uiPriority w:val="0"/>
    <w:rPr>
      <w:rFonts w:ascii="仿宋_GB2312" w:eastAsia="仿宋_GB2312"/>
      <w:b/>
      <w:bCs/>
      <w:kern w:val="2"/>
      <w:sz w:val="24"/>
      <w:szCs w:val="24"/>
      <w:lang w:val="zh-CN" w:eastAsia="zh-CN" w:bidi="ar-SA"/>
    </w:rPr>
  </w:style>
  <w:style w:type="character" w:customStyle="1" w:styleId="332">
    <w:name w:val="题注 Char"/>
    <w:link w:val="17"/>
    <w:qFormat/>
    <w:uiPriority w:val="0"/>
    <w:rPr>
      <w:b/>
      <w:sz w:val="28"/>
    </w:rPr>
  </w:style>
  <w:style w:type="character" w:customStyle="1" w:styleId="333">
    <w:name w:val="普通文字 Char3"/>
    <w:qFormat/>
    <w:uiPriority w:val="0"/>
    <w:rPr>
      <w:rFonts w:ascii="宋体" w:hAnsi="Courier New" w:eastAsia="宋体"/>
      <w:kern w:val="2"/>
      <w:sz w:val="21"/>
      <w:lang w:val="en-US" w:eastAsia="zh-CN" w:bidi="ar-SA"/>
    </w:rPr>
  </w:style>
  <w:style w:type="character" w:customStyle="1" w:styleId="334">
    <w:name w:val="公文正文 Char"/>
    <w:qFormat/>
    <w:uiPriority w:val="0"/>
    <w:rPr>
      <w:rFonts w:ascii="仿宋_GB2312" w:eastAsia="仿宋_GB2312"/>
      <w:kern w:val="2"/>
      <w:sz w:val="24"/>
      <w:szCs w:val="24"/>
      <w:lang w:val="en-US" w:eastAsia="zh-CN" w:bidi="ar-SA"/>
    </w:rPr>
  </w:style>
  <w:style w:type="character" w:customStyle="1" w:styleId="335">
    <w:name w:val="正文首行缩进 Char Char Char Char Char"/>
    <w:qFormat/>
    <w:uiPriority w:val="0"/>
    <w:rPr>
      <w:rFonts w:ascii="宋体"/>
      <w:kern w:val="2"/>
      <w:sz w:val="24"/>
      <w:lang w:val="zh-CN"/>
    </w:rPr>
  </w:style>
  <w:style w:type="character" w:customStyle="1" w:styleId="336">
    <w:name w:val="PI Char"/>
    <w:qFormat/>
    <w:uiPriority w:val="0"/>
    <w:rPr>
      <w:rFonts w:ascii="宋体" w:hAnsi="宋体" w:eastAsia="宋体"/>
      <w:kern w:val="2"/>
      <w:sz w:val="24"/>
      <w:szCs w:val="24"/>
      <w:lang w:val="en-US" w:eastAsia="zh-CN" w:bidi="ar-SA"/>
    </w:rPr>
  </w:style>
  <w:style w:type="character" w:customStyle="1" w:styleId="337">
    <w:name w:val="Default Char"/>
    <w:link w:val="84"/>
    <w:qFormat/>
    <w:uiPriority w:val="0"/>
    <w:rPr>
      <w:rFonts w:ascii="Cambria" w:hAnsi="Times New Roman" w:eastAsia="宋体" w:cs="Cambria"/>
      <w:color w:val="000000"/>
      <w:kern w:val="0"/>
      <w:sz w:val="24"/>
      <w:szCs w:val="24"/>
    </w:rPr>
  </w:style>
  <w:style w:type="character" w:customStyle="1" w:styleId="338">
    <w:name w:val="style91"/>
    <w:qFormat/>
    <w:uiPriority w:val="0"/>
    <w:rPr>
      <w:color w:val="333333"/>
    </w:rPr>
  </w:style>
  <w:style w:type="character" w:customStyle="1" w:styleId="339">
    <w:name w:val="列出段落 Char2"/>
    <w:qFormat/>
    <w:uiPriority w:val="34"/>
    <w:rPr>
      <w:rFonts w:ascii="Calibri" w:hAnsi="Calibri"/>
      <w:kern w:val="2"/>
      <w:sz w:val="28"/>
    </w:rPr>
  </w:style>
  <w:style w:type="character" w:customStyle="1" w:styleId="340">
    <w:name w:val="mdeck"/>
    <w:qFormat/>
    <w:uiPriority w:val="0"/>
    <w:rPr>
      <w:rFonts w:ascii="仿宋_GB2312" w:eastAsia="微软雅黑"/>
      <w:b/>
      <w:kern w:val="2"/>
      <w:sz w:val="32"/>
      <w:szCs w:val="32"/>
      <w:lang w:val="en-US" w:eastAsia="zh-CN" w:bidi="ar-SA"/>
    </w:rPr>
  </w:style>
  <w:style w:type="character" w:customStyle="1" w:styleId="341">
    <w:name w:val="unnamed11"/>
    <w:qFormat/>
    <w:uiPriority w:val="0"/>
    <w:rPr>
      <w:sz w:val="20"/>
      <w:szCs w:val="20"/>
    </w:rPr>
  </w:style>
  <w:style w:type="character" w:customStyle="1" w:styleId="342">
    <w:name w:val="正文文本 Char2"/>
    <w:semiHidden/>
    <w:qFormat/>
    <w:uiPriority w:val="99"/>
    <w:rPr>
      <w:rFonts w:ascii="Times New Roman" w:hAnsi="Times New Roman" w:eastAsia="宋体" w:cs="Times New Roman"/>
      <w:snapToGrid w:val="0"/>
      <w:kern w:val="0"/>
      <w:szCs w:val="24"/>
    </w:rPr>
  </w:style>
  <w:style w:type="character" w:customStyle="1" w:styleId="343">
    <w:name w:val="标书正文格式 Char"/>
    <w:qFormat/>
    <w:uiPriority w:val="0"/>
    <w:rPr>
      <w:rFonts w:eastAsia="楷体_GB2312"/>
      <w:kern w:val="2"/>
      <w:sz w:val="24"/>
      <w:szCs w:val="24"/>
      <w:lang w:bidi="ar-SA"/>
    </w:rPr>
  </w:style>
  <w:style w:type="character" w:customStyle="1" w:styleId="344">
    <w:name w:val="Char Char11"/>
    <w:qFormat/>
    <w:locked/>
    <w:uiPriority w:val="0"/>
    <w:rPr>
      <w:rFonts w:ascii="宋体" w:hAnsi="宋体" w:eastAsia="宋体"/>
      <w:b/>
      <w:kern w:val="2"/>
      <w:sz w:val="24"/>
      <w:szCs w:val="24"/>
      <w:lang w:val="en-US" w:eastAsia="zh-CN" w:bidi="ar-SA"/>
    </w:rPr>
  </w:style>
  <w:style w:type="character" w:customStyle="1" w:styleId="345">
    <w:name w:val="ca-131"/>
    <w:qFormat/>
    <w:uiPriority w:val="0"/>
    <w:rPr>
      <w:rFonts w:hint="eastAsia" w:ascii="仿宋_GB2312" w:eastAsia="仿宋_GB2312"/>
      <w:b/>
      <w:bCs/>
      <w:color w:val="000000"/>
      <w:spacing w:val="-20"/>
      <w:sz w:val="24"/>
      <w:szCs w:val="24"/>
    </w:rPr>
  </w:style>
  <w:style w:type="character" w:customStyle="1" w:styleId="346">
    <w:name w:val="tw4winMark"/>
    <w:qFormat/>
    <w:uiPriority w:val="0"/>
    <w:rPr>
      <w:rFonts w:ascii="Courier New" w:hAnsi="Courier New" w:cs="Courier New"/>
      <w:vanish/>
      <w:color w:val="800080"/>
      <w:sz w:val="24"/>
      <w:szCs w:val="24"/>
      <w:vertAlign w:val="subscript"/>
    </w:rPr>
  </w:style>
  <w:style w:type="character" w:customStyle="1" w:styleId="347">
    <w:name w:val="正文样式 Char"/>
    <w:link w:val="348"/>
    <w:qFormat/>
    <w:uiPriority w:val="0"/>
    <w:rPr>
      <w:rFonts w:ascii="Calibri" w:hAnsi="Calibri"/>
      <w:sz w:val="24"/>
      <w:szCs w:val="24"/>
    </w:rPr>
  </w:style>
  <w:style w:type="paragraph" w:customStyle="1" w:styleId="348">
    <w:name w:val="正文样式"/>
    <w:basedOn w:val="1"/>
    <w:link w:val="347"/>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9">
    <w:name w:val="表正文 Char3"/>
    <w:qFormat/>
    <w:uiPriority w:val="0"/>
    <w:rPr>
      <w:rFonts w:eastAsia="宋体"/>
    </w:rPr>
  </w:style>
  <w:style w:type="character" w:customStyle="1" w:styleId="350">
    <w:name w:val="H5 Char"/>
    <w:qFormat/>
    <w:uiPriority w:val="0"/>
    <w:rPr>
      <w:b/>
      <w:bCs/>
      <w:kern w:val="2"/>
      <w:sz w:val="28"/>
      <w:szCs w:val="28"/>
    </w:rPr>
  </w:style>
  <w:style w:type="character" w:customStyle="1" w:styleId="351">
    <w:name w:val="Char Char3"/>
    <w:qFormat/>
    <w:uiPriority w:val="0"/>
    <w:rPr>
      <w:rFonts w:eastAsia="宋体"/>
      <w:kern w:val="2"/>
      <w:sz w:val="21"/>
      <w:szCs w:val="24"/>
      <w:lang w:val="en-US" w:eastAsia="zh-CN" w:bidi="ar-SA"/>
    </w:rPr>
  </w:style>
  <w:style w:type="character" w:customStyle="1" w:styleId="352">
    <w:name w:val="正文 编号 Char"/>
    <w:qFormat/>
    <w:uiPriority w:val="0"/>
    <w:rPr>
      <w:rFonts w:ascii="仿宋_GB2312" w:hAnsi="仿宋_GB2312" w:eastAsia="仿宋_GB2312"/>
      <w:kern w:val="2"/>
      <w:sz w:val="24"/>
      <w:lang w:bidi="ar-SA"/>
    </w:rPr>
  </w:style>
  <w:style w:type="character" w:customStyle="1" w:styleId="353">
    <w:name w:val="question-title2"/>
    <w:qFormat/>
    <w:uiPriority w:val="6"/>
    <w:rPr>
      <w:rFonts w:ascii="Arial" w:hAnsi="Arial" w:eastAsia="黑体" w:cs="Arial"/>
      <w:snapToGrid w:val="0"/>
      <w:kern w:val="0"/>
      <w:szCs w:val="21"/>
    </w:rPr>
  </w:style>
  <w:style w:type="character" w:customStyle="1" w:styleId="354">
    <w:name w:val="gf正文1 Char Char"/>
    <w:link w:val="355"/>
    <w:qFormat/>
    <w:uiPriority w:val="0"/>
    <w:rPr>
      <w:rFonts w:ascii="宋体" w:hAnsi="宋体" w:cs="宋体"/>
      <w:sz w:val="24"/>
      <w:szCs w:val="24"/>
    </w:rPr>
  </w:style>
  <w:style w:type="paragraph" w:customStyle="1" w:styleId="355">
    <w:name w:val="gf正文1"/>
    <w:basedOn w:val="1"/>
    <w:link w:val="354"/>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6">
    <w:name w:val="Char Char15"/>
    <w:qFormat/>
    <w:uiPriority w:val="6"/>
    <w:rPr>
      <w:rFonts w:ascii="宋体" w:hAnsi="宋体"/>
      <w:kern w:val="1"/>
      <w:sz w:val="21"/>
    </w:rPr>
  </w:style>
  <w:style w:type="character" w:customStyle="1" w:styleId="357">
    <w:name w:val="正文缩进 Char3"/>
    <w:qFormat/>
    <w:uiPriority w:val="0"/>
    <w:rPr>
      <w:rFonts w:ascii="宋体" w:eastAsia="宋体"/>
      <w:snapToGrid w:val="0"/>
      <w:color w:val="000000"/>
      <w:kern w:val="28"/>
      <w:sz w:val="28"/>
      <w:lang w:val="en-US" w:eastAsia="zh-CN" w:bidi="ar-SA"/>
    </w:rPr>
  </w:style>
  <w:style w:type="character" w:customStyle="1" w:styleId="358">
    <w:name w:val="列出段落 Char1"/>
    <w:link w:val="359"/>
    <w:qFormat/>
    <w:uiPriority w:val="0"/>
    <w:rPr>
      <w:rFonts w:ascii="Calibri" w:hAnsi="Calibri"/>
      <w:sz w:val="24"/>
      <w:lang w:eastAsia="en-US"/>
    </w:rPr>
  </w:style>
  <w:style w:type="paragraph" w:customStyle="1" w:styleId="359">
    <w:name w:val="列表1"/>
    <w:basedOn w:val="1"/>
    <w:next w:val="360"/>
    <w:link w:val="358"/>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0">
    <w:name w:val="列出段落2"/>
    <w:basedOn w:val="1"/>
    <w:qFormat/>
    <w:uiPriority w:val="34"/>
    <w:pPr>
      <w:spacing w:line="360" w:lineRule="auto"/>
      <w:ind w:firstLine="200" w:firstLineChars="200"/>
    </w:pPr>
    <w:rPr>
      <w:rFonts w:eastAsia="楷体_GB2312" w:cs="Lucida Sans"/>
      <w:sz w:val="24"/>
    </w:rPr>
  </w:style>
  <w:style w:type="character" w:customStyle="1" w:styleId="361">
    <w:name w:val="Char Char8"/>
    <w:qFormat/>
    <w:uiPriority w:val="0"/>
    <w:rPr>
      <w:rFonts w:eastAsia="宋体"/>
      <w:b/>
      <w:sz w:val="24"/>
      <w:lang w:val="en-US" w:eastAsia="zh-CN"/>
    </w:rPr>
  </w:style>
  <w:style w:type="character" w:customStyle="1" w:styleId="362">
    <w:name w:val="Normal Indent Char Char"/>
    <w:qFormat/>
    <w:uiPriority w:val="0"/>
    <w:rPr>
      <w:rFonts w:eastAsia="宋体"/>
      <w:kern w:val="2"/>
      <w:sz w:val="21"/>
      <w:lang w:val="en-US" w:eastAsia="zh-CN" w:bidi="ar-SA"/>
    </w:rPr>
  </w:style>
  <w:style w:type="character" w:customStyle="1" w:styleId="363">
    <w:name w:val="列表段落 字符"/>
    <w:qFormat/>
    <w:uiPriority w:val="99"/>
  </w:style>
  <w:style w:type="character" w:customStyle="1" w:styleId="364">
    <w:name w:val="Ò³Ã¼ Char Char1"/>
    <w:qFormat/>
    <w:uiPriority w:val="0"/>
    <w:rPr>
      <w:rFonts w:eastAsia="宋体"/>
      <w:kern w:val="2"/>
      <w:sz w:val="18"/>
      <w:szCs w:val="18"/>
      <w:lang w:val="en-US" w:eastAsia="zh-CN" w:bidi="ar-SA"/>
    </w:rPr>
  </w:style>
  <w:style w:type="character" w:customStyle="1" w:styleId="365">
    <w:name w:val="方案正文 Char"/>
    <w:qFormat/>
    <w:uiPriority w:val="0"/>
    <w:rPr>
      <w:rFonts w:ascii="仿宋_GB2312" w:eastAsia="仿宋_GB2312"/>
      <w:b/>
      <w:color w:val="000000"/>
      <w:kern w:val="2"/>
      <w:sz w:val="24"/>
      <w:lang w:val="en-US" w:eastAsia="zh-CN" w:bidi="ar-SA"/>
    </w:rPr>
  </w:style>
  <w:style w:type="character" w:customStyle="1" w:styleId="366">
    <w:name w:val="Char Char30"/>
    <w:qFormat/>
    <w:uiPriority w:val="6"/>
    <w:rPr>
      <w:rFonts w:ascii="Arial" w:hAnsi="Arial" w:eastAsia="黑体"/>
      <w:kern w:val="1"/>
      <w:sz w:val="21"/>
      <w:szCs w:val="21"/>
    </w:rPr>
  </w:style>
  <w:style w:type="character" w:customStyle="1" w:styleId="367">
    <w:name w:val="正文文本缩进 字符1"/>
    <w:qFormat/>
    <w:uiPriority w:val="0"/>
    <w:rPr>
      <w:rFonts w:ascii="宋体" w:hAnsi="宋体"/>
      <w:kern w:val="2"/>
      <w:sz w:val="24"/>
      <w:szCs w:val="24"/>
    </w:rPr>
  </w:style>
  <w:style w:type="character" w:customStyle="1" w:styleId="368">
    <w:name w:val="font01"/>
    <w:qFormat/>
    <w:uiPriority w:val="0"/>
    <w:rPr>
      <w:rFonts w:hint="eastAsia" w:ascii="微软雅黑" w:hAnsi="微软雅黑" w:eastAsia="微软雅黑" w:cs="微软雅黑"/>
      <w:color w:val="000000"/>
      <w:sz w:val="20"/>
      <w:szCs w:val="20"/>
      <w:u w:val="none"/>
    </w:rPr>
  </w:style>
  <w:style w:type="character" w:customStyle="1" w:styleId="369">
    <w:name w:val="Char Char20"/>
    <w:qFormat/>
    <w:uiPriority w:val="6"/>
    <w:rPr>
      <w:kern w:val="1"/>
      <w:sz w:val="24"/>
    </w:rPr>
  </w:style>
  <w:style w:type="character" w:customStyle="1" w:styleId="370">
    <w:name w:val="tw4winExternal"/>
    <w:qFormat/>
    <w:uiPriority w:val="0"/>
    <w:rPr>
      <w:rFonts w:ascii="Courier New" w:hAnsi="Courier New" w:cs="Courier New"/>
      <w:color w:val="808080"/>
      <w:lang w:val="en-US" w:eastAsia="zh-CN"/>
    </w:rPr>
  </w:style>
  <w:style w:type="character" w:customStyle="1" w:styleId="371">
    <w:name w:val="标题 4 Char1"/>
    <w:qFormat/>
    <w:uiPriority w:val="9"/>
    <w:rPr>
      <w:rFonts w:ascii="Cambria" w:hAnsi="Cambria" w:eastAsia="宋体" w:cs="Times New Roman"/>
      <w:b/>
      <w:bCs/>
      <w:kern w:val="2"/>
      <w:sz w:val="28"/>
      <w:szCs w:val="28"/>
    </w:rPr>
  </w:style>
  <w:style w:type="character" w:customStyle="1" w:styleId="372">
    <w:name w:val="批注文字 Char2"/>
    <w:qFormat/>
    <w:uiPriority w:val="99"/>
    <w:rPr>
      <w:rFonts w:ascii="Times New Roman" w:hAnsi="Times New Roman" w:eastAsia="宋体" w:cs="Times New Roman"/>
      <w:snapToGrid w:val="0"/>
      <w:kern w:val="0"/>
      <w:szCs w:val="24"/>
    </w:rPr>
  </w:style>
  <w:style w:type="character" w:customStyle="1" w:styleId="373">
    <w:name w:val="正文文本 2 Char"/>
    <w:qFormat/>
    <w:uiPriority w:val="0"/>
    <w:rPr>
      <w:rFonts w:eastAsia="宋体"/>
      <w:kern w:val="2"/>
      <w:sz w:val="21"/>
      <w:szCs w:val="24"/>
      <w:lang w:val="en-US" w:eastAsia="zh-CN" w:bidi="ar-SA"/>
    </w:rPr>
  </w:style>
  <w:style w:type="character" w:customStyle="1" w:styleId="374">
    <w:name w:val="Ò³Ã¼ Char Char"/>
    <w:qFormat/>
    <w:uiPriority w:val="0"/>
    <w:rPr>
      <w:rFonts w:eastAsia="宋体"/>
      <w:kern w:val="2"/>
      <w:sz w:val="18"/>
      <w:lang w:val="en-US" w:eastAsia="zh-CN" w:bidi="ar-SA"/>
    </w:rPr>
  </w:style>
  <w:style w:type="character" w:customStyle="1" w:styleId="375">
    <w:name w:val="message1"/>
    <w:qFormat/>
    <w:uiPriority w:val="0"/>
    <w:rPr>
      <w:rFonts w:hint="default" w:ascii="Tahoma" w:hAnsi="Tahoma" w:cs="Tahoma"/>
      <w:sz w:val="18"/>
      <w:szCs w:val="18"/>
    </w:rPr>
  </w:style>
  <w:style w:type="character" w:customStyle="1" w:styleId="376">
    <w:name w:val="Char Char23"/>
    <w:qFormat/>
    <w:uiPriority w:val="6"/>
    <w:rPr>
      <w:color w:val="0000FF"/>
      <w:sz w:val="21"/>
    </w:rPr>
  </w:style>
  <w:style w:type="character" w:customStyle="1" w:styleId="377">
    <w:name w:val="批注框文本 字符"/>
    <w:qFormat/>
    <w:uiPriority w:val="0"/>
    <w:rPr>
      <w:rFonts w:ascii="Arial" w:hAnsi="Arial" w:eastAsia="黑体" w:cs="Arial"/>
      <w:snapToGrid w:val="0"/>
      <w:kern w:val="0"/>
      <w:sz w:val="18"/>
      <w:szCs w:val="18"/>
    </w:rPr>
  </w:style>
  <w:style w:type="character" w:customStyle="1" w:styleId="378">
    <w:name w:val="纯文本 Char2"/>
    <w:semiHidden/>
    <w:qFormat/>
    <w:uiPriority w:val="99"/>
    <w:rPr>
      <w:rFonts w:ascii="宋体" w:hAnsi="Courier New" w:eastAsia="宋体" w:cs="Courier New"/>
    </w:rPr>
  </w:style>
  <w:style w:type="character" w:customStyle="1" w:styleId="379">
    <w:name w:val="Char Char25"/>
    <w:qFormat/>
    <w:uiPriority w:val="6"/>
    <w:rPr>
      <w:rFonts w:ascii="宋体" w:hAnsi="宋体"/>
      <w:kern w:val="1"/>
      <w:sz w:val="24"/>
      <w:lang w:val="zh-CN"/>
    </w:rPr>
  </w:style>
  <w:style w:type="character" w:customStyle="1" w:styleId="380">
    <w:name w:val="Char Char411"/>
    <w:qFormat/>
    <w:uiPriority w:val="0"/>
    <w:rPr>
      <w:rFonts w:eastAsia="宋体"/>
      <w:b/>
      <w:sz w:val="24"/>
      <w:lang w:val="en-US" w:eastAsia="zh-CN" w:bidi="ar-SA"/>
    </w:rPr>
  </w:style>
  <w:style w:type="character" w:customStyle="1" w:styleId="381">
    <w:name w:val="Heading 7 Char"/>
    <w:qFormat/>
    <w:locked/>
    <w:uiPriority w:val="0"/>
    <w:rPr>
      <w:rFonts w:ascii="宋体" w:hAnsi="宋体" w:eastAsia="宋体"/>
      <w:b/>
      <w:bCs/>
      <w:kern w:val="2"/>
      <w:sz w:val="24"/>
      <w:szCs w:val="24"/>
      <w:lang w:val="en-US" w:eastAsia="zh-CN" w:bidi="ar-SA"/>
    </w:rPr>
  </w:style>
  <w:style w:type="character" w:customStyle="1" w:styleId="382">
    <w:name w:val="此正文 Char"/>
    <w:link w:val="383"/>
    <w:qFormat/>
    <w:uiPriority w:val="0"/>
    <w:rPr>
      <w:sz w:val="24"/>
      <w:szCs w:val="24"/>
    </w:rPr>
  </w:style>
  <w:style w:type="paragraph" w:customStyle="1" w:styleId="383">
    <w:name w:val="此正文"/>
    <w:basedOn w:val="1"/>
    <w:link w:val="38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4">
    <w:name w:val="Char Char2"/>
    <w:qFormat/>
    <w:uiPriority w:val="0"/>
    <w:rPr>
      <w:rFonts w:eastAsia="宋体"/>
      <w:b/>
      <w:bCs/>
      <w:kern w:val="2"/>
      <w:sz w:val="21"/>
      <w:szCs w:val="24"/>
      <w:lang w:val="en-US" w:eastAsia="zh-CN" w:bidi="ar-SA"/>
    </w:rPr>
  </w:style>
  <w:style w:type="character" w:customStyle="1" w:styleId="385">
    <w:name w:val="标题 1 字符1"/>
    <w:qFormat/>
    <w:uiPriority w:val="9"/>
    <w:rPr>
      <w:b/>
      <w:bCs/>
      <w:kern w:val="44"/>
      <w:sz w:val="44"/>
      <w:szCs w:val="44"/>
    </w:rPr>
  </w:style>
  <w:style w:type="character" w:customStyle="1" w:styleId="386">
    <w:name w:val="Footer-Even Char1"/>
    <w:qFormat/>
    <w:uiPriority w:val="0"/>
    <w:rPr>
      <w:rFonts w:eastAsia="宋体"/>
      <w:kern w:val="2"/>
      <w:sz w:val="18"/>
      <w:szCs w:val="18"/>
      <w:lang w:val="en-US" w:eastAsia="zh-CN" w:bidi="ar-SA"/>
    </w:rPr>
  </w:style>
  <w:style w:type="character" w:customStyle="1" w:styleId="387">
    <w:name w:val="Char Char29"/>
    <w:qFormat/>
    <w:uiPriority w:val="6"/>
    <w:rPr>
      <w:rFonts w:ascii="Arial" w:hAnsi="Arial" w:eastAsia="微软雅黑"/>
      <w:b/>
      <w:kern w:val="1"/>
      <w:sz w:val="44"/>
      <w:szCs w:val="32"/>
      <w:lang w:val="en-US" w:eastAsia="zh-CN" w:bidi="ar-SA"/>
    </w:rPr>
  </w:style>
  <w:style w:type="character" w:customStyle="1" w:styleId="388">
    <w:name w:val="标题 Char3"/>
    <w:link w:val="55"/>
    <w:qFormat/>
    <w:uiPriority w:val="10"/>
    <w:rPr>
      <w:b/>
      <w:sz w:val="24"/>
      <w:lang w:val="en-US"/>
    </w:rPr>
  </w:style>
  <w:style w:type="character" w:customStyle="1" w:styleId="389">
    <w:name w:val="font81"/>
    <w:qFormat/>
    <w:uiPriority w:val="0"/>
    <w:rPr>
      <w:rFonts w:ascii="微软雅黑" w:hAnsi="微软雅黑" w:eastAsia="微软雅黑" w:cs="微软雅黑"/>
      <w:color w:val="000000"/>
      <w:sz w:val="20"/>
      <w:szCs w:val="20"/>
      <w:u w:val="none"/>
    </w:rPr>
  </w:style>
  <w:style w:type="character" w:customStyle="1" w:styleId="390">
    <w:name w:val="Char Char312"/>
    <w:qFormat/>
    <w:uiPriority w:val="0"/>
    <w:rPr>
      <w:rFonts w:ascii="Times New Roman" w:hAnsi="Times New Roman" w:eastAsia="宋体" w:cs="Times New Roman"/>
      <w:b/>
      <w:kern w:val="2"/>
      <w:sz w:val="32"/>
      <w:szCs w:val="24"/>
      <w:lang w:val="en-US" w:eastAsia="zh-CN" w:bidi="ar-SA"/>
    </w:rPr>
  </w:style>
  <w:style w:type="character" w:customStyle="1" w:styleId="391">
    <w:name w:val="t21"/>
    <w:qFormat/>
    <w:uiPriority w:val="0"/>
    <w:rPr>
      <w:rFonts w:ascii="仿宋_GB2312" w:eastAsia="微软雅黑"/>
      <w:b/>
      <w:kern w:val="2"/>
      <w:sz w:val="23"/>
      <w:szCs w:val="23"/>
      <w:lang w:val="en-US" w:eastAsia="zh-CN" w:bidi="ar-SA"/>
    </w:rPr>
  </w:style>
  <w:style w:type="character" w:customStyle="1" w:styleId="392">
    <w:name w:val="表格 Char Char"/>
    <w:qFormat/>
    <w:uiPriority w:val="0"/>
    <w:rPr>
      <w:rFonts w:ascii="宋体" w:hAnsi="宋体" w:eastAsia="宋体"/>
      <w:lang w:bidi="ar-SA"/>
    </w:rPr>
  </w:style>
  <w:style w:type="character" w:customStyle="1" w:styleId="393">
    <w:name w:val="标题 6 Char1"/>
    <w:qFormat/>
    <w:uiPriority w:val="0"/>
    <w:rPr>
      <w:rFonts w:ascii="Arial" w:hAnsi="Arial" w:eastAsia="黑体" w:cs="Times New Roman"/>
      <w:b/>
      <w:sz w:val="24"/>
      <w:szCs w:val="20"/>
      <w:lang w:bidi="ar-SA"/>
    </w:rPr>
  </w:style>
  <w:style w:type="character" w:customStyle="1" w:styleId="394">
    <w:name w:val="正文首行缩进 Char Char Char Char Char Char1"/>
    <w:qFormat/>
    <w:uiPriority w:val="0"/>
    <w:rPr>
      <w:rFonts w:ascii="宋体" w:eastAsia="宋体"/>
      <w:kern w:val="2"/>
      <w:sz w:val="24"/>
      <w:szCs w:val="24"/>
      <w:lang w:val="zh-CN" w:bidi="ar-SA"/>
    </w:rPr>
  </w:style>
  <w:style w:type="character" w:customStyle="1" w:styleId="395">
    <w:name w:val="称呼 Char2"/>
    <w:link w:val="21"/>
    <w:qFormat/>
    <w:uiPriority w:val="0"/>
    <w:rPr>
      <w:rFonts w:ascii="仿宋_GB2312" w:eastAsia="仿宋_GB2312"/>
      <w:sz w:val="28"/>
    </w:rPr>
  </w:style>
  <w:style w:type="character" w:customStyle="1" w:styleId="396">
    <w:name w:val="文本正文 Char Char"/>
    <w:qFormat/>
    <w:locked/>
    <w:uiPriority w:val="0"/>
    <w:rPr>
      <w:sz w:val="24"/>
      <w:lang w:bidi="ar-SA"/>
    </w:rPr>
  </w:style>
  <w:style w:type="character" w:customStyle="1" w:styleId="397">
    <w:name w:val="正文文本 2 Char2"/>
    <w:link w:val="52"/>
    <w:qFormat/>
    <w:uiPriority w:val="0"/>
    <w:rPr>
      <w:szCs w:val="24"/>
    </w:rPr>
  </w:style>
  <w:style w:type="character" w:customStyle="1" w:styleId="398">
    <w:name w:val="样式 样式 标题 4h4H4Fab-4T5Ref Heading 1rh1Heading sqlsect 1.2.3.... +... Char"/>
    <w:link w:val="399"/>
    <w:qFormat/>
    <w:uiPriority w:val="0"/>
    <w:rPr>
      <w:rFonts w:ascii="微软雅黑" w:hAnsi="微软雅黑" w:eastAsia="微软雅黑"/>
      <w:b/>
      <w:bCs/>
      <w:sz w:val="24"/>
      <w:szCs w:val="28"/>
    </w:rPr>
  </w:style>
  <w:style w:type="paragraph" w:customStyle="1" w:styleId="399">
    <w:name w:val="样式 样式 标题 4h4H4Fab-4T5Ref Heading 1rh1Heading sqlsect 1.2.3.... +..."/>
    <w:basedOn w:val="400"/>
    <w:link w:val="398"/>
    <w:qFormat/>
    <w:uiPriority w:val="0"/>
    <w:pPr>
      <w:tabs>
        <w:tab w:val="left" w:pos="2356"/>
      </w:tabs>
    </w:pPr>
  </w:style>
  <w:style w:type="paragraph" w:customStyle="1" w:styleId="400">
    <w:name w:val="样式 标题 4h4H4Fab-4T5Ref Heading 1rh1Heading sqlsect 1.2.3...."/>
    <w:basedOn w:val="7"/>
    <w:link w:val="446"/>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1">
    <w:name w:val="正文文本缩进 2 Char2"/>
    <w:link w:val="36"/>
    <w:qFormat/>
    <w:uiPriority w:val="0"/>
    <w:rPr>
      <w:rFonts w:ascii="宋体"/>
      <w:sz w:val="28"/>
    </w:rPr>
  </w:style>
  <w:style w:type="character" w:customStyle="1" w:styleId="402">
    <w:name w:val="脚注文本 Char2"/>
    <w:link w:val="48"/>
    <w:qFormat/>
    <w:uiPriority w:val="0"/>
    <w:rPr>
      <w:color w:val="0000FF"/>
    </w:rPr>
  </w:style>
  <w:style w:type="character" w:customStyle="1" w:styleId="403">
    <w:name w:val="称呼 Char1"/>
    <w:qFormat/>
    <w:uiPriority w:val="0"/>
    <w:rPr>
      <w:rFonts w:ascii="Times New Roman" w:hAnsi="Times New Roman" w:eastAsia="宋体" w:cs="Times New Roman"/>
      <w:szCs w:val="24"/>
    </w:rPr>
  </w:style>
  <w:style w:type="character" w:customStyle="1" w:styleId="404">
    <w:name w:val="正文1 Char"/>
    <w:qFormat/>
    <w:uiPriority w:val="0"/>
    <w:rPr>
      <w:rFonts w:ascii="宋体" w:eastAsia="宋体"/>
      <w:snapToGrid w:val="0"/>
      <w:color w:val="000000"/>
      <w:kern w:val="28"/>
      <w:sz w:val="28"/>
      <w:lang w:val="en-US" w:eastAsia="zh-CN" w:bidi="ar-SA"/>
    </w:rPr>
  </w:style>
  <w:style w:type="character" w:customStyle="1" w:styleId="405">
    <w:name w:val="正文缩进 Char1"/>
    <w:qFormat/>
    <w:uiPriority w:val="0"/>
    <w:rPr>
      <w:rFonts w:ascii="宋体" w:eastAsia="宋体"/>
      <w:snapToGrid w:val="0"/>
      <w:color w:val="000000"/>
      <w:kern w:val="28"/>
      <w:sz w:val="28"/>
      <w:lang w:val="en-US" w:eastAsia="zh-CN" w:bidi="ar-SA"/>
    </w:rPr>
  </w:style>
  <w:style w:type="character" w:customStyle="1" w:styleId="406">
    <w:name w:val="批注框文本 Char1"/>
    <w:qFormat/>
    <w:uiPriority w:val="0"/>
    <w:rPr>
      <w:rFonts w:ascii="Times New Roman" w:hAnsi="Times New Roman" w:eastAsia="宋体" w:cs="Times New Roman"/>
      <w:sz w:val="18"/>
      <w:szCs w:val="18"/>
    </w:rPr>
  </w:style>
  <w:style w:type="character" w:customStyle="1" w:styleId="407">
    <w:name w:val="Char Char31"/>
    <w:qFormat/>
    <w:uiPriority w:val="6"/>
    <w:rPr>
      <w:rFonts w:ascii="Arial" w:hAnsi="Arial" w:eastAsia="黑体"/>
      <w:kern w:val="1"/>
      <w:sz w:val="24"/>
      <w:szCs w:val="24"/>
    </w:rPr>
  </w:style>
  <w:style w:type="character" w:customStyle="1" w:styleId="408">
    <w:name w:val="h Char1"/>
    <w:qFormat/>
    <w:uiPriority w:val="0"/>
    <w:rPr>
      <w:sz w:val="18"/>
      <w:szCs w:val="18"/>
    </w:rPr>
  </w:style>
  <w:style w:type="character" w:customStyle="1" w:styleId="409">
    <w:name w:val="标题 4 Char2"/>
    <w:link w:val="7"/>
    <w:qFormat/>
    <w:uiPriority w:val="9"/>
    <w:rPr>
      <w:rFonts w:ascii="Arial" w:hAnsi="Arial" w:eastAsia="黑体" w:cs="Times New Roman"/>
      <w:b/>
      <w:bCs/>
      <w:sz w:val="28"/>
      <w:szCs w:val="28"/>
      <w:lang w:val="zh-CN"/>
    </w:rPr>
  </w:style>
  <w:style w:type="character" w:customStyle="1" w:styleId="410">
    <w:name w:val="正文文本 3 Char2"/>
    <w:link w:val="22"/>
    <w:qFormat/>
    <w:uiPriority w:val="0"/>
  </w:style>
  <w:style w:type="character" w:customStyle="1" w:styleId="411">
    <w:name w:val="font31"/>
    <w:qFormat/>
    <w:uiPriority w:val="0"/>
    <w:rPr>
      <w:rFonts w:hint="eastAsia" w:ascii="仿宋" w:hAnsi="仿宋" w:eastAsia="仿宋" w:cs="仿宋"/>
      <w:color w:val="000000"/>
      <w:sz w:val="20"/>
      <w:szCs w:val="20"/>
      <w:u w:val="none"/>
    </w:rPr>
  </w:style>
  <w:style w:type="character" w:customStyle="1" w:styleId="412">
    <w:name w:val="脚注文本 Char1"/>
    <w:qFormat/>
    <w:uiPriority w:val="0"/>
    <w:rPr>
      <w:rFonts w:ascii="Times New Roman" w:hAnsi="Times New Roman" w:eastAsia="宋体" w:cs="Times New Roman"/>
      <w:sz w:val="18"/>
      <w:szCs w:val="18"/>
    </w:rPr>
  </w:style>
  <w:style w:type="character" w:customStyle="1" w:styleId="413">
    <w:name w:val="Char Char35"/>
    <w:qFormat/>
    <w:uiPriority w:val="6"/>
    <w:rPr>
      <w:rFonts w:ascii="Arial" w:hAnsi="Arial" w:eastAsia="黑体"/>
      <w:b/>
      <w:kern w:val="1"/>
      <w:sz w:val="28"/>
      <w:szCs w:val="28"/>
      <w:lang w:val="zh-CN"/>
    </w:rPr>
  </w:style>
  <w:style w:type="character" w:customStyle="1" w:styleId="414">
    <w:name w:val="纯文本 Char Char Char"/>
    <w:qFormat/>
    <w:uiPriority w:val="0"/>
    <w:rPr>
      <w:rFonts w:ascii="宋体" w:hAnsi="Courier New" w:eastAsia="宋体"/>
      <w:kern w:val="2"/>
      <w:sz w:val="21"/>
      <w:lang w:val="en-US" w:eastAsia="zh-CN" w:bidi="ar-SA"/>
    </w:rPr>
  </w:style>
  <w:style w:type="character" w:customStyle="1" w:styleId="415">
    <w:name w:val="正文1 Char1"/>
    <w:qFormat/>
    <w:uiPriority w:val="0"/>
    <w:rPr>
      <w:rFonts w:ascii="仿宋_GB2312" w:hAnsi="Courier New" w:eastAsia="仿宋_GB2312"/>
      <w:kern w:val="28"/>
      <w:sz w:val="24"/>
      <w:szCs w:val="24"/>
      <w:lang w:val="en-US" w:eastAsia="zh-CN"/>
    </w:rPr>
  </w:style>
  <w:style w:type="character" w:customStyle="1" w:styleId="416">
    <w:name w:val="页脚 Char1"/>
    <w:qFormat/>
    <w:uiPriority w:val="0"/>
    <w:rPr>
      <w:rFonts w:eastAsia="宋体"/>
      <w:kern w:val="2"/>
      <w:sz w:val="18"/>
      <w:szCs w:val="18"/>
      <w:lang w:val="en-US" w:eastAsia="zh-CN" w:bidi="ar-SA"/>
    </w:rPr>
  </w:style>
  <w:style w:type="character" w:customStyle="1" w:styleId="417">
    <w:name w:val="hui3"/>
    <w:qFormat/>
    <w:uiPriority w:val="0"/>
    <w:rPr>
      <w:color w:val="333333"/>
    </w:rPr>
  </w:style>
  <w:style w:type="character" w:customStyle="1" w:styleId="418">
    <w:name w:val="Char Char17"/>
    <w:qFormat/>
    <w:uiPriority w:val="6"/>
    <w:rPr>
      <w:rFonts w:eastAsia="仿宋_GB2312"/>
      <w:sz w:val="24"/>
    </w:rPr>
  </w:style>
  <w:style w:type="character" w:customStyle="1" w:styleId="419">
    <w:name w:val="标题 4 字符"/>
    <w:qFormat/>
    <w:uiPriority w:val="9"/>
    <w:rPr>
      <w:rFonts w:ascii="等线 Light" w:hAnsi="等线 Light" w:eastAsia="等线 Light" w:cs="Times New Roman"/>
      <w:b/>
      <w:bCs/>
      <w:snapToGrid w:val="0"/>
      <w:kern w:val="0"/>
      <w:sz w:val="28"/>
      <w:szCs w:val="28"/>
    </w:rPr>
  </w:style>
  <w:style w:type="character" w:customStyle="1" w:styleId="420">
    <w:name w:val="公文正文 Char Char"/>
    <w:link w:val="421"/>
    <w:qFormat/>
    <w:uiPriority w:val="0"/>
    <w:rPr>
      <w:rFonts w:ascii="仿宋_GB2312" w:eastAsia="仿宋_GB2312"/>
      <w:sz w:val="24"/>
      <w:szCs w:val="24"/>
    </w:rPr>
  </w:style>
  <w:style w:type="paragraph" w:customStyle="1" w:styleId="421">
    <w:name w:val="公文正文"/>
    <w:basedOn w:val="1"/>
    <w:link w:val="420"/>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2">
    <w:name w:val="Table Text Char1"/>
    <w:qFormat/>
    <w:uiPriority w:val="0"/>
    <w:rPr>
      <w:rFonts w:eastAsia="宋体"/>
      <w:sz w:val="24"/>
      <w:szCs w:val="24"/>
      <w:lang w:val="en-US" w:eastAsia="zh-CN" w:bidi="ar-SA"/>
    </w:rPr>
  </w:style>
  <w:style w:type="character" w:customStyle="1" w:styleId="423">
    <w:name w:val="标题 8 Char1"/>
    <w:link w:val="11"/>
    <w:qFormat/>
    <w:uiPriority w:val="0"/>
    <w:rPr>
      <w:rFonts w:ascii="Arial" w:hAnsi="Arial" w:eastAsia="黑体" w:cs="Times New Roman"/>
      <w:sz w:val="24"/>
      <w:szCs w:val="24"/>
    </w:rPr>
  </w:style>
  <w:style w:type="character" w:customStyle="1" w:styleId="424">
    <w:name w:val="标书表格字体格式 Char"/>
    <w:qFormat/>
    <w:uiPriority w:val="0"/>
    <w:rPr>
      <w:kern w:val="2"/>
      <w:sz w:val="21"/>
      <w:szCs w:val="24"/>
      <w:lang w:bidi="ar-SA"/>
    </w:rPr>
  </w:style>
  <w:style w:type="character" w:customStyle="1" w:styleId="425">
    <w:name w:val="Body Text(ch) Char Char"/>
    <w:qFormat/>
    <w:uiPriority w:val="0"/>
    <w:rPr>
      <w:rFonts w:ascii="宋体"/>
      <w:kern w:val="2"/>
      <w:sz w:val="24"/>
      <w:szCs w:val="21"/>
      <w:lang w:val="zh-CN"/>
    </w:rPr>
  </w:style>
  <w:style w:type="character" w:customStyle="1" w:styleId="426">
    <w:name w:val="正文首行缩进两字 Char"/>
    <w:qFormat/>
    <w:uiPriority w:val="0"/>
    <w:rPr>
      <w:sz w:val="24"/>
      <w:szCs w:val="24"/>
      <w:lang w:val="en-US" w:eastAsia="zh-CN" w:bidi="ar-SA"/>
    </w:rPr>
  </w:style>
  <w:style w:type="character" w:customStyle="1" w:styleId="427">
    <w:name w:val="文档结构图 字符1"/>
    <w:qFormat/>
    <w:uiPriority w:val="0"/>
    <w:rPr>
      <w:rFonts w:ascii="宋体" w:hAnsi="Calibri" w:eastAsia="黑体" w:cs="Arial"/>
      <w:snapToGrid w:val="0"/>
      <w:kern w:val="2"/>
      <w:sz w:val="18"/>
      <w:szCs w:val="18"/>
    </w:rPr>
  </w:style>
  <w:style w:type="character" w:customStyle="1" w:styleId="428">
    <w:name w:val="param-name"/>
    <w:qFormat/>
    <w:uiPriority w:val="99"/>
    <w:rPr>
      <w:rFonts w:ascii="Arial" w:hAnsi="Arial" w:eastAsia="黑体" w:cs="Arial"/>
      <w:snapToGrid w:val="0"/>
      <w:kern w:val="0"/>
      <w:szCs w:val="21"/>
    </w:rPr>
  </w:style>
  <w:style w:type="character" w:customStyle="1" w:styleId="429">
    <w:name w:val="标准正文格式 Char"/>
    <w:qFormat/>
    <w:uiPriority w:val="0"/>
    <w:rPr>
      <w:rFonts w:ascii="宋体" w:eastAsia="仿宋_GB2312" w:cs="宋体"/>
      <w:color w:val="000000"/>
      <w:sz w:val="24"/>
      <w:lang w:val="en-US" w:eastAsia="zh-CN" w:bidi="ar-SA"/>
    </w:rPr>
  </w:style>
  <w:style w:type="character" w:customStyle="1" w:styleId="430">
    <w:name w:val="zbggmain style9"/>
    <w:qFormat/>
    <w:uiPriority w:val="0"/>
  </w:style>
  <w:style w:type="character" w:customStyle="1" w:styleId="431">
    <w:name w:val="Char Char16"/>
    <w:qFormat/>
    <w:uiPriority w:val="6"/>
    <w:rPr>
      <w:kern w:val="1"/>
      <w:sz w:val="18"/>
      <w:szCs w:val="18"/>
    </w:rPr>
  </w:style>
  <w:style w:type="character" w:customStyle="1" w:styleId="432">
    <w:name w:val="Char Char82"/>
    <w:qFormat/>
    <w:uiPriority w:val="0"/>
    <w:rPr>
      <w:rFonts w:eastAsia="宋体"/>
      <w:b/>
      <w:sz w:val="24"/>
      <w:lang w:val="en-US" w:eastAsia="zh-CN"/>
    </w:rPr>
  </w:style>
  <w:style w:type="character" w:customStyle="1" w:styleId="433">
    <w:name w:val="正文文本缩进 3 Char2"/>
    <w:link w:val="50"/>
    <w:qFormat/>
    <w:uiPriority w:val="0"/>
    <w:rPr>
      <w:sz w:val="24"/>
    </w:rPr>
  </w:style>
  <w:style w:type="character" w:customStyle="1" w:styleId="434">
    <w:name w:val="页眉 字符"/>
    <w:qFormat/>
    <w:uiPriority w:val="99"/>
    <w:rPr>
      <w:kern w:val="2"/>
      <w:sz w:val="18"/>
      <w:szCs w:val="18"/>
    </w:rPr>
  </w:style>
  <w:style w:type="character" w:customStyle="1" w:styleId="435">
    <w:name w:val="Footer-Even Char"/>
    <w:qFormat/>
    <w:uiPriority w:val="0"/>
    <w:rPr>
      <w:rFonts w:eastAsia="宋体"/>
      <w:kern w:val="2"/>
      <w:sz w:val="18"/>
      <w:lang w:val="en-US" w:eastAsia="zh-CN" w:bidi="ar-SA"/>
    </w:rPr>
  </w:style>
  <w:style w:type="character" w:customStyle="1" w:styleId="436">
    <w:name w:val="Char Char61"/>
    <w:qFormat/>
    <w:uiPriority w:val="6"/>
    <w:rPr>
      <w:rFonts w:eastAsia="宋体"/>
      <w:kern w:val="2"/>
      <w:sz w:val="21"/>
      <w:szCs w:val="24"/>
      <w:lang w:val="en-US" w:eastAsia="zh-CN" w:bidi="ar-SA"/>
    </w:rPr>
  </w:style>
  <w:style w:type="character" w:customStyle="1" w:styleId="437">
    <w:name w:val="正文文字缩进 2 Char Char"/>
    <w:qFormat/>
    <w:uiPriority w:val="0"/>
    <w:rPr>
      <w:rFonts w:ascii="宋体"/>
      <w:sz w:val="28"/>
    </w:rPr>
  </w:style>
  <w:style w:type="character" w:customStyle="1" w:styleId="438">
    <w:name w:val="标题 3 Char2"/>
    <w:qFormat/>
    <w:uiPriority w:val="0"/>
    <w:rPr>
      <w:rFonts w:eastAsia="宋体"/>
      <w:b/>
      <w:bCs/>
      <w:kern w:val="2"/>
      <w:sz w:val="32"/>
      <w:szCs w:val="32"/>
      <w:lang w:val="en-US" w:eastAsia="zh-CN" w:bidi="ar-SA"/>
    </w:rPr>
  </w:style>
  <w:style w:type="character" w:customStyle="1" w:styleId="439">
    <w:name w:val="页眉 字符2"/>
    <w:qFormat/>
    <w:uiPriority w:val="99"/>
    <w:rPr>
      <w:kern w:val="2"/>
      <w:sz w:val="18"/>
      <w:szCs w:val="18"/>
    </w:rPr>
  </w:style>
  <w:style w:type="character" w:customStyle="1" w:styleId="440">
    <w:name w:val="Char Char9"/>
    <w:qFormat/>
    <w:uiPriority w:val="0"/>
    <w:rPr>
      <w:rFonts w:eastAsia="宋体"/>
      <w:kern w:val="2"/>
      <w:sz w:val="18"/>
      <w:szCs w:val="18"/>
      <w:lang w:val="en-US" w:eastAsia="zh-CN" w:bidi="ar-SA"/>
    </w:rPr>
  </w:style>
  <w:style w:type="character" w:customStyle="1" w:styleId="441">
    <w:name w:val="Char Char13"/>
    <w:qFormat/>
    <w:uiPriority w:val="6"/>
    <w:rPr>
      <w:rFonts w:ascii="宋体" w:hAnsi="宋体"/>
      <w:kern w:val="1"/>
      <w:sz w:val="21"/>
      <w:szCs w:val="24"/>
    </w:rPr>
  </w:style>
  <w:style w:type="character" w:customStyle="1" w:styleId="442">
    <w:name w:val="javascript"/>
    <w:qFormat/>
    <w:uiPriority w:val="0"/>
  </w:style>
  <w:style w:type="character" w:customStyle="1" w:styleId="443">
    <w:name w:val="图名 Char"/>
    <w:qFormat/>
    <w:uiPriority w:val="0"/>
    <w:rPr>
      <w:rFonts w:ascii="Arial" w:hAnsi="Arial" w:eastAsia="黑体"/>
      <w:kern w:val="2"/>
      <w:sz w:val="24"/>
      <w:szCs w:val="24"/>
      <w:lang w:val="en-US" w:eastAsia="zh-CN" w:bidi="ar-SA"/>
    </w:rPr>
  </w:style>
  <w:style w:type="character" w:customStyle="1" w:styleId="444">
    <w:name w:val="未用 Char"/>
    <w:qFormat/>
    <w:uiPriority w:val="0"/>
    <w:rPr>
      <w:rFonts w:ascii="Arial" w:hAnsi="Arial" w:eastAsia="黑体"/>
      <w:kern w:val="2"/>
      <w:sz w:val="21"/>
      <w:szCs w:val="21"/>
      <w:lang w:val="en-US" w:eastAsia="zh-CN" w:bidi="ar-SA"/>
    </w:rPr>
  </w:style>
  <w:style w:type="character" w:customStyle="1" w:styleId="445">
    <w:name w:val="myp1111"/>
    <w:qFormat/>
    <w:uiPriority w:val="0"/>
    <w:rPr>
      <w:rFonts w:hint="default" w:ascii="ˎ̥" w:hAnsi="ˎ̥"/>
      <w:color w:val="000000"/>
      <w:sz w:val="20"/>
      <w:szCs w:val="20"/>
      <w:u w:val="none"/>
    </w:rPr>
  </w:style>
  <w:style w:type="character" w:customStyle="1" w:styleId="446">
    <w:name w:val="样式 标题 4h4H4Fab-4T5Ref Heading 1rh1Heading sqlsect 1.2.3.... Char"/>
    <w:link w:val="400"/>
    <w:qFormat/>
    <w:uiPriority w:val="0"/>
    <w:rPr>
      <w:rFonts w:ascii="微软雅黑" w:hAnsi="微软雅黑" w:eastAsia="微软雅黑"/>
      <w:b/>
      <w:bCs/>
      <w:sz w:val="24"/>
      <w:szCs w:val="28"/>
    </w:rPr>
  </w:style>
  <w:style w:type="character" w:customStyle="1" w:styleId="447">
    <w:name w:val="h Char Char"/>
    <w:qFormat/>
    <w:uiPriority w:val="0"/>
    <w:rPr>
      <w:rFonts w:eastAsia="宋体"/>
      <w:kern w:val="2"/>
      <w:sz w:val="18"/>
      <w:lang w:val="en-US" w:eastAsia="zh-CN" w:bidi="ar-SA"/>
    </w:rPr>
  </w:style>
  <w:style w:type="character" w:customStyle="1" w:styleId="448">
    <w:name w:val="仿宋正文 Char"/>
    <w:link w:val="449"/>
    <w:qFormat/>
    <w:uiPriority w:val="0"/>
    <w:rPr>
      <w:rFonts w:ascii="仿宋_GB2312" w:eastAsia="仿宋_GB2312"/>
      <w:sz w:val="24"/>
    </w:rPr>
  </w:style>
  <w:style w:type="paragraph" w:customStyle="1" w:styleId="449">
    <w:name w:val="仿宋正文"/>
    <w:basedOn w:val="1"/>
    <w:link w:val="448"/>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0">
    <w:name w:val="样式 宋体"/>
    <w:qFormat/>
    <w:uiPriority w:val="0"/>
    <w:rPr>
      <w:rFonts w:ascii="宋体" w:hAnsi="宋体"/>
      <w:sz w:val="24"/>
    </w:rPr>
  </w:style>
  <w:style w:type="character" w:customStyle="1" w:styleId="451">
    <w:name w:val="tw4winJump"/>
    <w:qFormat/>
    <w:uiPriority w:val="0"/>
    <w:rPr>
      <w:rFonts w:ascii="Courier New" w:hAnsi="Courier New" w:cs="Courier New"/>
      <w:color w:val="008080"/>
      <w:lang w:val="en-US" w:eastAsia="zh-CN"/>
    </w:rPr>
  </w:style>
  <w:style w:type="character" w:customStyle="1" w:styleId="452">
    <w:name w:val="style36"/>
    <w:qFormat/>
    <w:uiPriority w:val="0"/>
    <w:rPr>
      <w:rFonts w:ascii="Arial" w:hAnsi="Arial" w:eastAsia="黑体" w:cs="Arial"/>
      <w:snapToGrid w:val="0"/>
      <w:kern w:val="0"/>
      <w:szCs w:val="21"/>
    </w:rPr>
  </w:style>
  <w:style w:type="character" w:customStyle="1" w:styleId="453">
    <w:name w:val="pt9"/>
    <w:qFormat/>
    <w:uiPriority w:val="0"/>
    <w:rPr>
      <w:rFonts w:ascii="仿宋_GB2312" w:eastAsia="微软雅黑"/>
      <w:b/>
      <w:kern w:val="2"/>
      <w:sz w:val="32"/>
      <w:szCs w:val="32"/>
      <w:lang w:val="en-US" w:eastAsia="zh-CN" w:bidi="ar-SA"/>
    </w:rPr>
  </w:style>
  <w:style w:type="character" w:customStyle="1" w:styleId="454">
    <w:name w:val="正文2 Char"/>
    <w:qFormat/>
    <w:uiPriority w:val="0"/>
    <w:rPr>
      <w:rFonts w:eastAsia="宋体"/>
      <w:kern w:val="2"/>
      <w:sz w:val="24"/>
      <w:lang w:val="en-US" w:eastAsia="zh-CN" w:bidi="ar-SA"/>
    </w:rPr>
  </w:style>
  <w:style w:type="character" w:customStyle="1" w:styleId="455">
    <w:name w:val="Char Char21"/>
    <w:qFormat/>
    <w:uiPriority w:val="6"/>
    <w:rPr>
      <w:rFonts w:ascii="宋体" w:hAnsi="宋体"/>
      <w:kern w:val="1"/>
      <w:sz w:val="24"/>
      <w:szCs w:val="21"/>
      <w:lang w:val="zh-CN"/>
    </w:rPr>
  </w:style>
  <w:style w:type="character" w:customStyle="1" w:styleId="456">
    <w:name w:val="样式 正文缩进 + 首行缩进:  2 字符 Char Char"/>
    <w:link w:val="457"/>
    <w:qFormat/>
    <w:uiPriority w:val="0"/>
    <w:rPr>
      <w:rFonts w:cs="宋体"/>
      <w:sz w:val="24"/>
    </w:rPr>
  </w:style>
  <w:style w:type="paragraph" w:customStyle="1" w:styleId="457">
    <w:name w:val="样式 正文缩进 + 首行缩进:  2 字符"/>
    <w:basedOn w:val="16"/>
    <w:link w:val="456"/>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8">
    <w:name w:val="正文缩进 字符1"/>
    <w:qFormat/>
    <w:uiPriority w:val="0"/>
    <w:rPr>
      <w:rFonts w:ascii="宋体" w:eastAsia="宋体"/>
      <w:snapToGrid w:val="0"/>
      <w:color w:val="000000"/>
      <w:kern w:val="28"/>
      <w:sz w:val="28"/>
      <w:lang w:val="en-US" w:eastAsia="zh-CN" w:bidi="ar-SA"/>
    </w:rPr>
  </w:style>
  <w:style w:type="character" w:customStyle="1" w:styleId="459">
    <w:name w:val="尾注文本 Char1"/>
    <w:link w:val="37"/>
    <w:qFormat/>
    <w:uiPriority w:val="0"/>
    <w:rPr>
      <w:szCs w:val="24"/>
      <w:lang w:val="zh-CN"/>
    </w:rPr>
  </w:style>
  <w:style w:type="character" w:customStyle="1" w:styleId="460">
    <w:name w:val="无间隔 Char"/>
    <w:link w:val="461"/>
    <w:qFormat/>
    <w:uiPriority w:val="99"/>
  </w:style>
  <w:style w:type="paragraph" w:customStyle="1" w:styleId="461">
    <w:name w:val="无间隔3"/>
    <w:basedOn w:val="1"/>
    <w:link w:val="460"/>
    <w:qFormat/>
    <w:uiPriority w:val="99"/>
    <w:rPr>
      <w:rFonts w:asciiTheme="minorHAnsi" w:hAnsiTheme="minorHAnsi" w:eastAsiaTheme="minorEastAsia" w:cstheme="minorBidi"/>
      <w:szCs w:val="22"/>
    </w:rPr>
  </w:style>
  <w:style w:type="character" w:customStyle="1" w:styleId="462">
    <w:name w:val="标准文本 Char Char"/>
    <w:link w:val="463"/>
    <w:qFormat/>
    <w:uiPriority w:val="0"/>
    <w:rPr>
      <w:rFonts w:cs="宋体"/>
      <w:sz w:val="24"/>
    </w:rPr>
  </w:style>
  <w:style w:type="paragraph" w:customStyle="1" w:styleId="463">
    <w:name w:val="标准文本"/>
    <w:basedOn w:val="1"/>
    <w:link w:val="46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4">
    <w:name w:val="Char Char213"/>
    <w:qFormat/>
    <w:uiPriority w:val="0"/>
    <w:rPr>
      <w:rFonts w:eastAsia="Century Gothic"/>
      <w:b/>
      <w:bCs/>
      <w:kern w:val="44"/>
      <w:sz w:val="32"/>
      <w:szCs w:val="44"/>
      <w:lang w:val="en-US" w:eastAsia="zh-CN" w:bidi="ar-SA"/>
    </w:rPr>
  </w:style>
  <w:style w:type="character" w:customStyle="1" w:styleId="465">
    <w:name w:val="16"/>
    <w:qFormat/>
    <w:uiPriority w:val="0"/>
    <w:rPr>
      <w:rFonts w:hint="eastAsia" w:ascii="宋体" w:hAnsi="宋体" w:eastAsia="宋体"/>
      <w:color w:val="000000"/>
      <w:sz w:val="20"/>
      <w:szCs w:val="20"/>
    </w:rPr>
  </w:style>
  <w:style w:type="character" w:customStyle="1" w:styleId="466">
    <w:name w:val="tpc_content1"/>
    <w:qFormat/>
    <w:uiPriority w:val="0"/>
    <w:rPr>
      <w:sz w:val="20"/>
      <w:szCs w:val="20"/>
    </w:rPr>
  </w:style>
  <w:style w:type="character" w:customStyle="1" w:styleId="467">
    <w:name w:val="正文文本 2 字符"/>
    <w:qFormat/>
    <w:uiPriority w:val="0"/>
    <w:rPr>
      <w:rFonts w:ascii="Arial" w:hAnsi="Arial" w:eastAsia="宋体"/>
      <w:kern w:val="2"/>
      <w:sz w:val="24"/>
      <w:szCs w:val="24"/>
      <w:lang w:val="en-US" w:eastAsia="zh-CN" w:bidi="ar-SA"/>
    </w:rPr>
  </w:style>
  <w:style w:type="character" w:customStyle="1" w:styleId="468">
    <w:name w:val="zbggtop11 style5"/>
    <w:qFormat/>
    <w:uiPriority w:val="0"/>
    <w:rPr>
      <w:rFonts w:ascii="Arial" w:hAnsi="Arial" w:eastAsia="黑体" w:cs="Arial"/>
      <w:snapToGrid w:val="0"/>
      <w:kern w:val="0"/>
      <w:szCs w:val="21"/>
    </w:rPr>
  </w:style>
  <w:style w:type="character" w:customStyle="1" w:styleId="469">
    <w:name w:val="font71"/>
    <w:qFormat/>
    <w:uiPriority w:val="0"/>
    <w:rPr>
      <w:rFonts w:hint="eastAsia" w:ascii="宋体" w:hAnsi="宋体" w:eastAsia="宋体" w:cs="宋体"/>
      <w:color w:val="000000"/>
      <w:sz w:val="22"/>
      <w:szCs w:val="22"/>
      <w:u w:val="none"/>
    </w:rPr>
  </w:style>
  <w:style w:type="character" w:customStyle="1" w:styleId="470">
    <w:name w:val="font91"/>
    <w:qFormat/>
    <w:uiPriority w:val="0"/>
    <w:rPr>
      <w:rFonts w:hint="eastAsia" w:ascii="仿宋" w:hAnsi="仿宋" w:eastAsia="仿宋" w:cs="仿宋"/>
      <w:color w:val="000000"/>
      <w:sz w:val="22"/>
      <w:szCs w:val="22"/>
      <w:u w:val="none"/>
    </w:rPr>
  </w:style>
  <w:style w:type="paragraph" w:customStyle="1" w:styleId="471">
    <w:name w:val="4级标题"/>
    <w:basedOn w:val="3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My正文"/>
    <w:basedOn w:val="1"/>
    <w:qFormat/>
    <w:uiPriority w:val="0"/>
    <w:pPr>
      <w:spacing w:before="120" w:line="360" w:lineRule="auto"/>
      <w:ind w:firstLine="567"/>
    </w:pPr>
    <w:rPr>
      <w:rFonts w:ascii="Arial" w:hAnsi="Arial"/>
      <w:sz w:val="20"/>
      <w:szCs w:val="20"/>
    </w:rPr>
  </w:style>
  <w:style w:type="paragraph" w:customStyle="1" w:styleId="477">
    <w:name w:val="正文1.25"/>
    <w:basedOn w:val="1"/>
    <w:qFormat/>
    <w:uiPriority w:val="0"/>
    <w:pPr>
      <w:adjustRightInd/>
      <w:spacing w:line="300" w:lineRule="auto"/>
      <w:ind w:firstLine="480" w:firstLineChars="200"/>
    </w:pPr>
    <w:rPr>
      <w:sz w:val="24"/>
      <w:szCs w:val="20"/>
    </w:rPr>
  </w:style>
  <w:style w:type="paragraph" w:customStyle="1" w:styleId="478">
    <w:name w:val="5级标题"/>
    <w:basedOn w:val="47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0">
    <w:name w:val="MM Topic 5"/>
    <w:basedOn w:val="8"/>
    <w:qFormat/>
    <w:uiPriority w:val="0"/>
    <w:pPr>
      <w:tabs>
        <w:tab w:val="left" w:pos="2520"/>
        <w:tab w:val="clear" w:pos="1008"/>
      </w:tabs>
      <w:adjustRightInd/>
      <w:ind w:left="2520" w:hanging="420"/>
    </w:pPr>
  </w:style>
  <w:style w:type="paragraph" w:customStyle="1" w:styleId="481">
    <w:name w:val="默认段落样式"/>
    <w:basedOn w:val="89"/>
    <w:qFormat/>
    <w:uiPriority w:val="0"/>
    <w:pPr>
      <w:spacing w:before="0"/>
      <w:ind w:firstLine="480"/>
      <w:outlineLvl w:val="2"/>
    </w:pPr>
    <w:rPr>
      <w:rFonts w:ascii="仿宋_GB2312" w:hAnsi="宋体" w:eastAsia="仿宋_GB2312" w:cs="Times New Roman"/>
      <w:color w:val="000000"/>
      <w:szCs w:val="24"/>
    </w:rPr>
  </w:style>
  <w:style w:type="paragraph" w:customStyle="1" w:styleId="48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3">
    <w:name w:val="_Style 94"/>
    <w:basedOn w:val="1"/>
    <w:next w:val="360"/>
    <w:qFormat/>
    <w:uiPriority w:val="34"/>
    <w:pPr>
      <w:adjustRightInd/>
      <w:spacing w:line="360" w:lineRule="auto"/>
      <w:ind w:firstLine="200" w:firstLineChars="200"/>
    </w:pPr>
    <w:rPr>
      <w:rFonts w:ascii="Calibri" w:hAnsi="Calibri"/>
      <w:sz w:val="28"/>
      <w:szCs w:val="20"/>
    </w:rPr>
  </w:style>
  <w:style w:type="paragraph" w:customStyle="1" w:styleId="484">
    <w:name w:val="FA正文"/>
    <w:basedOn w:val="1"/>
    <w:qFormat/>
    <w:uiPriority w:val="0"/>
    <w:pPr>
      <w:spacing w:line="360" w:lineRule="auto"/>
      <w:ind w:firstLine="480" w:firstLineChars="200"/>
    </w:pPr>
    <w:rPr>
      <w:rFonts w:hAnsi="宋体"/>
      <w:sz w:val="24"/>
      <w:szCs w:val="20"/>
    </w:rPr>
  </w:style>
  <w:style w:type="paragraph" w:customStyle="1" w:styleId="48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6">
    <w:name w:val="正文 内标 序号标"/>
    <w:basedOn w:val="476"/>
    <w:qFormat/>
    <w:uiPriority w:val="0"/>
    <w:pPr>
      <w:tabs>
        <w:tab w:val="left" w:pos="0"/>
      </w:tabs>
      <w:adjustRightInd/>
      <w:spacing w:before="0"/>
      <w:ind w:firstLine="482"/>
    </w:pPr>
    <w:rPr>
      <w:rFonts w:ascii="微软雅黑" w:hAnsi="微软雅黑"/>
      <w:sz w:val="24"/>
      <w:szCs w:val="24"/>
    </w:rPr>
  </w:style>
  <w:style w:type="paragraph" w:customStyle="1" w:styleId="4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8">
    <w:name w:val="修订1"/>
    <w:qFormat/>
    <w:uiPriority w:val="3"/>
    <w:rPr>
      <w:rFonts w:ascii="Times New Roman" w:hAnsi="Times New Roman" w:eastAsia="宋体" w:cs="Times New Roman"/>
      <w:color w:val="000000"/>
      <w:kern w:val="1"/>
      <w:sz w:val="21"/>
      <w:lang w:val="en-US" w:eastAsia="zh-CN" w:bidi="ar-SA"/>
    </w:rPr>
  </w:style>
  <w:style w:type="paragraph" w:customStyle="1" w:styleId="489">
    <w:name w:val="6级标题"/>
    <w:basedOn w:val="478"/>
    <w:qFormat/>
    <w:uiPriority w:val="0"/>
    <w:pPr>
      <w:keepNext/>
      <w:outlineLvl w:val="5"/>
    </w:pPr>
  </w:style>
  <w:style w:type="paragraph" w:customStyle="1" w:styleId="490">
    <w:name w:val="样式 样式2 + 左侧:  1 字符 右侧:  1 字符"/>
    <w:basedOn w:val="49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2">
    <w:name w:val="样式6"/>
    <w:basedOn w:val="33"/>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3">
    <w:name w:val="默认段落字体 Para Char"/>
    <w:basedOn w:val="1"/>
    <w:qFormat/>
    <w:uiPriority w:val="0"/>
    <w:rPr>
      <w:rFonts w:ascii="Tahoma" w:hAnsi="Tahoma"/>
      <w:sz w:val="24"/>
      <w:szCs w:val="20"/>
    </w:rPr>
  </w:style>
  <w:style w:type="character" w:customStyle="1" w:styleId="494">
    <w:name w:val="标题 Char2"/>
    <w:basedOn w:val="64"/>
    <w:qFormat/>
    <w:uiPriority w:val="10"/>
    <w:rPr>
      <w:rFonts w:eastAsia="宋体" w:asciiTheme="majorHAnsi" w:hAnsiTheme="majorHAnsi" w:cstheme="majorBidi"/>
      <w:b/>
      <w:bCs/>
      <w:sz w:val="32"/>
      <w:szCs w:val="32"/>
    </w:rPr>
  </w:style>
  <w:style w:type="paragraph" w:customStyle="1" w:styleId="49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8">
    <w:name w:val="Char1 Char Char Char1"/>
    <w:basedOn w:val="1"/>
    <w:qFormat/>
    <w:uiPriority w:val="0"/>
    <w:pPr>
      <w:adjustRightInd/>
      <w:ind w:firstLine="200" w:firstLineChars="200"/>
    </w:pPr>
    <w:rPr>
      <w:rFonts w:ascii="Tahoma" w:hAnsi="Tahoma"/>
      <w:sz w:val="24"/>
      <w:szCs w:val="20"/>
    </w:rPr>
  </w:style>
  <w:style w:type="paragraph" w:customStyle="1" w:styleId="49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0">
    <w:name w:val="Char2 Char Char1"/>
    <w:basedOn w:val="1"/>
    <w:qFormat/>
    <w:uiPriority w:val="6"/>
    <w:pPr>
      <w:adjustRightInd/>
    </w:pPr>
    <w:rPr>
      <w:rFonts w:ascii="Tahoma" w:hAnsi="Tahoma"/>
      <w:sz w:val="24"/>
      <w:szCs w:val="20"/>
    </w:rPr>
  </w:style>
  <w:style w:type="paragraph" w:customStyle="1" w:styleId="50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2">
    <w:name w:val="正文主体"/>
    <w:basedOn w:val="503"/>
    <w:qFormat/>
    <w:uiPriority w:val="0"/>
  </w:style>
  <w:style w:type="paragraph" w:customStyle="1" w:styleId="5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4">
    <w:name w:val="Char Char Char Char Char Char Char Char2"/>
    <w:basedOn w:val="1"/>
    <w:qFormat/>
    <w:uiPriority w:val="0"/>
    <w:pPr>
      <w:tabs>
        <w:tab w:val="left" w:pos="360"/>
      </w:tabs>
    </w:pPr>
    <w:rPr>
      <w:sz w:val="24"/>
      <w:szCs w:val="20"/>
    </w:rPr>
  </w:style>
  <w:style w:type="paragraph" w:customStyle="1" w:styleId="5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8">
    <w:name w:val="加粗正文"/>
    <w:basedOn w:val="1"/>
    <w:qFormat/>
    <w:uiPriority w:val="0"/>
    <w:pPr>
      <w:adjustRightInd/>
      <w:spacing w:beforeLines="50" w:afterLines="50" w:line="360" w:lineRule="auto"/>
      <w:ind w:firstLine="422" w:firstLineChars="200"/>
    </w:pPr>
    <w:rPr>
      <w:b/>
      <w:bCs/>
      <w:szCs w:val="21"/>
    </w:rPr>
  </w:style>
  <w:style w:type="paragraph" w:customStyle="1" w:styleId="50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1">
    <w:name w:val="正文标准"/>
    <w:basedOn w:val="1"/>
    <w:qFormat/>
    <w:uiPriority w:val="0"/>
    <w:pPr>
      <w:adjustRightInd/>
      <w:spacing w:line="360" w:lineRule="auto"/>
      <w:ind w:firstLine="200" w:firstLineChars="200"/>
    </w:pPr>
    <w:rPr>
      <w:rFonts w:ascii="宋体" w:hAnsi="Calibri"/>
      <w:sz w:val="24"/>
    </w:rPr>
  </w:style>
  <w:style w:type="paragraph" w:customStyle="1" w:styleId="512">
    <w:name w:val="标题3"/>
    <w:basedOn w:val="6"/>
    <w:next w:val="50"/>
    <w:qFormat/>
    <w:uiPriority w:val="0"/>
    <w:pPr>
      <w:spacing w:after="0" w:line="360" w:lineRule="auto"/>
      <w:ind w:left="900" w:hanging="720"/>
    </w:pPr>
    <w:rPr>
      <w:rFonts w:ascii="仿宋" w:hAnsi="仿宋" w:eastAsia="仿宋" w:cs="仿宋"/>
    </w:rPr>
  </w:style>
  <w:style w:type="paragraph" w:customStyle="1" w:styleId="513">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4">
    <w:name w:val="Char Char Char Char Char Char Char1"/>
    <w:basedOn w:val="1"/>
    <w:qFormat/>
    <w:uiPriority w:val="6"/>
    <w:rPr>
      <w:rFonts w:ascii="仿宋_GB2312" w:eastAsia="仿宋_GB2312"/>
      <w:b/>
      <w:sz w:val="32"/>
      <w:szCs w:val="32"/>
    </w:rPr>
  </w:style>
  <w:style w:type="paragraph" w:customStyle="1" w:styleId="5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6">
    <w:name w:val="Char Char Char 字元 字元"/>
    <w:basedOn w:val="1"/>
    <w:qFormat/>
    <w:uiPriority w:val="0"/>
    <w:pPr>
      <w:adjustRightInd/>
      <w:spacing w:line="360" w:lineRule="auto"/>
      <w:ind w:firstLine="200" w:firstLineChars="200"/>
    </w:pPr>
    <w:rPr>
      <w:szCs w:val="20"/>
    </w:rPr>
  </w:style>
  <w:style w:type="paragraph" w:customStyle="1" w:styleId="51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1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9">
    <w:name w:val="_Style 5"/>
    <w:basedOn w:val="1"/>
    <w:qFormat/>
    <w:uiPriority w:val="34"/>
    <w:pPr>
      <w:adjustRightInd/>
      <w:ind w:firstLine="420" w:firstLineChars="200"/>
    </w:pPr>
    <w:rPr>
      <w:rFonts w:eastAsia="仿宋_GB2312"/>
      <w:sz w:val="28"/>
    </w:rPr>
  </w:style>
  <w:style w:type="paragraph" w:customStyle="1" w:styleId="520">
    <w:name w:val="正文 项目2"/>
    <w:basedOn w:val="521"/>
    <w:qFormat/>
    <w:uiPriority w:val="0"/>
    <w:pPr>
      <w:tabs>
        <w:tab w:val="left" w:pos="840"/>
      </w:tabs>
      <w:spacing w:after="0"/>
      <w:ind w:left="900"/>
    </w:pPr>
  </w:style>
  <w:style w:type="paragraph" w:customStyle="1" w:styleId="5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2">
    <w:name w:val="样式 标题 2H2h2Underrubrik1prop2l2Chapter Titlesect 1.2DO NO..."/>
    <w:basedOn w:val="5"/>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3">
    <w:name w:val="_正文段落"/>
    <w:basedOn w:val="1"/>
    <w:qFormat/>
    <w:uiPriority w:val="0"/>
    <w:pPr>
      <w:adjustRightInd/>
      <w:ind w:firstLine="560"/>
    </w:pPr>
    <w:rPr>
      <w:rFonts w:ascii="仿宋_GB2312" w:hAnsi="仿宋" w:eastAsia="仿宋_GB2312"/>
      <w:kern w:val="0"/>
      <w:sz w:val="28"/>
      <w:szCs w:val="28"/>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6">
    <w:name w:val="Body Text 2*"/>
    <w:basedOn w:val="1"/>
    <w:qFormat/>
    <w:uiPriority w:val="6"/>
    <w:pPr>
      <w:widowControl/>
      <w:adjustRightInd/>
      <w:ind w:left="720" w:hanging="720"/>
    </w:pPr>
    <w:rPr>
      <w:color w:val="000000"/>
      <w:kern w:val="0"/>
      <w:sz w:val="24"/>
      <w:szCs w:val="20"/>
    </w:rPr>
  </w:style>
  <w:style w:type="paragraph" w:customStyle="1" w:styleId="52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8">
    <w:name w:val="图中文字"/>
    <w:basedOn w:val="1"/>
    <w:qFormat/>
    <w:uiPriority w:val="0"/>
    <w:pPr>
      <w:snapToGrid w:val="0"/>
      <w:spacing w:line="0" w:lineRule="atLeast"/>
      <w:ind w:firstLine="200" w:firstLineChars="200"/>
      <w:jc w:val="center"/>
    </w:pPr>
    <w:rPr>
      <w:sz w:val="24"/>
      <w:szCs w:val="20"/>
    </w:rPr>
  </w:style>
  <w:style w:type="character" w:customStyle="1" w:styleId="529">
    <w:name w:val="HTML 地址 Char"/>
    <w:basedOn w:val="64"/>
    <w:semiHidden/>
    <w:qFormat/>
    <w:uiPriority w:val="99"/>
    <w:rPr>
      <w:rFonts w:ascii="Times New Roman" w:hAnsi="Times New Roman" w:eastAsia="宋体" w:cs="Times New Roman"/>
      <w:i/>
      <w:iCs/>
      <w:szCs w:val="24"/>
    </w:rPr>
  </w:style>
  <w:style w:type="paragraph" w:customStyle="1" w:styleId="530">
    <w:name w:val="Char Char Char Char Char Char Char Char1"/>
    <w:basedOn w:val="1"/>
    <w:qFormat/>
    <w:uiPriority w:val="0"/>
    <w:pPr>
      <w:tabs>
        <w:tab w:val="left" w:pos="360"/>
      </w:tabs>
    </w:pPr>
    <w:rPr>
      <w:sz w:val="24"/>
      <w:szCs w:val="20"/>
    </w:rPr>
  </w:style>
  <w:style w:type="paragraph" w:customStyle="1" w:styleId="53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2">
    <w:name w:val="Char"/>
    <w:basedOn w:val="1"/>
    <w:qFormat/>
    <w:uiPriority w:val="0"/>
    <w:rPr>
      <w:rFonts w:ascii="仿宋_GB2312" w:eastAsia="仿宋_GB2312"/>
      <w:b/>
      <w:sz w:val="32"/>
      <w:szCs w:val="32"/>
    </w:rPr>
  </w:style>
  <w:style w:type="paragraph" w:customStyle="1" w:styleId="53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3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8">
    <w:name w:val="trademark"/>
    <w:qFormat/>
    <w:uiPriority w:val="0"/>
    <w:pPr>
      <w:spacing w:after="60"/>
    </w:pPr>
    <w:rPr>
      <w:rFonts w:ascii="Futura Bk" w:hAnsi="Futura Bk" w:eastAsia="宋体" w:cs="Times New Roman"/>
      <w:sz w:val="15"/>
      <w:lang w:val="en-US" w:eastAsia="en-US" w:bidi="ar-SA"/>
    </w:rPr>
  </w:style>
  <w:style w:type="paragraph" w:customStyle="1" w:styleId="539">
    <w:name w:val="MM Topic 3"/>
    <w:basedOn w:val="6"/>
    <w:qFormat/>
    <w:uiPriority w:val="0"/>
    <w:pPr>
      <w:tabs>
        <w:tab w:val="left" w:pos="1680"/>
      </w:tabs>
      <w:adjustRightInd/>
      <w:ind w:left="1680" w:hanging="420"/>
    </w:p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6">
    <w:name w:val="脚注文本 Char"/>
    <w:basedOn w:val="64"/>
    <w:semiHidden/>
    <w:qFormat/>
    <w:uiPriority w:val="99"/>
    <w:rPr>
      <w:rFonts w:ascii="Times New Roman" w:hAnsi="Times New Roman" w:eastAsia="宋体" w:cs="Times New Roman"/>
      <w:sz w:val="18"/>
      <w:szCs w:val="18"/>
    </w:rPr>
  </w:style>
  <w:style w:type="character" w:customStyle="1" w:styleId="547">
    <w:name w:val="正文文本缩进 2 Char"/>
    <w:basedOn w:val="64"/>
    <w:semiHidden/>
    <w:qFormat/>
    <w:uiPriority w:val="99"/>
    <w:rPr>
      <w:rFonts w:ascii="Times New Roman" w:hAnsi="Times New Roman" w:eastAsia="宋体" w:cs="Times New Roman"/>
      <w:szCs w:val="24"/>
    </w:rPr>
  </w:style>
  <w:style w:type="paragraph" w:customStyle="1" w:styleId="54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0">
    <w:name w:val="一级条标题"/>
    <w:basedOn w:val="551"/>
    <w:next w:val="552"/>
    <w:qFormat/>
    <w:uiPriority w:val="0"/>
    <w:pPr>
      <w:tabs>
        <w:tab w:val="left" w:pos="1260"/>
        <w:tab w:val="left" w:pos="1680"/>
      </w:tabs>
      <w:spacing w:beforeLines="0" w:afterLines="0"/>
      <w:ind w:left="1680"/>
      <w:outlineLvl w:val="2"/>
    </w:p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3">
    <w:name w:val="正文文本 3 Char"/>
    <w:basedOn w:val="64"/>
    <w:semiHidden/>
    <w:qFormat/>
    <w:uiPriority w:val="99"/>
    <w:rPr>
      <w:rFonts w:ascii="Times New Roman" w:hAnsi="Times New Roman" w:eastAsia="宋体" w:cs="Times New Roman"/>
      <w:sz w:val="16"/>
      <w:szCs w:val="16"/>
    </w:rPr>
  </w:style>
  <w:style w:type="paragraph" w:customStyle="1" w:styleId="554">
    <w:name w:val="Normal0"/>
    <w:qFormat/>
    <w:uiPriority w:val="0"/>
    <w:rPr>
      <w:rFonts w:ascii="Times New Roman" w:hAnsi="Times New Roman" w:eastAsia="宋体" w:cs="Times New Roman"/>
      <w:lang w:val="en-US" w:eastAsia="en-US" w:bidi="ar-SA"/>
    </w:rPr>
  </w:style>
  <w:style w:type="paragraph" w:customStyle="1" w:styleId="5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57">
    <w:name w:val="彩色列表 - 强调文字颜色 11"/>
    <w:basedOn w:val="1"/>
    <w:qFormat/>
    <w:uiPriority w:val="0"/>
    <w:pPr>
      <w:adjustRightInd/>
      <w:ind w:firstLine="420" w:firstLineChars="200"/>
    </w:pPr>
    <w:rPr>
      <w:rFonts w:ascii="Calibri" w:hAnsi="Calibri"/>
      <w:szCs w:val="22"/>
    </w:rPr>
  </w:style>
  <w:style w:type="paragraph" w:customStyle="1" w:styleId="558">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59">
    <w:name w:val="签名 Char"/>
    <w:basedOn w:val="64"/>
    <w:semiHidden/>
    <w:qFormat/>
    <w:uiPriority w:val="99"/>
    <w:rPr>
      <w:rFonts w:ascii="Times New Roman" w:hAnsi="Times New Roman" w:eastAsia="宋体" w:cs="Times New Roman"/>
      <w:szCs w:val="24"/>
    </w:rPr>
  </w:style>
  <w:style w:type="paragraph" w:customStyle="1" w:styleId="56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1">
    <w:name w:val="样式 标题 2标题2H2Heading 2 HiddenHeading 2 CCBSheading 22nd lev..."/>
    <w:basedOn w:val="5"/>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3">
    <w:name w:val="标书表格字体格式"/>
    <w:next w:val="535"/>
    <w:qFormat/>
    <w:uiPriority w:val="0"/>
    <w:rPr>
      <w:rFonts w:ascii="Times New Roman" w:hAnsi="Times New Roman" w:eastAsia="宋体" w:cs="Times New Roman"/>
      <w:kern w:val="2"/>
      <w:sz w:val="21"/>
      <w:szCs w:val="24"/>
      <w:lang w:val="en-US" w:eastAsia="zh-CN" w:bidi="ar-SA"/>
    </w:rPr>
  </w:style>
  <w:style w:type="paragraph" w:customStyle="1" w:styleId="56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5">
    <w:name w:val="Char Char1 Char Char Char2"/>
    <w:basedOn w:val="1"/>
    <w:qFormat/>
    <w:uiPriority w:val="0"/>
    <w:rPr>
      <w:rFonts w:ascii="仿宋_GB2312" w:eastAsia="仿宋_GB2312"/>
      <w:b/>
      <w:sz w:val="32"/>
      <w:szCs w:val="32"/>
    </w:rPr>
  </w:style>
  <w:style w:type="paragraph" w:customStyle="1" w:styleId="56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0">
    <w:name w:val="Char Char11 Char Char Char Char Char Char Char Char Char11"/>
    <w:basedOn w:val="1"/>
    <w:qFormat/>
    <w:uiPriority w:val="0"/>
    <w:pPr>
      <w:spacing w:line="360" w:lineRule="auto"/>
    </w:pPr>
    <w:rPr>
      <w:szCs w:val="20"/>
    </w:rPr>
  </w:style>
  <w:style w:type="paragraph" w:customStyle="1" w:styleId="57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6">
    <w:name w:val="p0"/>
    <w:basedOn w:val="1"/>
    <w:qFormat/>
    <w:uiPriority w:val="0"/>
    <w:pPr>
      <w:widowControl/>
      <w:adjustRightInd/>
    </w:pPr>
    <w:rPr>
      <w:kern w:val="0"/>
      <w:szCs w:val="21"/>
    </w:rPr>
  </w:style>
  <w:style w:type="character" w:customStyle="1" w:styleId="577">
    <w:name w:val="HTML 预设格式 Char"/>
    <w:basedOn w:val="64"/>
    <w:semiHidden/>
    <w:qFormat/>
    <w:uiPriority w:val="99"/>
    <w:rPr>
      <w:rFonts w:ascii="Courier New" w:hAnsi="Courier New" w:eastAsia="宋体" w:cs="Courier New"/>
      <w:sz w:val="20"/>
      <w:szCs w:val="20"/>
    </w:rPr>
  </w:style>
  <w:style w:type="paragraph" w:customStyle="1" w:styleId="57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0">
    <w:name w:val="CM14"/>
    <w:basedOn w:val="84"/>
    <w:next w:val="84"/>
    <w:qFormat/>
    <w:uiPriority w:val="0"/>
    <w:pPr>
      <w:spacing w:after="68"/>
    </w:pPr>
    <w:rPr>
      <w:rFonts w:ascii="FHLHE E+ Futura Bk" w:eastAsia="FHLHE E+ Futura Bk" w:cs="Times New Roman"/>
      <w:color w:val="auto"/>
    </w:rPr>
  </w:style>
  <w:style w:type="paragraph" w:customStyle="1" w:styleId="58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5">
    <w:name w:val="正文文本 2 Char1"/>
    <w:basedOn w:val="64"/>
    <w:semiHidden/>
    <w:qFormat/>
    <w:uiPriority w:val="99"/>
    <w:rPr>
      <w:rFonts w:ascii="Times New Roman" w:hAnsi="Times New Roman" w:eastAsia="宋体" w:cs="Times New Roman"/>
      <w:szCs w:val="24"/>
    </w:rPr>
  </w:style>
  <w:style w:type="paragraph" w:customStyle="1" w:styleId="586">
    <w:name w:val="标准小四"/>
    <w:basedOn w:val="1"/>
    <w:qFormat/>
    <w:uiPriority w:val="0"/>
    <w:pPr>
      <w:spacing w:line="360" w:lineRule="auto"/>
      <w:ind w:firstLine="480" w:firstLineChars="200"/>
    </w:pPr>
    <w:rPr>
      <w:rFonts w:ascii="Arial" w:hAnsi="Arial"/>
      <w:sz w:val="24"/>
      <w:szCs w:val="21"/>
    </w:rPr>
  </w:style>
  <w:style w:type="paragraph" w:customStyle="1" w:styleId="5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8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6">
    <w:name w:val="副标题 Char"/>
    <w:basedOn w:val="64"/>
    <w:qFormat/>
    <w:uiPriority w:val="11"/>
    <w:rPr>
      <w:rFonts w:eastAsia="宋体" w:asciiTheme="majorHAnsi" w:hAnsiTheme="majorHAnsi" w:cstheme="majorBidi"/>
      <w:b/>
      <w:bCs/>
      <w:kern w:val="28"/>
      <w:sz w:val="32"/>
      <w:szCs w:val="32"/>
    </w:rPr>
  </w:style>
  <w:style w:type="paragraph" w:customStyle="1" w:styleId="597">
    <w:name w:val="Char Char Char Char Char Char Char2"/>
    <w:basedOn w:val="1"/>
    <w:qFormat/>
    <w:uiPriority w:val="0"/>
    <w:rPr>
      <w:rFonts w:ascii="仿宋_GB2312" w:eastAsia="仿宋_GB2312"/>
      <w:b/>
      <w:sz w:val="32"/>
      <w:szCs w:val="32"/>
    </w:rPr>
  </w:style>
  <w:style w:type="paragraph" w:customStyle="1" w:styleId="59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99">
    <w:name w:val="Char Char Char Char Char Char Char Char Char Char Char1 Char"/>
    <w:basedOn w:val="1"/>
    <w:qFormat/>
    <w:uiPriority w:val="0"/>
    <w:pPr>
      <w:adjustRightInd/>
    </w:pPr>
    <w:rPr>
      <w:rFonts w:ascii="Tahoma" w:hAnsi="Tahoma"/>
      <w:sz w:val="24"/>
    </w:rPr>
  </w:style>
  <w:style w:type="paragraph" w:customStyle="1" w:styleId="60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1">
    <w:name w:val="P1"/>
    <w:basedOn w:val="1"/>
    <w:qFormat/>
    <w:uiPriority w:val="0"/>
    <w:pPr>
      <w:adjustRightInd/>
      <w:spacing w:line="288" w:lineRule="auto"/>
      <w:ind w:firstLine="425" w:firstLineChars="200"/>
    </w:pPr>
  </w:style>
  <w:style w:type="paragraph" w:customStyle="1" w:styleId="6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4">
    <w:name w:val="Char Char Char Char"/>
    <w:basedOn w:val="1"/>
    <w:qFormat/>
    <w:uiPriority w:val="0"/>
    <w:rPr>
      <w:rFonts w:ascii="Tahoma" w:hAnsi="Tahoma"/>
      <w:sz w:val="24"/>
      <w:szCs w:val="20"/>
    </w:rPr>
  </w:style>
  <w:style w:type="paragraph" w:customStyle="1" w:styleId="60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6">
    <w:name w:val="尾注文本 Char"/>
    <w:basedOn w:val="64"/>
    <w:semiHidden/>
    <w:qFormat/>
    <w:uiPriority w:val="99"/>
    <w:rPr>
      <w:rFonts w:ascii="Times New Roman" w:hAnsi="Times New Roman" w:eastAsia="宋体" w:cs="Times New Roman"/>
      <w:szCs w:val="24"/>
    </w:rPr>
  </w:style>
  <w:style w:type="paragraph" w:customStyle="1" w:styleId="60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09">
    <w:name w:val="表格内文"/>
    <w:basedOn w:val="1"/>
    <w:qFormat/>
    <w:uiPriority w:val="0"/>
    <w:pPr>
      <w:adjustRightInd/>
      <w:spacing w:line="360" w:lineRule="auto"/>
    </w:pPr>
    <w:rPr>
      <w:rFonts w:ascii="宋体" w:hAnsi="宋体" w:cs="宋体"/>
      <w:color w:val="000000"/>
      <w:szCs w:val="20"/>
    </w:rPr>
  </w:style>
  <w:style w:type="paragraph" w:customStyle="1" w:styleId="6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1">
    <w:name w:val="数字标题2"/>
    <w:basedOn w:val="5"/>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3">
    <w:name w:val="样式 标题 22h2L1 Heading 2H2sect 1.2H21sect 1.21H22sect 1.2..."/>
    <w:basedOn w:val="5"/>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5">
    <w:name w:val="正文（首行缩进2字符）"/>
    <w:basedOn w:val="1"/>
    <w:qFormat/>
    <w:uiPriority w:val="0"/>
    <w:pPr>
      <w:adjustRightInd/>
      <w:spacing w:line="360" w:lineRule="auto"/>
      <w:ind w:firstLine="480" w:firstLineChars="200"/>
    </w:pPr>
    <w:rPr>
      <w:sz w:val="24"/>
      <w:szCs w:val="20"/>
    </w:rPr>
  </w:style>
  <w:style w:type="paragraph" w:customStyle="1" w:styleId="616">
    <w:name w:val="文档正文"/>
    <w:basedOn w:val="1"/>
    <w:qFormat/>
    <w:uiPriority w:val="0"/>
    <w:pPr>
      <w:spacing w:line="480" w:lineRule="atLeast"/>
      <w:ind w:firstLine="567"/>
      <w:textAlignment w:val="baseline"/>
    </w:pPr>
    <w:rPr>
      <w:kern w:val="0"/>
      <w:sz w:val="24"/>
      <w:szCs w:val="20"/>
    </w:rPr>
  </w:style>
  <w:style w:type="paragraph" w:customStyle="1" w:styleId="617">
    <w:name w:val="Char Char111"/>
    <w:basedOn w:val="1"/>
    <w:qFormat/>
    <w:uiPriority w:val="0"/>
    <w:pPr>
      <w:spacing w:line="360" w:lineRule="auto"/>
    </w:pPr>
    <w:rPr>
      <w:szCs w:val="20"/>
    </w:rPr>
  </w:style>
  <w:style w:type="paragraph" w:customStyle="1" w:styleId="618">
    <w:name w:val="四号　首行缩进"/>
    <w:basedOn w:val="1"/>
    <w:qFormat/>
    <w:uiPriority w:val="0"/>
    <w:pPr>
      <w:adjustRightInd/>
      <w:spacing w:line="360" w:lineRule="auto"/>
    </w:pPr>
    <w:rPr>
      <w:rFonts w:ascii="宋体" w:hAnsi="宋体"/>
      <w:szCs w:val="20"/>
    </w:rPr>
  </w:style>
  <w:style w:type="paragraph" w:customStyle="1" w:styleId="61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1">
    <w:name w:val="批注主题 Char1"/>
    <w:basedOn w:val="97"/>
    <w:semiHidden/>
    <w:qFormat/>
    <w:uiPriority w:val="99"/>
    <w:rPr>
      <w:rFonts w:ascii="Times New Roman" w:hAnsi="Times New Roman" w:eastAsia="宋体" w:cs="Times New Roman"/>
      <w:b/>
      <w:bCs/>
      <w:szCs w:val="24"/>
    </w:rPr>
  </w:style>
  <w:style w:type="paragraph" w:customStyle="1" w:styleId="622">
    <w:name w:val="Char1 Char Char Char4"/>
    <w:basedOn w:val="1"/>
    <w:qFormat/>
    <w:uiPriority w:val="0"/>
    <w:pPr>
      <w:adjustRightInd/>
      <w:ind w:firstLine="200" w:firstLineChars="200"/>
    </w:pPr>
    <w:rPr>
      <w:rFonts w:ascii="Tahoma" w:hAnsi="Tahoma"/>
      <w:sz w:val="24"/>
      <w:szCs w:val="20"/>
    </w:rPr>
  </w:style>
  <w:style w:type="paragraph" w:customStyle="1" w:styleId="6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4">
    <w:name w:val="Char Char1 Char Char Char Char Char Char1"/>
    <w:basedOn w:val="1"/>
    <w:qFormat/>
    <w:uiPriority w:val="0"/>
    <w:rPr>
      <w:rFonts w:ascii="仿宋_GB2312" w:eastAsia="仿宋_GB2312"/>
      <w:b/>
      <w:sz w:val="32"/>
      <w:szCs w:val="20"/>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7">
    <w:name w:val="正文文本缩进 3 Char"/>
    <w:basedOn w:val="64"/>
    <w:semiHidden/>
    <w:qFormat/>
    <w:uiPriority w:val="99"/>
    <w:rPr>
      <w:rFonts w:ascii="Times New Roman" w:hAnsi="Times New Roman" w:eastAsia="宋体" w:cs="Times New Roman"/>
      <w:sz w:val="16"/>
      <w:szCs w:val="16"/>
    </w:rPr>
  </w:style>
  <w:style w:type="paragraph" w:customStyle="1" w:styleId="628">
    <w:name w:val="Char2 Char Char Char1"/>
    <w:basedOn w:val="1"/>
    <w:qFormat/>
    <w:uiPriority w:val="6"/>
    <w:rPr>
      <w:rFonts w:ascii="仿宋_GB2312" w:eastAsia="仿宋_GB2312"/>
      <w:b/>
      <w:sz w:val="32"/>
      <w:szCs w:val="32"/>
    </w:rPr>
  </w:style>
  <w:style w:type="paragraph" w:customStyle="1" w:styleId="629">
    <w:name w:val="正文文字缩进2字"/>
    <w:basedOn w:val="24"/>
    <w:qFormat/>
    <w:uiPriority w:val="0"/>
    <w:pPr>
      <w:adjustRightInd/>
      <w:spacing w:before="60" w:after="60" w:line="360" w:lineRule="auto"/>
      <w:ind w:firstLine="200" w:firstLineChars="200"/>
    </w:pPr>
    <w:rPr>
      <w:rFonts w:hAnsi="Arial" w:cs="Arial"/>
      <w:snapToGrid w:val="0"/>
      <w:sz w:val="24"/>
      <w:szCs w:val="20"/>
    </w:rPr>
  </w:style>
  <w:style w:type="paragraph" w:customStyle="1" w:styleId="630">
    <w:name w:val="样式 标题 1章节第一层h1H"/>
    <w:basedOn w:val="4"/>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5">
    <w:name w:val="!大节"/>
    <w:basedOn w:val="5"/>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6">
    <w:name w:val="称呼 Char"/>
    <w:basedOn w:val="64"/>
    <w:semiHidden/>
    <w:qFormat/>
    <w:uiPriority w:val="99"/>
    <w:rPr>
      <w:rFonts w:ascii="Times New Roman" w:hAnsi="Times New Roman" w:eastAsia="宋体" w:cs="Times New Roman"/>
      <w:szCs w:val="24"/>
    </w:rPr>
  </w:style>
  <w:style w:type="paragraph" w:customStyle="1" w:styleId="637">
    <w:name w:val="Char1 Char Char Char21"/>
    <w:basedOn w:val="1"/>
    <w:qFormat/>
    <w:uiPriority w:val="0"/>
    <w:rPr>
      <w:rFonts w:ascii="Tahoma" w:hAnsi="Tahoma"/>
      <w:sz w:val="24"/>
      <w:szCs w:val="20"/>
    </w:rPr>
  </w:style>
  <w:style w:type="paragraph" w:customStyle="1" w:styleId="63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39">
    <w:name w:val="文档结构图 Char1"/>
    <w:basedOn w:val="64"/>
    <w:semiHidden/>
    <w:qFormat/>
    <w:uiPriority w:val="99"/>
    <w:rPr>
      <w:rFonts w:ascii="宋体" w:hAnsi="Times New Roman" w:eastAsia="宋体" w:cs="Times New Roman"/>
      <w:sz w:val="18"/>
      <w:szCs w:val="18"/>
    </w:rPr>
  </w:style>
  <w:style w:type="paragraph" w:customStyle="1" w:styleId="64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表格"/>
    <w:basedOn w:val="1"/>
    <w:qFormat/>
    <w:uiPriority w:val="0"/>
    <w:pPr>
      <w:snapToGrid w:val="0"/>
      <w:ind w:firstLine="42" w:firstLineChars="21"/>
    </w:pPr>
    <w:rPr>
      <w:rFonts w:ascii="宋体" w:hAnsi="宋体"/>
      <w:kern w:val="0"/>
      <w:sz w:val="20"/>
      <w:szCs w:val="20"/>
    </w:rPr>
  </w:style>
  <w:style w:type="paragraph" w:customStyle="1" w:styleId="64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中文标题 3"/>
    <w:basedOn w:val="3"/>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0">
    <w:name w:val="三级条标题"/>
    <w:basedOn w:val="651"/>
    <w:next w:val="552"/>
    <w:qFormat/>
    <w:uiPriority w:val="0"/>
    <w:pPr>
      <w:tabs>
        <w:tab w:val="left" w:pos="1260"/>
        <w:tab w:val="left" w:pos="2100"/>
        <w:tab w:val="left" w:pos="2520"/>
      </w:tabs>
      <w:ind w:left="2520"/>
      <w:outlineLvl w:val="4"/>
    </w:pPr>
  </w:style>
  <w:style w:type="paragraph" w:customStyle="1" w:styleId="651">
    <w:name w:val="二级条标题"/>
    <w:basedOn w:val="550"/>
    <w:next w:val="552"/>
    <w:qFormat/>
    <w:uiPriority w:val="0"/>
    <w:pPr>
      <w:tabs>
        <w:tab w:val="left" w:pos="2100"/>
        <w:tab w:val="clear" w:pos="1680"/>
      </w:tabs>
      <w:ind w:left="0"/>
      <w:outlineLvl w:val="3"/>
    </w:pPr>
  </w:style>
  <w:style w:type="paragraph" w:customStyle="1" w:styleId="652">
    <w:name w:val="正文文字表格居中"/>
    <w:basedOn w:val="1"/>
    <w:next w:val="52"/>
    <w:qFormat/>
    <w:uiPriority w:val="0"/>
    <w:pPr>
      <w:snapToGrid w:val="0"/>
      <w:spacing w:line="360" w:lineRule="auto"/>
    </w:pPr>
    <w:rPr>
      <w:rFonts w:ascii="宋体"/>
      <w:b/>
      <w:sz w:val="24"/>
      <w:szCs w:val="20"/>
    </w:rPr>
  </w:style>
  <w:style w:type="paragraph" w:customStyle="1" w:styleId="65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6">
    <w:name w:val="Char Char1101"/>
    <w:basedOn w:val="1"/>
    <w:qFormat/>
    <w:uiPriority w:val="0"/>
    <w:pPr>
      <w:spacing w:line="360" w:lineRule="auto"/>
    </w:pPr>
    <w:rPr>
      <w:rFonts w:ascii="Tahoma" w:hAnsi="Tahoma"/>
      <w:sz w:val="24"/>
      <w:szCs w:val="20"/>
    </w:rPr>
  </w:style>
  <w:style w:type="paragraph" w:customStyle="1" w:styleId="657">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1">
    <w:name w:val="样式 标题 1Level 1 HeadPIM 1Section Headh1l11Heading 0Datash..."/>
    <w:basedOn w:val="4"/>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2">
    <w:name w:val="TOC 标题111"/>
    <w:basedOn w:val="4"/>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4">
    <w:name w:val="Char3 Char Char Char1"/>
    <w:basedOn w:val="1"/>
    <w:qFormat/>
    <w:uiPriority w:val="6"/>
    <w:pPr>
      <w:widowControl/>
      <w:adjustRightInd/>
      <w:spacing w:after="160" w:line="240" w:lineRule="exact"/>
      <w:jc w:val="left"/>
    </w:pPr>
    <w:rPr>
      <w:szCs w:val="20"/>
    </w:rPr>
  </w:style>
  <w:style w:type="paragraph" w:customStyle="1" w:styleId="665">
    <w:name w:val="EB_表格"/>
    <w:basedOn w:val="1"/>
    <w:qFormat/>
    <w:uiPriority w:val="0"/>
    <w:pPr>
      <w:adjustRightInd/>
      <w:spacing w:line="300" w:lineRule="auto"/>
      <w:jc w:val="center"/>
    </w:pPr>
  </w:style>
  <w:style w:type="paragraph" w:customStyle="1" w:styleId="666">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7">
    <w:name w:val="样式 标题 1 + 黑色 段前: 0.5 行 段后: 0.5 行1"/>
    <w:basedOn w:val="4"/>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8">
    <w:name w:val="正文首行缩进1"/>
    <w:basedOn w:val="24"/>
    <w:qFormat/>
    <w:uiPriority w:val="0"/>
    <w:pPr>
      <w:suppressAutoHyphens/>
      <w:adjustRightInd/>
      <w:ind w:firstLine="420"/>
      <w:jc w:val="left"/>
    </w:pPr>
    <w:rPr>
      <w:rFonts w:hAnsi="Arial" w:cs="Arial"/>
      <w:snapToGrid w:val="0"/>
      <w:kern w:val="1"/>
      <w:sz w:val="28"/>
      <w:lang w:eastAsia="ar-SA"/>
    </w:rPr>
  </w:style>
  <w:style w:type="paragraph" w:customStyle="1" w:styleId="66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2">
    <w:name w:val="Char Char1121"/>
    <w:basedOn w:val="1"/>
    <w:qFormat/>
    <w:uiPriority w:val="0"/>
    <w:pPr>
      <w:spacing w:line="360" w:lineRule="auto"/>
    </w:pPr>
    <w:rPr>
      <w:szCs w:val="20"/>
    </w:rPr>
  </w:style>
  <w:style w:type="paragraph" w:customStyle="1" w:styleId="67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4">
    <w:name w:val="正文1"/>
    <w:basedOn w:val="32"/>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5">
    <w:name w:val="_Style 12"/>
    <w:basedOn w:val="19"/>
    <w:qFormat/>
    <w:uiPriority w:val="0"/>
    <w:pPr>
      <w:snapToGrid w:val="0"/>
      <w:spacing w:line="360" w:lineRule="auto"/>
    </w:pPr>
  </w:style>
  <w:style w:type="paragraph" w:customStyle="1" w:styleId="676">
    <w:name w:val="模板普通正文"/>
    <w:basedOn w:val="3"/>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7">
    <w:name w:val="Char1 Char Char Char2"/>
    <w:basedOn w:val="1"/>
    <w:qFormat/>
    <w:uiPriority w:val="0"/>
    <w:pPr>
      <w:adjustRightInd/>
      <w:ind w:firstLine="200" w:firstLineChars="200"/>
    </w:pPr>
    <w:rPr>
      <w:rFonts w:ascii="Tahoma" w:hAnsi="Tahoma"/>
      <w:sz w:val="24"/>
      <w:szCs w:val="20"/>
    </w:rPr>
  </w:style>
  <w:style w:type="paragraph" w:customStyle="1" w:styleId="67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7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 Char Char11"/>
    <w:basedOn w:val="1"/>
    <w:qFormat/>
    <w:uiPriority w:val="0"/>
    <w:rPr>
      <w:rFonts w:ascii="Tahoma" w:hAnsi="Tahoma"/>
      <w:sz w:val="24"/>
      <w:szCs w:val="20"/>
    </w:rPr>
  </w:style>
  <w:style w:type="paragraph" w:customStyle="1" w:styleId="684">
    <w:name w:val="有符号正文"/>
    <w:basedOn w:val="1"/>
    <w:qFormat/>
    <w:uiPriority w:val="0"/>
    <w:pPr>
      <w:adjustRightInd/>
      <w:spacing w:line="400" w:lineRule="exact"/>
      <w:ind w:firstLine="200" w:firstLineChars="200"/>
    </w:pPr>
    <w:rPr>
      <w:rFonts w:ascii="Arial" w:hAnsi="Arial"/>
    </w:rPr>
  </w:style>
  <w:style w:type="paragraph" w:customStyle="1" w:styleId="685">
    <w:name w:val="样式 标题 2 + 四号"/>
    <w:basedOn w:val="5"/>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样式 标题 4PIM 4H4h4bulletblbbH41H42H43H44H45H46H47H48...1"/>
    <w:basedOn w:val="7"/>
    <w:qFormat/>
    <w:uiPriority w:val="0"/>
    <w:pPr>
      <w:widowControl/>
      <w:jc w:val="left"/>
    </w:pPr>
    <w:rPr>
      <w:rFonts w:cs="宋体"/>
      <w:sz w:val="24"/>
      <w:szCs w:val="20"/>
    </w:rPr>
  </w:style>
  <w:style w:type="paragraph" w:customStyle="1" w:styleId="688">
    <w:name w:val="样式 正文文本缩进 + 左侧:  2 字符 首行缩进:  2 字符"/>
    <w:basedOn w:val="3"/>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89">
    <w:name w:val="_Style 3"/>
    <w:basedOn w:val="1"/>
    <w:qFormat/>
    <w:uiPriority w:val="0"/>
    <w:pPr>
      <w:adjustRightInd/>
      <w:ind w:firstLine="420" w:firstLineChars="200"/>
    </w:pPr>
    <w:rPr>
      <w:rFonts w:eastAsia="仿宋_GB2312"/>
      <w:sz w:val="28"/>
    </w:rPr>
  </w:style>
  <w:style w:type="paragraph" w:customStyle="1" w:styleId="690">
    <w:name w:val="Char Char Char Char Char Char Char Char Char Char Char Char1 Char1"/>
    <w:basedOn w:val="1"/>
    <w:qFormat/>
    <w:uiPriority w:val="6"/>
    <w:rPr>
      <w:rFonts w:ascii="Tahoma" w:hAnsi="Tahoma" w:cs="仿宋_GB2312"/>
      <w:sz w:val="24"/>
      <w:szCs w:val="20"/>
    </w:rPr>
  </w:style>
  <w:style w:type="paragraph" w:customStyle="1" w:styleId="69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2">
    <w:name w:val="Char Char Char"/>
    <w:basedOn w:val="1"/>
    <w:qFormat/>
    <w:uiPriority w:val="0"/>
    <w:rPr>
      <w:rFonts w:ascii="Tahoma" w:hAnsi="Tahoma"/>
      <w:sz w:val="24"/>
      <w:szCs w:val="20"/>
    </w:rPr>
  </w:style>
  <w:style w:type="paragraph" w:customStyle="1" w:styleId="693">
    <w:name w:val="标题4_自定义"/>
    <w:basedOn w:val="7"/>
    <w:qFormat/>
    <w:uiPriority w:val="0"/>
    <w:pPr>
      <w:adjustRightInd/>
      <w:spacing w:before="0" w:after="0" w:line="360" w:lineRule="auto"/>
    </w:pPr>
    <w:rPr>
      <w:rFonts w:ascii="Verdana" w:eastAsia="Verdana"/>
      <w:sz w:val="21"/>
      <w:lang w:val="en-US"/>
    </w:rPr>
  </w:style>
  <w:style w:type="paragraph" w:customStyle="1" w:styleId="69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6">
    <w:name w:val="Char Char Char Char Char Char Char Char"/>
    <w:basedOn w:val="1"/>
    <w:qFormat/>
    <w:uiPriority w:val="0"/>
    <w:pPr>
      <w:tabs>
        <w:tab w:val="left" w:pos="360"/>
      </w:tabs>
    </w:pPr>
    <w:rPr>
      <w:sz w:val="24"/>
      <w:szCs w:val="20"/>
    </w:rPr>
  </w:style>
  <w:style w:type="paragraph" w:customStyle="1" w:styleId="697">
    <w:name w:val="Char Char11 Char Char Char Char Char Char Char Char Char"/>
    <w:basedOn w:val="1"/>
    <w:qFormat/>
    <w:uiPriority w:val="0"/>
    <w:pPr>
      <w:spacing w:line="360" w:lineRule="auto"/>
    </w:pPr>
    <w:rPr>
      <w:szCs w:val="20"/>
    </w:rPr>
  </w:style>
  <w:style w:type="paragraph" w:customStyle="1" w:styleId="69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9">
    <w:name w:val="左对齐表格文字"/>
    <w:basedOn w:val="1"/>
    <w:qFormat/>
    <w:uiPriority w:val="0"/>
    <w:pPr>
      <w:adjustRightInd/>
      <w:ind w:firstLine="200" w:firstLineChars="200"/>
      <w:jc w:val="right"/>
    </w:pPr>
  </w:style>
  <w:style w:type="paragraph" w:customStyle="1" w:styleId="700">
    <w:name w:val="MM Topic 2"/>
    <w:basedOn w:val="5"/>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3">
    <w:name w:val="五级无标题条"/>
    <w:basedOn w:val="1"/>
    <w:qFormat/>
    <w:uiPriority w:val="0"/>
    <w:pPr>
      <w:adjustRightInd/>
    </w:pPr>
  </w:style>
  <w:style w:type="paragraph" w:customStyle="1" w:styleId="7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正文21"/>
    <w:basedOn w:val="1"/>
    <w:qFormat/>
    <w:uiPriority w:val="0"/>
    <w:pPr>
      <w:adjustRightInd/>
      <w:spacing w:before="156" w:line="360" w:lineRule="auto"/>
      <w:ind w:firstLine="510" w:firstLineChars="200"/>
    </w:pPr>
    <w:rPr>
      <w:sz w:val="24"/>
      <w:szCs w:val="20"/>
    </w:rPr>
  </w:style>
  <w:style w:type="paragraph" w:customStyle="1" w:styleId="70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0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样式 正文文本缩进 + 段前: 2 字符"/>
    <w:basedOn w:val="1"/>
    <w:qFormat/>
    <w:uiPriority w:val="0"/>
    <w:pPr>
      <w:adjustRightInd/>
      <w:ind w:left="420" w:leftChars="200"/>
      <w:jc w:val="left"/>
    </w:pPr>
    <w:rPr>
      <w:sz w:val="28"/>
      <w:szCs w:val="20"/>
      <w:lang w:eastAsia="zh-TW"/>
    </w:rPr>
  </w:style>
  <w:style w:type="paragraph" w:customStyle="1" w:styleId="716">
    <w:name w:val="_Style 11"/>
    <w:basedOn w:val="1"/>
    <w:qFormat/>
    <w:uiPriority w:val="34"/>
    <w:pPr>
      <w:adjustRightInd/>
      <w:ind w:firstLine="420" w:firstLineChars="200"/>
    </w:pPr>
    <w:rPr>
      <w:rFonts w:eastAsia="仿宋_GB2312"/>
      <w:sz w:val="28"/>
    </w:rPr>
  </w:style>
  <w:style w:type="paragraph" w:customStyle="1" w:styleId="71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8">
    <w:name w:val="彩色列表 - 强调文字颜色 12"/>
    <w:basedOn w:val="1"/>
    <w:qFormat/>
    <w:uiPriority w:val="0"/>
    <w:pPr>
      <w:adjustRightInd/>
      <w:ind w:firstLine="420" w:firstLineChars="200"/>
    </w:pPr>
    <w:rPr>
      <w:rFonts w:ascii="Calibri" w:hAnsi="Calibri"/>
      <w:szCs w:val="22"/>
    </w:rPr>
  </w:style>
  <w:style w:type="paragraph" w:customStyle="1" w:styleId="719">
    <w:name w:val="Char1 Char Char Char5"/>
    <w:basedOn w:val="1"/>
    <w:qFormat/>
    <w:uiPriority w:val="0"/>
    <w:pPr>
      <w:adjustRightInd/>
      <w:ind w:firstLine="200" w:firstLineChars="200"/>
    </w:pPr>
    <w:rPr>
      <w:rFonts w:ascii="Tahoma" w:hAnsi="Tahoma"/>
      <w:sz w:val="24"/>
      <w:szCs w:val="20"/>
    </w:rPr>
  </w:style>
  <w:style w:type="paragraph" w:customStyle="1" w:styleId="72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4">
    <w:name w:val="Char Char11 Char Char Char"/>
    <w:basedOn w:val="1"/>
    <w:qFormat/>
    <w:uiPriority w:val="0"/>
    <w:pPr>
      <w:spacing w:line="360" w:lineRule="auto"/>
    </w:pPr>
    <w:rPr>
      <w:szCs w:val="20"/>
    </w:rPr>
  </w:style>
  <w:style w:type="paragraph" w:customStyle="1" w:styleId="7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6">
    <w:name w:val="修订2"/>
    <w:qFormat/>
    <w:uiPriority w:val="0"/>
    <w:rPr>
      <w:rFonts w:ascii="Times New Roman" w:hAnsi="Times New Roman" w:eastAsia="宋体" w:cs="Times New Roman"/>
      <w:kern w:val="2"/>
      <w:sz w:val="21"/>
      <w:lang w:val="en-US" w:eastAsia="zh-CN" w:bidi="ar-SA"/>
    </w:rPr>
  </w:style>
  <w:style w:type="paragraph" w:customStyle="1" w:styleId="727">
    <w:name w:val="Char2 Char Char"/>
    <w:basedOn w:val="1"/>
    <w:qFormat/>
    <w:uiPriority w:val="0"/>
    <w:pPr>
      <w:adjustRightInd/>
    </w:pPr>
    <w:rPr>
      <w:rFonts w:ascii="Tahoma" w:hAnsi="Tahoma"/>
      <w:sz w:val="24"/>
      <w:szCs w:val="20"/>
    </w:rPr>
  </w:style>
  <w:style w:type="paragraph" w:customStyle="1" w:styleId="72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0">
    <w:name w:val="文章标题"/>
    <w:next w:val="73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1">
    <w:name w:val="封面公司名"/>
    <w:qFormat/>
    <w:uiPriority w:val="0"/>
    <w:pPr>
      <w:jc w:val="center"/>
    </w:pPr>
    <w:rPr>
      <w:rFonts w:ascii="Arial" w:hAnsi="Arial" w:eastAsia="楷体_GB2312" w:cs="宋体"/>
      <w:bCs/>
      <w:kern w:val="2"/>
      <w:sz w:val="28"/>
      <w:lang w:val="en-US" w:eastAsia="zh-CN" w:bidi="ar-SA"/>
    </w:rPr>
  </w:style>
  <w:style w:type="paragraph" w:customStyle="1" w:styleId="73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4">
    <w:name w:val="样式3"/>
    <w:basedOn w:val="491"/>
    <w:qFormat/>
    <w:uiPriority w:val="0"/>
    <w:pPr>
      <w:spacing w:beforeLines="100"/>
      <w:jc w:val="left"/>
    </w:pPr>
  </w:style>
  <w:style w:type="paragraph" w:customStyle="1" w:styleId="73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6">
    <w:name w:val="Char Char1 Char Char1 Char Char1"/>
    <w:basedOn w:val="1"/>
    <w:qFormat/>
    <w:uiPriority w:val="0"/>
    <w:pPr>
      <w:tabs>
        <w:tab w:val="left" w:pos="840"/>
      </w:tabs>
      <w:ind w:left="840" w:hanging="420"/>
    </w:pPr>
    <w:rPr>
      <w:rFonts w:ascii="Tahoma" w:hAnsi="Tahoma"/>
      <w:sz w:val="24"/>
    </w:rPr>
  </w:style>
  <w:style w:type="paragraph" w:customStyle="1" w:styleId="737">
    <w:name w:val="Char1"/>
    <w:basedOn w:val="1"/>
    <w:qFormat/>
    <w:uiPriority w:val="0"/>
    <w:rPr>
      <w:rFonts w:ascii="仿宋_GB2312" w:eastAsia="仿宋_GB2312"/>
      <w:b/>
      <w:sz w:val="32"/>
      <w:szCs w:val="32"/>
    </w:rPr>
  </w:style>
  <w:style w:type="paragraph" w:customStyle="1" w:styleId="738">
    <w:name w:val="标书标题2"/>
    <w:basedOn w:val="5"/>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3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0">
    <w:name w:val="Test2"/>
    <w:basedOn w:val="5"/>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744">
    <w:name w:val="数字标题3"/>
    <w:basedOn w:val="6"/>
    <w:next w:val="1"/>
    <w:qFormat/>
    <w:uiPriority w:val="0"/>
    <w:pPr>
      <w:tabs>
        <w:tab w:val="left" w:pos="900"/>
      </w:tabs>
      <w:spacing w:line="240" w:lineRule="auto"/>
      <w:ind w:left="900" w:hanging="720"/>
    </w:pPr>
    <w:rPr>
      <w:sz w:val="28"/>
      <w:szCs w:val="28"/>
    </w:rPr>
  </w:style>
  <w:style w:type="paragraph" w:customStyle="1" w:styleId="745">
    <w:name w:val="Char5"/>
    <w:basedOn w:val="1"/>
    <w:qFormat/>
    <w:uiPriority w:val="0"/>
    <w:rPr>
      <w:rFonts w:ascii="仿宋_GB2312" w:eastAsia="仿宋_GB2312"/>
      <w:b/>
      <w:sz w:val="32"/>
      <w:szCs w:val="32"/>
    </w:rPr>
  </w:style>
  <w:style w:type="paragraph" w:customStyle="1" w:styleId="746">
    <w:name w:val="Char2"/>
    <w:basedOn w:val="1"/>
    <w:qFormat/>
    <w:uiPriority w:val="0"/>
    <w:rPr>
      <w:rFonts w:ascii="仿宋_GB2312" w:eastAsia="仿宋_GB2312"/>
      <w:b/>
      <w:sz w:val="32"/>
      <w:szCs w:val="32"/>
    </w:rPr>
  </w:style>
  <w:style w:type="paragraph" w:customStyle="1" w:styleId="747">
    <w:name w:val="TOC 标题1"/>
    <w:basedOn w:val="4"/>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8">
    <w:name w:val="Char Char Char1 Char1"/>
    <w:basedOn w:val="1"/>
    <w:qFormat/>
    <w:uiPriority w:val="6"/>
    <w:rPr>
      <w:szCs w:val="20"/>
    </w:rPr>
  </w:style>
  <w:style w:type="paragraph" w:customStyle="1" w:styleId="749">
    <w:name w:val="Char Char Char Char Char Char Char Char Char Char1"/>
    <w:basedOn w:val="1"/>
    <w:qFormat/>
    <w:uiPriority w:val="0"/>
    <w:rPr>
      <w:rFonts w:ascii="仿宋_GB2312" w:eastAsia="仿宋_GB2312"/>
      <w:b/>
      <w:sz w:val="32"/>
      <w:szCs w:val="32"/>
    </w:rPr>
  </w:style>
  <w:style w:type="paragraph" w:customStyle="1" w:styleId="750">
    <w:name w:val="Char2 Char Char Char"/>
    <w:basedOn w:val="1"/>
    <w:qFormat/>
    <w:uiPriority w:val="0"/>
    <w:rPr>
      <w:rFonts w:ascii="仿宋_GB2312" w:eastAsia="仿宋_GB2312"/>
      <w:b/>
      <w:sz w:val="32"/>
      <w:szCs w:val="32"/>
    </w:rPr>
  </w:style>
  <w:style w:type="paragraph" w:customStyle="1" w:styleId="751">
    <w:name w:val="正文（首行缩进）"/>
    <w:basedOn w:val="3"/>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2">
    <w:name w:val="四级条标题"/>
    <w:basedOn w:val="650"/>
    <w:next w:val="552"/>
    <w:qFormat/>
    <w:uiPriority w:val="0"/>
    <w:pPr>
      <w:tabs>
        <w:tab w:val="left" w:pos="2940"/>
        <w:tab w:val="clear" w:pos="2520"/>
      </w:tabs>
      <w:ind w:left="2940"/>
      <w:outlineLvl w:val="5"/>
    </w:p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5">
    <w:name w:val="表格（小）"/>
    <w:basedOn w:val="1"/>
    <w:qFormat/>
    <w:uiPriority w:val="0"/>
    <w:pPr>
      <w:adjustRightInd/>
      <w:snapToGrid w:val="0"/>
      <w:spacing w:line="300" w:lineRule="auto"/>
    </w:pPr>
    <w:rPr>
      <w:rFonts w:eastAsia="仿宋"/>
      <w:szCs w:val="21"/>
    </w:rPr>
  </w:style>
  <w:style w:type="paragraph" w:customStyle="1" w:styleId="756">
    <w:name w:val="表文字"/>
    <w:qFormat/>
    <w:uiPriority w:val="0"/>
    <w:rPr>
      <w:rFonts w:ascii="宋体" w:hAnsi="Times New Roman" w:eastAsia="宋体" w:cs="Times New Roman"/>
      <w:kern w:val="2"/>
      <w:lang w:val="en-US" w:eastAsia="zh-CN" w:bidi="ar-SA"/>
    </w:rPr>
  </w:style>
  <w:style w:type="paragraph" w:customStyle="1" w:styleId="75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9">
    <w:name w:val="WW-正文文字缩进 2"/>
    <w:basedOn w:val="1"/>
    <w:qFormat/>
    <w:uiPriority w:val="0"/>
    <w:pPr>
      <w:suppressAutoHyphens/>
      <w:adjustRightInd/>
      <w:ind w:firstLine="420"/>
    </w:pPr>
    <w:rPr>
      <w:kern w:val="1"/>
      <w:szCs w:val="20"/>
    </w:rPr>
  </w:style>
  <w:style w:type="paragraph" w:customStyle="1" w:styleId="7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2">
    <w:name w:val="正文文字 2"/>
    <w:basedOn w:val="84"/>
    <w:next w:val="84"/>
    <w:qFormat/>
    <w:uiPriority w:val="0"/>
    <w:rPr>
      <w:rFonts w:ascii="宋体" w:cs="Times New Roman"/>
      <w:color w:val="auto"/>
    </w:rPr>
  </w:style>
  <w:style w:type="paragraph" w:customStyle="1" w:styleId="76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6">
    <w:name w:val="默认段落字体 Para Char Char Char Char Char Char Char"/>
    <w:basedOn w:val="1"/>
    <w:qFormat/>
    <w:uiPriority w:val="0"/>
    <w:rPr>
      <w:rFonts w:eastAsia="仿宋_GB2312"/>
      <w:sz w:val="28"/>
      <w:szCs w:val="20"/>
    </w:rPr>
  </w:style>
  <w:style w:type="paragraph" w:customStyle="1" w:styleId="767">
    <w:name w:val="列出段落5"/>
    <w:basedOn w:val="1"/>
    <w:qFormat/>
    <w:uiPriority w:val="0"/>
    <w:pPr>
      <w:spacing w:line="360" w:lineRule="auto"/>
      <w:ind w:firstLine="200" w:firstLineChars="200"/>
    </w:pPr>
    <w:rPr>
      <w:rFonts w:eastAsia="楷体_GB2312" w:cs="Lucida Sans"/>
      <w:sz w:val="24"/>
    </w:rPr>
  </w:style>
  <w:style w:type="paragraph" w:customStyle="1" w:styleId="76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0">
    <w:name w:val="标题2"/>
    <w:basedOn w:val="5"/>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1">
    <w:name w:val="正文文字缩进项目"/>
    <w:basedOn w:val="3"/>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5">
    <w:name w:val="标题五"/>
    <w:basedOn w:val="1"/>
    <w:qFormat/>
    <w:uiPriority w:val="0"/>
    <w:pPr>
      <w:adjustRightInd/>
      <w:spacing w:beforeLines="50" w:line="360" w:lineRule="auto"/>
    </w:pPr>
    <w:rPr>
      <w:b/>
      <w:sz w:val="24"/>
    </w:rPr>
  </w:style>
  <w:style w:type="paragraph" w:customStyle="1" w:styleId="77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79">
    <w:name w:val="默认段落字体 Para Char Char Char1 Char"/>
    <w:basedOn w:val="1"/>
    <w:qFormat/>
    <w:uiPriority w:val="0"/>
    <w:pPr>
      <w:spacing w:line="240" w:lineRule="atLeast"/>
      <w:ind w:left="420" w:firstLine="420"/>
    </w:pPr>
    <w:rPr>
      <w:sz w:val="24"/>
    </w:rPr>
  </w:style>
  <w:style w:type="paragraph" w:customStyle="1" w:styleId="780">
    <w:name w:val="样式7"/>
    <w:basedOn w:val="506"/>
    <w:next w:val="1"/>
    <w:qFormat/>
    <w:uiPriority w:val="0"/>
    <w:pPr>
      <w:spacing w:afterLines="50"/>
      <w:jc w:val="left"/>
      <w:outlineLvl w:val="3"/>
    </w:pPr>
    <w:rPr>
      <w:sz w:val="24"/>
      <w:szCs w:val="24"/>
    </w:rPr>
  </w:style>
  <w:style w:type="paragraph" w:customStyle="1" w:styleId="781">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782">
    <w:name w:val="Char Char1 Char Char Char"/>
    <w:basedOn w:val="1"/>
    <w:qFormat/>
    <w:uiPriority w:val="0"/>
    <w:rPr>
      <w:rFonts w:ascii="仿宋_GB2312" w:eastAsia="仿宋_GB2312"/>
      <w:b/>
      <w:sz w:val="32"/>
      <w:szCs w:val="20"/>
    </w:rPr>
  </w:style>
  <w:style w:type="paragraph" w:customStyle="1" w:styleId="78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4">
    <w:name w:val="封面"/>
    <w:basedOn w:val="1"/>
    <w:qFormat/>
    <w:uiPriority w:val="0"/>
    <w:pPr>
      <w:spacing w:line="360" w:lineRule="atLeast"/>
      <w:jc w:val="right"/>
      <w:textAlignment w:val="baseline"/>
    </w:pPr>
    <w:rPr>
      <w:rFonts w:ascii="Symbol" w:hAnsi="Symbol"/>
      <w:kern w:val="0"/>
      <w:szCs w:val="20"/>
    </w:rPr>
  </w:style>
  <w:style w:type="paragraph" w:customStyle="1" w:styleId="785">
    <w:name w:val="body text bold"/>
    <w:basedOn w:val="24"/>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7">
    <w:name w:val="Char2 Char Char2"/>
    <w:basedOn w:val="1"/>
    <w:qFormat/>
    <w:uiPriority w:val="0"/>
    <w:pPr>
      <w:adjustRightInd/>
    </w:pPr>
    <w:rPr>
      <w:rFonts w:ascii="Tahoma" w:hAnsi="Tahoma"/>
      <w:sz w:val="24"/>
      <w:szCs w:val="20"/>
    </w:rPr>
  </w:style>
  <w:style w:type="paragraph" w:customStyle="1" w:styleId="78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8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2">
    <w:name w:val="Char Char Char Char Char Char Char"/>
    <w:basedOn w:val="1"/>
    <w:qFormat/>
    <w:uiPriority w:val="0"/>
    <w:rPr>
      <w:rFonts w:ascii="仿宋_GB2312" w:eastAsia="仿宋_GB2312"/>
      <w:b/>
      <w:sz w:val="32"/>
      <w:szCs w:val="32"/>
    </w:rPr>
  </w:style>
  <w:style w:type="paragraph" w:customStyle="1" w:styleId="793">
    <w:name w:val="Char Char Char1 Char"/>
    <w:basedOn w:val="1"/>
    <w:qFormat/>
    <w:uiPriority w:val="0"/>
    <w:rPr>
      <w:szCs w:val="20"/>
    </w:rPr>
  </w:style>
  <w:style w:type="paragraph" w:customStyle="1" w:styleId="794">
    <w:name w:val="Bulleting First Indent 1"/>
    <w:basedOn w:val="25"/>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96">
    <w:name w:val="样式1 + (中宋体"/>
    <w:basedOn w:val="60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99">
    <w:name w:val="bullet"/>
    <w:basedOn w:val="1"/>
    <w:qFormat/>
    <w:uiPriority w:val="0"/>
    <w:pPr>
      <w:tabs>
        <w:tab w:val="left" w:pos="840"/>
      </w:tabs>
      <w:adjustRightInd/>
      <w:ind w:left="840" w:hanging="420"/>
    </w:pPr>
  </w:style>
  <w:style w:type="paragraph" w:customStyle="1" w:styleId="80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1">
    <w:name w:val="Char Char1 Char Char Char1"/>
    <w:basedOn w:val="1"/>
    <w:qFormat/>
    <w:uiPriority w:val="6"/>
    <w:rPr>
      <w:rFonts w:ascii="仿宋_GB2312" w:eastAsia="仿宋_GB2312"/>
      <w:b/>
      <w:sz w:val="32"/>
      <w:szCs w:val="20"/>
    </w:rPr>
  </w:style>
  <w:style w:type="paragraph" w:customStyle="1" w:styleId="80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3">
    <w:name w:val="_Style 6"/>
    <w:basedOn w:val="1"/>
    <w:qFormat/>
    <w:uiPriority w:val="34"/>
    <w:pPr>
      <w:adjustRightInd/>
      <w:ind w:firstLine="420" w:firstLineChars="200"/>
    </w:pPr>
    <w:rPr>
      <w:rFonts w:eastAsia="仿宋_GB2312"/>
      <w:sz w:val="28"/>
    </w:rPr>
  </w:style>
  <w:style w:type="paragraph" w:customStyle="1" w:styleId="804">
    <w:name w:val="Char111"/>
    <w:basedOn w:val="1"/>
    <w:qFormat/>
    <w:uiPriority w:val="0"/>
    <w:rPr>
      <w:rFonts w:ascii="仿宋_GB2312" w:eastAsia="仿宋_GB2312"/>
      <w:b/>
      <w:sz w:val="32"/>
      <w:szCs w:val="32"/>
    </w:rPr>
  </w:style>
  <w:style w:type="paragraph" w:customStyle="1" w:styleId="805">
    <w:name w:val="Char19"/>
    <w:basedOn w:val="1"/>
    <w:qFormat/>
    <w:uiPriority w:val="0"/>
    <w:pPr>
      <w:adjustRightInd/>
    </w:pPr>
    <w:rPr>
      <w:szCs w:val="20"/>
    </w:rPr>
  </w:style>
  <w:style w:type="paragraph" w:customStyle="1" w:styleId="8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7">
    <w:name w:val="Char3 Char Char Char"/>
    <w:basedOn w:val="1"/>
    <w:qFormat/>
    <w:uiPriority w:val="0"/>
    <w:pPr>
      <w:widowControl/>
      <w:adjustRightInd/>
      <w:spacing w:after="160" w:line="240" w:lineRule="exact"/>
      <w:jc w:val="left"/>
    </w:pPr>
    <w:rPr>
      <w:szCs w:val="20"/>
    </w:rPr>
  </w:style>
  <w:style w:type="paragraph" w:customStyle="1" w:styleId="808">
    <w:name w:val="列出段落21"/>
    <w:basedOn w:val="1"/>
    <w:qFormat/>
    <w:uiPriority w:val="0"/>
    <w:pPr>
      <w:adjustRightInd/>
      <w:ind w:firstLine="420" w:firstLineChars="200"/>
    </w:pPr>
    <w:rPr>
      <w:rFonts w:ascii="宋体" w:hAnsi="宋体"/>
      <w:sz w:val="24"/>
    </w:rPr>
  </w:style>
  <w:style w:type="paragraph" w:customStyle="1" w:styleId="809">
    <w:name w:val="带编号样式"/>
    <w:basedOn w:val="810"/>
    <w:qFormat/>
    <w:uiPriority w:val="0"/>
    <w:pPr>
      <w:tabs>
        <w:tab w:val="left" w:pos="840"/>
      </w:tabs>
      <w:snapToGrid w:val="0"/>
      <w:ind w:left="840" w:hanging="420" w:firstLineChars="0"/>
    </w:pPr>
    <w:rPr>
      <w:rFonts w:ascii="仿宋_GB2312" w:eastAsia="仿宋_GB2312"/>
      <w:color w:val="000000"/>
    </w:rPr>
  </w:style>
  <w:style w:type="paragraph" w:customStyle="1" w:styleId="810">
    <w:name w:val="文本正文 Char"/>
    <w:basedOn w:val="1"/>
    <w:qFormat/>
    <w:uiPriority w:val="0"/>
    <w:pPr>
      <w:spacing w:line="360" w:lineRule="auto"/>
      <w:ind w:firstLine="200" w:firstLineChars="200"/>
    </w:pPr>
    <w:rPr>
      <w:kern w:val="0"/>
      <w:sz w:val="24"/>
      <w:szCs w:val="20"/>
    </w:rPr>
  </w:style>
  <w:style w:type="paragraph" w:customStyle="1" w:styleId="81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2">
    <w:name w:val="Char2 Char Char Char2"/>
    <w:basedOn w:val="1"/>
    <w:qFormat/>
    <w:uiPriority w:val="0"/>
    <w:rPr>
      <w:rFonts w:ascii="仿宋_GB2312" w:eastAsia="仿宋_GB2312"/>
      <w:b/>
      <w:sz w:val="32"/>
      <w:szCs w:val="32"/>
    </w:r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5">
    <w:name w:val="批注框文本 Char Char"/>
    <w:basedOn w:val="1"/>
    <w:qFormat/>
    <w:uiPriority w:val="0"/>
    <w:pPr>
      <w:adjustRightInd/>
    </w:pPr>
    <w:rPr>
      <w:sz w:val="18"/>
      <w:szCs w:val="20"/>
    </w:rPr>
  </w:style>
  <w:style w:type="paragraph" w:customStyle="1" w:styleId="816">
    <w:name w:val="样式 标题 2 + 宋体 左侧:  1.76 厘米 首行缩进:  0 厘米"/>
    <w:basedOn w:val="5"/>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Plain Text1"/>
    <w:basedOn w:val="1"/>
    <w:qFormat/>
    <w:uiPriority w:val="7"/>
    <w:pPr>
      <w:adjustRightInd/>
    </w:pPr>
    <w:rPr>
      <w:rFonts w:ascii="宋体" w:hAnsi="Courier New"/>
    </w:rPr>
  </w:style>
  <w:style w:type="paragraph" w:customStyle="1" w:styleId="82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1">
    <w:name w:val="Char Char11 Char Char Char1"/>
    <w:basedOn w:val="1"/>
    <w:qFormat/>
    <w:uiPriority w:val="6"/>
    <w:pPr>
      <w:spacing w:line="360" w:lineRule="auto"/>
    </w:pPr>
    <w:rPr>
      <w:szCs w:val="20"/>
    </w:rPr>
  </w:style>
  <w:style w:type="paragraph" w:customStyle="1" w:styleId="82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2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6">
    <w:name w:val="单元格居中"/>
    <w:basedOn w:val="1"/>
    <w:qFormat/>
    <w:uiPriority w:val="0"/>
    <w:pPr>
      <w:adjustRightInd/>
      <w:spacing w:line="360" w:lineRule="auto"/>
      <w:jc w:val="center"/>
    </w:pPr>
    <w:rPr>
      <w:sz w:val="24"/>
    </w:rPr>
  </w:style>
  <w:style w:type="paragraph" w:customStyle="1" w:styleId="82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29">
    <w:name w:val="Char Char1 Char"/>
    <w:basedOn w:val="1"/>
    <w:qFormat/>
    <w:uiPriority w:val="0"/>
    <w:rPr>
      <w:rFonts w:ascii="仿宋_GB2312" w:eastAsia="仿宋_GB2312"/>
      <w:b/>
      <w:sz w:val="32"/>
      <w:szCs w:val="32"/>
    </w:rPr>
  </w:style>
  <w:style w:type="paragraph" w:customStyle="1" w:styleId="830">
    <w:name w:val="CSS1级正文 Char"/>
    <w:basedOn w:val="24"/>
    <w:qFormat/>
    <w:uiPriority w:val="0"/>
    <w:pPr>
      <w:snapToGrid w:val="0"/>
      <w:spacing w:after="0" w:line="360" w:lineRule="auto"/>
      <w:ind w:firstLine="480" w:firstLineChars="200"/>
    </w:pPr>
    <w:rPr>
      <w:rFonts w:hAnsi="Arial" w:cs="Arial"/>
      <w:snapToGrid w:val="0"/>
      <w:sz w:val="24"/>
    </w:rPr>
  </w:style>
  <w:style w:type="paragraph" w:customStyle="1" w:styleId="831">
    <w:name w:val="Char3 Char Char Char11"/>
    <w:basedOn w:val="1"/>
    <w:qFormat/>
    <w:uiPriority w:val="0"/>
    <w:pPr>
      <w:widowControl/>
      <w:adjustRightInd/>
      <w:spacing w:after="160" w:line="240" w:lineRule="exact"/>
      <w:jc w:val="left"/>
    </w:pPr>
    <w:rPr>
      <w:szCs w:val="20"/>
    </w:rPr>
  </w:style>
  <w:style w:type="paragraph" w:customStyle="1" w:styleId="832">
    <w:name w:val="Char3"/>
    <w:basedOn w:val="1"/>
    <w:qFormat/>
    <w:uiPriority w:val="0"/>
    <w:pPr>
      <w:adjustRightInd/>
    </w:pPr>
    <w:rPr>
      <w:rFonts w:ascii="仿宋_GB2312" w:eastAsia="仿宋_GB2312"/>
      <w:b/>
      <w:sz w:val="32"/>
      <w:szCs w:val="32"/>
    </w:rPr>
  </w:style>
  <w:style w:type="paragraph" w:customStyle="1" w:styleId="833">
    <w:name w:val="Char Char Char1 Char2"/>
    <w:basedOn w:val="1"/>
    <w:qFormat/>
    <w:uiPriority w:val="0"/>
    <w:rPr>
      <w:szCs w:val="20"/>
    </w:rPr>
  </w:style>
  <w:style w:type="paragraph" w:customStyle="1" w:styleId="83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6">
    <w:name w:val="Char6"/>
    <w:basedOn w:val="1"/>
    <w:qFormat/>
    <w:uiPriority w:val="0"/>
    <w:rPr>
      <w:rFonts w:ascii="仿宋_GB2312" w:eastAsia="仿宋_GB2312"/>
      <w:b/>
      <w:sz w:val="32"/>
      <w:szCs w:val="32"/>
    </w:rPr>
  </w:style>
  <w:style w:type="paragraph" w:customStyle="1" w:styleId="8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3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0">
    <w:name w:val="五级条标题"/>
    <w:basedOn w:val="752"/>
    <w:next w:val="552"/>
    <w:qFormat/>
    <w:uiPriority w:val="0"/>
    <w:pPr>
      <w:tabs>
        <w:tab w:val="left" w:pos="3360"/>
        <w:tab w:val="clear" w:pos="2940"/>
      </w:tabs>
      <w:ind w:left="3360"/>
      <w:outlineLvl w:val="6"/>
    </w:pPr>
  </w:style>
  <w:style w:type="paragraph" w:customStyle="1" w:styleId="841">
    <w:name w:val="_标题2"/>
    <w:basedOn w:val="505"/>
    <w:next w:val="505"/>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3">
    <w:name w:val="Char Char11 Char Char Char Char Char Char Char Char Char1"/>
    <w:basedOn w:val="1"/>
    <w:qFormat/>
    <w:uiPriority w:val="6"/>
    <w:pPr>
      <w:spacing w:line="360" w:lineRule="auto"/>
    </w:pPr>
    <w:rPr>
      <w:szCs w:val="20"/>
    </w:rPr>
  </w:style>
  <w:style w:type="paragraph" w:customStyle="1" w:styleId="844">
    <w:name w:val="a1"/>
    <w:basedOn w:val="1"/>
    <w:qFormat/>
    <w:uiPriority w:val="0"/>
    <w:pPr>
      <w:widowControl/>
      <w:spacing w:line="300" w:lineRule="atLeast"/>
      <w:jc w:val="left"/>
    </w:pPr>
    <w:rPr>
      <w:rFonts w:ascii="宋体" w:hAnsi="宋体"/>
      <w:kern w:val="0"/>
      <w:sz w:val="18"/>
      <w:szCs w:val="20"/>
    </w:rPr>
  </w:style>
  <w:style w:type="paragraph" w:customStyle="1" w:styleId="84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6">
    <w:name w:val="Char Char Char Char Char Char Char Char Char Char"/>
    <w:basedOn w:val="1"/>
    <w:qFormat/>
    <w:uiPriority w:val="0"/>
    <w:rPr>
      <w:rFonts w:ascii="仿宋_GB2312" w:eastAsia="仿宋_GB2312"/>
      <w:b/>
      <w:sz w:val="32"/>
      <w:szCs w:val="32"/>
    </w:rPr>
  </w:style>
  <w:style w:type="paragraph" w:customStyle="1" w:styleId="847">
    <w:name w:val="单元格左对齐"/>
    <w:basedOn w:val="1"/>
    <w:qFormat/>
    <w:uiPriority w:val="0"/>
    <w:pPr>
      <w:adjustRightInd/>
      <w:spacing w:line="360" w:lineRule="auto"/>
    </w:pPr>
    <w:rPr>
      <w:sz w:val="24"/>
    </w:rPr>
  </w:style>
  <w:style w:type="paragraph" w:customStyle="1" w:styleId="848">
    <w:name w:val="表格标题2"/>
    <w:basedOn w:val="609"/>
    <w:qFormat/>
    <w:uiPriority w:val="0"/>
    <w:rPr>
      <w:b/>
    </w:rPr>
  </w:style>
  <w:style w:type="paragraph" w:customStyle="1" w:styleId="849">
    <w:name w:val="修订3"/>
    <w:qFormat/>
    <w:uiPriority w:val="0"/>
    <w:rPr>
      <w:rFonts w:ascii="Times New Roman" w:hAnsi="Times New Roman" w:eastAsia="宋体" w:cs="Times New Roman"/>
      <w:kern w:val="2"/>
      <w:sz w:val="21"/>
      <w:lang w:val="en-US" w:eastAsia="zh-CN" w:bidi="ar-SA"/>
    </w:rPr>
  </w:style>
  <w:style w:type="paragraph" w:customStyle="1" w:styleId="850">
    <w:name w:val="MM Topic 1"/>
    <w:basedOn w:val="4"/>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4">
    <w:name w:val="List Paragraph1"/>
    <w:basedOn w:val="1"/>
    <w:qFormat/>
    <w:uiPriority w:val="0"/>
    <w:pPr>
      <w:spacing w:line="360" w:lineRule="auto"/>
      <w:ind w:firstLine="200" w:firstLineChars="200"/>
    </w:pPr>
    <w:rPr>
      <w:rFonts w:eastAsia="楷体_GB2312" w:cs="Lucida Sans"/>
      <w:sz w:val="24"/>
    </w:rPr>
  </w:style>
  <w:style w:type="paragraph" w:customStyle="1" w:styleId="85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6">
    <w:name w:val="MM Title"/>
    <w:basedOn w:val="55"/>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7">
    <w:name w:val="Char11"/>
    <w:basedOn w:val="1"/>
    <w:qFormat/>
    <w:uiPriority w:val="0"/>
    <w:pPr>
      <w:tabs>
        <w:tab w:val="left" w:pos="432"/>
      </w:tabs>
      <w:adjustRightInd/>
      <w:spacing w:beforeLines="50" w:afterLines="50"/>
      <w:ind w:left="432" w:hanging="432" w:firstLineChars="200"/>
    </w:pPr>
    <w:rPr>
      <w:sz w:val="24"/>
    </w:rPr>
  </w:style>
  <w:style w:type="paragraph" w:customStyle="1" w:styleId="858">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0">
    <w:name w:val="MM Topic 4"/>
    <w:basedOn w:val="7"/>
    <w:qFormat/>
    <w:uiPriority w:val="0"/>
    <w:pPr>
      <w:tabs>
        <w:tab w:val="left" w:pos="2100"/>
        <w:tab w:val="clear" w:pos="864"/>
      </w:tabs>
      <w:adjustRightInd/>
      <w:ind w:left="2100" w:hanging="420"/>
    </w:pPr>
    <w:rPr>
      <w:lang w:val="en-US"/>
    </w:rPr>
  </w:style>
  <w:style w:type="paragraph" w:customStyle="1" w:styleId="86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5">
    <w:name w:val="表1"/>
    <w:basedOn w:val="1"/>
    <w:qFormat/>
    <w:uiPriority w:val="0"/>
    <w:pPr>
      <w:tabs>
        <w:tab w:val="left" w:pos="703"/>
      </w:tabs>
      <w:adjustRightInd/>
      <w:spacing w:line="360" w:lineRule="auto"/>
      <w:ind w:left="703"/>
      <w:jc w:val="center"/>
    </w:pPr>
  </w:style>
  <w:style w:type="paragraph" w:customStyle="1" w:styleId="866">
    <w:name w:val="Char Char Char Char Char Char Char Char Char Char2"/>
    <w:basedOn w:val="1"/>
    <w:qFormat/>
    <w:uiPriority w:val="0"/>
    <w:rPr>
      <w:rFonts w:ascii="仿宋_GB2312" w:eastAsia="仿宋_GB2312"/>
      <w:b/>
      <w:sz w:val="32"/>
      <w:szCs w:val="32"/>
    </w:rPr>
  </w:style>
  <w:style w:type="paragraph" w:customStyle="1" w:styleId="86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69">
    <w:name w:val="4"/>
    <w:basedOn w:val="1"/>
    <w:next w:val="36"/>
    <w:qFormat/>
    <w:uiPriority w:val="0"/>
    <w:pPr>
      <w:spacing w:after="120" w:line="480" w:lineRule="auto"/>
      <w:ind w:left="420" w:leftChars="200"/>
    </w:pPr>
    <w:rPr>
      <w:sz w:val="24"/>
      <w:szCs w:val="20"/>
    </w:rPr>
  </w:style>
  <w:style w:type="paragraph" w:customStyle="1" w:styleId="870">
    <w:name w:val="2级标题"/>
    <w:basedOn w:val="497"/>
    <w:qFormat/>
    <w:uiPriority w:val="0"/>
    <w:pPr>
      <w:jc w:val="left"/>
      <w:outlineLvl w:val="1"/>
    </w:pPr>
    <w:rPr>
      <w:rFonts w:ascii="Times New Roman" w:hAnsi="Times New Roman" w:eastAsia="仿宋"/>
      <w:sz w:val="30"/>
    </w:rPr>
  </w:style>
  <w:style w:type="paragraph" w:customStyle="1" w:styleId="8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5">
    <w:name w:val="Char23"/>
    <w:basedOn w:val="1"/>
    <w:qFormat/>
    <w:uiPriority w:val="0"/>
    <w:rPr>
      <w:rFonts w:ascii="仿宋_GB2312" w:eastAsia="仿宋_GB2312"/>
      <w:b/>
      <w:sz w:val="32"/>
      <w:szCs w:val="32"/>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首行缩进:  2 字符 Char"/>
    <w:basedOn w:val="1"/>
    <w:qFormat/>
    <w:uiPriority w:val="0"/>
    <w:pPr>
      <w:adjustRightInd/>
      <w:spacing w:line="360" w:lineRule="auto"/>
      <w:ind w:firstLine="480"/>
    </w:pPr>
    <w:rPr>
      <w:rFonts w:cs="宋体"/>
      <w:sz w:val="24"/>
      <w:szCs w:val="20"/>
    </w:rPr>
  </w:style>
  <w:style w:type="paragraph" w:customStyle="1" w:styleId="878">
    <w:name w:val="Char Char4 Char Char"/>
    <w:basedOn w:val="1"/>
    <w:qFormat/>
    <w:uiPriority w:val="0"/>
    <w:pPr>
      <w:widowControl/>
      <w:adjustRightInd/>
      <w:spacing w:after="160" w:line="240" w:lineRule="exact"/>
      <w:jc w:val="left"/>
    </w:pPr>
  </w:style>
  <w:style w:type="paragraph" w:customStyle="1" w:styleId="87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0">
    <w:name w:val="Char Char11 Char Char Char2"/>
    <w:basedOn w:val="1"/>
    <w:qFormat/>
    <w:uiPriority w:val="0"/>
    <w:pPr>
      <w:spacing w:line="360" w:lineRule="auto"/>
    </w:pPr>
    <w:rPr>
      <w:szCs w:val="20"/>
    </w:rPr>
  </w:style>
  <w:style w:type="paragraph" w:customStyle="1" w:styleId="8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7">
    <w:name w:val="Char311"/>
    <w:basedOn w:val="1"/>
    <w:qFormat/>
    <w:uiPriority w:val="0"/>
    <w:pPr>
      <w:adjustRightInd/>
      <w:ind w:firstLine="200" w:firstLineChars="200"/>
    </w:pPr>
    <w:rPr>
      <w:rFonts w:ascii="Tahoma" w:hAnsi="Tahoma"/>
      <w:sz w:val="24"/>
      <w:szCs w:val="20"/>
    </w:rPr>
  </w:style>
  <w:style w:type="paragraph" w:customStyle="1" w:styleId="88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8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0">
    <w:name w:val="正文 内标"/>
    <w:basedOn w:val="872"/>
    <w:qFormat/>
    <w:uiPriority w:val="0"/>
    <w:pPr>
      <w:tabs>
        <w:tab w:val="left" w:pos="0"/>
      </w:tabs>
      <w:ind w:left="900" w:firstLine="0" w:firstLineChars="0"/>
    </w:pPr>
  </w:style>
  <w:style w:type="paragraph" w:customStyle="1" w:styleId="891">
    <w:name w:val="Bulleted List"/>
    <w:basedOn w:val="1"/>
    <w:qFormat/>
    <w:uiPriority w:val="0"/>
    <w:pPr>
      <w:tabs>
        <w:tab w:val="left" w:pos="1260"/>
      </w:tabs>
      <w:adjustRightInd/>
      <w:ind w:left="1260" w:hanging="420"/>
    </w:pPr>
  </w:style>
  <w:style w:type="paragraph" w:customStyle="1" w:styleId="892">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3">
    <w:name w:val="样式 左侧:  0.85 厘米"/>
    <w:basedOn w:val="1"/>
    <w:qFormat/>
    <w:uiPriority w:val="2"/>
    <w:pPr>
      <w:adjustRightInd/>
      <w:spacing w:line="360" w:lineRule="auto"/>
    </w:pPr>
    <w:rPr>
      <w:rFonts w:cs="宋体"/>
      <w:sz w:val="24"/>
      <w:szCs w:val="20"/>
    </w:rPr>
  </w:style>
  <w:style w:type="paragraph" w:customStyle="1" w:styleId="894">
    <w:name w:val="Char Char Char Char Char Char Char Char Char Char Char Char1 Char"/>
    <w:basedOn w:val="1"/>
    <w:qFormat/>
    <w:uiPriority w:val="0"/>
    <w:rPr>
      <w:rFonts w:ascii="Tahoma" w:hAnsi="Tahoma" w:cs="仿宋_GB2312"/>
      <w:sz w:val="24"/>
      <w:szCs w:val="20"/>
    </w:rPr>
  </w:style>
  <w:style w:type="paragraph" w:customStyle="1" w:styleId="89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7">
    <w:name w:val="Char Char1 Char Char Char Char Char Char"/>
    <w:basedOn w:val="1"/>
    <w:qFormat/>
    <w:uiPriority w:val="0"/>
    <w:rPr>
      <w:rFonts w:ascii="仿宋_GB2312" w:eastAsia="仿宋_GB2312"/>
      <w:b/>
      <w:sz w:val="32"/>
      <w:szCs w:val="20"/>
    </w:rPr>
  </w:style>
  <w:style w:type="paragraph" w:customStyle="1" w:styleId="89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9">
    <w:name w:val="Char Char1 Char Char Char Char Char Char2"/>
    <w:basedOn w:val="1"/>
    <w:qFormat/>
    <w:uiPriority w:val="0"/>
    <w:rPr>
      <w:rFonts w:ascii="仿宋_GB2312" w:eastAsia="仿宋_GB2312"/>
      <w:b/>
      <w:sz w:val="32"/>
      <w:szCs w:val="20"/>
    </w:rPr>
  </w:style>
  <w:style w:type="paragraph" w:customStyle="1" w:styleId="90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09">
    <w:name w:val="Char31"/>
    <w:basedOn w:val="1"/>
    <w:qFormat/>
    <w:uiPriority w:val="0"/>
    <w:pPr>
      <w:adjustRightInd/>
    </w:pPr>
    <w:rPr>
      <w:rFonts w:ascii="仿宋_GB2312" w:eastAsia="仿宋_GB2312"/>
      <w:b/>
      <w:sz w:val="32"/>
      <w:szCs w:val="32"/>
    </w:rPr>
  </w:style>
  <w:style w:type="paragraph" w:customStyle="1" w:styleId="910">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3">
    <w:name w:val="Char Char1"/>
    <w:basedOn w:val="1"/>
    <w:qFormat/>
    <w:uiPriority w:val="0"/>
    <w:pPr>
      <w:widowControl/>
      <w:spacing w:after="160" w:line="240" w:lineRule="exact"/>
      <w:jc w:val="left"/>
    </w:pPr>
    <w:rPr>
      <w:rFonts w:eastAsia="仿宋_GB2312"/>
      <w:sz w:val="28"/>
    </w:rPr>
  </w:style>
  <w:style w:type="paragraph" w:customStyle="1" w:styleId="914">
    <w:name w:val="Char21"/>
    <w:basedOn w:val="1"/>
    <w:qFormat/>
    <w:uiPriority w:val="0"/>
    <w:pPr>
      <w:adjustRightInd/>
      <w:ind w:firstLine="200" w:firstLineChars="200"/>
    </w:pPr>
    <w:rPr>
      <w:rFonts w:ascii="仿宋_GB2312" w:eastAsia="仿宋_GB2312"/>
      <w:b/>
      <w:sz w:val="32"/>
      <w:szCs w:val="32"/>
    </w:rPr>
  </w:style>
  <w:style w:type="paragraph" w:customStyle="1" w:styleId="915">
    <w:name w:val="列表段落1"/>
    <w:basedOn w:val="1"/>
    <w:qFormat/>
    <w:uiPriority w:val="34"/>
    <w:pPr>
      <w:adjustRightInd/>
      <w:ind w:right="238" w:firstLine="420"/>
    </w:pPr>
    <w:rPr>
      <w:rFonts w:ascii="Calibri" w:hAnsi="Calibri"/>
      <w:sz w:val="24"/>
    </w:rPr>
  </w:style>
  <w:style w:type="paragraph" w:customStyle="1" w:styleId="916">
    <w:name w:val="Char Char110"/>
    <w:basedOn w:val="1"/>
    <w:qFormat/>
    <w:uiPriority w:val="6"/>
    <w:pPr>
      <w:spacing w:line="360" w:lineRule="auto"/>
    </w:pPr>
    <w:rPr>
      <w:rFonts w:ascii="Tahoma" w:hAnsi="Tahoma"/>
      <w:sz w:val="24"/>
      <w:szCs w:val="20"/>
    </w:rPr>
  </w:style>
  <w:style w:type="paragraph" w:customStyle="1" w:styleId="9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1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1">
    <w:name w:val="Char Char Char Char Char Char Char Char Char Char Char Char1 Char2"/>
    <w:basedOn w:val="1"/>
    <w:qFormat/>
    <w:uiPriority w:val="0"/>
    <w:rPr>
      <w:rFonts w:ascii="Tahoma" w:hAnsi="Tahoma" w:cs="仿宋_GB2312"/>
      <w:sz w:val="24"/>
      <w:szCs w:val="20"/>
    </w:rPr>
  </w:style>
  <w:style w:type="paragraph" w:customStyle="1" w:styleId="92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4">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92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9">
    <w:name w:val="3级标题"/>
    <w:basedOn w:val="870"/>
    <w:qFormat/>
    <w:uiPriority w:val="0"/>
    <w:pPr>
      <w:outlineLvl w:val="2"/>
    </w:pPr>
  </w:style>
  <w:style w:type="paragraph" w:customStyle="1" w:styleId="930">
    <w:name w:val="Char1 Char Char Char3"/>
    <w:basedOn w:val="1"/>
    <w:qFormat/>
    <w:uiPriority w:val="0"/>
    <w:pPr>
      <w:adjustRightInd/>
      <w:ind w:firstLine="200" w:firstLineChars="200"/>
    </w:pPr>
    <w:rPr>
      <w:rFonts w:ascii="Tahoma" w:hAnsi="Tahoma"/>
      <w:sz w:val="24"/>
      <w:szCs w:val="20"/>
    </w:rPr>
  </w:style>
  <w:style w:type="paragraph" w:customStyle="1" w:styleId="93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2">
    <w:name w:val="MM Empty"/>
    <w:basedOn w:val="1"/>
    <w:qFormat/>
    <w:uiPriority w:val="0"/>
    <w:pPr>
      <w:adjustRightInd/>
    </w:pPr>
  </w:style>
  <w:style w:type="paragraph" w:customStyle="1" w:styleId="933">
    <w:name w:val="Char24"/>
    <w:basedOn w:val="1"/>
    <w:qFormat/>
    <w:uiPriority w:val="0"/>
    <w:rPr>
      <w:rFonts w:ascii="仿宋_GB2312" w:eastAsia="仿宋_GB2312"/>
      <w:b/>
      <w:sz w:val="32"/>
      <w:szCs w:val="32"/>
    </w:rPr>
  </w:style>
  <w:style w:type="paragraph" w:customStyle="1" w:styleId="934">
    <w:name w:val="正文箭头"/>
    <w:basedOn w:val="598"/>
    <w:qFormat/>
    <w:uiPriority w:val="0"/>
  </w:style>
  <w:style w:type="paragraph" w:customStyle="1" w:styleId="935">
    <w:name w:val="U_编号2"/>
    <w:basedOn w:val="1"/>
    <w:qFormat/>
    <w:uiPriority w:val="0"/>
    <w:pPr>
      <w:tabs>
        <w:tab w:val="left" w:pos="785"/>
      </w:tabs>
      <w:adjustRightInd/>
      <w:spacing w:beforeLines="10" w:afterLines="10" w:line="300" w:lineRule="auto"/>
    </w:pPr>
    <w:rPr>
      <w:sz w:val="24"/>
    </w:rPr>
  </w:style>
  <w:style w:type="paragraph" w:customStyle="1" w:styleId="93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8">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39">
    <w:name w:val="TOC 标题11"/>
    <w:basedOn w:val="4"/>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0">
    <w:name w:val="_Style 1"/>
    <w:basedOn w:val="1"/>
    <w:qFormat/>
    <w:uiPriority w:val="34"/>
    <w:pPr>
      <w:adjustRightInd/>
      <w:ind w:firstLine="420" w:firstLineChars="200"/>
    </w:pPr>
    <w:rPr>
      <w:rFonts w:eastAsia="仿宋_GB2312"/>
      <w:sz w:val="28"/>
    </w:rPr>
  </w:style>
  <w:style w:type="paragraph" w:customStyle="1" w:styleId="941">
    <w:name w:val="表格 内容"/>
    <w:basedOn w:val="658"/>
    <w:qFormat/>
    <w:uiPriority w:val="0"/>
    <w:rPr>
      <w:b w:val="0"/>
      <w:sz w:val="20"/>
    </w:rPr>
  </w:style>
  <w:style w:type="paragraph" w:customStyle="1" w:styleId="94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3">
    <w:name w:val="数字标题5"/>
    <w:basedOn w:val="8"/>
    <w:next w:val="1"/>
    <w:qFormat/>
    <w:uiPriority w:val="0"/>
    <w:pPr>
      <w:tabs>
        <w:tab w:val="left" w:pos="1080"/>
        <w:tab w:val="clear" w:pos="1008"/>
      </w:tabs>
      <w:ind w:left="1080" w:hanging="1080"/>
    </w:pPr>
  </w:style>
  <w:style w:type="paragraph" w:customStyle="1" w:styleId="944">
    <w:name w:val="数字标题1"/>
    <w:basedOn w:val="4"/>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4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1">
    <w:name w:val="0"/>
    <w:basedOn w:val="1"/>
    <w:qFormat/>
    <w:uiPriority w:val="0"/>
    <w:pPr>
      <w:widowControl/>
    </w:pPr>
    <w:rPr>
      <w:kern w:val="0"/>
      <w:sz w:val="24"/>
      <w:szCs w:val="20"/>
    </w:rPr>
  </w:style>
  <w:style w:type="paragraph" w:customStyle="1" w:styleId="952">
    <w:name w:val="Char Char113"/>
    <w:basedOn w:val="1"/>
    <w:qFormat/>
    <w:uiPriority w:val="0"/>
    <w:pPr>
      <w:widowControl/>
      <w:spacing w:after="160" w:line="240" w:lineRule="exact"/>
      <w:jc w:val="left"/>
    </w:pPr>
    <w:rPr>
      <w:rFonts w:eastAsia="仿宋_GB2312"/>
      <w:sz w:val="28"/>
    </w:rPr>
  </w:style>
  <w:style w:type="paragraph" w:customStyle="1" w:styleId="95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4">
    <w:name w:val="_Style 8"/>
    <w:basedOn w:val="1"/>
    <w:qFormat/>
    <w:uiPriority w:val="34"/>
    <w:pPr>
      <w:adjustRightInd/>
      <w:ind w:firstLine="420" w:firstLineChars="200"/>
    </w:pPr>
    <w:rPr>
      <w:rFonts w:eastAsia="仿宋_GB2312"/>
      <w:sz w:val="28"/>
    </w:rPr>
  </w:style>
  <w:style w:type="paragraph" w:customStyle="1" w:styleId="95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0">
    <w:name w:val="Char Char112"/>
    <w:basedOn w:val="1"/>
    <w:qFormat/>
    <w:uiPriority w:val="6"/>
    <w:pPr>
      <w:widowControl/>
      <w:spacing w:after="160" w:line="240" w:lineRule="exact"/>
      <w:jc w:val="left"/>
    </w:pPr>
    <w:rPr>
      <w:rFonts w:eastAsia="仿宋_GB2312"/>
      <w:sz w:val="28"/>
    </w:rPr>
  </w:style>
  <w:style w:type="paragraph" w:customStyle="1" w:styleId="961">
    <w:name w:val="正文 图"/>
    <w:basedOn w:val="476"/>
    <w:qFormat/>
    <w:uiPriority w:val="0"/>
    <w:pPr>
      <w:adjustRightInd/>
      <w:spacing w:before="0"/>
      <w:ind w:firstLine="0"/>
      <w:jc w:val="center"/>
    </w:pPr>
    <w:rPr>
      <w:rFonts w:ascii="微软雅黑" w:hAnsi="微软雅黑"/>
    </w:rPr>
  </w:style>
  <w:style w:type="paragraph" w:customStyle="1" w:styleId="96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4">
    <w:name w:val="Thf"/>
    <w:basedOn w:val="839"/>
    <w:qFormat/>
    <w:uiPriority w:val="0"/>
    <w:pPr>
      <w:ind w:left="0"/>
    </w:pPr>
  </w:style>
  <w:style w:type="paragraph" w:customStyle="1" w:styleId="96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67">
    <w:name w:val="注释"/>
    <w:basedOn w:val="1"/>
    <w:qFormat/>
    <w:uiPriority w:val="0"/>
    <w:pPr>
      <w:adjustRightInd/>
      <w:spacing w:line="360" w:lineRule="auto"/>
      <w:ind w:firstLine="480"/>
    </w:pPr>
    <w:rPr>
      <w:sz w:val="24"/>
    </w:rPr>
  </w:style>
  <w:style w:type="paragraph" w:customStyle="1" w:styleId="968">
    <w:name w:val="列出段落111"/>
    <w:basedOn w:val="1"/>
    <w:qFormat/>
    <w:uiPriority w:val="34"/>
    <w:pPr>
      <w:ind w:firstLine="420" w:firstLineChars="200"/>
    </w:pPr>
  </w:style>
  <w:style w:type="paragraph" w:customStyle="1" w:styleId="969">
    <w:name w:val="_Style 947"/>
    <w:basedOn w:val="1"/>
    <w:next w:val="360"/>
    <w:qFormat/>
    <w:uiPriority w:val="34"/>
    <w:pPr>
      <w:adjustRightInd/>
      <w:ind w:firstLine="420" w:firstLineChars="200"/>
    </w:pPr>
  </w:style>
  <w:style w:type="paragraph" w:customStyle="1" w:styleId="97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1">
    <w:name w:val="纯文本2"/>
    <w:basedOn w:val="1"/>
    <w:qFormat/>
    <w:uiPriority w:val="0"/>
    <w:pPr>
      <w:adjustRightInd/>
      <w:snapToGrid w:val="0"/>
      <w:jc w:val="left"/>
    </w:pPr>
    <w:rPr>
      <w:rFonts w:ascii="Century Gothic" w:hAnsi="楷体_GB2312" w:eastAsia="Century Gothic"/>
      <w:szCs w:val="20"/>
    </w:rPr>
  </w:style>
  <w:style w:type="paragraph" w:customStyle="1" w:styleId="97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4">
    <w:name w:val="节"/>
    <w:basedOn w:val="5"/>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5">
    <w:name w:val="Blockquote"/>
    <w:basedOn w:val="1"/>
    <w:qFormat/>
    <w:uiPriority w:val="0"/>
    <w:pPr>
      <w:autoSpaceDE w:val="0"/>
      <w:autoSpaceDN w:val="0"/>
      <w:spacing w:before="100" w:after="100"/>
      <w:ind w:left="360" w:right="360"/>
      <w:jc w:val="left"/>
    </w:pPr>
    <w:rPr>
      <w:kern w:val="0"/>
      <w:sz w:val="24"/>
      <w:szCs w:val="20"/>
    </w:rPr>
  </w:style>
  <w:style w:type="paragraph" w:customStyle="1" w:styleId="976">
    <w:name w:val="p1"/>
    <w:basedOn w:val="1"/>
    <w:qFormat/>
    <w:uiPriority w:val="0"/>
    <w:pPr>
      <w:widowControl/>
      <w:adjustRightInd/>
      <w:jc w:val="left"/>
    </w:pPr>
    <w:rPr>
      <w:rFonts w:ascii=".PingFang SC" w:eastAsia=".PingFang SC"/>
      <w:color w:val="454545"/>
      <w:kern w:val="0"/>
      <w:sz w:val="18"/>
      <w:szCs w:val="18"/>
    </w:rPr>
  </w:style>
  <w:style w:type="paragraph" w:customStyle="1" w:styleId="977">
    <w:name w:val="Table Paragraph"/>
    <w:basedOn w:val="1"/>
    <w:qFormat/>
    <w:uiPriority w:val="1"/>
    <w:pPr>
      <w:adjustRightInd/>
      <w:jc w:val="left"/>
    </w:pPr>
    <w:rPr>
      <w:rFonts w:ascii="Calibri" w:hAnsi="Calibri"/>
      <w:kern w:val="0"/>
      <w:sz w:val="22"/>
      <w:szCs w:val="22"/>
      <w:lang w:eastAsia="en-US"/>
    </w:rPr>
  </w:style>
  <w:style w:type="paragraph" w:customStyle="1" w:styleId="97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0">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6">
    <w:name w:val="正文首行缩进 2 Char"/>
    <w:basedOn w:val="83"/>
    <w:semiHidden/>
    <w:qFormat/>
    <w:uiPriority w:val="99"/>
    <w:rPr>
      <w:rFonts w:ascii="Times New Roman" w:hAnsi="Times New Roman" w:eastAsia="宋体" w:cs="Times New Roman"/>
      <w:sz w:val="24"/>
      <w:szCs w:val="24"/>
    </w:rPr>
  </w:style>
  <w:style w:type="paragraph" w:customStyle="1" w:styleId="987">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9">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0">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1">
    <w:name w:val="List Paragraph"/>
    <w:basedOn w:val="1"/>
    <w:qFormat/>
    <w:uiPriority w:val="0"/>
    <w:pPr>
      <w:autoSpaceDE w:val="0"/>
      <w:autoSpaceDN w:val="0"/>
      <w:jc w:val="left"/>
    </w:pPr>
    <w:rPr>
      <w:rFonts w:ascii="Calibri" w:hAnsi="Calibri"/>
      <w:kern w:val="0"/>
      <w:sz w:val="24"/>
    </w:rPr>
  </w:style>
  <w:style w:type="character" w:customStyle="1" w:styleId="992">
    <w:name w:val="Unresolved Mention"/>
    <w:basedOn w:val="64"/>
    <w:semiHidden/>
    <w:unhideWhenUsed/>
    <w:qFormat/>
    <w:uiPriority w:val="99"/>
    <w:rPr>
      <w:color w:val="605E5C"/>
      <w:shd w:val="clear" w:color="auto" w:fill="E1DFDD"/>
    </w:rPr>
  </w:style>
  <w:style w:type="character" w:customStyle="1" w:styleId="993">
    <w:name w:val="font101"/>
    <w:basedOn w:val="64"/>
    <w:qFormat/>
    <w:uiPriority w:val="0"/>
    <w:rPr>
      <w:rFonts w:hint="default" w:ascii="仿宋_GB2312" w:eastAsia="仿宋_GB2312" w:cs="仿宋_GB2312"/>
      <w:b/>
      <w:color w:val="000000"/>
      <w:sz w:val="24"/>
      <w:szCs w:val="24"/>
      <w:u w:val="none"/>
    </w:rPr>
  </w:style>
  <w:style w:type="paragraph" w:customStyle="1" w:styleId="99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9241</Words>
  <Characters>52675</Characters>
  <Lines>438</Lines>
  <Paragraphs>123</Paragraphs>
  <TotalTime>64</TotalTime>
  <ScaleCrop>false</ScaleCrop>
  <LinksUpToDate>false</LinksUpToDate>
  <CharactersWithSpaces>61793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2022-01-24T00:27:00Z</dcterms:created>
  <dc:creator>Windows 用户</dc:creator>
  <cp:lastModifiedBy>瓯北城市新区管理委员会</cp:lastModifiedBy>
  <cp:lastPrinted>2022-02-22T07:40:00Z</cp:lastPrinted>
  <dcterms:modified xsi:type="dcterms:W3CDTF">2022-02-28T09:32:55Z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F046CBE7156E4F0B88B73DC9142403B4</vt:lpwstr>
  </property>
</Properties>
</file>