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82E4744">
      <w:pPr>
        <w:pageBreakBefore w:val="0"/>
        <w:kinsoku/>
        <w:wordWrap w:val="0"/>
        <w:topLinePunct w:val="0"/>
        <w:bidi w:val="0"/>
        <w:jc w:val="both"/>
        <w:rPr>
          <w:rFonts w:hint="eastAsia" w:ascii="宋体" w:hAnsi="宋体" w:eastAsia="宋体" w:cs="宋体"/>
          <w:b/>
          <w:bCs/>
          <w:color w:val="auto"/>
          <w:sz w:val="52"/>
          <w:szCs w:val="52"/>
          <w:highlight w:val="none"/>
        </w:rPr>
      </w:pPr>
      <w:r>
        <w:rPr>
          <w:rFonts w:hint="eastAsia" w:ascii="宋体" w:hAnsi="宋体" w:eastAsia="宋体" w:cs="宋体"/>
          <w:color w:val="auto"/>
          <w:spacing w:val="20"/>
          <w:sz w:val="84"/>
          <w:highlight w:val="none"/>
        </w:rPr>
        <w:t>温州市政府（分散）采购</w:t>
      </w:r>
    </w:p>
    <w:p w14:paraId="4D8935F6">
      <w:pPr>
        <w:pageBreakBefore w:val="0"/>
        <w:kinsoku/>
        <w:wordWrap w:val="0"/>
        <w:topLinePunct w:val="0"/>
        <w:bidi w:val="0"/>
        <w:jc w:val="center"/>
        <w:rPr>
          <w:rFonts w:hint="eastAsia" w:ascii="宋体" w:hAnsi="宋体" w:eastAsia="宋体" w:cs="宋体"/>
          <w:b/>
          <w:bCs/>
          <w:color w:val="auto"/>
          <w:spacing w:val="26"/>
          <w:sz w:val="52"/>
          <w:highlight w:val="none"/>
        </w:rPr>
      </w:pPr>
    </w:p>
    <w:p w14:paraId="07889476">
      <w:pPr>
        <w:pageBreakBefore w:val="0"/>
        <w:kinsoku/>
        <w:wordWrap w:val="0"/>
        <w:topLinePunct w:val="0"/>
        <w:bidi w:val="0"/>
        <w:ind w:firstLine="2357" w:firstLineChars="235"/>
        <w:rPr>
          <w:rFonts w:hint="eastAsia" w:ascii="宋体" w:hAnsi="宋体" w:eastAsia="宋体" w:cs="宋体"/>
          <w:b/>
          <w:bCs/>
          <w:color w:val="auto"/>
          <w:spacing w:val="140"/>
          <w:sz w:val="72"/>
          <w:highlight w:val="none"/>
        </w:rPr>
      </w:pPr>
    </w:p>
    <w:p w14:paraId="46215EC8">
      <w:pPr>
        <w:pStyle w:val="22"/>
        <w:pageBreakBefore w:val="0"/>
        <w:kinsoku/>
        <w:wordWrap w:val="0"/>
        <w:topLinePunct w:val="0"/>
        <w:bidi w:val="0"/>
        <w:rPr>
          <w:rFonts w:hint="eastAsia"/>
          <w:color w:val="auto"/>
          <w:highlight w:val="none"/>
        </w:rPr>
      </w:pPr>
    </w:p>
    <w:p w14:paraId="5D647D58">
      <w:pPr>
        <w:pageBreakBefore w:val="0"/>
        <w:kinsoku/>
        <w:wordWrap w:val="0"/>
        <w:topLinePunct w:val="0"/>
        <w:bidi w:val="0"/>
        <w:adjustRightInd w:val="0"/>
        <w:snapToGrid w:val="0"/>
        <w:spacing w:line="480" w:lineRule="auto"/>
        <w:ind w:right="361"/>
        <w:jc w:val="center"/>
        <w:rPr>
          <w:rFonts w:hint="eastAsia" w:ascii="宋体" w:hAnsi="宋体" w:eastAsia="宋体" w:cs="宋体"/>
          <w:b w:val="0"/>
          <w:bCs w:val="0"/>
          <w:color w:val="auto"/>
          <w:sz w:val="72"/>
          <w:szCs w:val="72"/>
          <w:highlight w:val="none"/>
        </w:rPr>
      </w:pPr>
      <w:r>
        <w:rPr>
          <w:rFonts w:hint="eastAsia" w:ascii="宋体" w:hAnsi="宋体" w:eastAsia="宋体" w:cs="宋体"/>
          <w:b w:val="0"/>
          <w:bCs w:val="0"/>
          <w:color w:val="auto"/>
          <w:sz w:val="72"/>
          <w:szCs w:val="72"/>
          <w:highlight w:val="none"/>
        </w:rPr>
        <w:t>招 标 文 件</w:t>
      </w:r>
    </w:p>
    <w:tbl>
      <w:tblPr>
        <w:tblStyle w:val="53"/>
        <w:tblW w:w="0" w:type="auto"/>
        <w:tblInd w:w="9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80"/>
        <w:gridCol w:w="5730"/>
      </w:tblGrid>
      <w:tr w14:paraId="00987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14:paraId="68CEA5F3">
            <w:pPr>
              <w:pageBreakBefore w:val="0"/>
              <w:kinsoku/>
              <w:wordWrap w:val="0"/>
              <w:topLinePunct w:val="0"/>
              <w:bidi w:val="0"/>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编 号</w:t>
            </w:r>
            <w:r>
              <w:rPr>
                <w:rFonts w:hint="eastAsia" w:ascii="宋体" w:hAnsi="宋体" w:eastAsia="宋体" w:cs="宋体"/>
                <w:b w:val="0"/>
                <w:bCs w:val="0"/>
                <w:color w:val="auto"/>
                <w:spacing w:val="40"/>
                <w:sz w:val="28"/>
                <w:highlight w:val="none"/>
              </w:rPr>
              <w:t>：</w:t>
            </w:r>
          </w:p>
        </w:tc>
        <w:tc>
          <w:tcPr>
            <w:tcW w:w="5730" w:type="dxa"/>
            <w:vAlign w:val="center"/>
          </w:tcPr>
          <w:p w14:paraId="1D37C167">
            <w:pPr>
              <w:pageBreakBefore w:val="0"/>
              <w:kinsoku/>
              <w:wordWrap w:val="0"/>
              <w:topLinePunct w:val="0"/>
              <w:bidi w:val="0"/>
              <w:spacing w:line="700" w:lineRule="exact"/>
              <w:jc w:val="center"/>
              <w:rPr>
                <w:rFonts w:hint="eastAsia" w:ascii="宋体" w:hAnsi="宋体" w:eastAsia="宋体" w:cs="宋体"/>
                <w:b w:val="0"/>
                <w:bCs w:val="0"/>
                <w:color w:val="auto"/>
                <w:sz w:val="24"/>
                <w:highlight w:val="none"/>
                <w:vertAlign w:val="baseline"/>
                <w:lang w:eastAsia="zh-CN"/>
              </w:rPr>
            </w:pPr>
            <w:r>
              <w:rPr>
                <w:rFonts w:hint="eastAsia" w:ascii="宋体" w:hAnsi="宋体" w:cs="宋体"/>
                <w:b w:val="0"/>
                <w:bCs w:val="0"/>
                <w:color w:val="auto"/>
                <w:spacing w:val="40"/>
                <w:sz w:val="28"/>
                <w:highlight w:val="none"/>
                <w:lang w:eastAsia="zh-CN"/>
              </w:rPr>
              <w:t>WZLCZB（Z）-2025-07016</w:t>
            </w:r>
          </w:p>
        </w:tc>
      </w:tr>
      <w:tr w14:paraId="285FF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14:paraId="6C52084B">
            <w:pPr>
              <w:pageBreakBefore w:val="0"/>
              <w:kinsoku/>
              <w:wordWrap w:val="0"/>
              <w:topLinePunct w:val="0"/>
              <w:bidi w:val="0"/>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名 称：</w:t>
            </w:r>
          </w:p>
        </w:tc>
        <w:tc>
          <w:tcPr>
            <w:tcW w:w="5730" w:type="dxa"/>
            <w:vAlign w:val="center"/>
          </w:tcPr>
          <w:p w14:paraId="4ABED185">
            <w:pPr>
              <w:pageBreakBefore w:val="0"/>
              <w:kinsoku/>
              <w:wordWrap w:val="0"/>
              <w:topLinePunct w:val="0"/>
              <w:bidi w:val="0"/>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cs="宋体"/>
                <w:b w:val="0"/>
                <w:bCs w:val="0"/>
                <w:color w:val="auto"/>
                <w:sz w:val="30"/>
                <w:szCs w:val="30"/>
                <w:highlight w:val="none"/>
                <w:lang w:eastAsia="zh-CN"/>
              </w:rPr>
              <w:t>2025年学校图书</w:t>
            </w:r>
          </w:p>
        </w:tc>
      </w:tr>
      <w:tr w14:paraId="6B632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14:paraId="418589A6">
            <w:pPr>
              <w:pageBreakBefore w:val="0"/>
              <w:kinsoku/>
              <w:wordWrap w:val="0"/>
              <w:topLinePunct w:val="0"/>
              <w:bidi w:val="0"/>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采 购 方 式：</w:t>
            </w:r>
          </w:p>
        </w:tc>
        <w:tc>
          <w:tcPr>
            <w:tcW w:w="5730" w:type="dxa"/>
            <w:vAlign w:val="center"/>
          </w:tcPr>
          <w:p w14:paraId="07141ABD">
            <w:pPr>
              <w:pageBreakBefore w:val="0"/>
              <w:kinsoku/>
              <w:wordWrap w:val="0"/>
              <w:topLinePunct w:val="0"/>
              <w:bidi w:val="0"/>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公开招标</w:t>
            </w:r>
          </w:p>
        </w:tc>
      </w:tr>
      <w:tr w14:paraId="34330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14:paraId="5CE26DC0">
            <w:pPr>
              <w:pageBreakBefore w:val="0"/>
              <w:kinsoku/>
              <w:wordWrap w:val="0"/>
              <w:topLinePunct w:val="0"/>
              <w:bidi w:val="0"/>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评 审 方 式：</w:t>
            </w:r>
          </w:p>
        </w:tc>
        <w:tc>
          <w:tcPr>
            <w:tcW w:w="5730" w:type="dxa"/>
            <w:vAlign w:val="center"/>
          </w:tcPr>
          <w:p w14:paraId="5D6D6703">
            <w:pPr>
              <w:pageBreakBefore w:val="0"/>
              <w:kinsoku/>
              <w:wordWrap w:val="0"/>
              <w:topLinePunct w:val="0"/>
              <w:bidi w:val="0"/>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线上电子招投标</w:t>
            </w:r>
          </w:p>
        </w:tc>
      </w:tr>
    </w:tbl>
    <w:p w14:paraId="175E25E5">
      <w:pPr>
        <w:pageBreakBefore w:val="0"/>
        <w:kinsoku/>
        <w:wordWrap w:val="0"/>
        <w:topLinePunct w:val="0"/>
        <w:bidi w:val="0"/>
        <w:spacing w:line="700" w:lineRule="exact"/>
        <w:ind w:firstLine="723" w:firstLineChars="300"/>
        <w:jc w:val="left"/>
        <w:rPr>
          <w:rFonts w:hint="eastAsia" w:ascii="宋体" w:hAnsi="宋体" w:eastAsia="宋体" w:cs="宋体"/>
          <w:b/>
          <w:bCs/>
          <w:color w:val="auto"/>
          <w:sz w:val="24"/>
          <w:highlight w:val="none"/>
        </w:rPr>
      </w:pPr>
    </w:p>
    <w:p w14:paraId="131AD2C3">
      <w:pPr>
        <w:pageBreakBefore w:val="0"/>
        <w:kinsoku/>
        <w:wordWrap w:val="0"/>
        <w:topLinePunct w:val="0"/>
        <w:bidi w:val="0"/>
        <w:spacing w:line="700" w:lineRule="exact"/>
        <w:ind w:firstLine="904" w:firstLineChars="300"/>
        <w:jc w:val="left"/>
        <w:rPr>
          <w:rFonts w:hint="eastAsia" w:ascii="宋体" w:hAnsi="宋体" w:eastAsia="宋体" w:cs="宋体"/>
          <w:b/>
          <w:color w:val="auto"/>
          <w:spacing w:val="40"/>
          <w:sz w:val="30"/>
          <w:szCs w:val="30"/>
          <w:highlight w:val="none"/>
        </w:rPr>
      </w:pP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rPr>
        <w:t xml:space="preserve">  </w:t>
      </w:r>
    </w:p>
    <w:p w14:paraId="1E25BC26">
      <w:pPr>
        <w:pageBreakBefore w:val="0"/>
        <w:kinsoku/>
        <w:wordWrap w:val="0"/>
        <w:topLinePunct w:val="0"/>
        <w:bidi w:val="0"/>
        <w:spacing w:line="700" w:lineRule="exact"/>
        <w:ind w:left="3802" w:leftChars="540" w:hanging="2668" w:hangingChars="700"/>
        <w:rPr>
          <w:rFonts w:hint="eastAsia" w:ascii="宋体" w:hAnsi="宋体" w:eastAsia="宋体" w:cs="宋体"/>
          <w:b/>
          <w:color w:val="auto"/>
          <w:spacing w:val="40"/>
          <w:sz w:val="30"/>
          <w:szCs w:val="30"/>
          <w:highlight w:val="none"/>
        </w:rPr>
      </w:pPr>
    </w:p>
    <w:p w14:paraId="74961CC1">
      <w:pPr>
        <w:keepNext/>
        <w:pageBreakBefore w:val="0"/>
        <w:kinsoku/>
        <w:wordWrap w:val="0"/>
        <w:topLinePunct w:val="0"/>
        <w:bidi w:val="0"/>
        <w:spacing w:line="700" w:lineRule="exact"/>
        <w:rPr>
          <w:rFonts w:hint="eastAsia" w:ascii="宋体" w:hAnsi="宋体" w:eastAsia="宋体" w:cs="宋体"/>
          <w:color w:val="auto"/>
          <w:spacing w:val="40"/>
          <w:sz w:val="30"/>
          <w:szCs w:val="30"/>
          <w:highlight w:val="none"/>
        </w:rPr>
      </w:pPr>
      <w:r>
        <w:rPr>
          <w:rFonts w:hint="eastAsia" w:ascii="宋体" w:hAnsi="宋体" w:eastAsia="宋体" w:cs="宋体"/>
          <w:b/>
          <w:color w:val="auto"/>
          <w:spacing w:val="40"/>
          <w:sz w:val="30"/>
          <w:szCs w:val="30"/>
          <w:highlight w:val="none"/>
        </w:rPr>
        <w:t xml:space="preserve">    </w:t>
      </w:r>
    </w:p>
    <w:p w14:paraId="68D2075B">
      <w:pPr>
        <w:pageBreakBefore w:val="0"/>
        <w:kinsoku/>
        <w:wordWrap w:val="0"/>
        <w:topLinePunct w:val="0"/>
        <w:bidi w:val="0"/>
        <w:spacing w:line="600" w:lineRule="exact"/>
        <w:jc w:val="center"/>
        <w:rPr>
          <w:rFonts w:hint="eastAsia" w:ascii="宋体" w:hAnsi="宋体" w:eastAsia="宋体" w:cs="宋体"/>
          <w:color w:val="auto"/>
          <w:spacing w:val="30"/>
          <w:sz w:val="30"/>
          <w:highlight w:val="none"/>
          <w:lang w:eastAsia="zh-CN"/>
        </w:rPr>
      </w:pPr>
      <w:r>
        <w:rPr>
          <w:rFonts w:hint="eastAsia" w:ascii="宋体" w:hAnsi="宋体" w:eastAsia="宋体" w:cs="宋体"/>
          <w:color w:val="auto"/>
          <w:spacing w:val="30"/>
          <w:sz w:val="30"/>
          <w:highlight w:val="none"/>
        </w:rPr>
        <w:t>招 标 人:</w:t>
      </w:r>
      <w:r>
        <w:rPr>
          <w:rFonts w:hint="eastAsia" w:ascii="宋体" w:hAnsi="宋体" w:cs="宋体"/>
          <w:color w:val="auto"/>
          <w:spacing w:val="30"/>
          <w:sz w:val="30"/>
          <w:highlight w:val="none"/>
          <w:lang w:eastAsia="zh-CN"/>
        </w:rPr>
        <w:t>温州市龙湾区教育技术服务中心</w:t>
      </w:r>
    </w:p>
    <w:p w14:paraId="0B5A20B8">
      <w:pPr>
        <w:pageBreakBefore w:val="0"/>
        <w:kinsoku/>
        <w:wordWrap w:val="0"/>
        <w:topLinePunct w:val="0"/>
        <w:bidi w:val="0"/>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招标代理机构：温州历程招标有限公司</w:t>
      </w:r>
    </w:p>
    <w:p w14:paraId="6E5B0341">
      <w:pPr>
        <w:pageBreakBefore w:val="0"/>
        <w:kinsoku/>
        <w:wordWrap w:val="0"/>
        <w:topLinePunct w:val="0"/>
        <w:bidi w:val="0"/>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二0二</w:t>
      </w:r>
      <w:r>
        <w:rPr>
          <w:rFonts w:hint="eastAsia" w:ascii="宋体" w:hAnsi="宋体" w:cs="宋体"/>
          <w:color w:val="auto"/>
          <w:spacing w:val="30"/>
          <w:sz w:val="30"/>
          <w:highlight w:val="none"/>
          <w:lang w:val="en-US" w:eastAsia="zh-CN"/>
        </w:rPr>
        <w:t>五</w:t>
      </w:r>
      <w:r>
        <w:rPr>
          <w:rFonts w:hint="eastAsia" w:ascii="宋体" w:hAnsi="宋体" w:eastAsia="宋体" w:cs="宋体"/>
          <w:color w:val="auto"/>
          <w:spacing w:val="30"/>
          <w:sz w:val="30"/>
          <w:highlight w:val="none"/>
        </w:rPr>
        <w:t>年</w:t>
      </w:r>
    </w:p>
    <w:p w14:paraId="1B87C0C3">
      <w:pPr>
        <w:pageBreakBefore w:val="0"/>
        <w:kinsoku/>
        <w:wordWrap w:val="0"/>
        <w:topLinePunct w:val="0"/>
        <w:bidi w:val="0"/>
        <w:rPr>
          <w:rFonts w:hint="eastAsia"/>
          <w:color w:val="auto"/>
          <w:highlight w:val="none"/>
        </w:rPr>
      </w:pPr>
      <w:r>
        <w:rPr>
          <w:rFonts w:hint="eastAsia" w:ascii="宋体" w:hAnsi="宋体" w:eastAsia="宋体" w:cs="宋体"/>
          <w:b/>
          <w:color w:val="auto"/>
          <w:sz w:val="36"/>
          <w:szCs w:val="36"/>
          <w:highlight w:val="none"/>
        </w:rPr>
        <w:br w:type="page"/>
      </w:r>
    </w:p>
    <w:sdt>
      <w:sdtPr>
        <w:rPr>
          <w:rFonts w:hint="eastAsia" w:ascii="宋体" w:hAnsi="宋体" w:eastAsia="宋体" w:cs="宋体"/>
          <w:color w:val="auto"/>
          <w:kern w:val="2"/>
          <w:sz w:val="21"/>
          <w:szCs w:val="24"/>
          <w:highlight w:val="none"/>
          <w:lang w:val="en-US" w:eastAsia="zh-CN" w:bidi="ar-SA"/>
        </w:rPr>
        <w:id w:val="147459729"/>
        <w15:color w:val="DBDBDB"/>
        <w:docPartObj>
          <w:docPartGallery w:val="Table of Contents"/>
          <w:docPartUnique/>
        </w:docPartObj>
      </w:sdtPr>
      <w:sdtEndPr>
        <w:rPr>
          <w:rFonts w:hint="eastAsia" w:ascii="宋体" w:hAnsi="宋体" w:eastAsia="宋体" w:cs="宋体"/>
          <w:color w:val="auto"/>
          <w:kern w:val="2"/>
          <w:sz w:val="21"/>
          <w:szCs w:val="36"/>
          <w:highlight w:val="none"/>
          <w:lang w:val="en-US" w:eastAsia="zh-CN" w:bidi="ar-SA"/>
        </w:rPr>
      </w:sdtEndPr>
      <w:sdtContent>
        <w:p w14:paraId="6BB85046">
          <w:pPr>
            <w:pageBreakBefore w:val="0"/>
            <w:kinsoku/>
            <w:wordWrap w:val="0"/>
            <w:topLinePunct w:val="0"/>
            <w:bidi w:val="0"/>
            <w:spacing w:before="0" w:beforeLines="0" w:after="0" w:afterLines="0" w:line="240" w:lineRule="auto"/>
            <w:ind w:left="0" w:leftChars="0" w:right="0" w:rightChars="0" w:firstLine="0" w:firstLineChars="0"/>
            <w:jc w:val="center"/>
            <w:rPr>
              <w:rFonts w:hint="eastAsia" w:ascii="宋体" w:hAnsi="宋体" w:eastAsia="宋体" w:cs="宋体"/>
              <w:color w:val="auto"/>
              <w:highlight w:val="none"/>
            </w:rPr>
          </w:pPr>
        </w:p>
        <w:p w14:paraId="36591E11">
          <w:pPr>
            <w:pStyle w:val="40"/>
            <w:pageBreakBefore w:val="0"/>
            <w:tabs>
              <w:tab w:val="right" w:leader="dot" w:pos="9638"/>
            </w:tabs>
            <w:kinsoku/>
            <w:wordWrap w:val="0"/>
            <w:topLinePunct w:val="0"/>
            <w:bidi w:val="0"/>
            <w:spacing w:line="360" w:lineRule="auto"/>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目  录</w:t>
          </w:r>
        </w:p>
        <w:p w14:paraId="231A36AB">
          <w:pPr>
            <w:pStyle w:val="40"/>
            <w:pageBreakBefore w:val="0"/>
            <w:tabs>
              <w:tab w:val="right" w:leader="dot" w:pos="9638"/>
            </w:tabs>
            <w:kinsoku/>
            <w:wordWrap w:val="0"/>
            <w:topLinePunct w:val="0"/>
            <w:bidi w:val="0"/>
            <w:spacing w:line="360" w:lineRule="auto"/>
            <w:rPr>
              <w:color w:val="auto"/>
              <w:sz w:val="22"/>
              <w:szCs w:val="28"/>
              <w:highlight w:val="none"/>
            </w:rPr>
          </w:pPr>
          <w:r>
            <w:rPr>
              <w:rFonts w:hint="eastAsia" w:ascii="宋体" w:hAnsi="宋体" w:eastAsia="宋体" w:cs="宋体"/>
              <w:b/>
              <w:color w:val="auto"/>
              <w:sz w:val="40"/>
              <w:szCs w:val="40"/>
              <w:highlight w:val="none"/>
            </w:rPr>
            <w:fldChar w:fldCharType="begin"/>
          </w:r>
          <w:r>
            <w:rPr>
              <w:rFonts w:hint="eastAsia" w:ascii="宋体" w:hAnsi="宋体" w:eastAsia="宋体" w:cs="宋体"/>
              <w:b/>
              <w:color w:val="auto"/>
              <w:sz w:val="40"/>
              <w:szCs w:val="40"/>
              <w:highlight w:val="none"/>
            </w:rPr>
            <w:instrText xml:space="preserve">TOC \o "1-3" \h \u </w:instrText>
          </w:r>
          <w:r>
            <w:rPr>
              <w:rFonts w:hint="eastAsia" w:ascii="宋体" w:hAnsi="宋体" w:eastAsia="宋体" w:cs="宋体"/>
              <w:b/>
              <w:color w:val="auto"/>
              <w:sz w:val="40"/>
              <w:szCs w:val="40"/>
              <w:highlight w:val="none"/>
            </w:rPr>
            <w:fldChar w:fldCharType="separate"/>
          </w: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_Toc6599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招</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标</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公</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告</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_Toc6599 \h </w:instrText>
          </w:r>
          <w:r>
            <w:rPr>
              <w:color w:val="auto"/>
              <w:sz w:val="22"/>
              <w:szCs w:val="28"/>
              <w:highlight w:val="none"/>
            </w:rPr>
            <w:fldChar w:fldCharType="separate"/>
          </w:r>
          <w:r>
            <w:rPr>
              <w:color w:val="auto"/>
              <w:sz w:val="22"/>
              <w:szCs w:val="28"/>
              <w:highlight w:val="none"/>
            </w:rPr>
            <w:t>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234ADEEC">
          <w:pPr>
            <w:pStyle w:val="40"/>
            <w:pageBreakBefore w:val="0"/>
            <w:tabs>
              <w:tab w:val="right" w:leader="dot" w:pos="9638"/>
            </w:tabs>
            <w:kinsoku/>
            <w:wordWrap w:val="0"/>
            <w:topLinePunct w:val="0"/>
            <w:bidi w:val="0"/>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_Toc10401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第一部分    投标人须知</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_Toc10401 \h </w:instrText>
          </w:r>
          <w:r>
            <w:rPr>
              <w:color w:val="auto"/>
              <w:sz w:val="22"/>
              <w:szCs w:val="28"/>
              <w:highlight w:val="none"/>
            </w:rPr>
            <w:fldChar w:fldCharType="separate"/>
          </w:r>
          <w:r>
            <w:rPr>
              <w:color w:val="auto"/>
              <w:sz w:val="22"/>
              <w:szCs w:val="28"/>
              <w:highlight w:val="none"/>
            </w:rPr>
            <w:t>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74CFDE08">
          <w:pPr>
            <w:pStyle w:val="46"/>
            <w:pageBreakBefore w:val="0"/>
            <w:tabs>
              <w:tab w:val="right" w:leader="dot" w:pos="9638"/>
            </w:tabs>
            <w:kinsoku/>
            <w:wordWrap w:val="0"/>
            <w:topLinePunct w:val="0"/>
            <w:bidi w:val="0"/>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_Toc6224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前 附 表</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_Toc6224 \h </w:instrText>
          </w:r>
          <w:r>
            <w:rPr>
              <w:color w:val="auto"/>
              <w:sz w:val="22"/>
              <w:szCs w:val="28"/>
              <w:highlight w:val="none"/>
            </w:rPr>
            <w:fldChar w:fldCharType="separate"/>
          </w:r>
          <w:r>
            <w:rPr>
              <w:color w:val="auto"/>
              <w:sz w:val="22"/>
              <w:szCs w:val="28"/>
              <w:highlight w:val="none"/>
            </w:rPr>
            <w:t>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74C43694">
          <w:pPr>
            <w:pStyle w:val="46"/>
            <w:pageBreakBefore w:val="0"/>
            <w:tabs>
              <w:tab w:val="right" w:leader="dot" w:pos="9638"/>
            </w:tabs>
            <w:kinsoku/>
            <w:wordWrap w:val="0"/>
            <w:topLinePunct w:val="0"/>
            <w:bidi w:val="0"/>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_Toc19070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一、 说   明</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_Toc19070 \h </w:instrText>
          </w:r>
          <w:r>
            <w:rPr>
              <w:color w:val="auto"/>
              <w:sz w:val="22"/>
              <w:szCs w:val="28"/>
              <w:highlight w:val="none"/>
            </w:rPr>
            <w:fldChar w:fldCharType="separate"/>
          </w:r>
          <w:r>
            <w:rPr>
              <w:color w:val="auto"/>
              <w:sz w:val="22"/>
              <w:szCs w:val="28"/>
              <w:highlight w:val="none"/>
            </w:rPr>
            <w:t>9</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58BFA7CA">
          <w:pPr>
            <w:pStyle w:val="46"/>
            <w:pageBreakBefore w:val="0"/>
            <w:tabs>
              <w:tab w:val="right" w:leader="dot" w:pos="9638"/>
            </w:tabs>
            <w:kinsoku/>
            <w:wordWrap w:val="0"/>
            <w:topLinePunct w:val="0"/>
            <w:bidi w:val="0"/>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_Toc28278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二、 招标文件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_Toc28278 \h </w:instrText>
          </w:r>
          <w:r>
            <w:rPr>
              <w:color w:val="auto"/>
              <w:sz w:val="22"/>
              <w:szCs w:val="28"/>
              <w:highlight w:val="none"/>
            </w:rPr>
            <w:fldChar w:fldCharType="separate"/>
          </w:r>
          <w:r>
            <w:rPr>
              <w:color w:val="auto"/>
              <w:sz w:val="22"/>
              <w:szCs w:val="28"/>
              <w:highlight w:val="none"/>
            </w:rPr>
            <w:t>10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80069BE">
          <w:pPr>
            <w:pStyle w:val="46"/>
            <w:pageBreakBefore w:val="0"/>
            <w:tabs>
              <w:tab w:val="right" w:leader="dot" w:pos="9638"/>
            </w:tabs>
            <w:kinsoku/>
            <w:wordWrap w:val="0"/>
            <w:topLinePunct w:val="0"/>
            <w:bidi w:val="0"/>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_Toc22646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三、 投标文件的编制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_Toc22646 \h </w:instrText>
          </w:r>
          <w:r>
            <w:rPr>
              <w:color w:val="auto"/>
              <w:sz w:val="22"/>
              <w:szCs w:val="28"/>
              <w:highlight w:val="none"/>
            </w:rPr>
            <w:fldChar w:fldCharType="separate"/>
          </w:r>
          <w:r>
            <w:rPr>
              <w:color w:val="auto"/>
              <w:sz w:val="22"/>
              <w:szCs w:val="28"/>
              <w:highlight w:val="none"/>
            </w:rPr>
            <w:t>11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09734614">
          <w:pPr>
            <w:pStyle w:val="46"/>
            <w:pageBreakBefore w:val="0"/>
            <w:tabs>
              <w:tab w:val="right" w:leader="dot" w:pos="9638"/>
            </w:tabs>
            <w:kinsoku/>
            <w:wordWrap w:val="0"/>
            <w:topLinePunct w:val="0"/>
            <w:bidi w:val="0"/>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_Toc18542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四、 投标文件的递交</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_Toc18542 \h </w:instrText>
          </w:r>
          <w:r>
            <w:rPr>
              <w:color w:val="auto"/>
              <w:sz w:val="22"/>
              <w:szCs w:val="28"/>
              <w:highlight w:val="none"/>
            </w:rPr>
            <w:fldChar w:fldCharType="separate"/>
          </w:r>
          <w:r>
            <w:rPr>
              <w:color w:val="auto"/>
              <w:sz w:val="22"/>
              <w:szCs w:val="28"/>
              <w:highlight w:val="none"/>
            </w:rPr>
            <w:t>14</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101DA339">
          <w:pPr>
            <w:pStyle w:val="46"/>
            <w:pageBreakBefore w:val="0"/>
            <w:tabs>
              <w:tab w:val="right" w:leader="dot" w:pos="9638"/>
            </w:tabs>
            <w:kinsoku/>
            <w:wordWrap w:val="0"/>
            <w:topLinePunct w:val="0"/>
            <w:bidi w:val="0"/>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_Toc8079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五、 开标和评标</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_Toc8079 \h </w:instrText>
          </w:r>
          <w:r>
            <w:rPr>
              <w:color w:val="auto"/>
              <w:sz w:val="22"/>
              <w:szCs w:val="28"/>
              <w:highlight w:val="none"/>
            </w:rPr>
            <w:fldChar w:fldCharType="separate"/>
          </w:r>
          <w:r>
            <w:rPr>
              <w:color w:val="auto"/>
              <w:sz w:val="22"/>
              <w:szCs w:val="28"/>
              <w:highlight w:val="none"/>
            </w:rPr>
            <w:t>15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5373EF3F">
          <w:pPr>
            <w:pStyle w:val="46"/>
            <w:pageBreakBefore w:val="0"/>
            <w:tabs>
              <w:tab w:val="right" w:leader="dot" w:pos="9638"/>
            </w:tabs>
            <w:kinsoku/>
            <w:wordWrap w:val="0"/>
            <w:topLinePunct w:val="0"/>
            <w:bidi w:val="0"/>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_Toc21056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六、 授予合同</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_Toc21056 \h </w:instrText>
          </w:r>
          <w:r>
            <w:rPr>
              <w:color w:val="auto"/>
              <w:sz w:val="22"/>
              <w:szCs w:val="28"/>
              <w:highlight w:val="none"/>
            </w:rPr>
            <w:fldChar w:fldCharType="separate"/>
          </w:r>
          <w:r>
            <w:rPr>
              <w:color w:val="auto"/>
              <w:sz w:val="22"/>
              <w:szCs w:val="28"/>
              <w:highlight w:val="none"/>
            </w:rPr>
            <w:t>18</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3E1A17FE">
          <w:pPr>
            <w:pStyle w:val="40"/>
            <w:pageBreakBefore w:val="0"/>
            <w:tabs>
              <w:tab w:val="right" w:leader="dot" w:pos="9638"/>
            </w:tabs>
            <w:kinsoku/>
            <w:wordWrap w:val="0"/>
            <w:topLinePunct w:val="0"/>
            <w:bidi w:val="0"/>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_Toc19043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第二部分    合同主要条款</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_Toc19043 \h </w:instrText>
          </w:r>
          <w:r>
            <w:rPr>
              <w:color w:val="auto"/>
              <w:sz w:val="22"/>
              <w:szCs w:val="28"/>
              <w:highlight w:val="none"/>
            </w:rPr>
            <w:fldChar w:fldCharType="separate"/>
          </w:r>
          <w:r>
            <w:rPr>
              <w:color w:val="auto"/>
              <w:sz w:val="22"/>
              <w:szCs w:val="28"/>
              <w:highlight w:val="none"/>
            </w:rPr>
            <w:t>20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54B78140">
          <w:pPr>
            <w:pStyle w:val="40"/>
            <w:pageBreakBefore w:val="0"/>
            <w:tabs>
              <w:tab w:val="right" w:leader="dot" w:pos="9638"/>
            </w:tabs>
            <w:kinsoku/>
            <w:wordWrap w:val="0"/>
            <w:topLinePunct w:val="0"/>
            <w:bidi w:val="0"/>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_Toc18439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第三部分    附件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_Toc18439 \h </w:instrText>
          </w:r>
          <w:r>
            <w:rPr>
              <w:color w:val="auto"/>
              <w:sz w:val="22"/>
              <w:szCs w:val="28"/>
              <w:highlight w:val="none"/>
            </w:rPr>
            <w:fldChar w:fldCharType="separate"/>
          </w:r>
          <w:r>
            <w:rPr>
              <w:color w:val="auto"/>
              <w:sz w:val="22"/>
              <w:szCs w:val="28"/>
              <w:highlight w:val="none"/>
            </w:rPr>
            <w:t>25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69DBC6BB">
          <w:pPr>
            <w:pStyle w:val="46"/>
            <w:pageBreakBefore w:val="0"/>
            <w:tabs>
              <w:tab w:val="right" w:leader="dot" w:pos="9638"/>
            </w:tabs>
            <w:kinsoku/>
            <w:wordWrap w:val="0"/>
            <w:topLinePunct w:val="0"/>
            <w:bidi w:val="0"/>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_Toc6368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附件一</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_Toc6368 \h </w:instrText>
          </w:r>
          <w:r>
            <w:rPr>
              <w:color w:val="auto"/>
              <w:sz w:val="22"/>
              <w:szCs w:val="28"/>
              <w:highlight w:val="none"/>
            </w:rPr>
            <w:fldChar w:fldCharType="separate"/>
          </w:r>
          <w:r>
            <w:rPr>
              <w:color w:val="auto"/>
              <w:sz w:val="22"/>
              <w:szCs w:val="28"/>
              <w:highlight w:val="none"/>
            </w:rPr>
            <w:t>25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79E54C01">
          <w:pPr>
            <w:pStyle w:val="30"/>
            <w:pageBreakBefore w:val="0"/>
            <w:tabs>
              <w:tab w:val="right" w:leader="dot" w:pos="9638"/>
            </w:tabs>
            <w:kinsoku/>
            <w:wordWrap w:val="0"/>
            <w:topLinePunct w:val="0"/>
            <w:bidi w:val="0"/>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_Toc5430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rPr>
            <w:t>报价文件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_Toc5430 \h </w:instrText>
          </w:r>
          <w:r>
            <w:rPr>
              <w:color w:val="auto"/>
              <w:sz w:val="22"/>
              <w:szCs w:val="28"/>
              <w:highlight w:val="none"/>
            </w:rPr>
            <w:fldChar w:fldCharType="separate"/>
          </w:r>
          <w:r>
            <w:rPr>
              <w:color w:val="auto"/>
              <w:sz w:val="22"/>
              <w:szCs w:val="28"/>
              <w:highlight w:val="none"/>
            </w:rPr>
            <w:t>25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05A0F1E0">
          <w:pPr>
            <w:pStyle w:val="46"/>
            <w:pageBreakBefore w:val="0"/>
            <w:tabs>
              <w:tab w:val="right" w:leader="dot" w:pos="9638"/>
            </w:tabs>
            <w:kinsoku/>
            <w:wordWrap w:val="0"/>
            <w:topLinePunct w:val="0"/>
            <w:bidi w:val="0"/>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_Toc12035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附件二</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_Toc12035 \h </w:instrText>
          </w:r>
          <w:r>
            <w:rPr>
              <w:color w:val="auto"/>
              <w:sz w:val="22"/>
              <w:szCs w:val="28"/>
              <w:highlight w:val="none"/>
            </w:rPr>
            <w:fldChar w:fldCharType="separate"/>
          </w:r>
          <w:r>
            <w:rPr>
              <w:color w:val="auto"/>
              <w:sz w:val="22"/>
              <w:szCs w:val="28"/>
              <w:highlight w:val="none"/>
            </w:rPr>
            <w:t>32</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5944859B">
          <w:pPr>
            <w:pStyle w:val="30"/>
            <w:pageBreakBefore w:val="0"/>
            <w:tabs>
              <w:tab w:val="right" w:leader="dot" w:pos="9638"/>
            </w:tabs>
            <w:kinsoku/>
            <w:wordWrap w:val="0"/>
            <w:topLinePunct w:val="0"/>
            <w:bidi w:val="0"/>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_Toc25309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rPr>
            <w:t>资格证明文件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_Toc25309 \h </w:instrText>
          </w:r>
          <w:r>
            <w:rPr>
              <w:color w:val="auto"/>
              <w:sz w:val="22"/>
              <w:szCs w:val="28"/>
              <w:highlight w:val="none"/>
            </w:rPr>
            <w:fldChar w:fldCharType="separate"/>
          </w:r>
          <w:r>
            <w:rPr>
              <w:color w:val="auto"/>
              <w:sz w:val="22"/>
              <w:szCs w:val="28"/>
              <w:highlight w:val="none"/>
            </w:rPr>
            <w:t>32</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5D0D498A">
          <w:pPr>
            <w:pStyle w:val="46"/>
            <w:pageBreakBefore w:val="0"/>
            <w:tabs>
              <w:tab w:val="right" w:leader="dot" w:pos="9638"/>
            </w:tabs>
            <w:kinsoku/>
            <w:wordWrap w:val="0"/>
            <w:topLinePunct w:val="0"/>
            <w:bidi w:val="0"/>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_Toc31356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附件三</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_Toc31356 \h </w:instrText>
          </w:r>
          <w:r>
            <w:rPr>
              <w:color w:val="auto"/>
              <w:sz w:val="22"/>
              <w:szCs w:val="28"/>
              <w:highlight w:val="none"/>
            </w:rPr>
            <w:fldChar w:fldCharType="separate"/>
          </w:r>
          <w:r>
            <w:rPr>
              <w:color w:val="auto"/>
              <w:sz w:val="22"/>
              <w:szCs w:val="28"/>
              <w:highlight w:val="none"/>
            </w:rPr>
            <w:t>32</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B3C7A61">
          <w:pPr>
            <w:pStyle w:val="30"/>
            <w:pageBreakBefore w:val="0"/>
            <w:tabs>
              <w:tab w:val="right" w:leader="dot" w:pos="9638"/>
            </w:tabs>
            <w:kinsoku/>
            <w:wordWrap w:val="0"/>
            <w:topLinePunct w:val="0"/>
            <w:bidi w:val="0"/>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_Toc13639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lang w:val="zh-CN"/>
            </w:rPr>
            <w:t>商务技术文件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_Toc13639 \h </w:instrText>
          </w:r>
          <w:r>
            <w:rPr>
              <w:color w:val="auto"/>
              <w:sz w:val="22"/>
              <w:szCs w:val="28"/>
              <w:highlight w:val="none"/>
            </w:rPr>
            <w:fldChar w:fldCharType="separate"/>
          </w:r>
          <w:r>
            <w:rPr>
              <w:color w:val="auto"/>
              <w:sz w:val="22"/>
              <w:szCs w:val="28"/>
              <w:highlight w:val="none"/>
            </w:rPr>
            <w:t>37</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53996825">
          <w:pPr>
            <w:pStyle w:val="40"/>
            <w:pageBreakBefore w:val="0"/>
            <w:tabs>
              <w:tab w:val="right" w:leader="dot" w:pos="9638"/>
            </w:tabs>
            <w:kinsoku/>
            <w:wordWrap w:val="0"/>
            <w:topLinePunct w:val="0"/>
            <w:bidi w:val="0"/>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_Toc3381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第四部分 项目技术规范和服务要求</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_Toc3381 \h </w:instrText>
          </w:r>
          <w:r>
            <w:rPr>
              <w:color w:val="auto"/>
              <w:sz w:val="22"/>
              <w:szCs w:val="28"/>
              <w:highlight w:val="none"/>
            </w:rPr>
            <w:fldChar w:fldCharType="separate"/>
          </w:r>
          <w:r>
            <w:rPr>
              <w:color w:val="auto"/>
              <w:sz w:val="22"/>
              <w:szCs w:val="28"/>
              <w:highlight w:val="none"/>
            </w:rPr>
            <w:t>52</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3377E241">
          <w:pPr>
            <w:pStyle w:val="40"/>
            <w:pageBreakBefore w:val="0"/>
            <w:tabs>
              <w:tab w:val="right" w:leader="dot" w:pos="9638"/>
            </w:tabs>
            <w:kinsoku/>
            <w:wordWrap w:val="0"/>
            <w:topLinePunct w:val="0"/>
            <w:bidi w:val="0"/>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_Toc18194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第五部分   评标原则及方法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_Toc18194 \h </w:instrText>
          </w:r>
          <w:r>
            <w:rPr>
              <w:color w:val="auto"/>
              <w:sz w:val="22"/>
              <w:szCs w:val="28"/>
              <w:highlight w:val="none"/>
            </w:rPr>
            <w:fldChar w:fldCharType="separate"/>
          </w:r>
          <w:r>
            <w:rPr>
              <w:color w:val="auto"/>
              <w:sz w:val="22"/>
              <w:szCs w:val="28"/>
              <w:highlight w:val="none"/>
            </w:rPr>
            <w:t>209</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132C2CC4">
          <w:pPr>
            <w:pStyle w:val="46"/>
            <w:pageBreakBefore w:val="0"/>
            <w:tabs>
              <w:tab w:val="right" w:leader="dot" w:pos="9638"/>
            </w:tabs>
            <w:kinsoku/>
            <w:wordWrap w:val="0"/>
            <w:topLinePunct w:val="0"/>
            <w:bidi w:val="0"/>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_Toc15713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一、总 则</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_Toc15713 \h </w:instrText>
          </w:r>
          <w:r>
            <w:rPr>
              <w:color w:val="auto"/>
              <w:sz w:val="22"/>
              <w:szCs w:val="28"/>
              <w:highlight w:val="none"/>
            </w:rPr>
            <w:fldChar w:fldCharType="separate"/>
          </w:r>
          <w:r>
            <w:rPr>
              <w:color w:val="auto"/>
              <w:sz w:val="22"/>
              <w:szCs w:val="28"/>
              <w:highlight w:val="none"/>
            </w:rPr>
            <w:t>209</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7AC8EA9F">
          <w:pPr>
            <w:pStyle w:val="46"/>
            <w:pageBreakBefore w:val="0"/>
            <w:tabs>
              <w:tab w:val="right" w:leader="dot" w:pos="9638"/>
            </w:tabs>
            <w:kinsoku/>
            <w:wordWrap w:val="0"/>
            <w:topLinePunct w:val="0"/>
            <w:bidi w:val="0"/>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_Toc23152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二、评标组织</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_Toc23152 \h </w:instrText>
          </w:r>
          <w:r>
            <w:rPr>
              <w:color w:val="auto"/>
              <w:sz w:val="22"/>
              <w:szCs w:val="28"/>
              <w:highlight w:val="none"/>
            </w:rPr>
            <w:fldChar w:fldCharType="separate"/>
          </w:r>
          <w:r>
            <w:rPr>
              <w:color w:val="auto"/>
              <w:sz w:val="22"/>
              <w:szCs w:val="28"/>
              <w:highlight w:val="none"/>
            </w:rPr>
            <w:t>209</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6A59653">
          <w:pPr>
            <w:pStyle w:val="46"/>
            <w:pageBreakBefore w:val="0"/>
            <w:tabs>
              <w:tab w:val="right" w:leader="dot" w:pos="9638"/>
            </w:tabs>
            <w:kinsoku/>
            <w:wordWrap w:val="0"/>
            <w:topLinePunct w:val="0"/>
            <w:bidi w:val="0"/>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_Toc67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三、评标程序</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_Toc67 \h </w:instrText>
          </w:r>
          <w:r>
            <w:rPr>
              <w:color w:val="auto"/>
              <w:sz w:val="22"/>
              <w:szCs w:val="28"/>
              <w:highlight w:val="none"/>
            </w:rPr>
            <w:fldChar w:fldCharType="separate"/>
          </w:r>
          <w:r>
            <w:rPr>
              <w:color w:val="auto"/>
              <w:sz w:val="22"/>
              <w:szCs w:val="28"/>
              <w:highlight w:val="none"/>
            </w:rPr>
            <w:t>209</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65FC6AAB">
          <w:pPr>
            <w:pStyle w:val="46"/>
            <w:pageBreakBefore w:val="0"/>
            <w:tabs>
              <w:tab w:val="right" w:leader="dot" w:pos="9638"/>
            </w:tabs>
            <w:kinsoku/>
            <w:wordWrap w:val="0"/>
            <w:topLinePunct w:val="0"/>
            <w:bidi w:val="0"/>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_Toc24825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四、评标办法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_Toc24825 \h </w:instrText>
          </w:r>
          <w:r>
            <w:rPr>
              <w:color w:val="auto"/>
              <w:sz w:val="22"/>
              <w:szCs w:val="28"/>
              <w:highlight w:val="none"/>
            </w:rPr>
            <w:fldChar w:fldCharType="separate"/>
          </w:r>
          <w:r>
            <w:rPr>
              <w:color w:val="auto"/>
              <w:sz w:val="22"/>
              <w:szCs w:val="28"/>
              <w:highlight w:val="none"/>
            </w:rPr>
            <w:t>209</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073E96CA">
          <w:pPr>
            <w:pStyle w:val="46"/>
            <w:pageBreakBefore w:val="0"/>
            <w:tabs>
              <w:tab w:val="right" w:leader="dot" w:pos="9638"/>
            </w:tabs>
            <w:kinsoku/>
            <w:wordWrap w:val="0"/>
            <w:topLinePunct w:val="0"/>
            <w:bidi w:val="0"/>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_Toc11450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五、 评分细则</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_Toc11450 \h </w:instrText>
          </w:r>
          <w:r>
            <w:rPr>
              <w:color w:val="auto"/>
              <w:sz w:val="22"/>
              <w:szCs w:val="28"/>
              <w:highlight w:val="none"/>
            </w:rPr>
            <w:fldChar w:fldCharType="separate"/>
          </w:r>
          <w:r>
            <w:rPr>
              <w:color w:val="auto"/>
              <w:sz w:val="22"/>
              <w:szCs w:val="28"/>
              <w:highlight w:val="none"/>
            </w:rPr>
            <w:t>209</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64D0D122">
          <w:pPr>
            <w:pStyle w:val="46"/>
            <w:pageBreakBefore w:val="0"/>
            <w:tabs>
              <w:tab w:val="right" w:leader="dot" w:pos="9638"/>
            </w:tabs>
            <w:kinsoku/>
            <w:wordWrap w:val="0"/>
            <w:topLinePunct w:val="0"/>
            <w:bidi w:val="0"/>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_Toc4727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六、定标办法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_Toc4727 \h </w:instrText>
          </w:r>
          <w:r>
            <w:rPr>
              <w:color w:val="auto"/>
              <w:sz w:val="22"/>
              <w:szCs w:val="28"/>
              <w:highlight w:val="none"/>
            </w:rPr>
            <w:fldChar w:fldCharType="separate"/>
          </w:r>
          <w:r>
            <w:rPr>
              <w:color w:val="auto"/>
              <w:sz w:val="22"/>
              <w:szCs w:val="28"/>
              <w:highlight w:val="none"/>
            </w:rPr>
            <w:t>212</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6451BCCE">
          <w:pPr>
            <w:pStyle w:val="46"/>
            <w:pageBreakBefore w:val="0"/>
            <w:tabs>
              <w:tab w:val="right" w:leader="dot" w:pos="9638"/>
            </w:tabs>
            <w:kinsoku/>
            <w:wordWrap w:val="0"/>
            <w:topLinePunct w:val="0"/>
            <w:bidi w:val="0"/>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_Toc3629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七、投标人义务</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_Toc3629 \h </w:instrText>
          </w:r>
          <w:r>
            <w:rPr>
              <w:color w:val="auto"/>
              <w:sz w:val="22"/>
              <w:szCs w:val="28"/>
              <w:highlight w:val="none"/>
            </w:rPr>
            <w:fldChar w:fldCharType="separate"/>
          </w:r>
          <w:r>
            <w:rPr>
              <w:color w:val="auto"/>
              <w:sz w:val="22"/>
              <w:szCs w:val="28"/>
              <w:highlight w:val="none"/>
            </w:rPr>
            <w:t>213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6054F201">
          <w:pPr>
            <w:pageBreakBefore w:val="0"/>
            <w:kinsoku/>
            <w:wordWrap w:val="0"/>
            <w:topLinePunct w:val="0"/>
            <w:bidi w:val="0"/>
            <w:spacing w:line="360" w:lineRule="auto"/>
            <w:ind w:firstLine="1870" w:firstLineChars="850"/>
            <w:rPr>
              <w:rFonts w:hint="eastAsia" w:ascii="宋体" w:hAnsi="宋体" w:eastAsia="宋体" w:cs="宋体"/>
              <w:b/>
              <w:color w:val="auto"/>
              <w:sz w:val="22"/>
              <w:szCs w:val="22"/>
              <w:highlight w:val="none"/>
            </w:rPr>
          </w:pPr>
          <w:r>
            <w:rPr>
              <w:rFonts w:hint="eastAsia" w:ascii="宋体" w:hAnsi="宋体" w:eastAsia="宋体" w:cs="宋体"/>
              <w:color w:val="auto"/>
              <w:sz w:val="22"/>
              <w:szCs w:val="40"/>
              <w:highlight w:val="none"/>
            </w:rPr>
            <w:fldChar w:fldCharType="end"/>
          </w:r>
        </w:p>
      </w:sdtContent>
    </w:sdt>
    <w:p w14:paraId="5A312347">
      <w:pPr>
        <w:pStyle w:val="3"/>
        <w:pageBreakBefore w:val="0"/>
        <w:kinsoku/>
        <w:wordWrap w:val="0"/>
        <w:topLinePunct w:val="0"/>
        <w:bidi w:val="0"/>
        <w:rPr>
          <w:rFonts w:hint="eastAsia" w:ascii="宋体" w:hAnsi="宋体" w:eastAsia="宋体" w:cs="宋体"/>
          <w:b/>
          <w:color w:val="auto"/>
          <w:highlight w:val="none"/>
        </w:rPr>
      </w:pPr>
      <w:bookmarkStart w:id="0" w:name="_Toc6599"/>
      <w:bookmarkStart w:id="1" w:name="_Toc32649"/>
      <w:r>
        <w:rPr>
          <w:rFonts w:hint="eastAsia" w:ascii="宋体" w:hAnsi="宋体" w:eastAsia="宋体" w:cs="宋体"/>
          <w:color w:val="auto"/>
          <w:highlight w:val="none"/>
        </w:rPr>
        <w:t>招</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标</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公</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告</w:t>
      </w:r>
      <w:bookmarkEnd w:id="0"/>
      <w:bookmarkEnd w:id="1"/>
    </w:p>
    <w:p w14:paraId="074C4497">
      <w:pPr>
        <w:pageBreakBefore w:val="0"/>
        <w:tabs>
          <w:tab w:val="left" w:pos="360"/>
        </w:tabs>
        <w:kinsoku/>
        <w:wordWrap w:val="0"/>
        <w:topLinePunct w:val="0"/>
        <w:bidi w:val="0"/>
        <w:spacing w:line="460" w:lineRule="exact"/>
        <w:ind w:firstLine="552" w:firstLineChars="250"/>
        <w:rPr>
          <w:rFonts w:hint="eastAsia" w:ascii="宋体" w:hAnsi="宋体" w:eastAsia="宋体" w:cs="宋体"/>
          <w:b/>
          <w:bCs/>
          <w:color w:val="auto"/>
          <w:sz w:val="22"/>
          <w:highlight w:val="none"/>
        </w:rPr>
      </w:pPr>
      <w:r>
        <w:rPr>
          <w:b/>
          <w:bCs/>
          <w:color w:val="auto"/>
          <w:sz w:val="22"/>
          <w:highlight w:val="none"/>
        </w:rPr>
        <mc:AlternateContent>
          <mc:Choice Requires="wps">
            <w:drawing>
              <wp:anchor distT="0" distB="0" distL="114300" distR="114300" simplePos="0" relativeHeight="251661312" behindDoc="0" locked="0" layoutInCell="1" allowOverlap="1">
                <wp:simplePos x="0" y="0"/>
                <wp:positionH relativeFrom="column">
                  <wp:posOffset>-196850</wp:posOffset>
                </wp:positionH>
                <wp:positionV relativeFrom="paragraph">
                  <wp:posOffset>3810</wp:posOffset>
                </wp:positionV>
                <wp:extent cx="6499225" cy="953135"/>
                <wp:effectExtent l="6350" t="6350" r="9525" b="12065"/>
                <wp:wrapNone/>
                <wp:docPr id="1" name="矩形 1"/>
                <wp:cNvGraphicFramePr/>
                <a:graphic xmlns:a="http://schemas.openxmlformats.org/drawingml/2006/main">
                  <a:graphicData uri="http://schemas.microsoft.com/office/word/2010/wordprocessingShape">
                    <wps:wsp>
                      <wps:cNvSpPr/>
                      <wps:spPr>
                        <a:xfrm>
                          <a:off x="0" y="0"/>
                          <a:ext cx="6499225" cy="953135"/>
                        </a:xfrm>
                        <a:prstGeom prst="rect">
                          <a:avLst/>
                        </a:prstGeom>
                        <a:noFill/>
                        <a:ln w="12700" cap="flat" cmpd="sng">
                          <a:solidFill>
                            <a:srgbClr val="000000"/>
                          </a:solidFill>
                          <a:prstDash val="solid"/>
                          <a:round/>
                          <a:headEnd type="none" w="med" len="med"/>
                          <a:tailEnd type="none" w="med" len="med"/>
                        </a:ln>
                      </wps:spPr>
                      <wps:bodyPr anchor="ctr" anchorCtr="0" upright="1"/>
                    </wps:wsp>
                  </a:graphicData>
                </a:graphic>
              </wp:anchor>
            </w:drawing>
          </mc:Choice>
          <mc:Fallback>
            <w:pict>
              <v:rect id="_x0000_s1026" o:spid="_x0000_s1026" o:spt="1" style="position:absolute;left:0pt;margin-left:-15.5pt;margin-top:0.3pt;height:75.05pt;width:511.75pt;z-index:251661312;v-text-anchor:middle;mso-width-relative:page;mso-height-relative:page;" filled="f" stroked="t" coordsize="21600,21600" o:gfxdata="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X666Q2AAAAAgBAAAPAAAAAAAAAAEAIAAAACIAAABkcnMv&#10;ZG93bnJldi54bWxQSwECFAAUAAAACACHTuJA2yveaAMCAAARBAAADgAAAAAAAAABACAAAAAnAQAA&#10;ZHJzL2Uyb0RvYy54bWxQSwUGAAAAAAYABgBZAQAAnAUAAAAA&#10;">
                <v:fill on="f" focussize="0,0"/>
                <v:stroke weight="1pt" color="#000000" joinstyle="round"/>
                <v:imagedata o:title=""/>
                <o:lock v:ext="edit" aspectratio="f"/>
              </v:rect>
            </w:pict>
          </mc:Fallback>
        </mc:AlternateContent>
      </w:r>
      <w:r>
        <w:rPr>
          <w:rFonts w:hint="eastAsia" w:ascii="宋体" w:hAnsi="宋体" w:eastAsia="宋体" w:cs="宋体"/>
          <w:b/>
          <w:bCs/>
          <w:color w:val="auto"/>
          <w:sz w:val="22"/>
          <w:highlight w:val="none"/>
        </w:rPr>
        <w:t>项目概况</w:t>
      </w:r>
    </w:p>
    <w:p w14:paraId="6E669BD3">
      <w:pPr>
        <w:pageBreakBefore w:val="0"/>
        <w:tabs>
          <w:tab w:val="left" w:pos="360"/>
        </w:tabs>
        <w:kinsoku/>
        <w:wordWrap w:val="0"/>
        <w:topLinePunct w:val="0"/>
        <w:bidi w:val="0"/>
        <w:spacing w:line="460" w:lineRule="exact"/>
        <w:ind w:firstLine="550" w:firstLineChars="250"/>
        <w:rPr>
          <w:rFonts w:hint="eastAsia" w:ascii="宋体" w:hAnsi="宋体" w:eastAsia="宋体" w:cs="宋体"/>
          <w:color w:val="auto"/>
          <w:sz w:val="22"/>
          <w:highlight w:val="none"/>
        </w:rPr>
      </w:pPr>
      <w:r>
        <w:rPr>
          <w:rFonts w:hint="eastAsia" w:ascii="宋体" w:hAnsi="宋体" w:cs="宋体"/>
          <w:color w:val="auto"/>
          <w:sz w:val="22"/>
          <w:highlight w:val="none"/>
          <w:lang w:eastAsia="zh-CN"/>
        </w:rPr>
        <w:t>2025年学校图书</w:t>
      </w:r>
      <w:r>
        <w:rPr>
          <w:rFonts w:hint="eastAsia" w:ascii="宋体" w:hAnsi="宋体" w:eastAsia="宋体" w:cs="宋体"/>
          <w:color w:val="auto"/>
          <w:sz w:val="22"/>
          <w:highlight w:val="none"/>
        </w:rPr>
        <w:t>招标项目的潜在投标人应在浙江政府采购网获取（下载）招标文件，并于</w:t>
      </w:r>
      <w:r>
        <w:rPr>
          <w:rFonts w:hint="eastAsia" w:ascii="宋体" w:hAnsi="宋体" w:cs="宋体"/>
          <w:color w:val="auto"/>
          <w:sz w:val="22"/>
          <w:highlight w:val="none"/>
          <w:lang w:val="en-US" w:eastAsia="zh-CN"/>
        </w:rPr>
        <w:t>2025年7月29日 09点30分</w:t>
      </w:r>
      <w:r>
        <w:rPr>
          <w:rFonts w:hint="eastAsia" w:ascii="宋体" w:hAnsi="宋体" w:eastAsia="宋体" w:cs="宋体"/>
          <w:color w:val="auto"/>
          <w:sz w:val="22"/>
          <w:highlight w:val="none"/>
        </w:rPr>
        <w:t>（北京时间）前递交（上传）投标文件。</w:t>
      </w:r>
    </w:p>
    <w:p w14:paraId="238BDFDC">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lang w:val="en-US" w:eastAsia="zh-CN"/>
        </w:rPr>
      </w:pPr>
      <w:r>
        <w:rPr>
          <w:rFonts w:hint="eastAsia"/>
          <w:b/>
          <w:bCs/>
          <w:color w:val="auto"/>
          <w:sz w:val="22"/>
          <w:szCs w:val="22"/>
          <w:highlight w:val="none"/>
          <w:u w:val="none"/>
        </w:rPr>
        <w:t>一、项目基本情况</w:t>
      </w:r>
      <w:r>
        <w:rPr>
          <w:rFonts w:hint="eastAsia"/>
          <w:color w:val="auto"/>
          <w:sz w:val="22"/>
          <w:szCs w:val="22"/>
          <w:highlight w:val="none"/>
          <w:u w:val="none"/>
          <w:lang w:val="en-US" w:eastAsia="zh-CN"/>
        </w:rPr>
        <w:t>                                           </w:t>
      </w:r>
    </w:p>
    <w:p w14:paraId="11D92BA9">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项目编号：</w:t>
      </w:r>
      <w:r>
        <w:rPr>
          <w:rFonts w:hint="eastAsia"/>
          <w:color w:val="auto"/>
          <w:sz w:val="22"/>
          <w:szCs w:val="22"/>
          <w:highlight w:val="none"/>
          <w:u w:val="none"/>
          <w:lang w:eastAsia="zh-CN"/>
        </w:rPr>
        <w:t>WZLCZB（Z）-2025-07016</w:t>
      </w:r>
      <w:r>
        <w:rPr>
          <w:rFonts w:hint="eastAsia"/>
          <w:color w:val="auto"/>
          <w:sz w:val="22"/>
          <w:szCs w:val="22"/>
          <w:highlight w:val="none"/>
          <w:u w:val="none"/>
          <w:lang w:val="en-US" w:eastAsia="zh-CN"/>
        </w:rPr>
        <w:t> </w:t>
      </w:r>
    </w:p>
    <w:p w14:paraId="4995598C">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项目名称：</w:t>
      </w:r>
      <w:r>
        <w:rPr>
          <w:rFonts w:hint="eastAsia"/>
          <w:color w:val="auto"/>
          <w:sz w:val="22"/>
          <w:szCs w:val="22"/>
          <w:highlight w:val="none"/>
          <w:u w:val="none"/>
          <w:lang w:eastAsia="zh-CN"/>
        </w:rPr>
        <w:t>2025年学校图书</w:t>
      </w:r>
    </w:p>
    <w:p w14:paraId="1BDBA8AE">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预算金额（元）：2400000  </w:t>
      </w:r>
    </w:p>
    <w:p w14:paraId="1F56218F">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最高限价（元）：/ </w:t>
      </w:r>
    </w:p>
    <w:p w14:paraId="45555081">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采购需求：</w:t>
      </w:r>
    </w:p>
    <w:p w14:paraId="32F658DD">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 标项名称:</w:t>
      </w:r>
      <w:r>
        <w:rPr>
          <w:rFonts w:hint="eastAsia"/>
          <w:color w:val="auto"/>
          <w:sz w:val="22"/>
          <w:szCs w:val="22"/>
          <w:highlight w:val="none"/>
          <w:u w:val="none"/>
          <w:lang w:eastAsia="zh-CN"/>
        </w:rPr>
        <w:t>2025年学校图书</w:t>
      </w:r>
      <w:r>
        <w:rPr>
          <w:rFonts w:hint="eastAsia"/>
          <w:color w:val="auto"/>
          <w:sz w:val="22"/>
          <w:szCs w:val="22"/>
          <w:highlight w:val="none"/>
          <w:u w:val="none"/>
          <w:lang w:val="en-US" w:eastAsia="zh-CN"/>
        </w:rPr>
        <w:t> </w:t>
      </w:r>
      <w:r>
        <w:rPr>
          <w:rFonts w:hint="eastAsia"/>
          <w:color w:val="auto"/>
          <w:sz w:val="22"/>
          <w:szCs w:val="22"/>
          <w:highlight w:val="none"/>
          <w:u w:val="none"/>
          <w:lang w:val="en-US" w:eastAsia="zh-CN"/>
        </w:rPr>
        <w:br w:type="textWrapping"/>
      </w:r>
      <w:r>
        <w:rPr>
          <w:rFonts w:hint="eastAsia"/>
          <w:color w:val="auto"/>
          <w:sz w:val="22"/>
          <w:szCs w:val="22"/>
          <w:highlight w:val="none"/>
          <w:u w:val="none"/>
          <w:lang w:val="en-US" w:eastAsia="zh-CN"/>
        </w:rPr>
        <w:t>    数量:1  </w:t>
      </w:r>
      <w:r>
        <w:rPr>
          <w:rFonts w:hint="eastAsia"/>
          <w:color w:val="auto"/>
          <w:sz w:val="22"/>
          <w:szCs w:val="22"/>
          <w:highlight w:val="none"/>
          <w:u w:val="none"/>
          <w:lang w:val="en-US" w:eastAsia="zh-CN"/>
        </w:rPr>
        <w:br w:type="textWrapping"/>
      </w:r>
      <w:r>
        <w:rPr>
          <w:rFonts w:hint="eastAsia"/>
          <w:color w:val="auto"/>
          <w:sz w:val="22"/>
          <w:szCs w:val="22"/>
          <w:highlight w:val="none"/>
          <w:u w:val="none"/>
          <w:lang w:val="en-US" w:eastAsia="zh-CN"/>
        </w:rPr>
        <w:t>    预算金额（元）:2400000 </w:t>
      </w:r>
      <w:r>
        <w:rPr>
          <w:rFonts w:hint="eastAsia"/>
          <w:color w:val="auto"/>
          <w:sz w:val="22"/>
          <w:szCs w:val="22"/>
          <w:highlight w:val="none"/>
          <w:u w:val="none"/>
          <w:lang w:val="en-US" w:eastAsia="zh-CN"/>
        </w:rPr>
        <w:br w:type="textWrapping"/>
      </w:r>
      <w:r>
        <w:rPr>
          <w:rFonts w:hint="eastAsia"/>
          <w:color w:val="auto"/>
          <w:sz w:val="22"/>
          <w:szCs w:val="22"/>
          <w:highlight w:val="none"/>
          <w:u w:val="none"/>
          <w:lang w:val="en-US" w:eastAsia="zh-CN"/>
        </w:rPr>
        <w:t>    简要规格描述或项目基本概况介绍、用途：具体详见招标文件 </w:t>
      </w:r>
      <w:r>
        <w:rPr>
          <w:rFonts w:hint="eastAsia"/>
          <w:color w:val="auto"/>
          <w:sz w:val="22"/>
          <w:szCs w:val="22"/>
          <w:highlight w:val="none"/>
          <w:u w:val="none"/>
          <w:lang w:val="en-US" w:eastAsia="zh-CN"/>
        </w:rPr>
        <w:br w:type="textWrapping"/>
      </w:r>
      <w:r>
        <w:rPr>
          <w:rFonts w:hint="eastAsia"/>
          <w:color w:val="auto"/>
          <w:sz w:val="22"/>
          <w:szCs w:val="22"/>
          <w:highlight w:val="none"/>
          <w:u w:val="none"/>
          <w:lang w:val="en-US" w:eastAsia="zh-CN"/>
        </w:rPr>
        <w:t>    备注： </w:t>
      </w:r>
    </w:p>
    <w:p w14:paraId="5A3B06A5">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 合同履约期限：标项 1，具体详见招标文件</w:t>
      </w:r>
    </w:p>
    <w:p w14:paraId="3C213588">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lang w:val="en-US" w:eastAsia="zh-CN"/>
        </w:rPr>
        <w:t> 本项目（是）接受联合体投标。</w:t>
      </w:r>
    </w:p>
    <w:p w14:paraId="16B1BCA1">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lang w:val="en-US" w:eastAsia="zh-CN"/>
        </w:rPr>
      </w:pPr>
      <w:r>
        <w:rPr>
          <w:rFonts w:hint="eastAsia"/>
          <w:b/>
          <w:bCs/>
          <w:color w:val="auto"/>
          <w:sz w:val="22"/>
          <w:szCs w:val="22"/>
          <w:highlight w:val="none"/>
          <w:u w:val="none"/>
          <w:lang w:val="en-US" w:eastAsia="zh-CN"/>
        </w:rPr>
        <w:t>二、申请人的资格要求：</w:t>
      </w:r>
    </w:p>
    <w:p w14:paraId="39B3C101">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1.满足《中华人民共和国政府采购法》第二十二条规定；未被“信用中国”（www.creditchina.gov.cn)、中国政府采购网（www.ccgp.gov.cn）列入失信被执行人、重大税收违法案件当事人名单、政府采购严重违法失信行为记录名单。</w:t>
      </w:r>
    </w:p>
    <w:p w14:paraId="2561A02F">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2.落实政府采购政策需满足的资格要求：/ </w:t>
      </w:r>
    </w:p>
    <w:p w14:paraId="4224B71C">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3.本项目的特定资格要求：无  </w:t>
      </w:r>
    </w:p>
    <w:p w14:paraId="44A44D6B">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三、获取招标文件 </w:t>
      </w:r>
    </w:p>
    <w:p w14:paraId="3C553E28">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时间：</w:t>
      </w:r>
      <w:r>
        <w:rPr>
          <w:rFonts w:hint="eastAsia"/>
          <w:color w:val="auto"/>
          <w:sz w:val="22"/>
          <w:szCs w:val="22"/>
          <w:highlight w:val="none"/>
          <w:u w:val="none"/>
          <w:lang w:val="en-US" w:eastAsia="zh-CN"/>
        </w:rPr>
        <w:t>2025年7月8日</w:t>
      </w:r>
      <w:r>
        <w:rPr>
          <w:rFonts w:hint="eastAsia"/>
          <w:color w:val="auto"/>
          <w:sz w:val="22"/>
          <w:szCs w:val="22"/>
          <w:highlight w:val="none"/>
          <w:u w:val="none"/>
        </w:rPr>
        <w:t>至2025年7月29日，每天上午00:00至12:00，下午12:00至23:59（北京时间，线上获取法定节假日均可，线下获取文件法定节假日除外）</w:t>
      </w:r>
    </w:p>
    <w:p w14:paraId="1DC3A7E0">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地点（网址）：浙江政府采购网（https://zfcg.czt.zj.gov.cn/） </w:t>
      </w:r>
    </w:p>
    <w:p w14:paraId="5C200CB9">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方式：供应商登录政采云平台https://www.zcygov.cn/在线申请获取采购文件（进入“项目采购”应用，在获取采购文件菜单中选择项目，申请获取采购文件）</w:t>
      </w:r>
    </w:p>
    <w:p w14:paraId="58273D64">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售价（元）：0 </w:t>
      </w:r>
    </w:p>
    <w:p w14:paraId="35AEED42">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四、提交投标文件截止时间、开标时间和地点</w:t>
      </w:r>
    </w:p>
    <w:p w14:paraId="0EC991FB">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提交投标文件截止时间：2025年7月29日 09点30分（北京时间）</w:t>
      </w:r>
    </w:p>
    <w:p w14:paraId="11F84E41">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投标地点（网址）：</w:t>
      </w:r>
      <w:r>
        <w:rPr>
          <w:rFonts w:hint="eastAsia"/>
          <w:color w:val="auto"/>
          <w:sz w:val="22"/>
          <w:highlight w:val="none"/>
        </w:rPr>
        <w:t>政采云平台</w:t>
      </w:r>
      <w:r>
        <w:rPr>
          <w:rFonts w:hint="eastAsia"/>
          <w:color w:val="auto"/>
          <w:sz w:val="22"/>
          <w:highlight w:val="none"/>
          <w:lang w:eastAsia="zh-CN"/>
        </w:rPr>
        <w:t>（</w:t>
      </w:r>
      <w:r>
        <w:rPr>
          <w:rFonts w:hint="eastAsia"/>
          <w:color w:val="auto"/>
          <w:sz w:val="22"/>
          <w:highlight w:val="none"/>
        </w:rPr>
        <w:t>http://zfcg.czt.zj.gov.cn</w:t>
      </w:r>
      <w:r>
        <w:rPr>
          <w:rFonts w:hint="eastAsia" w:ascii="宋体" w:hAnsi="宋体" w:eastAsia="宋体" w:cs="宋体"/>
          <w:color w:val="auto"/>
          <w:sz w:val="22"/>
          <w:highlight w:val="none"/>
          <w:lang w:val="en-US" w:eastAsia="zh-CN"/>
        </w:rPr>
        <w:t>）</w:t>
      </w:r>
      <w:r>
        <w:rPr>
          <w:rFonts w:hint="eastAsia"/>
          <w:color w:val="auto"/>
          <w:sz w:val="22"/>
          <w:szCs w:val="22"/>
          <w:highlight w:val="none"/>
          <w:u w:val="none"/>
        </w:rPr>
        <w:t> </w:t>
      </w:r>
    </w:p>
    <w:p w14:paraId="79470D9F">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开标时间：2025年7月29日 09点30分</w:t>
      </w:r>
      <w:bookmarkStart w:id="53" w:name="_GoBack"/>
      <w:bookmarkEnd w:id="53"/>
      <w:r>
        <w:rPr>
          <w:rFonts w:hint="eastAsia"/>
          <w:color w:val="auto"/>
          <w:sz w:val="22"/>
          <w:szCs w:val="22"/>
          <w:highlight w:val="none"/>
          <w:u w:val="none"/>
        </w:rPr>
        <w:t> </w:t>
      </w:r>
    </w:p>
    <w:p w14:paraId="5FF22A21">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开标地点（网址）：温州市鹿城区勤民路鹿城壹号18幢803室（政采云平台：http://zfcg.czt.zj.gov.cn）  </w:t>
      </w:r>
    </w:p>
    <w:p w14:paraId="08E02193">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b/>
          <w:bCs/>
          <w:color w:val="auto"/>
          <w:sz w:val="22"/>
          <w:szCs w:val="22"/>
          <w:highlight w:val="none"/>
          <w:u w:val="none"/>
        </w:rPr>
        <w:t>五、公告期限</w:t>
      </w:r>
      <w:r>
        <w:rPr>
          <w:rFonts w:hint="eastAsia"/>
          <w:color w:val="auto"/>
          <w:sz w:val="22"/>
          <w:szCs w:val="22"/>
          <w:highlight w:val="none"/>
          <w:u w:val="none"/>
        </w:rPr>
        <w:t> </w:t>
      </w:r>
    </w:p>
    <w:p w14:paraId="3120A8F9">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自本公告发布之日起5个工作日。</w:t>
      </w:r>
    </w:p>
    <w:p w14:paraId="5FB9E01F">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六、其他补充事宜</w:t>
      </w:r>
    </w:p>
    <w:p w14:paraId="6068474A">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597FDE5">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5F3DD6F8">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BF22D56">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color w:val="auto"/>
          <w:sz w:val="22"/>
          <w:szCs w:val="22"/>
          <w:highlight w:val="none"/>
          <w:u w:val="none"/>
          <w:lang w:val="en-US" w:eastAsia="zh-CN"/>
        </w:rPr>
      </w:pPr>
      <w:r>
        <w:rPr>
          <w:rFonts w:hint="eastAsia" w:ascii="宋体" w:hAnsi="宋体" w:eastAsia="宋体" w:cs="宋体"/>
          <w:color w:val="auto"/>
          <w:sz w:val="22"/>
          <w:highlight w:val="none"/>
          <w:lang w:val="en-US" w:eastAsia="zh-CN"/>
        </w:rPr>
        <w:t>4.其他事项：（一）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二）招标公告附件的采购文件仅供阅览使用，未按照本公告规定的方式获取采购文件的潜在供应商提起的质疑采购组织机构将不予受理、答复。</w:t>
      </w:r>
    </w:p>
    <w:p w14:paraId="6E151347">
      <w:pPr>
        <w:keepNext w:val="0"/>
        <w:keepLines w:val="0"/>
        <w:pageBreakBefore w:val="0"/>
        <w:tabs>
          <w:tab w:val="left" w:pos="360"/>
        </w:tabs>
        <w:kinsoku/>
        <w:wordWrap w:val="0"/>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七、对本次招标提出询问，请按以下方式联系</w:t>
      </w:r>
      <w:r>
        <w:rPr>
          <w:rFonts w:hint="eastAsia" w:ascii="宋体" w:hAnsi="宋体" w:eastAsia="宋体" w:cs="宋体"/>
          <w:color w:val="auto"/>
          <w:sz w:val="22"/>
          <w:szCs w:val="22"/>
          <w:highlight w:val="none"/>
        </w:rPr>
        <w:t>　　　　　　　　　　　　</w:t>
      </w:r>
    </w:p>
    <w:p w14:paraId="79D8F28B">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1.采购人信息</w:t>
      </w:r>
    </w:p>
    <w:p w14:paraId="11AFB829">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color w:val="auto"/>
          <w:sz w:val="22"/>
          <w:szCs w:val="22"/>
          <w:highlight w:val="none"/>
          <w:u w:val="none"/>
          <w:lang w:eastAsia="zh-CN"/>
        </w:rPr>
      </w:pPr>
      <w:r>
        <w:rPr>
          <w:rFonts w:hint="eastAsia"/>
          <w:color w:val="auto"/>
          <w:sz w:val="22"/>
          <w:szCs w:val="22"/>
          <w:highlight w:val="none"/>
          <w:u w:val="none"/>
        </w:rPr>
        <w:t>名  称：</w:t>
      </w:r>
      <w:r>
        <w:rPr>
          <w:rFonts w:hint="eastAsia"/>
          <w:color w:val="auto"/>
          <w:sz w:val="22"/>
          <w:szCs w:val="22"/>
          <w:highlight w:val="none"/>
          <w:u w:val="none"/>
          <w:lang w:eastAsia="zh-CN"/>
        </w:rPr>
        <w:t>温州市龙湾区教育技术服务中心</w:t>
      </w:r>
    </w:p>
    <w:p w14:paraId="3B76C0C4">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 xml:space="preserve">地  址：浙江省温州市龙湾区府后路77号龙湾区行政服务中心大楼9-10层  </w:t>
      </w:r>
    </w:p>
    <w:p w14:paraId="2E68BF8E">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传  真：</w:t>
      </w:r>
      <w:r>
        <w:rPr>
          <w:rFonts w:hint="eastAsia"/>
          <w:color w:val="auto"/>
          <w:sz w:val="22"/>
          <w:szCs w:val="22"/>
          <w:highlight w:val="none"/>
          <w:u w:val="none"/>
          <w:lang w:val="en-US" w:eastAsia="zh-CN"/>
        </w:rPr>
        <w:t>/</w:t>
      </w:r>
      <w:r>
        <w:rPr>
          <w:rFonts w:hint="eastAsia"/>
          <w:color w:val="auto"/>
          <w:sz w:val="22"/>
          <w:szCs w:val="22"/>
          <w:highlight w:val="none"/>
          <w:u w:val="none"/>
        </w:rPr>
        <w:t>   　　</w:t>
      </w:r>
    </w:p>
    <w:p w14:paraId="6FD7C8E5">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项目联系人（询问）：吴</w:t>
      </w:r>
      <w:r>
        <w:rPr>
          <w:rFonts w:hint="eastAsia"/>
          <w:color w:val="auto"/>
          <w:sz w:val="22"/>
          <w:szCs w:val="22"/>
          <w:highlight w:val="none"/>
          <w:u w:val="none"/>
          <w:lang w:val="en-US" w:eastAsia="zh-CN"/>
        </w:rPr>
        <w:t>老师</w:t>
      </w:r>
      <w:r>
        <w:rPr>
          <w:rFonts w:hint="eastAsia"/>
          <w:color w:val="auto"/>
          <w:sz w:val="22"/>
          <w:szCs w:val="22"/>
          <w:highlight w:val="none"/>
          <w:u w:val="none"/>
        </w:rPr>
        <w:t> </w:t>
      </w:r>
    </w:p>
    <w:p w14:paraId="28094FDC">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eastAsia="宋体"/>
          <w:color w:val="auto"/>
          <w:sz w:val="22"/>
          <w:szCs w:val="22"/>
          <w:highlight w:val="none"/>
          <w:u w:val="none"/>
          <w:lang w:val="en-US" w:eastAsia="zh-CN"/>
        </w:rPr>
      </w:pPr>
      <w:r>
        <w:rPr>
          <w:rFonts w:hint="eastAsia"/>
          <w:color w:val="auto"/>
          <w:sz w:val="22"/>
          <w:szCs w:val="22"/>
          <w:highlight w:val="none"/>
          <w:u w:val="none"/>
        </w:rPr>
        <w:t>项目联系方式（询问）：</w:t>
      </w:r>
      <w:r>
        <w:rPr>
          <w:rFonts w:hint="eastAsia"/>
          <w:color w:val="auto"/>
          <w:sz w:val="22"/>
          <w:szCs w:val="22"/>
          <w:highlight w:val="none"/>
          <w:u w:val="none"/>
          <w:lang w:val="en-US" w:eastAsia="zh-CN"/>
        </w:rPr>
        <w:t>0577-86550782</w:t>
      </w:r>
    </w:p>
    <w:p w14:paraId="04C8366F">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color w:val="auto"/>
          <w:sz w:val="22"/>
          <w:szCs w:val="22"/>
          <w:highlight w:val="none"/>
          <w:u w:val="none"/>
          <w:lang w:eastAsia="zh-CN"/>
        </w:rPr>
      </w:pPr>
      <w:r>
        <w:rPr>
          <w:rFonts w:hint="eastAsia"/>
          <w:color w:val="auto"/>
          <w:sz w:val="22"/>
          <w:szCs w:val="22"/>
          <w:highlight w:val="none"/>
          <w:u w:val="none"/>
        </w:rPr>
        <w:t>质疑联系人：沈</w:t>
      </w:r>
      <w:r>
        <w:rPr>
          <w:rFonts w:hint="eastAsia"/>
          <w:color w:val="auto"/>
          <w:sz w:val="22"/>
          <w:szCs w:val="22"/>
          <w:highlight w:val="none"/>
          <w:u w:val="none"/>
          <w:lang w:val="en-US" w:eastAsia="zh-CN"/>
        </w:rPr>
        <w:t>老师</w:t>
      </w:r>
    </w:p>
    <w:p w14:paraId="443CC95A">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质疑联系方式：</w:t>
      </w:r>
      <w:r>
        <w:rPr>
          <w:rFonts w:hint="eastAsia"/>
          <w:color w:val="auto"/>
          <w:sz w:val="22"/>
          <w:szCs w:val="22"/>
          <w:highlight w:val="none"/>
          <w:u w:val="none"/>
          <w:lang w:val="en-US" w:eastAsia="zh-CN"/>
        </w:rPr>
        <w:t>0577-85600678</w:t>
      </w:r>
      <w:r>
        <w:rPr>
          <w:rFonts w:hint="eastAsia"/>
          <w:color w:val="auto"/>
          <w:sz w:val="22"/>
          <w:szCs w:val="22"/>
          <w:highlight w:val="none"/>
          <w:u w:val="none"/>
        </w:rPr>
        <w:t>　　　　　　　</w:t>
      </w:r>
    </w:p>
    <w:p w14:paraId="506B002B">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color w:val="auto"/>
          <w:sz w:val="22"/>
          <w:szCs w:val="22"/>
          <w:highlight w:val="none"/>
          <w:u w:val="none"/>
        </w:rPr>
        <w:t>  2.采购代理机构信息</w:t>
      </w:r>
    </w:p>
    <w:p w14:paraId="00CBB509">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名  称：</w:t>
      </w:r>
      <w:r>
        <w:rPr>
          <w:rFonts w:hint="eastAsia"/>
          <w:color w:val="auto"/>
          <w:sz w:val="22"/>
          <w:szCs w:val="22"/>
          <w:highlight w:val="none"/>
          <w:u w:val="none"/>
          <w:lang w:val="en-US" w:eastAsia="zh-CN"/>
        </w:rPr>
        <w:t>温州历程招标有限公司</w:t>
      </w:r>
      <w:r>
        <w:rPr>
          <w:rFonts w:hint="eastAsia"/>
          <w:color w:val="auto"/>
          <w:sz w:val="22"/>
          <w:szCs w:val="22"/>
          <w:highlight w:val="none"/>
          <w:u w:val="none"/>
        </w:rPr>
        <w:t> </w:t>
      </w:r>
    </w:p>
    <w:p w14:paraId="3CFB2D5F">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  址：</w:t>
      </w:r>
      <w:r>
        <w:rPr>
          <w:rFonts w:hint="eastAsia"/>
          <w:color w:val="auto"/>
          <w:sz w:val="22"/>
          <w:szCs w:val="22"/>
          <w:highlight w:val="none"/>
          <w:lang w:eastAsia="zh-CN"/>
        </w:rPr>
        <w:t>温州市鹿城区勤民路鹿城壹号18幢803室</w:t>
      </w:r>
    </w:p>
    <w:p w14:paraId="7FC307BA">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 xml:space="preserve">传  真：0577-89887255   </w:t>
      </w:r>
    </w:p>
    <w:p w14:paraId="5FD68E4A">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 xml:space="preserve">项目联系人（询问）： </w:t>
      </w:r>
      <w:r>
        <w:rPr>
          <w:rFonts w:hint="eastAsia"/>
          <w:color w:val="auto"/>
          <w:sz w:val="22"/>
          <w:szCs w:val="22"/>
          <w:highlight w:val="none"/>
          <w:u w:val="none"/>
          <w:lang w:val="en-US" w:eastAsia="zh-CN"/>
        </w:rPr>
        <w:t>张斌</w:t>
      </w:r>
      <w:r>
        <w:rPr>
          <w:rFonts w:hint="eastAsia"/>
          <w:color w:val="auto"/>
          <w:sz w:val="22"/>
          <w:szCs w:val="22"/>
          <w:highlight w:val="none"/>
          <w:u w:val="none"/>
        </w:rPr>
        <w:t>、郑永强 </w:t>
      </w:r>
    </w:p>
    <w:p w14:paraId="2B52D50F">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项目联系方式（询问）：0577-89887322、13757727199</w:t>
      </w:r>
    </w:p>
    <w:p w14:paraId="0907D26F">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eastAsia="宋体"/>
          <w:color w:val="auto"/>
          <w:sz w:val="22"/>
          <w:szCs w:val="22"/>
          <w:highlight w:val="none"/>
          <w:u w:val="none"/>
          <w:lang w:val="en-US" w:eastAsia="zh-CN"/>
        </w:rPr>
      </w:pPr>
      <w:r>
        <w:rPr>
          <w:rFonts w:hint="eastAsia"/>
          <w:color w:val="auto"/>
          <w:sz w:val="22"/>
          <w:szCs w:val="22"/>
          <w:highlight w:val="none"/>
          <w:u w:val="none"/>
        </w:rPr>
        <w:t>质疑联系人：</w:t>
      </w:r>
      <w:r>
        <w:rPr>
          <w:rFonts w:hint="eastAsia"/>
          <w:color w:val="auto"/>
          <w:sz w:val="22"/>
          <w:szCs w:val="22"/>
          <w:highlight w:val="none"/>
          <w:u w:val="none"/>
          <w:lang w:val="en-US" w:eastAsia="zh-CN"/>
        </w:rPr>
        <w:t>肖忠文</w:t>
      </w:r>
    </w:p>
    <w:p w14:paraId="52256820">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质疑联系方式：13757727199 </w:t>
      </w:r>
    </w:p>
    <w:p w14:paraId="57AD8CBE">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3.同级政府采购监督管理部门</w:t>
      </w:r>
    </w:p>
    <w:p w14:paraId="0FCA3F6A">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名    称：温州湾新区财政局（龙湾区财政局）（浙江省政府采购行政裁决服务中心（温州））</w:t>
      </w:r>
    </w:p>
    <w:p w14:paraId="06092154">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地    址：温州市鹿城区滨江街道瓯江路展银大厦1606室</w:t>
      </w:r>
    </w:p>
    <w:p w14:paraId="182C0324">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传    真：/</w:t>
      </w:r>
    </w:p>
    <w:p w14:paraId="3C8939C5">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联 系 人：李老师、王老师</w:t>
      </w:r>
    </w:p>
    <w:p w14:paraId="53917983">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监督投诉电话：0577-88501561、0577-85501562</w:t>
      </w:r>
    </w:p>
    <w:p w14:paraId="3EA3CD90">
      <w:pPr>
        <w:pStyle w:val="49"/>
        <w:keepNext w:val="0"/>
        <w:keepLines w:val="0"/>
        <w:pageBreakBefore w:val="0"/>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p>
    <w:p w14:paraId="54E7FE07">
      <w:pPr>
        <w:pStyle w:val="3"/>
        <w:pageBreakBefore w:val="0"/>
        <w:kinsoku/>
        <w:wordWrap w:val="0"/>
        <w:topLinePunct w:val="0"/>
        <w:bidi w:val="0"/>
        <w:rPr>
          <w:rFonts w:hint="eastAsia" w:ascii="宋体" w:hAnsi="宋体" w:eastAsia="宋体" w:cs="宋体"/>
          <w:color w:val="auto"/>
          <w:highlight w:val="none"/>
        </w:rPr>
      </w:pPr>
      <w:bookmarkStart w:id="2" w:name="_Toc5772"/>
      <w:bookmarkStart w:id="3" w:name="_Toc10401"/>
      <w:r>
        <w:rPr>
          <w:rFonts w:hint="eastAsia" w:ascii="宋体" w:hAnsi="宋体" w:eastAsia="宋体" w:cs="宋体"/>
          <w:color w:val="auto"/>
          <w:highlight w:val="none"/>
        </w:rPr>
        <w:t>第一部分    投标人须知</w:t>
      </w:r>
      <w:bookmarkEnd w:id="2"/>
      <w:bookmarkEnd w:id="3"/>
    </w:p>
    <w:p w14:paraId="5E167175">
      <w:pPr>
        <w:keepNext/>
        <w:keepLines/>
        <w:pageBreakBefore w:val="0"/>
        <w:shd w:val="clear" w:color="auto" w:fill="FFFFFF"/>
        <w:tabs>
          <w:tab w:val="left" w:pos="706"/>
        </w:tabs>
        <w:kinsoku/>
        <w:wordWrap w:val="0"/>
        <w:topLinePunct w:val="0"/>
        <w:bidi w:val="0"/>
        <w:snapToGrid w:val="0"/>
        <w:spacing w:line="360" w:lineRule="auto"/>
        <w:jc w:val="center"/>
        <w:outlineLvl w:val="1"/>
        <w:rPr>
          <w:rFonts w:hint="eastAsia" w:ascii="宋体" w:hAnsi="宋体" w:eastAsia="宋体" w:cs="宋体"/>
          <w:b/>
          <w:bCs/>
          <w:color w:val="auto"/>
          <w:sz w:val="24"/>
          <w:highlight w:val="none"/>
        </w:rPr>
      </w:pPr>
      <w:bookmarkStart w:id="4" w:name="_Toc33194387"/>
      <w:bookmarkStart w:id="5" w:name="_Toc1839"/>
      <w:bookmarkStart w:id="6" w:name="_Toc233618971"/>
      <w:bookmarkStart w:id="7" w:name="_Toc6224"/>
      <w:bookmarkStart w:id="8" w:name="_Toc354996695"/>
      <w:r>
        <w:rPr>
          <w:rFonts w:hint="eastAsia" w:ascii="宋体" w:hAnsi="宋体" w:eastAsia="宋体" w:cs="宋体"/>
          <w:b/>
          <w:bCs/>
          <w:color w:val="auto"/>
          <w:sz w:val="24"/>
          <w:highlight w:val="none"/>
        </w:rPr>
        <w:t>前 附 表</w:t>
      </w:r>
      <w:bookmarkEnd w:id="4"/>
      <w:bookmarkEnd w:id="5"/>
      <w:bookmarkEnd w:id="6"/>
      <w:bookmarkEnd w:id="7"/>
      <w:bookmarkEnd w:id="8"/>
    </w:p>
    <w:tbl>
      <w:tblPr>
        <w:tblStyle w:val="52"/>
        <w:tblW w:w="10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5"/>
        <w:gridCol w:w="9590"/>
      </w:tblGrid>
      <w:tr w14:paraId="717AB5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8" w:space="0"/>
              <w:left w:val="single" w:color="000000" w:sz="8" w:space="0"/>
              <w:bottom w:val="single" w:color="000000" w:sz="2" w:space="0"/>
              <w:right w:val="single" w:color="000000" w:sz="2" w:space="0"/>
            </w:tcBorders>
            <w:vAlign w:val="center"/>
          </w:tcPr>
          <w:p w14:paraId="32D17092">
            <w:pPr>
              <w:pageBreakBefore w:val="0"/>
              <w:kinsoku/>
              <w:wordWrap w:val="0"/>
              <w:topLinePunct w:val="0"/>
              <w:bidi w:val="0"/>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条款</w:t>
            </w:r>
          </w:p>
        </w:tc>
        <w:tc>
          <w:tcPr>
            <w:tcW w:w="9590" w:type="dxa"/>
            <w:tcBorders>
              <w:top w:val="single" w:color="000000" w:sz="8" w:space="0"/>
              <w:left w:val="single" w:color="000000" w:sz="2" w:space="0"/>
              <w:bottom w:val="single" w:color="000000" w:sz="2" w:space="0"/>
              <w:right w:val="single" w:color="000000" w:sz="8" w:space="0"/>
            </w:tcBorders>
            <w:vAlign w:val="center"/>
          </w:tcPr>
          <w:p w14:paraId="4FC383E6">
            <w:pPr>
              <w:pageBreakBefore w:val="0"/>
              <w:kinsoku/>
              <w:wordWrap w:val="0"/>
              <w:topLinePunct w:val="0"/>
              <w:bidi w:val="0"/>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内容规定</w:t>
            </w:r>
          </w:p>
        </w:tc>
      </w:tr>
      <w:tr w14:paraId="545E8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8110DC7">
            <w:pPr>
              <w:pageBreakBefore w:val="0"/>
              <w:kinsoku/>
              <w:wordWrap w:val="0"/>
              <w:topLinePunct w:val="0"/>
              <w:bidi w:val="0"/>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w:t>
            </w:r>
          </w:p>
        </w:tc>
        <w:tc>
          <w:tcPr>
            <w:tcW w:w="9590" w:type="dxa"/>
            <w:tcBorders>
              <w:top w:val="single" w:color="000000" w:sz="2" w:space="0"/>
              <w:left w:val="single" w:color="000000" w:sz="2" w:space="0"/>
              <w:bottom w:val="single" w:color="000000" w:sz="2" w:space="0"/>
              <w:right w:val="single" w:color="000000" w:sz="8" w:space="0"/>
            </w:tcBorders>
          </w:tcPr>
          <w:p w14:paraId="07D19084">
            <w:pPr>
              <w:pageBreakBefore w:val="0"/>
              <w:tabs>
                <w:tab w:val="left" w:pos="3780"/>
              </w:tabs>
              <w:kinsoku/>
              <w:wordWrap w:val="0"/>
              <w:topLinePunct w:val="0"/>
              <w:bidi w:val="0"/>
              <w:snapToGrid w:val="0"/>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一、项目名称</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2025年学校图书</w:t>
            </w:r>
          </w:p>
          <w:p w14:paraId="5B3EEDCE">
            <w:pPr>
              <w:pageBreakBefore w:val="0"/>
              <w:kinsoku/>
              <w:wordWrap w:val="0"/>
              <w:topLinePunct w:val="0"/>
              <w:bidi w:val="0"/>
              <w:spacing w:line="460" w:lineRule="exact"/>
              <w:rPr>
                <w:rFonts w:hint="eastAsia" w:ascii="宋体" w:hAnsi="宋体" w:eastAsia="宋体" w:cs="宋体"/>
                <w:b/>
                <w:bCs/>
                <w:color w:val="auto"/>
                <w:sz w:val="22"/>
                <w:szCs w:val="22"/>
                <w:highlight w:val="none"/>
              </w:rPr>
            </w:pPr>
            <w:bookmarkStart w:id="9" w:name="_Hlt75139851"/>
            <w:bookmarkEnd w:id="9"/>
            <w:r>
              <w:rPr>
                <w:rFonts w:hint="eastAsia" w:ascii="宋体" w:hAnsi="宋体" w:eastAsia="宋体" w:cs="宋体"/>
                <w:b/>
                <w:bCs/>
                <w:color w:val="auto"/>
                <w:sz w:val="22"/>
                <w:szCs w:val="22"/>
                <w:highlight w:val="none"/>
              </w:rPr>
              <w:t>二、采购内容：</w:t>
            </w:r>
          </w:p>
          <w:tbl>
            <w:tblPr>
              <w:tblStyle w:val="52"/>
              <w:tblW w:w="90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0"/>
              <w:gridCol w:w="2493"/>
              <w:gridCol w:w="730"/>
              <w:gridCol w:w="2217"/>
              <w:gridCol w:w="2873"/>
            </w:tblGrid>
            <w:tr w14:paraId="7EF10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4AE04E06">
                  <w:pPr>
                    <w:pageBreakBefore w:val="0"/>
                    <w:tabs>
                      <w:tab w:val="left" w:pos="360"/>
                    </w:tabs>
                    <w:kinsoku/>
                    <w:wordWrap w:val="0"/>
                    <w:topLinePunct w:val="0"/>
                    <w:bidi w:val="0"/>
                    <w:spacing w:line="460" w:lineRule="exact"/>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rPr>
                    <w:t>序号</w:t>
                  </w:r>
                </w:p>
              </w:tc>
              <w:tc>
                <w:tcPr>
                  <w:tcW w:w="2493" w:type="dxa"/>
                  <w:tcBorders>
                    <w:top w:val="single" w:color="auto" w:sz="4" w:space="0"/>
                    <w:left w:val="single" w:color="auto" w:sz="4" w:space="0"/>
                    <w:bottom w:val="single" w:color="auto" w:sz="4" w:space="0"/>
                    <w:right w:val="single" w:color="auto" w:sz="4" w:space="0"/>
                  </w:tcBorders>
                  <w:vAlign w:val="center"/>
                </w:tcPr>
                <w:p w14:paraId="2DDFCCDC">
                  <w:pPr>
                    <w:pageBreakBefore w:val="0"/>
                    <w:tabs>
                      <w:tab w:val="left" w:pos="360"/>
                    </w:tabs>
                    <w:kinsoku/>
                    <w:wordWrap w:val="0"/>
                    <w:topLinePunct w:val="0"/>
                    <w:bidi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30" w:type="dxa"/>
                  <w:tcBorders>
                    <w:top w:val="single" w:color="auto" w:sz="4" w:space="0"/>
                    <w:left w:val="single" w:color="auto" w:sz="4" w:space="0"/>
                    <w:bottom w:val="single" w:color="auto" w:sz="4" w:space="0"/>
                    <w:right w:val="single" w:color="auto" w:sz="4" w:space="0"/>
                  </w:tcBorders>
                  <w:vAlign w:val="center"/>
                </w:tcPr>
                <w:p w14:paraId="01D7F00E">
                  <w:pPr>
                    <w:pageBreakBefore w:val="0"/>
                    <w:tabs>
                      <w:tab w:val="left" w:pos="360"/>
                    </w:tabs>
                    <w:kinsoku/>
                    <w:wordWrap w:val="0"/>
                    <w:topLinePunct w:val="0"/>
                    <w:bidi w:val="0"/>
                    <w:spacing w:line="460" w:lineRule="exact"/>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rPr>
                    <w:t>单位</w:t>
                  </w:r>
                </w:p>
              </w:tc>
              <w:tc>
                <w:tcPr>
                  <w:tcW w:w="2217" w:type="dxa"/>
                  <w:tcBorders>
                    <w:top w:val="single" w:color="auto" w:sz="4" w:space="0"/>
                    <w:left w:val="single" w:color="auto" w:sz="4" w:space="0"/>
                    <w:bottom w:val="single" w:color="auto" w:sz="4" w:space="0"/>
                    <w:right w:val="single" w:color="auto" w:sz="4" w:space="0"/>
                  </w:tcBorders>
                  <w:shd w:val="clear" w:color="auto" w:fill="auto"/>
                  <w:vAlign w:val="center"/>
                </w:tcPr>
                <w:p w14:paraId="7EB67742">
                  <w:pPr>
                    <w:pageBreakBefore w:val="0"/>
                    <w:tabs>
                      <w:tab w:val="left" w:pos="360"/>
                    </w:tabs>
                    <w:kinsoku/>
                    <w:wordWrap w:val="0"/>
                    <w:topLinePunct w:val="0"/>
                    <w:bidi w:val="0"/>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highlight w:val="none"/>
                    </w:rPr>
                    <w:t>预算金额</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元</w:t>
                  </w:r>
                  <w:r>
                    <w:rPr>
                      <w:rFonts w:hint="eastAsia" w:ascii="宋体" w:hAnsi="宋体" w:eastAsia="宋体" w:cs="宋体"/>
                      <w:color w:val="auto"/>
                      <w:sz w:val="22"/>
                      <w:highlight w:val="none"/>
                      <w:lang w:eastAsia="zh-CN"/>
                    </w:rPr>
                    <w:t>）</w:t>
                  </w:r>
                </w:p>
              </w:tc>
              <w:tc>
                <w:tcPr>
                  <w:tcW w:w="2873" w:type="dxa"/>
                  <w:tcBorders>
                    <w:top w:val="single" w:color="auto" w:sz="4" w:space="0"/>
                    <w:left w:val="single" w:color="auto" w:sz="4" w:space="0"/>
                    <w:bottom w:val="single" w:color="auto" w:sz="4" w:space="0"/>
                    <w:right w:val="single" w:color="auto" w:sz="4" w:space="0"/>
                  </w:tcBorders>
                  <w:vAlign w:val="center"/>
                </w:tcPr>
                <w:p w14:paraId="0D169EFC">
                  <w:pPr>
                    <w:pageBreakBefore w:val="0"/>
                    <w:widowControl/>
                    <w:kinsoku/>
                    <w:wordWrap w:val="0"/>
                    <w:topLinePunct w:val="0"/>
                    <w:bidi w:val="0"/>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简要技术要求、用途</w:t>
                  </w:r>
                </w:p>
              </w:tc>
            </w:tr>
            <w:tr w14:paraId="147B2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42" w:hRule="atLeast"/>
                <w:jc w:val="center"/>
              </w:trPr>
              <w:tc>
                <w:tcPr>
                  <w:tcW w:w="730" w:type="dxa"/>
                  <w:tcBorders>
                    <w:top w:val="single" w:color="auto" w:sz="4" w:space="0"/>
                    <w:left w:val="single" w:color="auto" w:sz="4" w:space="0"/>
                    <w:right w:val="single" w:color="auto" w:sz="4" w:space="0"/>
                  </w:tcBorders>
                  <w:vAlign w:val="center"/>
                </w:tcPr>
                <w:p w14:paraId="7F9C495B">
                  <w:pPr>
                    <w:pageBreakBefore w:val="0"/>
                    <w:tabs>
                      <w:tab w:val="left" w:pos="360"/>
                    </w:tabs>
                    <w:kinsoku/>
                    <w:wordWrap w:val="0"/>
                    <w:topLinePunct w:val="0"/>
                    <w:bidi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493" w:type="dxa"/>
                  <w:tcBorders>
                    <w:top w:val="single" w:color="auto" w:sz="4" w:space="0"/>
                    <w:left w:val="single" w:color="auto" w:sz="4" w:space="0"/>
                    <w:right w:val="single" w:color="auto" w:sz="4" w:space="0"/>
                  </w:tcBorders>
                  <w:vAlign w:val="center"/>
                </w:tcPr>
                <w:p w14:paraId="2C513985">
                  <w:pPr>
                    <w:pageBreakBefore w:val="0"/>
                    <w:kinsoku/>
                    <w:wordWrap w:val="0"/>
                    <w:topLinePunct w:val="0"/>
                    <w:bidi w:val="0"/>
                    <w:spacing w:line="460" w:lineRule="exact"/>
                    <w:jc w:val="center"/>
                    <w:rPr>
                      <w:rFonts w:hint="eastAsia" w:ascii="宋体" w:hAnsi="宋体" w:eastAsia="宋体" w:cs="宋体"/>
                      <w:color w:val="auto"/>
                      <w:sz w:val="22"/>
                      <w:highlight w:val="none"/>
                    </w:rPr>
                  </w:pPr>
                  <w:r>
                    <w:rPr>
                      <w:rFonts w:hint="eastAsia" w:ascii="宋体" w:hAnsi="宋体" w:cs="宋体"/>
                      <w:color w:val="auto"/>
                      <w:sz w:val="22"/>
                      <w:highlight w:val="none"/>
                      <w:lang w:eastAsia="zh-CN"/>
                    </w:rPr>
                    <w:t>2025年学校图书</w:t>
                  </w:r>
                </w:p>
              </w:tc>
              <w:tc>
                <w:tcPr>
                  <w:tcW w:w="730" w:type="dxa"/>
                  <w:tcBorders>
                    <w:top w:val="single" w:color="auto" w:sz="4" w:space="0"/>
                    <w:left w:val="single" w:color="auto" w:sz="4" w:space="0"/>
                    <w:bottom w:val="single" w:color="auto" w:sz="4" w:space="0"/>
                    <w:right w:val="single" w:color="auto" w:sz="4" w:space="0"/>
                  </w:tcBorders>
                  <w:vAlign w:val="center"/>
                </w:tcPr>
                <w:p w14:paraId="36F79EF8">
                  <w:pPr>
                    <w:pageBreakBefore w:val="0"/>
                    <w:tabs>
                      <w:tab w:val="left" w:pos="360"/>
                    </w:tabs>
                    <w:kinsoku/>
                    <w:wordWrap w:val="0"/>
                    <w:topLinePunct w:val="0"/>
                    <w:bidi w:val="0"/>
                    <w:spacing w:line="460" w:lineRule="exact"/>
                    <w:jc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1项</w:t>
                  </w:r>
                </w:p>
              </w:tc>
              <w:tc>
                <w:tcPr>
                  <w:tcW w:w="2217" w:type="dxa"/>
                  <w:tcBorders>
                    <w:top w:val="single" w:color="auto" w:sz="4" w:space="0"/>
                    <w:left w:val="single" w:color="auto" w:sz="4" w:space="0"/>
                    <w:right w:val="single" w:color="auto" w:sz="4" w:space="0"/>
                  </w:tcBorders>
                  <w:shd w:val="clear" w:color="auto" w:fill="auto"/>
                  <w:vAlign w:val="center"/>
                </w:tcPr>
                <w:p w14:paraId="32299C25">
                  <w:pPr>
                    <w:pageBreakBefore w:val="0"/>
                    <w:tabs>
                      <w:tab w:val="left" w:pos="360"/>
                    </w:tabs>
                    <w:kinsoku/>
                    <w:wordWrap w:val="0"/>
                    <w:topLinePunct w:val="0"/>
                    <w:bidi w:val="0"/>
                    <w:spacing w:line="460" w:lineRule="exact"/>
                    <w:jc w:val="center"/>
                    <w:rPr>
                      <w:rFonts w:hint="eastAsia" w:ascii="宋体" w:hAnsi="宋体" w:eastAsia="宋体" w:cs="宋体"/>
                      <w:color w:val="auto"/>
                      <w:sz w:val="22"/>
                      <w:szCs w:val="22"/>
                      <w:highlight w:val="none"/>
                      <w:shd w:val="clear" w:color="auto" w:fill="FFFFFF"/>
                      <w:lang w:val="en-US" w:eastAsia="zh-CN"/>
                    </w:rPr>
                  </w:pPr>
                  <w:r>
                    <w:rPr>
                      <w:rFonts w:hint="eastAsia"/>
                      <w:color w:val="auto"/>
                      <w:sz w:val="22"/>
                      <w:szCs w:val="22"/>
                      <w:highlight w:val="none"/>
                      <w:u w:val="none"/>
                      <w:lang w:val="en-US" w:eastAsia="zh-CN"/>
                    </w:rPr>
                    <w:t>2400000</w:t>
                  </w:r>
                </w:p>
              </w:tc>
              <w:tc>
                <w:tcPr>
                  <w:tcW w:w="2873" w:type="dxa"/>
                  <w:tcBorders>
                    <w:top w:val="single" w:color="auto" w:sz="4" w:space="0"/>
                    <w:left w:val="single" w:color="auto" w:sz="4" w:space="0"/>
                    <w:right w:val="single" w:color="auto" w:sz="4" w:space="0"/>
                  </w:tcBorders>
                  <w:vAlign w:val="center"/>
                </w:tcPr>
                <w:p w14:paraId="1159ADC5">
                  <w:pPr>
                    <w:pageBreakBefore w:val="0"/>
                    <w:shd w:val="clear" w:color="auto" w:fill="FFFFFF"/>
                    <w:kinsoku/>
                    <w:wordWrap w:val="0"/>
                    <w:topLinePunct w:val="0"/>
                    <w:bidi w:val="0"/>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详见招标文件第</w:t>
                  </w:r>
                  <w:r>
                    <w:rPr>
                      <w:rFonts w:hint="eastAsia" w:ascii="宋体" w:hAnsi="宋体" w:eastAsia="宋体" w:cs="宋体"/>
                      <w:color w:val="auto"/>
                      <w:sz w:val="22"/>
                      <w:szCs w:val="22"/>
                      <w:highlight w:val="none"/>
                      <w:lang w:val="en-US" w:eastAsia="zh-CN"/>
                    </w:rPr>
                    <w:t>四</w:t>
                  </w:r>
                  <w:r>
                    <w:rPr>
                      <w:rFonts w:hint="eastAsia" w:ascii="宋体" w:hAnsi="宋体" w:eastAsia="宋体" w:cs="宋体"/>
                      <w:color w:val="auto"/>
                      <w:sz w:val="22"/>
                      <w:szCs w:val="22"/>
                      <w:highlight w:val="none"/>
                    </w:rPr>
                    <w:t>部分“项目技术规范和服务要求”</w:t>
                  </w:r>
                </w:p>
              </w:tc>
            </w:tr>
          </w:tbl>
          <w:p w14:paraId="1140E68A">
            <w:pPr>
              <w:pageBreakBefore w:val="0"/>
              <w:tabs>
                <w:tab w:val="left" w:pos="360"/>
              </w:tabs>
              <w:kinsoku/>
              <w:wordWrap w:val="0"/>
              <w:topLinePunct w:val="0"/>
              <w:bidi w:val="0"/>
              <w:spacing w:line="460" w:lineRule="exact"/>
              <w:ind w:firstLine="552" w:firstLineChars="250"/>
              <w:rPr>
                <w:rFonts w:hint="eastAsia" w:ascii="宋体" w:hAnsi="宋体" w:eastAsia="宋体" w:cs="宋体"/>
                <w:color w:val="auto"/>
                <w:highlight w:val="none"/>
              </w:rPr>
            </w:pPr>
            <w:r>
              <w:rPr>
                <w:rFonts w:hint="eastAsia" w:ascii="宋体" w:hAnsi="宋体" w:eastAsia="宋体" w:cs="宋体"/>
                <w:b/>
                <w:color w:val="auto"/>
                <w:sz w:val="22"/>
                <w:szCs w:val="22"/>
                <w:highlight w:val="none"/>
              </w:rPr>
              <w:t>如投标人报价超过预算金额按无效标处理。</w:t>
            </w:r>
          </w:p>
        </w:tc>
      </w:tr>
      <w:tr w14:paraId="529421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6611FF44">
            <w:pPr>
              <w:pageBreakBefore w:val="0"/>
              <w:kinsoku/>
              <w:wordWrap w:val="0"/>
              <w:topLinePunct w:val="0"/>
              <w:bidi w:val="0"/>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val="0"/>
                <w:bCs w:val="0"/>
                <w:color w:val="auto"/>
                <w:sz w:val="22"/>
                <w:szCs w:val="22"/>
                <w:highlight w:val="none"/>
              </w:rPr>
              <w:t>2</w:t>
            </w:r>
          </w:p>
        </w:tc>
        <w:tc>
          <w:tcPr>
            <w:tcW w:w="9590" w:type="dxa"/>
            <w:tcBorders>
              <w:top w:val="single" w:color="000000" w:sz="2" w:space="0"/>
              <w:left w:val="single" w:color="000000" w:sz="2" w:space="0"/>
              <w:bottom w:val="single" w:color="000000" w:sz="2" w:space="0"/>
              <w:right w:val="single" w:color="000000" w:sz="8" w:space="0"/>
            </w:tcBorders>
            <w:vAlign w:val="top"/>
          </w:tcPr>
          <w:p w14:paraId="2325592D">
            <w:pPr>
              <w:pageBreakBefore w:val="0"/>
              <w:kinsoku/>
              <w:wordWrap w:val="0"/>
              <w:topLinePunct w:val="0"/>
              <w:bidi w:val="0"/>
              <w:spacing w:line="400" w:lineRule="exact"/>
              <w:rPr>
                <w:rFonts w:hint="eastAsia" w:ascii="新宋体" w:hAnsi="新宋体" w:eastAsia="新宋体" w:cs="宋体"/>
                <w:b/>
                <w:color w:val="auto"/>
                <w:kern w:val="0"/>
                <w:sz w:val="22"/>
                <w:szCs w:val="22"/>
                <w:highlight w:val="none"/>
                <w:u w:val="none"/>
              </w:rPr>
            </w:pPr>
            <w:r>
              <w:rPr>
                <w:rFonts w:hint="eastAsia" w:ascii="新宋体" w:hAnsi="新宋体" w:eastAsia="新宋体" w:cs="宋体"/>
                <w:b/>
                <w:color w:val="auto"/>
                <w:kern w:val="0"/>
                <w:sz w:val="22"/>
                <w:szCs w:val="22"/>
                <w:highlight w:val="none"/>
                <w:u w:val="none"/>
              </w:rPr>
              <w:t>本项目（是）接受联合体投标。</w:t>
            </w:r>
          </w:p>
          <w:p w14:paraId="2E24834D">
            <w:pPr>
              <w:pageBreakBefore w:val="0"/>
              <w:widowControl/>
              <w:tabs>
                <w:tab w:val="left" w:pos="0"/>
              </w:tabs>
              <w:kinsoku/>
              <w:wordWrap w:val="0"/>
              <w:topLinePunct w:val="0"/>
              <w:bidi w:val="0"/>
              <w:spacing w:line="400" w:lineRule="exact"/>
              <w:ind w:left="565" w:right="60" w:hanging="565" w:hangingChars="256"/>
              <w:jc w:val="left"/>
              <w:rPr>
                <w:rFonts w:ascii="新宋体" w:hAnsi="新宋体" w:eastAsia="新宋体" w:cs="宋体"/>
                <w:b/>
                <w:color w:val="auto"/>
                <w:kern w:val="0"/>
                <w:sz w:val="22"/>
                <w:highlight w:val="none"/>
              </w:rPr>
            </w:pPr>
            <w:r>
              <w:rPr>
                <w:rFonts w:hint="eastAsia" w:ascii="新宋体" w:hAnsi="新宋体" w:eastAsia="新宋体" w:cs="宋体"/>
                <w:b/>
                <w:color w:val="auto"/>
                <w:kern w:val="0"/>
                <w:sz w:val="22"/>
                <w:highlight w:val="none"/>
              </w:rPr>
              <w:t>联合体成员数量不得超过2个，联合体各方均应符合</w:t>
            </w:r>
            <w:r>
              <w:rPr>
                <w:rFonts w:hint="eastAsia"/>
                <w:b/>
                <w:bCs/>
                <w:color w:val="auto"/>
                <w:sz w:val="22"/>
                <w:szCs w:val="22"/>
                <w:highlight w:val="none"/>
                <w:u w:val="none"/>
                <w:lang w:val="en-US" w:eastAsia="zh-CN"/>
              </w:rPr>
              <w:t>资格要求条件</w:t>
            </w:r>
            <w:r>
              <w:rPr>
                <w:rFonts w:hint="eastAsia" w:ascii="新宋体" w:hAnsi="新宋体" w:eastAsia="新宋体" w:cs="宋体"/>
                <w:b/>
                <w:color w:val="auto"/>
                <w:kern w:val="0"/>
                <w:sz w:val="22"/>
                <w:highlight w:val="none"/>
              </w:rPr>
              <w:t>；</w:t>
            </w:r>
          </w:p>
          <w:p w14:paraId="082DEBA3">
            <w:pPr>
              <w:pageBreakBefore w:val="0"/>
              <w:tabs>
                <w:tab w:val="left" w:pos="360"/>
              </w:tabs>
              <w:kinsoku/>
              <w:wordWrap w:val="0"/>
              <w:topLinePunct w:val="0"/>
              <w:bidi w:val="0"/>
              <w:spacing w:line="460" w:lineRule="exact"/>
              <w:rPr>
                <w:rFonts w:hint="eastAsia" w:ascii="宋体" w:hAnsi="宋体" w:eastAsia="宋体" w:cs="宋体"/>
                <w:b/>
                <w:color w:val="auto"/>
                <w:sz w:val="22"/>
                <w:szCs w:val="22"/>
                <w:highlight w:val="none"/>
              </w:rPr>
            </w:pPr>
            <w:r>
              <w:rPr>
                <w:rFonts w:hint="eastAsia" w:ascii="新宋体" w:hAnsi="新宋体" w:eastAsia="新宋体" w:cs="宋体"/>
                <w:b/>
                <w:color w:val="auto"/>
                <w:kern w:val="0"/>
                <w:sz w:val="22"/>
                <w:highlight w:val="none"/>
              </w:rPr>
              <w:t>提交联合体协议书，明确联合体各方承担的工作和义务，并指定一家成员作为联合体牵头人代表联合体负责</w:t>
            </w:r>
            <w:r>
              <w:rPr>
                <w:rFonts w:hint="eastAsia" w:ascii="新宋体" w:hAnsi="新宋体" w:eastAsia="新宋体" w:cs="宋体"/>
                <w:b/>
                <w:color w:val="auto"/>
                <w:kern w:val="0"/>
                <w:sz w:val="22"/>
                <w:highlight w:val="none"/>
                <w:lang w:val="en-US" w:eastAsia="zh-CN"/>
              </w:rPr>
              <w:t>投标</w:t>
            </w:r>
            <w:r>
              <w:rPr>
                <w:rFonts w:hint="eastAsia" w:ascii="新宋体" w:hAnsi="新宋体" w:eastAsia="新宋体" w:cs="宋体"/>
                <w:b/>
                <w:color w:val="auto"/>
                <w:kern w:val="0"/>
                <w:sz w:val="22"/>
                <w:highlight w:val="none"/>
              </w:rPr>
              <w:t>和合同实施阶段的主办、协调工作。</w:t>
            </w:r>
          </w:p>
        </w:tc>
      </w:tr>
      <w:tr w14:paraId="024E9C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791CB6E8">
            <w:pPr>
              <w:pageBreakBefore w:val="0"/>
              <w:kinsoku/>
              <w:wordWrap w:val="0"/>
              <w:topLinePunct w:val="0"/>
              <w:bidi w:val="0"/>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3</w:t>
            </w:r>
          </w:p>
        </w:tc>
        <w:tc>
          <w:tcPr>
            <w:tcW w:w="9590" w:type="dxa"/>
            <w:tcBorders>
              <w:top w:val="single" w:color="000000" w:sz="2" w:space="0"/>
              <w:left w:val="single" w:color="000000" w:sz="2" w:space="0"/>
              <w:bottom w:val="single" w:color="000000" w:sz="2" w:space="0"/>
              <w:right w:val="single" w:color="000000" w:sz="8" w:space="0"/>
            </w:tcBorders>
            <w:vAlign w:val="center"/>
          </w:tcPr>
          <w:p w14:paraId="3287BD31">
            <w:pPr>
              <w:pageBreakBefore w:val="0"/>
              <w:kinsoku/>
              <w:wordWrap w:val="0"/>
              <w:topLinePunct w:val="0"/>
              <w:bidi w:val="0"/>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zh-CN"/>
              </w:rPr>
              <w:t>投标</w:t>
            </w:r>
            <w:r>
              <w:rPr>
                <w:rFonts w:hint="eastAsia" w:ascii="宋体" w:hAnsi="宋体" w:eastAsia="宋体" w:cs="宋体"/>
                <w:b/>
                <w:bCs/>
                <w:color w:val="auto"/>
                <w:sz w:val="22"/>
                <w:szCs w:val="22"/>
                <w:highlight w:val="none"/>
              </w:rPr>
              <w:t>有效期：</w:t>
            </w:r>
            <w:r>
              <w:rPr>
                <w:rFonts w:hint="eastAsia" w:ascii="宋体" w:hAnsi="宋体" w:eastAsia="宋体" w:cs="宋体"/>
                <w:color w:val="auto"/>
                <w:sz w:val="22"/>
                <w:szCs w:val="22"/>
                <w:highlight w:val="none"/>
              </w:rPr>
              <w:t>自投标截止日起120天。</w:t>
            </w:r>
          </w:p>
        </w:tc>
      </w:tr>
      <w:tr w14:paraId="766EE3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0A4DBACD">
            <w:pPr>
              <w:pageBreakBefore w:val="0"/>
              <w:kinsoku/>
              <w:wordWrap w:val="0"/>
              <w:topLinePunct w:val="0"/>
              <w:bidi w:val="0"/>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4</w:t>
            </w:r>
          </w:p>
        </w:tc>
        <w:tc>
          <w:tcPr>
            <w:tcW w:w="9590" w:type="dxa"/>
            <w:tcBorders>
              <w:top w:val="single" w:color="000000" w:sz="2" w:space="0"/>
              <w:left w:val="single" w:color="000000" w:sz="2" w:space="0"/>
              <w:bottom w:val="single" w:color="000000" w:sz="2" w:space="0"/>
              <w:right w:val="single" w:color="000000" w:sz="8" w:space="0"/>
            </w:tcBorders>
            <w:vAlign w:val="center"/>
          </w:tcPr>
          <w:p w14:paraId="743A66F2">
            <w:pPr>
              <w:pageBreakBefore w:val="0"/>
              <w:kinsoku/>
              <w:wordWrap w:val="0"/>
              <w:topLinePunct w:val="0"/>
              <w:bidi w:val="0"/>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投标保证金数额：无</w:t>
            </w:r>
            <w:r>
              <w:rPr>
                <w:rFonts w:hint="eastAsia" w:ascii="宋体" w:hAnsi="宋体" w:eastAsia="宋体" w:cs="宋体"/>
                <w:color w:val="auto"/>
                <w:sz w:val="22"/>
                <w:szCs w:val="22"/>
                <w:highlight w:val="none"/>
              </w:rPr>
              <w:t>。</w:t>
            </w:r>
          </w:p>
        </w:tc>
      </w:tr>
      <w:tr w14:paraId="41D8B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42A1E41B">
            <w:pPr>
              <w:pageBreakBefore w:val="0"/>
              <w:kinsoku/>
              <w:wordWrap w:val="0"/>
              <w:topLinePunct w:val="0"/>
              <w:bidi w:val="0"/>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5</w:t>
            </w:r>
          </w:p>
        </w:tc>
        <w:tc>
          <w:tcPr>
            <w:tcW w:w="9590" w:type="dxa"/>
            <w:tcBorders>
              <w:top w:val="single" w:color="000000" w:sz="2" w:space="0"/>
              <w:left w:val="single" w:color="000000" w:sz="2" w:space="0"/>
              <w:bottom w:val="single" w:color="000000" w:sz="2" w:space="0"/>
              <w:right w:val="single" w:color="000000" w:sz="8" w:space="0"/>
            </w:tcBorders>
            <w:vAlign w:val="center"/>
          </w:tcPr>
          <w:p w14:paraId="3498D43F">
            <w:pPr>
              <w:pageBreakBefore w:val="0"/>
              <w:kinsoku/>
              <w:wordWrap w:val="0"/>
              <w:topLinePunct w:val="0"/>
              <w:bidi w:val="0"/>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招标服务费：根据国家计委计价格【2002】1980号《招标代理服务收费管理暂行办法》规定</w:t>
            </w:r>
            <w:r>
              <w:rPr>
                <w:rFonts w:hint="eastAsia" w:ascii="宋体" w:hAnsi="宋体" w:eastAsia="宋体" w:cs="宋体"/>
                <w:b/>
                <w:bCs/>
                <w:color w:val="auto"/>
                <w:sz w:val="22"/>
                <w:szCs w:val="22"/>
                <w:highlight w:val="none"/>
                <w:lang w:val="en-US" w:eastAsia="zh-CN"/>
              </w:rPr>
              <w:t>标准</w:t>
            </w:r>
            <w:r>
              <w:rPr>
                <w:rFonts w:hint="eastAsia" w:ascii="宋体" w:hAnsi="宋体" w:eastAsia="宋体" w:cs="宋体"/>
                <w:b/>
                <w:bCs/>
                <w:color w:val="auto"/>
                <w:sz w:val="22"/>
                <w:szCs w:val="22"/>
                <w:highlight w:val="none"/>
              </w:rPr>
              <w:t>收取,由中标人在领取中标通知书时支付。</w:t>
            </w:r>
          </w:p>
          <w:p w14:paraId="4852435A">
            <w:pPr>
              <w:pageBreakBefore w:val="0"/>
              <w:kinsoku/>
              <w:wordWrap w:val="0"/>
              <w:topLinePunct w:val="0"/>
              <w:bidi w:val="0"/>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户   名：温州历程招标有限公司</w:t>
            </w:r>
          </w:p>
          <w:p w14:paraId="6C05694D">
            <w:pPr>
              <w:pageBreakBefore w:val="0"/>
              <w:kinsoku/>
              <w:wordWrap w:val="0"/>
              <w:topLinePunct w:val="0"/>
              <w:bidi w:val="0"/>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   号：33050162870409101001</w:t>
            </w:r>
          </w:p>
          <w:p w14:paraId="4A9803FA">
            <w:pPr>
              <w:pageBreakBefore w:val="0"/>
              <w:kinsoku/>
              <w:wordWrap w:val="0"/>
              <w:topLinePunct w:val="0"/>
              <w:bidi w:val="0"/>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color w:val="auto"/>
                <w:sz w:val="22"/>
                <w:szCs w:val="22"/>
                <w:highlight w:val="none"/>
              </w:rPr>
              <w:t>开户银行：中国建设银行股份有限公司温州新城支行</w:t>
            </w:r>
          </w:p>
        </w:tc>
      </w:tr>
      <w:tr w14:paraId="69DA6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74B34AE8">
            <w:pPr>
              <w:pageBreakBefore w:val="0"/>
              <w:kinsoku/>
              <w:wordWrap w:val="0"/>
              <w:topLinePunct w:val="0"/>
              <w:bidi w:val="0"/>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6</w:t>
            </w:r>
          </w:p>
        </w:tc>
        <w:tc>
          <w:tcPr>
            <w:tcW w:w="9590" w:type="dxa"/>
            <w:tcBorders>
              <w:top w:val="single" w:color="000000" w:sz="2" w:space="0"/>
              <w:left w:val="single" w:color="000000" w:sz="2" w:space="0"/>
              <w:bottom w:val="single" w:color="000000" w:sz="2" w:space="0"/>
              <w:right w:val="single" w:color="000000" w:sz="8" w:space="0"/>
            </w:tcBorders>
            <w:vAlign w:val="center"/>
          </w:tcPr>
          <w:p w14:paraId="761D2AC4">
            <w:pPr>
              <w:pageBreakBefore w:val="0"/>
              <w:kinsoku/>
              <w:wordWrap w:val="0"/>
              <w:topLinePunct w:val="0"/>
              <w:bidi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投标文件的组成：</w:t>
            </w:r>
            <w:r>
              <w:rPr>
                <w:rFonts w:hint="eastAsia" w:ascii="宋体" w:hAnsi="宋体" w:eastAsia="宋体" w:cs="宋体"/>
                <w:color w:val="auto"/>
                <w:sz w:val="22"/>
                <w:szCs w:val="22"/>
                <w:highlight w:val="none"/>
              </w:rPr>
              <w:t>完整的《投标文件》由“资格文件”、“报价文件”和“商务技术文件”三个部分组成。</w:t>
            </w:r>
          </w:p>
        </w:tc>
      </w:tr>
      <w:tr w14:paraId="68F997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42752D6E">
            <w:pPr>
              <w:pageBreakBefore w:val="0"/>
              <w:kinsoku/>
              <w:wordWrap w:val="0"/>
              <w:topLinePunct w:val="0"/>
              <w:bidi w:val="0"/>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7</w:t>
            </w:r>
          </w:p>
        </w:tc>
        <w:tc>
          <w:tcPr>
            <w:tcW w:w="9590" w:type="dxa"/>
            <w:tcBorders>
              <w:top w:val="single" w:color="000000" w:sz="2" w:space="0"/>
              <w:left w:val="single" w:color="000000" w:sz="2" w:space="0"/>
              <w:bottom w:val="single" w:color="000000" w:sz="2" w:space="0"/>
              <w:right w:val="single" w:color="000000" w:sz="8" w:space="0"/>
            </w:tcBorders>
            <w:vAlign w:val="center"/>
          </w:tcPr>
          <w:p w14:paraId="74255650">
            <w:pPr>
              <w:pageBreakBefore w:val="0"/>
              <w:kinsoku/>
              <w:wordWrap w:val="0"/>
              <w:topLinePunct w:val="0"/>
              <w:bidi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投标文件的编制：</w:t>
            </w:r>
            <w:r>
              <w:rPr>
                <w:rFonts w:hint="eastAsia" w:ascii="宋体" w:hAnsi="宋体" w:eastAsia="宋体" w:cs="宋体"/>
                <w:color w:val="auto"/>
                <w:sz w:val="22"/>
                <w:szCs w:val="22"/>
                <w:highlight w:val="none"/>
              </w:rPr>
              <w:t>供应商应先安装“政采云电子交易客户端”，并按照本招标文件和“政府采购云平台”的要求，通过“政采云电子交易客户端”编制并加密投标文件。</w:t>
            </w:r>
          </w:p>
        </w:tc>
      </w:tr>
      <w:tr w14:paraId="277942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4E5E9262">
            <w:pPr>
              <w:pageBreakBefore w:val="0"/>
              <w:kinsoku/>
              <w:wordWrap w:val="0"/>
              <w:topLinePunct w:val="0"/>
              <w:bidi w:val="0"/>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8</w:t>
            </w:r>
          </w:p>
        </w:tc>
        <w:tc>
          <w:tcPr>
            <w:tcW w:w="9590" w:type="dxa"/>
            <w:tcBorders>
              <w:top w:val="single" w:color="000000" w:sz="2" w:space="0"/>
              <w:left w:val="single" w:color="000000" w:sz="2" w:space="0"/>
              <w:bottom w:val="single" w:color="000000" w:sz="2" w:space="0"/>
              <w:right w:val="single" w:color="000000" w:sz="8" w:space="0"/>
            </w:tcBorders>
            <w:vAlign w:val="center"/>
          </w:tcPr>
          <w:p w14:paraId="565E8668">
            <w:pPr>
              <w:pageBreakBefore w:val="0"/>
              <w:kinsoku/>
              <w:wordWrap w:val="0"/>
              <w:topLinePunct w:val="0"/>
              <w:bidi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投标文件的签章：</w:t>
            </w:r>
            <w:r>
              <w:rPr>
                <w:rFonts w:hint="eastAsia" w:ascii="宋体" w:hAnsi="宋体" w:eastAsia="宋体" w:cs="宋体"/>
                <w:color w:val="auto"/>
                <w:sz w:val="22"/>
                <w:szCs w:val="22"/>
                <w:highlight w:val="none"/>
              </w:rPr>
              <w:t>电子签章。</w:t>
            </w:r>
          </w:p>
        </w:tc>
      </w:tr>
      <w:tr w14:paraId="14D0D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4EDD8D44">
            <w:pPr>
              <w:pageBreakBefore w:val="0"/>
              <w:kinsoku/>
              <w:wordWrap w:val="0"/>
              <w:topLinePunct w:val="0"/>
              <w:bidi w:val="0"/>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9</w:t>
            </w:r>
          </w:p>
        </w:tc>
        <w:tc>
          <w:tcPr>
            <w:tcW w:w="9590" w:type="dxa"/>
            <w:tcBorders>
              <w:top w:val="single" w:color="000000" w:sz="2" w:space="0"/>
              <w:left w:val="single" w:color="000000" w:sz="2" w:space="0"/>
              <w:bottom w:val="single" w:color="000000" w:sz="2" w:space="0"/>
              <w:right w:val="single" w:color="000000" w:sz="8" w:space="0"/>
            </w:tcBorders>
            <w:vAlign w:val="center"/>
          </w:tcPr>
          <w:p w14:paraId="2078741C">
            <w:pPr>
              <w:pageBreakBefore w:val="0"/>
              <w:kinsoku/>
              <w:wordWrap w:val="0"/>
              <w:topLinePunct w:val="0"/>
              <w:bidi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投标文件的形式：</w:t>
            </w:r>
            <w:r>
              <w:rPr>
                <w:rFonts w:hint="eastAsia" w:ascii="宋体" w:hAnsi="宋体" w:eastAsia="宋体" w:cs="宋体"/>
                <w:color w:val="auto"/>
                <w:sz w:val="22"/>
                <w:szCs w:val="22"/>
                <w:highlight w:val="none"/>
              </w:rPr>
              <w:t>☑电子投标文件（包括“电子加密投标文件”和“备份投标文件”，在投标文件编制完成后同时生成）；</w:t>
            </w:r>
          </w:p>
          <w:p w14:paraId="76748BA4">
            <w:pPr>
              <w:pageBreakBefore w:val="0"/>
              <w:kinsoku/>
              <w:wordWrap w:val="0"/>
              <w:topLinePunct w:val="0"/>
              <w:bidi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（1）“电子加密投标文件”是指通过“政采云电子交易客户端”完成投标文件编制后生成并加密的数据电文形式的投标文件。</w:t>
            </w:r>
          </w:p>
          <w:p w14:paraId="4A5DA7D0">
            <w:pPr>
              <w:pageBreakBefore w:val="0"/>
              <w:kinsoku/>
              <w:wordWrap w:val="0"/>
              <w:topLinePunct w:val="0"/>
              <w:bidi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4990F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64965FCC">
            <w:pPr>
              <w:pageBreakBefore w:val="0"/>
              <w:kinsoku/>
              <w:wordWrap w:val="0"/>
              <w:topLinePunct w:val="0"/>
              <w:bidi w:val="0"/>
              <w:snapToGrid w:val="0"/>
              <w:spacing w:line="460" w:lineRule="exact"/>
              <w:jc w:val="center"/>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10</w:t>
            </w:r>
          </w:p>
        </w:tc>
        <w:tc>
          <w:tcPr>
            <w:tcW w:w="9590" w:type="dxa"/>
            <w:tcBorders>
              <w:top w:val="single" w:color="000000" w:sz="2" w:space="0"/>
              <w:left w:val="single" w:color="000000" w:sz="2" w:space="0"/>
              <w:bottom w:val="single" w:color="000000" w:sz="2" w:space="0"/>
              <w:right w:val="single" w:color="000000" w:sz="8" w:space="0"/>
            </w:tcBorders>
            <w:vAlign w:val="center"/>
          </w:tcPr>
          <w:p w14:paraId="5F37E4A9">
            <w:pPr>
              <w:pageBreakBefore w:val="0"/>
              <w:kinsoku/>
              <w:wordWrap w:val="0"/>
              <w:topLinePunct w:val="0"/>
              <w:bidi w:val="0"/>
              <w:spacing w:line="460" w:lineRule="exact"/>
              <w:rPr>
                <w:rFonts w:hint="eastAsia"/>
                <w:color w:val="auto"/>
                <w:sz w:val="22"/>
                <w:szCs w:val="28"/>
                <w:highlight w:val="none"/>
              </w:rPr>
            </w:pPr>
            <w:r>
              <w:rPr>
                <w:rFonts w:hint="eastAsia"/>
                <w:color w:val="auto"/>
                <w:sz w:val="22"/>
                <w:szCs w:val="28"/>
                <w:highlight w:val="none"/>
              </w:rPr>
              <w:t>投标文件份数：</w:t>
            </w:r>
          </w:p>
          <w:p w14:paraId="459772F0">
            <w:pPr>
              <w:pageBreakBefore w:val="0"/>
              <w:numPr>
                <w:ilvl w:val="0"/>
                <w:numId w:val="1"/>
              </w:numPr>
              <w:kinsoku/>
              <w:wordWrap w:val="0"/>
              <w:topLinePunct w:val="0"/>
              <w:bidi w:val="0"/>
              <w:spacing w:line="460" w:lineRule="exact"/>
              <w:rPr>
                <w:rFonts w:hint="eastAsia"/>
                <w:color w:val="auto"/>
                <w:sz w:val="22"/>
                <w:szCs w:val="28"/>
                <w:highlight w:val="none"/>
              </w:rPr>
            </w:pPr>
            <w:r>
              <w:rPr>
                <w:rFonts w:hint="eastAsia"/>
                <w:color w:val="auto"/>
                <w:sz w:val="22"/>
                <w:szCs w:val="28"/>
                <w:highlight w:val="none"/>
              </w:rPr>
              <w:t>“电子加密投标文件”：在线上传递交、一份。</w:t>
            </w:r>
          </w:p>
          <w:p w14:paraId="1180517A">
            <w:pPr>
              <w:pageBreakBefore w:val="0"/>
              <w:numPr>
                <w:ilvl w:val="0"/>
                <w:numId w:val="1"/>
              </w:numPr>
              <w:kinsoku/>
              <w:wordWrap w:val="0"/>
              <w:topLinePunct w:val="0"/>
              <w:bidi w:val="0"/>
              <w:spacing w:line="460" w:lineRule="exact"/>
              <w:rPr>
                <w:rFonts w:hint="eastAsia"/>
                <w:color w:val="auto"/>
                <w:sz w:val="22"/>
                <w:szCs w:val="28"/>
                <w:highlight w:val="none"/>
              </w:rPr>
            </w:pPr>
            <w:r>
              <w:rPr>
                <w:rFonts w:hint="eastAsia"/>
                <w:color w:val="auto"/>
                <w:sz w:val="22"/>
                <w:szCs w:val="28"/>
                <w:highlight w:val="none"/>
              </w:rPr>
              <w:t>“备份投标文件”：密封包装后投标截止时间前递交、一份</w:t>
            </w:r>
          </w:p>
          <w:p w14:paraId="724A872C">
            <w:pPr>
              <w:pageBreakBefore w:val="0"/>
              <w:kinsoku/>
              <w:wordWrap w:val="0"/>
              <w:topLinePunct w:val="0"/>
              <w:bidi w:val="0"/>
              <w:spacing w:line="460" w:lineRule="exact"/>
              <w:rPr>
                <w:rFonts w:hint="eastAsia"/>
                <w:color w:val="auto"/>
                <w:sz w:val="22"/>
                <w:szCs w:val="28"/>
                <w:highlight w:val="none"/>
              </w:rPr>
            </w:pPr>
            <w:r>
              <w:rPr>
                <w:rFonts w:hint="eastAsia"/>
                <w:color w:val="auto"/>
                <w:sz w:val="22"/>
                <w:szCs w:val="28"/>
                <w:highlight w:val="none"/>
              </w:rPr>
              <w:t>（若不提供备份投标文件，开标当天电子加密投标文件解密失败，投标人自行负责。）</w:t>
            </w:r>
          </w:p>
          <w:p w14:paraId="161A0192">
            <w:pPr>
              <w:pageBreakBefore w:val="0"/>
              <w:tabs>
                <w:tab w:val="left" w:pos="360"/>
              </w:tabs>
              <w:kinsoku/>
              <w:wordWrap w:val="0"/>
              <w:topLinePunct w:val="0"/>
              <w:bidi w:val="0"/>
              <w:spacing w:line="460" w:lineRule="exact"/>
              <w:rPr>
                <w:rFonts w:hint="eastAsia"/>
                <w:color w:val="auto"/>
                <w:sz w:val="22"/>
                <w:szCs w:val="28"/>
                <w:highlight w:val="none"/>
              </w:rPr>
            </w:pPr>
            <w:r>
              <w:rPr>
                <w:rFonts w:hint="eastAsia"/>
                <w:color w:val="auto"/>
                <w:sz w:val="22"/>
                <w:szCs w:val="28"/>
                <w:highlight w:val="none"/>
              </w:rPr>
              <w:t>可以（邮寄形式，建议顺丰）在投标截止时间前递交，并需采购代理机构确认是否收到，</w:t>
            </w:r>
          </w:p>
          <w:p w14:paraId="7D8207B8">
            <w:pPr>
              <w:pageBreakBefore w:val="0"/>
              <w:kinsoku/>
              <w:wordWrap w:val="0"/>
              <w:topLinePunct w:val="0"/>
              <w:bidi w:val="0"/>
              <w:spacing w:line="460" w:lineRule="exact"/>
              <w:rPr>
                <w:rFonts w:hint="eastAsia"/>
                <w:color w:val="auto"/>
                <w:sz w:val="22"/>
                <w:szCs w:val="28"/>
                <w:highlight w:val="none"/>
                <w:lang w:eastAsia="zh-CN"/>
              </w:rPr>
            </w:pPr>
            <w:r>
              <w:rPr>
                <w:rFonts w:hint="eastAsia"/>
                <w:color w:val="auto"/>
                <w:sz w:val="22"/>
                <w:szCs w:val="28"/>
                <w:highlight w:val="none"/>
              </w:rPr>
              <w:t>邮寄地址：</w:t>
            </w:r>
            <w:r>
              <w:rPr>
                <w:rFonts w:hint="eastAsia"/>
                <w:color w:val="auto"/>
                <w:sz w:val="22"/>
                <w:szCs w:val="28"/>
                <w:highlight w:val="none"/>
                <w:lang w:eastAsia="zh-CN"/>
              </w:rPr>
              <w:t>温州市鹿城区勤民路鹿城壹号18幢803室</w:t>
            </w:r>
          </w:p>
          <w:p w14:paraId="416B6BC2">
            <w:pPr>
              <w:pageBreakBefore w:val="0"/>
              <w:kinsoku/>
              <w:wordWrap w:val="0"/>
              <w:topLinePunct w:val="0"/>
              <w:bidi w:val="0"/>
              <w:spacing w:line="460" w:lineRule="exact"/>
              <w:rPr>
                <w:rFonts w:hint="default" w:eastAsia="宋体"/>
                <w:color w:val="auto"/>
                <w:highlight w:val="none"/>
                <w:lang w:val="en-US" w:eastAsia="zh-CN"/>
              </w:rPr>
            </w:pPr>
            <w:r>
              <w:rPr>
                <w:rFonts w:hint="eastAsia"/>
                <w:color w:val="auto"/>
                <w:sz w:val="22"/>
                <w:szCs w:val="28"/>
                <w:highlight w:val="none"/>
                <w:lang w:val="en-US" w:eastAsia="zh-CN"/>
              </w:rPr>
              <w:t>联系人：肖宗文    联系电话</w:t>
            </w:r>
            <w:r>
              <w:rPr>
                <w:rFonts w:hint="eastAsia"/>
                <w:b w:val="0"/>
                <w:bCs w:val="0"/>
                <w:color w:val="auto"/>
                <w:sz w:val="22"/>
                <w:szCs w:val="28"/>
                <w:highlight w:val="none"/>
                <w:lang w:val="en-US" w:eastAsia="zh-CN"/>
              </w:rPr>
              <w:t>：13757727199</w:t>
            </w:r>
          </w:p>
        </w:tc>
      </w:tr>
      <w:tr w14:paraId="7D35E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6071479">
            <w:pPr>
              <w:pageBreakBefore w:val="0"/>
              <w:kinsoku/>
              <w:wordWrap w:val="0"/>
              <w:topLinePunct w:val="0"/>
              <w:bidi w:val="0"/>
              <w:snapToGrid w:val="0"/>
              <w:spacing w:line="460" w:lineRule="exact"/>
              <w:jc w:val="center"/>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11</w:t>
            </w:r>
          </w:p>
        </w:tc>
        <w:tc>
          <w:tcPr>
            <w:tcW w:w="9590" w:type="dxa"/>
            <w:tcBorders>
              <w:top w:val="single" w:color="000000" w:sz="2" w:space="0"/>
              <w:left w:val="single" w:color="000000" w:sz="2" w:space="0"/>
              <w:bottom w:val="single" w:color="000000" w:sz="2" w:space="0"/>
              <w:right w:val="single" w:color="000000" w:sz="8" w:space="0"/>
            </w:tcBorders>
            <w:vAlign w:val="center"/>
          </w:tcPr>
          <w:p w14:paraId="6528E625">
            <w:pPr>
              <w:pageBreakBefore w:val="0"/>
              <w:kinsoku/>
              <w:wordWrap w:val="0"/>
              <w:topLinePunct w:val="0"/>
              <w:bidi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投标文件的上传和递交：</w:t>
            </w:r>
          </w:p>
          <w:p w14:paraId="113273F0">
            <w:pPr>
              <w:pageBreakBefore w:val="0"/>
              <w:kinsoku/>
              <w:wordWrap w:val="0"/>
              <w:topLinePunct w:val="0"/>
              <w:bidi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（1）“电子加密投标文件”的上传、递交：</w:t>
            </w:r>
          </w:p>
          <w:p w14:paraId="2B3F0D1C">
            <w:pPr>
              <w:pageBreakBefore w:val="0"/>
              <w:kinsoku/>
              <w:wordWrap w:val="0"/>
              <w:topLinePunct w:val="0"/>
              <w:bidi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a.投标人应在投标截止时间前将“电子加密投标文件”成功上传递交至“政府采购云平台”，否则投标无效。</w:t>
            </w:r>
          </w:p>
          <w:p w14:paraId="2C56D0BC">
            <w:pPr>
              <w:pageBreakBefore w:val="0"/>
              <w:kinsoku/>
              <w:wordWrap w:val="0"/>
              <w:topLinePunct w:val="0"/>
              <w:bidi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b.“电子加密投标文件”成功上传递交后，供应商可自行打印投标文件接收回执。</w:t>
            </w:r>
          </w:p>
          <w:p w14:paraId="5321BE2D">
            <w:pPr>
              <w:pageBreakBefore w:val="0"/>
              <w:kinsoku/>
              <w:wordWrap w:val="0"/>
              <w:topLinePunct w:val="0"/>
              <w:bidi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（2）“备份投标文件”的密封包装、递交：</w:t>
            </w:r>
          </w:p>
          <w:p w14:paraId="5401BE66">
            <w:pPr>
              <w:pageBreakBefore w:val="0"/>
              <w:tabs>
                <w:tab w:val="left" w:pos="360"/>
              </w:tabs>
              <w:kinsoku/>
              <w:wordWrap w:val="0"/>
              <w:topLinePunct w:val="0"/>
              <w:bidi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a.投标人在“政府采购云平台”完成“电子加密投标文件”的上传递交后，</w:t>
            </w:r>
            <w:r>
              <w:rPr>
                <w:rFonts w:hint="eastAsia" w:ascii="宋体" w:hAnsi="宋体" w:eastAsia="宋体" w:cs="宋体"/>
                <w:b/>
                <w:bCs/>
                <w:color w:val="auto"/>
                <w:sz w:val="22"/>
                <w:szCs w:val="22"/>
                <w:highlight w:val="none"/>
              </w:rPr>
              <w:t>还可以在投标截止时间前递交以介质（U盘）存储的数据电文形式的“备份投标文件”，（可以</w:t>
            </w:r>
            <w:r>
              <w:rPr>
                <w:rFonts w:hint="eastAsia" w:ascii="宋体" w:hAnsi="宋体" w:eastAsia="宋体" w:cs="宋体"/>
                <w:b/>
                <w:color w:val="auto"/>
                <w:sz w:val="22"/>
                <w:szCs w:val="22"/>
                <w:highlight w:val="none"/>
                <w:u w:val="single"/>
              </w:rPr>
              <w:t>（邮寄形式，建议顺丰）在投标截止时间前递交，并需采购代理机构确认是否收到</w:t>
            </w:r>
            <w:r>
              <w:rPr>
                <w:rFonts w:hint="eastAsia" w:ascii="宋体" w:hAnsi="宋体" w:eastAsia="宋体" w:cs="宋体"/>
                <w:b/>
                <w:bCs/>
                <w:color w:val="auto"/>
                <w:sz w:val="22"/>
                <w:szCs w:val="22"/>
                <w:highlight w:val="none"/>
              </w:rPr>
              <w:t>）</w:t>
            </w:r>
          </w:p>
          <w:p w14:paraId="0E3A213C">
            <w:pPr>
              <w:pageBreakBefore w:val="0"/>
              <w:kinsoku/>
              <w:wordWrap w:val="0"/>
              <w:topLinePunct w:val="0"/>
              <w:bidi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14:paraId="5F57A725">
            <w:pPr>
              <w:pageBreakBefore w:val="0"/>
              <w:kinsoku/>
              <w:wordWrap w:val="0"/>
              <w:topLinePunct w:val="0"/>
              <w:bidi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14:paraId="67F11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0BD22F80">
            <w:pPr>
              <w:pageBreakBefore w:val="0"/>
              <w:kinsoku/>
              <w:wordWrap w:val="0"/>
              <w:topLinePunct w:val="0"/>
              <w:bidi w:val="0"/>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w:t>
            </w:r>
            <w:r>
              <w:rPr>
                <w:rFonts w:hint="eastAsia" w:ascii="宋体" w:hAnsi="宋体" w:cs="宋体"/>
                <w:b/>
                <w:bCs/>
                <w:color w:val="auto"/>
                <w:sz w:val="22"/>
                <w:szCs w:val="22"/>
                <w:highlight w:val="none"/>
                <w:lang w:val="en-US" w:eastAsia="zh-CN"/>
              </w:rPr>
              <w:t>2</w:t>
            </w:r>
          </w:p>
        </w:tc>
        <w:tc>
          <w:tcPr>
            <w:tcW w:w="9590" w:type="dxa"/>
            <w:tcBorders>
              <w:top w:val="single" w:color="000000" w:sz="2" w:space="0"/>
              <w:left w:val="single" w:color="000000" w:sz="2" w:space="0"/>
              <w:bottom w:val="single" w:color="000000" w:sz="2" w:space="0"/>
              <w:right w:val="single" w:color="000000" w:sz="8" w:space="0"/>
            </w:tcBorders>
            <w:vAlign w:val="center"/>
          </w:tcPr>
          <w:p w14:paraId="122176DA">
            <w:pPr>
              <w:pageBreakBefore w:val="0"/>
              <w:kinsoku/>
              <w:wordWrap w:val="0"/>
              <w:topLinePunct w:val="0"/>
              <w:bidi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电子加密投标文件的解密和异常情况处理：</w:t>
            </w:r>
          </w:p>
          <w:p w14:paraId="538B3CE6">
            <w:pPr>
              <w:pageBreakBefore w:val="0"/>
              <w:kinsoku/>
              <w:wordWrap w:val="0"/>
              <w:topLinePunct w:val="0"/>
              <w:bidi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（1）开标后，采购组织机构将向各投标人发出“电子加密投标文件”的解密通知，各投标人代表应当在接到解密通知后在系统规定的时间自行完成“电子加密投标文件”的在线解密。</w:t>
            </w:r>
          </w:p>
          <w:p w14:paraId="5CCD209B">
            <w:pPr>
              <w:pageBreakBefore w:val="0"/>
              <w:kinsoku/>
              <w:wordWrap w:val="0"/>
              <w:topLinePunct w:val="0"/>
              <w:bidi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1439B641">
            <w:pPr>
              <w:pageBreakBefore w:val="0"/>
              <w:kinsoku/>
              <w:wordWrap w:val="0"/>
              <w:topLinePunct w:val="0"/>
              <w:bidi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（3）投标截止时间前，投标人仅递交了“备份投标文件”而未将电子加密投标文件上传至“政府采购云平台”的，投标无效。</w:t>
            </w:r>
          </w:p>
        </w:tc>
      </w:tr>
      <w:tr w14:paraId="0303E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7851206A">
            <w:pPr>
              <w:pageBreakBefore w:val="0"/>
              <w:kinsoku/>
              <w:wordWrap w:val="0"/>
              <w:topLinePunct w:val="0"/>
              <w:bidi w:val="0"/>
              <w:snapToGrid w:val="0"/>
              <w:spacing w:line="460" w:lineRule="exact"/>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rPr>
              <w:t>1</w:t>
            </w:r>
            <w:r>
              <w:rPr>
                <w:rFonts w:hint="eastAsia" w:ascii="宋体" w:hAnsi="宋体" w:cs="宋体"/>
                <w:b/>
                <w:bCs/>
                <w:color w:val="auto"/>
                <w:sz w:val="22"/>
                <w:szCs w:val="22"/>
                <w:highlight w:val="none"/>
                <w:lang w:val="en-US" w:eastAsia="zh-CN"/>
              </w:rPr>
              <w:t>3</w:t>
            </w:r>
          </w:p>
        </w:tc>
        <w:tc>
          <w:tcPr>
            <w:tcW w:w="9590" w:type="dxa"/>
            <w:tcBorders>
              <w:top w:val="single" w:color="000000" w:sz="2" w:space="0"/>
              <w:left w:val="single" w:color="000000" w:sz="2" w:space="0"/>
              <w:bottom w:val="single" w:color="000000" w:sz="2" w:space="0"/>
              <w:right w:val="single" w:color="000000" w:sz="8" w:space="0"/>
            </w:tcBorders>
            <w:vAlign w:val="center"/>
          </w:tcPr>
          <w:p w14:paraId="3F1B579C">
            <w:pPr>
              <w:pageBreakBefore w:val="0"/>
              <w:widowControl/>
              <w:kinsoku/>
              <w:wordWrap w:val="0"/>
              <w:topLinePunct w:val="0"/>
              <w:bidi w:val="0"/>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提交投标文件截止时间：</w:t>
            </w:r>
            <w:r>
              <w:rPr>
                <w:rFonts w:hint="eastAsia" w:ascii="宋体" w:hAnsi="宋体" w:cs="宋体"/>
                <w:b w:val="0"/>
                <w:bCs w:val="0"/>
                <w:color w:val="auto"/>
                <w:sz w:val="22"/>
                <w:szCs w:val="22"/>
                <w:highlight w:val="none"/>
                <w:lang w:val="en-US" w:eastAsia="zh-CN"/>
              </w:rPr>
              <w:t>详见招标公告</w:t>
            </w:r>
            <w:r>
              <w:rPr>
                <w:rFonts w:hint="eastAsia" w:ascii="宋体" w:hAnsi="宋体" w:eastAsia="宋体" w:cs="宋体"/>
                <w:color w:val="auto"/>
                <w:sz w:val="22"/>
                <w:szCs w:val="22"/>
                <w:highlight w:val="none"/>
              </w:rPr>
              <w:t> </w:t>
            </w:r>
          </w:p>
          <w:p w14:paraId="4BCB569B">
            <w:pPr>
              <w:pageBreakBefore w:val="0"/>
              <w:widowControl/>
              <w:kinsoku/>
              <w:wordWrap w:val="0"/>
              <w:topLinePunct w:val="0"/>
              <w:bidi w:val="0"/>
              <w:snapToGrid w:val="0"/>
              <w:spacing w:line="460" w:lineRule="exact"/>
              <w:jc w:val="left"/>
              <w:rPr>
                <w:rFonts w:hint="eastAsia"/>
                <w:color w:val="auto"/>
                <w:highlight w:val="none"/>
              </w:rPr>
            </w:pPr>
            <w:r>
              <w:rPr>
                <w:rFonts w:hint="eastAsia" w:ascii="宋体" w:hAnsi="宋体" w:eastAsia="宋体" w:cs="宋体"/>
                <w:color w:val="auto"/>
                <w:sz w:val="22"/>
                <w:szCs w:val="22"/>
                <w:highlight w:val="none"/>
              </w:rPr>
              <w:t>投标地点（网址）：</w:t>
            </w:r>
            <w:r>
              <w:rPr>
                <w:rFonts w:hint="eastAsia" w:ascii="宋体" w:hAnsi="宋体" w:cs="宋体"/>
                <w:b w:val="0"/>
                <w:bCs w:val="0"/>
                <w:color w:val="auto"/>
                <w:sz w:val="22"/>
                <w:szCs w:val="22"/>
                <w:highlight w:val="none"/>
                <w:lang w:val="en-US" w:eastAsia="zh-CN"/>
              </w:rPr>
              <w:t>详见招标公告</w:t>
            </w:r>
          </w:p>
        </w:tc>
      </w:tr>
      <w:tr w14:paraId="1464C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auto" w:sz="4" w:space="0"/>
              <w:right w:val="single" w:color="000000" w:sz="2" w:space="0"/>
            </w:tcBorders>
            <w:vAlign w:val="center"/>
          </w:tcPr>
          <w:p w14:paraId="36204C54">
            <w:pPr>
              <w:pageBreakBefore w:val="0"/>
              <w:kinsoku/>
              <w:wordWrap w:val="0"/>
              <w:topLinePunct w:val="0"/>
              <w:bidi w:val="0"/>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1</w:t>
            </w:r>
            <w:r>
              <w:rPr>
                <w:rFonts w:hint="eastAsia" w:ascii="宋体" w:hAnsi="宋体" w:cs="宋体"/>
                <w:b/>
                <w:bCs/>
                <w:color w:val="auto"/>
                <w:sz w:val="22"/>
                <w:szCs w:val="22"/>
                <w:highlight w:val="none"/>
                <w:lang w:val="en-US" w:eastAsia="zh-CN"/>
              </w:rPr>
              <w:t>4</w:t>
            </w:r>
          </w:p>
        </w:tc>
        <w:tc>
          <w:tcPr>
            <w:tcW w:w="9590" w:type="dxa"/>
            <w:tcBorders>
              <w:top w:val="single" w:color="000000" w:sz="2" w:space="0"/>
              <w:left w:val="single" w:color="000000" w:sz="2" w:space="0"/>
              <w:bottom w:val="single" w:color="auto" w:sz="4" w:space="0"/>
              <w:right w:val="single" w:color="000000" w:sz="8" w:space="0"/>
            </w:tcBorders>
            <w:vAlign w:val="center"/>
          </w:tcPr>
          <w:p w14:paraId="0ACA6214">
            <w:pPr>
              <w:pageBreakBefore w:val="0"/>
              <w:widowControl/>
              <w:kinsoku/>
              <w:wordWrap w:val="0"/>
              <w:topLinePunct w:val="0"/>
              <w:bidi w:val="0"/>
              <w:snapToGrid w:val="0"/>
              <w:spacing w:line="460" w:lineRule="exact"/>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开标时间</w:t>
            </w:r>
            <w:r>
              <w:rPr>
                <w:rFonts w:hint="eastAsia" w:ascii="宋体" w:hAnsi="宋体" w:eastAsia="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详见招标公告</w:t>
            </w:r>
          </w:p>
          <w:p w14:paraId="19DF9223">
            <w:pPr>
              <w:pageBreakBefore w:val="0"/>
              <w:widowControl/>
              <w:kinsoku/>
              <w:wordWrap w:val="0"/>
              <w:topLinePunct w:val="0"/>
              <w:bidi w:val="0"/>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val="en-US" w:eastAsia="zh-CN"/>
              </w:rPr>
              <w:t>开标地点（网址）：</w:t>
            </w:r>
            <w:r>
              <w:rPr>
                <w:rFonts w:hint="eastAsia" w:ascii="宋体" w:hAnsi="宋体" w:cs="宋体"/>
                <w:b w:val="0"/>
                <w:bCs w:val="0"/>
                <w:color w:val="auto"/>
                <w:sz w:val="22"/>
                <w:szCs w:val="22"/>
                <w:highlight w:val="none"/>
                <w:lang w:val="en-US" w:eastAsia="zh-CN"/>
              </w:rPr>
              <w:t>详见招标公告</w:t>
            </w:r>
          </w:p>
        </w:tc>
      </w:tr>
      <w:tr w14:paraId="5F1714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14:paraId="4489B276">
            <w:pPr>
              <w:pageBreakBefore w:val="0"/>
              <w:kinsoku/>
              <w:wordWrap w:val="0"/>
              <w:topLinePunct w:val="0"/>
              <w:bidi w:val="0"/>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1</w:t>
            </w:r>
            <w:r>
              <w:rPr>
                <w:rFonts w:hint="eastAsia" w:ascii="宋体" w:hAnsi="宋体" w:cs="宋体"/>
                <w:b/>
                <w:bCs/>
                <w:color w:val="auto"/>
                <w:sz w:val="22"/>
                <w:szCs w:val="22"/>
                <w:highlight w:val="none"/>
                <w:lang w:val="en-US" w:eastAsia="zh-CN"/>
              </w:rPr>
              <w:t>5</w:t>
            </w:r>
          </w:p>
        </w:tc>
        <w:tc>
          <w:tcPr>
            <w:tcW w:w="9590" w:type="dxa"/>
            <w:tcBorders>
              <w:top w:val="single" w:color="auto" w:sz="4" w:space="0"/>
              <w:left w:val="single" w:color="000000" w:sz="2" w:space="0"/>
              <w:bottom w:val="single" w:color="auto" w:sz="4" w:space="0"/>
              <w:right w:val="single" w:color="000000" w:sz="8" w:space="0"/>
            </w:tcBorders>
            <w:vAlign w:val="center"/>
          </w:tcPr>
          <w:p w14:paraId="088FD0CE">
            <w:pPr>
              <w:pageBreakBefore w:val="0"/>
              <w:kinsoku/>
              <w:wordWrap w:val="0"/>
              <w:topLinePunct w:val="0"/>
              <w:bidi w:val="0"/>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带“▲”条款系指实质性要求条款。“★”是关键技术参数及要求。</w:t>
            </w:r>
          </w:p>
        </w:tc>
      </w:tr>
      <w:tr w14:paraId="1DBD7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14:paraId="1CA72ECA">
            <w:pPr>
              <w:pageBreakBefore w:val="0"/>
              <w:widowControl/>
              <w:kinsoku/>
              <w:wordWrap w:val="0"/>
              <w:topLinePunct w:val="0"/>
              <w:bidi w:val="0"/>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6</w:t>
            </w:r>
          </w:p>
        </w:tc>
        <w:tc>
          <w:tcPr>
            <w:tcW w:w="9590" w:type="dxa"/>
            <w:tcBorders>
              <w:top w:val="single" w:color="auto" w:sz="4" w:space="0"/>
              <w:left w:val="single" w:color="000000" w:sz="2" w:space="0"/>
              <w:bottom w:val="single" w:color="auto" w:sz="4" w:space="0"/>
              <w:right w:val="single" w:color="000000" w:sz="8" w:space="0"/>
            </w:tcBorders>
            <w:vAlign w:val="center"/>
          </w:tcPr>
          <w:p w14:paraId="13710D36">
            <w:pPr>
              <w:pageBreakBefore w:val="0"/>
              <w:widowControl/>
              <w:kinsoku/>
              <w:wordWrap w:val="0"/>
              <w:topLinePunct w:val="0"/>
              <w:bidi w:val="0"/>
              <w:snapToGrid w:val="0"/>
              <w:spacing w:line="460" w:lineRule="exact"/>
              <w:jc w:val="lef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3D9E71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E97017F">
            <w:pPr>
              <w:pageBreakBefore w:val="0"/>
              <w:widowControl/>
              <w:kinsoku/>
              <w:wordWrap w:val="0"/>
              <w:topLinePunct w:val="0"/>
              <w:bidi w:val="0"/>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7</w:t>
            </w:r>
          </w:p>
        </w:tc>
        <w:tc>
          <w:tcPr>
            <w:tcW w:w="9590" w:type="dxa"/>
            <w:tcBorders>
              <w:top w:val="single" w:color="000000" w:sz="2" w:space="0"/>
              <w:left w:val="single" w:color="000000" w:sz="2" w:space="0"/>
              <w:bottom w:val="single" w:color="000000" w:sz="2" w:space="0"/>
              <w:right w:val="single" w:color="000000" w:sz="8" w:space="0"/>
            </w:tcBorders>
            <w:vAlign w:val="center"/>
          </w:tcPr>
          <w:p w14:paraId="51B48687">
            <w:pPr>
              <w:pageBreakBefore w:val="0"/>
              <w:kinsoku/>
              <w:wordWrap w:val="0"/>
              <w:topLinePunct w:val="0"/>
              <w:bidi w:val="0"/>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color w:val="auto"/>
                <w:kern w:val="10"/>
                <w:sz w:val="22"/>
                <w:szCs w:val="22"/>
                <w:highlight w:val="none"/>
              </w:rPr>
              <w:t>潜在供应商需在浙江政府采购网http://zfcg.czt.zj.gov.cn/进行免费注册，具体详见浙江政府采购网供应商注册要求。</w:t>
            </w:r>
          </w:p>
        </w:tc>
      </w:tr>
      <w:tr w14:paraId="3905E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1FE6AF32">
            <w:pPr>
              <w:pageBreakBefore w:val="0"/>
              <w:widowControl/>
              <w:kinsoku/>
              <w:wordWrap w:val="0"/>
              <w:topLinePunct w:val="0"/>
              <w:bidi w:val="0"/>
              <w:snapToGrid w:val="0"/>
              <w:spacing w:line="460" w:lineRule="exact"/>
              <w:jc w:val="center"/>
              <w:textAlignment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8</w:t>
            </w:r>
          </w:p>
        </w:tc>
        <w:tc>
          <w:tcPr>
            <w:tcW w:w="9590" w:type="dxa"/>
            <w:tcBorders>
              <w:top w:val="single" w:color="000000" w:sz="2" w:space="0"/>
              <w:left w:val="single" w:color="000000" w:sz="2" w:space="0"/>
              <w:bottom w:val="single" w:color="000000" w:sz="2" w:space="0"/>
              <w:right w:val="single" w:color="000000" w:sz="8" w:space="0"/>
            </w:tcBorders>
            <w:vAlign w:val="center"/>
          </w:tcPr>
          <w:p w14:paraId="0BEE3B60">
            <w:pPr>
              <w:pageBreakBefore w:val="0"/>
              <w:shd w:val="clear"/>
              <w:kinsoku/>
              <w:wordWrap w:val="0"/>
              <w:topLinePunct w:val="0"/>
              <w:bidi w:val="0"/>
              <w:adjustRightInd w:val="0"/>
              <w:snapToGrid w:val="0"/>
              <w:spacing w:line="460" w:lineRule="exact"/>
              <w:ind w:firstLine="442" w:firstLineChars="200"/>
              <w:rPr>
                <w:rFonts w:hint="eastAsia" w:ascii="新宋体" w:hAnsi="新宋体" w:eastAsia="新宋体" w:cs="新宋体"/>
                <w:b/>
                <w:bCs/>
                <w:color w:val="auto"/>
                <w:sz w:val="22"/>
                <w:szCs w:val="28"/>
                <w:highlight w:val="none"/>
              </w:rPr>
            </w:pPr>
            <w:r>
              <w:rPr>
                <w:rFonts w:hint="eastAsia" w:ascii="新宋体" w:hAnsi="新宋体" w:eastAsia="新宋体" w:cs="新宋体"/>
                <w:b/>
                <w:bCs/>
                <w:color w:val="auto"/>
                <w:sz w:val="22"/>
                <w:szCs w:val="28"/>
                <w:highlight w:val="none"/>
              </w:rPr>
              <w:t>1、扶持中小企业（监狱企业、残疾人福利性单位）：</w:t>
            </w:r>
          </w:p>
          <w:p w14:paraId="5DF11845">
            <w:pPr>
              <w:pageBreakBefore w:val="0"/>
              <w:widowControl/>
              <w:kinsoku/>
              <w:wordWrap w:val="0"/>
              <w:topLinePunct w:val="0"/>
              <w:bidi w:val="0"/>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5B7FF548">
            <w:pPr>
              <w:pageBreakBefore w:val="0"/>
              <w:widowControl/>
              <w:kinsoku/>
              <w:wordWrap w:val="0"/>
              <w:topLinePunct w:val="0"/>
              <w:bidi w:val="0"/>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1</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项目预算：</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2400000</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元</w:t>
            </w:r>
          </w:p>
          <w:p w14:paraId="3A6C7E14">
            <w:pPr>
              <w:pageBreakBefore w:val="0"/>
              <w:widowControl/>
              <w:kinsoku/>
              <w:wordWrap w:val="0"/>
              <w:topLinePunct w:val="0"/>
              <w:bidi w:val="0"/>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2</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项目属性：</w:t>
            </w:r>
            <w:r>
              <w:rPr>
                <w:rFonts w:hint="eastAsia" w:ascii="新宋体" w:hAnsi="新宋体" w:eastAsia="新宋体" w:cs="新宋体"/>
                <w:color w:val="auto"/>
                <w:sz w:val="22"/>
                <w:szCs w:val="28"/>
                <w:highlight w:val="none"/>
                <w:u w:val="single"/>
              </w:rPr>
              <w:t xml:space="preserve"> ①货物类 </w:t>
            </w:r>
            <w:r>
              <w:rPr>
                <w:rFonts w:hint="eastAsia" w:ascii="新宋体" w:hAnsi="新宋体" w:eastAsia="新宋体" w:cs="新宋体"/>
                <w:color w:val="auto"/>
                <w:sz w:val="22"/>
                <w:szCs w:val="28"/>
                <w:highlight w:val="none"/>
              </w:rPr>
              <w:t xml:space="preserve"> （①货物类/②服务类/③工程类）</w:t>
            </w:r>
          </w:p>
          <w:p w14:paraId="2A8368B5">
            <w:pPr>
              <w:pageBreakBefore w:val="0"/>
              <w:widowControl/>
              <w:kinsoku/>
              <w:wordWrap w:val="0"/>
              <w:topLinePunct w:val="0"/>
              <w:bidi w:val="0"/>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3</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项目对应的中小企业划分标准所属行业：</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工业</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（具体根据《中小企业划型标准规定》执行）</w:t>
            </w:r>
          </w:p>
          <w:p w14:paraId="1D3492CB">
            <w:pPr>
              <w:pageBreakBefore w:val="0"/>
              <w:widowControl/>
              <w:kinsoku/>
              <w:wordWrap w:val="0"/>
              <w:topLinePunct w:val="0"/>
              <w:bidi w:val="0"/>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3386A36F">
            <w:pPr>
              <w:pageBreakBefore w:val="0"/>
              <w:widowControl/>
              <w:kinsoku/>
              <w:wordWrap w:val="0"/>
              <w:topLinePunct w:val="0"/>
              <w:bidi w:val="0"/>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4</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本项目</w:t>
            </w:r>
            <w:r>
              <w:rPr>
                <w:rFonts w:hint="eastAsia" w:ascii="新宋体" w:hAnsi="新宋体" w:eastAsia="新宋体" w:cs="新宋体"/>
                <w:color w:val="auto"/>
                <w:sz w:val="22"/>
                <w:szCs w:val="28"/>
                <w:highlight w:val="none"/>
                <w:u w:val="single"/>
                <w:lang w:val="en-US" w:eastAsia="zh-CN"/>
              </w:rPr>
              <w:t xml:space="preserve"> </w:t>
            </w:r>
            <w:r>
              <w:rPr>
                <w:rFonts w:hint="eastAsia" w:ascii="新宋体" w:hAnsi="新宋体" w:eastAsia="新宋体" w:cs="新宋体"/>
                <w:color w:val="auto"/>
                <w:sz w:val="22"/>
                <w:szCs w:val="28"/>
                <w:highlight w:val="none"/>
                <w:u w:val="single"/>
              </w:rPr>
              <w:t>（</w:t>
            </w:r>
            <w:r>
              <w:rPr>
                <w:rFonts w:hint="eastAsia" w:ascii="新宋体" w:hAnsi="新宋体" w:eastAsia="新宋体" w:cs="新宋体"/>
                <w:color w:val="auto"/>
                <w:sz w:val="22"/>
                <w:szCs w:val="28"/>
                <w:highlight w:val="none"/>
                <w:u w:val="single"/>
                <w:lang w:val="en-US" w:eastAsia="zh-CN"/>
              </w:rPr>
              <w:t>否</w:t>
            </w:r>
            <w:r>
              <w:rPr>
                <w:rFonts w:hint="eastAsia" w:ascii="新宋体" w:hAnsi="新宋体" w:eastAsia="新宋体" w:cs="新宋体"/>
                <w:color w:val="auto"/>
                <w:sz w:val="22"/>
                <w:szCs w:val="28"/>
                <w:highlight w:val="none"/>
                <w:u w:val="single"/>
              </w:rPr>
              <w:t>）</w:t>
            </w:r>
            <w:r>
              <w:rPr>
                <w:rFonts w:hint="eastAsia" w:ascii="新宋体" w:hAnsi="新宋体" w:eastAsia="新宋体" w:cs="新宋体"/>
                <w:color w:val="auto"/>
                <w:sz w:val="22"/>
                <w:szCs w:val="28"/>
                <w:highlight w:val="none"/>
                <w:u w:val="single"/>
                <w:lang w:val="en-US" w:eastAsia="zh-CN"/>
              </w:rPr>
              <w:t xml:space="preserve"> </w:t>
            </w:r>
            <w:r>
              <w:rPr>
                <w:rFonts w:hint="eastAsia" w:ascii="新宋体" w:hAnsi="新宋体" w:eastAsia="新宋体" w:cs="新宋体"/>
                <w:color w:val="auto"/>
                <w:sz w:val="22"/>
                <w:szCs w:val="28"/>
                <w:highlight w:val="none"/>
              </w:rPr>
              <w:t>属于预留份额专门面向中小企业采购的项目。</w:t>
            </w:r>
          </w:p>
          <w:p w14:paraId="5A6B7177">
            <w:pPr>
              <w:pageBreakBefore w:val="0"/>
              <w:widowControl/>
              <w:kinsoku/>
              <w:wordWrap w:val="0"/>
              <w:topLinePunct w:val="0"/>
              <w:bidi w:val="0"/>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5</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上述第4项中确定为“是”的采购项目，预留份额通过（</w:t>
            </w:r>
            <w:r>
              <w:rPr>
                <w:rFonts w:hint="eastAsia" w:ascii="新宋体" w:hAnsi="新宋体" w:eastAsia="新宋体" w:cs="新宋体"/>
                <w:color w:val="auto"/>
                <w:sz w:val="22"/>
                <w:szCs w:val="28"/>
                <w:highlight w:val="none"/>
                <w:lang w:val="en-US" w:eastAsia="zh-CN"/>
              </w:rPr>
              <w:t>/</w:t>
            </w:r>
            <w:r>
              <w:rPr>
                <w:rFonts w:hint="eastAsia" w:ascii="新宋体" w:hAnsi="新宋体" w:eastAsia="新宋体" w:cs="新宋体"/>
                <w:color w:val="auto"/>
                <w:sz w:val="22"/>
                <w:szCs w:val="28"/>
                <w:highlight w:val="none"/>
              </w:rPr>
              <w:t>）措施进行：</w:t>
            </w:r>
          </w:p>
          <w:p w14:paraId="3B16CFAB">
            <w:pPr>
              <w:pageBreakBefore w:val="0"/>
              <w:widowControl/>
              <w:kinsoku/>
              <w:wordWrap w:val="0"/>
              <w:topLinePunct w:val="0"/>
              <w:bidi w:val="0"/>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①将采购项目整体或者设置采购包专门面向中小企业采购； </w:t>
            </w:r>
          </w:p>
          <w:p w14:paraId="50BD0FF5">
            <w:pPr>
              <w:pageBreakBefore w:val="0"/>
              <w:widowControl/>
              <w:kinsoku/>
              <w:wordWrap w:val="0"/>
              <w:topLinePunct w:val="0"/>
              <w:bidi w:val="0"/>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②要求供应商以联合体形式参加采购活动，且联合体中中小企业承担的部分达到</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 xml:space="preserve"> (比例)； </w:t>
            </w:r>
          </w:p>
          <w:p w14:paraId="3B00B89E">
            <w:pPr>
              <w:pageBreakBefore w:val="0"/>
              <w:widowControl/>
              <w:kinsoku/>
              <w:wordWrap w:val="0"/>
              <w:topLinePunct w:val="0"/>
              <w:bidi w:val="0"/>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③要求获得采购合同的供应商将采购项目中的 </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(比例)分包给一家或者多家中小企业。</w:t>
            </w:r>
          </w:p>
          <w:p w14:paraId="1303D083">
            <w:pPr>
              <w:pageBreakBefore w:val="0"/>
              <w:widowControl/>
              <w:kinsoku/>
              <w:wordWrap w:val="0"/>
              <w:topLinePunct w:val="0"/>
              <w:bidi w:val="0"/>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6</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对于经主管预算单位统筹后未预留份额专门面向中小企业采购的采购项目，以及预留份额项目中的非预留部分采购包，请贵单位明确对符合本办法规定的小微企业报价给予</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10%</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 xml:space="preserve">（工程项目为5%）的扣除，用扣除后的价格参加评审。 </w:t>
            </w:r>
          </w:p>
          <w:p w14:paraId="25470E8D">
            <w:pPr>
              <w:pageBreakBefore w:val="0"/>
              <w:widowControl/>
              <w:kinsoku/>
              <w:wordWrap w:val="0"/>
              <w:topLinePunct w:val="0"/>
              <w:bidi w:val="0"/>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4%</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（工程项目为 2%）的扣除，用扣除后的价格参加评审。</w:t>
            </w:r>
          </w:p>
          <w:p w14:paraId="3597C35F">
            <w:pPr>
              <w:pageBreakBefore w:val="0"/>
              <w:widowControl/>
              <w:kinsoku/>
              <w:wordWrap w:val="0"/>
              <w:topLinePunct w:val="0"/>
              <w:bidi w:val="0"/>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专门面向中小企业采购的项目或者标项，不再执行价格评审优惠的扶持政策。</w:t>
            </w:r>
          </w:p>
          <w:p w14:paraId="1A181AF9">
            <w:pPr>
              <w:pageBreakBefore w:val="0"/>
              <w:widowControl/>
              <w:kinsoku/>
              <w:wordWrap w:val="0"/>
              <w:topLinePunct w:val="0"/>
              <w:bidi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、节能产品、环境标志产品的强制采购政策</w:t>
            </w:r>
          </w:p>
          <w:p w14:paraId="7C768D7D">
            <w:pPr>
              <w:pageBreakBefore w:val="0"/>
              <w:widowControl/>
              <w:kinsoku/>
              <w:wordWrap w:val="0"/>
              <w:topLinePunct w:val="0"/>
              <w:bidi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32C9F0D2">
            <w:pPr>
              <w:pageBreakBefore w:val="0"/>
              <w:widowControl/>
              <w:kinsoku/>
              <w:wordWrap w:val="0"/>
              <w:topLinePunct w:val="0"/>
              <w:bidi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、节能产品、环境标志产品的优先采购政策</w:t>
            </w:r>
          </w:p>
          <w:p w14:paraId="3A63622E">
            <w:pPr>
              <w:pageBreakBefore w:val="0"/>
              <w:widowControl/>
              <w:kinsoku/>
              <w:wordWrap w:val="0"/>
              <w:topLinePunct w:val="0"/>
              <w:bidi w:val="0"/>
              <w:snapToGrid w:val="0"/>
              <w:spacing w:line="460" w:lineRule="exact"/>
              <w:ind w:firstLine="440" w:firstLineChars="200"/>
              <w:jc w:val="lef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（注：本项目执行最新政府采购节能产品、环境标志产品品目清单。）</w:t>
            </w:r>
          </w:p>
        </w:tc>
      </w:tr>
      <w:tr w14:paraId="747D6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1B477B40">
            <w:pPr>
              <w:pageBreakBefore w:val="0"/>
              <w:widowControl/>
              <w:kinsoku/>
              <w:wordWrap w:val="0"/>
              <w:topLinePunct w:val="0"/>
              <w:bidi w:val="0"/>
              <w:snapToGrid w:val="0"/>
              <w:spacing w:line="460" w:lineRule="exact"/>
              <w:jc w:val="center"/>
              <w:textAlignment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9</w:t>
            </w:r>
          </w:p>
        </w:tc>
        <w:tc>
          <w:tcPr>
            <w:tcW w:w="9590" w:type="dxa"/>
            <w:tcBorders>
              <w:top w:val="single" w:color="000000" w:sz="2" w:space="0"/>
              <w:left w:val="single" w:color="000000" w:sz="2" w:space="0"/>
              <w:bottom w:val="single" w:color="000000" w:sz="2" w:space="0"/>
              <w:right w:val="single" w:color="000000" w:sz="8" w:space="0"/>
            </w:tcBorders>
            <w:vAlign w:val="center"/>
          </w:tcPr>
          <w:p w14:paraId="4858BAA0">
            <w:pPr>
              <w:pageBreakBefore w:val="0"/>
              <w:kinsoku/>
              <w:wordWrap w:val="0"/>
              <w:topLinePunct w:val="0"/>
              <w:bidi w:val="0"/>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根据《关于在政府采购活动中查询及使用信用记录有关问题的通知》财库[2016]125号的规定：</w:t>
            </w:r>
          </w:p>
          <w:p w14:paraId="09C15143">
            <w:pPr>
              <w:pageBreakBefore w:val="0"/>
              <w:kinsoku/>
              <w:wordWrap w:val="0"/>
              <w:topLinePunct w:val="0"/>
              <w:bidi w:val="0"/>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1）招标人或采购代理机构将对本项目供应商的信用记录进行查询。查询渠道为信用中国网站（www.creditchina.gov.cn）、中国政府采购网（www.ccgp.gov.cn）；</w:t>
            </w:r>
          </w:p>
          <w:p w14:paraId="188EB8C2">
            <w:pPr>
              <w:pageBreakBefore w:val="0"/>
              <w:kinsoku/>
              <w:wordWrap w:val="0"/>
              <w:topLinePunct w:val="0"/>
              <w:bidi w:val="0"/>
              <w:snapToGrid w:val="0"/>
              <w:spacing w:line="460" w:lineRule="exact"/>
              <w:ind w:firstLine="110" w:firstLine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2）截止时点：</w:t>
            </w:r>
            <w:r>
              <w:rPr>
                <w:rFonts w:hint="eastAsia" w:ascii="宋体" w:hAnsi="宋体" w:eastAsia="宋体" w:cs="宋体"/>
                <w:color w:val="auto"/>
                <w:sz w:val="22"/>
                <w:highlight w:val="none"/>
              </w:rPr>
              <w:t>招标公告发布之日至投标截止时间前</w:t>
            </w:r>
            <w:r>
              <w:rPr>
                <w:rFonts w:hint="eastAsia" w:ascii="宋体" w:hAnsi="宋体" w:eastAsia="宋体" w:cs="宋体"/>
                <w:color w:val="auto"/>
                <w:sz w:val="22"/>
                <w:szCs w:val="22"/>
                <w:highlight w:val="none"/>
              </w:rPr>
              <w:t>；</w:t>
            </w:r>
          </w:p>
          <w:p w14:paraId="00FAD33F">
            <w:pPr>
              <w:pageBreakBefore w:val="0"/>
              <w:kinsoku/>
              <w:wordWrap w:val="0"/>
              <w:topLinePunct w:val="0"/>
              <w:bidi w:val="0"/>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3）查询记录和证据的留存：信用信息查询记录和证据以网页截图等方式留存。</w:t>
            </w:r>
          </w:p>
          <w:p w14:paraId="3A35F4D5">
            <w:pPr>
              <w:pageBreakBefore w:val="0"/>
              <w:kinsoku/>
              <w:wordWrap w:val="0"/>
              <w:topLinePunct w:val="0"/>
              <w:bidi w:val="0"/>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3536601D">
            <w:pPr>
              <w:pageBreakBefore w:val="0"/>
              <w:kinsoku/>
              <w:wordWrap w:val="0"/>
              <w:topLinePunct w:val="0"/>
              <w:bidi w:val="0"/>
              <w:snapToGrid w:val="0"/>
              <w:spacing w:line="460" w:lineRule="exac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5）联合体成员任意一方存在不良信用记录的，视同联合体存在不良信用记录。</w:t>
            </w:r>
          </w:p>
        </w:tc>
      </w:tr>
      <w:tr w14:paraId="2BA65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10375" w:type="dxa"/>
            <w:gridSpan w:val="2"/>
            <w:tcBorders>
              <w:top w:val="single" w:color="000000" w:sz="2" w:space="0"/>
              <w:left w:val="single" w:color="000000" w:sz="8" w:space="0"/>
              <w:bottom w:val="single" w:color="000000" w:sz="2" w:space="0"/>
              <w:right w:val="single" w:color="000000" w:sz="8" w:space="0"/>
            </w:tcBorders>
            <w:vAlign w:val="center"/>
          </w:tcPr>
          <w:p w14:paraId="5AD7F9E9">
            <w:pPr>
              <w:pageBreakBefore w:val="0"/>
              <w:kinsoku/>
              <w:wordWrap w:val="0"/>
              <w:topLinePunct w:val="0"/>
              <w:bidi w:val="0"/>
              <w:snapToGrid w:val="0"/>
              <w:spacing w:line="460" w:lineRule="exact"/>
              <w:ind w:left="105" w:leftChars="50"/>
              <w:rPr>
                <w:rFonts w:hint="eastAsia" w:ascii="宋体" w:hAnsi="宋体" w:eastAsia="宋体" w:cs="宋体"/>
                <w:b/>
                <w:bCs/>
                <w:color w:val="auto"/>
                <w:kern w:val="0"/>
                <w:sz w:val="22"/>
                <w:szCs w:val="22"/>
                <w:highlight w:val="none"/>
              </w:rPr>
            </w:pPr>
            <w:r>
              <w:rPr>
                <w:rFonts w:hint="eastAsia" w:ascii="宋体" w:hAnsi="宋体" w:eastAsia="宋体" w:cs="宋体"/>
                <w:b/>
                <w:bCs/>
                <w:color w:val="auto"/>
                <w:sz w:val="22"/>
                <w:szCs w:val="22"/>
                <w:highlight w:val="none"/>
                <w:lang w:val="en-US" w:eastAsia="zh-CN"/>
              </w:rPr>
              <w:t>注：招标文件其他组成部分涉及与前附表相同内容，如有不明确或不一致，以前附表规定为准。</w:t>
            </w:r>
          </w:p>
        </w:tc>
      </w:tr>
    </w:tbl>
    <w:p w14:paraId="64CF8033">
      <w:pPr>
        <w:pageBreakBefore w:val="0"/>
        <w:kinsoku/>
        <w:wordWrap w:val="0"/>
        <w:topLinePunct w:val="0"/>
        <w:bidi w:val="0"/>
        <w:spacing w:before="100" w:beforeAutospacing="1" w:after="100" w:afterAutospacing="1" w:line="460" w:lineRule="exact"/>
        <w:jc w:val="center"/>
        <w:outlineLvl w:val="1"/>
        <w:rPr>
          <w:rFonts w:hint="eastAsia" w:ascii="宋体" w:hAnsi="宋体" w:eastAsia="宋体" w:cs="宋体"/>
          <w:b/>
          <w:bCs/>
          <w:color w:val="auto"/>
          <w:sz w:val="32"/>
          <w:szCs w:val="32"/>
          <w:highlight w:val="none"/>
        </w:rPr>
      </w:pPr>
      <w:bookmarkStart w:id="10" w:name="_Toc19070"/>
      <w:bookmarkStart w:id="11" w:name="_Toc20846"/>
      <w:r>
        <w:rPr>
          <w:rFonts w:hint="eastAsia" w:ascii="宋体" w:hAnsi="宋体" w:eastAsia="宋体" w:cs="宋体"/>
          <w:b/>
          <w:bCs/>
          <w:color w:val="auto"/>
          <w:sz w:val="26"/>
          <w:szCs w:val="26"/>
          <w:highlight w:val="none"/>
        </w:rPr>
        <w:t>一、 说   明</w:t>
      </w:r>
      <w:bookmarkEnd w:id="10"/>
      <w:bookmarkEnd w:id="11"/>
    </w:p>
    <w:p w14:paraId="48FD039E">
      <w:pPr>
        <w:pageBreakBefore w:val="0"/>
        <w:tabs>
          <w:tab w:val="left" w:pos="360"/>
        </w:tabs>
        <w:kinsoku/>
        <w:wordWrap w:val="0"/>
        <w:topLinePunct w:val="0"/>
        <w:bidi w:val="0"/>
        <w:spacing w:line="460" w:lineRule="exact"/>
        <w:ind w:firstLine="550" w:firstLineChars="2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14:paraId="7B2AFBFF">
      <w:pPr>
        <w:pageBreakBefore w:val="0"/>
        <w:tabs>
          <w:tab w:val="left" w:pos="360"/>
        </w:tabs>
        <w:kinsoku/>
        <w:wordWrap w:val="0"/>
        <w:topLinePunct w:val="0"/>
        <w:bidi w:val="0"/>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2、定义</w:t>
      </w:r>
    </w:p>
    <w:p w14:paraId="4510E63E">
      <w:pPr>
        <w:pageBreakBefore w:val="0"/>
        <w:tabs>
          <w:tab w:val="left" w:pos="360"/>
        </w:tabs>
        <w:kinsoku/>
        <w:wordWrap w:val="0"/>
        <w:topLinePunct w:val="0"/>
        <w:bidi w:val="0"/>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招标人：是指依法进行政府采购的国家机关、事业单位、团体组织</w:t>
      </w:r>
    </w:p>
    <w:p w14:paraId="56E9C4CE">
      <w:pPr>
        <w:pageBreakBefore w:val="0"/>
        <w:tabs>
          <w:tab w:val="left" w:pos="360"/>
        </w:tabs>
        <w:kinsoku/>
        <w:wordWrap w:val="0"/>
        <w:topLinePunct w:val="0"/>
        <w:bidi w:val="0"/>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招标代理机构：受招标人委托，在委托的范围内办理政府采购事宜的机构；</w:t>
      </w:r>
    </w:p>
    <w:p w14:paraId="6AD32BA9">
      <w:pPr>
        <w:pageBreakBefore w:val="0"/>
        <w:tabs>
          <w:tab w:val="left" w:pos="360"/>
        </w:tabs>
        <w:kinsoku/>
        <w:wordWrap w:val="0"/>
        <w:topLinePunct w:val="0"/>
        <w:bidi w:val="0"/>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投标人：是指参加本政府采购项目投标的供应商；</w:t>
      </w:r>
    </w:p>
    <w:p w14:paraId="573BAD77">
      <w:pPr>
        <w:pageBreakBefore w:val="0"/>
        <w:tabs>
          <w:tab w:val="left" w:pos="360"/>
        </w:tabs>
        <w:kinsoku/>
        <w:wordWrap w:val="0"/>
        <w:topLinePunct w:val="0"/>
        <w:bidi w:val="0"/>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投标人代表：是指参加本项目投标活动的供应商法定代表人或法定代表人授权代表；</w:t>
      </w:r>
    </w:p>
    <w:p w14:paraId="3A8615A8">
      <w:pPr>
        <w:pageBreakBefore w:val="0"/>
        <w:tabs>
          <w:tab w:val="left" w:pos="360"/>
        </w:tabs>
        <w:kinsoku/>
        <w:wordWrap w:val="0"/>
        <w:topLinePunct w:val="0"/>
        <w:bidi w:val="0"/>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投标联合体：是指两个以上供应商组成联合体，以一个供应商的身份参加投标；</w:t>
      </w:r>
    </w:p>
    <w:p w14:paraId="3437AC28">
      <w:pPr>
        <w:pageBreakBefore w:val="0"/>
        <w:tabs>
          <w:tab w:val="left" w:pos="360"/>
        </w:tabs>
        <w:kinsoku/>
        <w:wordWrap w:val="0"/>
        <w:topLinePunct w:val="0"/>
        <w:bidi w:val="0"/>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甲方：是指合同签订的一方，一般与招标人、用户相同；</w:t>
      </w:r>
    </w:p>
    <w:p w14:paraId="6E162A88">
      <w:pPr>
        <w:pageBreakBefore w:val="0"/>
        <w:tabs>
          <w:tab w:val="left" w:pos="360"/>
        </w:tabs>
        <w:kinsoku/>
        <w:wordWrap w:val="0"/>
        <w:topLinePunct w:val="0"/>
        <w:bidi w:val="0"/>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乙方：是指合同签订的另一方，与中标人相同；</w:t>
      </w:r>
    </w:p>
    <w:p w14:paraId="38148C59">
      <w:pPr>
        <w:pageBreakBefore w:val="0"/>
        <w:tabs>
          <w:tab w:val="left" w:pos="360"/>
        </w:tabs>
        <w:kinsoku/>
        <w:wordWrap w:val="0"/>
        <w:topLinePunct w:val="0"/>
        <w:bidi w:val="0"/>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制造商：是指拥有投标产品自主知识产权的单位；</w:t>
      </w:r>
    </w:p>
    <w:p w14:paraId="2C104170">
      <w:pPr>
        <w:pageBreakBefore w:val="0"/>
        <w:tabs>
          <w:tab w:val="left" w:pos="360"/>
        </w:tabs>
        <w:kinsoku/>
        <w:wordWrap w:val="0"/>
        <w:topLinePunct w:val="0"/>
        <w:bidi w:val="0"/>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14:paraId="7E88E419">
      <w:pPr>
        <w:pageBreakBefore w:val="0"/>
        <w:tabs>
          <w:tab w:val="left" w:pos="360"/>
        </w:tabs>
        <w:kinsoku/>
        <w:wordWrap w:val="0"/>
        <w:topLinePunct w:val="0"/>
        <w:bidi w:val="0"/>
        <w:spacing w:line="460" w:lineRule="exact"/>
        <w:ind w:firstLine="552" w:firstLineChars="25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带“▲”条款系指实质性要求条款。“★”是关键技术参数及要求。</w:t>
      </w:r>
    </w:p>
    <w:p w14:paraId="77188706">
      <w:pPr>
        <w:pageBreakBefore w:val="0"/>
        <w:tabs>
          <w:tab w:val="left" w:pos="360"/>
        </w:tabs>
        <w:kinsoku/>
        <w:wordWrap w:val="0"/>
        <w:topLinePunct w:val="0"/>
        <w:bidi w:val="0"/>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3、投标人代表</w:t>
      </w:r>
    </w:p>
    <w:p w14:paraId="2CC18F99">
      <w:pPr>
        <w:pageBreakBefore w:val="0"/>
        <w:tabs>
          <w:tab w:val="left" w:pos="360"/>
        </w:tabs>
        <w:kinsoku/>
        <w:wordWrap w:val="0"/>
        <w:topLinePunct w:val="0"/>
        <w:bidi w:val="0"/>
        <w:spacing w:line="460" w:lineRule="exact"/>
        <w:ind w:firstLine="539" w:firstLineChars="245"/>
        <w:rPr>
          <w:rFonts w:hint="eastAsia" w:ascii="宋体" w:hAnsi="宋体" w:eastAsia="宋体" w:cs="宋体"/>
          <w:b w:val="0"/>
          <w:bCs/>
          <w:color w:val="auto"/>
          <w:sz w:val="22"/>
          <w:highlight w:val="none"/>
        </w:rPr>
      </w:pPr>
      <w:r>
        <w:rPr>
          <w:rFonts w:hint="eastAsia" w:ascii="宋体" w:hAnsi="宋体" w:eastAsia="宋体" w:cs="宋体"/>
          <w:b w:val="0"/>
          <w:bCs/>
          <w:color w:val="auto"/>
          <w:sz w:val="22"/>
          <w:szCs w:val="22"/>
          <w:highlight w:val="none"/>
        </w:rPr>
        <w:t>3.1</w:t>
      </w:r>
      <w:r>
        <w:rPr>
          <w:rFonts w:hint="eastAsia" w:ascii="宋体" w:hAnsi="宋体" w:eastAsia="宋体" w:cs="宋体"/>
          <w:b w:val="0"/>
          <w:bCs/>
          <w:color w:val="auto"/>
          <w:sz w:val="22"/>
          <w:highlight w:val="none"/>
        </w:rPr>
        <w:t>指全权代表投标人参加投标活动并签署投标文件的人。如果投标人代表不是法定代表人，须持有《法定代表人授权书》（见附件）</w:t>
      </w:r>
    </w:p>
    <w:p w14:paraId="28C390C3">
      <w:pPr>
        <w:pageBreakBefore w:val="0"/>
        <w:tabs>
          <w:tab w:val="left" w:pos="360"/>
        </w:tabs>
        <w:kinsoku/>
        <w:wordWrap w:val="0"/>
        <w:topLinePunct w:val="0"/>
        <w:bidi w:val="0"/>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宋体" w:hAnsi="宋体" w:eastAsia="宋体" w:cs="宋体"/>
          <w:b/>
          <w:color w:val="auto"/>
          <w:sz w:val="22"/>
          <w:szCs w:val="22"/>
          <w:highlight w:val="none"/>
        </w:rPr>
        <w:t>。</w:t>
      </w:r>
    </w:p>
    <w:p w14:paraId="7ED117A8">
      <w:pPr>
        <w:pageBreakBefore w:val="0"/>
        <w:kinsoku/>
        <w:wordWrap w:val="0"/>
        <w:topLinePunct w:val="0"/>
        <w:bidi w:val="0"/>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4、投标费用</w:t>
      </w:r>
    </w:p>
    <w:p w14:paraId="7F6ECD0E">
      <w:pPr>
        <w:pageBreakBefore w:val="0"/>
        <w:kinsoku/>
        <w:wordWrap w:val="0"/>
        <w:topLinePunct w:val="0"/>
        <w:bidi w:val="0"/>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4.1投</w:t>
      </w:r>
      <w:r>
        <w:rPr>
          <w:rFonts w:hint="eastAsia" w:ascii="宋体" w:hAnsi="宋体" w:eastAsia="宋体" w:cs="宋体"/>
          <w:color w:val="auto"/>
          <w:sz w:val="22"/>
          <w:szCs w:val="22"/>
          <w:highlight w:val="none"/>
        </w:rPr>
        <w:t>标人应承担所有与准备和参加投标有关费用，不论投标的结果如何，招标人或招标代理机构均无义务和责任承担这些费用。</w:t>
      </w:r>
    </w:p>
    <w:p w14:paraId="7081A474">
      <w:pPr>
        <w:pageBreakBefore w:val="0"/>
        <w:kinsoku/>
        <w:wordWrap w:val="0"/>
        <w:topLinePunct w:val="0"/>
        <w:bidi w:val="0"/>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5</w:t>
      </w:r>
      <w:r>
        <w:rPr>
          <w:rFonts w:hint="eastAsia" w:ascii="新宋体" w:hAnsi="新宋体" w:eastAsia="新宋体"/>
          <w:b/>
          <w:color w:val="auto"/>
          <w:sz w:val="22"/>
          <w:szCs w:val="22"/>
          <w:highlight w:val="none"/>
          <w:lang w:eastAsia="zh-CN"/>
        </w:rPr>
        <w:t>、</w:t>
      </w:r>
      <w:r>
        <w:rPr>
          <w:rFonts w:hint="eastAsia" w:ascii="宋体" w:hAnsi="宋体" w:eastAsia="宋体" w:cs="宋体"/>
          <w:b/>
          <w:color w:val="auto"/>
          <w:sz w:val="22"/>
          <w:szCs w:val="22"/>
          <w:highlight w:val="none"/>
        </w:rPr>
        <w:t>联合体</w:t>
      </w:r>
      <w:r>
        <w:rPr>
          <w:rFonts w:hint="eastAsia" w:ascii="新宋体" w:hAnsi="新宋体" w:eastAsia="新宋体"/>
          <w:b/>
          <w:color w:val="auto"/>
          <w:sz w:val="22"/>
          <w:szCs w:val="22"/>
          <w:highlight w:val="none"/>
        </w:rPr>
        <w:t>投标说明</w:t>
      </w:r>
    </w:p>
    <w:p w14:paraId="67995F82">
      <w:pPr>
        <w:pageBreakBefore w:val="0"/>
        <w:kinsoku/>
        <w:wordWrap w:val="0"/>
        <w:topLinePunct w:val="0"/>
        <w:bidi w:val="0"/>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5.1 联合体投标的，除招标文件另有规定外，招标文件的获取、响应文件的签署盖章、递交及开标过程操作均</w:t>
      </w:r>
      <w:r>
        <w:rPr>
          <w:rFonts w:hint="eastAsia" w:ascii="宋体" w:hAnsi="宋体" w:cs="宋体"/>
          <w:color w:val="auto"/>
          <w:sz w:val="22"/>
          <w:szCs w:val="22"/>
          <w:highlight w:val="none"/>
          <w:lang w:val="en-US" w:eastAsia="zh-CN"/>
        </w:rPr>
        <w:t>由</w:t>
      </w:r>
      <w:r>
        <w:rPr>
          <w:rFonts w:hint="eastAsia" w:ascii="宋体" w:hAnsi="宋体" w:cs="宋体"/>
          <w:color w:val="auto"/>
          <w:sz w:val="22"/>
          <w:szCs w:val="22"/>
          <w:highlight w:val="none"/>
        </w:rPr>
        <w:t>联合体</w:t>
      </w:r>
      <w:r>
        <w:rPr>
          <w:rFonts w:hint="eastAsia" w:ascii="宋体" w:hAnsi="宋体" w:cs="宋体"/>
          <w:color w:val="auto"/>
          <w:sz w:val="22"/>
          <w:szCs w:val="22"/>
          <w:highlight w:val="none"/>
          <w:lang w:val="en-US" w:eastAsia="zh-CN"/>
        </w:rPr>
        <w:t>牵头人进行</w:t>
      </w:r>
      <w:r>
        <w:rPr>
          <w:rFonts w:hint="eastAsia" w:ascii="宋体" w:hAnsi="宋体" w:cs="宋体"/>
          <w:color w:val="auto"/>
          <w:sz w:val="22"/>
          <w:szCs w:val="22"/>
          <w:highlight w:val="none"/>
        </w:rPr>
        <w:t>。</w:t>
      </w:r>
    </w:p>
    <w:p w14:paraId="380EE649">
      <w:pPr>
        <w:pageBreakBefore w:val="0"/>
        <w:kinsoku/>
        <w:wordWrap w:val="0"/>
        <w:topLinePunct w:val="0"/>
        <w:bidi w:val="0"/>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5.2 </w:t>
      </w:r>
      <w:r>
        <w:rPr>
          <w:rFonts w:ascii="新宋体" w:hAnsi="新宋体" w:eastAsia="新宋体"/>
          <w:color w:val="auto"/>
          <w:sz w:val="22"/>
          <w:szCs w:val="22"/>
          <w:highlight w:val="none"/>
        </w:rPr>
        <w:t>以联合体形式参加政府采购活动的，联合体各方不得再单独参加或者与其他供应商另外组成联合体参加同一合同项下的政府采购活动</w:t>
      </w: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lang w:val="en-US" w:eastAsia="zh-CN"/>
        </w:rPr>
        <w:t>否则均按无效标处理</w:t>
      </w:r>
      <w:r>
        <w:rPr>
          <w:rFonts w:ascii="新宋体" w:hAnsi="新宋体" w:eastAsia="新宋体"/>
          <w:color w:val="auto"/>
          <w:sz w:val="22"/>
          <w:szCs w:val="22"/>
          <w:highlight w:val="none"/>
        </w:rPr>
        <w:t>。</w:t>
      </w:r>
    </w:p>
    <w:p w14:paraId="41C792C0">
      <w:pPr>
        <w:pageBreakBefore w:val="0"/>
        <w:kinsoku/>
        <w:wordWrap w:val="0"/>
        <w:topLinePunct w:val="0"/>
        <w:bidi w:val="0"/>
        <w:spacing w:line="460" w:lineRule="exact"/>
        <w:ind w:firstLine="539" w:firstLineChars="245"/>
        <w:rPr>
          <w:rFonts w:hint="eastAsia"/>
          <w:color w:val="auto"/>
          <w:highlight w:val="none"/>
        </w:rPr>
      </w:pPr>
      <w:r>
        <w:rPr>
          <w:rFonts w:hint="eastAsia" w:ascii="新宋体" w:hAnsi="新宋体" w:eastAsia="新宋体"/>
          <w:bCs/>
          <w:color w:val="auto"/>
          <w:sz w:val="22"/>
          <w:szCs w:val="22"/>
          <w:highlight w:val="none"/>
        </w:rPr>
        <w:t>5.3 如联合体成交，</w:t>
      </w:r>
      <w:r>
        <w:rPr>
          <w:color w:val="auto"/>
          <w:kern w:val="0"/>
          <w:sz w:val="22"/>
          <w:szCs w:val="22"/>
          <w:highlight w:val="none"/>
        </w:rPr>
        <w:t>联合体各方应当共同与采购人签订采购合同，就采购合同约定的事项对采购人承担</w:t>
      </w:r>
      <w:r>
        <w:rPr>
          <w:rFonts w:hint="eastAsia" w:ascii="新宋体" w:hAnsi="新宋体" w:eastAsia="新宋体"/>
          <w:b w:val="0"/>
          <w:bCs/>
          <w:color w:val="auto"/>
          <w:sz w:val="22"/>
          <w:szCs w:val="22"/>
          <w:highlight w:val="none"/>
        </w:rPr>
        <w:t>连带</w:t>
      </w:r>
      <w:r>
        <w:rPr>
          <w:color w:val="auto"/>
          <w:kern w:val="0"/>
          <w:sz w:val="22"/>
          <w:szCs w:val="22"/>
          <w:highlight w:val="none"/>
        </w:rPr>
        <w:t>责任</w:t>
      </w:r>
      <w:r>
        <w:rPr>
          <w:rFonts w:hint="eastAsia"/>
          <w:color w:val="auto"/>
          <w:kern w:val="0"/>
          <w:sz w:val="22"/>
          <w:szCs w:val="22"/>
          <w:highlight w:val="none"/>
        </w:rPr>
        <w:t>，</w:t>
      </w:r>
      <w:r>
        <w:rPr>
          <w:color w:val="auto"/>
          <w:kern w:val="0"/>
          <w:sz w:val="22"/>
          <w:szCs w:val="22"/>
          <w:highlight w:val="none"/>
        </w:rPr>
        <w:t>履约保证金</w:t>
      </w:r>
      <w:r>
        <w:rPr>
          <w:rFonts w:hint="eastAsia"/>
          <w:color w:val="auto"/>
          <w:kern w:val="0"/>
          <w:sz w:val="22"/>
          <w:szCs w:val="22"/>
          <w:highlight w:val="none"/>
        </w:rPr>
        <w:t>（如有）</w:t>
      </w:r>
      <w:r>
        <w:rPr>
          <w:color w:val="auto"/>
          <w:kern w:val="0"/>
          <w:sz w:val="22"/>
          <w:szCs w:val="22"/>
          <w:highlight w:val="none"/>
        </w:rPr>
        <w:t>由联合体主</w:t>
      </w:r>
      <w:r>
        <w:rPr>
          <w:rFonts w:hint="eastAsia"/>
          <w:color w:val="auto"/>
          <w:kern w:val="0"/>
          <w:sz w:val="22"/>
          <w:szCs w:val="22"/>
          <w:highlight w:val="none"/>
        </w:rPr>
        <w:t>供应商</w:t>
      </w:r>
      <w:r>
        <w:rPr>
          <w:color w:val="auto"/>
          <w:kern w:val="0"/>
          <w:sz w:val="22"/>
          <w:szCs w:val="22"/>
          <w:highlight w:val="none"/>
        </w:rPr>
        <w:t>提交。</w:t>
      </w:r>
    </w:p>
    <w:p w14:paraId="6A159BEB">
      <w:pPr>
        <w:pageBreakBefore w:val="0"/>
        <w:kinsoku/>
        <w:wordWrap w:val="0"/>
        <w:topLinePunct w:val="0"/>
        <w:bidi w:val="0"/>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2" w:name="_Toc9899"/>
      <w:bookmarkStart w:id="13" w:name="_Toc28278"/>
      <w:r>
        <w:rPr>
          <w:rFonts w:hint="eastAsia" w:ascii="宋体" w:hAnsi="宋体" w:eastAsia="宋体" w:cs="宋体"/>
          <w:b/>
          <w:bCs/>
          <w:color w:val="auto"/>
          <w:sz w:val="26"/>
          <w:szCs w:val="26"/>
          <w:highlight w:val="none"/>
        </w:rPr>
        <w:t>二、 招标文件</w:t>
      </w:r>
      <w:bookmarkEnd w:id="12"/>
      <w:bookmarkEnd w:id="13"/>
    </w:p>
    <w:p w14:paraId="707A73AC">
      <w:pPr>
        <w:pageBreakBefore w:val="0"/>
        <w:tabs>
          <w:tab w:val="left" w:pos="360"/>
        </w:tabs>
        <w:kinsoku/>
        <w:wordWrap w:val="0"/>
        <w:topLinePunct w:val="0"/>
        <w:bidi w:val="0"/>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1、招标文件由招标文件目录所列内容及相关资料组成。</w:t>
      </w:r>
    </w:p>
    <w:p w14:paraId="2FD89F47">
      <w:pPr>
        <w:pageBreakBefore w:val="0"/>
        <w:tabs>
          <w:tab w:val="left" w:pos="360"/>
        </w:tabs>
        <w:kinsoku/>
        <w:wordWrap w:val="0"/>
        <w:topLinePunct w:val="0"/>
        <w:bidi w:val="0"/>
        <w:spacing w:line="460" w:lineRule="exact"/>
        <w:ind w:firstLine="552" w:firstLineChars="250"/>
        <w:rPr>
          <w:rFonts w:ascii="宋体" w:hAnsi="宋体" w:cs="宋体"/>
          <w:b/>
          <w:color w:val="auto"/>
          <w:sz w:val="22"/>
          <w:highlight w:val="none"/>
        </w:rPr>
      </w:pPr>
      <w:r>
        <w:rPr>
          <w:rFonts w:hint="eastAsia" w:ascii="宋体" w:hAnsi="宋体" w:cs="宋体"/>
          <w:b/>
          <w:color w:val="auto"/>
          <w:sz w:val="22"/>
          <w:highlight w:val="none"/>
        </w:rPr>
        <w:t>2、招标文件的澄清</w:t>
      </w:r>
    </w:p>
    <w:p w14:paraId="6F27E08E">
      <w:pPr>
        <w:pageBreakBefore w:val="0"/>
        <w:tabs>
          <w:tab w:val="left" w:pos="360"/>
        </w:tabs>
        <w:kinsoku/>
        <w:wordWrap w:val="0"/>
        <w:topLinePunct w:val="0"/>
        <w:bidi w:val="0"/>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14:paraId="455A8186">
      <w:pPr>
        <w:pageBreakBefore w:val="0"/>
        <w:tabs>
          <w:tab w:val="left" w:pos="360"/>
        </w:tabs>
        <w:kinsoku/>
        <w:wordWrap w:val="0"/>
        <w:topLinePunct w:val="0"/>
        <w:bidi w:val="0"/>
        <w:spacing w:line="460" w:lineRule="exact"/>
        <w:ind w:firstLine="552" w:firstLineChars="250"/>
        <w:rPr>
          <w:rFonts w:ascii="宋体" w:hAnsi="宋体" w:cs="宋体"/>
          <w:b/>
          <w:color w:val="auto"/>
          <w:sz w:val="22"/>
          <w:highlight w:val="none"/>
        </w:rPr>
      </w:pPr>
      <w:r>
        <w:rPr>
          <w:rFonts w:hint="eastAsia" w:ascii="宋体" w:hAnsi="宋体" w:cs="宋体"/>
          <w:b/>
          <w:color w:val="auto"/>
          <w:sz w:val="22"/>
          <w:highlight w:val="none"/>
        </w:rPr>
        <w:t>3、招标文件的修改</w:t>
      </w:r>
    </w:p>
    <w:p w14:paraId="6104BA77">
      <w:pPr>
        <w:pageBreakBefore w:val="0"/>
        <w:kinsoku/>
        <w:wordWrap w:val="0"/>
        <w:topLinePunct w:val="0"/>
        <w:bidi w:val="0"/>
        <w:spacing w:line="460" w:lineRule="exact"/>
        <w:ind w:firstLine="539" w:firstLineChars="245"/>
        <w:rPr>
          <w:rFonts w:hint="eastAsia" w:ascii="宋体" w:hAnsi="宋体" w:cs="宋体"/>
          <w:color w:val="auto"/>
          <w:sz w:val="22"/>
          <w:highlight w:val="none"/>
        </w:rPr>
      </w:pPr>
      <w:r>
        <w:rPr>
          <w:rFonts w:hint="eastAsia" w:ascii="宋体" w:hAnsi="宋体" w:cs="宋体"/>
          <w:color w:val="auto"/>
          <w:sz w:val="22"/>
          <w:highlight w:val="none"/>
        </w:rPr>
        <w:t>3.1招标人或招标代理机构对已发出的招标文件进行必要的澄清或者修改的，应当在招标文件要求递交投标文件截止时间十五日前，在财政部门指定的政府采购信息发布媒体上发布更正公告。该澄清或修改内容为招标文件的组成部分。</w:t>
      </w:r>
    </w:p>
    <w:p w14:paraId="7E9FA51D">
      <w:pPr>
        <w:pageBreakBefore w:val="0"/>
        <w:kinsoku/>
        <w:wordWrap w:val="0"/>
        <w:topLinePunct w:val="0"/>
        <w:bidi w:val="0"/>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cs="宋体"/>
          <w:color w:val="auto"/>
          <w:sz w:val="22"/>
          <w:highlight w:val="none"/>
        </w:rPr>
        <w:t>3.2招标人、招标代理机构可以视采购的具体情况决定是否延长投标截止时间和开标时间，并在招标文件要求递交投标文件的截止时间前，在财政部门指定的政府采购信息发布媒体上发布变更公告。</w:t>
      </w:r>
    </w:p>
    <w:p w14:paraId="56E78412">
      <w:pPr>
        <w:pageBreakBefore w:val="0"/>
        <w:kinsoku/>
        <w:wordWrap w:val="0"/>
        <w:topLinePunct w:val="0"/>
        <w:bidi w:val="0"/>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4" w:name="_Toc12726"/>
      <w:bookmarkStart w:id="15" w:name="_Toc22646"/>
      <w:r>
        <w:rPr>
          <w:rFonts w:hint="eastAsia" w:ascii="宋体" w:hAnsi="宋体" w:eastAsia="宋体" w:cs="宋体"/>
          <w:b/>
          <w:bCs/>
          <w:color w:val="auto"/>
          <w:sz w:val="26"/>
          <w:szCs w:val="26"/>
          <w:highlight w:val="none"/>
        </w:rPr>
        <w:t>三、 投标文件的编制</w:t>
      </w:r>
      <w:bookmarkEnd w:id="14"/>
      <w:bookmarkEnd w:id="15"/>
    </w:p>
    <w:p w14:paraId="098AB507">
      <w:pPr>
        <w:pageBreakBefore w:val="0"/>
        <w:tabs>
          <w:tab w:val="left" w:pos="360"/>
        </w:tabs>
        <w:kinsoku/>
        <w:wordWrap w:val="0"/>
        <w:topLinePunct w:val="0"/>
        <w:bidi w:val="0"/>
        <w:spacing w:line="460" w:lineRule="exact"/>
        <w:ind w:firstLine="550" w:firstLineChars="250"/>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1、投标人应认真阅读招标文件中所有事项、格式、条款和技术规范等。投标人没有按照招标文件要求提交全部资料，或者没有对招标文件各个方面做出实质性响应，导致投标被否决的风险由投标人自行承担。</w:t>
      </w:r>
    </w:p>
    <w:p w14:paraId="66E9A11A">
      <w:pPr>
        <w:pageBreakBefore w:val="0"/>
        <w:kinsoku/>
        <w:wordWrap w:val="0"/>
        <w:topLinePunct w:val="0"/>
        <w:bidi w:val="0"/>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highlight w:val="none"/>
        </w:rPr>
        <w:t>2、投标人应保证所提供文件资料的真实性，所有文件资料必须是针对本次投标的。如发现投标人提供了虚假文件资料，其投标将被否决，并自行承担相应的法律责任。</w:t>
      </w:r>
    </w:p>
    <w:p w14:paraId="7CDC2276">
      <w:pPr>
        <w:pageBreakBefore w:val="0"/>
        <w:kinsoku/>
        <w:wordWrap w:val="0"/>
        <w:topLinePunct w:val="0"/>
        <w:bidi w:val="0"/>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r>
        <w:rPr>
          <w:rFonts w:hint="eastAsia" w:ascii="宋体" w:hAnsi="宋体" w:eastAsia="宋体" w:cs="宋体"/>
          <w:b/>
          <w:bCs/>
          <w:color w:val="auto"/>
          <w:sz w:val="22"/>
          <w:szCs w:val="22"/>
          <w:highlight w:val="none"/>
        </w:rPr>
        <w:t>投标文件的构成：</w:t>
      </w:r>
    </w:p>
    <w:p w14:paraId="588BFAB5">
      <w:pPr>
        <w:pageBreakBefore w:val="0"/>
        <w:kinsoku/>
        <w:wordWrap w:val="0"/>
        <w:topLinePunct w:val="0"/>
        <w:bidi w:val="0"/>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0"/>
          <w:sz w:val="22"/>
          <w:szCs w:val="22"/>
          <w:highlight w:val="none"/>
        </w:rPr>
        <w:t>投标</w:t>
      </w:r>
      <w:r>
        <w:rPr>
          <w:rFonts w:hint="eastAsia" w:ascii="宋体" w:hAnsi="宋体" w:eastAsia="宋体" w:cs="宋体"/>
          <w:b w:val="0"/>
          <w:bCs w:val="0"/>
          <w:color w:val="auto"/>
          <w:kern w:val="0"/>
          <w:sz w:val="22"/>
          <w:szCs w:val="22"/>
          <w:highlight w:val="none"/>
          <w:lang w:val="zh-CN"/>
        </w:rPr>
        <w:t>文件应当包括以下主要内容：资格文件、报价文件、商务技术文件。</w:t>
      </w:r>
    </w:p>
    <w:p w14:paraId="4D6C008A">
      <w:pPr>
        <w:pageBreakBefore w:val="0"/>
        <w:kinsoku/>
        <w:wordWrap w:val="0"/>
        <w:topLinePunct w:val="0"/>
        <w:bidi w:val="0"/>
        <w:spacing w:line="460" w:lineRule="exact"/>
        <w:ind w:firstLine="541" w:firstLineChars="245"/>
        <w:rPr>
          <w:rFonts w:hint="eastAsia" w:ascii="宋体" w:hAnsi="宋体" w:eastAsia="宋体" w:cs="宋体"/>
          <w:b/>
          <w:bCs/>
          <w:color w:val="auto"/>
          <w:kern w:val="0"/>
          <w:sz w:val="22"/>
          <w:szCs w:val="22"/>
          <w:highlight w:val="none"/>
          <w:u w:val="none"/>
          <w:lang w:val="zh-CN"/>
        </w:rPr>
      </w:pPr>
      <w:r>
        <w:rPr>
          <w:rFonts w:hint="eastAsia" w:ascii="宋体" w:hAnsi="宋体" w:eastAsia="宋体" w:cs="宋体"/>
          <w:b/>
          <w:bCs/>
          <w:color w:val="auto"/>
          <w:kern w:val="0"/>
          <w:sz w:val="22"/>
          <w:szCs w:val="22"/>
          <w:highlight w:val="none"/>
          <w:u w:val="none"/>
        </w:rPr>
        <w:t>3.1</w:t>
      </w:r>
      <w:r>
        <w:rPr>
          <w:rFonts w:hint="eastAsia" w:ascii="宋体" w:hAnsi="宋体" w:eastAsia="宋体" w:cs="宋体"/>
          <w:b/>
          <w:bCs/>
          <w:color w:val="auto"/>
          <w:kern w:val="0"/>
          <w:sz w:val="22"/>
          <w:szCs w:val="22"/>
          <w:highlight w:val="none"/>
          <w:u w:val="none"/>
          <w:lang w:val="zh-CN"/>
        </w:rPr>
        <w:t xml:space="preserve">投标人的资格文件至少应包括以下内容： </w:t>
      </w:r>
    </w:p>
    <w:p w14:paraId="1F1DE8F8">
      <w:pPr>
        <w:pageBreakBefore w:val="0"/>
        <w:kinsoku/>
        <w:wordWrap w:val="0"/>
        <w:topLinePunct w:val="0"/>
        <w:bidi w:val="0"/>
        <w:spacing w:line="460" w:lineRule="exact"/>
        <w:ind w:firstLine="539" w:firstLineChars="245"/>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zh-CN"/>
        </w:rPr>
        <w:t>基本资格条件审查材料：</w:t>
      </w:r>
      <w:r>
        <w:rPr>
          <w:rFonts w:hint="eastAsia" w:ascii="宋体" w:hAnsi="宋体" w:eastAsia="宋体" w:cs="宋体"/>
          <w:color w:val="auto"/>
          <w:kern w:val="0"/>
          <w:sz w:val="22"/>
          <w:szCs w:val="22"/>
          <w:highlight w:val="none"/>
          <w:u w:val="none"/>
          <w:lang w:val="en-US" w:eastAsia="zh-CN"/>
        </w:rPr>
        <w:t>即证明供应商</w:t>
      </w:r>
      <w:r>
        <w:rPr>
          <w:rFonts w:hint="eastAsia" w:ascii="宋体" w:hAnsi="宋体" w:eastAsia="宋体" w:cs="宋体"/>
          <w:color w:val="auto"/>
          <w:kern w:val="0"/>
          <w:sz w:val="22"/>
          <w:szCs w:val="22"/>
          <w:highlight w:val="none"/>
          <w:u w:val="none"/>
          <w:lang w:val="zh-CN"/>
        </w:rPr>
        <w:t>参加本次政府采购活动前3年内</w:t>
      </w:r>
      <w:r>
        <w:rPr>
          <w:rFonts w:hint="eastAsia"/>
          <w:color w:val="auto"/>
          <w:sz w:val="22"/>
          <w:szCs w:val="22"/>
          <w:highlight w:val="none"/>
          <w:u w:val="none"/>
          <w:lang w:val="en-US" w:eastAsia="zh-CN"/>
        </w:rPr>
        <w:t>满足《中华人民共和国政府采购法》</w:t>
      </w:r>
      <w:r>
        <w:rPr>
          <w:rFonts w:hint="eastAsia" w:ascii="宋体" w:hAnsi="宋体" w:eastAsia="宋体" w:cs="宋体"/>
          <w:color w:val="auto"/>
          <w:kern w:val="0"/>
          <w:sz w:val="22"/>
          <w:szCs w:val="22"/>
          <w:highlight w:val="none"/>
          <w:u w:val="none"/>
          <w:lang w:val="zh-CN"/>
        </w:rPr>
        <w:t>的有关资格证明文件。</w:t>
      </w:r>
      <w:r>
        <w:rPr>
          <w:rFonts w:hint="eastAsia" w:ascii="宋体" w:hAnsi="宋体" w:eastAsia="宋体" w:cs="宋体"/>
          <w:color w:val="auto"/>
          <w:kern w:val="0"/>
          <w:sz w:val="22"/>
          <w:szCs w:val="22"/>
          <w:highlight w:val="none"/>
          <w:u w:val="none"/>
          <w:lang w:val="en-US" w:eastAsia="zh-CN"/>
        </w:rPr>
        <w:t>包括：</w:t>
      </w:r>
    </w:p>
    <w:p w14:paraId="73EC9961">
      <w:pPr>
        <w:pageBreakBefore w:val="0"/>
        <w:kinsoku/>
        <w:wordWrap w:val="0"/>
        <w:topLinePunct w:val="0"/>
        <w:bidi w:val="0"/>
        <w:snapToGrid w:val="0"/>
        <w:spacing w:line="460" w:lineRule="exact"/>
        <w:ind w:left="105" w:leftChars="50" w:firstLine="440" w:firstLineChars="200"/>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lang w:val="en-US" w:eastAsia="zh-CN"/>
        </w:rPr>
        <w:t>1</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资格条件承诺函</w:t>
      </w:r>
      <w:r>
        <w:rPr>
          <w:rFonts w:hint="eastAsia" w:ascii="宋体" w:hAnsi="宋体" w:cs="宋体"/>
          <w:color w:val="auto"/>
          <w:sz w:val="22"/>
          <w:szCs w:val="22"/>
          <w:highlight w:val="none"/>
        </w:rPr>
        <w:t>（若联合体投标，则各方均须提供）</w:t>
      </w:r>
      <w:r>
        <w:rPr>
          <w:rFonts w:hint="eastAsia" w:ascii="宋体" w:hAnsi="宋体" w:eastAsia="宋体" w:cs="宋体"/>
          <w:color w:val="auto"/>
          <w:sz w:val="22"/>
          <w:szCs w:val="22"/>
          <w:highlight w:val="none"/>
          <w:u w:val="none"/>
          <w:lang w:eastAsia="zh-CN"/>
        </w:rPr>
        <w:t>；</w:t>
      </w:r>
    </w:p>
    <w:p w14:paraId="41C9A561">
      <w:pPr>
        <w:pageBreakBefore w:val="0"/>
        <w:kinsoku/>
        <w:wordWrap w:val="0"/>
        <w:topLinePunct w:val="0"/>
        <w:bidi w:val="0"/>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w:t>
      </w:r>
      <w:r>
        <w:rPr>
          <w:rFonts w:hint="eastAsia" w:ascii="宋体" w:hAnsi="宋体" w:eastAsia="宋体" w:cs="宋体"/>
          <w:color w:val="auto"/>
          <w:sz w:val="22"/>
          <w:szCs w:val="22"/>
          <w:highlight w:val="none"/>
          <w:u w:val="none"/>
          <w:lang w:val="en-US" w:eastAsia="zh-CN"/>
        </w:rPr>
        <w:t>2</w:t>
      </w:r>
      <w:r>
        <w:rPr>
          <w:rFonts w:hint="eastAsia" w:ascii="宋体" w:hAnsi="宋体" w:eastAsia="宋体" w:cs="宋体"/>
          <w:color w:val="auto"/>
          <w:sz w:val="22"/>
          <w:szCs w:val="22"/>
          <w:highlight w:val="none"/>
          <w:u w:val="none"/>
        </w:rPr>
        <w:t>）营业执照(或事业法人登记证书或其它工商等登记证明材料；自然人参与政府采购，提供身份证)复印件</w:t>
      </w:r>
      <w:r>
        <w:rPr>
          <w:rFonts w:hint="eastAsia" w:ascii="宋体" w:hAnsi="宋体" w:cs="宋体"/>
          <w:color w:val="auto"/>
          <w:sz w:val="22"/>
          <w:szCs w:val="22"/>
          <w:highlight w:val="none"/>
        </w:rPr>
        <w:t>（若联合体投标，则各方均须提供）</w:t>
      </w:r>
      <w:r>
        <w:rPr>
          <w:rFonts w:hint="eastAsia" w:ascii="宋体" w:hAnsi="宋体" w:eastAsia="宋体" w:cs="宋体"/>
          <w:color w:val="auto"/>
          <w:sz w:val="22"/>
          <w:szCs w:val="22"/>
          <w:highlight w:val="none"/>
          <w:u w:val="none"/>
        </w:rPr>
        <w:t xml:space="preserve">； </w:t>
      </w:r>
    </w:p>
    <w:p w14:paraId="6235CBAE">
      <w:pPr>
        <w:pageBreakBefore w:val="0"/>
        <w:numPr>
          <w:ilvl w:val="0"/>
          <w:numId w:val="0"/>
        </w:numPr>
        <w:kinsoku/>
        <w:wordWrap w:val="0"/>
        <w:topLinePunct w:val="0"/>
        <w:bidi w:val="0"/>
        <w:snapToGrid w:val="0"/>
        <w:spacing w:line="460" w:lineRule="exact"/>
        <w:ind w:leftChars="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3FB8774E">
      <w:pPr>
        <w:pageBreakBefore w:val="0"/>
        <w:numPr>
          <w:ilvl w:val="0"/>
          <w:numId w:val="0"/>
        </w:numPr>
        <w:kinsoku/>
        <w:wordWrap w:val="0"/>
        <w:topLinePunct w:val="0"/>
        <w:bidi w:val="0"/>
        <w:snapToGrid w:val="0"/>
        <w:spacing w:line="460" w:lineRule="exact"/>
        <w:ind w:leftChars="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lang w:val="en-US" w:eastAsia="zh-CN"/>
        </w:rPr>
        <w:t>（</w:t>
      </w:r>
      <w:r>
        <w:rPr>
          <w:rFonts w:hint="eastAsia" w:ascii="宋体" w:hAnsi="宋体" w:cs="宋体"/>
          <w:color w:val="auto"/>
          <w:sz w:val="22"/>
          <w:szCs w:val="22"/>
          <w:highlight w:val="none"/>
          <w:u w:val="none"/>
          <w:lang w:val="en-US" w:eastAsia="zh-CN"/>
        </w:rPr>
        <w:t>3</w:t>
      </w:r>
      <w:r>
        <w:rPr>
          <w:rFonts w:hint="eastAsia" w:ascii="宋体" w:hAnsi="宋体" w:eastAsia="宋体" w:cs="宋体"/>
          <w:color w:val="auto"/>
          <w:sz w:val="22"/>
          <w:szCs w:val="22"/>
          <w:highlight w:val="none"/>
          <w:u w:val="none"/>
          <w:lang w:val="en-US" w:eastAsia="zh-CN"/>
        </w:rPr>
        <w:t>）投标人信用查询</w:t>
      </w:r>
      <w:r>
        <w:rPr>
          <w:rFonts w:hint="eastAsia" w:ascii="宋体" w:hAnsi="宋体" w:cs="宋体"/>
          <w:color w:val="auto"/>
          <w:sz w:val="22"/>
          <w:szCs w:val="22"/>
          <w:highlight w:val="none"/>
          <w:u w:val="none"/>
          <w:lang w:val="en-US" w:eastAsia="zh-CN"/>
        </w:rPr>
        <w:t>；</w:t>
      </w:r>
    </w:p>
    <w:p w14:paraId="7AE26C80">
      <w:pPr>
        <w:pageBreakBefore w:val="0"/>
        <w:numPr>
          <w:ilvl w:val="0"/>
          <w:numId w:val="0"/>
        </w:numPr>
        <w:kinsoku/>
        <w:wordWrap w:val="0"/>
        <w:topLinePunct w:val="0"/>
        <w:bidi w:val="0"/>
        <w:snapToGrid w:val="0"/>
        <w:spacing w:line="460" w:lineRule="exact"/>
        <w:ind w:leftChars="0" w:firstLine="440" w:firstLineChars="200"/>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lang w:eastAsia="zh-CN"/>
        </w:rPr>
        <w:t>（</w:t>
      </w:r>
      <w:r>
        <w:rPr>
          <w:rFonts w:hint="eastAsia" w:ascii="宋体" w:hAnsi="宋体" w:cs="宋体"/>
          <w:color w:val="auto"/>
          <w:sz w:val="22"/>
          <w:szCs w:val="22"/>
          <w:highlight w:val="none"/>
          <w:u w:val="none"/>
          <w:lang w:val="en-US" w:eastAsia="zh-CN"/>
        </w:rPr>
        <w:t>4</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政府采购活动现场确认声明书</w:t>
      </w:r>
      <w:r>
        <w:rPr>
          <w:rFonts w:hint="eastAsia" w:ascii="宋体" w:hAnsi="宋体" w:cs="宋体"/>
          <w:color w:val="auto"/>
          <w:sz w:val="22"/>
          <w:szCs w:val="22"/>
          <w:highlight w:val="none"/>
          <w:u w:val="none"/>
          <w:lang w:eastAsia="zh-CN"/>
        </w:rPr>
        <w:t>；</w:t>
      </w:r>
    </w:p>
    <w:p w14:paraId="6964013A">
      <w:pPr>
        <w:pageBreakBefore w:val="0"/>
        <w:numPr>
          <w:ilvl w:val="0"/>
          <w:numId w:val="0"/>
        </w:numPr>
        <w:kinsoku/>
        <w:wordWrap w:val="0"/>
        <w:topLinePunct w:val="0"/>
        <w:bidi w:val="0"/>
        <w:snapToGrid w:val="0"/>
        <w:spacing w:line="460" w:lineRule="exact"/>
        <w:ind w:leftChars="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lang w:eastAsia="zh-CN"/>
        </w:rPr>
        <w:t>（</w:t>
      </w:r>
      <w:r>
        <w:rPr>
          <w:rFonts w:hint="eastAsia" w:ascii="宋体" w:hAnsi="宋体" w:cs="宋体"/>
          <w:color w:val="auto"/>
          <w:sz w:val="22"/>
          <w:szCs w:val="22"/>
          <w:highlight w:val="none"/>
          <w:u w:val="none"/>
          <w:lang w:val="en-US" w:eastAsia="zh-CN"/>
        </w:rPr>
        <w:t>5</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落实政府采购政策需满足的资格要求证明材料</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lang w:val="en-US" w:eastAsia="zh-CN"/>
        </w:rPr>
        <w:t>如有</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w:t>
      </w:r>
    </w:p>
    <w:p w14:paraId="10BF0B1C">
      <w:pPr>
        <w:pageBreakBefore w:val="0"/>
        <w:kinsoku/>
        <w:wordWrap w:val="0"/>
        <w:topLinePunct w:val="0"/>
        <w:bidi w:val="0"/>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上述资格条件审查材料有一项不提供的，视为资格审查不通过。</w:t>
      </w:r>
    </w:p>
    <w:p w14:paraId="181A577F">
      <w:pPr>
        <w:pageBreakBefore w:val="0"/>
        <w:kinsoku/>
        <w:wordWrap w:val="0"/>
        <w:topLinePunct w:val="0"/>
        <w:bidi w:val="0"/>
        <w:snapToGrid w:val="0"/>
        <w:spacing w:line="460" w:lineRule="exact"/>
        <w:ind w:left="105" w:leftChars="50" w:firstLine="442" w:firstLineChars="200"/>
        <w:rPr>
          <w:rFonts w:hint="eastAsia" w:ascii="宋体" w:hAnsi="宋体" w:eastAsia="宋体" w:cs="宋体"/>
          <w:color w:val="auto"/>
          <w:sz w:val="22"/>
          <w:szCs w:val="22"/>
          <w:highlight w:val="none"/>
          <w:u w:val="single"/>
          <w:lang w:val="zh-CN"/>
        </w:rPr>
      </w:pPr>
      <w:r>
        <w:rPr>
          <w:rFonts w:hint="eastAsia" w:ascii="宋体" w:hAnsi="宋体" w:eastAsia="宋体" w:cs="宋体"/>
          <w:b/>
          <w:bCs/>
          <w:color w:val="auto"/>
          <w:sz w:val="22"/>
          <w:szCs w:val="22"/>
          <w:highlight w:val="none"/>
        </w:rPr>
        <w:t xml:space="preserve">3.2投标人的报价文件至少应包括以下内容： </w:t>
      </w:r>
    </w:p>
    <w:p w14:paraId="496788DC">
      <w:pPr>
        <w:pageBreakBefore w:val="0"/>
        <w:kinsoku/>
        <w:wordWrap w:val="0"/>
        <w:topLinePunct w:val="0"/>
        <w:bidi w:val="0"/>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（1）投标函；</w:t>
      </w:r>
    </w:p>
    <w:p w14:paraId="063A0819">
      <w:pPr>
        <w:pageBreakBefore w:val="0"/>
        <w:kinsoku/>
        <w:wordWrap w:val="0"/>
        <w:topLinePunct w:val="0"/>
        <w:bidi w:val="0"/>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（2）投标报价一览表；</w:t>
      </w:r>
    </w:p>
    <w:p w14:paraId="548400C7">
      <w:pPr>
        <w:pageBreakBefore w:val="0"/>
        <w:kinsoku/>
        <w:wordWrap w:val="0"/>
        <w:topLinePunct w:val="0"/>
        <w:bidi w:val="0"/>
        <w:snapToGrid w:val="0"/>
        <w:spacing w:line="460" w:lineRule="exact"/>
        <w:ind w:left="105" w:leftChars="50" w:firstLine="440" w:firstLineChars="200"/>
        <w:rPr>
          <w:rFonts w:hint="eastAsia" w:ascii="宋体" w:hAnsi="宋体" w:eastAsia="宋体" w:cs="宋体"/>
          <w:b/>
          <w:bCs/>
          <w:color w:val="auto"/>
          <w:kern w:val="0"/>
          <w:sz w:val="22"/>
          <w:szCs w:val="22"/>
          <w:highlight w:val="none"/>
          <w:lang w:val="zh-CN"/>
        </w:rPr>
      </w:pPr>
      <w:r>
        <w:rPr>
          <w:rFonts w:hint="eastAsia" w:ascii="宋体" w:hAnsi="宋体" w:eastAsia="宋体" w:cs="宋体"/>
          <w:color w:val="auto"/>
          <w:sz w:val="22"/>
          <w:szCs w:val="22"/>
          <w:highlight w:val="none"/>
          <w:u w:val="none"/>
        </w:rPr>
        <w:t>（</w:t>
      </w:r>
      <w:r>
        <w:rPr>
          <w:rFonts w:hint="eastAsia" w:ascii="宋体" w:hAnsi="宋体" w:cs="宋体"/>
          <w:color w:val="auto"/>
          <w:sz w:val="22"/>
          <w:szCs w:val="22"/>
          <w:highlight w:val="none"/>
          <w:u w:val="none"/>
          <w:lang w:val="en-US" w:eastAsia="zh-CN"/>
        </w:rPr>
        <w:t>3</w:t>
      </w:r>
      <w:r>
        <w:rPr>
          <w:rFonts w:hint="eastAsia" w:ascii="宋体" w:hAnsi="宋体" w:eastAsia="宋体" w:cs="宋体"/>
          <w:color w:val="auto"/>
          <w:sz w:val="22"/>
          <w:szCs w:val="22"/>
          <w:highlight w:val="none"/>
          <w:u w:val="none"/>
        </w:rPr>
        <w:t>）中小企业声明函、监狱企业、残疾人福利性单位及其他相关的充分的证明材料。（如有）</w:t>
      </w:r>
      <w:r>
        <w:rPr>
          <w:rFonts w:hint="eastAsia" w:ascii="宋体" w:hAnsi="宋体" w:eastAsia="宋体" w:cs="宋体"/>
          <w:color w:val="auto"/>
          <w:sz w:val="22"/>
          <w:szCs w:val="22"/>
          <w:highlight w:val="none"/>
        </w:rPr>
        <w:t xml:space="preserve"> </w:t>
      </w:r>
      <w:r>
        <w:rPr>
          <w:rFonts w:hint="eastAsia" w:ascii="宋体" w:hAnsi="宋体" w:eastAsia="宋体" w:cs="宋体"/>
          <w:b/>
          <w:bCs/>
          <w:color w:val="auto"/>
          <w:kern w:val="0"/>
          <w:sz w:val="22"/>
          <w:szCs w:val="22"/>
          <w:highlight w:val="none"/>
        </w:rPr>
        <w:t>3.3</w:t>
      </w:r>
      <w:r>
        <w:rPr>
          <w:rFonts w:hint="eastAsia" w:ascii="宋体" w:hAnsi="宋体" w:eastAsia="宋体" w:cs="宋体"/>
          <w:b/>
          <w:bCs/>
          <w:color w:val="auto"/>
          <w:kern w:val="0"/>
          <w:sz w:val="22"/>
          <w:szCs w:val="22"/>
          <w:highlight w:val="none"/>
          <w:lang w:val="zh-CN"/>
        </w:rPr>
        <w:t xml:space="preserve">投标人的商务技术文件应包括以下内容： </w:t>
      </w:r>
    </w:p>
    <w:p w14:paraId="2DCB7C8B">
      <w:pPr>
        <w:pageBreakBefore w:val="0"/>
        <w:kinsoku/>
        <w:wordWrap w:val="0"/>
        <w:topLinePunct w:val="0"/>
        <w:bidi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（1）法定代表人授权委托书（需提供法定代表人及授权委托人的身份证复印件加盖公章）；</w:t>
      </w:r>
    </w:p>
    <w:p w14:paraId="7CBE7B5B">
      <w:pPr>
        <w:pageBreakBefore w:val="0"/>
        <w:kinsoku/>
        <w:wordWrap w:val="0"/>
        <w:topLinePunct w:val="0"/>
        <w:bidi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（2）投标人情况表</w:t>
      </w:r>
    </w:p>
    <w:p w14:paraId="1A857BC0">
      <w:pPr>
        <w:pageBreakBefore w:val="0"/>
        <w:kinsoku/>
        <w:wordWrap w:val="0"/>
        <w:topLinePunct w:val="0"/>
        <w:bidi w:val="0"/>
        <w:snapToGrid w:val="0"/>
        <w:spacing w:line="46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偏离表（</w:t>
      </w:r>
      <w:r>
        <w:rPr>
          <w:rFonts w:hint="eastAsia" w:ascii="宋体" w:hAnsi="宋体" w:eastAsia="宋体" w:cs="宋体"/>
          <w:color w:val="auto"/>
          <w:sz w:val="22"/>
          <w:szCs w:val="22"/>
          <w:highlight w:val="none"/>
        </w:rPr>
        <w:t>商务、技术偏离</w:t>
      </w:r>
      <w:r>
        <w:rPr>
          <w:rFonts w:hint="eastAsia" w:ascii="宋体" w:hAnsi="宋体" w:eastAsia="宋体" w:cs="宋体"/>
          <w:color w:val="auto"/>
          <w:sz w:val="22"/>
          <w:szCs w:val="22"/>
          <w:highlight w:val="none"/>
          <w:lang w:val="zh-CN"/>
        </w:rPr>
        <w:t>）</w:t>
      </w:r>
    </w:p>
    <w:p w14:paraId="33C85ADE">
      <w:pPr>
        <w:pageBreakBefore w:val="0"/>
        <w:kinsoku/>
        <w:wordWrap w:val="0"/>
        <w:topLinePunct w:val="0"/>
        <w:bidi w:val="0"/>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）详细供货清单说明一览表（如有）</w:t>
      </w:r>
    </w:p>
    <w:p w14:paraId="215FCEE4">
      <w:pPr>
        <w:pageBreakBefore w:val="0"/>
        <w:kinsoku/>
        <w:wordWrap w:val="0"/>
        <w:topLinePunct w:val="0"/>
        <w:bidi w:val="0"/>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）备品、易损件、备件、专用工具清单（如有）</w:t>
      </w:r>
    </w:p>
    <w:p w14:paraId="5BB91FB6">
      <w:pPr>
        <w:pageBreakBefore w:val="0"/>
        <w:kinsoku/>
        <w:wordWrap w:val="0"/>
        <w:topLinePunct w:val="0"/>
        <w:bidi w:val="0"/>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）供应商履约能力</w:t>
      </w:r>
    </w:p>
    <w:p w14:paraId="4F64D5E7">
      <w:pPr>
        <w:pageBreakBefore w:val="0"/>
        <w:kinsoku/>
        <w:wordWrap w:val="0"/>
        <w:topLinePunct w:val="0"/>
        <w:bidi w:val="0"/>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投标人业绩</w:t>
      </w:r>
    </w:p>
    <w:p w14:paraId="78F3703F">
      <w:pPr>
        <w:pageBreakBefore w:val="0"/>
        <w:kinsoku/>
        <w:wordWrap w:val="0"/>
        <w:topLinePunct w:val="0"/>
        <w:bidi w:val="0"/>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lang w:eastAsia="zh-CN"/>
        </w:rPr>
        <w:t>供货渠道</w:t>
      </w:r>
    </w:p>
    <w:p w14:paraId="54843A4F">
      <w:pPr>
        <w:pageBreakBefore w:val="0"/>
        <w:kinsoku/>
        <w:wordWrap w:val="0"/>
        <w:topLinePunct w:val="0"/>
        <w:bidi w:val="0"/>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企业物流、仓储设施</w:t>
      </w:r>
    </w:p>
    <w:p w14:paraId="5E08EED9">
      <w:pPr>
        <w:pageBreakBefore w:val="0"/>
        <w:kinsoku/>
        <w:wordWrap w:val="0"/>
        <w:topLinePunct w:val="0"/>
        <w:bidi w:val="0"/>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10</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到书率</w:t>
      </w:r>
    </w:p>
    <w:p w14:paraId="55D6D309">
      <w:pPr>
        <w:pageBreakBefore w:val="0"/>
        <w:kinsoku/>
        <w:wordWrap w:val="0"/>
        <w:topLinePunct w:val="0"/>
        <w:bidi w:val="0"/>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11</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对订单处理、调整能力</w:t>
      </w:r>
    </w:p>
    <w:p w14:paraId="38C67387">
      <w:pPr>
        <w:pageBreakBefore w:val="0"/>
        <w:kinsoku/>
        <w:wordWrap w:val="0"/>
        <w:topLinePunct w:val="0"/>
        <w:bidi w:val="0"/>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12</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图书配送方案</w:t>
      </w:r>
    </w:p>
    <w:p w14:paraId="5E753E91">
      <w:pPr>
        <w:pageBreakBefore w:val="0"/>
        <w:kinsoku/>
        <w:wordWrap w:val="0"/>
        <w:topLinePunct w:val="0"/>
        <w:bidi w:val="0"/>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13</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图书质量保证</w:t>
      </w:r>
    </w:p>
    <w:p w14:paraId="245D87D1">
      <w:pPr>
        <w:pageBreakBefore w:val="0"/>
        <w:kinsoku/>
        <w:wordWrap w:val="0"/>
        <w:topLinePunct w:val="0"/>
        <w:bidi w:val="0"/>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14</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图书退换方案、对到书率不足部分处理的方案及承诺</w:t>
      </w:r>
    </w:p>
    <w:p w14:paraId="0630ED8D">
      <w:pPr>
        <w:pageBreakBefore w:val="0"/>
        <w:kinsoku/>
        <w:wordWrap w:val="0"/>
        <w:topLinePunct w:val="0"/>
        <w:bidi w:val="0"/>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15</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编目加工</w:t>
      </w:r>
    </w:p>
    <w:p w14:paraId="7EC7AB2A">
      <w:pPr>
        <w:pageBreakBefore w:val="0"/>
        <w:kinsoku/>
        <w:wordWrap w:val="0"/>
        <w:topLinePunct w:val="0"/>
        <w:bidi w:val="0"/>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16</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售后服务</w:t>
      </w:r>
    </w:p>
    <w:p w14:paraId="40F8A636">
      <w:pPr>
        <w:pageBreakBefore w:val="0"/>
        <w:kinsoku/>
        <w:wordWrap w:val="0"/>
        <w:topLinePunct w:val="0"/>
        <w:bidi w:val="0"/>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17</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特色服务</w:t>
      </w:r>
    </w:p>
    <w:p w14:paraId="73C03A59">
      <w:pPr>
        <w:pageBreakBefore w:val="0"/>
        <w:kinsoku/>
        <w:wordWrap w:val="0"/>
        <w:topLinePunct w:val="0"/>
        <w:bidi w:val="0"/>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18</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供应商其他服务等优惠承诺</w:t>
      </w:r>
    </w:p>
    <w:p w14:paraId="3A25CE1A">
      <w:pPr>
        <w:pageBreakBefore w:val="0"/>
        <w:kinsoku/>
        <w:wordWrap w:val="0"/>
        <w:topLinePunct w:val="0"/>
        <w:bidi w:val="0"/>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19</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节能环保</w:t>
      </w:r>
    </w:p>
    <w:p w14:paraId="3CD83B04">
      <w:pPr>
        <w:pageBreakBefore w:val="0"/>
        <w:kinsoku/>
        <w:wordWrap w:val="0"/>
        <w:topLinePunct w:val="0"/>
        <w:bidi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）其他必要提供的资料。</w:t>
      </w:r>
    </w:p>
    <w:p w14:paraId="66C7AA55">
      <w:pPr>
        <w:pageBreakBefore w:val="0"/>
        <w:kinsoku/>
        <w:wordWrap w:val="0"/>
        <w:topLinePunct w:val="0"/>
        <w:bidi w:val="0"/>
        <w:spacing w:line="460" w:lineRule="exact"/>
        <w:ind w:firstLine="440" w:firstLineChars="200"/>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投标文件中所需的各种证书、证件、证明资料如是复印件，须在复印件上加盖有效公章。</w:t>
      </w:r>
    </w:p>
    <w:p w14:paraId="5F7EA31B">
      <w:pPr>
        <w:pStyle w:val="31"/>
        <w:pageBreakBefore w:val="0"/>
        <w:kinsoku/>
        <w:wordWrap w:val="0"/>
        <w:topLinePunct w:val="0"/>
        <w:bidi w:val="0"/>
        <w:snapToGrid w:val="0"/>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zh-CN"/>
        </w:rPr>
        <w:t>投标人的</w:t>
      </w:r>
      <w:r>
        <w:rPr>
          <w:rFonts w:hint="eastAsia" w:ascii="宋体" w:hAnsi="宋体" w:eastAsia="宋体" w:cs="宋体"/>
          <w:b w:val="0"/>
          <w:bCs/>
          <w:color w:val="auto"/>
          <w:sz w:val="22"/>
          <w:szCs w:val="22"/>
          <w:highlight w:val="none"/>
        </w:rPr>
        <w:t>投标文件必须按照招标文件要求制作。</w:t>
      </w:r>
    </w:p>
    <w:p w14:paraId="4AE403AC">
      <w:pPr>
        <w:pStyle w:val="31"/>
        <w:pageBreakBefore w:val="0"/>
        <w:kinsoku/>
        <w:wordWrap w:val="0"/>
        <w:topLinePunct w:val="0"/>
        <w:bidi w:val="0"/>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 w:val="0"/>
          <w:bCs/>
          <w:color w:val="auto"/>
          <w:sz w:val="22"/>
          <w:szCs w:val="22"/>
          <w:highlight w:val="none"/>
        </w:rPr>
        <w:t>投标人可在招标文件中对招标货物的技术规格和要求选用替代标准，但这些替代标准必须相当于或优于招标文件中提出的相应要求，并使招标人满意，同时在技术偏离表中作出详细说明。</w:t>
      </w:r>
    </w:p>
    <w:p w14:paraId="4DB50A31">
      <w:pPr>
        <w:pageBreakBefore w:val="0"/>
        <w:kinsoku/>
        <w:wordWrap w:val="0"/>
        <w:topLinePunct w:val="0"/>
        <w:bidi w:val="0"/>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4、投标报价</w:t>
      </w:r>
    </w:p>
    <w:p w14:paraId="5DF82DFD">
      <w:pPr>
        <w:pageBreakBefore w:val="0"/>
        <w:kinsoku/>
        <w:wordWrap w:val="0"/>
        <w:topLinePunct w:val="0"/>
        <w:bidi w:val="0"/>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4.1</w:t>
      </w:r>
      <w:r>
        <w:rPr>
          <w:rFonts w:hint="eastAsia" w:ascii="新宋体" w:hAnsi="新宋体" w:eastAsia="新宋体" w:cs="新宋体"/>
          <w:b/>
          <w:bCs/>
          <w:color w:val="auto"/>
          <w:sz w:val="22"/>
          <w:highlight w:val="none"/>
        </w:rPr>
        <w:t>报价</w:t>
      </w:r>
      <w:r>
        <w:rPr>
          <w:rFonts w:hint="eastAsia" w:ascii="新宋体" w:hAnsi="新宋体" w:eastAsia="新宋体"/>
          <w:b/>
          <w:color w:val="auto"/>
          <w:sz w:val="22"/>
          <w:highlight w:val="none"/>
        </w:rPr>
        <w:t>是指</w:t>
      </w:r>
      <w:r>
        <w:rPr>
          <w:rFonts w:hint="eastAsia" w:ascii="新宋体" w:hAnsi="新宋体" w:eastAsia="新宋体"/>
          <w:b/>
          <w:bCs/>
          <w:color w:val="auto"/>
          <w:sz w:val="22"/>
          <w:szCs w:val="22"/>
          <w:highlight w:val="none"/>
        </w:rPr>
        <w:t>设备的供货、税金、包装、运输、保险、装卸、验收（含第三方验收）、第三方检定/校准费用、技术服务、售后服务、质保期保障、材料费等完成合同所需的一切本身和不可或缺的所有工作开支、政策性文件规定及合同包含的所有风险、责任等各项全部费用</w:t>
      </w:r>
      <w:r>
        <w:rPr>
          <w:rFonts w:hint="eastAsia" w:ascii="新宋体" w:hAnsi="新宋体" w:eastAsia="新宋体" w:cs="新宋体"/>
          <w:color w:val="auto"/>
          <w:sz w:val="22"/>
          <w:highlight w:val="none"/>
        </w:rPr>
        <w:t>，</w:t>
      </w:r>
      <w:r>
        <w:rPr>
          <w:rFonts w:hint="eastAsia" w:ascii="新宋体" w:hAnsi="新宋体" w:eastAsia="新宋体" w:cs="新宋体"/>
          <w:b/>
          <w:bCs/>
          <w:color w:val="auto"/>
          <w:sz w:val="22"/>
          <w:highlight w:val="none"/>
        </w:rPr>
        <w:t>投标供应商应根据上述因素自行考虑含入投标报价。</w:t>
      </w:r>
    </w:p>
    <w:p w14:paraId="62A15BBC">
      <w:pPr>
        <w:pageBreakBefore w:val="0"/>
        <w:kinsoku/>
        <w:wordWrap w:val="0"/>
        <w:topLinePunct w:val="0"/>
        <w:bidi w:val="0"/>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4.2投标人必须按附件中的投标报价一览表、投标分项报价表内容填写价格，并由投标人代表签署。</w:t>
      </w:r>
    </w:p>
    <w:p w14:paraId="3B671953">
      <w:pPr>
        <w:pageBreakBefore w:val="0"/>
        <w:kinsoku/>
        <w:wordWrap w:val="0"/>
        <w:topLinePunct w:val="0"/>
        <w:bidi w:val="0"/>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4.3</w:t>
      </w:r>
      <w:r>
        <w:rPr>
          <w:rFonts w:hint="eastAsia" w:ascii="宋体" w:hAnsi="宋体" w:eastAsia="宋体" w:cs="宋体"/>
          <w:b w:val="0"/>
          <w:bCs w:val="0"/>
          <w:color w:val="auto"/>
          <w:sz w:val="22"/>
          <w:highlight w:val="none"/>
        </w:rPr>
        <w:t>投标货币以人民币进行投标</w:t>
      </w:r>
      <w:r>
        <w:rPr>
          <w:rFonts w:hint="eastAsia" w:ascii="宋体" w:hAnsi="宋体" w:eastAsia="宋体" w:cs="宋体"/>
          <w:b w:val="0"/>
          <w:bCs w:val="0"/>
          <w:color w:val="auto"/>
          <w:sz w:val="22"/>
          <w:szCs w:val="22"/>
          <w:highlight w:val="none"/>
        </w:rPr>
        <w:t>。</w:t>
      </w:r>
    </w:p>
    <w:p w14:paraId="7279AAEB">
      <w:pPr>
        <w:pageBreakBefore w:val="0"/>
        <w:kinsoku/>
        <w:wordWrap w:val="0"/>
        <w:topLinePunct w:val="0"/>
        <w:bidi w:val="0"/>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4.4</w:t>
      </w:r>
      <w:r>
        <w:rPr>
          <w:rFonts w:hint="eastAsia" w:ascii="宋体" w:hAnsi="宋体" w:eastAsia="宋体" w:cs="宋体"/>
          <w:b w:val="0"/>
          <w:bCs w:val="0"/>
          <w:color w:val="auto"/>
          <w:sz w:val="22"/>
          <w:highlight w:val="none"/>
        </w:rPr>
        <w:t>招标人和招标代理机构不接受任何选择投标，对任何服务只允许一个价格。</w:t>
      </w:r>
    </w:p>
    <w:p w14:paraId="5BF619CE">
      <w:pPr>
        <w:pageBreakBefore w:val="0"/>
        <w:kinsoku/>
        <w:wordWrap w:val="0"/>
        <w:topLinePunct w:val="0"/>
        <w:bidi w:val="0"/>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4.5招标人和</w:t>
      </w:r>
      <w:r>
        <w:rPr>
          <w:rFonts w:hint="eastAsia" w:ascii="宋体" w:hAnsi="宋体" w:eastAsia="宋体" w:cs="宋体"/>
          <w:color w:val="auto"/>
          <w:sz w:val="22"/>
          <w:highlight w:val="none"/>
        </w:rPr>
        <w:t>招标代理机构</w:t>
      </w:r>
      <w:r>
        <w:rPr>
          <w:rFonts w:hint="eastAsia" w:ascii="宋体" w:hAnsi="宋体" w:eastAsia="宋体" w:cs="宋体"/>
          <w:color w:val="auto"/>
          <w:sz w:val="22"/>
          <w:szCs w:val="22"/>
          <w:highlight w:val="none"/>
        </w:rPr>
        <w:t>要求分类报价是为了方便评标，但在任何情况下不限制招标人以其认为最合适的条款、条件签订合同的权利。</w:t>
      </w:r>
    </w:p>
    <w:p w14:paraId="02CF1491">
      <w:pPr>
        <w:pageBreakBefore w:val="0"/>
        <w:kinsoku/>
        <w:wordWrap w:val="0"/>
        <w:topLinePunct w:val="0"/>
        <w:bidi w:val="0"/>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4.6投标报价报出后，投标人不得以任何理由予以变更。任何包含价格调整的要求，将被认为是非实质性响应投标而予以否决。</w:t>
      </w:r>
    </w:p>
    <w:p w14:paraId="191FBE30">
      <w:pPr>
        <w:pageBreakBefore w:val="0"/>
        <w:kinsoku/>
        <w:wordWrap w:val="0"/>
        <w:topLinePunct w:val="0"/>
        <w:bidi w:val="0"/>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 w:val="0"/>
          <w:bCs/>
          <w:color w:val="auto"/>
          <w:sz w:val="22"/>
          <w:szCs w:val="22"/>
          <w:highlight w:val="none"/>
        </w:rPr>
        <w:t>4.7最低报价不能作为中标的保证。</w:t>
      </w:r>
    </w:p>
    <w:p w14:paraId="347C36A8">
      <w:pPr>
        <w:pageBreakBefore w:val="0"/>
        <w:kinsoku/>
        <w:wordWrap w:val="0"/>
        <w:topLinePunct w:val="0"/>
        <w:bidi w:val="0"/>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5、投标有效期</w:t>
      </w:r>
    </w:p>
    <w:p w14:paraId="513B6FD5">
      <w:pPr>
        <w:pageBreakBefore w:val="0"/>
        <w:kinsoku/>
        <w:wordWrap w:val="0"/>
        <w:topLinePunct w:val="0"/>
        <w:bidi w:val="0"/>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5.1自开标之日起 120 天内投标应保持有效。</w:t>
      </w:r>
    </w:p>
    <w:p w14:paraId="77B6329C">
      <w:pPr>
        <w:pageBreakBefore w:val="0"/>
        <w:kinsoku/>
        <w:wordWrap w:val="0"/>
        <w:topLinePunct w:val="0"/>
        <w:bidi w:val="0"/>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14:paraId="6DE0614F">
      <w:pPr>
        <w:pageBreakBefore w:val="0"/>
        <w:kinsoku/>
        <w:wordWrap w:val="0"/>
        <w:topLinePunct w:val="0"/>
        <w:bidi w:val="0"/>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6、投标保证金</w:t>
      </w:r>
    </w:p>
    <w:p w14:paraId="4677BFA9">
      <w:pPr>
        <w:pageBreakBefore w:val="0"/>
        <w:kinsoku/>
        <w:wordWrap w:val="0"/>
        <w:topLinePunct w:val="0"/>
        <w:bidi w:val="0"/>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p w14:paraId="29F31A21">
      <w:pPr>
        <w:pageBreakBefore w:val="0"/>
        <w:kinsoku/>
        <w:wordWrap w:val="0"/>
        <w:topLinePunct w:val="0"/>
        <w:bidi w:val="0"/>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7、投标文件编制</w:t>
      </w:r>
    </w:p>
    <w:p w14:paraId="7FAB9F31">
      <w:pPr>
        <w:pageBreakBefore w:val="0"/>
        <w:kinsoku/>
        <w:wordWrap w:val="0"/>
        <w:topLinePunct w:val="0"/>
        <w:bidi w:val="0"/>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7.1本项目通过“政府采购云平台（http://zfcg.czt.zj.gov.cn）”实行在线投标响应（电子投标）。供应商应通过“政采云电子交易客户端”，并按照本招标文件和“政府采购云平台”的要求编制并加密投标文件。</w:t>
      </w:r>
    </w:p>
    <w:p w14:paraId="1060AAE8">
      <w:pPr>
        <w:pageBreakBefore w:val="0"/>
        <w:kinsoku/>
        <w:wordWrap w:val="0"/>
        <w:topLinePunct w:val="0"/>
        <w:bidi w:val="0"/>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7.2投标人应当按照本章节 “投标文件的构成”规定的内容及顺序在“政采云电子交易客户端”编制投标文件。其中《资格文件》和《商务技术文件》中不得出现本项目投标报价。</w:t>
      </w:r>
    </w:p>
    <w:p w14:paraId="11069764">
      <w:pPr>
        <w:pageBreakBefore w:val="0"/>
        <w:kinsoku/>
        <w:wordWrap w:val="0"/>
        <w:topLinePunct w:val="0"/>
        <w:bidi w:val="0"/>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14:paraId="7AEEFF0E">
      <w:pPr>
        <w:pageBreakBefore w:val="0"/>
        <w:kinsoku/>
        <w:wordWrap w:val="0"/>
        <w:topLinePunct w:val="0"/>
        <w:bidi w:val="0"/>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7.4《投标文件》内容不完整、编排混乱导致《投标文件》被误读、漏读或者查找不到相关内容的，投标人自行负责。</w:t>
      </w:r>
    </w:p>
    <w:p w14:paraId="7BC36E89">
      <w:pPr>
        <w:pageBreakBefore w:val="0"/>
        <w:kinsoku/>
        <w:wordWrap w:val="0"/>
        <w:topLinePunct w:val="0"/>
        <w:bidi w:val="0"/>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7.5《投标文件》因字迹潦草或表达不清所引起的后果由投标人负责。</w:t>
      </w:r>
    </w:p>
    <w:p w14:paraId="4D628B0A">
      <w:pPr>
        <w:pageBreakBefore w:val="0"/>
        <w:kinsoku/>
        <w:wordWrap w:val="0"/>
        <w:topLinePunct w:val="0"/>
        <w:bidi w:val="0"/>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7.6投标人没有按照本章节 “投标文件的构成”要求提供全部资料，或者没有仔细阅读招标文件，或者没有对招标文件在各方面的要求作出实质性响应是投标人的风险，由此造成的一切后果由投标人自行承担。</w:t>
      </w:r>
    </w:p>
    <w:p w14:paraId="7B511E16">
      <w:pPr>
        <w:pageBreakBefore w:val="0"/>
        <w:kinsoku/>
        <w:wordWrap w:val="0"/>
        <w:topLinePunct w:val="0"/>
        <w:bidi w:val="0"/>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8、投标文件的签章</w:t>
      </w:r>
    </w:p>
    <w:p w14:paraId="5ED86802">
      <w:pPr>
        <w:pageBreakBefore w:val="0"/>
        <w:kinsoku/>
        <w:wordWrap w:val="0"/>
        <w:topLinePunct w:val="0"/>
        <w:bidi w:val="0"/>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8.1《投标文件》的签章：见《前附表》；</w:t>
      </w:r>
    </w:p>
    <w:p w14:paraId="21C0D1F7">
      <w:pPr>
        <w:pageBreakBefore w:val="0"/>
        <w:kinsoku/>
        <w:wordWrap w:val="0"/>
        <w:topLinePunct w:val="0"/>
        <w:bidi w:val="0"/>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8.2《投标文件》应由投标人法定代表人或其授权代表签字（或盖章），并时加盖投标人公章。</w:t>
      </w:r>
    </w:p>
    <w:p w14:paraId="4463C3E9">
      <w:pPr>
        <w:pageBreakBefore w:val="0"/>
        <w:kinsoku/>
        <w:wordWrap w:val="0"/>
        <w:topLinePunct w:val="0"/>
        <w:bidi w:val="0"/>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8.3电子签章操作指南详见采购公告附件《供应商项目采购-电子招投标操作指南》。</w:t>
      </w:r>
    </w:p>
    <w:p w14:paraId="0071D09E">
      <w:pPr>
        <w:pageBreakBefore w:val="0"/>
        <w:kinsoku/>
        <w:wordWrap w:val="0"/>
        <w:topLinePunct w:val="0"/>
        <w:bidi w:val="0"/>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9、投标文件的形式</w:t>
      </w:r>
    </w:p>
    <w:p w14:paraId="72B6EF95">
      <w:pPr>
        <w:pageBreakBefore w:val="0"/>
        <w:kinsoku/>
        <w:wordWrap w:val="0"/>
        <w:topLinePunct w:val="0"/>
        <w:bidi w:val="0"/>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9.1投标文件的形式：见《前附表》；</w:t>
      </w:r>
    </w:p>
    <w:p w14:paraId="076AD1BB">
      <w:pPr>
        <w:pageBreakBefore w:val="0"/>
        <w:kinsoku/>
        <w:wordWrap w:val="0"/>
        <w:topLinePunct w:val="0"/>
        <w:bidi w:val="0"/>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9.2“电子加密投标文件”：“电子加密投标文件”是指通过“政采云电子交易客户端”完成投标文件编制后生成并加密的数据电文形式的投标文件。</w:t>
      </w:r>
    </w:p>
    <w:p w14:paraId="32C0F8FD">
      <w:pPr>
        <w:pageBreakBefore w:val="0"/>
        <w:kinsoku/>
        <w:wordWrap w:val="0"/>
        <w:topLinePunct w:val="0"/>
        <w:bidi w:val="0"/>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14:paraId="239CA8C2">
      <w:pPr>
        <w:pageBreakBefore w:val="0"/>
        <w:kinsoku/>
        <w:wordWrap w:val="0"/>
        <w:topLinePunct w:val="0"/>
        <w:bidi w:val="0"/>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10、投标文件的份数</w:t>
      </w:r>
    </w:p>
    <w:p w14:paraId="17F95455">
      <w:pPr>
        <w:pageBreakBefore w:val="0"/>
        <w:kinsoku/>
        <w:wordWrap w:val="0"/>
        <w:topLinePunct w:val="0"/>
        <w:bidi w:val="0"/>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b w:val="0"/>
          <w:bCs w:val="0"/>
          <w:color w:val="auto"/>
          <w:sz w:val="22"/>
          <w:szCs w:val="22"/>
          <w:highlight w:val="none"/>
        </w:rPr>
        <w:t>10.1投标文件的份数：见《前附表》。</w:t>
      </w:r>
    </w:p>
    <w:p w14:paraId="1FC9CCE8">
      <w:pPr>
        <w:pageBreakBefore w:val="0"/>
        <w:kinsoku/>
        <w:wordWrap w:val="0"/>
        <w:topLinePunct w:val="0"/>
        <w:bidi w:val="0"/>
        <w:spacing w:before="100" w:beforeAutospacing="1" w:after="100" w:afterAutospacing="1" w:line="440" w:lineRule="exact"/>
        <w:jc w:val="center"/>
        <w:outlineLvl w:val="1"/>
        <w:rPr>
          <w:rFonts w:hint="eastAsia" w:ascii="宋体" w:hAnsi="宋体" w:eastAsia="宋体" w:cs="宋体"/>
          <w:b/>
          <w:bCs/>
          <w:color w:val="auto"/>
          <w:sz w:val="22"/>
          <w:szCs w:val="22"/>
          <w:highlight w:val="none"/>
        </w:rPr>
      </w:pPr>
      <w:bookmarkStart w:id="16" w:name="_Toc15422"/>
      <w:bookmarkStart w:id="17" w:name="_Toc18542"/>
      <w:r>
        <w:rPr>
          <w:rFonts w:hint="eastAsia" w:ascii="宋体" w:hAnsi="宋体" w:eastAsia="宋体" w:cs="宋体"/>
          <w:b/>
          <w:bCs/>
          <w:color w:val="auto"/>
          <w:sz w:val="22"/>
          <w:szCs w:val="22"/>
          <w:highlight w:val="none"/>
        </w:rPr>
        <w:t>四、 投标文件的递交</w:t>
      </w:r>
      <w:bookmarkEnd w:id="16"/>
      <w:bookmarkEnd w:id="17"/>
    </w:p>
    <w:p w14:paraId="352AA7FE">
      <w:pPr>
        <w:pageBreakBefore w:val="0"/>
        <w:kinsoku/>
        <w:wordWrap w:val="0"/>
        <w:topLinePunct w:val="0"/>
        <w:bidi w:val="0"/>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1、投标文件的上传和递交</w:t>
      </w:r>
    </w:p>
    <w:p w14:paraId="5DA7BEB9">
      <w:pPr>
        <w:pageBreakBefore w:val="0"/>
        <w:kinsoku/>
        <w:wordWrap w:val="0"/>
        <w:topLinePunct w:val="0"/>
        <w:bidi w:val="0"/>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1.1“投标文件”的上传、递交：见《前附表》。</w:t>
      </w:r>
    </w:p>
    <w:p w14:paraId="0E830942">
      <w:pPr>
        <w:pageBreakBefore w:val="0"/>
        <w:kinsoku/>
        <w:wordWrap w:val="0"/>
        <w:topLinePunct w:val="0"/>
        <w:bidi w:val="0"/>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2、“电子加密投标文件”解密和异常情况处理</w:t>
      </w:r>
    </w:p>
    <w:p w14:paraId="6A83ABBD">
      <w:pPr>
        <w:pageBreakBefore w:val="0"/>
        <w:kinsoku/>
        <w:wordWrap w:val="0"/>
        <w:topLinePunct w:val="0"/>
        <w:bidi w:val="0"/>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2.1“电子加密投标文件”解密：见《前附表》。</w:t>
      </w:r>
    </w:p>
    <w:p w14:paraId="37C999D5">
      <w:pPr>
        <w:pageBreakBefore w:val="0"/>
        <w:kinsoku/>
        <w:wordWrap w:val="0"/>
        <w:topLinePunct w:val="0"/>
        <w:bidi w:val="0"/>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3、投标文件的补充、修改或撤回</w:t>
      </w:r>
    </w:p>
    <w:p w14:paraId="34156D20">
      <w:pPr>
        <w:pageBreakBefore w:val="0"/>
        <w:kinsoku/>
        <w:wordWrap w:val="0"/>
        <w:topLinePunct w:val="0"/>
        <w:bidi w:val="0"/>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336C8194">
      <w:pPr>
        <w:pageBreakBefore w:val="0"/>
        <w:kinsoku/>
        <w:wordWrap w:val="0"/>
        <w:topLinePunct w:val="0"/>
        <w:bidi w:val="0"/>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3.2投标截止时间后，投标人不得撤回、修改《投标文件》。</w:t>
      </w:r>
    </w:p>
    <w:p w14:paraId="3B3DEED9">
      <w:pPr>
        <w:pageBreakBefore w:val="0"/>
        <w:kinsoku/>
        <w:wordWrap w:val="0"/>
        <w:topLinePunct w:val="0"/>
        <w:bidi w:val="0"/>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4、投标文件的备选方案</w:t>
      </w:r>
    </w:p>
    <w:p w14:paraId="4843E628">
      <w:pPr>
        <w:pageBreakBefore w:val="0"/>
        <w:kinsoku/>
        <w:wordWrap w:val="0"/>
        <w:topLinePunct w:val="0"/>
        <w:bidi w:val="0"/>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4.1投标人不得递交任何的投标备选（替代）方案，否则其投标文件将作无效标处理。与“电子加密投标文件”同时生成的“备份投标文件”不是投标备选（替代）方案。</w:t>
      </w:r>
    </w:p>
    <w:p w14:paraId="70AA8460">
      <w:pPr>
        <w:pageBreakBefore w:val="0"/>
        <w:kinsoku/>
        <w:wordWrap w:val="0"/>
        <w:topLinePunct w:val="0"/>
        <w:bidi w:val="0"/>
        <w:spacing w:before="100" w:beforeAutospacing="1" w:after="100" w:afterAutospacing="1" w:line="460" w:lineRule="exact"/>
        <w:jc w:val="center"/>
        <w:outlineLvl w:val="1"/>
        <w:rPr>
          <w:rFonts w:hint="eastAsia" w:ascii="宋体" w:hAnsi="宋体" w:eastAsia="宋体" w:cs="宋体"/>
          <w:b/>
          <w:bCs/>
          <w:color w:val="auto"/>
          <w:sz w:val="22"/>
          <w:szCs w:val="22"/>
          <w:highlight w:val="none"/>
        </w:rPr>
      </w:pPr>
      <w:bookmarkStart w:id="18" w:name="_Toc30172"/>
      <w:bookmarkStart w:id="19" w:name="_Toc8079"/>
      <w:r>
        <w:rPr>
          <w:rFonts w:hint="eastAsia" w:ascii="宋体" w:hAnsi="宋体" w:eastAsia="宋体" w:cs="宋体"/>
          <w:b/>
          <w:bCs/>
          <w:color w:val="auto"/>
          <w:sz w:val="22"/>
          <w:szCs w:val="22"/>
          <w:highlight w:val="none"/>
        </w:rPr>
        <w:t>五、 开标和评标</w:t>
      </w:r>
      <w:bookmarkEnd w:id="18"/>
      <w:bookmarkEnd w:id="19"/>
    </w:p>
    <w:p w14:paraId="0106BDD8">
      <w:pPr>
        <w:pageBreakBefore w:val="0"/>
        <w:kinsoku/>
        <w:wordWrap w:val="0"/>
        <w:topLinePunct w:val="0"/>
        <w:bidi w:val="0"/>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1、评标委员会</w:t>
      </w:r>
    </w:p>
    <w:p w14:paraId="1A784AD5">
      <w:pPr>
        <w:pageBreakBefore w:val="0"/>
        <w:kinsoku/>
        <w:wordWrap w:val="0"/>
        <w:topLinePunct w:val="0"/>
        <w:bidi w:val="0"/>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招标人和招标代理机构组建评标委员会。评标委员会的成员在评标过程中必须严格遵守《政府采购法》等有关法律、法规的规定。</w:t>
      </w:r>
    </w:p>
    <w:p w14:paraId="0DD75585">
      <w:pPr>
        <w:pageBreakBefore w:val="0"/>
        <w:kinsoku/>
        <w:wordWrap w:val="0"/>
        <w:topLinePunct w:val="0"/>
        <w:bidi w:val="0"/>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2、评标过程的保密性</w:t>
      </w:r>
    </w:p>
    <w:p w14:paraId="2BC15407">
      <w:pPr>
        <w:pageBreakBefore w:val="0"/>
        <w:kinsoku/>
        <w:wordWrap w:val="0"/>
        <w:topLinePunct w:val="0"/>
        <w:bidi w:val="0"/>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开标后直至向中标人授予合同时止，凡与评审有关的资料均不得向投标人及与评标无关人员透露。如果投标人在评标过程中试图向招标人和招标代理机构施加影响，其投标将被拒绝。</w:t>
      </w:r>
    </w:p>
    <w:p w14:paraId="393D7EB1">
      <w:pPr>
        <w:pageBreakBefore w:val="0"/>
        <w:kinsoku/>
        <w:wordWrap w:val="0"/>
        <w:topLinePunct w:val="0"/>
        <w:bidi w:val="0"/>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3、开标形式</w:t>
      </w:r>
    </w:p>
    <w:p w14:paraId="1076B2C5">
      <w:pPr>
        <w:pageBreakBefore w:val="0"/>
        <w:kinsoku/>
        <w:wordWrap w:val="0"/>
        <w:topLinePunct w:val="0"/>
        <w:bidi w:val="0"/>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采购组织机构将按照招标文件规定的时间通过“政府采购云平台”组织开标、开启投标文件，所有供应商均应当准时(在线)参加。</w:t>
      </w:r>
    </w:p>
    <w:p w14:paraId="1F81FE88">
      <w:pPr>
        <w:pageBreakBefore w:val="0"/>
        <w:kinsoku/>
        <w:wordWrap w:val="0"/>
        <w:topLinePunct w:val="0"/>
        <w:bidi w:val="0"/>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4、开标准备</w:t>
      </w:r>
    </w:p>
    <w:p w14:paraId="7E1BE478">
      <w:pPr>
        <w:pageBreakBefore w:val="0"/>
        <w:kinsoku/>
        <w:wordWrap w:val="0"/>
        <w:topLinePunct w:val="0"/>
        <w:bidi w:val="0"/>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4.1开标的准备工作由采购组织机构负责落实；</w:t>
      </w:r>
    </w:p>
    <w:p w14:paraId="55D6FF4C">
      <w:pPr>
        <w:pageBreakBefore w:val="0"/>
        <w:kinsoku/>
        <w:wordWrap w:val="0"/>
        <w:topLinePunct w:val="0"/>
        <w:bidi w:val="0"/>
        <w:spacing w:line="460" w:lineRule="exact"/>
        <w:ind w:firstLine="539" w:firstLineChars="245"/>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4.2</w:t>
      </w:r>
      <w:r>
        <w:rPr>
          <w:rFonts w:hint="eastAsia" w:ascii="宋体" w:hAnsi="宋体" w:eastAsia="宋体" w:cs="宋体"/>
          <w:b w:val="0"/>
          <w:bCs w:val="0"/>
          <w:color w:val="auto"/>
          <w:sz w:val="22"/>
          <w:szCs w:val="22"/>
          <w:highlight w:val="none"/>
        </w:rPr>
        <w:t>采购组织机构将按照招标文件规定的时间通过“政府采购云平台”组织开标、开启投标文件，所有供应商均应当准时(在线)参加。</w:t>
      </w:r>
      <w:r>
        <w:rPr>
          <w:rFonts w:hint="eastAsia" w:ascii="宋体" w:hAnsi="宋体" w:eastAsia="宋体" w:cs="宋体"/>
          <w:b w:val="0"/>
          <w:bCs w:val="0"/>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14:paraId="139A61A5">
      <w:pPr>
        <w:pageBreakBefore w:val="0"/>
        <w:kinsoku/>
        <w:wordWrap w:val="0"/>
        <w:topLinePunct w:val="0"/>
        <w:bidi w:val="0"/>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5、开标流程</w:t>
      </w:r>
    </w:p>
    <w:p w14:paraId="6233AE15">
      <w:pPr>
        <w:pageBreakBefore w:val="0"/>
        <w:kinsoku/>
        <w:wordWrap w:val="0"/>
        <w:topLinePunct w:val="0"/>
        <w:bidi w:val="0"/>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5.1开标、评标</w:t>
      </w:r>
    </w:p>
    <w:p w14:paraId="22B992FD">
      <w:pPr>
        <w:pageBreakBefore w:val="0"/>
        <w:kinsoku/>
        <w:wordWrap w:val="0"/>
        <w:topLinePunct w:val="0"/>
        <w:bidi w:val="0"/>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14:paraId="69F1187B">
      <w:pPr>
        <w:pageBreakBefore w:val="0"/>
        <w:kinsoku/>
        <w:wordWrap w:val="0"/>
        <w:topLinePunct w:val="0"/>
        <w:bidi w:val="0"/>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投标人不足3家的，不得开标。</w:t>
      </w:r>
    </w:p>
    <w:p w14:paraId="22197527">
      <w:pPr>
        <w:pageBreakBefore w:val="0"/>
        <w:kinsoku/>
        <w:wordWrap w:val="0"/>
        <w:topLinePunct w:val="0"/>
        <w:bidi w:val="0"/>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（2）解密成功后，开启投标人的《报价文件》，由供应商对自己报价文件相关内容进行签字确认，（不予确认的应说明理由，否则视为无异议）。</w:t>
      </w:r>
    </w:p>
    <w:p w14:paraId="47164EE0">
      <w:pPr>
        <w:pageBreakBefore w:val="0"/>
        <w:kinsoku/>
        <w:wordWrap w:val="0"/>
        <w:topLinePunct w:val="0"/>
        <w:bidi w:val="0"/>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（3）开启《投标文件》，进入资格审查；</w:t>
      </w:r>
      <w:r>
        <w:rPr>
          <w:rFonts w:hint="eastAsia" w:ascii="宋体" w:hAnsi="宋体" w:eastAsia="宋体" w:cs="宋体"/>
          <w:bCs/>
          <w:color w:val="auto"/>
          <w:sz w:val="22"/>
          <w:szCs w:val="22"/>
          <w:highlight w:val="none"/>
        </w:rPr>
        <w:t>合格投标人不足3家的，不得评标。</w:t>
      </w:r>
    </w:p>
    <w:p w14:paraId="41BF736C">
      <w:pPr>
        <w:pageBreakBefore w:val="0"/>
        <w:kinsoku/>
        <w:wordWrap w:val="0"/>
        <w:topLinePunct w:val="0"/>
        <w:bidi w:val="0"/>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备注：开标大会的结束后，招标人或采购代理机构将对依法对投标人的资格进行审查，资格审查结束后进入符合性审查和商务技术的评审工作，具体见本章节“投标人资格审查”相关规定。</w:t>
      </w:r>
    </w:p>
    <w:p w14:paraId="02EF2A04">
      <w:pPr>
        <w:pageBreakBefore w:val="0"/>
        <w:kinsoku/>
        <w:wordWrap w:val="0"/>
        <w:topLinePunct w:val="0"/>
        <w:bidi w:val="0"/>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color w:val="auto"/>
          <w:kern w:val="0"/>
          <w:sz w:val="22"/>
          <w:szCs w:val="22"/>
          <w:highlight w:val="none"/>
        </w:rPr>
        <w:t>（4）开启资格审查通过的投标人的商务技术文件进入符合性审查，</w:t>
      </w:r>
      <w:r>
        <w:rPr>
          <w:rFonts w:hint="eastAsia" w:ascii="宋体" w:hAnsi="宋体" w:eastAsia="宋体" w:cs="宋体"/>
          <w:bCs/>
          <w:color w:val="auto"/>
          <w:sz w:val="22"/>
          <w:szCs w:val="22"/>
          <w:highlight w:val="none"/>
        </w:rPr>
        <w:t>以确定其是否满足招标文件的实质性要求，合格投标人不足3家的，不得评标。</w:t>
      </w:r>
    </w:p>
    <w:p w14:paraId="1F5E0819">
      <w:pPr>
        <w:pageBreakBefore w:val="0"/>
        <w:kinsoku/>
        <w:wordWrap w:val="0"/>
        <w:topLinePunct w:val="0"/>
        <w:bidi w:val="0"/>
        <w:spacing w:line="460" w:lineRule="exact"/>
        <w:ind w:firstLine="541" w:firstLineChars="245"/>
        <w:rPr>
          <w:rFonts w:hint="eastAsia" w:ascii="宋体" w:hAnsi="宋体" w:eastAsia="宋体" w:cs="宋体"/>
          <w:bCs/>
          <w:color w:val="auto"/>
          <w:sz w:val="22"/>
          <w:szCs w:val="22"/>
          <w:highlight w:val="none"/>
        </w:rPr>
      </w:pPr>
      <w:r>
        <w:rPr>
          <w:rFonts w:hint="eastAsia" w:ascii="宋体" w:hAnsi="宋体" w:eastAsia="宋体" w:cs="宋体"/>
          <w:b/>
          <w:bCs w:val="0"/>
          <w:color w:val="auto"/>
          <w:sz w:val="22"/>
          <w:szCs w:val="22"/>
          <w:highlight w:val="none"/>
        </w:rPr>
        <w:t>没有满足招标文件的实质性要求的投标作无效标处理。</w:t>
      </w:r>
      <w:r>
        <w:rPr>
          <w:rFonts w:hint="eastAsia" w:ascii="宋体" w:hAnsi="宋体" w:eastAsia="宋体" w:cs="宋体"/>
          <w:bCs/>
          <w:color w:val="auto"/>
          <w:sz w:val="22"/>
          <w:szCs w:val="22"/>
          <w:highlight w:val="none"/>
        </w:rPr>
        <w:t>评标委员会决定投标的实质性要求只根据投标文件本身的内容，而不寻求外部的证据。投标人不得通过修正或撤消不合要求的偏离或保留从而使其投标成为实质上响应的投标。</w:t>
      </w:r>
    </w:p>
    <w:p w14:paraId="4331959C">
      <w:pPr>
        <w:pageBreakBefore w:val="0"/>
        <w:kinsoku/>
        <w:wordWrap w:val="0"/>
        <w:topLinePunct w:val="0"/>
        <w:bidi w:val="0"/>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（5）对通过资格审查、符合性审查的合格供应商进行商务技术部分的评审。</w:t>
      </w:r>
    </w:p>
    <w:p w14:paraId="4BEA7425">
      <w:pPr>
        <w:pageBreakBefore w:val="0"/>
        <w:kinsoku/>
        <w:wordWrap w:val="0"/>
        <w:topLinePunct w:val="0"/>
        <w:bidi w:val="0"/>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（6）评标委员会对报价的合理性、准确性等进行审查核实。</w:t>
      </w:r>
    </w:p>
    <w:p w14:paraId="0FDCE311">
      <w:pPr>
        <w:pageBreakBefore w:val="0"/>
        <w:kinsoku/>
        <w:wordWrap w:val="0"/>
        <w:topLinePunct w:val="0"/>
        <w:bidi w:val="0"/>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（7）评审结束后，公布中标（成交）候选供应商名单及招标人最终确定中标或成交供应商名单的时间和公告方式等，未在场的投标人通过发送邮件形式通知。</w:t>
      </w:r>
    </w:p>
    <w:p w14:paraId="64F7FBDA">
      <w:pPr>
        <w:pageBreakBefore w:val="0"/>
        <w:kinsoku/>
        <w:wordWrap w:val="0"/>
        <w:topLinePunct w:val="0"/>
        <w:bidi w:val="0"/>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特别说明：如遇“政府采购云平台”电子化开标或评审程序调整的，按调整后程序执行。</w:t>
      </w:r>
    </w:p>
    <w:p w14:paraId="1143AD7F">
      <w:pPr>
        <w:pageBreakBefore w:val="0"/>
        <w:kinsoku/>
        <w:wordWrap w:val="0"/>
        <w:topLinePunct w:val="0"/>
        <w:bidi w:val="0"/>
        <w:spacing w:line="460" w:lineRule="exact"/>
        <w:ind w:firstLine="539" w:firstLineChars="245"/>
        <w:rPr>
          <w:rFonts w:hint="eastAsia" w:ascii="宋体" w:hAnsi="宋体" w:eastAsia="宋体" w:cs="宋体"/>
          <w:color w:val="auto"/>
          <w:sz w:val="22"/>
          <w:szCs w:val="22"/>
          <w:highlight w:val="none"/>
        </w:rPr>
      </w:pPr>
      <w:bookmarkStart w:id="20" w:name="_Toc24550037"/>
      <w:bookmarkStart w:id="21" w:name="_Toc33194393"/>
      <w:r>
        <w:rPr>
          <w:rFonts w:hint="eastAsia" w:ascii="宋体" w:hAnsi="宋体" w:eastAsia="宋体" w:cs="宋体"/>
          <w:color w:val="auto"/>
          <w:sz w:val="22"/>
          <w:szCs w:val="22"/>
          <w:highlight w:val="none"/>
        </w:rPr>
        <w:t>6、投标人资格审查</w:t>
      </w:r>
      <w:bookmarkEnd w:id="20"/>
      <w:bookmarkEnd w:id="21"/>
    </w:p>
    <w:p w14:paraId="3E8777D2">
      <w:pPr>
        <w:pageBreakBefore w:val="0"/>
        <w:kinsoku/>
        <w:wordWrap w:val="0"/>
        <w:topLinePunct w:val="0"/>
        <w:bidi w:val="0"/>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6.1开标大会结束后，招标人或采购代理机构首先依法对各投标人的资格进行审查，审查各投标人的资格是否满足招标文件的要求。招</w:t>
      </w:r>
      <w:r>
        <w:rPr>
          <w:rFonts w:hint="eastAsia" w:ascii="宋体" w:hAnsi="宋体" w:eastAsia="宋体" w:cs="宋体"/>
          <w:color w:val="auto"/>
          <w:sz w:val="22"/>
          <w:szCs w:val="22"/>
          <w:highlight w:val="none"/>
        </w:rPr>
        <w:t>标人或采购代理机构对投标人所提交的资格证明材料仅负审核的责任。如发现投标人所提交的资格证明材料不合法或与事实不符，招标人可取消其中标资格并追究投标人的法律责任。</w:t>
      </w:r>
    </w:p>
    <w:p w14:paraId="64F527AB">
      <w:pPr>
        <w:pageBreakBefore w:val="0"/>
        <w:kinsoku/>
        <w:wordWrap w:val="0"/>
        <w:topLinePunct w:val="0"/>
        <w:bidi w:val="0"/>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sz w:val="22"/>
          <w:szCs w:val="22"/>
          <w:highlight w:val="none"/>
        </w:rPr>
        <w:t>6.2投标人提交的资格证明材料无法证明其符合招标文件规定的“投标人资格要求”的，招标人或采购代理机构</w:t>
      </w:r>
      <w:r>
        <w:rPr>
          <w:rFonts w:hint="eastAsia" w:ascii="宋体" w:hAnsi="宋体" w:eastAsia="宋体" w:cs="宋体"/>
          <w:b w:val="0"/>
          <w:bCs/>
          <w:color w:val="auto"/>
          <w:kern w:val="0"/>
          <w:sz w:val="22"/>
          <w:szCs w:val="22"/>
          <w:highlight w:val="none"/>
        </w:rPr>
        <w:t>将对其作资格审查不通过处理（无效投标），并不再将其投标提交评标委员会进行后续评审。</w:t>
      </w:r>
    </w:p>
    <w:p w14:paraId="51F4FA93">
      <w:pPr>
        <w:pageBreakBefore w:val="0"/>
        <w:kinsoku/>
        <w:wordWrap w:val="0"/>
        <w:topLinePunct w:val="0"/>
        <w:bidi w:val="0"/>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6</w:t>
      </w:r>
      <w:r>
        <w:rPr>
          <w:rFonts w:hint="eastAsia" w:ascii="宋体" w:hAnsi="宋体" w:eastAsia="宋体" w:cs="宋体"/>
          <w:b w:val="0"/>
          <w:bCs/>
          <w:color w:val="auto"/>
          <w:kern w:val="0"/>
          <w:sz w:val="22"/>
          <w:szCs w:val="22"/>
          <w:highlight w:val="none"/>
        </w:rPr>
        <w:t>.3单位负责人为同一人或者存在直接控股、管理关系的不同供应商参加同一合同项下的政府采购活动的，相关投标人均作资格无效处理。</w:t>
      </w:r>
    </w:p>
    <w:p w14:paraId="132F6BBF">
      <w:pPr>
        <w:pageBreakBefore w:val="0"/>
        <w:kinsoku/>
        <w:wordWrap w:val="0"/>
        <w:topLinePunct w:val="0"/>
        <w:bidi w:val="0"/>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7、评标委员按照招标文件中规定的评标方法和标准，对投标文件进行商务和技术评估，综合比较与评价。</w:t>
      </w:r>
    </w:p>
    <w:p w14:paraId="39728080">
      <w:pPr>
        <w:pageBreakBefore w:val="0"/>
        <w:kinsoku/>
        <w:wordWrap w:val="0"/>
        <w:topLinePunct w:val="0"/>
        <w:bidi w:val="0"/>
        <w:spacing w:line="460" w:lineRule="exact"/>
        <w:ind w:firstLine="541" w:firstLineChars="245"/>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8、投标人存在下列情况之一的，投标无效：</w:t>
      </w:r>
    </w:p>
    <w:p w14:paraId="2F7C3D9E">
      <w:pPr>
        <w:pageBreakBefore w:val="0"/>
        <w:kinsoku/>
        <w:wordWrap w:val="0"/>
        <w:topLinePunct w:val="0"/>
        <w:bidi w:val="0"/>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（1）投标文件未按招标文件要求签署、盖章的；</w:t>
      </w:r>
    </w:p>
    <w:p w14:paraId="79A7E4BC">
      <w:pPr>
        <w:pageBreakBefore w:val="0"/>
        <w:kinsoku/>
        <w:wordWrap w:val="0"/>
        <w:topLinePunct w:val="0"/>
        <w:bidi w:val="0"/>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（2）不具备招标文件中规定的资格要求的； </w:t>
      </w:r>
    </w:p>
    <w:p w14:paraId="149F614A">
      <w:pPr>
        <w:pageBreakBefore w:val="0"/>
        <w:kinsoku/>
        <w:wordWrap w:val="0"/>
        <w:topLinePunct w:val="0"/>
        <w:bidi w:val="0"/>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（3）明显不符合招标文件中主要技术规格、技术标准的；</w:t>
      </w:r>
    </w:p>
    <w:p w14:paraId="2F3E12C1">
      <w:pPr>
        <w:pageBreakBefore w:val="0"/>
        <w:kinsoku/>
        <w:wordWrap w:val="0"/>
        <w:topLinePunct w:val="0"/>
        <w:bidi w:val="0"/>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（4）投标文件内容不全或关键字迹模糊无法辨认的；</w:t>
      </w:r>
    </w:p>
    <w:p w14:paraId="4AA80001">
      <w:pPr>
        <w:pageBreakBefore w:val="0"/>
        <w:kinsoku/>
        <w:wordWrap w:val="0"/>
        <w:topLinePunct w:val="0"/>
        <w:bidi w:val="0"/>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（5）报价超过招标文件中规定的预算金额的；</w:t>
      </w:r>
    </w:p>
    <w:p w14:paraId="368F94F5">
      <w:pPr>
        <w:pageBreakBefore w:val="0"/>
        <w:kinsoku/>
        <w:wordWrap w:val="0"/>
        <w:topLinePunct w:val="0"/>
        <w:bidi w:val="0"/>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（6）投标人代表没有法定代表人合法、有效委托的；</w:t>
      </w:r>
    </w:p>
    <w:p w14:paraId="4AFABFCE">
      <w:pPr>
        <w:pageBreakBefore w:val="0"/>
        <w:kinsoku/>
        <w:wordWrap w:val="0"/>
        <w:topLinePunct w:val="0"/>
        <w:bidi w:val="0"/>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（7）投标文件存在一个或一个以上备选（替代）投标方案的；</w:t>
      </w:r>
    </w:p>
    <w:p w14:paraId="035891EC">
      <w:pPr>
        <w:pageBreakBefore w:val="0"/>
        <w:kinsoku/>
        <w:wordWrap w:val="0"/>
        <w:topLinePunct w:val="0"/>
        <w:bidi w:val="0"/>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（8）仅提交“备份投标文件”的；</w:t>
      </w:r>
    </w:p>
    <w:p w14:paraId="787CC090">
      <w:pPr>
        <w:pageBreakBefore w:val="0"/>
        <w:kinsoku/>
        <w:wordWrap w:val="0"/>
        <w:topLinePunct w:val="0"/>
        <w:bidi w:val="0"/>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（9）投标文件含有招标人不能接受的附加条件的；</w:t>
      </w:r>
    </w:p>
    <w:p w14:paraId="209A3116">
      <w:pPr>
        <w:pageBreakBefore w:val="0"/>
        <w:kinsoku/>
        <w:wordWrap w:val="0"/>
        <w:topLinePunct w:val="0"/>
        <w:bidi w:val="0"/>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（10）法律、法规和招标文件规定的其他无效情形。</w:t>
      </w:r>
    </w:p>
    <w:p w14:paraId="7D4A4683">
      <w:pPr>
        <w:pageBreakBefore w:val="0"/>
        <w:kinsoku/>
        <w:wordWrap w:val="0"/>
        <w:topLinePunct w:val="0"/>
        <w:bidi w:val="0"/>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9、有下列情形之一的，视为投标人串通投标，其投标无效</w:t>
      </w:r>
    </w:p>
    <w:p w14:paraId="49E296FC">
      <w:pPr>
        <w:pageBreakBefore w:val="0"/>
        <w:kinsoku/>
        <w:wordWrap w:val="0"/>
        <w:topLinePunct w:val="0"/>
        <w:bidi w:val="0"/>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（1）不同投标人的投标文件由同一单位或者个人编制；</w:t>
      </w:r>
    </w:p>
    <w:p w14:paraId="574AE63B">
      <w:pPr>
        <w:pageBreakBefore w:val="0"/>
        <w:kinsoku/>
        <w:wordWrap w:val="0"/>
        <w:topLinePunct w:val="0"/>
        <w:bidi w:val="0"/>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（2）不同投标人委托同一单位或者个人办理投标事宜；</w:t>
      </w:r>
    </w:p>
    <w:p w14:paraId="00FBBC19">
      <w:pPr>
        <w:pageBreakBefore w:val="0"/>
        <w:kinsoku/>
        <w:wordWrap w:val="0"/>
        <w:topLinePunct w:val="0"/>
        <w:bidi w:val="0"/>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（3）不同投标人的投标文件载明的项目管理成员或者联系人员为同一人；</w:t>
      </w:r>
    </w:p>
    <w:p w14:paraId="79876AE4">
      <w:pPr>
        <w:pageBreakBefore w:val="0"/>
        <w:kinsoku/>
        <w:wordWrap w:val="0"/>
        <w:topLinePunct w:val="0"/>
        <w:bidi w:val="0"/>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（4）不同投标人的投标文件异常一致或者投标报价呈规律性差异；</w:t>
      </w:r>
    </w:p>
    <w:p w14:paraId="79ABFD83">
      <w:pPr>
        <w:pageBreakBefore w:val="0"/>
        <w:kinsoku/>
        <w:wordWrap w:val="0"/>
        <w:topLinePunct w:val="0"/>
        <w:bidi w:val="0"/>
        <w:spacing w:line="460" w:lineRule="exact"/>
        <w:ind w:firstLine="539" w:firstLineChars="245"/>
        <w:rPr>
          <w:rFonts w:hint="eastAsia" w:ascii="宋体" w:hAnsi="宋体" w:cs="宋体"/>
          <w:color w:val="auto"/>
          <w:sz w:val="22"/>
          <w:szCs w:val="22"/>
          <w:highlight w:val="none"/>
          <w:lang w:eastAsia="zh-CN"/>
        </w:rPr>
      </w:pPr>
      <w:r>
        <w:rPr>
          <w:rFonts w:hint="eastAsia" w:ascii="宋体" w:hAnsi="宋体" w:eastAsia="宋体" w:cs="宋体"/>
          <w:color w:val="auto"/>
          <w:sz w:val="22"/>
          <w:szCs w:val="22"/>
          <w:highlight w:val="none"/>
        </w:rPr>
        <w:t>（5）不同投标人的投标文件相互混装</w:t>
      </w:r>
      <w:r>
        <w:rPr>
          <w:rFonts w:hint="eastAsia" w:ascii="宋体" w:hAnsi="宋体" w:cs="宋体"/>
          <w:color w:val="auto"/>
          <w:sz w:val="22"/>
          <w:szCs w:val="22"/>
          <w:highlight w:val="none"/>
          <w:lang w:eastAsia="zh-CN"/>
        </w:rPr>
        <w:t>；</w:t>
      </w:r>
    </w:p>
    <w:p w14:paraId="1FBD23B0">
      <w:pPr>
        <w:pageBreakBefore w:val="0"/>
        <w:kinsoku/>
        <w:wordWrap w:val="0"/>
        <w:topLinePunct w:val="0"/>
        <w:bidi w:val="0"/>
        <w:spacing w:line="460" w:lineRule="exact"/>
        <w:ind w:firstLine="539" w:firstLineChars="245"/>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不同投标</w:t>
      </w:r>
      <w:r>
        <w:rPr>
          <w:rFonts w:hint="eastAsia" w:ascii="宋体" w:hAnsi="宋体" w:cs="宋体"/>
          <w:color w:val="auto"/>
          <w:sz w:val="22"/>
          <w:szCs w:val="22"/>
          <w:highlight w:val="none"/>
          <w:lang w:val="en-US" w:eastAsia="zh-CN"/>
        </w:rPr>
        <w:t>人</w:t>
      </w:r>
      <w:r>
        <w:rPr>
          <w:rFonts w:hint="eastAsia" w:ascii="宋体" w:hAnsi="宋体" w:eastAsia="宋体" w:cs="宋体"/>
          <w:color w:val="auto"/>
          <w:sz w:val="22"/>
          <w:szCs w:val="22"/>
          <w:highlight w:val="none"/>
        </w:rPr>
        <w:t>的 IP、MAC、硬件信息相同、响应文件细节错误一致且无合理解释等情形</w:t>
      </w:r>
      <w:r>
        <w:rPr>
          <w:rFonts w:hint="eastAsia" w:ascii="宋体" w:hAnsi="宋体" w:cs="宋体"/>
          <w:color w:val="auto"/>
          <w:sz w:val="22"/>
          <w:szCs w:val="22"/>
          <w:highlight w:val="none"/>
          <w:lang w:eastAsia="zh-CN"/>
        </w:rPr>
        <w:t>；</w:t>
      </w:r>
    </w:p>
    <w:p w14:paraId="36C9DF17">
      <w:pPr>
        <w:pageBreakBefore w:val="0"/>
        <w:kinsoku/>
        <w:wordWrap w:val="0"/>
        <w:topLinePunct w:val="0"/>
        <w:bidi w:val="0"/>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不同投标</w:t>
      </w:r>
      <w:r>
        <w:rPr>
          <w:rFonts w:hint="eastAsia" w:ascii="宋体" w:hAnsi="宋体" w:cs="宋体"/>
          <w:color w:val="auto"/>
          <w:sz w:val="22"/>
          <w:szCs w:val="22"/>
          <w:highlight w:val="none"/>
          <w:lang w:val="en-US" w:eastAsia="zh-CN"/>
        </w:rPr>
        <w:t>人</w:t>
      </w:r>
      <w:r>
        <w:rPr>
          <w:rFonts w:hint="eastAsia" w:ascii="宋体" w:hAnsi="宋体" w:eastAsia="宋体" w:cs="宋体"/>
          <w:color w:val="auto"/>
          <w:sz w:val="22"/>
          <w:szCs w:val="22"/>
          <w:highlight w:val="none"/>
        </w:rPr>
        <w:t>的电子投标(响应)文件上传时的手机号信息相同且无法合理解释的。</w:t>
      </w:r>
    </w:p>
    <w:p w14:paraId="2196282E">
      <w:pPr>
        <w:pageBreakBefore w:val="0"/>
        <w:kinsoku/>
        <w:wordWrap w:val="0"/>
        <w:topLinePunct w:val="0"/>
        <w:bidi w:val="0"/>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10、投标文件报价出现前后不一致的，按照下列规定修正：</w:t>
      </w:r>
    </w:p>
    <w:p w14:paraId="1C994B20">
      <w:pPr>
        <w:pageBreakBefore w:val="0"/>
        <w:kinsoku/>
        <w:wordWrap w:val="0"/>
        <w:topLinePunct w:val="0"/>
        <w:bidi w:val="0"/>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（1）系统上传的投标文件中开标一览表（报价表）（加盖公章）内容与投标文件中相应内容不一致的，以系统上传的投标文件中开标一览表（报价表）（加盖公章）为准；</w:t>
      </w:r>
    </w:p>
    <w:p w14:paraId="7D9D6A81">
      <w:pPr>
        <w:pageBreakBefore w:val="0"/>
        <w:kinsoku/>
        <w:wordWrap w:val="0"/>
        <w:topLinePunct w:val="0"/>
        <w:bidi w:val="0"/>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（2）大写金额和小写金额不一致的，以大写金额为准；</w:t>
      </w:r>
    </w:p>
    <w:p w14:paraId="6FABFB31">
      <w:pPr>
        <w:pageBreakBefore w:val="0"/>
        <w:kinsoku/>
        <w:wordWrap w:val="0"/>
        <w:topLinePunct w:val="0"/>
        <w:bidi w:val="0"/>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（3）单价金额小数点或者百分比有明显错位的，以开标一览表的总价为准，并修改单价；</w:t>
      </w:r>
    </w:p>
    <w:p w14:paraId="39709D22">
      <w:pPr>
        <w:pageBreakBefore w:val="0"/>
        <w:kinsoku/>
        <w:wordWrap w:val="0"/>
        <w:topLinePunct w:val="0"/>
        <w:bidi w:val="0"/>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（4）总价金额与按单价汇总金额不一致的，以单价金额计算结果为准。</w:t>
      </w:r>
    </w:p>
    <w:p w14:paraId="1D8A36B8">
      <w:pPr>
        <w:pageBreakBefore w:val="0"/>
        <w:kinsoku/>
        <w:wordWrap w:val="0"/>
        <w:topLinePunct w:val="0"/>
        <w:bidi w:val="0"/>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14:paraId="6F69AD94">
      <w:pPr>
        <w:pageBreakBefore w:val="0"/>
        <w:kinsoku/>
        <w:wordWrap w:val="0"/>
        <w:topLinePunct w:val="0"/>
        <w:bidi w:val="0"/>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14:paraId="3459B3F1">
      <w:pPr>
        <w:pageBreakBefore w:val="0"/>
        <w:kinsoku/>
        <w:wordWrap w:val="0"/>
        <w:topLinePunct w:val="0"/>
        <w:bidi w:val="0"/>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12、投标文件的澄清</w:t>
      </w:r>
    </w:p>
    <w:p w14:paraId="3A69B44C">
      <w:pPr>
        <w:pageBreakBefore w:val="0"/>
        <w:kinsoku/>
        <w:wordWrap w:val="0"/>
        <w:topLinePunct w:val="0"/>
        <w:bidi w:val="0"/>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14:paraId="4E8CA1AE">
      <w:pPr>
        <w:pageBreakBefore w:val="0"/>
        <w:kinsoku/>
        <w:wordWrap w:val="0"/>
        <w:topLinePunct w:val="0"/>
        <w:bidi w:val="0"/>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14:paraId="5D0FC4C1">
      <w:pPr>
        <w:pageBreakBefore w:val="0"/>
        <w:kinsoku/>
        <w:wordWrap w:val="0"/>
        <w:topLinePunct w:val="0"/>
        <w:bidi w:val="0"/>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拒不按要求对其投标文件进行澄清，说明或补正的投标人，评标委员会可以否决其投标。</w:t>
      </w:r>
    </w:p>
    <w:p w14:paraId="2471EAD0">
      <w:pPr>
        <w:pageBreakBefore w:val="0"/>
        <w:kinsoku/>
        <w:wordWrap w:val="0"/>
        <w:topLinePunct w:val="0"/>
        <w:bidi w:val="0"/>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12.2经澄清后，若偏差仍存在，且不可接受，投标人则被认为是“没有实质性响应招标文件要求”，其投标将被拒绝。</w:t>
      </w:r>
    </w:p>
    <w:p w14:paraId="5C0740FD">
      <w:pPr>
        <w:pageBreakBefore w:val="0"/>
        <w:kinsoku/>
        <w:wordWrap w:val="0"/>
        <w:topLinePunct w:val="0"/>
        <w:bidi w:val="0"/>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13、评审结果的修改</w:t>
      </w:r>
    </w:p>
    <w:p w14:paraId="13314B16">
      <w:pPr>
        <w:pageBreakBefore w:val="0"/>
        <w:kinsoku/>
        <w:wordWrap w:val="0"/>
        <w:topLinePunct w:val="0"/>
        <w:bidi w:val="0"/>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13.1评标结果汇总完成后，除下列情形外，任何人不得修改评标结果：</w:t>
      </w:r>
    </w:p>
    <w:p w14:paraId="72EF527B">
      <w:pPr>
        <w:pageBreakBefore w:val="0"/>
        <w:kinsoku/>
        <w:wordWrap w:val="0"/>
        <w:topLinePunct w:val="0"/>
        <w:bidi w:val="0"/>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（1）分值汇总计算错误的；</w:t>
      </w:r>
    </w:p>
    <w:p w14:paraId="233D5484">
      <w:pPr>
        <w:pageBreakBefore w:val="0"/>
        <w:kinsoku/>
        <w:wordWrap w:val="0"/>
        <w:topLinePunct w:val="0"/>
        <w:bidi w:val="0"/>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（2）分项评分超出评分标准范围的；</w:t>
      </w:r>
    </w:p>
    <w:p w14:paraId="627B3C00">
      <w:pPr>
        <w:pageBreakBefore w:val="0"/>
        <w:kinsoku/>
        <w:wordWrap w:val="0"/>
        <w:topLinePunct w:val="0"/>
        <w:bidi w:val="0"/>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（3）评标委员会成员对客观评审因素评分不一致的；</w:t>
      </w:r>
    </w:p>
    <w:p w14:paraId="62648E5D">
      <w:pPr>
        <w:pageBreakBefore w:val="0"/>
        <w:kinsoku/>
        <w:wordWrap w:val="0"/>
        <w:topLinePunct w:val="0"/>
        <w:bidi w:val="0"/>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（4）经评标委员会认定评分畸高、畸低的。</w:t>
      </w:r>
    </w:p>
    <w:p w14:paraId="080D903E">
      <w:pPr>
        <w:pageBreakBefore w:val="0"/>
        <w:kinsoku/>
        <w:wordWrap w:val="0"/>
        <w:topLinePunct w:val="0"/>
        <w:bidi w:val="0"/>
        <w:spacing w:line="460" w:lineRule="exact"/>
        <w:ind w:firstLine="759" w:firstLineChars="345"/>
        <w:rPr>
          <w:rFonts w:hint="eastAsia" w:ascii="宋体" w:hAnsi="宋体" w:eastAsia="宋体" w:cs="宋体"/>
          <w:b w:val="0"/>
          <w:bCs/>
          <w:color w:val="auto"/>
          <w:highlight w:val="none"/>
        </w:rPr>
      </w:pPr>
      <w:r>
        <w:rPr>
          <w:rFonts w:hint="eastAsia" w:ascii="宋体" w:hAnsi="宋体" w:eastAsia="宋体" w:cs="宋体"/>
          <w:bCs/>
          <w:color w:val="auto"/>
          <w:sz w:val="22"/>
          <w:szCs w:val="22"/>
          <w:highlight w:val="none"/>
        </w:rPr>
        <w:t>13.2书面评标报告签署前，经复核发现存在以上情形之一的，评标委员会将当场修改评标结果，并</w:t>
      </w:r>
      <w:r>
        <w:rPr>
          <w:rFonts w:hint="eastAsia" w:ascii="宋体" w:hAnsi="宋体" w:eastAsia="宋体" w:cs="宋体"/>
          <w:b w:val="0"/>
          <w:bCs/>
          <w:color w:val="auto"/>
          <w:sz w:val="22"/>
          <w:szCs w:val="22"/>
          <w:highlight w:val="none"/>
        </w:rPr>
        <w:t>在评标报告中记载。</w:t>
      </w:r>
    </w:p>
    <w:p w14:paraId="7A91DA36">
      <w:pPr>
        <w:pageBreakBefore w:val="0"/>
        <w:kinsoku/>
        <w:wordWrap w:val="0"/>
        <w:topLinePunct w:val="0"/>
        <w:bidi w:val="0"/>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14</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14:paraId="785F1F1E">
      <w:pPr>
        <w:pageBreakBefore w:val="0"/>
        <w:kinsoku/>
        <w:wordWrap w:val="0"/>
        <w:topLinePunct w:val="0"/>
        <w:bidi w:val="0"/>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14.1由评标委员会确定中标候选人。</w:t>
      </w:r>
    </w:p>
    <w:p w14:paraId="1F28523E">
      <w:pPr>
        <w:pageBreakBefore w:val="0"/>
        <w:kinsoku/>
        <w:wordWrap w:val="0"/>
        <w:topLinePunct w:val="0"/>
        <w:bidi w:val="0"/>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14:paraId="76E35C1A">
      <w:pPr>
        <w:pageBreakBefore w:val="0"/>
        <w:kinsoku/>
        <w:wordWrap w:val="0"/>
        <w:topLinePunct w:val="0"/>
        <w:bidi w:val="0"/>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15、确定中标人</w:t>
      </w:r>
    </w:p>
    <w:p w14:paraId="43A5FC7E">
      <w:pPr>
        <w:pageBreakBefore w:val="0"/>
        <w:kinsoku/>
        <w:wordWrap w:val="0"/>
        <w:topLinePunct w:val="0"/>
        <w:bidi w:val="0"/>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15.1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317CA3CF">
      <w:pPr>
        <w:pageBreakBefore w:val="0"/>
        <w:kinsoku/>
        <w:wordWrap w:val="0"/>
        <w:topLinePunct w:val="0"/>
        <w:bidi w:val="0"/>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14:paraId="46327393">
      <w:pPr>
        <w:pageBreakBefore w:val="0"/>
        <w:kinsoku/>
        <w:wordWrap w:val="0"/>
        <w:topLinePunct w:val="0"/>
        <w:bidi w:val="0"/>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16、起草、签署评审报告</w:t>
      </w:r>
    </w:p>
    <w:p w14:paraId="35776EB5">
      <w:pPr>
        <w:pageBreakBefore w:val="0"/>
        <w:kinsoku/>
        <w:wordWrap w:val="0"/>
        <w:topLinePunct w:val="0"/>
        <w:bidi w:val="0"/>
        <w:spacing w:line="460" w:lineRule="exact"/>
        <w:ind w:firstLine="759" w:firstLineChars="3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7F726B7D">
      <w:pPr>
        <w:pageBreakBefore w:val="0"/>
        <w:kinsoku/>
        <w:wordWrap w:val="0"/>
        <w:topLinePunct w:val="0"/>
        <w:bidi w:val="0"/>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中标人确定后，招标人将在政府指定媒体公告中标结果，招标人向中标人发出中标通知书。</w:t>
      </w:r>
    </w:p>
    <w:p w14:paraId="46133A12">
      <w:pPr>
        <w:pageBreakBefore w:val="0"/>
        <w:kinsoku/>
        <w:wordWrap w:val="0"/>
        <w:topLinePunct w:val="0"/>
        <w:bidi w:val="0"/>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18、招标人对决标结果不做任何解释，也不保证最低价中标。</w:t>
      </w:r>
    </w:p>
    <w:p w14:paraId="218B1E34">
      <w:pPr>
        <w:pageBreakBefore w:val="0"/>
        <w:kinsoku/>
        <w:wordWrap w:val="0"/>
        <w:topLinePunct w:val="0"/>
        <w:bidi w:val="0"/>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b w:val="0"/>
          <w:bCs w:val="0"/>
          <w:color w:val="auto"/>
          <w:sz w:val="22"/>
          <w:szCs w:val="22"/>
          <w:highlight w:val="none"/>
        </w:rPr>
        <w:t>19、评标细则详见“评标原则及方法”。</w:t>
      </w:r>
    </w:p>
    <w:p w14:paraId="470A0E72">
      <w:pPr>
        <w:pageBreakBefore w:val="0"/>
        <w:kinsoku/>
        <w:wordWrap w:val="0"/>
        <w:topLinePunct w:val="0"/>
        <w:bidi w:val="0"/>
        <w:spacing w:before="100" w:beforeAutospacing="1" w:after="100" w:afterAutospacing="1" w:line="440" w:lineRule="exact"/>
        <w:jc w:val="center"/>
        <w:outlineLvl w:val="1"/>
        <w:rPr>
          <w:rFonts w:hint="eastAsia" w:ascii="宋体" w:hAnsi="宋体" w:eastAsia="宋体" w:cs="宋体"/>
          <w:b/>
          <w:bCs/>
          <w:color w:val="auto"/>
          <w:sz w:val="26"/>
          <w:szCs w:val="26"/>
          <w:highlight w:val="none"/>
        </w:rPr>
      </w:pPr>
      <w:bookmarkStart w:id="22" w:name="_Toc26836"/>
      <w:bookmarkStart w:id="23" w:name="_Toc21056"/>
      <w:r>
        <w:rPr>
          <w:rFonts w:hint="eastAsia" w:ascii="宋体" w:hAnsi="宋体" w:eastAsia="宋体" w:cs="宋体"/>
          <w:b/>
          <w:bCs/>
          <w:color w:val="auto"/>
          <w:sz w:val="26"/>
          <w:szCs w:val="26"/>
          <w:highlight w:val="none"/>
        </w:rPr>
        <w:t>六、 授予合同</w:t>
      </w:r>
      <w:bookmarkEnd w:id="22"/>
      <w:bookmarkEnd w:id="23"/>
    </w:p>
    <w:p w14:paraId="7E37C07E">
      <w:pPr>
        <w:pageBreakBefore w:val="0"/>
        <w:kinsoku/>
        <w:wordWrap w:val="0"/>
        <w:topLinePunct w:val="0"/>
        <w:bidi w:val="0"/>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1、中标通知书</w:t>
      </w:r>
    </w:p>
    <w:p w14:paraId="0AF9510D">
      <w:pPr>
        <w:pageBreakBefore w:val="0"/>
        <w:kinsoku/>
        <w:wordWrap w:val="0"/>
        <w:topLinePunct w:val="0"/>
        <w:bidi w:val="0"/>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1.1中标人确定后，招标人将向中标人发出中标通知书。 </w:t>
      </w:r>
    </w:p>
    <w:p w14:paraId="529906B1">
      <w:pPr>
        <w:pageBreakBefore w:val="0"/>
        <w:kinsoku/>
        <w:wordWrap w:val="0"/>
        <w:topLinePunct w:val="0"/>
        <w:bidi w:val="0"/>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1.2中标通知书是合同的一个组成部分,对招标人和中标人均具有同等法律效力。</w:t>
      </w:r>
    </w:p>
    <w:p w14:paraId="78B930EB">
      <w:pPr>
        <w:pageBreakBefore w:val="0"/>
        <w:kinsoku/>
        <w:wordWrap w:val="0"/>
        <w:topLinePunct w:val="0"/>
        <w:bidi w:val="0"/>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2、授标时更改采购货物数量的权力</w:t>
      </w:r>
    </w:p>
    <w:p w14:paraId="7D3C8DFF">
      <w:pPr>
        <w:pageBreakBefore w:val="0"/>
        <w:kinsoku/>
        <w:wordWrap w:val="0"/>
        <w:topLinePunct w:val="0"/>
        <w:bidi w:val="0"/>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2.1招标人在授予合同时有权对采购货物的数量和服务在一定幅度范围内予以增加或减少,但不得对单价和其他的条款和条件作任何改变。</w:t>
      </w:r>
    </w:p>
    <w:p w14:paraId="54F1EAF1">
      <w:pPr>
        <w:pageBreakBefore w:val="0"/>
        <w:kinsoku/>
        <w:wordWrap w:val="0"/>
        <w:topLinePunct w:val="0"/>
        <w:bidi w:val="0"/>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3、签订合同</w:t>
      </w:r>
    </w:p>
    <w:p w14:paraId="5C32BE30">
      <w:pPr>
        <w:pageBreakBefore w:val="0"/>
        <w:kinsoku/>
        <w:wordWrap w:val="0"/>
        <w:topLinePunct w:val="0"/>
        <w:bidi w:val="0"/>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3.1中标人应按中标通知书规定的时间、地点与招标人签订合同。</w:t>
      </w:r>
    </w:p>
    <w:p w14:paraId="5EB7CD43">
      <w:pPr>
        <w:pageBreakBefore w:val="0"/>
        <w:kinsoku/>
        <w:wordWrap w:val="0"/>
        <w:topLinePunct w:val="0"/>
        <w:bidi w:val="0"/>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3.2</w:t>
      </w:r>
      <w:r>
        <w:rPr>
          <w:rFonts w:hint="eastAsia" w:ascii="宋体" w:hAnsi="宋体" w:eastAsia="宋体" w:cs="宋体"/>
          <w:b w:val="0"/>
          <w:bCs/>
          <w:color w:val="auto"/>
          <w:spacing w:val="6"/>
          <w:sz w:val="22"/>
          <w:szCs w:val="22"/>
          <w:highlight w:val="none"/>
        </w:rPr>
        <w:t>在签订合同前，招标人有权在中标总价不变的前提下要求中标人对商务报价中的不平衡报价和缺漏项进行调整，如果中标人无合理理由拒绝调整，其中投标资格将被取消，保证金将不予退还，且将导致其它进一步的赔偿和处罚。</w:t>
      </w:r>
    </w:p>
    <w:p w14:paraId="5AE49A6B">
      <w:pPr>
        <w:pageBreakBefore w:val="0"/>
        <w:kinsoku/>
        <w:wordWrap w:val="0"/>
        <w:topLinePunct w:val="0"/>
        <w:bidi w:val="0"/>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3.3招标文件、中标人的投标文件、投标修改文件、评标过程中有关澄清文件及经投标人和评委双方签字的询标纪要和中标通知书均作为合同附件。</w:t>
      </w:r>
    </w:p>
    <w:p w14:paraId="7850B2DD">
      <w:pPr>
        <w:pageBreakBefore w:val="0"/>
        <w:kinsoku/>
        <w:wordWrap w:val="0"/>
        <w:topLinePunct w:val="0"/>
        <w:bidi w:val="0"/>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3.4拒签合同的违约责任</w:t>
      </w:r>
    </w:p>
    <w:p w14:paraId="0DB508BF">
      <w:pPr>
        <w:pageBreakBefore w:val="0"/>
        <w:kinsoku/>
        <w:wordWrap w:val="0"/>
        <w:topLinePunct w:val="0"/>
        <w:bidi w:val="0"/>
        <w:spacing w:line="460" w:lineRule="exact"/>
        <w:ind w:firstLine="568" w:firstLineChars="245"/>
        <w:rPr>
          <w:rFonts w:hint="eastAsia" w:ascii="宋体" w:hAnsi="宋体" w:eastAsia="宋体" w:cs="宋体"/>
          <w:b w:val="0"/>
          <w:bCs/>
          <w:color w:val="auto"/>
          <w:spacing w:val="6"/>
          <w:sz w:val="22"/>
          <w:szCs w:val="22"/>
          <w:highlight w:val="none"/>
        </w:rPr>
      </w:pPr>
      <w:r>
        <w:rPr>
          <w:rFonts w:hint="eastAsia" w:ascii="宋体" w:hAnsi="宋体" w:eastAsia="宋体" w:cs="宋体"/>
          <w:b w:val="0"/>
          <w:bCs/>
          <w:color w:val="auto"/>
          <w:spacing w:val="6"/>
          <w:sz w:val="22"/>
          <w:szCs w:val="22"/>
          <w:highlight w:val="none"/>
        </w:rPr>
        <w:t>中标人接到中标通知书后，在规定时间内借故否认已经承诺的条件而拒签合同的，以违约处理。</w:t>
      </w:r>
    </w:p>
    <w:p w14:paraId="4B66BA69">
      <w:pPr>
        <w:pageBreakBefore w:val="0"/>
        <w:kinsoku/>
        <w:wordWrap w:val="0"/>
        <w:topLinePunct w:val="0"/>
        <w:bidi w:val="0"/>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、质疑与投诉</w:t>
      </w:r>
    </w:p>
    <w:p w14:paraId="0EDD4C7F">
      <w:pPr>
        <w:pageBreakBefore w:val="0"/>
        <w:kinsoku/>
        <w:wordWrap w:val="0"/>
        <w:topLinePunct w:val="0"/>
        <w:bidi w:val="0"/>
        <w:spacing w:line="460" w:lineRule="exact"/>
        <w:ind w:firstLine="568" w:firstLineChars="245"/>
        <w:rPr>
          <w:rFonts w:hint="default" w:ascii="宋体" w:hAnsi="宋体" w:cs="宋体"/>
          <w:b w:val="0"/>
          <w:bCs/>
          <w:color w:val="auto"/>
          <w:sz w:val="22"/>
          <w:highlight w:val="none"/>
          <w:lang w:val="en-US" w:eastAsia="zh-CN"/>
        </w:rPr>
      </w:pPr>
      <w:r>
        <w:rPr>
          <w:rFonts w:hint="eastAsia" w:ascii="宋体" w:hAnsi="宋体" w:eastAsia="宋体" w:cs="宋体"/>
          <w:b w:val="0"/>
          <w:bCs/>
          <w:color w:val="auto"/>
          <w:spacing w:val="6"/>
          <w:sz w:val="22"/>
          <w:szCs w:val="22"/>
          <w:highlight w:val="none"/>
          <w:lang w:val="en-US" w:eastAsia="zh-CN"/>
        </w:rPr>
        <w:t>4</w:t>
      </w:r>
      <w:r>
        <w:rPr>
          <w:rFonts w:hint="eastAsia" w:ascii="宋体" w:hAnsi="宋体" w:eastAsia="宋体" w:cs="宋体"/>
          <w:b w:val="0"/>
          <w:bCs/>
          <w:color w:val="auto"/>
          <w:spacing w:val="6"/>
          <w:sz w:val="22"/>
          <w:szCs w:val="22"/>
          <w:highlight w:val="none"/>
        </w:rPr>
        <w:t>.1</w:t>
      </w:r>
      <w:r>
        <w:rPr>
          <w:rFonts w:hint="eastAsia" w:ascii="宋体" w:hAnsi="宋体" w:cs="宋体"/>
          <w:b/>
          <w:bCs w:val="0"/>
          <w:color w:val="auto"/>
          <w:sz w:val="22"/>
          <w:highlight w:val="none"/>
          <w:lang w:val="en-US" w:eastAsia="zh-CN"/>
        </w:rPr>
        <w:t>特别提醒：</w:t>
      </w:r>
      <w:r>
        <w:rPr>
          <w:rFonts w:hint="eastAsia" w:ascii="宋体" w:hAnsi="宋体" w:eastAsia="宋体" w:cs="宋体"/>
          <w:color w:val="auto"/>
          <w:sz w:val="22"/>
          <w:highlight w:val="none"/>
          <w:lang w:val="en-US" w:eastAsia="zh-CN"/>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w:t>
      </w:r>
      <w:r>
        <w:rPr>
          <w:rFonts w:hint="eastAsia" w:ascii="宋体" w:hAnsi="宋体" w:cs="宋体"/>
          <w:bCs/>
          <w:color w:val="auto"/>
          <w:sz w:val="22"/>
          <w:highlight w:val="none"/>
          <w:lang w:eastAsia="zh-CN"/>
        </w:rPr>
        <w:t>，</w:t>
      </w:r>
      <w:r>
        <w:rPr>
          <w:rFonts w:hint="eastAsia" w:ascii="宋体" w:hAnsi="宋体" w:cs="宋体"/>
          <w:b w:val="0"/>
          <w:bCs/>
          <w:color w:val="auto"/>
          <w:sz w:val="22"/>
          <w:highlight w:val="none"/>
          <w:lang w:val="en-US" w:eastAsia="zh-CN"/>
        </w:rPr>
        <w:t>供应商在法定质疑期内应一次性提出针对同一采购程序环节的质疑，</w:t>
      </w:r>
      <w:r>
        <w:rPr>
          <w:rFonts w:hint="eastAsia" w:ascii="宋体" w:hAnsi="宋体" w:cs="宋体"/>
          <w:bCs/>
          <w:color w:val="auto"/>
          <w:sz w:val="22"/>
          <w:highlight w:val="none"/>
          <w:lang w:val="en-US" w:eastAsia="zh-CN"/>
        </w:rPr>
        <w:t>否则</w:t>
      </w:r>
      <w:r>
        <w:rPr>
          <w:rFonts w:hint="eastAsia" w:ascii="新宋体" w:hAnsi="新宋体" w:eastAsia="新宋体" w:cs="新宋体"/>
          <w:color w:val="auto"/>
          <w:sz w:val="22"/>
          <w:szCs w:val="22"/>
          <w:highlight w:val="none"/>
        </w:rPr>
        <w:t>不予受理、答复</w:t>
      </w:r>
      <w:r>
        <w:rPr>
          <w:rFonts w:hint="eastAsia" w:ascii="宋体" w:hAnsi="宋体" w:cs="宋体"/>
          <w:bCs/>
          <w:color w:val="auto"/>
          <w:sz w:val="22"/>
          <w:highlight w:val="none"/>
          <w:lang w:val="en-US" w:eastAsia="zh-CN"/>
        </w:rPr>
        <w:t>。</w:t>
      </w:r>
    </w:p>
    <w:p w14:paraId="27AC67FD">
      <w:pPr>
        <w:pageBreakBefore w:val="0"/>
        <w:kinsoku/>
        <w:wordWrap w:val="0"/>
        <w:topLinePunct w:val="0"/>
        <w:bidi w:val="0"/>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14:paraId="2FCB06C9">
      <w:pPr>
        <w:pageBreakBefore w:val="0"/>
        <w:kinsoku/>
        <w:wordWrap w:val="0"/>
        <w:topLinePunct w:val="0"/>
        <w:bidi w:val="0"/>
        <w:spacing w:line="460" w:lineRule="exact"/>
        <w:ind w:firstLine="539" w:firstLineChars="245"/>
        <w:rPr>
          <w:rFonts w:hint="eastAsia" w:ascii="宋体" w:hAnsi="宋体" w:eastAsia="宋体" w:cs="宋体"/>
          <w:b w:val="0"/>
          <w:bCs/>
          <w:color w:val="auto"/>
          <w:sz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.3投诉人投诉时，应提交投诉书，投诉书应当由本人并由法定代表人签字盖公章，投诉书应说明具体的投诉事项及事实依据。投诉人对投诉书的真实性负责，恶意投诉将承当相应的法律和民事责任。</w:t>
      </w:r>
    </w:p>
    <w:p w14:paraId="2C307089">
      <w:pPr>
        <w:pageBreakBefore w:val="0"/>
        <w:kinsoku/>
        <w:wordWrap w:val="0"/>
        <w:topLinePunct w:val="0"/>
        <w:bidi w:val="0"/>
        <w:rPr>
          <w:rFonts w:hint="eastAsia" w:ascii="宋体" w:hAnsi="宋体" w:eastAsia="宋体" w:cs="宋体"/>
          <w:color w:val="auto"/>
          <w:highlight w:val="none"/>
        </w:rPr>
      </w:pPr>
      <w:bookmarkStart w:id="24" w:name="_Toc28194"/>
      <w:bookmarkStart w:id="25" w:name="_Toc19043"/>
    </w:p>
    <w:p w14:paraId="0D8FC53D">
      <w:pPr>
        <w:pageBreakBefore w:val="0"/>
        <w:kinsoku/>
        <w:wordWrap w:val="0"/>
        <w:topLinePunct w:val="0"/>
        <w:bidi w:val="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D899B09">
      <w:pPr>
        <w:pStyle w:val="3"/>
        <w:pageBreakBefore w:val="0"/>
        <w:kinsoku/>
        <w:wordWrap w:val="0"/>
        <w:topLinePunct w:val="0"/>
        <w:bidi w:val="0"/>
        <w:rPr>
          <w:rFonts w:hint="eastAsia" w:ascii="宋体" w:hAnsi="宋体" w:eastAsia="宋体" w:cs="宋体"/>
          <w:color w:val="auto"/>
          <w:highlight w:val="none"/>
        </w:rPr>
      </w:pPr>
      <w:r>
        <w:rPr>
          <w:rFonts w:hint="eastAsia" w:ascii="宋体" w:hAnsi="宋体" w:eastAsia="宋体" w:cs="宋体"/>
          <w:color w:val="auto"/>
          <w:highlight w:val="none"/>
        </w:rPr>
        <w:t>第二部分    合同主要条款</w:t>
      </w:r>
      <w:bookmarkEnd w:id="24"/>
      <w:bookmarkEnd w:id="25"/>
    </w:p>
    <w:p w14:paraId="5FFD4006">
      <w:pPr>
        <w:pStyle w:val="31"/>
        <w:keepNext w:val="0"/>
        <w:keepLines w:val="0"/>
        <w:pageBreakBefore w:val="0"/>
        <w:kinsoku/>
        <w:wordWrap/>
        <w:topLinePunct w:val="0"/>
        <w:bidi w:val="0"/>
        <w:spacing w:line="460" w:lineRule="exact"/>
        <w:jc w:val="left"/>
        <w:rPr>
          <w:rFonts w:hint="eastAsia" w:ascii="宋体" w:hAnsi="宋体" w:eastAsia="宋体" w:cs="宋体"/>
          <w:b w:val="0"/>
          <w:color w:val="auto"/>
          <w:sz w:val="22"/>
          <w:highlight w:val="none"/>
        </w:rPr>
      </w:pPr>
      <w:r>
        <w:rPr>
          <w:rFonts w:hint="eastAsia" w:ascii="宋体" w:hAnsi="宋体" w:eastAsia="宋体" w:cs="宋体"/>
          <w:b w:val="0"/>
          <w:color w:val="auto"/>
          <w:sz w:val="22"/>
          <w:highlight w:val="none"/>
        </w:rPr>
        <w:t>编号  ：</w:t>
      </w:r>
    </w:p>
    <w:p w14:paraId="3DDDF186">
      <w:pPr>
        <w:keepNext w:val="0"/>
        <w:keepLines w:val="0"/>
        <w:pageBreakBefore w:val="0"/>
        <w:kinsoku/>
        <w:wordWrap/>
        <w:topLinePunct w:val="0"/>
        <w:bidi w:val="0"/>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注：如买、卖双方同意，合同格式也可以按照其他形式, 具体条款以买方为主协商确定。但合同条款的基本内容应与以下要求的内容相一致。</w:t>
      </w:r>
    </w:p>
    <w:p w14:paraId="147164E9">
      <w:pPr>
        <w:keepNext w:val="0"/>
        <w:keepLines w:val="0"/>
        <w:pageBreakBefore w:val="0"/>
        <w:kinsoku/>
        <w:wordWrap/>
        <w:topLinePunct w:val="0"/>
        <w:bidi w:val="0"/>
        <w:spacing w:line="460" w:lineRule="exact"/>
        <w:ind w:firstLine="442" w:firstLineChars="200"/>
        <w:rPr>
          <w:rFonts w:hint="eastAsia" w:ascii="宋体" w:hAnsi="宋体" w:eastAsia="宋体" w:cs="宋体"/>
          <w:b/>
          <w:color w:val="auto"/>
          <w:sz w:val="22"/>
          <w:szCs w:val="22"/>
          <w:highlight w:val="none"/>
        </w:rPr>
      </w:pPr>
    </w:p>
    <w:p w14:paraId="115FA196">
      <w:pPr>
        <w:keepNext w:val="0"/>
        <w:keepLines w:val="0"/>
        <w:pageBreakBefore w:val="0"/>
        <w:kinsoku/>
        <w:wordWrap/>
        <w:topLinePunct w:val="0"/>
        <w:bidi w:val="0"/>
        <w:spacing w:line="460" w:lineRule="exact"/>
        <w:ind w:firstLine="602" w:firstLineChars="200"/>
        <w:jc w:val="center"/>
        <w:rPr>
          <w:rFonts w:hint="eastAsia" w:ascii="宋体" w:hAnsi="宋体" w:eastAsia="宋体" w:cs="宋体"/>
          <w:b/>
          <w:color w:val="auto"/>
          <w:sz w:val="30"/>
          <w:szCs w:val="22"/>
          <w:highlight w:val="none"/>
        </w:rPr>
      </w:pPr>
      <w:r>
        <w:rPr>
          <w:rFonts w:hint="eastAsia" w:ascii="宋体" w:hAnsi="宋体" w:eastAsia="宋体" w:cs="宋体"/>
          <w:b/>
          <w:color w:val="auto"/>
          <w:sz w:val="30"/>
          <w:szCs w:val="22"/>
          <w:highlight w:val="none"/>
        </w:rPr>
        <w:t>一、合同主要条款</w:t>
      </w:r>
    </w:p>
    <w:p w14:paraId="481D5488">
      <w:pPr>
        <w:keepNext w:val="0"/>
        <w:keepLines w:val="0"/>
        <w:pageBreakBefore w:val="0"/>
        <w:kinsoku/>
        <w:wordWrap/>
        <w:topLinePunct w:val="0"/>
        <w:bidi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    定义：</w:t>
      </w:r>
    </w:p>
    <w:p w14:paraId="71305564">
      <w:pPr>
        <w:keepNext w:val="0"/>
        <w:keepLines w:val="0"/>
        <w:pageBreakBefore w:val="0"/>
        <w:kinsoku/>
        <w:wordWrap/>
        <w:topLinePunct w:val="0"/>
        <w:bidi w:val="0"/>
        <w:spacing w:line="460" w:lineRule="exact"/>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本合同下列述语应解释为：</w:t>
      </w:r>
    </w:p>
    <w:p w14:paraId="35A15A24">
      <w:pPr>
        <w:keepNext w:val="0"/>
        <w:keepLines w:val="0"/>
        <w:pageBreakBefore w:val="0"/>
        <w:kinsoku/>
        <w:wordWrap/>
        <w:topLinePunct w:val="0"/>
        <w:bidi w:val="0"/>
        <w:spacing w:line="460" w:lineRule="exact"/>
        <w:ind w:left="660" w:hanging="660" w:hanging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  “合同”系指买卖双方签署的，合同格式中载明的买卖双方所达成的协议，包括所有的附件和构成合同的其它文件。</w:t>
      </w:r>
    </w:p>
    <w:p w14:paraId="5762E8AE">
      <w:pPr>
        <w:keepNext w:val="0"/>
        <w:keepLines w:val="0"/>
        <w:pageBreakBefore w:val="0"/>
        <w:kinsoku/>
        <w:wordWrap/>
        <w:topLinePunct w:val="0"/>
        <w:bidi w:val="0"/>
        <w:spacing w:line="460" w:lineRule="exact"/>
        <w:ind w:left="663" w:hanging="663" w:hangingChars="300"/>
        <w:rPr>
          <w:rFonts w:hint="eastAsia" w:ascii="宋体" w:hAnsi="宋体" w:eastAsia="宋体" w:cs="宋体"/>
          <w:bCs/>
          <w:color w:val="auto"/>
          <w:sz w:val="22"/>
          <w:szCs w:val="22"/>
          <w:highlight w:val="none"/>
        </w:rPr>
      </w:pPr>
      <w:r>
        <w:rPr>
          <w:rFonts w:hint="eastAsia" w:ascii="宋体" w:hAnsi="宋体" w:eastAsia="宋体" w:cs="宋体"/>
          <w:b/>
          <w:bCs/>
          <w:color w:val="auto"/>
          <w:sz w:val="22"/>
          <w:szCs w:val="22"/>
          <w:highlight w:val="none"/>
        </w:rPr>
        <w:t xml:space="preserve">1.2  </w:t>
      </w:r>
      <w:r>
        <w:rPr>
          <w:rFonts w:hint="eastAsia" w:ascii="宋体" w:hAnsi="宋体" w:eastAsia="宋体" w:cs="宋体"/>
          <w:bCs/>
          <w:color w:val="auto"/>
          <w:sz w:val="22"/>
          <w:szCs w:val="22"/>
          <w:highlight w:val="none"/>
        </w:rPr>
        <w:t>“合同价”是指根据本合同规定，卖方在正确地完全履行合同义务后买方应支付给卖方的价款（到校价）。即：</w:t>
      </w:r>
      <w:r>
        <w:rPr>
          <w:rFonts w:hint="eastAsia" w:ascii="宋体" w:hAnsi="宋体" w:eastAsia="宋体" w:cs="宋体"/>
          <w:color w:val="auto"/>
          <w:sz w:val="22"/>
          <w:szCs w:val="22"/>
          <w:highlight w:val="none"/>
        </w:rPr>
        <w:t>图书、随书附件（光盘、软件等）、至最终目的地的运费和保险费、验收（含第三方）、售后服务、质保期保障、税金、利润等完成合同所需的一切本身和不可或缺的所有工作开支、政策性文件规定及合同包含的所有风险、责任等各项全部费用。</w:t>
      </w:r>
    </w:p>
    <w:p w14:paraId="085AE46F">
      <w:pPr>
        <w:keepNext w:val="0"/>
        <w:keepLines w:val="0"/>
        <w:pageBreakBefore w:val="0"/>
        <w:kinsoku/>
        <w:wordWrap/>
        <w:topLinePunct w:val="0"/>
        <w:bidi w:val="0"/>
        <w:spacing w:line="460" w:lineRule="exact"/>
        <w:ind w:left="660" w:hanging="660" w:hanging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  “货物”是指根据合同规定须向买方提供的本次招标买方所需物品。</w:t>
      </w:r>
    </w:p>
    <w:p w14:paraId="68A1D64C">
      <w:pPr>
        <w:keepNext w:val="0"/>
        <w:keepLines w:val="0"/>
        <w:pageBreakBefore w:val="0"/>
        <w:kinsoku/>
        <w:wordWrap/>
        <w:topLinePunct w:val="0"/>
        <w:bidi w:val="0"/>
        <w:spacing w:line="460" w:lineRule="exact"/>
        <w:ind w:left="660" w:hanging="660" w:hanging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  “服务”是指根据合同规定卖方承担与供货有关的辅助服务，如运输、保险以及其它的伴随服务和合同中规定卖方应承担的其它义务。</w:t>
      </w:r>
    </w:p>
    <w:p w14:paraId="1CD3426E">
      <w:pPr>
        <w:keepNext w:val="0"/>
        <w:keepLines w:val="0"/>
        <w:pageBreakBefore w:val="0"/>
        <w:kinsoku/>
        <w:wordWrap/>
        <w:topLinePunct w:val="0"/>
        <w:bidi w:val="0"/>
        <w:spacing w:line="460" w:lineRule="exact"/>
        <w:ind w:left="440" w:hanging="440" w:hanging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   “现场”是指合同项下货物将要运输的指定地点。</w:t>
      </w:r>
    </w:p>
    <w:p w14:paraId="31A2EC76">
      <w:pPr>
        <w:keepNext w:val="0"/>
        <w:keepLines w:val="0"/>
        <w:pageBreakBefore w:val="0"/>
        <w:kinsoku/>
        <w:wordWrap/>
        <w:topLinePunct w:val="0"/>
        <w:bidi w:val="0"/>
        <w:spacing w:line="460" w:lineRule="exact"/>
        <w:ind w:left="660" w:hanging="660" w:hanging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   “验收”是指合同双方依据规定的程序和条件确认合同项下的货物符合技术规范的要求。</w:t>
      </w:r>
    </w:p>
    <w:p w14:paraId="0CF5C866">
      <w:pPr>
        <w:keepNext w:val="0"/>
        <w:keepLines w:val="0"/>
        <w:pageBreakBefore w:val="0"/>
        <w:kinsoku/>
        <w:wordWrap/>
        <w:topLinePunct w:val="0"/>
        <w:bidi w:val="0"/>
        <w:spacing w:before="120" w:beforeLines="50" w:after="120" w:afterLines="50" w:line="460" w:lineRule="exact"/>
        <w:ind w:left="660" w:hanging="660" w:hanging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   “图书采到率（到书率）”计算公式 = （1–</w:t>
      </w:r>
      <w:r>
        <w:rPr>
          <w:rFonts w:hint="eastAsia" w:ascii="宋体" w:hAnsi="宋体" w:eastAsia="宋体" w:cs="宋体"/>
          <w:color w:val="auto"/>
          <w:position w:val="-26"/>
          <w:sz w:val="16"/>
          <w:szCs w:val="16"/>
          <w:highlight w:val="none"/>
        </w:rPr>
        <w:object>
          <v:shape id="_x0000_i1025" o:spt="75" type="#_x0000_t75" style="height:36pt;width:122.25pt;" o:ole="t" filled="f" o:preferrelative="t" stroked="f" coordsize="21600,21600">
            <v:path/>
            <v:fill on="f" focussize="0,0"/>
            <v:stroke on="f"/>
            <v:imagedata r:id="rId9" o:title=""/>
            <o:lock v:ext="edit" aspectratio="t"/>
            <w10:wrap type="none"/>
            <w10:anchorlock/>
          </v:shape>
          <o:OLEObject Type="Embed" ProgID="Equation.3" ShapeID="_x0000_i1025" DrawAspect="Content" ObjectID="_1468075725" r:id="rId8">
            <o:LockedField>false</o:LockedField>
          </o:OLEObject>
        </w:object>
      </w:r>
      <w:r>
        <w:rPr>
          <w:rFonts w:hint="eastAsia" w:ascii="宋体" w:hAnsi="宋体" w:eastAsia="宋体" w:cs="宋体"/>
          <w:color w:val="auto"/>
          <w:sz w:val="22"/>
          <w:szCs w:val="22"/>
          <w:highlight w:val="none"/>
        </w:rPr>
        <w:t>）×100 %；</w:t>
      </w:r>
    </w:p>
    <w:p w14:paraId="1F4DEF86">
      <w:pPr>
        <w:keepNext w:val="0"/>
        <w:keepLines w:val="0"/>
        <w:pageBreakBefore w:val="0"/>
        <w:kinsoku/>
        <w:wordWrap/>
        <w:topLinePunct w:val="0"/>
        <w:bidi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    标准</w:t>
      </w:r>
    </w:p>
    <w:p w14:paraId="3FAD76AF">
      <w:pPr>
        <w:keepNext w:val="0"/>
        <w:keepLines w:val="0"/>
        <w:pageBreakBefore w:val="0"/>
        <w:kinsoku/>
        <w:wordWrap/>
        <w:topLinePunct w:val="0"/>
        <w:bidi w:val="0"/>
        <w:spacing w:line="460" w:lineRule="exact"/>
        <w:ind w:left="719" w:hanging="719" w:hangingChars="3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   本合同项下交付的货物应符合技术规格所述的标准。如在招标文件中无相应说明，则以国家颁布的最新版本标准或行业（部）标准或相应的国际标准执行，没有国家或行业（部）标准的则按企业标准执行。</w:t>
      </w:r>
    </w:p>
    <w:p w14:paraId="0ECFC26F">
      <w:pPr>
        <w:keepNext w:val="0"/>
        <w:keepLines w:val="0"/>
        <w:pageBreakBefore w:val="0"/>
        <w:kinsoku/>
        <w:wordWrap/>
        <w:topLinePunct w:val="0"/>
        <w:bidi w:val="0"/>
        <w:spacing w:line="460" w:lineRule="exact"/>
        <w:ind w:left="660" w:hanging="660" w:hanging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   除非技术规格中另有规定，计量单位均采用中华人民共和国法定计量单位。</w:t>
      </w:r>
    </w:p>
    <w:p w14:paraId="6AE6CF86">
      <w:pPr>
        <w:keepNext w:val="0"/>
        <w:keepLines w:val="0"/>
        <w:pageBreakBefore w:val="0"/>
        <w:kinsoku/>
        <w:wordWrap/>
        <w:topLinePunct w:val="0"/>
        <w:bidi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    专利权与知识产权</w:t>
      </w:r>
    </w:p>
    <w:p w14:paraId="5262E72E">
      <w:pPr>
        <w:keepNext w:val="0"/>
        <w:keepLines w:val="0"/>
        <w:pageBreakBefore w:val="0"/>
        <w:kinsoku/>
        <w:wordWrap/>
        <w:topLinePunct w:val="0"/>
        <w:bidi w:val="0"/>
        <w:spacing w:line="460" w:lineRule="exact"/>
        <w:ind w:left="623" w:hanging="622" w:hangingChars="28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   卖方应保证，买方在使用该货物或货物的任何一部分时，免受第三方提出的侵犯其专利权、商标权、著作权或其它知识产权的起诉。卖方应承担由此可能产生的一切法律责任和费用。</w:t>
      </w:r>
    </w:p>
    <w:p w14:paraId="17024528">
      <w:pPr>
        <w:keepNext w:val="0"/>
        <w:keepLines w:val="0"/>
        <w:pageBreakBefore w:val="0"/>
        <w:kinsoku/>
        <w:wordWrap/>
        <w:topLinePunct w:val="0"/>
        <w:bidi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   包装要求</w:t>
      </w:r>
    </w:p>
    <w:p w14:paraId="546FEB67">
      <w:pPr>
        <w:keepNext w:val="0"/>
        <w:keepLines w:val="0"/>
        <w:pageBreakBefore w:val="0"/>
        <w:kinsoku/>
        <w:wordWrap/>
        <w:topLinePunct w:val="0"/>
        <w:bidi w:val="0"/>
        <w:spacing w:line="460" w:lineRule="exact"/>
        <w:ind w:left="660" w:hanging="660" w:hanging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4.1   </w:t>
      </w:r>
      <w:r>
        <w:rPr>
          <w:rFonts w:hint="eastAsia" w:ascii="宋体" w:hAnsi="宋体" w:eastAsia="宋体" w:cs="宋体"/>
          <w:color w:val="auto"/>
          <w:spacing w:val="-2"/>
          <w:sz w:val="22"/>
          <w:szCs w:val="22"/>
          <w:highlight w:val="none"/>
        </w:rPr>
        <w:t>除合同另有规定外，卖方应提供货物运至合同规定的最终目的地所需要的包装，以防止货物在转运中损坏或变质。这类包装应采取防霉、防潮、防晒、防腐蚀、防震动及防止其他损坏的必要保护措施，从而保护货物能够经受多次搬运、装卸储存等并充分考虑到运输途中的各种复杂情况（例如恶劣天气）和地区气候特点、以及露天存放问题。卖方应承担由于其包装或其防护措施不妥而引起货物破损和丢失的任何损失的责任或费用。</w:t>
      </w:r>
    </w:p>
    <w:p w14:paraId="24F4475B">
      <w:pPr>
        <w:keepNext w:val="0"/>
        <w:keepLines w:val="0"/>
        <w:pageBreakBefore w:val="0"/>
        <w:kinsoku/>
        <w:wordWrap/>
        <w:topLinePunct w:val="0"/>
        <w:bidi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    装运标记</w:t>
      </w:r>
    </w:p>
    <w:p w14:paraId="2A40737B">
      <w:pPr>
        <w:keepNext w:val="0"/>
        <w:keepLines w:val="0"/>
        <w:pageBreakBefore w:val="0"/>
        <w:kinsoku/>
        <w:wordWrap/>
        <w:topLinePunct w:val="0"/>
        <w:bidi w:val="0"/>
        <w:spacing w:line="460" w:lineRule="exact"/>
        <w:ind w:left="660" w:hanging="660" w:hanging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   根据货物的特点和运输的不同要求，卖方还应清楚地标注“小心轻放”、“防潮”、“此端向上”、“请勿倒置”“保持干燥”等字样和其他国际贸易中使用的适当标志。</w:t>
      </w:r>
    </w:p>
    <w:p w14:paraId="4BC64BDE">
      <w:pPr>
        <w:keepNext w:val="0"/>
        <w:keepLines w:val="0"/>
        <w:pageBreakBefore w:val="0"/>
        <w:kinsoku/>
        <w:wordWrap/>
        <w:topLinePunct w:val="0"/>
        <w:bidi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    交货方式：</w:t>
      </w:r>
    </w:p>
    <w:p w14:paraId="6EF03FA4">
      <w:pPr>
        <w:keepNext w:val="0"/>
        <w:keepLines w:val="0"/>
        <w:pageBreakBefore w:val="0"/>
        <w:kinsoku/>
        <w:wordWrap/>
        <w:topLinePunct w:val="0"/>
        <w:bidi w:val="0"/>
        <w:spacing w:line="460" w:lineRule="exact"/>
        <w:ind w:left="623" w:hanging="622" w:hangingChars="28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   现场交货：卖方负责办理运输和保险，将货物运抵买方指定的现场并落地就位。有关运输和保险的一切费用由卖方承担。所有货物运抵现场的日期为交货日期。</w:t>
      </w:r>
    </w:p>
    <w:p w14:paraId="15CBC9B4">
      <w:pPr>
        <w:keepNext w:val="0"/>
        <w:keepLines w:val="0"/>
        <w:pageBreakBefore w:val="0"/>
        <w:kinsoku/>
        <w:wordWrap/>
        <w:topLinePunct w:val="0"/>
        <w:bidi w:val="0"/>
        <w:spacing w:line="460" w:lineRule="exact"/>
        <w:ind w:left="660" w:hanging="660" w:hanging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   在现场交货条件下，卖方在货物发运前10天，将要发运货物的名称、规格、数量、尺寸、重量和货物的卸车，贮存的特殊要求以及运输工具名称以及启运日期，以传真形式通知买方与所属学校。</w:t>
      </w:r>
    </w:p>
    <w:p w14:paraId="7412ACFE">
      <w:pPr>
        <w:keepNext w:val="0"/>
        <w:keepLines w:val="0"/>
        <w:pageBreakBefore w:val="0"/>
        <w:kinsoku/>
        <w:wordWrap/>
        <w:topLinePunct w:val="0"/>
        <w:bidi w:val="0"/>
        <w:spacing w:line="460" w:lineRule="exact"/>
        <w:ind w:left="660" w:hanging="660" w:hanging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6.3   如因卖方延误将上述内容用传真形式通知买方，由此引起的一切损失应由卖方承担。</w:t>
      </w:r>
    </w:p>
    <w:p w14:paraId="4615D111">
      <w:pPr>
        <w:keepNext w:val="0"/>
        <w:keepLines w:val="0"/>
        <w:pageBreakBefore w:val="0"/>
        <w:kinsoku/>
        <w:wordWrap/>
        <w:topLinePunct w:val="0"/>
        <w:bidi w:val="0"/>
        <w:spacing w:line="460" w:lineRule="exact"/>
        <w:ind w:left="663" w:hanging="663" w:hangingChars="3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6.4   图书加工上架：全部图书到校后，供应商须委派专业人员，按采购人及学校要求对本次采购的图书进行加工上架，包括粘贴条形码、编目、打印书标并贴书标、新书上架等</w:t>
      </w:r>
      <w:r>
        <w:rPr>
          <w:rFonts w:hint="eastAsia" w:ascii="宋体" w:hAnsi="宋体" w:eastAsia="宋体" w:cs="宋体"/>
          <w:b/>
          <w:color w:val="auto"/>
          <w:sz w:val="22"/>
          <w:szCs w:val="22"/>
          <w:highlight w:val="none"/>
          <w:lang w:val="en-US" w:eastAsia="zh-CN"/>
        </w:rPr>
        <w:t>等</w:t>
      </w:r>
      <w:r>
        <w:rPr>
          <w:rFonts w:hint="eastAsia" w:ascii="宋体" w:hAnsi="宋体" w:eastAsia="宋体" w:cs="宋体"/>
          <w:b/>
          <w:color w:val="auto"/>
          <w:sz w:val="22"/>
          <w:szCs w:val="22"/>
          <w:highlight w:val="none"/>
        </w:rPr>
        <w:t>全部加工工序，此笔费用（所有材料与人工）由供货商负责，包含在投标报价中。</w:t>
      </w:r>
    </w:p>
    <w:p w14:paraId="0A0E4E73">
      <w:pPr>
        <w:keepNext w:val="0"/>
        <w:keepLines w:val="0"/>
        <w:pageBreakBefore w:val="0"/>
        <w:kinsoku/>
        <w:wordWrap/>
        <w:topLinePunct w:val="0"/>
        <w:bidi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    付款方式</w:t>
      </w:r>
    </w:p>
    <w:p w14:paraId="5C9EFD67">
      <w:pPr>
        <w:keepNext w:val="0"/>
        <w:keepLines w:val="0"/>
        <w:pageBreakBefore w:val="0"/>
        <w:kinsoku/>
        <w:wordWrap/>
        <w:topLinePunct w:val="0"/>
        <w:bidi w:val="0"/>
        <w:spacing w:line="460" w:lineRule="exact"/>
        <w:ind w:left="660" w:hanging="660" w:hangingChars="30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 xml:space="preserve">      详见合同特殊条款</w:t>
      </w:r>
    </w:p>
    <w:p w14:paraId="7CFF8993">
      <w:pPr>
        <w:keepNext w:val="0"/>
        <w:keepLines w:val="0"/>
        <w:pageBreakBefore w:val="0"/>
        <w:kinsoku/>
        <w:wordWrap/>
        <w:topLinePunct w:val="0"/>
        <w:bidi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    技术文件和资料</w:t>
      </w:r>
    </w:p>
    <w:p w14:paraId="6996F551">
      <w:pPr>
        <w:keepNext w:val="0"/>
        <w:keepLines w:val="0"/>
        <w:pageBreakBefore w:val="0"/>
        <w:kinsoku/>
        <w:wordWrap/>
        <w:topLinePunct w:val="0"/>
        <w:bidi w:val="0"/>
        <w:spacing w:line="460" w:lineRule="exact"/>
        <w:ind w:left="660" w:hanging="660" w:hangingChars="3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8.1   提供技术文件和资料的种类和数量在本招标文件《采购内容及要求》中规定，双方可根据招标要求和需要订立具体的技术文件和资料交付时间和数量。</w:t>
      </w:r>
    </w:p>
    <w:p w14:paraId="4AC36B59">
      <w:pPr>
        <w:keepNext w:val="0"/>
        <w:keepLines w:val="0"/>
        <w:pageBreakBefore w:val="0"/>
        <w:kinsoku/>
        <w:wordWrap/>
        <w:topLinePunct w:val="0"/>
        <w:bidi w:val="0"/>
        <w:spacing w:line="460" w:lineRule="exact"/>
        <w:ind w:left="660" w:hanging="660" w:hangingChars="3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8.2   如果买方确认卖方提供的技术文件和资料不完整，或在运输途中丢失，卖方应在收到买方通知后3天内将这些文件、资料补齐。否则买方有权扣除合同款。</w:t>
      </w:r>
    </w:p>
    <w:p w14:paraId="21B89A97">
      <w:pPr>
        <w:keepNext w:val="0"/>
        <w:keepLines w:val="0"/>
        <w:pageBreakBefore w:val="0"/>
        <w:kinsoku/>
        <w:wordWrap/>
        <w:topLinePunct w:val="0"/>
        <w:bidi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    质量保证</w:t>
      </w:r>
    </w:p>
    <w:p w14:paraId="797E299B">
      <w:pPr>
        <w:keepNext w:val="0"/>
        <w:keepLines w:val="0"/>
        <w:pageBreakBefore w:val="0"/>
        <w:kinsoku/>
        <w:wordWrap/>
        <w:topLinePunct w:val="0"/>
        <w:bidi w:val="0"/>
        <w:spacing w:line="460" w:lineRule="exact"/>
        <w:ind w:left="660" w:hanging="660" w:hangingChars="3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9.1   卖方所提供的货物应保证是正版的、全新的、未使用过的，是用一流的工艺和最佳纸张制造而成的，并完全符合合同规定的质量、规格要求。在货物质量保证期内，卖方应对由于图书缺陷所产生的任何不足负责。</w:t>
      </w:r>
    </w:p>
    <w:p w14:paraId="506D8A7E">
      <w:pPr>
        <w:keepNext w:val="0"/>
        <w:keepLines w:val="0"/>
        <w:pageBreakBefore w:val="0"/>
        <w:kinsoku/>
        <w:wordWrap/>
        <w:topLinePunct w:val="0"/>
        <w:bidi w:val="0"/>
        <w:spacing w:line="460" w:lineRule="exact"/>
        <w:ind w:left="660" w:hanging="660" w:hangingChars="3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9.2   根据买方按检验标准检验的结果或当地质检部门检验的结果，或者在质量保证期内，如果货物的数量、质量或规格与合同不符，或证实货物是有缺陷的，包括潜在的缺陷或使用不符合要求的内容等，买方应尽快以书面形式通知卖方，提出索赔。卖方在收到通知后，应在规定期限内，更换有缺陷的或不符合要求的货物。</w:t>
      </w:r>
    </w:p>
    <w:p w14:paraId="5072ACBF">
      <w:pPr>
        <w:keepNext w:val="0"/>
        <w:keepLines w:val="0"/>
        <w:pageBreakBefore w:val="0"/>
        <w:kinsoku/>
        <w:wordWrap/>
        <w:topLinePunct w:val="0"/>
        <w:bidi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   履约延误</w:t>
      </w:r>
    </w:p>
    <w:p w14:paraId="48AFD274">
      <w:pPr>
        <w:keepNext w:val="0"/>
        <w:keepLines w:val="0"/>
        <w:pageBreakBefore w:val="0"/>
        <w:kinsoku/>
        <w:wordWrap/>
        <w:topLinePunct w:val="0"/>
        <w:bidi w:val="0"/>
        <w:spacing w:line="460" w:lineRule="exact"/>
        <w:ind w:left="440" w:hanging="440" w:hanging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10.1  卖方应按照合同规定的时间交货和提供服务。</w:t>
      </w:r>
    </w:p>
    <w:p w14:paraId="13205B53">
      <w:pPr>
        <w:keepNext w:val="0"/>
        <w:keepLines w:val="0"/>
        <w:pageBreakBefore w:val="0"/>
        <w:kinsoku/>
        <w:wordWrap/>
        <w:topLinePunct w:val="0"/>
        <w:bidi w:val="0"/>
        <w:spacing w:line="460" w:lineRule="exact"/>
        <w:ind w:left="660" w:hanging="660" w:hanging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10.2  在履行合同过程中，如果卖方遇到妨碍按时交货和提供服务的情况时，应及时以书面形式将延误的事实、可能拖延的时间和原因通知买方。买方在收到卖方通知后，应尽快对情况进行分析评价，并确定是否同意延长交货时间以及是否收取误期赔偿费。延期应通过修改合同的方式由双方认可。</w:t>
      </w:r>
    </w:p>
    <w:p w14:paraId="264EB4A2">
      <w:pPr>
        <w:keepNext w:val="0"/>
        <w:keepLines w:val="0"/>
        <w:pageBreakBefore w:val="0"/>
        <w:kinsoku/>
        <w:wordWrap/>
        <w:topLinePunct w:val="0"/>
        <w:bidi w:val="0"/>
        <w:spacing w:line="460" w:lineRule="exact"/>
        <w:ind w:left="660" w:hanging="660" w:hanging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10.3  除了合同条款中不可抗力的情况外，除买方同意延误并不收赔偿费外，卖方延误交货或提供服务将按合同条款11条规定被收取误期赔偿费。</w:t>
      </w:r>
    </w:p>
    <w:p w14:paraId="2783E2A6">
      <w:pPr>
        <w:keepNext w:val="0"/>
        <w:keepLines w:val="0"/>
        <w:pageBreakBefore w:val="0"/>
        <w:kinsoku/>
        <w:wordWrap/>
        <w:topLinePunct w:val="0"/>
        <w:bidi w:val="0"/>
        <w:spacing w:line="460" w:lineRule="exact"/>
        <w:ind w:left="660" w:hanging="660" w:hanging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10.4  所有提供的货物的交货、运输及验收都应服从买方的统一安排。</w:t>
      </w:r>
    </w:p>
    <w:p w14:paraId="3B55A0C2">
      <w:pPr>
        <w:keepNext w:val="0"/>
        <w:keepLines w:val="0"/>
        <w:pageBreakBefore w:val="0"/>
        <w:kinsoku/>
        <w:wordWrap/>
        <w:topLinePunct w:val="0"/>
        <w:bidi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11.   误期及违约赔偿费</w:t>
      </w:r>
    </w:p>
    <w:p w14:paraId="79BA5CE1">
      <w:pPr>
        <w:keepNext w:val="0"/>
        <w:keepLines w:val="0"/>
        <w:pageBreakBefore w:val="0"/>
        <w:kinsoku/>
        <w:wordWrap/>
        <w:topLinePunct w:val="0"/>
        <w:bidi w:val="0"/>
        <w:spacing w:line="460" w:lineRule="exact"/>
        <w:ind w:left="660" w:hanging="660" w:hanging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11.1  除不可抗力外，如果卖方没有按照合同规定的时间交货和提供服务，买方应在不影响合同项下的其他补救措施的情况下，从合同价款中扣除误期赔偿费。每延误一天的赔偿费按迟交货物交货价或未提供服务的服务费用的百分之零点五（0.5%）计收，直至交货或提供服务为止。误期赔偿费最高限额为合同价的百分之五（5%）。一旦延到误期赔偿费的最高限额，买方可考虑终止合同且不承担违约责任。</w:t>
      </w:r>
    </w:p>
    <w:p w14:paraId="3192E085">
      <w:pPr>
        <w:keepNext w:val="0"/>
        <w:keepLines w:val="0"/>
        <w:pageBreakBefore w:val="0"/>
        <w:kinsoku/>
        <w:wordWrap/>
        <w:topLinePunct w:val="0"/>
        <w:bidi w:val="0"/>
        <w:spacing w:line="460" w:lineRule="exact"/>
        <w:ind w:left="660" w:hanging="660" w:hanging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  本项目卖方须按买方要求供货，具体供货时间由买方指定。最终图书采到率（到书率）达不到供应商承诺与招标文件要求的，买方有权扣罚合同款，并追究卖方违约责任。</w:t>
      </w:r>
    </w:p>
    <w:p w14:paraId="7274B8B2">
      <w:pPr>
        <w:keepNext w:val="0"/>
        <w:keepLines w:val="0"/>
        <w:pageBreakBefore w:val="0"/>
        <w:kinsoku/>
        <w:wordWrap/>
        <w:topLinePunct w:val="0"/>
        <w:bidi w:val="0"/>
        <w:spacing w:line="460" w:lineRule="exact"/>
        <w:ind w:left="660" w:hanging="660" w:hanging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  本项目卖方合同签订后，不能采购到图书的（最终图书到书率不达标部分，承诺到书率﹥最终到书率≥90%），学校有权</w:t>
      </w:r>
      <w:r>
        <w:rPr>
          <w:rFonts w:hint="eastAsia" w:ascii="宋体" w:hAnsi="宋体" w:eastAsia="宋体" w:cs="宋体"/>
          <w:color w:val="auto"/>
          <w:sz w:val="22"/>
          <w:szCs w:val="22"/>
          <w:highlight w:val="none"/>
          <w:lang w:val="en-US" w:eastAsia="zh-CN"/>
        </w:rPr>
        <w:t>另自</w:t>
      </w:r>
      <w:r>
        <w:rPr>
          <w:rFonts w:hint="eastAsia" w:ascii="宋体" w:hAnsi="宋体" w:eastAsia="宋体" w:cs="宋体"/>
          <w:color w:val="auto"/>
          <w:sz w:val="22"/>
          <w:szCs w:val="22"/>
          <w:highlight w:val="none"/>
        </w:rPr>
        <w:t>行采购，</w:t>
      </w:r>
      <w:r>
        <w:rPr>
          <w:rFonts w:hint="eastAsia" w:ascii="宋体" w:hAnsi="宋体" w:eastAsia="宋体" w:cs="宋体"/>
          <w:color w:val="auto"/>
          <w:sz w:val="22"/>
          <w:szCs w:val="22"/>
          <w:highlight w:val="none"/>
          <w:lang w:val="en-US" w:eastAsia="zh-CN"/>
        </w:rPr>
        <w:t>由</w:t>
      </w:r>
      <w:r>
        <w:rPr>
          <w:rFonts w:hint="eastAsia" w:ascii="宋体" w:hAnsi="宋体" w:eastAsia="宋体" w:cs="宋体"/>
          <w:color w:val="auto"/>
          <w:sz w:val="22"/>
          <w:szCs w:val="22"/>
          <w:highlight w:val="none"/>
        </w:rPr>
        <w:t>卖方支付</w:t>
      </w:r>
      <w:r>
        <w:rPr>
          <w:rFonts w:hint="eastAsia" w:ascii="宋体" w:hAnsi="宋体" w:eastAsia="宋体" w:cs="宋体"/>
          <w:color w:val="auto"/>
          <w:sz w:val="22"/>
          <w:szCs w:val="22"/>
          <w:highlight w:val="none"/>
          <w:lang w:val="en-US" w:eastAsia="zh-CN"/>
        </w:rPr>
        <w:t>结算</w:t>
      </w:r>
      <w:r>
        <w:rPr>
          <w:rFonts w:hint="eastAsia" w:ascii="宋体" w:hAnsi="宋体" w:eastAsia="宋体" w:cs="宋体"/>
          <w:color w:val="auto"/>
          <w:sz w:val="22"/>
          <w:szCs w:val="22"/>
          <w:highlight w:val="none"/>
        </w:rPr>
        <w:t>学校自行采购图书的全部码洋</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自行采购的图书码洋等于未供图书的码洋</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p w14:paraId="44F92710">
      <w:pPr>
        <w:pStyle w:val="31"/>
        <w:keepNext w:val="0"/>
        <w:keepLines w:val="0"/>
        <w:pageBreakBefore w:val="0"/>
        <w:kinsoku/>
        <w:wordWrap/>
        <w:topLinePunct w:val="0"/>
        <w:bidi w:val="0"/>
        <w:spacing w:line="460" w:lineRule="exact"/>
        <w:ind w:left="665" w:leftChars="1" w:hanging="663" w:hanging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11.4  本项目卖方合同签订后，不能采购到图书的（最终图书到书率低于90%），买方可以取消、终止合同，同时按30%的合同总额扣罚合同违约金，卖方所有的损失，由卖方自行承担。</w:t>
      </w:r>
    </w:p>
    <w:p w14:paraId="1E7BE64E">
      <w:pPr>
        <w:keepNext w:val="0"/>
        <w:keepLines w:val="0"/>
        <w:pageBreakBefore w:val="0"/>
        <w:kinsoku/>
        <w:wordWrap/>
        <w:topLinePunct w:val="0"/>
        <w:bidi w:val="0"/>
        <w:spacing w:line="460" w:lineRule="exact"/>
        <w:ind w:left="660" w:hanging="660" w:hanging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11.5  中标后到书率未达到中标供应商承诺到书率的（承诺到书率</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），每少1%按预算总额的2%扣罚违约金，不足1%按照直线插入法计算。</w:t>
      </w:r>
    </w:p>
    <w:p w14:paraId="6FF6FEEE">
      <w:pPr>
        <w:pStyle w:val="31"/>
        <w:keepNext w:val="0"/>
        <w:keepLines w:val="0"/>
        <w:pageBreakBefore w:val="0"/>
        <w:kinsoku/>
        <w:wordWrap/>
        <w:topLinePunct w:val="0"/>
        <w:bidi w:val="0"/>
        <w:spacing w:line="460" w:lineRule="exact"/>
        <w:ind w:left="665" w:leftChars="1" w:hanging="663" w:hangingChars="3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12.   违约终止合同</w:t>
      </w:r>
    </w:p>
    <w:p w14:paraId="05EA1B42">
      <w:pPr>
        <w:keepNext w:val="0"/>
        <w:keepLines w:val="0"/>
        <w:pageBreakBefore w:val="0"/>
        <w:kinsoku/>
        <w:wordWrap/>
        <w:topLinePunct w:val="0"/>
        <w:bidi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  买方在卖方违约的情况下，如果发生下列情况之一，可考虑终止部分或全部合同：</w:t>
      </w:r>
    </w:p>
    <w:p w14:paraId="66404E4F">
      <w:pPr>
        <w:keepNext w:val="0"/>
        <w:keepLines w:val="0"/>
        <w:pageBreakBefore w:val="0"/>
        <w:kinsoku/>
        <w:wordWrap/>
        <w:topLinePunct w:val="0"/>
        <w:bidi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卖方未能在合同规定的期限内或买方同意延长的期限内提供全部或部分货物；</w:t>
      </w:r>
    </w:p>
    <w:p w14:paraId="6F0942BE">
      <w:pPr>
        <w:keepNext w:val="0"/>
        <w:keepLines w:val="0"/>
        <w:pageBreakBefore w:val="0"/>
        <w:kinsoku/>
        <w:wordWrap/>
        <w:topLinePunct w:val="0"/>
        <w:bidi w:val="0"/>
        <w:spacing w:line="460" w:lineRule="exact"/>
        <w:ind w:left="660" w:hanging="660" w:hanging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pacing w:val="40"/>
          <w:sz w:val="22"/>
          <w:szCs w:val="22"/>
          <w:highlight w:val="none"/>
        </w:rPr>
        <w:t>）</w:t>
      </w:r>
      <w:r>
        <w:rPr>
          <w:rFonts w:hint="eastAsia" w:ascii="宋体" w:hAnsi="宋体" w:eastAsia="宋体" w:cs="宋体"/>
          <w:color w:val="auto"/>
          <w:sz w:val="22"/>
          <w:szCs w:val="22"/>
          <w:highlight w:val="none"/>
        </w:rPr>
        <w:t>卖方未能履行合同规定的任何其他义务。卖方在收到买方发出的违约通知后30天内，或经买方书面认可延长的时间内未能纠正其过失。买方可向卖方发出书面通知，终止部分或合同全部，通知到达卖方时合同即行解除。在这种情况下，并不影响买方向卖方提出的索赔。</w:t>
      </w:r>
    </w:p>
    <w:p w14:paraId="6CEBB777">
      <w:pPr>
        <w:keepNext w:val="0"/>
        <w:keepLines w:val="0"/>
        <w:pageBreakBefore w:val="0"/>
        <w:kinsoku/>
        <w:wordWrap/>
        <w:topLinePunct w:val="0"/>
        <w:bidi w:val="0"/>
        <w:spacing w:line="460" w:lineRule="exact"/>
        <w:ind w:left="660" w:hanging="660" w:hanging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最终到书率低于90%的。</w:t>
      </w:r>
    </w:p>
    <w:p w14:paraId="38DEDBCE">
      <w:pPr>
        <w:keepNext w:val="0"/>
        <w:keepLines w:val="0"/>
        <w:pageBreakBefore w:val="0"/>
        <w:kinsoku/>
        <w:wordWrap/>
        <w:topLinePunct w:val="0"/>
        <w:bidi w:val="0"/>
        <w:spacing w:line="460" w:lineRule="exact"/>
        <w:ind w:left="660" w:hanging="660" w:hanging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12.2  如果买方根据上述第12.1条的规定，终止了全部或部分合同，买方可以依其认为适当的条件和方法购买与未交货物类似的货物或服务，卖方应承担买方因购买类似货物或服务而产生的额外支出。但是卖方应继续执行合同中未终止的部分。</w:t>
      </w:r>
    </w:p>
    <w:p w14:paraId="3F0ED176">
      <w:pPr>
        <w:keepNext w:val="0"/>
        <w:keepLines w:val="0"/>
        <w:pageBreakBefore w:val="0"/>
        <w:kinsoku/>
        <w:wordWrap/>
        <w:topLinePunct w:val="0"/>
        <w:bidi w:val="0"/>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13.   双方责任及其他约定</w:t>
      </w:r>
    </w:p>
    <w:p w14:paraId="65B46C27">
      <w:pPr>
        <w:keepNext w:val="0"/>
        <w:keepLines w:val="0"/>
        <w:pageBreakBefore w:val="0"/>
        <w:kinsoku/>
        <w:wordWrap/>
        <w:topLinePunct w:val="0"/>
        <w:bidi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13.1  买方</w:t>
      </w:r>
    </w:p>
    <w:p w14:paraId="11AF09FD">
      <w:pPr>
        <w:keepNext w:val="0"/>
        <w:keepLines w:val="0"/>
        <w:pageBreakBefore w:val="0"/>
        <w:kinsoku/>
        <w:wordWrap/>
        <w:topLinePunct w:val="0"/>
        <w:bidi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按合同规定向卖方支付货款。</w:t>
      </w:r>
    </w:p>
    <w:p w14:paraId="40AC8C56">
      <w:pPr>
        <w:keepNext w:val="0"/>
        <w:keepLines w:val="0"/>
        <w:pageBreakBefore w:val="0"/>
        <w:kinsoku/>
        <w:wordWrap/>
        <w:topLinePunct w:val="0"/>
        <w:bidi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组织对货物的验收。</w:t>
      </w:r>
    </w:p>
    <w:p w14:paraId="35D62682">
      <w:pPr>
        <w:keepNext w:val="0"/>
        <w:keepLines w:val="0"/>
        <w:pageBreakBefore w:val="0"/>
        <w:kinsoku/>
        <w:wordWrap/>
        <w:topLinePunct w:val="0"/>
        <w:bidi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13.2  卖方</w:t>
      </w:r>
    </w:p>
    <w:p w14:paraId="609A86F2">
      <w:pPr>
        <w:keepNext w:val="0"/>
        <w:keepLines w:val="0"/>
        <w:pageBreakBefore w:val="0"/>
        <w:kinsoku/>
        <w:wordWrap/>
        <w:topLinePunct w:val="0"/>
        <w:bidi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按合同要求提供货物和服务。</w:t>
      </w:r>
    </w:p>
    <w:p w14:paraId="182A254C">
      <w:pPr>
        <w:keepNext w:val="0"/>
        <w:keepLines w:val="0"/>
        <w:pageBreakBefore w:val="0"/>
        <w:kinsoku/>
        <w:wordWrap/>
        <w:topLinePunct w:val="0"/>
        <w:bidi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对所提供的货物和服务质量问题无条件负责处理。</w:t>
      </w:r>
    </w:p>
    <w:p w14:paraId="0C2EA6CA">
      <w:pPr>
        <w:keepNext w:val="0"/>
        <w:keepLines w:val="0"/>
        <w:pageBreakBefore w:val="0"/>
        <w:kinsoku/>
        <w:wordWrap/>
        <w:topLinePunct w:val="0"/>
        <w:bidi w:val="0"/>
        <w:spacing w:line="460" w:lineRule="exact"/>
        <w:ind w:left="660" w:hanging="660" w:hangingChars="3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13.3  为确保本项目预算执行，高效完成本次采购，供应商到书率满足或大于95%的，但其到书率不足100%部分的预算金额，由学校与供应商协商确定书目与折扣，完成不足部分预算金额的采购；协商不能达成一致的，由学校自行采购完成不足部分预算金额，供应商凭购书发票予以承担学校对此部分图书的实际采购费用。</w:t>
      </w:r>
    </w:p>
    <w:p w14:paraId="21391CC3">
      <w:pPr>
        <w:keepNext w:val="0"/>
        <w:keepLines w:val="0"/>
        <w:pageBreakBefore w:val="0"/>
        <w:kinsoku/>
        <w:wordWrap/>
        <w:topLinePunct w:val="0"/>
        <w:bidi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14.   不可抗力</w:t>
      </w:r>
    </w:p>
    <w:p w14:paraId="2A529510">
      <w:pPr>
        <w:keepNext w:val="0"/>
        <w:keepLines w:val="0"/>
        <w:pageBreakBefore w:val="0"/>
        <w:kinsoku/>
        <w:wordWrap/>
        <w:topLinePunct w:val="0"/>
        <w:bidi w:val="0"/>
        <w:spacing w:line="460" w:lineRule="exact"/>
        <w:ind w:left="660" w:hanging="660" w:hanging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14.1  如果双方中任何一方由于战争、严重火灾、水灾、破坏性台风和地震以及其它经双方同意属不可抗力的事故，致使合同履行受阻时，履行合同期限应予延长，延长时限应相当于事故所影响的时间，或双方协商解决。</w:t>
      </w:r>
    </w:p>
    <w:p w14:paraId="48EF9C04">
      <w:pPr>
        <w:keepNext w:val="0"/>
        <w:keepLines w:val="0"/>
        <w:pageBreakBefore w:val="0"/>
        <w:kinsoku/>
        <w:wordWrap/>
        <w:topLinePunct w:val="0"/>
        <w:bidi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15.   税费</w:t>
      </w:r>
    </w:p>
    <w:p w14:paraId="0F6D5589">
      <w:pPr>
        <w:keepNext w:val="0"/>
        <w:keepLines w:val="0"/>
        <w:pageBreakBefore w:val="0"/>
        <w:kinsoku/>
        <w:wordWrap/>
        <w:topLinePunct w:val="0"/>
        <w:bidi w:val="0"/>
        <w:spacing w:line="460" w:lineRule="exact"/>
        <w:ind w:left="440" w:hanging="440" w:hanging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15.1  根据国家现行税法对买方征收的与本合同有关的一切费用由买方承担。</w:t>
      </w:r>
    </w:p>
    <w:p w14:paraId="2D238A03">
      <w:pPr>
        <w:keepNext w:val="0"/>
        <w:keepLines w:val="0"/>
        <w:pageBreakBefore w:val="0"/>
        <w:kinsoku/>
        <w:wordWrap/>
        <w:topLinePunct w:val="0"/>
        <w:bidi w:val="0"/>
        <w:spacing w:line="460" w:lineRule="exact"/>
        <w:ind w:left="484" w:hanging="484" w:hangingChars="2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15.2  根据现行税法对卖方征收的与本合同有关的一切税费均由卖方承担。</w:t>
      </w:r>
    </w:p>
    <w:p w14:paraId="1787FEA0">
      <w:pPr>
        <w:keepNext w:val="0"/>
        <w:keepLines w:val="0"/>
        <w:pageBreakBefore w:val="0"/>
        <w:kinsoku/>
        <w:wordWrap/>
        <w:topLinePunct w:val="0"/>
        <w:bidi w:val="0"/>
        <w:spacing w:line="460" w:lineRule="exact"/>
        <w:ind w:left="440" w:hanging="440" w:hanging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15.3  在中国境外发生的与本合同执行有关的一切税费由卖方承担。</w:t>
      </w:r>
    </w:p>
    <w:p w14:paraId="6DF303E2">
      <w:pPr>
        <w:keepNext w:val="0"/>
        <w:keepLines w:val="0"/>
        <w:pageBreakBefore w:val="0"/>
        <w:kinsoku/>
        <w:wordWrap/>
        <w:topLinePunct w:val="0"/>
        <w:bidi w:val="0"/>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16.   争端的解决</w:t>
      </w:r>
    </w:p>
    <w:p w14:paraId="32447B9F">
      <w:pPr>
        <w:keepNext w:val="0"/>
        <w:keepLines w:val="0"/>
        <w:pageBreakBefore w:val="0"/>
        <w:kinsoku/>
        <w:wordWrap/>
        <w:topLinePunct w:val="0"/>
        <w:bidi w:val="0"/>
        <w:spacing w:line="460" w:lineRule="exact"/>
        <w:ind w:left="660" w:hanging="660" w:hanging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16.1  合同实施或与合同有关的一切争端，双方应通过友好协商解决，如果协商仍得不到解决，任何一方可向履行合同所在地或合同签约地的仲裁机构申请调解或仲裁。</w:t>
      </w:r>
    </w:p>
    <w:p w14:paraId="72F77814">
      <w:pPr>
        <w:keepNext w:val="0"/>
        <w:keepLines w:val="0"/>
        <w:pageBreakBefore w:val="0"/>
        <w:kinsoku/>
        <w:wordWrap/>
        <w:topLinePunct w:val="0"/>
        <w:bidi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16.2  仲裁裁决应为最终裁决，对双方均有约束力。</w:t>
      </w:r>
    </w:p>
    <w:p w14:paraId="4CC68F27">
      <w:pPr>
        <w:keepNext w:val="0"/>
        <w:keepLines w:val="0"/>
        <w:pageBreakBefore w:val="0"/>
        <w:kinsoku/>
        <w:wordWrap/>
        <w:topLinePunct w:val="0"/>
        <w:bidi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16.3  仲裁费用除仲裁机构另有裁决外应由败诉方承担。</w:t>
      </w:r>
    </w:p>
    <w:p w14:paraId="37079C73">
      <w:pPr>
        <w:keepNext w:val="0"/>
        <w:keepLines w:val="0"/>
        <w:pageBreakBefore w:val="0"/>
        <w:kinsoku/>
        <w:wordWrap/>
        <w:topLinePunct w:val="0"/>
        <w:bidi w:val="0"/>
        <w:spacing w:line="46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16.4  在仲裁期间，除正在执行仲裁的部分外，本合同的其他部分应继续执行。</w:t>
      </w:r>
    </w:p>
    <w:p w14:paraId="249E1BDF">
      <w:pPr>
        <w:keepNext w:val="0"/>
        <w:keepLines w:val="0"/>
        <w:pageBreakBefore w:val="0"/>
        <w:kinsoku/>
        <w:wordWrap/>
        <w:topLinePunct w:val="0"/>
        <w:bidi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17.   转让和分包及产品不可替代</w:t>
      </w:r>
    </w:p>
    <w:p w14:paraId="48EBD5AF">
      <w:pPr>
        <w:keepNext w:val="0"/>
        <w:keepLines w:val="0"/>
        <w:pageBreakBefore w:val="0"/>
        <w:kinsoku/>
        <w:wordWrap/>
        <w:topLinePunct w:val="0"/>
        <w:bidi w:val="0"/>
        <w:spacing w:line="460" w:lineRule="exact"/>
        <w:ind w:left="715" w:hanging="715" w:hangingChars="32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17.1  未经买方事先书面同意，卖方不得部分转让或全部转让和分包其履行合同的义务。</w:t>
      </w:r>
    </w:p>
    <w:p w14:paraId="6033585B">
      <w:pPr>
        <w:keepNext w:val="0"/>
        <w:keepLines w:val="0"/>
        <w:pageBreakBefore w:val="0"/>
        <w:kinsoku/>
        <w:wordWrap/>
        <w:topLinePunct w:val="0"/>
        <w:bidi w:val="0"/>
        <w:spacing w:line="460" w:lineRule="exact"/>
        <w:ind w:left="660" w:hanging="660" w:hanging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  产品不可替代，卖方在没有取得买方的书面授权的情况下，不得将合同货物的生产制造转交其他生产厂商或以其他厂商的产品替代。</w:t>
      </w:r>
    </w:p>
    <w:p w14:paraId="6BFA5D13">
      <w:pPr>
        <w:keepNext w:val="0"/>
        <w:keepLines w:val="0"/>
        <w:pageBreakBefore w:val="0"/>
        <w:kinsoku/>
        <w:wordWrap/>
        <w:topLinePunct w:val="0"/>
        <w:bidi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18.   适用法律</w:t>
      </w:r>
    </w:p>
    <w:p w14:paraId="3CA0AF12">
      <w:pPr>
        <w:keepNext w:val="0"/>
        <w:keepLines w:val="0"/>
        <w:pageBreakBefore w:val="0"/>
        <w:kinsoku/>
        <w:wordWrap/>
        <w:topLinePunct w:val="0"/>
        <w:bidi w:val="0"/>
        <w:spacing w:line="460" w:lineRule="exact"/>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本合同按照中华人民共和国的法律进行解释。</w:t>
      </w:r>
    </w:p>
    <w:p w14:paraId="5F2ADDC2">
      <w:pPr>
        <w:keepNext w:val="0"/>
        <w:keepLines w:val="0"/>
        <w:pageBreakBefore w:val="0"/>
        <w:kinsoku/>
        <w:wordWrap/>
        <w:topLinePunct w:val="0"/>
        <w:bidi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19.   合同生效及其他</w:t>
      </w:r>
    </w:p>
    <w:p w14:paraId="07100ABA">
      <w:pPr>
        <w:keepNext w:val="0"/>
        <w:keepLines w:val="0"/>
        <w:pageBreakBefore w:val="0"/>
        <w:kinsoku/>
        <w:wordWrap/>
        <w:topLinePunct w:val="0"/>
        <w:bidi w:val="0"/>
        <w:spacing w:line="460" w:lineRule="exact"/>
        <w:ind w:left="561" w:hanging="561" w:hangingChars="2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19.1  合同应在双方签字盖章并在买方收到卖方提供的履约保证金后开始生效。</w:t>
      </w:r>
    </w:p>
    <w:p w14:paraId="2DB663D8">
      <w:pPr>
        <w:keepNext w:val="0"/>
        <w:keepLines w:val="0"/>
        <w:pageBreakBefore w:val="0"/>
        <w:kinsoku/>
        <w:wordWrap/>
        <w:topLinePunct w:val="0"/>
        <w:bidi w:val="0"/>
        <w:spacing w:line="460" w:lineRule="exact"/>
        <w:ind w:left="660" w:hanging="660" w:hanging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19.2  本合同一式伍份，双方各执贰份</w:t>
      </w:r>
      <w:r>
        <w:rPr>
          <w:rFonts w:hint="eastAsia" w:ascii="宋体" w:hAnsi="宋体" w:eastAsia="宋体" w:cs="宋体"/>
          <w:b/>
          <w:bCs/>
          <w:color w:val="auto"/>
          <w:sz w:val="22"/>
          <w:szCs w:val="22"/>
          <w:highlight w:val="none"/>
        </w:rPr>
        <w:t>，</w:t>
      </w:r>
      <w:r>
        <w:rPr>
          <w:rFonts w:hint="eastAsia" w:ascii="宋体" w:hAnsi="宋体" w:eastAsia="宋体" w:cs="宋体"/>
          <w:color w:val="auto"/>
          <w:sz w:val="22"/>
          <w:szCs w:val="22"/>
          <w:highlight w:val="none"/>
        </w:rPr>
        <w:t>采购代理机构执壹份，具有同等效力。</w:t>
      </w:r>
    </w:p>
    <w:p w14:paraId="7E7E6EEF">
      <w:pPr>
        <w:keepNext w:val="0"/>
        <w:keepLines w:val="0"/>
        <w:pageBreakBefore w:val="0"/>
        <w:kinsoku/>
        <w:wordWrap/>
        <w:topLinePunct w:val="0"/>
        <w:bidi w:val="0"/>
        <w:spacing w:line="460" w:lineRule="exact"/>
        <w:ind w:left="660" w:hanging="660" w:hanging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19.3  如需修改或补充合同内容，经协商，双方应签署书面修改或补充协议，该协议将作为本合同的一个组成部分。</w:t>
      </w:r>
    </w:p>
    <w:p w14:paraId="2D903936">
      <w:pPr>
        <w:keepNext w:val="0"/>
        <w:keepLines w:val="0"/>
        <w:pageBreakBefore w:val="0"/>
        <w:kinsoku/>
        <w:wordWrap/>
        <w:topLinePunct w:val="0"/>
        <w:bidi w:val="0"/>
        <w:snapToGrid w:val="0"/>
        <w:spacing w:line="460" w:lineRule="exact"/>
        <w:rPr>
          <w:rFonts w:hint="eastAsia" w:ascii="宋体" w:hAnsi="宋体" w:eastAsia="宋体" w:cs="宋体"/>
          <w:b/>
          <w:color w:val="auto"/>
          <w:sz w:val="22"/>
          <w:szCs w:val="22"/>
          <w:highlight w:val="none"/>
        </w:rPr>
      </w:pPr>
    </w:p>
    <w:p w14:paraId="3679AE37">
      <w:pPr>
        <w:keepNext w:val="0"/>
        <w:keepLines w:val="0"/>
        <w:pageBreakBefore w:val="0"/>
        <w:kinsoku/>
        <w:wordWrap/>
        <w:topLinePunct w:val="0"/>
        <w:bidi w:val="0"/>
        <w:snapToGrid w:val="0"/>
        <w:spacing w:line="460" w:lineRule="exact"/>
        <w:rPr>
          <w:rFonts w:hint="eastAsia" w:ascii="宋体" w:hAnsi="宋体" w:eastAsia="宋体" w:cs="宋体"/>
          <w:b/>
          <w:color w:val="auto"/>
          <w:sz w:val="22"/>
          <w:szCs w:val="22"/>
          <w:highlight w:val="none"/>
        </w:rPr>
      </w:pPr>
    </w:p>
    <w:p w14:paraId="7290A2E1">
      <w:pPr>
        <w:keepNext w:val="0"/>
        <w:keepLines w:val="0"/>
        <w:pageBreakBefore w:val="0"/>
        <w:shd w:val="clear" w:color="auto" w:fill="FFFFFF"/>
        <w:kinsoku/>
        <w:wordWrap/>
        <w:topLinePunct w:val="0"/>
        <w:bidi w:val="0"/>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
          <w:color w:val="auto"/>
          <w:sz w:val="30"/>
          <w:szCs w:val="22"/>
          <w:highlight w:val="none"/>
        </w:rPr>
        <w:br w:type="page"/>
      </w:r>
      <w:r>
        <w:rPr>
          <w:rFonts w:hint="eastAsia" w:ascii="宋体" w:hAnsi="宋体" w:eastAsia="宋体" w:cs="宋体"/>
          <w:b/>
          <w:color w:val="auto"/>
          <w:sz w:val="30"/>
          <w:szCs w:val="22"/>
          <w:highlight w:val="none"/>
        </w:rPr>
        <w:t>二、合同主要条款</w:t>
      </w:r>
    </w:p>
    <w:p w14:paraId="62524A25">
      <w:pPr>
        <w:pStyle w:val="31"/>
        <w:keepNext w:val="0"/>
        <w:keepLines w:val="0"/>
        <w:pageBreakBefore w:val="0"/>
        <w:kinsoku/>
        <w:wordWrap/>
        <w:topLinePunct w:val="0"/>
        <w:bidi w:val="0"/>
        <w:snapToGrid w:val="0"/>
        <w:spacing w:line="460" w:lineRule="exact"/>
        <w:ind w:firstLine="442"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根据政府采购的规定，经买方对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项目（招标编号：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）进行采购，确定卖方为中标人，现买方向卖方购买图书一批。根据招标文件，经甲乙双方协商，有关事项达成以下协议：</w:t>
      </w:r>
    </w:p>
    <w:p w14:paraId="76BD8C09">
      <w:pPr>
        <w:pStyle w:val="31"/>
        <w:keepNext w:val="0"/>
        <w:keepLines w:val="0"/>
        <w:pageBreakBefore w:val="0"/>
        <w:kinsoku/>
        <w:wordWrap/>
        <w:topLinePunct w:val="0"/>
        <w:bidi w:val="0"/>
        <w:snapToGrid w:val="0"/>
        <w:spacing w:line="460" w:lineRule="exact"/>
        <w:ind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一、图书清单、单价和金额   单位：元</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037"/>
        <w:gridCol w:w="828"/>
        <w:gridCol w:w="792"/>
        <w:gridCol w:w="1080"/>
        <w:gridCol w:w="2345"/>
      </w:tblGrid>
      <w:tr w14:paraId="687E1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 w:hRule="atLeast"/>
        </w:trPr>
        <w:tc>
          <w:tcPr>
            <w:tcW w:w="1368" w:type="dxa"/>
            <w:tcBorders>
              <w:top w:val="single" w:color="auto" w:sz="4" w:space="0"/>
              <w:left w:val="single" w:color="auto" w:sz="4" w:space="0"/>
              <w:bottom w:val="single" w:color="auto" w:sz="4" w:space="0"/>
              <w:right w:val="single" w:color="auto" w:sz="4" w:space="0"/>
            </w:tcBorders>
            <w:noWrap w:val="0"/>
            <w:vAlign w:val="center"/>
          </w:tcPr>
          <w:p w14:paraId="6D37C1D6">
            <w:pPr>
              <w:keepNext w:val="0"/>
              <w:keepLines w:val="0"/>
              <w:pageBreakBefore w:val="0"/>
              <w:kinsoku/>
              <w:wordWrap/>
              <w:topLinePunct w:val="0"/>
              <w:bidi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书目编号</w:t>
            </w:r>
          </w:p>
        </w:tc>
        <w:tc>
          <w:tcPr>
            <w:tcW w:w="3037" w:type="dxa"/>
            <w:tcBorders>
              <w:top w:val="single" w:color="auto" w:sz="4" w:space="0"/>
              <w:left w:val="single" w:color="auto" w:sz="4" w:space="0"/>
              <w:bottom w:val="single" w:color="auto" w:sz="4" w:space="0"/>
              <w:right w:val="single" w:color="auto" w:sz="4" w:space="0"/>
            </w:tcBorders>
            <w:noWrap w:val="0"/>
            <w:vAlign w:val="center"/>
          </w:tcPr>
          <w:p w14:paraId="029D7391">
            <w:pPr>
              <w:keepNext w:val="0"/>
              <w:keepLines w:val="0"/>
              <w:pageBreakBefore w:val="0"/>
              <w:kinsoku/>
              <w:wordWrap/>
              <w:topLinePunct w:val="0"/>
              <w:bidi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书   名</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EE732C1">
            <w:pPr>
              <w:keepNext w:val="0"/>
              <w:keepLines w:val="0"/>
              <w:pageBreakBefore w:val="0"/>
              <w:kinsoku/>
              <w:wordWrap/>
              <w:topLinePunct w:val="0"/>
              <w:bidi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规格</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63A08FEA">
            <w:pPr>
              <w:keepNext w:val="0"/>
              <w:keepLines w:val="0"/>
              <w:pageBreakBefore w:val="0"/>
              <w:kinsoku/>
              <w:wordWrap/>
              <w:topLinePunct w:val="0"/>
              <w:bidi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73577C6">
            <w:pPr>
              <w:keepNext w:val="0"/>
              <w:keepLines w:val="0"/>
              <w:pageBreakBefore w:val="0"/>
              <w:kinsoku/>
              <w:wordWrap/>
              <w:topLinePunct w:val="0"/>
              <w:bidi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码洋</w:t>
            </w:r>
          </w:p>
        </w:tc>
        <w:tc>
          <w:tcPr>
            <w:tcW w:w="2345" w:type="dxa"/>
            <w:tcBorders>
              <w:top w:val="single" w:color="auto" w:sz="4" w:space="0"/>
              <w:left w:val="single" w:color="auto" w:sz="4" w:space="0"/>
              <w:bottom w:val="single" w:color="auto" w:sz="4" w:space="0"/>
              <w:right w:val="single" w:color="auto" w:sz="4" w:space="0"/>
            </w:tcBorders>
            <w:noWrap w:val="0"/>
            <w:vAlign w:val="center"/>
          </w:tcPr>
          <w:p w14:paraId="561DCF4B">
            <w:pPr>
              <w:keepNext w:val="0"/>
              <w:keepLines w:val="0"/>
              <w:pageBreakBefore w:val="0"/>
              <w:kinsoku/>
              <w:wordWrap/>
              <w:topLinePunct w:val="0"/>
              <w:bidi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总码洋</w:t>
            </w:r>
          </w:p>
        </w:tc>
      </w:tr>
      <w:tr w14:paraId="75F9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trPr>
        <w:tc>
          <w:tcPr>
            <w:tcW w:w="1368" w:type="dxa"/>
            <w:tcBorders>
              <w:top w:val="single" w:color="auto" w:sz="4" w:space="0"/>
              <w:left w:val="single" w:color="auto" w:sz="4" w:space="0"/>
              <w:bottom w:val="single" w:color="auto" w:sz="4" w:space="0"/>
              <w:right w:val="single" w:color="auto" w:sz="4" w:space="0"/>
            </w:tcBorders>
            <w:noWrap w:val="0"/>
            <w:vAlign w:val="center"/>
          </w:tcPr>
          <w:p w14:paraId="1AB2C089">
            <w:pPr>
              <w:keepNext w:val="0"/>
              <w:keepLines w:val="0"/>
              <w:pageBreakBefore w:val="0"/>
              <w:kinsoku/>
              <w:wordWrap/>
              <w:topLinePunct w:val="0"/>
              <w:bidi w:val="0"/>
              <w:spacing w:line="460" w:lineRule="exact"/>
              <w:jc w:val="center"/>
              <w:rPr>
                <w:rFonts w:hint="eastAsia" w:ascii="宋体" w:hAnsi="宋体" w:eastAsia="宋体" w:cs="宋体"/>
                <w:color w:val="auto"/>
                <w:sz w:val="22"/>
                <w:szCs w:val="22"/>
                <w:highlight w:val="none"/>
              </w:rPr>
            </w:pPr>
          </w:p>
        </w:tc>
        <w:tc>
          <w:tcPr>
            <w:tcW w:w="3037" w:type="dxa"/>
            <w:tcBorders>
              <w:top w:val="single" w:color="auto" w:sz="4" w:space="0"/>
              <w:left w:val="single" w:color="auto" w:sz="4" w:space="0"/>
              <w:bottom w:val="single" w:color="auto" w:sz="4" w:space="0"/>
              <w:right w:val="single" w:color="auto" w:sz="4" w:space="0"/>
            </w:tcBorders>
            <w:noWrap w:val="0"/>
            <w:vAlign w:val="center"/>
          </w:tcPr>
          <w:p w14:paraId="666C30C4">
            <w:pPr>
              <w:keepNext w:val="0"/>
              <w:keepLines w:val="0"/>
              <w:pageBreakBefore w:val="0"/>
              <w:kinsoku/>
              <w:wordWrap/>
              <w:topLinePunct w:val="0"/>
              <w:bidi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图书一批（详见附件）</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C25DB49">
            <w:pPr>
              <w:keepNext w:val="0"/>
              <w:keepLines w:val="0"/>
              <w:pageBreakBefore w:val="0"/>
              <w:kinsoku/>
              <w:wordWrap/>
              <w:topLinePunct w:val="0"/>
              <w:bidi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批</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429E1AEB">
            <w:pPr>
              <w:keepNext w:val="0"/>
              <w:keepLines w:val="0"/>
              <w:pageBreakBefore w:val="0"/>
              <w:kinsoku/>
              <w:wordWrap/>
              <w:topLinePunct w:val="0"/>
              <w:bidi w:val="0"/>
              <w:spacing w:line="460" w:lineRule="exact"/>
              <w:jc w:val="center"/>
              <w:rPr>
                <w:rFonts w:hint="eastAsia" w:ascii="宋体" w:hAnsi="宋体" w:eastAsia="宋体" w:cs="宋体"/>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8D19E8D">
            <w:pPr>
              <w:keepNext w:val="0"/>
              <w:keepLines w:val="0"/>
              <w:pageBreakBefore w:val="0"/>
              <w:kinsoku/>
              <w:wordWrap/>
              <w:topLinePunct w:val="0"/>
              <w:bidi w:val="0"/>
              <w:spacing w:line="460" w:lineRule="exact"/>
              <w:jc w:val="center"/>
              <w:rPr>
                <w:rFonts w:hint="eastAsia" w:ascii="宋体" w:hAnsi="宋体" w:eastAsia="宋体" w:cs="宋体"/>
                <w:color w:val="auto"/>
                <w:sz w:val="22"/>
                <w:szCs w:val="22"/>
                <w:highlight w:val="none"/>
              </w:rPr>
            </w:pPr>
          </w:p>
        </w:tc>
        <w:tc>
          <w:tcPr>
            <w:tcW w:w="2345" w:type="dxa"/>
            <w:tcBorders>
              <w:top w:val="single" w:color="auto" w:sz="4" w:space="0"/>
              <w:left w:val="single" w:color="auto" w:sz="4" w:space="0"/>
              <w:bottom w:val="single" w:color="auto" w:sz="4" w:space="0"/>
              <w:right w:val="single" w:color="auto" w:sz="4" w:space="0"/>
            </w:tcBorders>
            <w:noWrap w:val="0"/>
            <w:vAlign w:val="center"/>
          </w:tcPr>
          <w:p w14:paraId="1EAA410C">
            <w:pPr>
              <w:keepNext w:val="0"/>
              <w:keepLines w:val="0"/>
              <w:pageBreakBefore w:val="0"/>
              <w:kinsoku/>
              <w:wordWrap/>
              <w:topLinePunct w:val="0"/>
              <w:bidi w:val="0"/>
              <w:spacing w:line="460" w:lineRule="exact"/>
              <w:jc w:val="center"/>
              <w:rPr>
                <w:rFonts w:hint="eastAsia" w:ascii="宋体" w:hAnsi="宋体" w:eastAsia="宋体" w:cs="宋体"/>
                <w:color w:val="auto"/>
                <w:sz w:val="22"/>
                <w:szCs w:val="22"/>
                <w:highlight w:val="none"/>
              </w:rPr>
            </w:pPr>
          </w:p>
        </w:tc>
      </w:tr>
      <w:tr w14:paraId="31D9F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9450" w:type="dxa"/>
            <w:gridSpan w:val="6"/>
            <w:tcBorders>
              <w:top w:val="single" w:color="auto" w:sz="4" w:space="0"/>
              <w:left w:val="single" w:color="auto" w:sz="4" w:space="0"/>
              <w:bottom w:val="single" w:color="auto" w:sz="4" w:space="0"/>
              <w:right w:val="single" w:color="auto" w:sz="4" w:space="0"/>
            </w:tcBorders>
            <w:noWrap w:val="0"/>
            <w:vAlign w:val="center"/>
          </w:tcPr>
          <w:p w14:paraId="127D2545">
            <w:pPr>
              <w:keepNext w:val="0"/>
              <w:keepLines w:val="0"/>
              <w:pageBreakBefore w:val="0"/>
              <w:kinsoku/>
              <w:wordWrap/>
              <w:topLinePunct w:val="0"/>
              <w:bidi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合计总码洋：        </w:t>
            </w:r>
          </w:p>
        </w:tc>
      </w:tr>
      <w:tr w14:paraId="6D775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 w:hRule="atLeast"/>
        </w:trPr>
        <w:tc>
          <w:tcPr>
            <w:tcW w:w="9450" w:type="dxa"/>
            <w:gridSpan w:val="6"/>
            <w:tcBorders>
              <w:top w:val="single" w:color="auto" w:sz="4" w:space="0"/>
              <w:left w:val="single" w:color="auto" w:sz="4" w:space="0"/>
              <w:bottom w:val="single" w:color="auto" w:sz="4" w:space="0"/>
              <w:right w:val="single" w:color="auto" w:sz="4" w:space="0"/>
            </w:tcBorders>
            <w:noWrap w:val="0"/>
            <w:vAlign w:val="center"/>
          </w:tcPr>
          <w:p w14:paraId="03F617A9">
            <w:pPr>
              <w:keepNext w:val="0"/>
              <w:keepLines w:val="0"/>
              <w:pageBreakBefore w:val="0"/>
              <w:kinsoku/>
              <w:wordWrap/>
              <w:topLinePunct w:val="0"/>
              <w:bidi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折扣率：</w:t>
            </w:r>
          </w:p>
        </w:tc>
      </w:tr>
      <w:tr w14:paraId="346B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 w:hRule="atLeast"/>
        </w:trPr>
        <w:tc>
          <w:tcPr>
            <w:tcW w:w="9450" w:type="dxa"/>
            <w:gridSpan w:val="6"/>
            <w:tcBorders>
              <w:top w:val="single" w:color="auto" w:sz="4" w:space="0"/>
              <w:left w:val="single" w:color="auto" w:sz="4" w:space="0"/>
              <w:bottom w:val="single" w:color="auto" w:sz="4" w:space="0"/>
              <w:right w:val="single" w:color="auto" w:sz="4" w:space="0"/>
            </w:tcBorders>
            <w:noWrap w:val="0"/>
            <w:vAlign w:val="center"/>
          </w:tcPr>
          <w:p w14:paraId="0839435C">
            <w:pPr>
              <w:keepNext w:val="0"/>
              <w:keepLines w:val="0"/>
              <w:pageBreakBefore w:val="0"/>
              <w:kinsoku/>
              <w:wordWrap/>
              <w:topLinePunct w:val="0"/>
              <w:bidi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价款（大写）                     </w:t>
            </w:r>
          </w:p>
        </w:tc>
      </w:tr>
    </w:tbl>
    <w:p w14:paraId="06E7AD90">
      <w:pPr>
        <w:pStyle w:val="31"/>
        <w:keepNext w:val="0"/>
        <w:keepLines w:val="0"/>
        <w:pageBreakBefore w:val="0"/>
        <w:kinsoku/>
        <w:wordWrap/>
        <w:topLinePunct w:val="0"/>
        <w:bidi w:val="0"/>
        <w:snapToGrid w:val="0"/>
        <w:spacing w:line="460" w:lineRule="exact"/>
        <w:ind w:firstLine="331"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注：“价款”包括运抵使用单位的运输、保险、分装、配送、验收、税金等费用。实际价款以实际到货结算为准。</w:t>
      </w:r>
    </w:p>
    <w:p w14:paraId="3FC59A28">
      <w:pPr>
        <w:pStyle w:val="31"/>
        <w:keepNext w:val="0"/>
        <w:keepLines w:val="0"/>
        <w:pageBreakBefore w:val="0"/>
        <w:kinsoku/>
        <w:wordWrap/>
        <w:topLinePunct w:val="0"/>
        <w:bidi w:val="0"/>
        <w:snapToGrid w:val="0"/>
        <w:spacing w:line="460" w:lineRule="exact"/>
        <w:ind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二、交货时间和地点</w:t>
      </w:r>
    </w:p>
    <w:p w14:paraId="6E7F1C60">
      <w:pPr>
        <w:pStyle w:val="31"/>
        <w:keepNext w:val="0"/>
        <w:keepLines w:val="0"/>
        <w:pageBreakBefore w:val="0"/>
        <w:kinsoku/>
        <w:wordWrap/>
        <w:topLinePunct w:val="0"/>
        <w:bidi w:val="0"/>
        <w:snapToGrid w:val="0"/>
        <w:spacing w:line="460" w:lineRule="exact"/>
        <w:ind w:firstLine="48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w:t>
      </w:r>
      <w:r>
        <w:rPr>
          <w:rFonts w:hint="eastAsia" w:ascii="宋体" w:hAnsi="宋体" w:eastAsia="宋体" w:cs="宋体"/>
          <w:b/>
          <w:bCs/>
          <w:color w:val="auto"/>
          <w:sz w:val="22"/>
          <w:szCs w:val="22"/>
          <w:highlight w:val="none"/>
          <w:lang w:eastAsia="zh-CN"/>
        </w:rPr>
        <w:t>2025年</w:t>
      </w:r>
      <w:r>
        <w:rPr>
          <w:rFonts w:hint="eastAsia" w:ascii="宋体" w:hAnsi="宋体" w:eastAsia="宋体" w:cs="宋体"/>
          <w:b/>
          <w:bCs/>
          <w:color w:val="auto"/>
          <w:sz w:val="22"/>
          <w:szCs w:val="22"/>
          <w:highlight w:val="none"/>
        </w:rPr>
        <w:t xml:space="preserve">   月     日将图书送达指定地点，送达指定地点后30天内全部上架流通阅览</w:t>
      </w:r>
    </w:p>
    <w:p w14:paraId="369CD085">
      <w:pPr>
        <w:pStyle w:val="31"/>
        <w:keepNext w:val="0"/>
        <w:keepLines w:val="0"/>
        <w:pageBreakBefore w:val="0"/>
        <w:kinsoku/>
        <w:wordWrap/>
        <w:topLinePunct w:val="0"/>
        <w:bidi w:val="0"/>
        <w:snapToGrid w:val="0"/>
        <w:spacing w:line="460" w:lineRule="exact"/>
        <w:ind w:firstLine="48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2、指定地点指所属学校（以下简称用户）所在地（具体地址由买方通知卖方）。卖方承诺图书的准时到书率达到</w:t>
      </w:r>
      <w:r>
        <w:rPr>
          <w:rFonts w:hint="eastAsia" w:ascii="宋体" w:hAnsi="宋体" w:eastAsia="宋体" w:cs="宋体"/>
          <w:b/>
          <w:bCs/>
          <w:color w:val="auto"/>
          <w:sz w:val="22"/>
          <w:szCs w:val="22"/>
          <w:highlight w:val="none"/>
          <w:u w:val="single"/>
        </w:rPr>
        <w:t xml:space="preserve">    </w:t>
      </w:r>
      <w:r>
        <w:rPr>
          <w:rFonts w:hint="eastAsia" w:ascii="宋体" w:hAnsi="宋体" w:eastAsia="宋体" w:cs="宋体"/>
          <w:b/>
          <w:bCs/>
          <w:color w:val="auto"/>
          <w:sz w:val="22"/>
          <w:szCs w:val="22"/>
          <w:highlight w:val="none"/>
        </w:rPr>
        <w:t>%以上。</w:t>
      </w:r>
    </w:p>
    <w:p w14:paraId="600501C0">
      <w:pPr>
        <w:keepNext w:val="0"/>
        <w:keepLines w:val="0"/>
        <w:pageBreakBefore w:val="0"/>
        <w:numPr>
          <w:ilvl w:val="0"/>
          <w:numId w:val="2"/>
        </w:numPr>
        <w:kinsoku/>
        <w:wordWrap/>
        <w:topLinePunct w:val="0"/>
        <w:bidi w:val="0"/>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付款时间和方式</w:t>
      </w:r>
    </w:p>
    <w:p w14:paraId="76AA77A9">
      <w:pPr>
        <w:pStyle w:val="31"/>
        <w:keepNext w:val="0"/>
        <w:keepLines w:val="0"/>
        <w:pageBreakBefore w:val="0"/>
        <w:kinsoku/>
        <w:wordWrap/>
        <w:topLinePunct w:val="0"/>
        <w:bidi w:val="0"/>
        <w:snapToGrid w:val="0"/>
        <w:spacing w:line="460" w:lineRule="exact"/>
        <w:ind w:firstLine="480"/>
        <w:rPr>
          <w:rFonts w:hint="eastAsia" w:ascii="宋体" w:hAnsi="宋体" w:eastAsia="宋体" w:cs="宋体"/>
          <w:color w:val="auto"/>
          <w:sz w:val="22"/>
          <w:szCs w:val="22"/>
          <w:highlight w:val="none"/>
          <w:u w:val="single"/>
          <w:lang w:val="en-US"/>
        </w:rPr>
      </w:pPr>
      <w:r>
        <w:rPr>
          <w:rFonts w:hint="eastAsia" w:ascii="宋体" w:hAnsi="宋体" w:eastAsia="宋体" w:cs="宋体"/>
          <w:color w:val="auto"/>
          <w:sz w:val="22"/>
          <w:szCs w:val="22"/>
          <w:highlight w:val="none"/>
          <w:u w:val="single"/>
          <w:lang w:val="en-US" w:eastAsia="zh-CN"/>
        </w:rPr>
        <w:t>根据采购文件要求填写；</w:t>
      </w:r>
    </w:p>
    <w:p w14:paraId="23A11059">
      <w:pPr>
        <w:pStyle w:val="31"/>
        <w:keepNext w:val="0"/>
        <w:keepLines w:val="0"/>
        <w:pageBreakBefore w:val="0"/>
        <w:kinsoku/>
        <w:wordWrap/>
        <w:topLinePunct w:val="0"/>
        <w:bidi w:val="0"/>
        <w:snapToGrid w:val="0"/>
        <w:spacing w:line="460" w:lineRule="exact"/>
        <w:ind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四、质量保证和售后服务</w:t>
      </w:r>
    </w:p>
    <w:p w14:paraId="1BAA6BFF">
      <w:pPr>
        <w:pStyle w:val="31"/>
        <w:keepNext w:val="0"/>
        <w:keepLines w:val="0"/>
        <w:pageBreakBefore w:val="0"/>
        <w:kinsoku/>
        <w:wordWrap/>
        <w:topLinePunct w:val="0"/>
        <w:bidi w:val="0"/>
        <w:snapToGrid w:val="0"/>
        <w:spacing w:line="46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卖方保证本合同中所供应的图书符合国家规定和质量标准的正版图书；如发生所供图书与本合同及样书（若有封存）不符，买方有权拒收或退货，由此产生的一切责任和后果由卖方承担。如有质量问题，卖方无条件免费调换。</w:t>
      </w:r>
    </w:p>
    <w:p w14:paraId="54ED2EEA">
      <w:pPr>
        <w:pStyle w:val="31"/>
        <w:keepNext w:val="0"/>
        <w:keepLines w:val="0"/>
        <w:pageBreakBefore w:val="0"/>
        <w:kinsoku/>
        <w:wordWrap/>
        <w:topLinePunct w:val="0"/>
        <w:bidi w:val="0"/>
        <w:snapToGrid w:val="0"/>
        <w:spacing w:line="46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2、卖方保证所供图书按照买方的要求，分校包装送达用户所在地，如出现图书包装混乱不清的情况，最迟在3个工作日内派人到现场处理，一切费用由卖方承担，并将赔偿由此给买方带来的损失。</w:t>
      </w:r>
    </w:p>
    <w:p w14:paraId="090EE38B">
      <w:pPr>
        <w:pStyle w:val="31"/>
        <w:keepNext w:val="0"/>
        <w:keepLines w:val="0"/>
        <w:pageBreakBefore w:val="0"/>
        <w:kinsoku/>
        <w:wordWrap/>
        <w:topLinePunct w:val="0"/>
        <w:bidi w:val="0"/>
        <w:snapToGrid w:val="0"/>
        <w:spacing w:line="46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3、卖方将所供图书运至用户单位后，由用户负责验收，买方和各所属学校教育技术管理部门负责监督。</w:t>
      </w:r>
    </w:p>
    <w:p w14:paraId="4F2E0DA6">
      <w:pPr>
        <w:pStyle w:val="22"/>
        <w:keepNext w:val="0"/>
        <w:keepLines w:val="0"/>
        <w:pageBreakBefore w:val="0"/>
        <w:kinsoku/>
        <w:wordWrap/>
        <w:topLinePunct w:val="0"/>
        <w:bidi w:val="0"/>
        <w:spacing w:line="460" w:lineRule="exact"/>
        <w:ind w:firstLine="210"/>
        <w:rPr>
          <w:rFonts w:hint="eastAsia" w:ascii="宋体" w:hAnsi="宋体" w:eastAsia="宋体" w:cs="宋体"/>
          <w:color w:val="auto"/>
          <w:highlight w:val="none"/>
        </w:rPr>
      </w:pPr>
    </w:p>
    <w:p w14:paraId="7F1F0D42">
      <w:pPr>
        <w:keepNext w:val="0"/>
        <w:keepLines w:val="0"/>
        <w:pageBreakBefore w:val="0"/>
        <w:kinsoku/>
        <w:wordWrap/>
        <w:topLinePunct w:val="0"/>
        <w:bidi w:val="0"/>
        <w:spacing w:line="460" w:lineRule="exact"/>
        <w:rPr>
          <w:rFonts w:hint="eastAsia" w:ascii="宋体" w:hAnsi="宋体" w:eastAsia="宋体" w:cs="宋体"/>
          <w:color w:val="auto"/>
          <w:sz w:val="36"/>
          <w:szCs w:val="36"/>
          <w:highlight w:val="none"/>
          <w:lang w:val="en-US" w:eastAsia="zh-CN"/>
        </w:rPr>
      </w:pPr>
      <w:bookmarkStart w:id="26" w:name="_Toc227489894"/>
      <w:bookmarkStart w:id="27" w:name="_Toc216667827"/>
      <w:bookmarkStart w:id="28" w:name="_Toc215415537"/>
      <w:bookmarkStart w:id="29" w:name="_Toc227056853"/>
      <w:bookmarkStart w:id="30" w:name="_Toc219538620"/>
      <w:bookmarkStart w:id="31" w:name="_Toc227057040"/>
      <w:bookmarkStart w:id="32" w:name="_Toc223933228"/>
      <w:bookmarkStart w:id="33" w:name="_Toc223717611"/>
      <w:bookmarkStart w:id="34" w:name="_Toc218041733"/>
      <w:bookmarkStart w:id="35" w:name="_Toc217460692"/>
      <w:bookmarkStart w:id="36" w:name="_Toc526952839"/>
      <w:bookmarkStart w:id="37" w:name="_Toc495924612"/>
      <w:r>
        <w:rPr>
          <w:rFonts w:hint="eastAsia" w:ascii="宋体" w:hAnsi="宋体" w:eastAsia="宋体" w:cs="宋体"/>
          <w:color w:val="auto"/>
          <w:sz w:val="36"/>
          <w:szCs w:val="36"/>
          <w:highlight w:val="none"/>
          <w:lang w:val="en-US" w:eastAsia="zh-CN"/>
        </w:rPr>
        <w:br w:type="page"/>
      </w:r>
    </w:p>
    <w:p w14:paraId="7A66B8DF">
      <w:pPr>
        <w:keepNext w:val="0"/>
        <w:keepLines w:val="0"/>
        <w:pageBreakBefore w:val="0"/>
        <w:kinsoku/>
        <w:wordWrap/>
        <w:topLinePunct w:val="0"/>
        <w:bidi w:val="0"/>
        <w:spacing w:before="240" w:beforeLines="100" w:line="460" w:lineRule="exact"/>
        <w:jc w:val="center"/>
        <w:outlineLvl w:val="9"/>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en-US" w:eastAsia="zh-CN"/>
        </w:rPr>
        <w:t>三、</w:t>
      </w:r>
      <w:r>
        <w:rPr>
          <w:rFonts w:hint="eastAsia" w:ascii="宋体" w:hAnsi="宋体" w:eastAsia="宋体" w:cs="宋体"/>
          <w:b/>
          <w:bCs/>
          <w:color w:val="auto"/>
          <w:sz w:val="36"/>
          <w:szCs w:val="36"/>
          <w:highlight w:val="none"/>
        </w:rPr>
        <w:t>合同</w:t>
      </w:r>
      <w:bookmarkEnd w:id="26"/>
      <w:bookmarkEnd w:id="27"/>
      <w:bookmarkEnd w:id="28"/>
      <w:bookmarkEnd w:id="29"/>
      <w:bookmarkEnd w:id="30"/>
      <w:bookmarkEnd w:id="31"/>
      <w:bookmarkEnd w:id="32"/>
      <w:bookmarkEnd w:id="33"/>
      <w:bookmarkEnd w:id="34"/>
      <w:bookmarkEnd w:id="35"/>
      <w:r>
        <w:rPr>
          <w:rFonts w:hint="eastAsia" w:ascii="宋体" w:hAnsi="宋体" w:eastAsia="宋体" w:cs="宋体"/>
          <w:b/>
          <w:bCs/>
          <w:color w:val="auto"/>
          <w:sz w:val="36"/>
          <w:szCs w:val="36"/>
          <w:highlight w:val="none"/>
        </w:rPr>
        <w:t>协议书</w:t>
      </w:r>
      <w:bookmarkEnd w:id="36"/>
      <w:bookmarkEnd w:id="37"/>
    </w:p>
    <w:p w14:paraId="0E10A41E">
      <w:pPr>
        <w:pStyle w:val="31"/>
        <w:keepNext w:val="0"/>
        <w:keepLines w:val="0"/>
        <w:pageBreakBefore w:val="0"/>
        <w:widowControl w:val="0"/>
        <w:tabs>
          <w:tab w:val="left" w:pos="1651"/>
          <w:tab w:val="left" w:pos="3828"/>
        </w:tabs>
        <w:kinsoku/>
        <w:wordWrap/>
        <w:overflowPunct/>
        <w:topLinePunct w:val="0"/>
        <w:autoSpaceDE/>
        <w:autoSpaceDN/>
        <w:bidi w:val="0"/>
        <w:adjustRightInd/>
        <w:snapToGrid/>
        <w:spacing w:line="400" w:lineRule="exact"/>
        <w:ind w:firstLine="442"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受</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，以公开招标方式采购温州市龙湾区教育技术服务中心</w:t>
      </w:r>
      <w:r>
        <w:rPr>
          <w:rFonts w:hint="eastAsia" w:ascii="宋体" w:hAnsi="宋体" w:eastAsia="宋体" w:cs="宋体"/>
          <w:color w:val="auto"/>
          <w:sz w:val="22"/>
          <w:highlight w:val="none"/>
          <w:lang w:eastAsia="zh-CN"/>
        </w:rPr>
        <w:t>202</w:t>
      </w:r>
      <w:r>
        <w:rPr>
          <w:rFonts w:hint="eastAsia" w:ascii="宋体" w:hAnsi="宋体" w:eastAsia="宋体" w:cs="宋体"/>
          <w:color w:val="auto"/>
          <w:sz w:val="22"/>
          <w:highlight w:val="none"/>
          <w:lang w:val="en-US" w:eastAsia="zh-CN"/>
        </w:rPr>
        <w:t>5</w:t>
      </w:r>
      <w:r>
        <w:rPr>
          <w:rFonts w:hint="eastAsia" w:ascii="宋体" w:hAnsi="宋体" w:eastAsia="宋体" w:cs="宋体"/>
          <w:color w:val="auto"/>
          <w:sz w:val="22"/>
          <w:highlight w:val="none"/>
          <w:lang w:eastAsia="zh-CN"/>
        </w:rPr>
        <w:t>年</w:t>
      </w:r>
      <w:r>
        <w:rPr>
          <w:rFonts w:hint="eastAsia" w:ascii="宋体" w:hAnsi="宋体" w:eastAsia="宋体" w:cs="宋体"/>
          <w:color w:val="auto"/>
          <w:sz w:val="22"/>
          <w:highlight w:val="none"/>
        </w:rPr>
        <w:t>学校图书（招标编号：</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），经采购人定标</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为中标人。买、卖双方同意按照下面的条款和条件，签署本合同。</w:t>
      </w:r>
    </w:p>
    <w:p w14:paraId="5C37AE70">
      <w:pPr>
        <w:keepNext w:val="0"/>
        <w:keepLines w:val="0"/>
        <w:pageBreakBefore w:val="0"/>
        <w:widowControl w:val="0"/>
        <w:numPr>
          <w:ilvl w:val="1"/>
          <w:numId w:val="3"/>
        </w:numPr>
        <w:tabs>
          <w:tab w:val="left" w:pos="900"/>
          <w:tab w:val="clear" w:pos="840"/>
        </w:tabs>
        <w:kinsoku/>
        <w:wordWrap/>
        <w:overflowPunct/>
        <w:topLinePunct w:val="0"/>
        <w:autoSpaceDE/>
        <w:autoSpaceDN/>
        <w:bidi w:val="0"/>
        <w:adjustRightInd/>
        <w:snapToGrid/>
        <w:spacing w:line="400" w:lineRule="exact"/>
        <w:ind w:left="900" w:hanging="480"/>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合同文件</w:t>
      </w:r>
    </w:p>
    <w:p w14:paraId="7C898B7B">
      <w:pPr>
        <w:pStyle w:val="31"/>
        <w:keepNext w:val="0"/>
        <w:keepLines w:val="0"/>
        <w:pageBreakBefore w:val="0"/>
        <w:widowControl w:val="0"/>
        <w:tabs>
          <w:tab w:val="left" w:pos="1651"/>
          <w:tab w:val="left" w:pos="3828"/>
        </w:tabs>
        <w:kinsoku/>
        <w:wordWrap/>
        <w:overflowPunct/>
        <w:topLinePunct w:val="0"/>
        <w:autoSpaceDE/>
        <w:autoSpaceDN/>
        <w:bidi w:val="0"/>
        <w:adjustRightInd/>
        <w:snapToGrid/>
        <w:spacing w:line="400" w:lineRule="exact"/>
        <w:ind w:left="420" w:leftChars="200" w:firstLine="526" w:firstLineChars="238"/>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下列文件构成整个合同不可分割的整体，各文件相互补充，若有不明确或不一致之处，以下列次序在先者为准。</w:t>
      </w:r>
    </w:p>
    <w:p w14:paraId="1FD91D1E">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合同协议书；</w:t>
      </w:r>
    </w:p>
    <w:p w14:paraId="7CC0510A">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中标通知书；</w:t>
      </w:r>
    </w:p>
    <w:p w14:paraId="26060DE6">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技术条款、商务条款偏离表</w:t>
      </w:r>
      <w:r>
        <w:rPr>
          <w:rFonts w:hint="eastAsia" w:ascii="宋体" w:hAnsi="宋体" w:eastAsia="宋体" w:cs="宋体"/>
          <w:color w:val="auto"/>
          <w:kern w:val="0"/>
          <w:sz w:val="22"/>
          <w:szCs w:val="22"/>
          <w:highlight w:val="none"/>
        </w:rPr>
        <w:t>；</w:t>
      </w:r>
    </w:p>
    <w:p w14:paraId="04B14203">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合同条款</w:t>
      </w:r>
      <w:r>
        <w:rPr>
          <w:rFonts w:hint="eastAsia" w:ascii="宋体" w:hAnsi="宋体" w:eastAsia="宋体" w:cs="宋体"/>
          <w:color w:val="auto"/>
          <w:kern w:val="0"/>
          <w:sz w:val="22"/>
          <w:szCs w:val="22"/>
          <w:highlight w:val="none"/>
        </w:rPr>
        <w:t>；</w:t>
      </w:r>
    </w:p>
    <w:p w14:paraId="71B60073">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投标技术和服务响应方案</w:t>
      </w:r>
      <w:r>
        <w:rPr>
          <w:rFonts w:hint="eastAsia" w:ascii="宋体" w:hAnsi="宋体" w:eastAsia="宋体" w:cs="宋体"/>
          <w:color w:val="auto"/>
          <w:kern w:val="0"/>
          <w:sz w:val="22"/>
          <w:szCs w:val="22"/>
          <w:highlight w:val="none"/>
        </w:rPr>
        <w:t>；</w:t>
      </w:r>
    </w:p>
    <w:p w14:paraId="54B618CF">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商定的补充协议或合同期内经双方签署的备忘录；</w:t>
      </w:r>
    </w:p>
    <w:p w14:paraId="25C71BD5">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与本合同有关的其他文件（含招投标过程中双方的来往文件）。</w:t>
      </w:r>
    </w:p>
    <w:p w14:paraId="00B198B2">
      <w:pPr>
        <w:keepNext w:val="0"/>
        <w:keepLines w:val="0"/>
        <w:pageBreakBefore w:val="0"/>
        <w:widowControl w:val="0"/>
        <w:numPr>
          <w:ilvl w:val="1"/>
          <w:numId w:val="3"/>
        </w:numPr>
        <w:tabs>
          <w:tab w:val="left" w:pos="900"/>
          <w:tab w:val="clear" w:pos="840"/>
        </w:tabs>
        <w:kinsoku/>
        <w:wordWrap/>
        <w:overflowPunct/>
        <w:topLinePunct w:val="0"/>
        <w:autoSpaceDE/>
        <w:autoSpaceDN/>
        <w:bidi w:val="0"/>
        <w:adjustRightInd/>
        <w:snapToGrid/>
        <w:spacing w:line="400" w:lineRule="exact"/>
        <w:ind w:left="900" w:hanging="480"/>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合同范围和条件</w:t>
      </w:r>
    </w:p>
    <w:p w14:paraId="4632198A">
      <w:pPr>
        <w:keepNext w:val="0"/>
        <w:keepLines w:val="0"/>
        <w:pageBreakBefore w:val="0"/>
        <w:widowControl w:val="0"/>
        <w:kinsoku/>
        <w:wordWrap/>
        <w:overflowPunct/>
        <w:topLinePunct w:val="0"/>
        <w:autoSpaceDE/>
        <w:autoSpaceDN/>
        <w:bidi w:val="0"/>
        <w:adjustRightInd/>
        <w:snapToGrid/>
        <w:spacing w:line="400" w:lineRule="exact"/>
        <w:ind w:left="899" w:leftChars="428"/>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本合同范围和条件应与上述合同文件规定的内容相一致。</w:t>
      </w:r>
    </w:p>
    <w:p w14:paraId="248D65CC">
      <w:pPr>
        <w:keepNext w:val="0"/>
        <w:keepLines w:val="0"/>
        <w:pageBreakBefore w:val="0"/>
        <w:widowControl w:val="0"/>
        <w:numPr>
          <w:ilvl w:val="1"/>
          <w:numId w:val="3"/>
        </w:numPr>
        <w:tabs>
          <w:tab w:val="left" w:pos="900"/>
          <w:tab w:val="clear" w:pos="840"/>
        </w:tabs>
        <w:kinsoku/>
        <w:wordWrap/>
        <w:overflowPunct/>
        <w:topLinePunct w:val="0"/>
        <w:autoSpaceDE/>
        <w:autoSpaceDN/>
        <w:bidi w:val="0"/>
        <w:adjustRightInd/>
        <w:snapToGrid/>
        <w:spacing w:line="400" w:lineRule="exact"/>
        <w:ind w:left="900" w:hanging="480"/>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项目和工程量</w:t>
      </w:r>
    </w:p>
    <w:p w14:paraId="3791E52C">
      <w:pPr>
        <w:keepNext w:val="0"/>
        <w:keepLines w:val="0"/>
        <w:pageBreakBefore w:val="0"/>
        <w:widowControl w:val="0"/>
        <w:kinsoku/>
        <w:wordWrap/>
        <w:overflowPunct/>
        <w:topLinePunct w:val="0"/>
        <w:autoSpaceDE/>
        <w:autoSpaceDN/>
        <w:bidi w:val="0"/>
        <w:adjustRightInd/>
        <w:snapToGrid/>
        <w:spacing w:line="400" w:lineRule="exact"/>
        <w:ind w:left="899" w:leftChars="428"/>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本合同要求提供的项目内容及要求见招标文件。</w:t>
      </w:r>
    </w:p>
    <w:p w14:paraId="049B6ECB">
      <w:pPr>
        <w:keepNext w:val="0"/>
        <w:keepLines w:val="0"/>
        <w:pageBreakBefore w:val="0"/>
        <w:widowControl w:val="0"/>
        <w:numPr>
          <w:ilvl w:val="1"/>
          <w:numId w:val="3"/>
        </w:numPr>
        <w:tabs>
          <w:tab w:val="left" w:pos="900"/>
          <w:tab w:val="clear" w:pos="840"/>
        </w:tabs>
        <w:kinsoku/>
        <w:wordWrap/>
        <w:overflowPunct/>
        <w:topLinePunct w:val="0"/>
        <w:autoSpaceDE/>
        <w:autoSpaceDN/>
        <w:bidi w:val="0"/>
        <w:adjustRightInd/>
        <w:snapToGrid/>
        <w:spacing w:line="400" w:lineRule="exact"/>
        <w:ind w:left="900" w:hanging="480"/>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合同总价</w:t>
      </w:r>
    </w:p>
    <w:p w14:paraId="56CE9FAB">
      <w:pPr>
        <w:keepNext w:val="0"/>
        <w:keepLines w:val="0"/>
        <w:pageBreakBefore w:val="0"/>
        <w:widowControl w:val="0"/>
        <w:kinsoku/>
        <w:wordWrap/>
        <w:overflowPunct/>
        <w:topLinePunct w:val="0"/>
        <w:autoSpaceDE/>
        <w:autoSpaceDN/>
        <w:bidi w:val="0"/>
        <w:adjustRightInd/>
        <w:snapToGrid/>
        <w:spacing w:line="400" w:lineRule="exact"/>
        <w:ind w:left="899" w:leftChars="428"/>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本合同总价为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人民币。</w:t>
      </w:r>
    </w:p>
    <w:p w14:paraId="6FA2B455">
      <w:pPr>
        <w:keepNext w:val="0"/>
        <w:keepLines w:val="0"/>
        <w:pageBreakBefore w:val="0"/>
        <w:widowControl w:val="0"/>
        <w:numPr>
          <w:ilvl w:val="1"/>
          <w:numId w:val="3"/>
        </w:numPr>
        <w:tabs>
          <w:tab w:val="left" w:pos="900"/>
          <w:tab w:val="clear" w:pos="840"/>
        </w:tabs>
        <w:kinsoku/>
        <w:wordWrap/>
        <w:overflowPunct/>
        <w:topLinePunct w:val="0"/>
        <w:autoSpaceDE/>
        <w:autoSpaceDN/>
        <w:bidi w:val="0"/>
        <w:adjustRightInd/>
        <w:snapToGrid/>
        <w:spacing w:line="400" w:lineRule="exact"/>
        <w:ind w:left="900" w:hanging="480"/>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付款方式</w:t>
      </w:r>
    </w:p>
    <w:p w14:paraId="4AD010F0">
      <w:pPr>
        <w:keepNext w:val="0"/>
        <w:keepLines w:val="0"/>
        <w:pageBreakBefore w:val="0"/>
        <w:widowControl w:val="0"/>
        <w:kinsoku/>
        <w:wordWrap/>
        <w:overflowPunct/>
        <w:topLinePunct w:val="0"/>
        <w:autoSpaceDE/>
        <w:autoSpaceDN/>
        <w:bidi w:val="0"/>
        <w:adjustRightInd/>
        <w:snapToGrid/>
        <w:spacing w:line="400" w:lineRule="exact"/>
        <w:ind w:left="899" w:leftChars="428"/>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本合同的付款方式在合同条款中已规定。</w:t>
      </w:r>
    </w:p>
    <w:p w14:paraId="58A73BEA">
      <w:pPr>
        <w:keepNext w:val="0"/>
        <w:keepLines w:val="0"/>
        <w:pageBreakBefore w:val="0"/>
        <w:widowControl w:val="0"/>
        <w:numPr>
          <w:ilvl w:val="1"/>
          <w:numId w:val="3"/>
        </w:numPr>
        <w:tabs>
          <w:tab w:val="left" w:pos="900"/>
          <w:tab w:val="clear" w:pos="840"/>
        </w:tabs>
        <w:kinsoku/>
        <w:wordWrap/>
        <w:overflowPunct/>
        <w:topLinePunct w:val="0"/>
        <w:autoSpaceDE/>
        <w:autoSpaceDN/>
        <w:bidi w:val="0"/>
        <w:adjustRightInd/>
        <w:snapToGrid/>
        <w:spacing w:line="400" w:lineRule="exact"/>
        <w:ind w:left="900" w:hanging="480"/>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交货时间及地点</w:t>
      </w:r>
    </w:p>
    <w:p w14:paraId="059BC831">
      <w:pPr>
        <w:keepNext w:val="0"/>
        <w:keepLines w:val="0"/>
        <w:pageBreakBefore w:val="0"/>
        <w:widowControl w:val="0"/>
        <w:kinsoku/>
        <w:wordWrap/>
        <w:overflowPunct/>
        <w:topLinePunct w:val="0"/>
        <w:autoSpaceDE/>
        <w:autoSpaceDN/>
        <w:bidi w:val="0"/>
        <w:adjustRightInd/>
        <w:snapToGrid/>
        <w:spacing w:line="400" w:lineRule="exact"/>
        <w:ind w:left="420" w:leftChars="200" w:firstLine="550" w:firstLineChars="250"/>
        <w:textAlignment w:val="auto"/>
        <w:rPr>
          <w:rFonts w:hint="eastAsia" w:ascii="宋体" w:hAnsi="宋体" w:eastAsia="宋体" w:cs="宋体"/>
          <w:b/>
          <w:bCs/>
          <w:color w:val="auto"/>
          <w:kern w:val="0"/>
          <w:sz w:val="22"/>
          <w:szCs w:val="22"/>
          <w:highlight w:val="none"/>
        </w:rPr>
      </w:pPr>
      <w:r>
        <w:rPr>
          <w:rFonts w:hint="eastAsia" w:ascii="宋体" w:hAnsi="宋体" w:eastAsia="宋体" w:cs="宋体"/>
          <w:color w:val="auto"/>
          <w:kern w:val="0"/>
          <w:sz w:val="22"/>
          <w:szCs w:val="22"/>
          <w:highlight w:val="none"/>
        </w:rPr>
        <w:t>本合同的交货时间及地点详见合同条款。</w:t>
      </w:r>
    </w:p>
    <w:p w14:paraId="7D67B564">
      <w:pPr>
        <w:keepNext w:val="0"/>
        <w:keepLines w:val="0"/>
        <w:pageBreakBefore w:val="0"/>
        <w:widowControl w:val="0"/>
        <w:numPr>
          <w:ilvl w:val="1"/>
          <w:numId w:val="3"/>
        </w:numPr>
        <w:tabs>
          <w:tab w:val="left" w:pos="900"/>
          <w:tab w:val="clear" w:pos="840"/>
        </w:tabs>
        <w:kinsoku/>
        <w:wordWrap/>
        <w:overflowPunct/>
        <w:topLinePunct w:val="0"/>
        <w:autoSpaceDE/>
        <w:autoSpaceDN/>
        <w:bidi w:val="0"/>
        <w:adjustRightInd/>
        <w:snapToGrid/>
        <w:spacing w:line="400" w:lineRule="exact"/>
        <w:ind w:left="900" w:hanging="480"/>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合同生效</w:t>
      </w:r>
    </w:p>
    <w:p w14:paraId="528A244A">
      <w:pPr>
        <w:keepNext w:val="0"/>
        <w:keepLines w:val="0"/>
        <w:pageBreakBefore w:val="0"/>
        <w:widowControl w:val="0"/>
        <w:kinsoku/>
        <w:wordWrap/>
        <w:overflowPunct/>
        <w:topLinePunct w:val="0"/>
        <w:autoSpaceDE/>
        <w:autoSpaceDN/>
        <w:bidi w:val="0"/>
        <w:adjustRightInd/>
        <w:snapToGrid/>
        <w:spacing w:line="400" w:lineRule="exact"/>
        <w:ind w:left="899" w:leftChars="428"/>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本合同经双方授权代表签署，买卖双方加盖印章后生效。</w:t>
      </w:r>
    </w:p>
    <w:p w14:paraId="3B43655E">
      <w:pPr>
        <w:keepNext w:val="0"/>
        <w:keepLines w:val="0"/>
        <w:pageBreakBefore w:val="0"/>
        <w:widowControl w:val="0"/>
        <w:kinsoku/>
        <w:wordWrap/>
        <w:overflowPunct/>
        <w:topLinePunct w:val="0"/>
        <w:autoSpaceDE/>
        <w:autoSpaceDN/>
        <w:bidi w:val="0"/>
        <w:adjustRightInd/>
        <w:snapToGrid/>
        <w:spacing w:line="400" w:lineRule="exact"/>
        <w:ind w:firstLine="941" w:firstLineChars="428"/>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买方：（盖章）                       卖方：（盖章）</w:t>
      </w:r>
    </w:p>
    <w:p w14:paraId="6A8AB574">
      <w:pPr>
        <w:keepNext w:val="0"/>
        <w:keepLines w:val="0"/>
        <w:pageBreakBefore w:val="0"/>
        <w:widowControl w:val="0"/>
        <w:kinsoku/>
        <w:wordWrap/>
        <w:overflowPunct/>
        <w:topLinePunct w:val="0"/>
        <w:autoSpaceDE/>
        <w:autoSpaceDN/>
        <w:bidi w:val="0"/>
        <w:adjustRightInd/>
        <w:snapToGrid/>
        <w:spacing w:line="400" w:lineRule="exact"/>
        <w:ind w:firstLine="941" w:firstLineChars="428"/>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全权代表：（签字）                   全权代表：（签字）</w:t>
      </w:r>
    </w:p>
    <w:p w14:paraId="6668F286">
      <w:pPr>
        <w:keepNext w:val="0"/>
        <w:keepLines w:val="0"/>
        <w:pageBreakBefore w:val="0"/>
        <w:widowControl w:val="0"/>
        <w:kinsoku/>
        <w:wordWrap/>
        <w:overflowPunct/>
        <w:topLinePunct w:val="0"/>
        <w:autoSpaceDE/>
        <w:autoSpaceDN/>
        <w:bidi w:val="0"/>
        <w:adjustRightInd/>
        <w:snapToGrid/>
        <w:spacing w:line="400" w:lineRule="exact"/>
        <w:ind w:firstLine="941" w:firstLineChars="428"/>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地址：                               地址：</w:t>
      </w:r>
    </w:p>
    <w:p w14:paraId="615BA2D4">
      <w:pPr>
        <w:keepNext w:val="0"/>
        <w:keepLines w:val="0"/>
        <w:pageBreakBefore w:val="0"/>
        <w:widowControl w:val="0"/>
        <w:kinsoku/>
        <w:wordWrap/>
        <w:overflowPunct/>
        <w:topLinePunct w:val="0"/>
        <w:autoSpaceDE/>
        <w:autoSpaceDN/>
        <w:bidi w:val="0"/>
        <w:adjustRightInd/>
        <w:snapToGrid/>
        <w:spacing w:line="400" w:lineRule="exact"/>
        <w:ind w:firstLine="941" w:firstLineChars="428"/>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邮政编码：                           邮政编码：</w:t>
      </w:r>
    </w:p>
    <w:p w14:paraId="5B578786">
      <w:pPr>
        <w:keepNext w:val="0"/>
        <w:keepLines w:val="0"/>
        <w:pageBreakBefore w:val="0"/>
        <w:widowControl w:val="0"/>
        <w:kinsoku/>
        <w:wordWrap/>
        <w:overflowPunct/>
        <w:topLinePunct w:val="0"/>
        <w:autoSpaceDE/>
        <w:autoSpaceDN/>
        <w:bidi w:val="0"/>
        <w:adjustRightInd/>
        <w:snapToGrid/>
        <w:spacing w:line="400" w:lineRule="exact"/>
        <w:ind w:firstLine="941" w:firstLineChars="428"/>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电话：                               电话：</w:t>
      </w:r>
    </w:p>
    <w:p w14:paraId="4F802BCD">
      <w:pPr>
        <w:keepNext w:val="0"/>
        <w:keepLines w:val="0"/>
        <w:pageBreakBefore w:val="0"/>
        <w:widowControl w:val="0"/>
        <w:kinsoku/>
        <w:wordWrap/>
        <w:overflowPunct/>
        <w:topLinePunct w:val="0"/>
        <w:autoSpaceDE/>
        <w:autoSpaceDN/>
        <w:bidi w:val="0"/>
        <w:adjustRightInd/>
        <w:snapToGrid/>
        <w:spacing w:line="400" w:lineRule="exact"/>
        <w:ind w:firstLine="941" w:firstLineChars="428"/>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传真：                               传真：</w:t>
      </w:r>
    </w:p>
    <w:p w14:paraId="2CAD7E17">
      <w:pPr>
        <w:keepNext w:val="0"/>
        <w:keepLines w:val="0"/>
        <w:pageBreakBefore w:val="0"/>
        <w:widowControl w:val="0"/>
        <w:kinsoku/>
        <w:wordWrap/>
        <w:overflowPunct/>
        <w:topLinePunct w:val="0"/>
        <w:autoSpaceDE/>
        <w:autoSpaceDN/>
        <w:bidi w:val="0"/>
        <w:adjustRightInd/>
        <w:snapToGrid/>
        <w:spacing w:line="400" w:lineRule="exact"/>
        <w:ind w:firstLine="941" w:firstLineChars="428"/>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开户银行：                           开户银行：</w:t>
      </w:r>
    </w:p>
    <w:p w14:paraId="0814E046">
      <w:pPr>
        <w:keepNext w:val="0"/>
        <w:keepLines w:val="0"/>
        <w:pageBreakBefore w:val="0"/>
        <w:widowControl w:val="0"/>
        <w:kinsoku/>
        <w:wordWrap/>
        <w:overflowPunct/>
        <w:topLinePunct w:val="0"/>
        <w:autoSpaceDE/>
        <w:autoSpaceDN/>
        <w:bidi w:val="0"/>
        <w:adjustRightInd/>
        <w:snapToGrid/>
        <w:spacing w:line="400" w:lineRule="exact"/>
        <w:ind w:firstLine="941" w:firstLineChars="428"/>
        <w:textAlignment w:val="auto"/>
        <w:rPr>
          <w:rFonts w:ascii="宋体" w:hAnsi="宋体"/>
          <w:color w:val="auto"/>
          <w:kern w:val="0"/>
          <w:sz w:val="22"/>
          <w:szCs w:val="22"/>
          <w:highlight w:val="none"/>
        </w:rPr>
      </w:pPr>
      <w:r>
        <w:rPr>
          <w:rFonts w:hint="eastAsia" w:ascii="宋体" w:hAnsi="宋体" w:eastAsia="宋体" w:cs="宋体"/>
          <w:color w:val="auto"/>
          <w:kern w:val="0"/>
          <w:sz w:val="22"/>
          <w:szCs w:val="22"/>
          <w:highlight w:val="none"/>
        </w:rPr>
        <w:t>帐号：                               帐号：</w:t>
      </w:r>
      <w:r>
        <w:rPr>
          <w:rFonts w:hint="eastAsia" w:ascii="宋体" w:hAnsi="宋体"/>
          <w:color w:val="auto"/>
          <w:kern w:val="0"/>
          <w:sz w:val="22"/>
          <w:szCs w:val="22"/>
          <w:highlight w:val="none"/>
        </w:rPr>
        <w:t xml:space="preserve">   </w:t>
      </w:r>
    </w:p>
    <w:p w14:paraId="70E6DDB9">
      <w:pPr>
        <w:pageBreakBefore w:val="0"/>
        <w:kinsoku/>
        <w:wordWrap w:val="0"/>
        <w:topLinePunct w:val="0"/>
        <w:bidi w:val="0"/>
        <w:rPr>
          <w:rFonts w:hint="eastAsia" w:eastAsia="宋体"/>
          <w:color w:val="auto"/>
          <w:highlight w:val="none"/>
          <w:lang w:eastAsia="zh-CN"/>
        </w:rPr>
      </w:pPr>
    </w:p>
    <w:p w14:paraId="18F4A85E">
      <w:pPr>
        <w:pageBreakBefore w:val="0"/>
        <w:kinsoku/>
        <w:wordWrap w:val="0"/>
        <w:topLinePunct w:val="0"/>
        <w:bidi w:val="0"/>
        <w:spacing w:line="460" w:lineRule="exact"/>
        <w:ind w:firstLine="539" w:firstLineChars="245"/>
        <w:rPr>
          <w:rFonts w:hint="eastAsia" w:ascii="宋体" w:hAnsi="宋体" w:eastAsia="宋体" w:cs="宋体"/>
          <w:color w:val="auto"/>
          <w:sz w:val="22"/>
          <w:szCs w:val="22"/>
          <w:highlight w:val="none"/>
        </w:rPr>
      </w:pPr>
    </w:p>
    <w:p w14:paraId="3E61759B">
      <w:pPr>
        <w:pageBreakBefore w:val="0"/>
        <w:kinsoku/>
        <w:wordWrap w:val="0"/>
        <w:topLinePunct w:val="0"/>
        <w:bidi w:val="0"/>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p>
    <w:p w14:paraId="1A876C4B">
      <w:pPr>
        <w:pStyle w:val="3"/>
        <w:pageBreakBefore w:val="0"/>
        <w:kinsoku/>
        <w:wordWrap w:val="0"/>
        <w:topLinePunct w:val="0"/>
        <w:bidi w:val="0"/>
        <w:rPr>
          <w:rFonts w:hint="eastAsia" w:ascii="宋体" w:hAnsi="宋体" w:eastAsia="宋体" w:cs="宋体"/>
          <w:color w:val="auto"/>
          <w:highlight w:val="none"/>
        </w:rPr>
      </w:pPr>
      <w:bookmarkStart w:id="38" w:name="_Toc18439"/>
      <w:bookmarkStart w:id="39" w:name="_Toc19081"/>
      <w:r>
        <w:rPr>
          <w:rFonts w:hint="eastAsia" w:ascii="宋体" w:hAnsi="宋体" w:eastAsia="宋体" w:cs="宋体"/>
          <w:color w:val="auto"/>
          <w:highlight w:val="none"/>
        </w:rPr>
        <w:t>第三部分    附件</w:t>
      </w:r>
      <w:bookmarkEnd w:id="38"/>
      <w:bookmarkEnd w:id="39"/>
    </w:p>
    <w:p w14:paraId="1CD47297">
      <w:pPr>
        <w:pStyle w:val="24"/>
        <w:pageBreakBefore w:val="0"/>
        <w:kinsoku/>
        <w:wordWrap w:val="0"/>
        <w:topLinePunct w:val="0"/>
        <w:bidi w:val="0"/>
        <w:spacing w:line="460" w:lineRule="exact"/>
        <w:ind w:left="433" w:hanging="433" w:hangingChars="196"/>
        <w:outlineLvl w:val="1"/>
        <w:rPr>
          <w:rFonts w:hint="eastAsia" w:ascii="宋体" w:hAnsi="宋体" w:eastAsia="宋体" w:cs="宋体"/>
          <w:b/>
          <w:color w:val="auto"/>
          <w:sz w:val="22"/>
          <w:highlight w:val="none"/>
        </w:rPr>
      </w:pPr>
      <w:bookmarkStart w:id="40" w:name="_Toc7056"/>
      <w:bookmarkStart w:id="41" w:name="_Toc6368"/>
      <w:r>
        <w:rPr>
          <w:rFonts w:hint="eastAsia" w:ascii="宋体" w:hAnsi="宋体" w:eastAsia="宋体" w:cs="宋体"/>
          <w:b/>
          <w:color w:val="auto"/>
          <w:sz w:val="22"/>
          <w:highlight w:val="none"/>
        </w:rPr>
        <w:t>附件一</w:t>
      </w:r>
      <w:bookmarkEnd w:id="40"/>
      <w:bookmarkEnd w:id="41"/>
    </w:p>
    <w:p w14:paraId="10C8807A">
      <w:pPr>
        <w:pageBreakBefore w:val="0"/>
        <w:kinsoku/>
        <w:wordWrap w:val="0"/>
        <w:topLinePunct w:val="0"/>
        <w:bidi w:val="0"/>
        <w:spacing w:line="400" w:lineRule="exact"/>
        <w:jc w:val="center"/>
        <w:outlineLvl w:val="2"/>
        <w:rPr>
          <w:rFonts w:hint="eastAsia" w:ascii="宋体" w:hAnsi="宋体" w:eastAsia="宋体" w:cs="宋体"/>
          <w:b/>
          <w:bCs/>
          <w:color w:val="auto"/>
          <w:sz w:val="28"/>
          <w:szCs w:val="28"/>
          <w:highlight w:val="none"/>
        </w:rPr>
      </w:pPr>
      <w:bookmarkStart w:id="42" w:name="_Toc13365"/>
      <w:bookmarkStart w:id="43" w:name="_Toc5430"/>
      <w:r>
        <w:rPr>
          <w:rFonts w:hint="eastAsia" w:ascii="宋体" w:hAnsi="宋体" w:eastAsia="宋体" w:cs="宋体"/>
          <w:b/>
          <w:bCs/>
          <w:color w:val="auto"/>
          <w:sz w:val="28"/>
          <w:szCs w:val="28"/>
          <w:highlight w:val="none"/>
        </w:rPr>
        <w:t>报价文件</w:t>
      </w:r>
      <w:bookmarkEnd w:id="42"/>
      <w:bookmarkEnd w:id="43"/>
    </w:p>
    <w:p w14:paraId="68B1FCB8">
      <w:pPr>
        <w:pageBreakBefore w:val="0"/>
        <w:kinsoku/>
        <w:wordWrap w:val="0"/>
        <w:topLinePunct w:val="0"/>
        <w:bidi w:val="0"/>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1、</w:t>
      </w:r>
      <w:r>
        <w:rPr>
          <w:rFonts w:hint="eastAsia" w:ascii="宋体" w:hAnsi="宋体" w:eastAsia="宋体" w:cs="宋体"/>
          <w:b/>
          <w:color w:val="auto"/>
          <w:sz w:val="22"/>
          <w:szCs w:val="22"/>
          <w:highlight w:val="none"/>
          <w:lang w:val="zh-CN"/>
        </w:rPr>
        <w:t>投标函</w:t>
      </w:r>
    </w:p>
    <w:p w14:paraId="7945DDDE">
      <w:pPr>
        <w:pageBreakBefore w:val="0"/>
        <w:kinsoku/>
        <w:wordWrap w:val="0"/>
        <w:topLinePunct w:val="0"/>
        <w:bidi w:val="0"/>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致：</w:t>
      </w:r>
      <w:r>
        <w:rPr>
          <w:rFonts w:hint="eastAsia" w:ascii="宋体" w:hAnsi="宋体" w:cs="宋体"/>
          <w:color w:val="auto"/>
          <w:sz w:val="22"/>
          <w:szCs w:val="22"/>
          <w:highlight w:val="none"/>
          <w:lang w:eastAsia="zh-CN"/>
        </w:rPr>
        <w:t>温州市龙湾区教育技术服务中心</w:t>
      </w:r>
    </w:p>
    <w:p w14:paraId="6BBE0B58">
      <w:pPr>
        <w:pageBreakBefore w:val="0"/>
        <w:kinsoku/>
        <w:wordWrap w:val="0"/>
        <w:topLinePunct w:val="0"/>
        <w:bidi w:val="0"/>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项目（招标编号：</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 xml:space="preserve"> </w:t>
      </w:r>
      <w:r>
        <w:rPr>
          <w:rFonts w:hint="eastAsia" w:ascii="宋体" w:hAnsi="宋体" w:eastAsia="宋体" w:cs="宋体"/>
          <w:color w:val="auto"/>
          <w:sz w:val="22"/>
          <w:szCs w:val="22"/>
          <w:highlight w:val="none"/>
        </w:rPr>
        <w:t>）的投标邀请，我方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（投标人名称）作为投标人正式授权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（授权代表全名，职务）代表我方处理有关本投标的一切事宜。为此：</w:t>
      </w:r>
    </w:p>
    <w:p w14:paraId="28F38433">
      <w:pPr>
        <w:pageBreakBefore w:val="0"/>
        <w:shd w:val="clear" w:color="auto" w:fill="FFFFFF"/>
        <w:kinsoku/>
        <w:wordWrap w:val="0"/>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1、我方同意在投标人</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规定的开标日期起遵守本投标书中的承诺且在投标有效期满之前均具有约束力。</w:t>
      </w:r>
    </w:p>
    <w:p w14:paraId="29DF23A0">
      <w:pPr>
        <w:pageBreakBefore w:val="0"/>
        <w:shd w:val="clear" w:color="auto" w:fill="FFFFFF"/>
        <w:kinsoku/>
        <w:wordWrap w:val="0"/>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2、我方承诺已经具备《中华人民共和国政府采购法》中规定的参加政府采购活动的供应商应当具备的条件：</w:t>
      </w:r>
    </w:p>
    <w:p w14:paraId="1A43B14C">
      <w:pPr>
        <w:pageBreakBefore w:val="0"/>
        <w:shd w:val="clear" w:color="auto" w:fill="FFFFFF"/>
        <w:kinsoku/>
        <w:wordWrap w:val="0"/>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(1)具有独立承担民事责任的能力；</w:t>
      </w:r>
    </w:p>
    <w:p w14:paraId="255020BE">
      <w:pPr>
        <w:pageBreakBefore w:val="0"/>
        <w:shd w:val="clear" w:color="auto" w:fill="FFFFFF"/>
        <w:kinsoku/>
        <w:wordWrap w:val="0"/>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(2)遵守国家法律、行政法规，具有良好的信誉和商业道德；</w:t>
      </w:r>
    </w:p>
    <w:p w14:paraId="554555C6">
      <w:pPr>
        <w:pageBreakBefore w:val="0"/>
        <w:shd w:val="clear" w:color="auto" w:fill="FFFFFF"/>
        <w:kinsoku/>
        <w:wordWrap w:val="0"/>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(3)具有履行合同的能力和良好的履行合同记录；</w:t>
      </w:r>
    </w:p>
    <w:p w14:paraId="74FC35E1">
      <w:pPr>
        <w:pageBreakBefore w:val="0"/>
        <w:shd w:val="clear" w:color="auto" w:fill="FFFFFF"/>
        <w:kinsoku/>
        <w:wordWrap w:val="0"/>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(4)良好的资金、财务状况；</w:t>
      </w:r>
    </w:p>
    <w:p w14:paraId="4B72A2EC">
      <w:pPr>
        <w:pageBreakBefore w:val="0"/>
        <w:shd w:val="clear" w:color="auto" w:fill="FFFFFF"/>
        <w:kinsoku/>
        <w:wordWrap w:val="0"/>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(5)提供的产品和服务符合中国政府规定的相应标准和环保标准；</w:t>
      </w:r>
    </w:p>
    <w:p w14:paraId="00F0BA16">
      <w:pPr>
        <w:pageBreakBefore w:val="0"/>
        <w:shd w:val="clear" w:color="auto" w:fill="FFFFFF"/>
        <w:kinsoku/>
        <w:wordWrap w:val="0"/>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(6)没有违反政府采购法规、政策的记录；</w:t>
      </w:r>
    </w:p>
    <w:p w14:paraId="2614682D">
      <w:pPr>
        <w:pageBreakBefore w:val="0"/>
        <w:shd w:val="clear" w:color="auto" w:fill="FFFFFF"/>
        <w:kinsoku/>
        <w:wordWrap w:val="0"/>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(7)没有发生重大经济纠纷和走私犯罪记录。</w:t>
      </w:r>
    </w:p>
    <w:p w14:paraId="7B085776">
      <w:pPr>
        <w:pageBreakBefore w:val="0"/>
        <w:shd w:val="clear" w:color="auto" w:fill="FFFFFF"/>
        <w:kinsoku/>
        <w:wordWrap w:val="0"/>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3、提供</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规定的全部投标文件，包括资格文件、报价文件、商务技术文件。具体内容为：</w:t>
      </w:r>
    </w:p>
    <w:p w14:paraId="02A6AF9A">
      <w:pPr>
        <w:pageBreakBefore w:val="0"/>
        <w:shd w:val="clear" w:color="auto" w:fill="FFFFFF"/>
        <w:kinsoku/>
        <w:wordWrap w:val="0"/>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(1)资格文件</w:t>
      </w:r>
    </w:p>
    <w:p w14:paraId="531C184E">
      <w:pPr>
        <w:pageBreakBefore w:val="0"/>
        <w:shd w:val="clear" w:color="auto" w:fill="FFFFFF"/>
        <w:kinsoku/>
        <w:wordWrap w:val="0"/>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(2)报价文件；</w:t>
      </w:r>
    </w:p>
    <w:p w14:paraId="3860741A">
      <w:pPr>
        <w:pageBreakBefore w:val="0"/>
        <w:shd w:val="clear" w:color="auto" w:fill="FFFFFF"/>
        <w:kinsoku/>
        <w:wordWrap w:val="0"/>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商务</w:t>
      </w:r>
      <w:r>
        <w:rPr>
          <w:rFonts w:hint="eastAsia" w:ascii="宋体" w:hAnsi="宋体" w:eastAsia="宋体" w:cs="宋体"/>
          <w:color w:val="auto"/>
          <w:kern w:val="0"/>
          <w:sz w:val="22"/>
          <w:szCs w:val="22"/>
          <w:highlight w:val="none"/>
          <w:lang w:val="zh-CN"/>
        </w:rPr>
        <w:t>技术文件</w:t>
      </w:r>
      <w:r>
        <w:rPr>
          <w:rFonts w:hint="eastAsia" w:ascii="宋体" w:hAnsi="宋体" w:eastAsia="宋体" w:cs="宋体"/>
          <w:color w:val="auto"/>
          <w:sz w:val="22"/>
          <w:szCs w:val="22"/>
          <w:highlight w:val="none"/>
        </w:rPr>
        <w:t>；</w:t>
      </w:r>
    </w:p>
    <w:p w14:paraId="4C5E6159">
      <w:pPr>
        <w:pageBreakBefore w:val="0"/>
        <w:shd w:val="clear" w:color="auto" w:fill="FFFFFF"/>
        <w:kinsoku/>
        <w:wordWrap w:val="0"/>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要求投标人提交的全部文件；</w:t>
      </w:r>
    </w:p>
    <w:p w14:paraId="60D6968C">
      <w:pPr>
        <w:pageBreakBefore w:val="0"/>
        <w:shd w:val="clear" w:color="auto" w:fill="FFFFFF"/>
        <w:kinsoku/>
        <w:wordWrap w:val="0"/>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(5)按招标文件要求提供和交付的货物和服务的投标报价详见开标一览表；</w:t>
      </w:r>
    </w:p>
    <w:p w14:paraId="4DA6C8B3">
      <w:pPr>
        <w:pageBreakBefore w:val="0"/>
        <w:shd w:val="clear" w:color="auto" w:fill="FFFFFF"/>
        <w:kinsoku/>
        <w:wordWrap w:val="0"/>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(6)保证忠实地执行双方所签订的合同，并承担合同规定的责任和义务；</w:t>
      </w:r>
    </w:p>
    <w:p w14:paraId="07158A4A">
      <w:pPr>
        <w:pageBreakBefore w:val="0"/>
        <w:shd w:val="clear" w:color="auto" w:fill="FFFFFF"/>
        <w:kinsoku/>
        <w:wordWrap w:val="0"/>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(7)保证遵守招标文件中的其他有关规定。</w:t>
      </w:r>
    </w:p>
    <w:p w14:paraId="1BAC5142">
      <w:pPr>
        <w:pageBreakBefore w:val="0"/>
        <w:shd w:val="clear" w:color="auto" w:fill="FFFFFF"/>
        <w:kinsoku/>
        <w:wordWrap w:val="0"/>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4、投标有效期内不撤销投标文件，如中标，有效期将延至合同终止日为止。</w:t>
      </w:r>
    </w:p>
    <w:p w14:paraId="08F5D118">
      <w:pPr>
        <w:pageBreakBefore w:val="0"/>
        <w:shd w:val="clear" w:color="auto" w:fill="FFFFFF"/>
        <w:kinsoku/>
        <w:wordWrap w:val="0"/>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5、我方完全理解贵方不一定要接受最低价的投标。</w:t>
      </w:r>
    </w:p>
    <w:p w14:paraId="6D1D67BA">
      <w:pPr>
        <w:pageBreakBefore w:val="0"/>
        <w:shd w:val="clear" w:color="auto" w:fill="FFFFFF"/>
        <w:kinsoku/>
        <w:wordWrap w:val="0"/>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14:paraId="225299AD">
      <w:pPr>
        <w:pageBreakBefore w:val="0"/>
        <w:shd w:val="clear" w:color="auto" w:fill="FFFFFF"/>
        <w:kinsoku/>
        <w:wordWrap w:val="0"/>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7、如中标，按招标文件规定的招标代理服务费标准，在领取中标通知书时向招标代理机构支付招标代理服务费。</w:t>
      </w:r>
    </w:p>
    <w:p w14:paraId="14AE7A6D">
      <w:pPr>
        <w:pageBreakBefore w:val="0"/>
        <w:shd w:val="clear" w:color="auto" w:fill="FFFFFF"/>
        <w:kinsoku/>
        <w:wordWrap w:val="0"/>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8、我方愿意向贵方提供任何与该项投标有关的数据、情况和服务资料。若贵方需要，我方愿意提供我方作出的一切承诺的证明材料。</w:t>
      </w:r>
    </w:p>
    <w:p w14:paraId="735113B6">
      <w:pPr>
        <w:pageBreakBefore w:val="0"/>
        <w:shd w:val="clear" w:color="auto" w:fill="FFFFFF"/>
        <w:kinsoku/>
        <w:wordWrap w:val="0"/>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7527DFFB">
      <w:pPr>
        <w:pageBreakBefore w:val="0"/>
        <w:shd w:val="clear" w:color="auto" w:fill="FFFFFF"/>
        <w:kinsoku/>
        <w:wordWrap w:val="0"/>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00D8E25">
      <w:pPr>
        <w:pageBreakBefore w:val="0"/>
        <w:shd w:val="clear" w:color="auto" w:fill="FFFFFF"/>
        <w:kinsoku/>
        <w:wordWrap w:val="0"/>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(1)提供虚假材料谋取中标、成交的；</w:t>
      </w:r>
    </w:p>
    <w:p w14:paraId="09120CF4">
      <w:pPr>
        <w:pageBreakBefore w:val="0"/>
        <w:shd w:val="clear" w:color="auto" w:fill="FFFFFF"/>
        <w:kinsoku/>
        <w:wordWrap w:val="0"/>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(2)采取不正当手段诋毁、排挤其他供应商的；</w:t>
      </w:r>
    </w:p>
    <w:p w14:paraId="09E873AA">
      <w:pPr>
        <w:pageBreakBefore w:val="0"/>
        <w:shd w:val="clear" w:color="auto" w:fill="FFFFFF"/>
        <w:kinsoku/>
        <w:wordWrap w:val="0"/>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(3)与招标人、其它供应商或者招标代理机构恶意串通的；</w:t>
      </w:r>
    </w:p>
    <w:p w14:paraId="20021DD2">
      <w:pPr>
        <w:pageBreakBefore w:val="0"/>
        <w:shd w:val="clear" w:color="auto" w:fill="FFFFFF"/>
        <w:kinsoku/>
        <w:wordWrap w:val="0"/>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(4)向招标人、招标代理机构行贿或者提供其他不正当利益的；</w:t>
      </w:r>
    </w:p>
    <w:p w14:paraId="0D2EA166">
      <w:pPr>
        <w:pageBreakBefore w:val="0"/>
        <w:shd w:val="clear" w:color="auto" w:fill="FFFFFF"/>
        <w:kinsoku/>
        <w:wordWrap w:val="0"/>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(5)在招标采购过程中与招标人进行协商谈判的；</w:t>
      </w:r>
    </w:p>
    <w:p w14:paraId="729057D4">
      <w:pPr>
        <w:pageBreakBefore w:val="0"/>
        <w:shd w:val="clear" w:color="auto" w:fill="FFFFFF"/>
        <w:kinsoku/>
        <w:wordWrap w:val="0"/>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(6)拒绝有关部门监督检查或提供虚假情况的。</w:t>
      </w:r>
    </w:p>
    <w:p w14:paraId="4D02376B">
      <w:pPr>
        <w:pageBreakBefore w:val="0"/>
        <w:shd w:val="clear" w:color="auto" w:fill="FFFFFF"/>
        <w:kinsoku/>
        <w:wordWrap w:val="0"/>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供应商有前款第(1)至(</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)项情形之一的，中标、成交无效。</w:t>
      </w:r>
    </w:p>
    <w:p w14:paraId="70A20873">
      <w:pPr>
        <w:pageBreakBefore w:val="0"/>
        <w:shd w:val="clear" w:color="auto" w:fill="FFFFFF"/>
        <w:kinsoku/>
        <w:wordWrap w:val="0"/>
        <w:topLinePunct w:val="0"/>
        <w:bidi w:val="0"/>
        <w:snapToGrid w:val="0"/>
        <w:spacing w:line="360" w:lineRule="auto"/>
        <w:rPr>
          <w:rFonts w:hint="eastAsia" w:ascii="宋体" w:hAnsi="宋体" w:eastAsia="宋体" w:cs="宋体"/>
          <w:color w:val="auto"/>
          <w:kern w:val="0"/>
          <w:sz w:val="22"/>
          <w:szCs w:val="22"/>
          <w:highlight w:val="none"/>
          <w:lang w:val="zh-CN"/>
        </w:rPr>
      </w:pPr>
    </w:p>
    <w:p w14:paraId="5AED0755">
      <w:pPr>
        <w:pageBreakBefore w:val="0"/>
        <w:shd w:val="clear" w:color="auto" w:fill="FFFFFF"/>
        <w:kinsoku/>
        <w:wordWrap w:val="0"/>
        <w:topLinePunct w:val="0"/>
        <w:bidi w:val="0"/>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法定（授权）代表人（签字）：</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p>
    <w:p w14:paraId="4F900EF1">
      <w:pPr>
        <w:pageBreakBefore w:val="0"/>
        <w:shd w:val="clear" w:color="auto" w:fill="FFFFFF"/>
        <w:kinsoku/>
        <w:wordWrap w:val="0"/>
        <w:topLinePunct w:val="0"/>
        <w:bidi w:val="0"/>
        <w:snapToGrid w:val="0"/>
        <w:spacing w:line="360" w:lineRule="auto"/>
        <w:ind w:firstLine="440" w:firstLineChars="200"/>
        <w:rPr>
          <w:rFonts w:hint="eastAsia" w:ascii="宋体" w:hAnsi="宋体" w:eastAsia="宋体" w:cs="宋体"/>
          <w:color w:val="auto"/>
          <w:kern w:val="0"/>
          <w:sz w:val="22"/>
          <w:szCs w:val="22"/>
          <w:highlight w:val="none"/>
          <w:u w:val="single"/>
          <w:lang w:val="zh-CN"/>
        </w:rPr>
      </w:pPr>
      <w:r>
        <w:rPr>
          <w:rFonts w:hint="eastAsia" w:ascii="宋体" w:hAnsi="宋体" w:eastAsia="宋体" w:cs="宋体"/>
          <w:color w:val="auto"/>
          <w:kern w:val="0"/>
          <w:sz w:val="22"/>
          <w:szCs w:val="22"/>
          <w:highlight w:val="none"/>
          <w:lang w:val="zh-CN"/>
        </w:rPr>
        <w:t>投标人盖 章：</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14:paraId="771145CC">
      <w:pPr>
        <w:pageBreakBefore w:val="0"/>
        <w:shd w:val="clear" w:color="auto" w:fill="FFFFFF"/>
        <w:kinsoku/>
        <w:wordWrap w:val="0"/>
        <w:topLinePunct w:val="0"/>
        <w:bidi w:val="0"/>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 xml:space="preserve">联系电话：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传真：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电子邮件：  </w:t>
      </w:r>
      <w:r>
        <w:rPr>
          <w:rFonts w:hint="eastAsia" w:ascii="宋体" w:hAnsi="宋体" w:eastAsia="宋体" w:cs="宋体"/>
          <w:color w:val="auto"/>
          <w:kern w:val="0"/>
          <w:sz w:val="22"/>
          <w:szCs w:val="22"/>
          <w:highlight w:val="none"/>
          <w:u w:val="single"/>
          <w:lang w:val="zh-CN"/>
        </w:rPr>
        <w:t xml:space="preserve">              </w:t>
      </w:r>
    </w:p>
    <w:p w14:paraId="7BA9DE1E">
      <w:pPr>
        <w:pageBreakBefore w:val="0"/>
        <w:shd w:val="clear" w:color="auto" w:fill="FFFFFF"/>
        <w:kinsoku/>
        <w:wordWrap w:val="0"/>
        <w:topLinePunct w:val="0"/>
        <w:bidi w:val="0"/>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联系地址：</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14:paraId="4EAD97A1">
      <w:pPr>
        <w:pageBreakBefore w:val="0"/>
        <w:shd w:val="clear" w:color="auto" w:fill="FFFFFF"/>
        <w:kinsoku/>
        <w:wordWrap w:val="0"/>
        <w:topLinePunct w:val="0"/>
        <w:bidi w:val="0"/>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邮政编码：</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传真号码：</w:t>
      </w:r>
      <w:r>
        <w:rPr>
          <w:rFonts w:hint="eastAsia" w:ascii="宋体" w:hAnsi="宋体" w:eastAsia="宋体" w:cs="宋体"/>
          <w:color w:val="auto"/>
          <w:kern w:val="0"/>
          <w:sz w:val="22"/>
          <w:szCs w:val="22"/>
          <w:highlight w:val="none"/>
          <w:u w:val="single"/>
          <w:lang w:val="zh-CN"/>
        </w:rPr>
        <w:t xml:space="preserve">                     </w:t>
      </w:r>
    </w:p>
    <w:p w14:paraId="4CA3EC71">
      <w:pPr>
        <w:pageBreakBefore w:val="0"/>
        <w:shd w:val="clear" w:color="auto" w:fill="FFFFFF"/>
        <w:kinsoku/>
        <w:wordWrap w:val="0"/>
        <w:topLinePunct w:val="0"/>
        <w:bidi w:val="0"/>
        <w:snapToGrid w:val="0"/>
        <w:spacing w:line="360" w:lineRule="auto"/>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lang w:val="zh-CN"/>
        </w:rPr>
        <w:t>日</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期</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val="zh-CN"/>
        </w:rPr>
        <w:t>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rPr>
        <w:tab/>
      </w:r>
      <w:r>
        <w:rPr>
          <w:rFonts w:hint="eastAsia" w:ascii="宋体" w:hAnsi="宋体" w:eastAsia="宋体" w:cs="宋体"/>
          <w:color w:val="auto"/>
          <w:kern w:val="0"/>
          <w:sz w:val="22"/>
          <w:szCs w:val="22"/>
          <w:highlight w:val="none"/>
          <w:lang w:val="zh-CN"/>
        </w:rPr>
        <w:t>月</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日</w:t>
      </w:r>
    </w:p>
    <w:p w14:paraId="3B882120">
      <w:pPr>
        <w:pageBreakBefore w:val="0"/>
        <w:kinsoku/>
        <w:wordWrap w:val="0"/>
        <w:topLinePunct w:val="0"/>
        <w:bidi w:val="0"/>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val="zh-CN"/>
        </w:rPr>
        <w:t>注：未按照本投标响应函要求填报的将被视为非实质性响应，从而可能导致该投标文件被拒绝。</w:t>
      </w:r>
    </w:p>
    <w:p w14:paraId="254146CE">
      <w:pPr>
        <w:pStyle w:val="24"/>
        <w:pageBreakBefore w:val="0"/>
        <w:kinsoku/>
        <w:wordWrap w:val="0"/>
        <w:topLinePunct w:val="0"/>
        <w:bidi w:val="0"/>
        <w:ind w:left="442" w:hanging="442"/>
        <w:rPr>
          <w:rFonts w:hint="eastAsia" w:ascii="宋体" w:hAnsi="宋体" w:eastAsia="宋体" w:cs="宋体"/>
          <w:b/>
          <w:bCs/>
          <w:color w:val="auto"/>
          <w:sz w:val="22"/>
          <w:szCs w:val="22"/>
          <w:highlight w:val="none"/>
        </w:rPr>
      </w:pPr>
    </w:p>
    <w:p w14:paraId="4F3E4BB0">
      <w:pPr>
        <w:pStyle w:val="24"/>
        <w:pageBreakBefore w:val="0"/>
        <w:kinsoku/>
        <w:wordWrap w:val="0"/>
        <w:topLinePunct w:val="0"/>
        <w:bidi w:val="0"/>
        <w:ind w:left="442" w:hanging="442"/>
        <w:rPr>
          <w:rFonts w:hint="eastAsia" w:ascii="宋体" w:hAnsi="宋体" w:eastAsia="宋体" w:cs="宋体"/>
          <w:b/>
          <w:bCs/>
          <w:color w:val="auto"/>
          <w:sz w:val="22"/>
          <w:szCs w:val="22"/>
          <w:highlight w:val="none"/>
        </w:rPr>
      </w:pPr>
    </w:p>
    <w:p w14:paraId="676C8552">
      <w:pPr>
        <w:pStyle w:val="24"/>
        <w:pageBreakBefore w:val="0"/>
        <w:kinsoku/>
        <w:wordWrap w:val="0"/>
        <w:topLinePunct w:val="0"/>
        <w:bidi w:val="0"/>
        <w:ind w:left="442" w:hanging="442"/>
        <w:rPr>
          <w:rFonts w:hint="eastAsia" w:ascii="宋体" w:hAnsi="宋体" w:eastAsia="宋体" w:cs="宋体"/>
          <w:b/>
          <w:bCs/>
          <w:color w:val="auto"/>
          <w:sz w:val="22"/>
          <w:szCs w:val="22"/>
          <w:highlight w:val="none"/>
        </w:rPr>
      </w:pPr>
    </w:p>
    <w:p w14:paraId="10EE1631">
      <w:pPr>
        <w:pStyle w:val="24"/>
        <w:pageBreakBefore w:val="0"/>
        <w:kinsoku/>
        <w:wordWrap w:val="0"/>
        <w:topLinePunct w:val="0"/>
        <w:bidi w:val="0"/>
        <w:ind w:left="442" w:hanging="442"/>
        <w:rPr>
          <w:rFonts w:hint="eastAsia" w:ascii="宋体" w:hAnsi="宋体" w:eastAsia="宋体" w:cs="宋体"/>
          <w:b/>
          <w:bCs/>
          <w:color w:val="auto"/>
          <w:sz w:val="22"/>
          <w:szCs w:val="22"/>
          <w:highlight w:val="none"/>
        </w:rPr>
      </w:pPr>
    </w:p>
    <w:p w14:paraId="66F2510B">
      <w:pPr>
        <w:pStyle w:val="24"/>
        <w:pageBreakBefore w:val="0"/>
        <w:kinsoku/>
        <w:wordWrap w:val="0"/>
        <w:topLinePunct w:val="0"/>
        <w:bidi w:val="0"/>
        <w:ind w:left="442" w:hanging="442"/>
        <w:rPr>
          <w:rFonts w:hint="eastAsia" w:ascii="宋体" w:hAnsi="宋体" w:eastAsia="宋体" w:cs="宋体"/>
          <w:b/>
          <w:bCs/>
          <w:color w:val="auto"/>
          <w:sz w:val="22"/>
          <w:szCs w:val="22"/>
          <w:highlight w:val="none"/>
        </w:rPr>
      </w:pPr>
    </w:p>
    <w:p w14:paraId="4421D180">
      <w:pPr>
        <w:pStyle w:val="24"/>
        <w:pageBreakBefore w:val="0"/>
        <w:kinsoku/>
        <w:wordWrap w:val="0"/>
        <w:topLinePunct w:val="0"/>
        <w:bidi w:val="0"/>
        <w:ind w:left="442" w:hanging="442"/>
        <w:rPr>
          <w:rFonts w:hint="eastAsia" w:ascii="宋体" w:hAnsi="宋体" w:eastAsia="宋体" w:cs="宋体"/>
          <w:b/>
          <w:bCs/>
          <w:color w:val="auto"/>
          <w:sz w:val="22"/>
          <w:szCs w:val="22"/>
          <w:highlight w:val="none"/>
        </w:rPr>
      </w:pPr>
    </w:p>
    <w:p w14:paraId="524A255C">
      <w:pPr>
        <w:pStyle w:val="24"/>
        <w:pageBreakBefore w:val="0"/>
        <w:kinsoku/>
        <w:wordWrap w:val="0"/>
        <w:topLinePunct w:val="0"/>
        <w:bidi w:val="0"/>
        <w:ind w:left="442" w:hanging="442"/>
        <w:rPr>
          <w:rFonts w:hint="eastAsia" w:ascii="宋体" w:hAnsi="宋体" w:eastAsia="宋体" w:cs="宋体"/>
          <w:b/>
          <w:bCs/>
          <w:color w:val="auto"/>
          <w:sz w:val="22"/>
          <w:szCs w:val="22"/>
          <w:highlight w:val="none"/>
        </w:rPr>
      </w:pPr>
    </w:p>
    <w:p w14:paraId="307C8963">
      <w:pPr>
        <w:pStyle w:val="24"/>
        <w:pageBreakBefore w:val="0"/>
        <w:kinsoku/>
        <w:wordWrap w:val="0"/>
        <w:topLinePunct w:val="0"/>
        <w:bidi w:val="0"/>
        <w:ind w:left="442" w:hanging="442"/>
        <w:rPr>
          <w:rFonts w:hint="eastAsia" w:ascii="宋体" w:hAnsi="宋体" w:eastAsia="宋体" w:cs="宋体"/>
          <w:b/>
          <w:bCs/>
          <w:color w:val="auto"/>
          <w:sz w:val="22"/>
          <w:szCs w:val="22"/>
          <w:highlight w:val="none"/>
        </w:rPr>
      </w:pPr>
    </w:p>
    <w:p w14:paraId="714FB382">
      <w:pPr>
        <w:pageBreakBefore w:val="0"/>
        <w:kinsoku/>
        <w:wordWrap w:val="0"/>
        <w:topLinePunct w:val="0"/>
        <w:bidi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14:paraId="005DC286">
      <w:pPr>
        <w:pStyle w:val="24"/>
        <w:pageBreakBefore w:val="0"/>
        <w:kinsoku/>
        <w:wordWrap w:val="0"/>
        <w:topLinePunct w:val="0"/>
        <w:bidi w:val="0"/>
        <w:ind w:left="0" w:firstLine="0" w:firstLineChars="0"/>
        <w:rPr>
          <w:rFonts w:hint="eastAsia" w:ascii="宋体" w:hAnsi="宋体" w:eastAsia="宋体" w:cs="宋体"/>
          <w:b/>
          <w:bCs/>
          <w:color w:val="auto"/>
          <w:sz w:val="22"/>
          <w:szCs w:val="22"/>
          <w:highlight w:val="none"/>
        </w:rPr>
      </w:pPr>
    </w:p>
    <w:p w14:paraId="3FB4675B">
      <w:pPr>
        <w:pStyle w:val="24"/>
        <w:pageBreakBefore w:val="0"/>
        <w:kinsoku/>
        <w:wordWrap w:val="0"/>
        <w:topLinePunct w:val="0"/>
        <w:bidi w:val="0"/>
        <w:ind w:left="0" w:firstLine="0" w:firstLineChars="0"/>
        <w:rPr>
          <w:rFonts w:hint="eastAsia" w:ascii="宋体" w:hAnsi="宋体" w:eastAsia="宋体" w:cs="宋体"/>
          <w:b/>
          <w:bCs/>
          <w:color w:val="auto"/>
          <w:sz w:val="22"/>
          <w:szCs w:val="22"/>
          <w:highlight w:val="none"/>
        </w:rPr>
      </w:pPr>
    </w:p>
    <w:p w14:paraId="2E3E867D">
      <w:pPr>
        <w:pageBreakBefore w:val="0"/>
        <w:kinsoku/>
        <w:wordWrap w:val="0"/>
        <w:topLinePunct w:val="0"/>
        <w:bidi w:val="0"/>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2、</w:t>
      </w:r>
      <w:r>
        <w:rPr>
          <w:rFonts w:hint="eastAsia" w:ascii="宋体" w:hAnsi="宋体" w:eastAsia="宋体" w:cs="宋体"/>
          <w:b/>
          <w:color w:val="auto"/>
          <w:sz w:val="22"/>
          <w:szCs w:val="22"/>
          <w:highlight w:val="none"/>
          <w:lang w:val="zh-CN"/>
        </w:rPr>
        <w:t>投标报价一览表</w:t>
      </w:r>
    </w:p>
    <w:p w14:paraId="3C4D4095">
      <w:pPr>
        <w:pageBreakBefore w:val="0"/>
        <w:kinsoku/>
        <w:wordWrap w:val="0"/>
        <w:topLinePunct w:val="0"/>
        <w:bidi w:val="0"/>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WZLCZB（Z）-2025-07016</w:t>
      </w:r>
    </w:p>
    <w:p w14:paraId="2EBA5B5D">
      <w:pPr>
        <w:keepNext/>
        <w:keepLines w:val="0"/>
        <w:pageBreakBefore w:val="0"/>
        <w:widowControl w:val="0"/>
        <w:kinsoku/>
        <w:wordWrap w:val="0"/>
        <w:overflowPunct/>
        <w:topLinePunct w:val="0"/>
        <w:autoSpaceDE/>
        <w:autoSpaceDN/>
        <w:bidi w:val="0"/>
        <w:adjustRightInd/>
        <w:snapToGrid/>
        <w:spacing w:line="360" w:lineRule="auto"/>
        <w:jc w:val="both"/>
        <w:textAlignment w:val="auto"/>
        <w:outlineLvl w:val="9"/>
        <w:rPr>
          <w:rFonts w:hint="eastAsia" w:eastAsia="宋体"/>
          <w:color w:val="auto"/>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2025年学校图书</w:t>
      </w:r>
    </w:p>
    <w:tbl>
      <w:tblPr>
        <w:tblStyle w:val="52"/>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22"/>
        <w:gridCol w:w="5413"/>
        <w:gridCol w:w="868"/>
      </w:tblGrid>
      <w:tr w14:paraId="2CD60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vAlign w:val="center"/>
          </w:tcPr>
          <w:p w14:paraId="40A5214B">
            <w:pPr>
              <w:pageBreakBefore w:val="0"/>
              <w:kinsoku/>
              <w:wordWrap w:val="0"/>
              <w:topLinePunct w:val="0"/>
              <w:bidi w:val="0"/>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2522" w:type="dxa"/>
            <w:vAlign w:val="center"/>
          </w:tcPr>
          <w:p w14:paraId="3F9CEE6D">
            <w:pPr>
              <w:pageBreakBefore w:val="0"/>
              <w:kinsoku/>
              <w:wordWrap w:val="0"/>
              <w:topLinePunct w:val="0"/>
              <w:bidi w:val="0"/>
              <w:spacing w:line="380" w:lineRule="exact"/>
              <w:jc w:val="center"/>
              <w:rPr>
                <w:rFonts w:hint="eastAsia" w:ascii="宋体" w:hAnsi="宋体" w:eastAsia="宋体" w:cs="宋体"/>
                <w:color w:val="auto"/>
                <w:sz w:val="22"/>
                <w:highlight w:val="none"/>
              </w:rPr>
            </w:pPr>
            <w:r>
              <w:rPr>
                <w:rFonts w:hint="eastAsia" w:ascii="宋体" w:hAnsi="宋体" w:eastAsia="宋体" w:cs="宋体"/>
                <w:bCs/>
                <w:color w:val="auto"/>
                <w:sz w:val="22"/>
                <w:szCs w:val="22"/>
                <w:highlight w:val="none"/>
              </w:rPr>
              <w:t>项目名称</w:t>
            </w:r>
          </w:p>
        </w:tc>
        <w:tc>
          <w:tcPr>
            <w:tcW w:w="5413" w:type="dxa"/>
            <w:vAlign w:val="center"/>
          </w:tcPr>
          <w:p w14:paraId="73F4408D">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2"/>
                <w:highlight w:val="none"/>
              </w:rPr>
            </w:pPr>
            <w:r>
              <w:rPr>
                <w:rFonts w:hint="eastAsia" w:ascii="宋体" w:eastAsia="宋体" w:cs="宋体"/>
                <w:b w:val="0"/>
                <w:color w:val="auto"/>
                <w:kern w:val="2"/>
                <w:sz w:val="22"/>
                <w:szCs w:val="22"/>
                <w:highlight w:val="none"/>
              </w:rPr>
              <w:t>投标报价（投标折扣）</w:t>
            </w:r>
          </w:p>
        </w:tc>
        <w:tc>
          <w:tcPr>
            <w:tcW w:w="868" w:type="dxa"/>
            <w:vAlign w:val="center"/>
          </w:tcPr>
          <w:p w14:paraId="03A3AB4A">
            <w:pPr>
              <w:pageBreakBefore w:val="0"/>
              <w:kinsoku/>
              <w:wordWrap w:val="0"/>
              <w:topLinePunct w:val="0"/>
              <w:bidi w:val="0"/>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tc>
      </w:tr>
      <w:tr w14:paraId="43476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815" w:type="dxa"/>
            <w:vMerge w:val="restart"/>
            <w:vAlign w:val="center"/>
          </w:tcPr>
          <w:p w14:paraId="360EED80">
            <w:pPr>
              <w:pageBreakBefore w:val="0"/>
              <w:kinsoku/>
              <w:wordWrap w:val="0"/>
              <w:topLinePunct w:val="0"/>
              <w:bidi w:val="0"/>
              <w:spacing w:line="380" w:lineRule="exact"/>
              <w:jc w:val="center"/>
              <w:rPr>
                <w:rFonts w:hint="eastAsia"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1</w:t>
            </w:r>
          </w:p>
        </w:tc>
        <w:tc>
          <w:tcPr>
            <w:tcW w:w="2522" w:type="dxa"/>
            <w:vMerge w:val="restart"/>
            <w:vAlign w:val="center"/>
          </w:tcPr>
          <w:p w14:paraId="0DD912E1">
            <w:pPr>
              <w:pageBreakBefore w:val="0"/>
              <w:kinsoku/>
              <w:wordWrap w:val="0"/>
              <w:topLinePunct w:val="0"/>
              <w:bidi w:val="0"/>
              <w:spacing w:line="380" w:lineRule="exact"/>
              <w:jc w:val="center"/>
              <w:rPr>
                <w:rFonts w:hint="eastAsia" w:ascii="宋体" w:hAnsi="宋体" w:eastAsia="宋体" w:cs="宋体"/>
                <w:color w:val="auto"/>
                <w:sz w:val="22"/>
                <w:highlight w:val="none"/>
              </w:rPr>
            </w:pPr>
            <w:r>
              <w:rPr>
                <w:rFonts w:hint="eastAsia" w:ascii="宋体" w:hAnsi="宋体" w:cs="宋体"/>
                <w:b w:val="0"/>
                <w:bCs w:val="0"/>
                <w:color w:val="auto"/>
                <w:sz w:val="22"/>
                <w:szCs w:val="22"/>
                <w:highlight w:val="none"/>
                <w:lang w:eastAsia="zh-CN"/>
              </w:rPr>
              <w:t>2025年学校图书</w:t>
            </w:r>
          </w:p>
        </w:tc>
        <w:tc>
          <w:tcPr>
            <w:tcW w:w="5413" w:type="dxa"/>
            <w:vAlign w:val="center"/>
          </w:tcPr>
          <w:p w14:paraId="4F7E784F">
            <w:pPr>
              <w:keepNext w:val="0"/>
              <w:keepLines w:val="0"/>
              <w:widowControl/>
              <w:suppressLineNumbers w:val="0"/>
              <w:spacing w:before="0" w:beforeAutospacing="0" w:after="0" w:afterAutospacing="0"/>
              <w:ind w:left="0" w:leftChars="0" w:right="0" w:rightChars="0"/>
              <w:jc w:val="both"/>
              <w:rPr>
                <w:rFonts w:hint="default" w:ascii="宋体" w:hAnsi="宋体" w:eastAsia="宋体" w:cs="宋体"/>
                <w:color w:val="auto"/>
                <w:sz w:val="22"/>
                <w:highlight w:val="none"/>
                <w:u w:val="none"/>
                <w:lang w:val="en-US" w:eastAsia="zh-CN"/>
              </w:rPr>
            </w:pPr>
            <w:r>
              <w:rPr>
                <w:rFonts w:hint="eastAsia" w:ascii="宋体" w:cs="Calibri"/>
                <w:color w:val="auto"/>
                <w:kern w:val="2"/>
                <w:sz w:val="22"/>
                <w:szCs w:val="22"/>
                <w:highlight w:val="none"/>
                <w:u w:val="none"/>
                <w:lang w:val="en-US" w:eastAsia="zh-CN"/>
              </w:rPr>
              <w:t>大写： 百分之</w:t>
            </w:r>
            <w:r>
              <w:rPr>
                <w:rFonts w:hint="eastAsia" w:ascii="宋体" w:cs="Calibri"/>
                <w:color w:val="auto"/>
                <w:kern w:val="2"/>
                <w:sz w:val="22"/>
                <w:szCs w:val="22"/>
                <w:highlight w:val="none"/>
                <w:u w:val="single"/>
                <w:lang w:val="en-US" w:eastAsia="zh-CN"/>
              </w:rPr>
              <w:t xml:space="preserve">     </w:t>
            </w:r>
          </w:p>
        </w:tc>
        <w:tc>
          <w:tcPr>
            <w:tcW w:w="868" w:type="dxa"/>
            <w:vMerge w:val="restart"/>
            <w:vAlign w:val="center"/>
          </w:tcPr>
          <w:p w14:paraId="7FD767E4">
            <w:pPr>
              <w:pageBreakBefore w:val="0"/>
              <w:kinsoku/>
              <w:wordWrap w:val="0"/>
              <w:topLinePunct w:val="0"/>
              <w:bidi w:val="0"/>
              <w:spacing w:line="380" w:lineRule="exact"/>
              <w:jc w:val="center"/>
              <w:rPr>
                <w:rFonts w:hint="eastAsia" w:ascii="宋体" w:hAnsi="宋体" w:eastAsia="宋体" w:cs="宋体"/>
                <w:color w:val="auto"/>
                <w:sz w:val="22"/>
                <w:highlight w:val="none"/>
              </w:rPr>
            </w:pPr>
          </w:p>
        </w:tc>
      </w:tr>
      <w:tr w14:paraId="2764C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15" w:type="dxa"/>
            <w:vMerge w:val="continue"/>
            <w:vAlign w:val="center"/>
          </w:tcPr>
          <w:p w14:paraId="07F9EA83">
            <w:pPr>
              <w:pageBreakBefore w:val="0"/>
              <w:kinsoku/>
              <w:wordWrap w:val="0"/>
              <w:topLinePunct w:val="0"/>
              <w:bidi w:val="0"/>
              <w:spacing w:line="380" w:lineRule="exact"/>
              <w:jc w:val="center"/>
              <w:rPr>
                <w:rFonts w:hint="eastAsia" w:ascii="宋体" w:hAnsi="宋体" w:eastAsia="宋体" w:cs="宋体"/>
                <w:color w:val="auto"/>
                <w:sz w:val="22"/>
                <w:highlight w:val="none"/>
              </w:rPr>
            </w:pPr>
          </w:p>
        </w:tc>
        <w:tc>
          <w:tcPr>
            <w:tcW w:w="2522" w:type="dxa"/>
            <w:vMerge w:val="continue"/>
            <w:vAlign w:val="center"/>
          </w:tcPr>
          <w:p w14:paraId="7C886668">
            <w:pPr>
              <w:pageBreakBefore w:val="0"/>
              <w:kinsoku/>
              <w:wordWrap w:val="0"/>
              <w:topLinePunct w:val="0"/>
              <w:bidi w:val="0"/>
              <w:spacing w:line="380" w:lineRule="exact"/>
              <w:jc w:val="center"/>
              <w:rPr>
                <w:rFonts w:hint="eastAsia" w:ascii="宋体" w:hAnsi="宋体" w:eastAsia="宋体" w:cs="宋体"/>
                <w:color w:val="auto"/>
                <w:sz w:val="22"/>
                <w:highlight w:val="none"/>
              </w:rPr>
            </w:pPr>
          </w:p>
        </w:tc>
        <w:tc>
          <w:tcPr>
            <w:tcW w:w="5413" w:type="dxa"/>
            <w:vAlign w:val="center"/>
          </w:tcPr>
          <w:p w14:paraId="21E18210">
            <w:pPr>
              <w:pageBreakBefore w:val="0"/>
              <w:kinsoku/>
              <w:wordWrap w:val="0"/>
              <w:topLinePunct w:val="0"/>
              <w:bidi w:val="0"/>
              <w:spacing w:line="380" w:lineRule="exact"/>
              <w:rPr>
                <w:rFonts w:hint="default" w:ascii="宋体" w:hAnsi="宋体" w:eastAsia="宋体" w:cs="宋体"/>
                <w:color w:val="auto"/>
                <w:sz w:val="22"/>
                <w:highlight w:val="none"/>
                <w:u w:val="single"/>
                <w:lang w:val="en-US" w:eastAsia="zh-CN"/>
              </w:rPr>
            </w:pPr>
            <w:r>
              <w:rPr>
                <w:rFonts w:hint="eastAsia" w:ascii="宋体" w:hAnsi="宋体" w:eastAsia="宋体" w:cs="宋体"/>
                <w:color w:val="auto"/>
                <w:sz w:val="22"/>
                <w:highlight w:val="none"/>
              </w:rPr>
              <w:t>小写：</w:t>
            </w:r>
            <w:r>
              <w:rPr>
                <w:rFonts w:hint="eastAsia" w:ascii="宋体" w:hAnsi="宋体" w:cs="宋体"/>
                <w:color w:val="auto"/>
                <w:sz w:val="22"/>
                <w:highlight w:val="none"/>
                <w:u w:val="single"/>
                <w:lang w:val="en-US" w:eastAsia="zh-CN"/>
              </w:rPr>
              <w:t xml:space="preserve">         %</w:t>
            </w:r>
          </w:p>
        </w:tc>
        <w:tc>
          <w:tcPr>
            <w:tcW w:w="868" w:type="dxa"/>
            <w:vMerge w:val="continue"/>
            <w:vAlign w:val="center"/>
          </w:tcPr>
          <w:p w14:paraId="25785DA5">
            <w:pPr>
              <w:pageBreakBefore w:val="0"/>
              <w:kinsoku/>
              <w:wordWrap w:val="0"/>
              <w:topLinePunct w:val="0"/>
              <w:bidi w:val="0"/>
              <w:spacing w:line="380" w:lineRule="exact"/>
              <w:jc w:val="center"/>
              <w:rPr>
                <w:rFonts w:hint="eastAsia" w:ascii="宋体" w:hAnsi="宋体" w:eastAsia="宋体" w:cs="宋体"/>
                <w:color w:val="auto"/>
                <w:sz w:val="22"/>
                <w:highlight w:val="none"/>
              </w:rPr>
            </w:pPr>
          </w:p>
        </w:tc>
      </w:tr>
    </w:tbl>
    <w:p w14:paraId="75678151">
      <w:pPr>
        <w:tabs>
          <w:tab w:val="left" w:pos="0"/>
        </w:tabs>
        <w:spacing w:line="440" w:lineRule="exac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lang w:val="en-US" w:eastAsia="zh-CN"/>
        </w:rPr>
        <w:t>▲1.</w:t>
      </w:r>
      <w:r>
        <w:rPr>
          <w:rFonts w:hint="eastAsia" w:ascii="宋体" w:hAnsi="宋体" w:eastAsia="宋体" w:cs="宋体"/>
          <w:color w:val="auto"/>
          <w:sz w:val="22"/>
          <w:szCs w:val="22"/>
          <w:highlight w:val="none"/>
          <w:u w:val="single"/>
        </w:rPr>
        <w:t>本次采用所有图书统一折扣率进行报价，即为图书码洋基础上进行折扣率报价，最后结算根据订购数量*图书码洋*</w:t>
      </w:r>
      <w:r>
        <w:rPr>
          <w:rFonts w:hint="eastAsia" w:ascii="宋体" w:hAnsi="宋体" w:eastAsia="宋体" w:cs="宋体"/>
          <w:color w:val="auto"/>
          <w:sz w:val="22"/>
          <w:szCs w:val="22"/>
          <w:highlight w:val="none"/>
          <w:u w:val="single"/>
          <w:lang w:eastAsia="zh-CN"/>
        </w:rPr>
        <w:t>中标折扣率</w:t>
      </w:r>
      <w:r>
        <w:rPr>
          <w:rFonts w:hint="eastAsia" w:ascii="宋体" w:hAnsi="宋体" w:eastAsia="宋体" w:cs="宋体"/>
          <w:color w:val="auto"/>
          <w:sz w:val="22"/>
          <w:szCs w:val="22"/>
          <w:highlight w:val="none"/>
          <w:u w:val="single"/>
        </w:rPr>
        <w:t>进行结算。报价包含完成图书供应、</w:t>
      </w:r>
      <w:r>
        <w:rPr>
          <w:rFonts w:hint="eastAsia" w:ascii="宋体" w:hAnsi="宋体" w:eastAsia="宋体" w:cs="宋体"/>
          <w:color w:val="auto"/>
          <w:sz w:val="22"/>
          <w:szCs w:val="22"/>
          <w:highlight w:val="none"/>
          <w:u w:val="single"/>
          <w:lang w:val="en-US" w:eastAsia="zh-CN"/>
        </w:rPr>
        <w:t>加工、</w:t>
      </w:r>
      <w:r>
        <w:rPr>
          <w:rFonts w:hint="eastAsia" w:ascii="宋体" w:hAnsi="宋体" w:eastAsia="宋体" w:cs="宋体"/>
          <w:color w:val="auto"/>
          <w:sz w:val="22"/>
          <w:szCs w:val="22"/>
          <w:highlight w:val="none"/>
          <w:u w:val="single"/>
        </w:rPr>
        <w:t>上架及完成本项目全部采购内容所需的费用。</w:t>
      </w:r>
    </w:p>
    <w:p w14:paraId="0BC8547D">
      <w:pPr>
        <w:tabs>
          <w:tab w:val="left" w:pos="0"/>
        </w:tabs>
        <w:spacing w:line="440" w:lineRule="exact"/>
        <w:ind w:firstLine="440" w:firstLineChars="200"/>
        <w:jc w:val="left"/>
        <w:rPr>
          <w:rFonts w:hint="default"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u w:val="single"/>
          <w:lang w:val="en-US" w:eastAsia="zh-CN"/>
        </w:rPr>
        <w:t>▲2.</w:t>
      </w:r>
      <w:r>
        <w:rPr>
          <w:rFonts w:hint="eastAsia" w:ascii="宋体" w:hAnsi="宋体" w:eastAsia="宋体" w:cs="宋体"/>
          <w:color w:val="auto"/>
          <w:sz w:val="22"/>
          <w:szCs w:val="22"/>
          <w:highlight w:val="none"/>
          <w:u w:val="single"/>
        </w:rPr>
        <w:t>图书平均报价折扣率</w:t>
      </w:r>
      <w:r>
        <w:rPr>
          <w:rFonts w:hint="eastAsia" w:ascii="宋体" w:hAnsi="宋体" w:eastAsia="宋体" w:cs="宋体"/>
          <w:color w:val="auto"/>
          <w:sz w:val="22"/>
          <w:szCs w:val="22"/>
          <w:highlight w:val="none"/>
          <w:u w:val="single"/>
          <w:lang w:val="en-US" w:eastAsia="zh-CN"/>
        </w:rPr>
        <w:t>最高限价为50%（5折），最终报价超过50%（5折）的作无效标处理。</w:t>
      </w:r>
    </w:p>
    <w:p w14:paraId="289820B4">
      <w:pPr>
        <w:tabs>
          <w:tab w:val="left" w:pos="0"/>
        </w:tabs>
        <w:spacing w:line="440" w:lineRule="exact"/>
        <w:ind w:firstLine="440" w:firstLineChars="200"/>
        <w:jc w:val="left"/>
        <w:rPr>
          <w:rFonts w:hint="eastAsia" w:ascii="宋体" w:hAnsi="宋体" w:eastAsia="宋体" w:cs="宋体"/>
          <w:b/>
          <w:color w:val="auto"/>
          <w:sz w:val="22"/>
          <w:highlight w:val="none"/>
          <w:u w:val="single"/>
        </w:rPr>
      </w:pPr>
      <w:r>
        <w:rPr>
          <w:rFonts w:hint="eastAsia" w:hAnsi="宋体" w:eastAsia="宋体" w:cs="宋体"/>
          <w:b w:val="0"/>
          <w:color w:val="auto"/>
          <w:sz w:val="22"/>
          <w:highlight w:val="none"/>
          <w:u w:val="single"/>
        </w:rPr>
        <w:t>▲</w:t>
      </w:r>
      <w:r>
        <w:rPr>
          <w:rFonts w:hint="eastAsia" w:ascii="宋体" w:hAnsi="宋体" w:cs="宋体"/>
          <w:b/>
          <w:color w:val="auto"/>
          <w:kern w:val="2"/>
          <w:sz w:val="22"/>
          <w:szCs w:val="24"/>
          <w:highlight w:val="none"/>
          <w:u w:val="single"/>
          <w:lang w:val="en-US" w:eastAsia="zh-CN" w:bidi="ar-SA"/>
        </w:rPr>
        <w:t>3.</w:t>
      </w:r>
      <w:r>
        <w:rPr>
          <w:rFonts w:hint="eastAsia" w:hAnsi="宋体" w:eastAsia="宋体" w:cs="宋体"/>
          <w:b w:val="0"/>
          <w:color w:val="auto"/>
          <w:sz w:val="22"/>
          <w:highlight w:val="none"/>
          <w:u w:val="single"/>
        </w:rPr>
        <w:t>不提供此表格的将视为没有实质性响应招标文件。</w:t>
      </w:r>
    </w:p>
    <w:p w14:paraId="0AAC6C75">
      <w:pPr>
        <w:pageBreakBefore w:val="0"/>
        <w:kinsoku/>
        <w:wordWrap w:val="0"/>
        <w:topLinePunct w:val="0"/>
        <w:bidi w:val="0"/>
        <w:spacing w:line="360" w:lineRule="auto"/>
        <w:jc w:val="center"/>
        <w:rPr>
          <w:rFonts w:hint="eastAsia" w:ascii="宋体" w:hAnsi="宋体" w:eastAsia="宋体" w:cs="宋体"/>
          <w:color w:val="auto"/>
          <w:sz w:val="22"/>
          <w:szCs w:val="22"/>
          <w:highlight w:val="none"/>
        </w:rPr>
      </w:pPr>
    </w:p>
    <w:p w14:paraId="6111FB60">
      <w:pPr>
        <w:pageBreakBefore w:val="0"/>
        <w:kinsoku/>
        <w:wordWrap w:val="0"/>
        <w:topLinePunct w:val="0"/>
        <w:bidi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3E1C100A">
      <w:pPr>
        <w:pageBreakBefore w:val="0"/>
        <w:kinsoku/>
        <w:wordWrap w:val="0"/>
        <w:topLinePunct w:val="0"/>
        <w:bidi w:val="0"/>
        <w:spacing w:line="360" w:lineRule="auto"/>
        <w:jc w:val="center"/>
        <w:rPr>
          <w:rFonts w:hint="eastAsia" w:ascii="宋体" w:hAnsi="宋体" w:eastAsia="宋体" w:cs="宋体"/>
          <w:color w:val="auto"/>
          <w:sz w:val="22"/>
          <w:szCs w:val="22"/>
          <w:highlight w:val="none"/>
        </w:rPr>
      </w:pPr>
      <w:r>
        <w:rPr>
          <w:rFonts w:hint="eastAsia" w:ascii="宋体" w:hAnsi="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7B5EB6E9">
      <w:pPr>
        <w:pageBreakBefore w:val="0"/>
        <w:kinsoku/>
        <w:wordWrap w:val="0"/>
        <w:topLinePunct w:val="0"/>
        <w:bidi w:val="0"/>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14:paraId="0B72F423">
      <w:pPr>
        <w:pStyle w:val="25"/>
        <w:pageBreakBefore w:val="0"/>
        <w:kinsoku/>
        <w:wordWrap w:val="0"/>
        <w:topLinePunct w:val="0"/>
        <w:bidi w:val="0"/>
        <w:ind w:left="860" w:hanging="440"/>
        <w:rPr>
          <w:rFonts w:hint="eastAsia" w:ascii="宋体" w:hAnsi="宋体" w:eastAsia="宋体" w:cs="宋体"/>
          <w:color w:val="auto"/>
          <w:sz w:val="22"/>
          <w:szCs w:val="22"/>
          <w:highlight w:val="none"/>
        </w:rPr>
      </w:pPr>
    </w:p>
    <w:p w14:paraId="225EFB77">
      <w:pPr>
        <w:pStyle w:val="25"/>
        <w:pageBreakBefore w:val="0"/>
        <w:kinsoku/>
        <w:wordWrap w:val="0"/>
        <w:topLinePunct w:val="0"/>
        <w:bidi w:val="0"/>
        <w:ind w:left="860" w:hanging="440"/>
        <w:rPr>
          <w:rFonts w:hint="eastAsia" w:ascii="宋体" w:hAnsi="宋体" w:eastAsia="宋体" w:cs="宋体"/>
          <w:color w:val="auto"/>
          <w:sz w:val="22"/>
          <w:szCs w:val="22"/>
          <w:highlight w:val="none"/>
        </w:rPr>
      </w:pPr>
    </w:p>
    <w:p w14:paraId="62CF6AD5">
      <w:pPr>
        <w:pStyle w:val="25"/>
        <w:pageBreakBefore w:val="0"/>
        <w:kinsoku/>
        <w:wordWrap w:val="0"/>
        <w:topLinePunct w:val="0"/>
        <w:bidi w:val="0"/>
        <w:ind w:left="860" w:hanging="440"/>
        <w:rPr>
          <w:rFonts w:hint="eastAsia" w:ascii="宋体" w:hAnsi="宋体" w:eastAsia="宋体" w:cs="宋体"/>
          <w:color w:val="auto"/>
          <w:sz w:val="22"/>
          <w:szCs w:val="22"/>
          <w:highlight w:val="none"/>
        </w:rPr>
      </w:pPr>
    </w:p>
    <w:p w14:paraId="15B1B554">
      <w:pPr>
        <w:pStyle w:val="25"/>
        <w:pageBreakBefore w:val="0"/>
        <w:kinsoku/>
        <w:wordWrap w:val="0"/>
        <w:topLinePunct w:val="0"/>
        <w:bidi w:val="0"/>
        <w:ind w:left="860" w:hanging="440"/>
        <w:rPr>
          <w:rFonts w:hint="eastAsia" w:ascii="宋体" w:hAnsi="宋体" w:eastAsia="宋体" w:cs="宋体"/>
          <w:color w:val="auto"/>
          <w:sz w:val="22"/>
          <w:szCs w:val="22"/>
          <w:highlight w:val="none"/>
        </w:rPr>
      </w:pPr>
    </w:p>
    <w:p w14:paraId="7D32D980">
      <w:pPr>
        <w:pStyle w:val="25"/>
        <w:pageBreakBefore w:val="0"/>
        <w:kinsoku/>
        <w:wordWrap w:val="0"/>
        <w:topLinePunct w:val="0"/>
        <w:bidi w:val="0"/>
        <w:ind w:left="860" w:hanging="440"/>
        <w:rPr>
          <w:rFonts w:hint="eastAsia" w:ascii="宋体" w:hAnsi="宋体" w:eastAsia="宋体" w:cs="宋体"/>
          <w:color w:val="auto"/>
          <w:sz w:val="22"/>
          <w:szCs w:val="22"/>
          <w:highlight w:val="none"/>
        </w:rPr>
      </w:pPr>
    </w:p>
    <w:p w14:paraId="520913D5">
      <w:pPr>
        <w:pStyle w:val="25"/>
        <w:pageBreakBefore w:val="0"/>
        <w:kinsoku/>
        <w:wordWrap w:val="0"/>
        <w:topLinePunct w:val="0"/>
        <w:bidi w:val="0"/>
        <w:ind w:left="860" w:hanging="440"/>
        <w:rPr>
          <w:rFonts w:hint="eastAsia" w:ascii="宋体" w:hAnsi="宋体" w:eastAsia="宋体" w:cs="宋体"/>
          <w:color w:val="auto"/>
          <w:sz w:val="22"/>
          <w:szCs w:val="22"/>
          <w:highlight w:val="none"/>
        </w:rPr>
      </w:pPr>
    </w:p>
    <w:p w14:paraId="2B18162B">
      <w:pPr>
        <w:pStyle w:val="25"/>
        <w:pageBreakBefore w:val="0"/>
        <w:kinsoku/>
        <w:wordWrap w:val="0"/>
        <w:topLinePunct w:val="0"/>
        <w:bidi w:val="0"/>
        <w:ind w:left="860" w:hanging="440"/>
        <w:rPr>
          <w:rFonts w:hint="eastAsia" w:ascii="宋体" w:hAnsi="宋体" w:eastAsia="宋体" w:cs="宋体"/>
          <w:color w:val="auto"/>
          <w:sz w:val="22"/>
          <w:szCs w:val="22"/>
          <w:highlight w:val="none"/>
        </w:rPr>
      </w:pPr>
    </w:p>
    <w:p w14:paraId="72D7F187">
      <w:pPr>
        <w:pStyle w:val="25"/>
        <w:pageBreakBefore w:val="0"/>
        <w:kinsoku/>
        <w:wordWrap w:val="0"/>
        <w:topLinePunct w:val="0"/>
        <w:bidi w:val="0"/>
        <w:ind w:left="860" w:hanging="440"/>
        <w:rPr>
          <w:rFonts w:hint="eastAsia" w:ascii="宋体" w:hAnsi="宋体" w:eastAsia="宋体" w:cs="宋体"/>
          <w:color w:val="auto"/>
          <w:sz w:val="22"/>
          <w:szCs w:val="22"/>
          <w:highlight w:val="none"/>
        </w:rPr>
      </w:pPr>
    </w:p>
    <w:p w14:paraId="22646726">
      <w:pPr>
        <w:pStyle w:val="25"/>
        <w:pageBreakBefore w:val="0"/>
        <w:kinsoku/>
        <w:wordWrap w:val="0"/>
        <w:topLinePunct w:val="0"/>
        <w:bidi w:val="0"/>
        <w:ind w:left="860" w:hanging="440"/>
        <w:rPr>
          <w:rFonts w:hint="eastAsia" w:ascii="宋体" w:hAnsi="宋体" w:eastAsia="宋体" w:cs="宋体"/>
          <w:color w:val="auto"/>
          <w:sz w:val="22"/>
          <w:szCs w:val="22"/>
          <w:highlight w:val="none"/>
        </w:rPr>
      </w:pPr>
    </w:p>
    <w:p w14:paraId="14ED461D">
      <w:pPr>
        <w:pStyle w:val="25"/>
        <w:pageBreakBefore w:val="0"/>
        <w:kinsoku/>
        <w:wordWrap w:val="0"/>
        <w:topLinePunct w:val="0"/>
        <w:bidi w:val="0"/>
        <w:ind w:left="860" w:hanging="440"/>
        <w:rPr>
          <w:rFonts w:hint="eastAsia" w:ascii="宋体" w:hAnsi="宋体" w:eastAsia="宋体" w:cs="宋体"/>
          <w:color w:val="auto"/>
          <w:sz w:val="22"/>
          <w:szCs w:val="22"/>
          <w:highlight w:val="none"/>
        </w:rPr>
      </w:pPr>
    </w:p>
    <w:p w14:paraId="719525EF">
      <w:pPr>
        <w:pStyle w:val="25"/>
        <w:pageBreakBefore w:val="0"/>
        <w:kinsoku/>
        <w:wordWrap w:val="0"/>
        <w:topLinePunct w:val="0"/>
        <w:bidi w:val="0"/>
        <w:ind w:left="860" w:hanging="440"/>
        <w:rPr>
          <w:rFonts w:hint="eastAsia" w:ascii="宋体" w:hAnsi="宋体" w:eastAsia="宋体" w:cs="宋体"/>
          <w:color w:val="auto"/>
          <w:sz w:val="22"/>
          <w:szCs w:val="22"/>
          <w:highlight w:val="none"/>
        </w:rPr>
      </w:pPr>
    </w:p>
    <w:p w14:paraId="5DF1A5B7">
      <w:pPr>
        <w:pStyle w:val="25"/>
        <w:pageBreakBefore w:val="0"/>
        <w:kinsoku/>
        <w:wordWrap w:val="0"/>
        <w:topLinePunct w:val="0"/>
        <w:bidi w:val="0"/>
        <w:ind w:left="860" w:hanging="440"/>
        <w:rPr>
          <w:rFonts w:hint="eastAsia" w:ascii="宋体" w:hAnsi="宋体" w:eastAsia="宋体" w:cs="宋体"/>
          <w:color w:val="auto"/>
          <w:sz w:val="22"/>
          <w:szCs w:val="22"/>
          <w:highlight w:val="none"/>
        </w:rPr>
      </w:pPr>
    </w:p>
    <w:p w14:paraId="4FB54B15">
      <w:pPr>
        <w:pStyle w:val="25"/>
        <w:pageBreakBefore w:val="0"/>
        <w:kinsoku/>
        <w:wordWrap w:val="0"/>
        <w:topLinePunct w:val="0"/>
        <w:bidi w:val="0"/>
        <w:ind w:left="860" w:hanging="440"/>
        <w:rPr>
          <w:rFonts w:hint="eastAsia" w:ascii="宋体" w:hAnsi="宋体" w:eastAsia="宋体" w:cs="宋体"/>
          <w:color w:val="auto"/>
          <w:sz w:val="22"/>
          <w:szCs w:val="22"/>
          <w:highlight w:val="none"/>
        </w:rPr>
      </w:pPr>
    </w:p>
    <w:p w14:paraId="48EA2413">
      <w:pPr>
        <w:pStyle w:val="25"/>
        <w:pageBreakBefore w:val="0"/>
        <w:kinsoku/>
        <w:wordWrap w:val="0"/>
        <w:topLinePunct w:val="0"/>
        <w:bidi w:val="0"/>
        <w:ind w:left="860" w:hanging="440"/>
        <w:rPr>
          <w:rFonts w:hint="eastAsia" w:ascii="宋体" w:hAnsi="宋体" w:eastAsia="宋体" w:cs="宋体"/>
          <w:color w:val="auto"/>
          <w:sz w:val="22"/>
          <w:szCs w:val="22"/>
          <w:highlight w:val="none"/>
        </w:rPr>
      </w:pPr>
    </w:p>
    <w:p w14:paraId="482B27B1">
      <w:pPr>
        <w:pStyle w:val="25"/>
        <w:pageBreakBefore w:val="0"/>
        <w:kinsoku/>
        <w:wordWrap w:val="0"/>
        <w:topLinePunct w:val="0"/>
        <w:bidi w:val="0"/>
        <w:ind w:left="860" w:hanging="440"/>
        <w:rPr>
          <w:rFonts w:hint="eastAsia" w:ascii="宋体" w:hAnsi="宋体" w:eastAsia="宋体" w:cs="宋体"/>
          <w:color w:val="auto"/>
          <w:sz w:val="22"/>
          <w:szCs w:val="22"/>
          <w:highlight w:val="none"/>
        </w:rPr>
      </w:pPr>
    </w:p>
    <w:p w14:paraId="4C261849">
      <w:pPr>
        <w:pStyle w:val="25"/>
        <w:pageBreakBefore w:val="0"/>
        <w:kinsoku/>
        <w:wordWrap w:val="0"/>
        <w:topLinePunct w:val="0"/>
        <w:bidi w:val="0"/>
        <w:ind w:left="860" w:hanging="440"/>
        <w:rPr>
          <w:rFonts w:hint="eastAsia" w:ascii="宋体" w:hAnsi="宋体" w:eastAsia="宋体" w:cs="宋体"/>
          <w:color w:val="auto"/>
          <w:sz w:val="22"/>
          <w:szCs w:val="22"/>
          <w:highlight w:val="none"/>
        </w:rPr>
      </w:pPr>
    </w:p>
    <w:p w14:paraId="0AFEFB01">
      <w:pPr>
        <w:pageBreakBefore w:val="0"/>
        <w:kinsoku/>
        <w:wordWrap w:val="0"/>
        <w:topLinePunct w:val="0"/>
        <w:bidi w:val="0"/>
        <w:spacing w:line="420" w:lineRule="exact"/>
        <w:ind w:left="514" w:leftChars="245"/>
        <w:outlineLvl w:val="3"/>
        <w:rPr>
          <w:rFonts w:hint="eastAsia" w:ascii="宋体" w:hAnsi="宋体" w:eastAsia="宋体" w:cs="宋体"/>
          <w:b/>
          <w:bCs/>
          <w:color w:val="auto"/>
          <w:sz w:val="22"/>
          <w:szCs w:val="22"/>
          <w:highlight w:val="none"/>
        </w:rPr>
      </w:pPr>
      <w:r>
        <w:rPr>
          <w:rFonts w:hint="eastAsia" w:ascii="宋体" w:hAnsi="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、监狱企业的相关证明材料</w:t>
      </w:r>
    </w:p>
    <w:p w14:paraId="2E5D1366">
      <w:pPr>
        <w:pageBreakBefore w:val="0"/>
        <w:kinsoku/>
        <w:wordWrap w:val="0"/>
        <w:topLinePunct w:val="0"/>
        <w:bidi w:val="0"/>
        <w:adjustRightInd w:val="0"/>
        <w:snapToGrid w:val="0"/>
        <w:spacing w:line="300" w:lineRule="auto"/>
        <w:jc w:val="center"/>
        <w:rPr>
          <w:rFonts w:hint="eastAsia" w:ascii="宋体" w:hAnsi="宋体" w:eastAsia="宋体" w:cs="宋体"/>
          <w:b/>
          <w:color w:val="auto"/>
          <w:spacing w:val="6"/>
          <w:sz w:val="22"/>
          <w:szCs w:val="22"/>
          <w:highlight w:val="none"/>
        </w:rPr>
      </w:pPr>
    </w:p>
    <w:p w14:paraId="544E6937">
      <w:pPr>
        <w:pageBreakBefore w:val="0"/>
        <w:kinsoku/>
        <w:wordWrap w:val="0"/>
        <w:topLinePunct w:val="0"/>
        <w:bidi w:val="0"/>
        <w:adjustRightInd w:val="0"/>
        <w:snapToGrid w:val="0"/>
        <w:spacing w:line="300" w:lineRule="auto"/>
        <w:jc w:val="center"/>
        <w:rPr>
          <w:rFonts w:hint="eastAsia" w:ascii="宋体" w:hAnsi="宋体" w:eastAsia="宋体" w:cs="宋体"/>
          <w:b/>
          <w:color w:val="auto"/>
          <w:spacing w:val="6"/>
          <w:sz w:val="22"/>
          <w:szCs w:val="22"/>
          <w:highlight w:val="none"/>
        </w:rPr>
      </w:pPr>
    </w:p>
    <w:p w14:paraId="71D036A2">
      <w:pPr>
        <w:pageBreakBefore w:val="0"/>
        <w:kinsoku/>
        <w:wordWrap w:val="0"/>
        <w:topLinePunct w:val="0"/>
        <w:bidi w:val="0"/>
        <w:adjustRightInd w:val="0"/>
        <w:snapToGrid w:val="0"/>
        <w:spacing w:line="300" w:lineRule="auto"/>
        <w:jc w:val="center"/>
        <w:rPr>
          <w:rFonts w:hint="eastAsia" w:ascii="宋体" w:hAnsi="宋体" w:eastAsia="宋体" w:cs="宋体"/>
          <w:color w:val="auto"/>
          <w:kern w:val="0"/>
          <w:sz w:val="22"/>
          <w:szCs w:val="22"/>
          <w:highlight w:val="none"/>
        </w:rPr>
      </w:pPr>
      <w:r>
        <w:rPr>
          <w:rFonts w:hint="eastAsia" w:ascii="宋体" w:hAnsi="宋体" w:eastAsia="宋体" w:cs="宋体"/>
          <w:b/>
          <w:color w:val="auto"/>
          <w:spacing w:val="6"/>
          <w:sz w:val="22"/>
          <w:szCs w:val="22"/>
          <w:highlight w:val="none"/>
        </w:rPr>
        <w:t>监狱企业声明函</w:t>
      </w:r>
    </w:p>
    <w:p w14:paraId="764E1227">
      <w:pPr>
        <w:pageBreakBefore w:val="0"/>
        <w:kinsoku/>
        <w:wordWrap w:val="0"/>
        <w:topLinePunct w:val="0"/>
        <w:bidi w:val="0"/>
        <w:snapToGrid w:val="0"/>
        <w:spacing w:line="460" w:lineRule="exact"/>
        <w:ind w:firstLine="464" w:firstLineChars="20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【非监狱企业不用提供】</w:t>
      </w:r>
    </w:p>
    <w:p w14:paraId="130119BC">
      <w:pPr>
        <w:pageBreakBefore w:val="0"/>
        <w:kinsoku/>
        <w:wordWrap w:val="0"/>
        <w:topLinePunct w:val="0"/>
        <w:bidi w:val="0"/>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本企业郑重声明，根据《关于政府采购支持监狱企业发展有关问题的通知》（财库[2014]68号）的规定，本企业为监狱企业。 </w:t>
      </w:r>
    </w:p>
    <w:p w14:paraId="27BD750C">
      <w:pPr>
        <w:pageBreakBefore w:val="0"/>
        <w:kinsoku/>
        <w:wordWrap w:val="0"/>
        <w:topLinePunct w:val="0"/>
        <w:bidi w:val="0"/>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根据上述标准，我企业属于监狱企业的理由为：</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 </w:t>
      </w:r>
    </w:p>
    <w:p w14:paraId="5E7BD817">
      <w:pPr>
        <w:pageBreakBefore w:val="0"/>
        <w:kinsoku/>
        <w:wordWrap w:val="0"/>
        <w:topLinePunct w:val="0"/>
        <w:bidi w:val="0"/>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本企业为参加（招标项目名称</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）（招标编号</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）采购活动并承担本工程。 </w:t>
      </w:r>
    </w:p>
    <w:p w14:paraId="0CB97037">
      <w:pPr>
        <w:pageBreakBefore w:val="0"/>
        <w:kinsoku/>
        <w:wordWrap w:val="0"/>
        <w:topLinePunct w:val="0"/>
        <w:bidi w:val="0"/>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本企业对上述声明的真实性负责。如有虚假，将依法承担相应责任。  </w:t>
      </w:r>
    </w:p>
    <w:p w14:paraId="6CDD3497">
      <w:pPr>
        <w:pageBreakBefore w:val="0"/>
        <w:kinsoku/>
        <w:wordWrap w:val="0"/>
        <w:topLinePunct w:val="0"/>
        <w:bidi w:val="0"/>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投标人全称（盖章）：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 xml:space="preserve">                   </w:t>
      </w:r>
    </w:p>
    <w:p w14:paraId="286939DD">
      <w:pPr>
        <w:pageBreakBefore w:val="0"/>
        <w:kinsoku/>
        <w:wordWrap w:val="0"/>
        <w:topLinePunct w:val="0"/>
        <w:bidi w:val="0"/>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日期：    年    月   日 </w:t>
      </w:r>
    </w:p>
    <w:p w14:paraId="113CB12E">
      <w:pPr>
        <w:pageBreakBefore w:val="0"/>
        <w:kinsoku/>
        <w:wordWrap w:val="0"/>
        <w:topLinePunct w:val="0"/>
        <w:bidi w:val="0"/>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14:paraId="6E9CA6AB">
      <w:pPr>
        <w:pageBreakBefore w:val="0"/>
        <w:kinsoku/>
        <w:wordWrap w:val="0"/>
        <w:topLinePunct w:val="0"/>
        <w:bidi w:val="0"/>
        <w:adjustRightInd w:val="0"/>
        <w:snapToGrid w:val="0"/>
        <w:spacing w:line="460" w:lineRule="exact"/>
        <w:ind w:firstLine="464"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003D60E">
      <w:pPr>
        <w:pageBreakBefore w:val="0"/>
        <w:kinsoku/>
        <w:wordWrap w:val="0"/>
        <w:topLinePunct w:val="0"/>
        <w:bidi w:val="0"/>
        <w:spacing w:line="460" w:lineRule="exact"/>
        <w:rPr>
          <w:rFonts w:hint="eastAsia" w:ascii="宋体" w:hAnsi="宋体" w:eastAsia="宋体" w:cs="宋体"/>
          <w:color w:val="auto"/>
          <w:spacing w:val="20"/>
          <w:sz w:val="22"/>
          <w:szCs w:val="22"/>
          <w:highlight w:val="none"/>
        </w:rPr>
      </w:pPr>
    </w:p>
    <w:p w14:paraId="7C9E5F6E">
      <w:pPr>
        <w:pageBreakBefore w:val="0"/>
        <w:kinsoku/>
        <w:wordWrap w:val="0"/>
        <w:topLinePunct w:val="0"/>
        <w:bidi w:val="0"/>
        <w:spacing w:line="460" w:lineRule="exact"/>
        <w:rPr>
          <w:rFonts w:hint="eastAsia" w:ascii="宋体" w:hAnsi="宋体" w:eastAsia="宋体" w:cs="宋体"/>
          <w:color w:val="auto"/>
          <w:spacing w:val="20"/>
          <w:sz w:val="22"/>
          <w:szCs w:val="22"/>
          <w:highlight w:val="none"/>
        </w:rPr>
      </w:pPr>
    </w:p>
    <w:p w14:paraId="5D0677A3">
      <w:pPr>
        <w:pageBreakBefore w:val="0"/>
        <w:kinsoku/>
        <w:wordWrap w:val="0"/>
        <w:topLinePunct w:val="0"/>
        <w:bidi w:val="0"/>
        <w:spacing w:line="380" w:lineRule="exact"/>
        <w:rPr>
          <w:rFonts w:hint="eastAsia" w:ascii="宋体" w:hAnsi="宋体" w:eastAsia="宋体" w:cs="宋体"/>
          <w:color w:val="auto"/>
          <w:sz w:val="22"/>
          <w:szCs w:val="22"/>
          <w:highlight w:val="none"/>
        </w:rPr>
      </w:pPr>
    </w:p>
    <w:p w14:paraId="472376E2">
      <w:pPr>
        <w:pageBreakBefore w:val="0"/>
        <w:kinsoku/>
        <w:wordWrap w:val="0"/>
        <w:topLinePunct w:val="0"/>
        <w:bidi w:val="0"/>
        <w:spacing w:line="380" w:lineRule="exact"/>
        <w:rPr>
          <w:rFonts w:hint="eastAsia" w:ascii="宋体" w:hAnsi="宋体" w:eastAsia="宋体" w:cs="宋体"/>
          <w:color w:val="auto"/>
          <w:sz w:val="22"/>
          <w:szCs w:val="22"/>
          <w:highlight w:val="none"/>
        </w:rPr>
      </w:pPr>
    </w:p>
    <w:p w14:paraId="48A0C255">
      <w:pPr>
        <w:pageBreakBefore w:val="0"/>
        <w:kinsoku/>
        <w:wordWrap w:val="0"/>
        <w:topLinePunct w:val="0"/>
        <w:bidi w:val="0"/>
        <w:spacing w:line="380" w:lineRule="exact"/>
        <w:rPr>
          <w:rFonts w:hint="eastAsia" w:ascii="宋体" w:hAnsi="宋体" w:eastAsia="宋体" w:cs="宋体"/>
          <w:color w:val="auto"/>
          <w:sz w:val="22"/>
          <w:szCs w:val="22"/>
          <w:highlight w:val="none"/>
        </w:rPr>
      </w:pPr>
    </w:p>
    <w:p w14:paraId="4147F9B6">
      <w:pPr>
        <w:pageBreakBefore w:val="0"/>
        <w:kinsoku/>
        <w:wordWrap w:val="0"/>
        <w:topLinePunct w:val="0"/>
        <w:bidi w:val="0"/>
        <w:spacing w:line="380" w:lineRule="exact"/>
        <w:rPr>
          <w:rFonts w:hint="eastAsia" w:ascii="宋体" w:hAnsi="宋体" w:eastAsia="宋体" w:cs="宋体"/>
          <w:color w:val="auto"/>
          <w:sz w:val="22"/>
          <w:szCs w:val="22"/>
          <w:highlight w:val="none"/>
        </w:rPr>
      </w:pPr>
    </w:p>
    <w:p w14:paraId="37EB9F95">
      <w:pPr>
        <w:pageBreakBefore w:val="0"/>
        <w:kinsoku/>
        <w:wordWrap w:val="0"/>
        <w:topLinePunct w:val="0"/>
        <w:bidi w:val="0"/>
        <w:spacing w:line="380" w:lineRule="exact"/>
        <w:rPr>
          <w:rFonts w:hint="eastAsia" w:ascii="宋体" w:hAnsi="宋体" w:eastAsia="宋体" w:cs="宋体"/>
          <w:color w:val="auto"/>
          <w:sz w:val="22"/>
          <w:szCs w:val="22"/>
          <w:highlight w:val="none"/>
        </w:rPr>
      </w:pPr>
    </w:p>
    <w:p w14:paraId="5092B50B">
      <w:pPr>
        <w:pageBreakBefore w:val="0"/>
        <w:kinsoku/>
        <w:wordWrap w:val="0"/>
        <w:topLinePunct w:val="0"/>
        <w:bidi w:val="0"/>
        <w:spacing w:line="380" w:lineRule="exact"/>
        <w:rPr>
          <w:rFonts w:hint="eastAsia" w:ascii="宋体" w:hAnsi="宋体" w:eastAsia="宋体" w:cs="宋体"/>
          <w:color w:val="auto"/>
          <w:sz w:val="22"/>
          <w:szCs w:val="22"/>
          <w:highlight w:val="none"/>
        </w:rPr>
      </w:pPr>
    </w:p>
    <w:p w14:paraId="077616B2">
      <w:pPr>
        <w:pageBreakBefore w:val="0"/>
        <w:kinsoku/>
        <w:wordWrap w:val="0"/>
        <w:topLinePunct w:val="0"/>
        <w:bidi w:val="0"/>
        <w:spacing w:line="380" w:lineRule="exact"/>
        <w:rPr>
          <w:rFonts w:hint="eastAsia" w:ascii="宋体" w:hAnsi="宋体" w:eastAsia="宋体" w:cs="宋体"/>
          <w:color w:val="auto"/>
          <w:sz w:val="22"/>
          <w:szCs w:val="22"/>
          <w:highlight w:val="none"/>
        </w:rPr>
      </w:pPr>
    </w:p>
    <w:p w14:paraId="5D662896">
      <w:pPr>
        <w:pageBreakBefore w:val="0"/>
        <w:kinsoku/>
        <w:wordWrap w:val="0"/>
        <w:topLinePunct w:val="0"/>
        <w:bidi w:val="0"/>
        <w:spacing w:line="380" w:lineRule="exact"/>
        <w:rPr>
          <w:rFonts w:hint="eastAsia" w:ascii="宋体" w:hAnsi="宋体" w:eastAsia="宋体" w:cs="宋体"/>
          <w:color w:val="auto"/>
          <w:sz w:val="22"/>
          <w:szCs w:val="22"/>
          <w:highlight w:val="none"/>
        </w:rPr>
      </w:pPr>
    </w:p>
    <w:p w14:paraId="289786AB">
      <w:pPr>
        <w:pStyle w:val="24"/>
        <w:pageBreakBefore w:val="0"/>
        <w:kinsoku/>
        <w:wordWrap w:val="0"/>
        <w:topLinePunct w:val="0"/>
        <w:bidi w:val="0"/>
        <w:ind w:left="0" w:leftChars="0" w:firstLine="0" w:firstLineChars="0"/>
        <w:rPr>
          <w:rFonts w:hint="eastAsia" w:ascii="宋体" w:hAnsi="宋体" w:eastAsia="宋体" w:cs="宋体"/>
          <w:color w:val="auto"/>
          <w:highlight w:val="none"/>
        </w:rPr>
      </w:pPr>
    </w:p>
    <w:p w14:paraId="4D54D2C3">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52D5D776">
      <w:pPr>
        <w:pageBreakBefore w:val="0"/>
        <w:tabs>
          <w:tab w:val="left" w:pos="1620"/>
        </w:tabs>
        <w:kinsoku/>
        <w:wordWrap w:val="0"/>
        <w:topLinePunct w:val="0"/>
        <w:bidi w:val="0"/>
        <w:spacing w:line="460" w:lineRule="exact"/>
        <w:outlineLvl w:val="3"/>
        <w:rPr>
          <w:rFonts w:hint="eastAsia" w:ascii="宋体" w:hAnsi="宋体" w:eastAsia="宋体" w:cs="宋体"/>
          <w:b/>
          <w:bCs/>
          <w:color w:val="auto"/>
          <w:sz w:val="22"/>
          <w:szCs w:val="22"/>
          <w:highlight w:val="none"/>
        </w:rPr>
      </w:pPr>
      <w:r>
        <w:rPr>
          <w:rFonts w:hint="eastAsia" w:ascii="宋体" w:hAnsi="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、中小企业的相关证明材料</w:t>
      </w:r>
    </w:p>
    <w:p w14:paraId="43D94FC7">
      <w:pPr>
        <w:pageBreakBefore w:val="0"/>
        <w:kinsoku/>
        <w:wordWrap w:val="0"/>
        <w:topLinePunct w:val="0"/>
        <w:bidi w:val="0"/>
        <w:snapToGrid w:val="0"/>
        <w:spacing w:line="460" w:lineRule="exact"/>
        <w:ind w:firstLine="464" w:firstLineChars="20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【非</w:t>
      </w:r>
      <w:r>
        <w:rPr>
          <w:rFonts w:hint="eastAsia" w:ascii="宋体" w:hAnsi="宋体" w:eastAsia="宋体" w:cs="宋体"/>
          <w:color w:val="auto"/>
          <w:spacing w:val="6"/>
          <w:sz w:val="22"/>
          <w:szCs w:val="22"/>
          <w:highlight w:val="none"/>
          <w:lang w:val="zh-CN"/>
        </w:rPr>
        <w:t>小型、微型</w:t>
      </w:r>
      <w:r>
        <w:rPr>
          <w:rFonts w:hint="eastAsia" w:ascii="宋体" w:hAnsi="宋体" w:eastAsia="宋体" w:cs="宋体"/>
          <w:color w:val="auto"/>
          <w:spacing w:val="6"/>
          <w:sz w:val="22"/>
          <w:szCs w:val="22"/>
          <w:highlight w:val="none"/>
        </w:rPr>
        <w:t>企业不用提供】</w:t>
      </w:r>
    </w:p>
    <w:p w14:paraId="22999F46">
      <w:pPr>
        <w:pageBreakBefore w:val="0"/>
        <w:kinsoku/>
        <w:wordWrap w:val="0"/>
        <w:topLinePunct w:val="0"/>
        <w:bidi w:val="0"/>
        <w:spacing w:line="380" w:lineRule="exact"/>
        <w:rPr>
          <w:rFonts w:hint="eastAsia" w:ascii="宋体" w:hAnsi="宋体" w:eastAsia="宋体" w:cs="宋体"/>
          <w:color w:val="auto"/>
          <w:sz w:val="22"/>
          <w:szCs w:val="22"/>
          <w:highlight w:val="none"/>
        </w:rPr>
      </w:pPr>
    </w:p>
    <w:p w14:paraId="26209124">
      <w:pPr>
        <w:pageBreakBefore w:val="0"/>
        <w:kinsoku/>
        <w:wordWrap w:val="0"/>
        <w:topLinePunct w:val="0"/>
        <w:bidi w:val="0"/>
        <w:spacing w:line="460" w:lineRule="exact"/>
        <w:ind w:firstLine="539" w:firstLineChars="245"/>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根据《政府采购促进中小企业发展管理办法》（财库﹝2020﹞46号），</w:t>
      </w:r>
      <w:r>
        <w:rPr>
          <w:rFonts w:hint="eastAsia" w:ascii="新宋体" w:hAnsi="新宋体" w:eastAsia="新宋体"/>
          <w:b w:val="0"/>
          <w:bCs w:val="0"/>
          <w:color w:val="auto"/>
          <w:sz w:val="22"/>
          <w:szCs w:val="22"/>
          <w:highlight w:val="none"/>
          <w:lang w:val="zh-CN"/>
        </w:rPr>
        <w:t>对</w:t>
      </w:r>
      <w:r>
        <w:rPr>
          <w:rFonts w:hint="eastAsia" w:ascii="新宋体" w:hAnsi="新宋体" w:eastAsia="新宋体"/>
          <w:b w:val="0"/>
          <w:bCs w:val="0"/>
          <w:color w:val="auto"/>
          <w:sz w:val="22"/>
          <w:szCs w:val="22"/>
          <w:highlight w:val="none"/>
          <w:lang w:val="en-US" w:eastAsia="zh-CN"/>
        </w:rPr>
        <w:t>货物类项目</w:t>
      </w:r>
      <w:r>
        <w:rPr>
          <w:rFonts w:hint="eastAsia" w:ascii="新宋体" w:hAnsi="新宋体" w:eastAsia="新宋体"/>
          <w:b w:val="0"/>
          <w:bCs w:val="0"/>
          <w:color w:val="auto"/>
          <w:sz w:val="22"/>
          <w:szCs w:val="22"/>
          <w:highlight w:val="none"/>
          <w:lang w:val="zh-CN"/>
        </w:rPr>
        <w:t>投标产品为小型或微型企业生产的，</w:t>
      </w:r>
      <w:r>
        <w:rPr>
          <w:rFonts w:hint="eastAsia" w:ascii="新宋体" w:hAnsi="新宋体" w:eastAsia="新宋体"/>
          <w:b w:val="0"/>
          <w:bCs w:val="0"/>
          <w:color w:val="auto"/>
          <w:sz w:val="22"/>
          <w:szCs w:val="22"/>
          <w:highlight w:val="none"/>
          <w:lang w:val="en-US" w:eastAsia="zh-CN"/>
        </w:rPr>
        <w:t>工程、服务类项目由小型或微型企业承建、承接的</w:t>
      </w:r>
      <w:r>
        <w:rPr>
          <w:rFonts w:hint="eastAsia" w:ascii="新宋体" w:hAnsi="新宋体" w:eastAsia="新宋体"/>
          <w:b w:val="0"/>
          <w:bCs w:val="0"/>
          <w:color w:val="auto"/>
          <w:sz w:val="22"/>
          <w:szCs w:val="22"/>
          <w:highlight w:val="none"/>
          <w:lang w:val="zh-CN"/>
        </w:rPr>
        <w:t>，</w:t>
      </w:r>
      <w:r>
        <w:rPr>
          <w:rFonts w:hint="eastAsia" w:ascii="新宋体" w:hAnsi="新宋体" w:eastAsia="新宋体"/>
          <w:b w:val="0"/>
          <w:bCs w:val="0"/>
          <w:color w:val="auto"/>
          <w:sz w:val="22"/>
          <w:szCs w:val="22"/>
          <w:highlight w:val="none"/>
          <w:u w:val="single"/>
          <w:lang w:val="zh-CN"/>
        </w:rPr>
        <w:t>价格给予</w:t>
      </w:r>
      <w:r>
        <w:rPr>
          <w:rFonts w:hint="eastAsia" w:ascii="新宋体" w:hAnsi="新宋体" w:eastAsia="新宋体"/>
          <w:b w:val="0"/>
          <w:bCs w:val="0"/>
          <w:color w:val="auto"/>
          <w:sz w:val="22"/>
          <w:szCs w:val="22"/>
          <w:highlight w:val="none"/>
          <w:u w:val="single"/>
          <w:lang w:val="en-US" w:eastAsia="zh-CN"/>
        </w:rPr>
        <w:t>1</w:t>
      </w:r>
      <w:r>
        <w:rPr>
          <w:rFonts w:hint="eastAsia" w:ascii="新宋体" w:hAnsi="新宋体" w:eastAsia="新宋体"/>
          <w:b w:val="0"/>
          <w:bCs w:val="0"/>
          <w:color w:val="auto"/>
          <w:sz w:val="22"/>
          <w:szCs w:val="22"/>
          <w:highlight w:val="none"/>
          <w:u w:val="single"/>
        </w:rPr>
        <w:t>0</w:t>
      </w:r>
      <w:r>
        <w:rPr>
          <w:rFonts w:hint="eastAsia" w:ascii="新宋体" w:hAnsi="新宋体" w:eastAsia="新宋体"/>
          <w:b w:val="0"/>
          <w:bCs w:val="0"/>
          <w:color w:val="auto"/>
          <w:sz w:val="22"/>
          <w:szCs w:val="22"/>
          <w:highlight w:val="none"/>
          <w:u w:val="single"/>
          <w:lang w:val="zh-CN"/>
        </w:rPr>
        <w:t>%的扣除</w:t>
      </w:r>
      <w:r>
        <w:rPr>
          <w:rFonts w:hint="eastAsia" w:ascii="宋体" w:hAnsi="宋体" w:eastAsia="宋体" w:cs="宋体"/>
          <w:color w:val="auto"/>
          <w:sz w:val="22"/>
          <w:szCs w:val="22"/>
          <w:highlight w:val="none"/>
          <w:lang w:val="zh-CN"/>
        </w:rPr>
        <w:t>，用扣除后的价格参与价格评分。</w:t>
      </w:r>
    </w:p>
    <w:p w14:paraId="7B7955D5">
      <w:pPr>
        <w:pageBreakBefore w:val="0"/>
        <w:kinsoku/>
        <w:wordWrap w:val="0"/>
        <w:topLinePunct w:val="0"/>
        <w:bidi w:val="0"/>
        <w:spacing w:line="460" w:lineRule="exact"/>
        <w:ind w:firstLine="541" w:firstLineChars="245"/>
        <w:rPr>
          <w:rFonts w:hint="eastAsia" w:ascii="宋体" w:hAnsi="宋体" w:eastAsia="宋体" w:cs="宋体"/>
          <w:color w:val="auto"/>
          <w:sz w:val="22"/>
          <w:szCs w:val="22"/>
          <w:highlight w:val="none"/>
          <w:lang w:val="zh-CN"/>
        </w:rPr>
      </w:pPr>
      <w:r>
        <w:rPr>
          <w:rFonts w:hint="eastAsia" w:ascii="宋体" w:hAnsi="宋体" w:eastAsia="宋体" w:cs="宋体"/>
          <w:b/>
          <w:bCs/>
          <w:color w:val="auto"/>
          <w:sz w:val="22"/>
          <w:szCs w:val="22"/>
          <w:highlight w:val="none"/>
          <w:u w:val="single"/>
          <w:lang w:val="en-US" w:eastAsia="zh-CN"/>
        </w:rPr>
        <w:t>同时</w:t>
      </w:r>
      <w:r>
        <w:rPr>
          <w:rFonts w:hint="eastAsia" w:ascii="宋体" w:hAnsi="宋体" w:eastAsia="宋体" w:cs="宋体"/>
          <w:b/>
          <w:bCs/>
          <w:color w:val="auto"/>
          <w:sz w:val="22"/>
          <w:szCs w:val="22"/>
          <w:highlight w:val="none"/>
          <w:u w:val="single"/>
          <w:lang w:val="zh-CN"/>
        </w:rPr>
        <w:t>符合以下所有要求的投标人被认定为小型、微型企业：</w:t>
      </w:r>
    </w:p>
    <w:p w14:paraId="071579B5">
      <w:pPr>
        <w:pageBreakBefore w:val="0"/>
        <w:kinsoku/>
        <w:wordWrap w:val="0"/>
        <w:topLinePunct w:val="0"/>
        <w:bidi w:val="0"/>
        <w:spacing w:line="460" w:lineRule="exact"/>
        <w:ind w:firstLine="541" w:firstLineChars="245"/>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①企业按照《关于印发中小企业划型标准规定的通知》（工信部联企业〔2011〕300号）的所属行业规定为小型、微型企业。</w:t>
      </w:r>
    </w:p>
    <w:p w14:paraId="17EF9CA8">
      <w:pPr>
        <w:pageBreakBefore w:val="0"/>
        <w:kinsoku/>
        <w:wordWrap w:val="0"/>
        <w:topLinePunct w:val="0"/>
        <w:bidi w:val="0"/>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u w:val="single"/>
          <w:lang w:val="en-US" w:eastAsia="zh-CN"/>
        </w:rPr>
        <w:t>②</w:t>
      </w:r>
      <w:r>
        <w:rPr>
          <w:rFonts w:hint="eastAsia" w:ascii="宋体" w:hAnsi="宋体" w:eastAsia="宋体" w:cs="宋体"/>
          <w:b/>
          <w:bCs/>
          <w:color w:val="auto"/>
          <w:sz w:val="22"/>
          <w:szCs w:val="22"/>
          <w:highlight w:val="none"/>
          <w:u w:val="single"/>
          <w:lang w:val="zh-CN"/>
        </w:rPr>
        <w:t>投标文件中必须提供《中小企业声明函》。</w:t>
      </w:r>
    </w:p>
    <w:p w14:paraId="09B7AA3C">
      <w:pPr>
        <w:pageBreakBefore w:val="0"/>
        <w:kinsoku/>
        <w:wordWrap w:val="0"/>
        <w:topLinePunct w:val="0"/>
        <w:bidi w:val="0"/>
        <w:spacing w:line="460" w:lineRule="exact"/>
        <w:jc w:val="center"/>
        <w:rPr>
          <w:rFonts w:hint="eastAsia" w:ascii="宋体" w:hAnsi="宋体" w:eastAsia="宋体" w:cs="宋体"/>
          <w:b/>
          <w:bCs/>
          <w:color w:val="auto"/>
          <w:sz w:val="22"/>
          <w:szCs w:val="22"/>
          <w:highlight w:val="none"/>
        </w:rPr>
      </w:pPr>
    </w:p>
    <w:p w14:paraId="4BA7A387">
      <w:pPr>
        <w:pageBreakBefore w:val="0"/>
        <w:kinsoku/>
        <w:wordWrap w:val="0"/>
        <w:topLinePunct w:val="0"/>
        <w:bidi w:val="0"/>
        <w:spacing w:line="460" w:lineRule="exact"/>
        <w:ind w:firstLine="420" w:firstLineChars="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w:t>
      </w:r>
      <w:r>
        <w:rPr>
          <w:rFonts w:hint="eastAsia" w:ascii="宋体" w:hAnsi="宋体" w:eastAsia="宋体" w:cs="宋体"/>
          <w:b/>
          <w:bCs/>
          <w:color w:val="auto"/>
          <w:spacing w:val="20"/>
          <w:sz w:val="22"/>
          <w:szCs w:val="22"/>
          <w:highlight w:val="none"/>
        </w:rPr>
        <w:t>中小企业声明函（货物</w:t>
      </w:r>
      <w:r>
        <w:rPr>
          <w:rFonts w:hint="eastAsia" w:ascii="宋体" w:hAnsi="宋体" w:eastAsia="宋体" w:cs="宋体"/>
          <w:b/>
          <w:bCs/>
          <w:color w:val="auto"/>
          <w:spacing w:val="20"/>
          <w:sz w:val="22"/>
          <w:szCs w:val="22"/>
          <w:highlight w:val="none"/>
          <w:lang w:eastAsia="zh-CN"/>
        </w:rPr>
        <w:t>）</w:t>
      </w:r>
      <w:r>
        <w:rPr>
          <w:rFonts w:hint="eastAsia" w:ascii="宋体" w:hAnsi="宋体" w:eastAsia="宋体" w:cs="宋体"/>
          <w:b/>
          <w:bCs/>
          <w:color w:val="auto"/>
          <w:sz w:val="22"/>
          <w:szCs w:val="22"/>
          <w:highlight w:val="none"/>
        </w:rPr>
        <w:t>》</w:t>
      </w:r>
    </w:p>
    <w:p w14:paraId="5ED769D4">
      <w:pPr>
        <w:pageBreakBefore w:val="0"/>
        <w:kinsoku/>
        <w:wordWrap w:val="0"/>
        <w:topLinePunct w:val="0"/>
        <w:bidi w:val="0"/>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【不属于中小企业单位的无需填写、递交】</w:t>
      </w:r>
    </w:p>
    <w:p w14:paraId="4DBAA24E">
      <w:pPr>
        <w:pageBreakBefore w:val="0"/>
        <w:kinsoku/>
        <w:wordWrap w:val="0"/>
        <w:topLinePunct w:val="0"/>
        <w:bidi w:val="0"/>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pacing w:val="20"/>
          <w:sz w:val="22"/>
          <w:szCs w:val="22"/>
          <w:highlight w:val="none"/>
          <w:u w:val="single"/>
        </w:rPr>
        <w:t>（单位名称）</w:t>
      </w:r>
      <w:r>
        <w:rPr>
          <w:rFonts w:hint="eastAsia" w:ascii="宋体" w:hAnsi="宋体" w:eastAsia="宋体" w:cs="宋体"/>
          <w:color w:val="auto"/>
          <w:spacing w:val="20"/>
          <w:sz w:val="22"/>
          <w:szCs w:val="22"/>
          <w:highlight w:val="none"/>
        </w:rPr>
        <w:t>的</w:t>
      </w:r>
      <w:r>
        <w:rPr>
          <w:rFonts w:hint="eastAsia" w:ascii="宋体" w:hAnsi="宋体" w:eastAsia="宋体" w:cs="宋体"/>
          <w:color w:val="auto"/>
          <w:spacing w:val="20"/>
          <w:sz w:val="22"/>
          <w:szCs w:val="22"/>
          <w:highlight w:val="none"/>
          <w:u w:val="single"/>
        </w:rPr>
        <w:t>（项目名称）</w:t>
      </w:r>
      <w:r>
        <w:rPr>
          <w:rFonts w:hint="eastAsia" w:ascii="宋体" w:hAnsi="宋体" w:eastAsia="宋体" w:cs="宋体"/>
          <w:color w:val="auto"/>
          <w:spacing w:val="20"/>
          <w:sz w:val="22"/>
          <w:szCs w:val="22"/>
          <w:highlight w:val="none"/>
        </w:rPr>
        <w:t>采购活动，提供的货物全部由符合政策要求的中小企业制造。相关企业（含联合体中的中小企业、签订分包意向协议的中小企业）的具体情况如下：</w:t>
      </w:r>
    </w:p>
    <w:p w14:paraId="7322AA97">
      <w:pPr>
        <w:pageBreakBefore w:val="0"/>
        <w:kinsoku/>
        <w:wordWrap w:val="0"/>
        <w:topLinePunct w:val="0"/>
        <w:bidi w:val="0"/>
        <w:spacing w:line="460" w:lineRule="exact"/>
        <w:ind w:firstLine="539" w:firstLineChars="245"/>
        <w:rPr>
          <w:rFonts w:hint="eastAsia" w:ascii="宋体" w:hAnsi="宋体" w:eastAsia="宋体" w:cs="宋体"/>
          <w:color w:val="auto"/>
          <w:spacing w:val="20"/>
          <w:sz w:val="22"/>
          <w:szCs w:val="22"/>
          <w:highlight w:val="none"/>
        </w:rPr>
      </w:pPr>
      <w:r>
        <w:rPr>
          <w:rFonts w:hint="eastAsia" w:ascii="宋体" w:hAnsi="宋体" w:eastAsia="宋体" w:cs="宋体"/>
          <w:b w:val="0"/>
          <w:bCs w:val="0"/>
          <w:color w:val="auto"/>
          <w:sz w:val="22"/>
          <w:szCs w:val="22"/>
          <w:highlight w:val="none"/>
          <w:lang w:val="zh-CN"/>
        </w:rPr>
        <w:t>1.</w:t>
      </w:r>
      <w:r>
        <w:rPr>
          <w:rFonts w:hint="eastAsia" w:ascii="宋体" w:hAnsi="宋体" w:eastAsia="宋体" w:cs="宋体"/>
          <w:b w:val="0"/>
          <w:bCs w:val="0"/>
          <w:color w:val="auto"/>
          <w:sz w:val="22"/>
          <w:szCs w:val="22"/>
          <w:highlight w:val="none"/>
          <w:u w:val="single"/>
          <w:lang w:val="zh-CN"/>
        </w:rPr>
        <w:t>（标的名称）</w:t>
      </w:r>
      <w:r>
        <w:rPr>
          <w:rFonts w:hint="eastAsia" w:ascii="宋体" w:hAnsi="宋体" w:eastAsia="宋体" w:cs="宋体"/>
          <w:b w:val="0"/>
          <w:bCs w:val="0"/>
          <w:color w:val="auto"/>
          <w:sz w:val="22"/>
          <w:szCs w:val="22"/>
          <w:highlight w:val="none"/>
          <w:lang w:val="zh-CN"/>
        </w:rPr>
        <w:t xml:space="preserve"> ，属于</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行业；制造商为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u w:val="single"/>
          <w:lang w:eastAsia="zh-CN"/>
        </w:rPr>
        <w:t>，</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rPr>
        <w:t xml:space="preserve"> </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（中型企业、小型企业、微型企业）</w:t>
      </w:r>
      <w:r>
        <w:rPr>
          <w:rFonts w:hint="eastAsia" w:ascii="宋体" w:hAnsi="宋体" w:eastAsia="宋体" w:cs="宋体"/>
          <w:color w:val="auto"/>
          <w:spacing w:val="20"/>
          <w:sz w:val="22"/>
          <w:szCs w:val="22"/>
          <w:highlight w:val="none"/>
        </w:rPr>
        <w:t>；</w:t>
      </w:r>
    </w:p>
    <w:p w14:paraId="09A592E2">
      <w:pPr>
        <w:pageBreakBefore w:val="0"/>
        <w:kinsoku/>
        <w:wordWrap w:val="0"/>
        <w:topLinePunct w:val="0"/>
        <w:bidi w:val="0"/>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 xml:space="preserve"> ，属于</w:t>
      </w:r>
      <w:r>
        <w:rPr>
          <w:rFonts w:hint="eastAsia" w:ascii="宋体" w:hAnsi="宋体" w:eastAsia="宋体" w:cs="宋体"/>
          <w:color w:val="auto"/>
          <w:spacing w:val="20"/>
          <w:sz w:val="22"/>
          <w:szCs w:val="22"/>
          <w:highlight w:val="none"/>
          <w:u w:val="single"/>
        </w:rPr>
        <w:t>（采购文件中明确的所属行业）</w:t>
      </w:r>
      <w:r>
        <w:rPr>
          <w:rFonts w:hint="eastAsia" w:ascii="宋体" w:hAnsi="宋体" w:eastAsia="宋体" w:cs="宋体"/>
          <w:color w:val="auto"/>
          <w:spacing w:val="20"/>
          <w:sz w:val="22"/>
          <w:szCs w:val="22"/>
          <w:highlight w:val="none"/>
        </w:rPr>
        <w:t>行业；制造商为（企业名称），从业人员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万元，属于（中型企业、小型企业、微型企业）；</w:t>
      </w:r>
    </w:p>
    <w:p w14:paraId="27AA0D86">
      <w:pPr>
        <w:pageBreakBefore w:val="0"/>
        <w:kinsoku/>
        <w:wordWrap w:val="0"/>
        <w:topLinePunct w:val="0"/>
        <w:bidi w:val="0"/>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w:t>
      </w:r>
    </w:p>
    <w:p w14:paraId="118ABAE1">
      <w:pPr>
        <w:pageBreakBefore w:val="0"/>
        <w:kinsoku/>
        <w:wordWrap w:val="0"/>
        <w:topLinePunct w:val="0"/>
        <w:bidi w:val="0"/>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以上企业，不属于大企业的分支机构，不存在控股股东为大企业的情形，也不存在与大企业的负责人为同一人的情形。</w:t>
      </w:r>
    </w:p>
    <w:p w14:paraId="3FE3B9B6">
      <w:pPr>
        <w:pageBreakBefore w:val="0"/>
        <w:kinsoku/>
        <w:wordWrap w:val="0"/>
        <w:topLinePunct w:val="0"/>
        <w:bidi w:val="0"/>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本企业对上述声明内容的真实性负责。如有虚假，将依法承担相应责任。</w:t>
      </w:r>
    </w:p>
    <w:p w14:paraId="48C5C248">
      <w:pPr>
        <w:pageBreakBefore w:val="0"/>
        <w:kinsoku/>
        <w:wordWrap w:val="0"/>
        <w:topLinePunct w:val="0"/>
        <w:bidi w:val="0"/>
        <w:spacing w:line="460" w:lineRule="exact"/>
        <w:rPr>
          <w:rFonts w:hint="eastAsia" w:ascii="宋体" w:hAnsi="宋体" w:eastAsia="宋体" w:cs="宋体"/>
          <w:color w:val="auto"/>
          <w:spacing w:val="20"/>
          <w:sz w:val="22"/>
          <w:szCs w:val="22"/>
          <w:highlight w:val="none"/>
        </w:rPr>
      </w:pPr>
    </w:p>
    <w:p w14:paraId="6BB2A95A">
      <w:pPr>
        <w:pStyle w:val="9"/>
        <w:pageBreakBefore w:val="0"/>
        <w:kinsoku/>
        <w:wordWrap w:val="0"/>
        <w:topLinePunct w:val="0"/>
        <w:bidi w:val="0"/>
        <w:rPr>
          <w:rFonts w:hint="eastAsia" w:ascii="宋体" w:hAnsi="宋体" w:eastAsia="宋体" w:cs="宋体"/>
          <w:color w:val="auto"/>
          <w:sz w:val="22"/>
          <w:szCs w:val="22"/>
          <w:highlight w:val="none"/>
        </w:rPr>
      </w:pPr>
    </w:p>
    <w:p w14:paraId="5B5A0018">
      <w:pPr>
        <w:pageBreakBefore w:val="0"/>
        <w:kinsoku/>
        <w:wordWrap w:val="0"/>
        <w:topLinePunct w:val="0"/>
        <w:bidi w:val="0"/>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w:t>
      </w:r>
      <w:r>
        <w:rPr>
          <w:rFonts w:hint="eastAsia" w:ascii="宋体" w:hAnsi="宋体" w:eastAsia="宋体" w:cs="宋体"/>
          <w:color w:val="auto"/>
          <w:spacing w:val="20"/>
          <w:sz w:val="22"/>
          <w:szCs w:val="22"/>
          <w:highlight w:val="none"/>
        </w:rPr>
        <w:t>企业名称（盖章）：</w:t>
      </w:r>
    </w:p>
    <w:p w14:paraId="33DB6331">
      <w:pPr>
        <w:pageBreakBefore w:val="0"/>
        <w:kinsoku/>
        <w:wordWrap w:val="0"/>
        <w:topLinePunct w:val="0"/>
        <w:bidi w:val="0"/>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w:t>
      </w:r>
      <w:r>
        <w:rPr>
          <w:rFonts w:hint="eastAsia" w:ascii="宋体" w:hAnsi="宋体" w:eastAsia="宋体" w:cs="宋体"/>
          <w:color w:val="auto"/>
          <w:spacing w:val="20"/>
          <w:sz w:val="22"/>
          <w:szCs w:val="22"/>
          <w:highlight w:val="none"/>
        </w:rPr>
        <w:t>日 期：</w:t>
      </w:r>
    </w:p>
    <w:p w14:paraId="44FA7D6E">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48FB14E0">
      <w:pPr>
        <w:pageBreakBefore w:val="0"/>
        <w:kinsoku/>
        <w:wordWrap w:val="0"/>
        <w:topLinePunct w:val="0"/>
        <w:bidi w:val="0"/>
        <w:spacing w:line="420" w:lineRule="exact"/>
        <w:ind w:left="514" w:leftChars="245"/>
        <w:outlineLvl w:val="3"/>
        <w:rPr>
          <w:rFonts w:hint="eastAsia" w:ascii="宋体" w:hAnsi="宋体" w:eastAsia="宋体" w:cs="宋体"/>
          <w:b/>
          <w:bCs/>
          <w:color w:val="auto"/>
          <w:sz w:val="22"/>
          <w:szCs w:val="22"/>
          <w:highlight w:val="none"/>
        </w:rPr>
      </w:pPr>
      <w:r>
        <w:rPr>
          <w:rFonts w:hint="eastAsia" w:ascii="宋体" w:hAnsi="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、残疾人福利性单位的相关证明材料</w:t>
      </w:r>
    </w:p>
    <w:p w14:paraId="23B68BCD">
      <w:pPr>
        <w:pageBreakBefore w:val="0"/>
        <w:kinsoku/>
        <w:wordWrap w:val="0"/>
        <w:topLinePunct w:val="0"/>
        <w:bidi w:val="0"/>
        <w:spacing w:line="460" w:lineRule="exact"/>
        <w:rPr>
          <w:rFonts w:hint="eastAsia" w:ascii="宋体" w:hAnsi="宋体" w:eastAsia="宋体" w:cs="宋体"/>
          <w:color w:val="auto"/>
          <w:spacing w:val="20"/>
          <w:sz w:val="22"/>
          <w:szCs w:val="22"/>
          <w:highlight w:val="none"/>
        </w:rPr>
      </w:pPr>
    </w:p>
    <w:p w14:paraId="1530A43D">
      <w:pPr>
        <w:pageBreakBefore w:val="0"/>
        <w:kinsoku/>
        <w:wordWrap w:val="0"/>
        <w:topLinePunct w:val="0"/>
        <w:bidi w:val="0"/>
        <w:spacing w:line="460" w:lineRule="exact"/>
        <w:rPr>
          <w:rFonts w:hint="eastAsia" w:ascii="宋体" w:hAnsi="宋体" w:eastAsia="宋体" w:cs="宋体"/>
          <w:color w:val="auto"/>
          <w:spacing w:val="20"/>
          <w:sz w:val="22"/>
          <w:szCs w:val="22"/>
          <w:highlight w:val="none"/>
        </w:rPr>
      </w:pPr>
    </w:p>
    <w:p w14:paraId="013C2AB7">
      <w:pPr>
        <w:pageBreakBefore w:val="0"/>
        <w:kinsoku/>
        <w:wordWrap w:val="0"/>
        <w:topLinePunct w:val="0"/>
        <w:bidi w:val="0"/>
        <w:spacing w:line="460" w:lineRule="exact"/>
        <w:jc w:val="center"/>
        <w:rPr>
          <w:rFonts w:hint="eastAsia" w:ascii="宋体" w:hAnsi="宋体" w:eastAsia="宋体" w:cs="宋体"/>
          <w:color w:val="auto"/>
          <w:spacing w:val="6"/>
          <w:sz w:val="22"/>
          <w:szCs w:val="22"/>
          <w:highlight w:val="none"/>
        </w:rPr>
      </w:pPr>
      <w:r>
        <w:rPr>
          <w:rFonts w:hint="eastAsia" w:ascii="宋体" w:hAnsi="宋体" w:eastAsia="宋体" w:cs="宋体"/>
          <w:b/>
          <w:color w:val="auto"/>
          <w:spacing w:val="6"/>
          <w:sz w:val="22"/>
          <w:szCs w:val="22"/>
          <w:highlight w:val="none"/>
        </w:rPr>
        <w:t>残疾人福利性单位声明函</w:t>
      </w:r>
    </w:p>
    <w:p w14:paraId="57C94F90">
      <w:pPr>
        <w:pageBreakBefore w:val="0"/>
        <w:widowControl/>
        <w:kinsoku/>
        <w:wordWrap w:val="0"/>
        <w:topLinePunct w:val="0"/>
        <w:bidi w:val="0"/>
        <w:adjustRightInd w:val="0"/>
        <w:snapToGrid w:val="0"/>
        <w:spacing w:line="460" w:lineRule="exact"/>
        <w:ind w:firstLine="440" w:firstLineChars="20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【不属于残疾人福利性单位的无需填写、递交】</w:t>
      </w:r>
    </w:p>
    <w:p w14:paraId="02ACC407">
      <w:pPr>
        <w:pageBreakBefore w:val="0"/>
        <w:kinsoku/>
        <w:wordWrap w:val="0"/>
        <w:topLinePunct w:val="0"/>
        <w:bidi w:val="0"/>
        <w:snapToGrid w:val="0"/>
        <w:spacing w:line="460" w:lineRule="exact"/>
        <w:jc w:val="center"/>
        <w:rPr>
          <w:rFonts w:hint="eastAsia" w:ascii="宋体" w:hAnsi="宋体" w:eastAsia="宋体" w:cs="宋体"/>
          <w:b/>
          <w:bCs/>
          <w:color w:val="auto"/>
          <w:sz w:val="22"/>
          <w:szCs w:val="22"/>
          <w:highlight w:val="none"/>
        </w:rPr>
      </w:pPr>
    </w:p>
    <w:p w14:paraId="4B933771">
      <w:pPr>
        <w:pageBreakBefore w:val="0"/>
        <w:kinsoku/>
        <w:wordWrap w:val="0"/>
        <w:topLinePunct w:val="0"/>
        <w:bidi w:val="0"/>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本单位郑重声明，根据《财政部民政部中国残疾人联合会关于促进残疾人就业政府采购政策的通知》（财库</w:t>
      </w:r>
      <w:r>
        <w:rPr>
          <w:rFonts w:hint="eastAsia" w:ascii="宋体" w:hAnsi="宋体" w:eastAsia="宋体" w:cs="宋体"/>
          <w:color w:val="auto"/>
          <w:sz w:val="22"/>
          <w:szCs w:val="22"/>
          <w:highlight w:val="none"/>
        </w:rPr>
        <w:t>〔2017〕141</w:t>
      </w:r>
      <w:r>
        <w:rPr>
          <w:rFonts w:hint="eastAsia" w:ascii="宋体" w:hAnsi="宋体" w:eastAsia="宋体" w:cs="宋体"/>
          <w:color w:val="auto"/>
          <w:spacing w:val="6"/>
          <w:sz w:val="22"/>
          <w:szCs w:val="22"/>
          <w:highlight w:val="none"/>
        </w:rPr>
        <w:t>号）的规定，本单位为符合条件的残疾人福利性单位，且本单位参加</w:t>
      </w:r>
      <w:r>
        <w:rPr>
          <w:rFonts w:hint="eastAsia" w:ascii="宋体" w:hAnsi="宋体" w:eastAsia="宋体" w:cs="宋体"/>
          <w:color w:val="auto"/>
          <w:spacing w:val="6"/>
          <w:sz w:val="22"/>
          <w:szCs w:val="22"/>
          <w:highlight w:val="none"/>
          <w:u w:val="single"/>
        </w:rPr>
        <w:t>（招标人名称）</w:t>
      </w:r>
      <w:r>
        <w:rPr>
          <w:rFonts w:hint="eastAsia" w:ascii="宋体" w:hAnsi="宋体" w:eastAsia="宋体" w:cs="宋体"/>
          <w:color w:val="auto"/>
          <w:spacing w:val="6"/>
          <w:sz w:val="22"/>
          <w:szCs w:val="22"/>
          <w:highlight w:val="none"/>
        </w:rPr>
        <w:t>单位的</w:t>
      </w:r>
      <w:r>
        <w:rPr>
          <w:rFonts w:hint="eastAsia" w:ascii="宋体" w:hAnsi="宋体" w:eastAsia="宋体" w:cs="宋体"/>
          <w:color w:val="auto"/>
          <w:spacing w:val="6"/>
          <w:sz w:val="22"/>
          <w:szCs w:val="22"/>
          <w:highlight w:val="none"/>
          <w:u w:val="single"/>
        </w:rPr>
        <w:t>（招标项目名称）</w:t>
      </w:r>
      <w:r>
        <w:rPr>
          <w:rFonts w:hint="eastAsia" w:ascii="宋体" w:hAnsi="宋体" w:eastAsia="宋体" w:cs="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4C75DCF8">
      <w:pPr>
        <w:pageBreakBefore w:val="0"/>
        <w:kinsoku/>
        <w:wordWrap w:val="0"/>
        <w:topLinePunct w:val="0"/>
        <w:bidi w:val="0"/>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14:paraId="121EB363">
      <w:pPr>
        <w:pageBreakBefore w:val="0"/>
        <w:kinsoku/>
        <w:wordWrap w:val="0"/>
        <w:topLinePunct w:val="0"/>
        <w:bidi w:val="0"/>
        <w:snapToGrid w:val="0"/>
        <w:spacing w:line="460" w:lineRule="exact"/>
        <w:ind w:firstLine="464" w:firstLineChars="200"/>
        <w:rPr>
          <w:rFonts w:hint="eastAsia" w:ascii="宋体" w:hAnsi="宋体" w:eastAsia="宋体" w:cs="宋体"/>
          <w:color w:val="auto"/>
          <w:spacing w:val="6"/>
          <w:sz w:val="22"/>
          <w:szCs w:val="22"/>
          <w:highlight w:val="none"/>
        </w:rPr>
      </w:pPr>
    </w:p>
    <w:p w14:paraId="2247D552">
      <w:pPr>
        <w:pageBreakBefore w:val="0"/>
        <w:kinsoku/>
        <w:wordWrap w:val="0"/>
        <w:topLinePunct w:val="0"/>
        <w:bidi w:val="0"/>
        <w:snapToGrid w:val="0"/>
        <w:spacing w:line="460" w:lineRule="exact"/>
        <w:ind w:firstLine="464" w:firstLineChars="200"/>
        <w:rPr>
          <w:rFonts w:hint="eastAsia" w:ascii="宋体" w:hAnsi="宋体" w:eastAsia="宋体" w:cs="宋体"/>
          <w:color w:val="auto"/>
          <w:spacing w:val="6"/>
          <w:sz w:val="22"/>
          <w:szCs w:val="22"/>
          <w:highlight w:val="none"/>
        </w:rPr>
      </w:pPr>
    </w:p>
    <w:p w14:paraId="5F9BEAA5">
      <w:pPr>
        <w:pageBreakBefore w:val="0"/>
        <w:kinsoku/>
        <w:wordWrap w:val="0"/>
        <w:topLinePunct w:val="0"/>
        <w:bidi w:val="0"/>
        <w:adjustRightInd w:val="0"/>
        <w:snapToGrid w:val="0"/>
        <w:spacing w:line="460" w:lineRule="exact"/>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rPr>
        <w:t>投标人全称（盖章）：</w:t>
      </w:r>
      <w:r>
        <w:rPr>
          <w:rFonts w:hint="eastAsia" w:ascii="宋体" w:hAnsi="宋体" w:eastAsia="宋体" w:cs="宋体"/>
          <w:color w:val="auto"/>
          <w:kern w:val="0"/>
          <w:sz w:val="22"/>
          <w:szCs w:val="22"/>
          <w:highlight w:val="none"/>
          <w:u w:val="single"/>
        </w:rPr>
        <w:t xml:space="preserve">                    </w:t>
      </w:r>
    </w:p>
    <w:p w14:paraId="5C63624A">
      <w:pPr>
        <w:pStyle w:val="24"/>
        <w:pageBreakBefore w:val="0"/>
        <w:kinsoku/>
        <w:wordWrap w:val="0"/>
        <w:topLinePunct w:val="0"/>
        <w:bidi w:val="0"/>
        <w:spacing w:line="460" w:lineRule="exact"/>
        <w:ind w:left="437" w:leftChars="208"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14:paraId="1F33AA05">
      <w:pPr>
        <w:pStyle w:val="24"/>
        <w:pageBreakBefore w:val="0"/>
        <w:kinsoku/>
        <w:wordWrap w:val="0"/>
        <w:topLinePunct w:val="0"/>
        <w:bidi w:val="0"/>
        <w:spacing w:line="460" w:lineRule="exact"/>
        <w:ind w:left="440" w:hanging="440"/>
        <w:rPr>
          <w:rFonts w:hint="eastAsia" w:ascii="宋体" w:hAnsi="宋体" w:eastAsia="宋体" w:cs="宋体"/>
          <w:color w:val="auto"/>
          <w:kern w:val="0"/>
          <w:sz w:val="22"/>
          <w:szCs w:val="22"/>
          <w:highlight w:val="none"/>
        </w:rPr>
      </w:pPr>
    </w:p>
    <w:p w14:paraId="40E5ED7C">
      <w:pPr>
        <w:pStyle w:val="24"/>
        <w:pageBreakBefore w:val="0"/>
        <w:kinsoku/>
        <w:wordWrap w:val="0"/>
        <w:topLinePunct w:val="0"/>
        <w:bidi w:val="0"/>
        <w:ind w:left="440" w:hanging="440"/>
        <w:rPr>
          <w:rFonts w:hint="eastAsia" w:ascii="宋体" w:hAnsi="宋体" w:eastAsia="宋体" w:cs="宋体"/>
          <w:color w:val="auto"/>
          <w:kern w:val="0"/>
          <w:sz w:val="22"/>
          <w:szCs w:val="22"/>
          <w:highlight w:val="none"/>
        </w:rPr>
      </w:pPr>
    </w:p>
    <w:p w14:paraId="0900B880">
      <w:pPr>
        <w:pStyle w:val="24"/>
        <w:pageBreakBefore w:val="0"/>
        <w:kinsoku/>
        <w:wordWrap w:val="0"/>
        <w:topLinePunct w:val="0"/>
        <w:bidi w:val="0"/>
        <w:ind w:left="440" w:hanging="440"/>
        <w:rPr>
          <w:rFonts w:hint="eastAsia" w:ascii="宋体" w:hAnsi="宋体" w:eastAsia="宋体" w:cs="宋体"/>
          <w:color w:val="auto"/>
          <w:kern w:val="0"/>
          <w:sz w:val="22"/>
          <w:szCs w:val="22"/>
          <w:highlight w:val="none"/>
        </w:rPr>
      </w:pPr>
    </w:p>
    <w:p w14:paraId="77C180BB">
      <w:pPr>
        <w:pStyle w:val="24"/>
        <w:pageBreakBefore w:val="0"/>
        <w:kinsoku/>
        <w:wordWrap w:val="0"/>
        <w:topLinePunct w:val="0"/>
        <w:bidi w:val="0"/>
        <w:ind w:left="440" w:hanging="440"/>
        <w:rPr>
          <w:rFonts w:hint="eastAsia" w:ascii="宋体" w:hAnsi="宋体" w:eastAsia="宋体" w:cs="宋体"/>
          <w:color w:val="auto"/>
          <w:kern w:val="0"/>
          <w:sz w:val="22"/>
          <w:szCs w:val="22"/>
          <w:highlight w:val="none"/>
        </w:rPr>
      </w:pPr>
    </w:p>
    <w:p w14:paraId="281E765F">
      <w:pPr>
        <w:pStyle w:val="24"/>
        <w:pageBreakBefore w:val="0"/>
        <w:kinsoku/>
        <w:wordWrap w:val="0"/>
        <w:topLinePunct w:val="0"/>
        <w:bidi w:val="0"/>
        <w:ind w:left="440" w:hanging="440"/>
        <w:rPr>
          <w:rFonts w:hint="eastAsia" w:ascii="宋体" w:hAnsi="宋体" w:eastAsia="宋体" w:cs="宋体"/>
          <w:color w:val="auto"/>
          <w:kern w:val="0"/>
          <w:sz w:val="22"/>
          <w:szCs w:val="22"/>
          <w:highlight w:val="none"/>
        </w:rPr>
      </w:pPr>
    </w:p>
    <w:p w14:paraId="0EF6F1F4">
      <w:pPr>
        <w:pStyle w:val="24"/>
        <w:pageBreakBefore w:val="0"/>
        <w:kinsoku/>
        <w:wordWrap w:val="0"/>
        <w:topLinePunct w:val="0"/>
        <w:bidi w:val="0"/>
        <w:ind w:left="440" w:hanging="440"/>
        <w:rPr>
          <w:rFonts w:hint="eastAsia" w:ascii="宋体" w:hAnsi="宋体" w:eastAsia="宋体" w:cs="宋体"/>
          <w:color w:val="auto"/>
          <w:kern w:val="0"/>
          <w:sz w:val="22"/>
          <w:szCs w:val="22"/>
          <w:highlight w:val="none"/>
        </w:rPr>
      </w:pPr>
    </w:p>
    <w:p w14:paraId="6B579D65">
      <w:pPr>
        <w:pStyle w:val="24"/>
        <w:pageBreakBefore w:val="0"/>
        <w:kinsoku/>
        <w:wordWrap w:val="0"/>
        <w:topLinePunct w:val="0"/>
        <w:bidi w:val="0"/>
        <w:ind w:left="440" w:hanging="440"/>
        <w:rPr>
          <w:rFonts w:hint="eastAsia" w:ascii="宋体" w:hAnsi="宋体" w:eastAsia="宋体" w:cs="宋体"/>
          <w:color w:val="auto"/>
          <w:kern w:val="0"/>
          <w:sz w:val="22"/>
          <w:szCs w:val="22"/>
          <w:highlight w:val="none"/>
        </w:rPr>
      </w:pPr>
    </w:p>
    <w:p w14:paraId="0997A22E">
      <w:pPr>
        <w:pStyle w:val="24"/>
        <w:pageBreakBefore w:val="0"/>
        <w:kinsoku/>
        <w:wordWrap w:val="0"/>
        <w:topLinePunct w:val="0"/>
        <w:bidi w:val="0"/>
        <w:ind w:left="440" w:hanging="440"/>
        <w:rPr>
          <w:rFonts w:hint="eastAsia" w:ascii="宋体" w:hAnsi="宋体" w:eastAsia="宋体" w:cs="宋体"/>
          <w:color w:val="auto"/>
          <w:kern w:val="0"/>
          <w:sz w:val="22"/>
          <w:szCs w:val="22"/>
          <w:highlight w:val="none"/>
        </w:rPr>
      </w:pPr>
    </w:p>
    <w:p w14:paraId="6AE1DEDB">
      <w:pPr>
        <w:pStyle w:val="24"/>
        <w:pageBreakBefore w:val="0"/>
        <w:kinsoku/>
        <w:wordWrap w:val="0"/>
        <w:topLinePunct w:val="0"/>
        <w:bidi w:val="0"/>
        <w:ind w:left="440" w:hanging="440"/>
        <w:rPr>
          <w:rFonts w:hint="eastAsia" w:ascii="宋体" w:hAnsi="宋体" w:eastAsia="宋体" w:cs="宋体"/>
          <w:color w:val="auto"/>
          <w:kern w:val="0"/>
          <w:sz w:val="22"/>
          <w:szCs w:val="22"/>
          <w:highlight w:val="none"/>
        </w:rPr>
      </w:pPr>
    </w:p>
    <w:p w14:paraId="6CEAF2F3">
      <w:pPr>
        <w:pStyle w:val="24"/>
        <w:pageBreakBefore w:val="0"/>
        <w:kinsoku/>
        <w:wordWrap w:val="0"/>
        <w:topLinePunct w:val="0"/>
        <w:bidi w:val="0"/>
        <w:ind w:left="440" w:hanging="440"/>
        <w:rPr>
          <w:rFonts w:hint="eastAsia" w:ascii="宋体" w:hAnsi="宋体" w:eastAsia="宋体" w:cs="宋体"/>
          <w:color w:val="auto"/>
          <w:kern w:val="0"/>
          <w:sz w:val="22"/>
          <w:szCs w:val="22"/>
          <w:highlight w:val="none"/>
        </w:rPr>
      </w:pPr>
    </w:p>
    <w:p w14:paraId="2015F418">
      <w:pPr>
        <w:pStyle w:val="24"/>
        <w:pageBreakBefore w:val="0"/>
        <w:kinsoku/>
        <w:wordWrap w:val="0"/>
        <w:topLinePunct w:val="0"/>
        <w:bidi w:val="0"/>
        <w:ind w:left="440" w:hanging="440"/>
        <w:rPr>
          <w:rFonts w:hint="eastAsia" w:ascii="宋体" w:hAnsi="宋体" w:eastAsia="宋体" w:cs="宋体"/>
          <w:color w:val="auto"/>
          <w:kern w:val="0"/>
          <w:sz w:val="22"/>
          <w:szCs w:val="22"/>
          <w:highlight w:val="none"/>
        </w:rPr>
      </w:pPr>
    </w:p>
    <w:p w14:paraId="10E3A4ED">
      <w:pPr>
        <w:pStyle w:val="24"/>
        <w:pageBreakBefore w:val="0"/>
        <w:kinsoku/>
        <w:wordWrap w:val="0"/>
        <w:topLinePunct w:val="0"/>
        <w:bidi w:val="0"/>
        <w:ind w:left="440" w:hanging="440"/>
        <w:rPr>
          <w:rFonts w:hint="eastAsia" w:ascii="宋体" w:hAnsi="宋体" w:eastAsia="宋体" w:cs="宋体"/>
          <w:color w:val="auto"/>
          <w:kern w:val="0"/>
          <w:sz w:val="22"/>
          <w:szCs w:val="22"/>
          <w:highlight w:val="none"/>
        </w:rPr>
      </w:pPr>
    </w:p>
    <w:p w14:paraId="6DFC1EFD">
      <w:pPr>
        <w:pStyle w:val="24"/>
        <w:pageBreakBefore w:val="0"/>
        <w:kinsoku/>
        <w:wordWrap w:val="0"/>
        <w:topLinePunct w:val="0"/>
        <w:bidi w:val="0"/>
        <w:ind w:left="440" w:hanging="440"/>
        <w:rPr>
          <w:rFonts w:hint="eastAsia" w:ascii="宋体" w:hAnsi="宋体" w:eastAsia="宋体" w:cs="宋体"/>
          <w:color w:val="auto"/>
          <w:kern w:val="0"/>
          <w:sz w:val="22"/>
          <w:szCs w:val="22"/>
          <w:highlight w:val="none"/>
        </w:rPr>
      </w:pPr>
    </w:p>
    <w:p w14:paraId="214F4151">
      <w:pPr>
        <w:pStyle w:val="24"/>
        <w:pageBreakBefore w:val="0"/>
        <w:kinsoku/>
        <w:wordWrap w:val="0"/>
        <w:topLinePunct w:val="0"/>
        <w:bidi w:val="0"/>
        <w:ind w:left="440" w:hanging="440"/>
        <w:rPr>
          <w:rFonts w:hint="eastAsia" w:ascii="宋体" w:hAnsi="宋体" w:eastAsia="宋体" w:cs="宋体"/>
          <w:color w:val="auto"/>
          <w:kern w:val="0"/>
          <w:sz w:val="22"/>
          <w:szCs w:val="22"/>
          <w:highlight w:val="none"/>
        </w:rPr>
      </w:pPr>
    </w:p>
    <w:p w14:paraId="5FAFFDA7">
      <w:pPr>
        <w:pStyle w:val="24"/>
        <w:pageBreakBefore w:val="0"/>
        <w:kinsoku/>
        <w:wordWrap w:val="0"/>
        <w:topLinePunct w:val="0"/>
        <w:bidi w:val="0"/>
        <w:ind w:left="440" w:hanging="440"/>
        <w:rPr>
          <w:rFonts w:hint="eastAsia" w:ascii="宋体" w:hAnsi="宋体" w:eastAsia="宋体" w:cs="宋体"/>
          <w:color w:val="auto"/>
          <w:kern w:val="0"/>
          <w:sz w:val="22"/>
          <w:szCs w:val="22"/>
          <w:highlight w:val="none"/>
        </w:rPr>
      </w:pPr>
    </w:p>
    <w:p w14:paraId="48E556B4">
      <w:pPr>
        <w:pStyle w:val="24"/>
        <w:pageBreakBefore w:val="0"/>
        <w:kinsoku/>
        <w:wordWrap w:val="0"/>
        <w:topLinePunct w:val="0"/>
        <w:bidi w:val="0"/>
        <w:ind w:left="440" w:hanging="440"/>
        <w:rPr>
          <w:rFonts w:hint="eastAsia" w:ascii="宋体" w:hAnsi="宋体" w:eastAsia="宋体" w:cs="宋体"/>
          <w:color w:val="auto"/>
          <w:kern w:val="0"/>
          <w:sz w:val="22"/>
          <w:szCs w:val="22"/>
          <w:highlight w:val="none"/>
        </w:rPr>
      </w:pPr>
    </w:p>
    <w:p w14:paraId="31105A9B">
      <w:pPr>
        <w:pageBreakBefore w:val="0"/>
        <w:kinsoku/>
        <w:wordWrap w:val="0"/>
        <w:topLinePunct w:val="0"/>
        <w:bidi w:val="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br w:type="page"/>
      </w:r>
    </w:p>
    <w:p w14:paraId="05DD757C">
      <w:pPr>
        <w:pStyle w:val="24"/>
        <w:pageBreakBefore w:val="0"/>
        <w:kinsoku/>
        <w:wordWrap w:val="0"/>
        <w:topLinePunct w:val="0"/>
        <w:bidi w:val="0"/>
        <w:spacing w:line="460" w:lineRule="exact"/>
        <w:ind w:left="433" w:hanging="433" w:hangingChars="196"/>
        <w:outlineLvl w:val="1"/>
        <w:rPr>
          <w:rFonts w:hint="eastAsia" w:ascii="宋体" w:hAnsi="宋体" w:eastAsia="宋体" w:cs="宋体"/>
          <w:b/>
          <w:color w:val="auto"/>
          <w:sz w:val="22"/>
          <w:szCs w:val="22"/>
          <w:highlight w:val="none"/>
        </w:rPr>
      </w:pPr>
      <w:bookmarkStart w:id="44" w:name="_Toc12035"/>
      <w:bookmarkStart w:id="45" w:name="_Toc19402"/>
      <w:r>
        <w:rPr>
          <w:rFonts w:hint="eastAsia" w:ascii="宋体" w:hAnsi="宋体" w:eastAsia="宋体" w:cs="宋体"/>
          <w:b/>
          <w:color w:val="auto"/>
          <w:sz w:val="22"/>
          <w:szCs w:val="22"/>
          <w:highlight w:val="none"/>
        </w:rPr>
        <w:t>附件二</w:t>
      </w:r>
      <w:bookmarkEnd w:id="44"/>
      <w:bookmarkEnd w:id="45"/>
    </w:p>
    <w:p w14:paraId="35D84E55">
      <w:pPr>
        <w:pageBreakBefore w:val="0"/>
        <w:kinsoku/>
        <w:wordWrap w:val="0"/>
        <w:topLinePunct w:val="0"/>
        <w:bidi w:val="0"/>
        <w:spacing w:line="460" w:lineRule="exact"/>
        <w:jc w:val="center"/>
        <w:outlineLvl w:val="2"/>
        <w:rPr>
          <w:rFonts w:hint="eastAsia" w:ascii="宋体" w:hAnsi="宋体" w:eastAsia="宋体" w:cs="宋体"/>
          <w:color w:val="auto"/>
          <w:sz w:val="28"/>
          <w:szCs w:val="28"/>
          <w:highlight w:val="none"/>
        </w:rPr>
      </w:pPr>
      <w:bookmarkStart w:id="46" w:name="_Toc25309"/>
      <w:bookmarkStart w:id="47" w:name="_Toc4718"/>
      <w:r>
        <w:rPr>
          <w:rFonts w:hint="eastAsia" w:ascii="宋体" w:hAnsi="宋体" w:eastAsia="宋体" w:cs="宋体"/>
          <w:b/>
          <w:bCs/>
          <w:color w:val="auto"/>
          <w:sz w:val="32"/>
          <w:szCs w:val="32"/>
          <w:highlight w:val="none"/>
        </w:rPr>
        <w:t>资格证明文件</w:t>
      </w:r>
      <w:bookmarkEnd w:id="46"/>
      <w:bookmarkEnd w:id="47"/>
      <w:r>
        <w:rPr>
          <w:rFonts w:hint="eastAsia" w:ascii="宋体" w:hAnsi="宋体" w:eastAsia="宋体" w:cs="宋体"/>
          <w:color w:val="auto"/>
          <w:sz w:val="28"/>
          <w:szCs w:val="28"/>
          <w:highlight w:val="none"/>
        </w:rPr>
        <w:t xml:space="preserve"> </w:t>
      </w:r>
    </w:p>
    <w:p w14:paraId="220DDBC5">
      <w:pPr>
        <w:pStyle w:val="49"/>
        <w:keepNext w:val="0"/>
        <w:keepLines w:val="0"/>
        <w:pageBreakBefore w:val="0"/>
        <w:widowControl/>
        <w:numPr>
          <w:ilvl w:val="0"/>
          <w:numId w:val="0"/>
        </w:numPr>
        <w:tabs>
          <w:tab w:val="left" w:pos="630"/>
          <w:tab w:val="left" w:pos="840"/>
          <w:tab w:val="left" w:pos="1050"/>
        </w:tabs>
        <w:kinsoku/>
        <w:wordWrap w:val="0"/>
        <w:overflowPunct/>
        <w:topLinePunct w:val="0"/>
        <w:autoSpaceDE/>
        <w:autoSpaceDN/>
        <w:bidi w:val="0"/>
        <w:adjustRightInd w:val="0"/>
        <w:snapToGrid w:val="0"/>
        <w:spacing w:before="0" w:beforeAutospacing="0" w:after="0" w:afterAutospacing="0" w:line="360" w:lineRule="auto"/>
        <w:jc w:val="center"/>
        <w:textAlignment w:val="auto"/>
        <w:outlineLvl w:val="9"/>
        <w:rPr>
          <w:rFonts w:hint="eastAsia" w:cs="宋体"/>
          <w:b/>
          <w:bCs w:val="0"/>
          <w:color w:val="auto"/>
          <w:kern w:val="0"/>
          <w:sz w:val="32"/>
          <w:szCs w:val="32"/>
          <w:highlight w:val="none"/>
          <w:lang w:val="en-US" w:eastAsia="zh-CN" w:bidi="ar-SA"/>
        </w:rPr>
      </w:pPr>
      <w:bookmarkStart w:id="48" w:name="_Toc16516"/>
      <w:bookmarkStart w:id="49" w:name="_Toc31356"/>
    </w:p>
    <w:p w14:paraId="423B37D7">
      <w:pPr>
        <w:pStyle w:val="49"/>
        <w:keepNext w:val="0"/>
        <w:keepLines w:val="0"/>
        <w:pageBreakBefore w:val="0"/>
        <w:widowControl/>
        <w:numPr>
          <w:ilvl w:val="0"/>
          <w:numId w:val="0"/>
        </w:numPr>
        <w:tabs>
          <w:tab w:val="left" w:pos="630"/>
          <w:tab w:val="left" w:pos="840"/>
          <w:tab w:val="left" w:pos="1050"/>
        </w:tabs>
        <w:kinsoku/>
        <w:wordWrap w:val="0"/>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ascii="宋体" w:hAnsi="宋体" w:eastAsia="宋体" w:cs="宋体"/>
          <w:b/>
          <w:bCs w:val="0"/>
          <w:color w:val="auto"/>
          <w:sz w:val="28"/>
          <w:szCs w:val="28"/>
          <w:highlight w:val="none"/>
        </w:rPr>
      </w:pPr>
      <w:r>
        <w:rPr>
          <w:rFonts w:hint="eastAsia" w:cs="宋体"/>
          <w:b/>
          <w:bCs w:val="0"/>
          <w:color w:val="auto"/>
          <w:kern w:val="0"/>
          <w:sz w:val="28"/>
          <w:szCs w:val="28"/>
          <w:highlight w:val="none"/>
          <w:lang w:val="en-US" w:eastAsia="zh-CN" w:bidi="ar-SA"/>
        </w:rPr>
        <w:t>1、</w:t>
      </w:r>
      <w:r>
        <w:rPr>
          <w:rFonts w:hint="eastAsia" w:ascii="宋体" w:hAnsi="宋体" w:eastAsia="宋体" w:cs="宋体"/>
          <w:b/>
          <w:bCs w:val="0"/>
          <w:color w:val="auto"/>
          <w:kern w:val="0"/>
          <w:sz w:val="28"/>
          <w:szCs w:val="28"/>
          <w:highlight w:val="none"/>
          <w:lang w:val="en-US" w:eastAsia="zh-CN" w:bidi="ar-SA"/>
        </w:rPr>
        <w:t>资格条件承诺函</w:t>
      </w:r>
    </w:p>
    <w:p w14:paraId="583F1415">
      <w:pPr>
        <w:pageBreakBefore w:val="0"/>
        <w:shd w:val="clear" w:color="auto" w:fill="FFFFFF"/>
        <w:kinsoku/>
        <w:wordWrap w:val="0"/>
        <w:topLinePunct w:val="0"/>
        <w:bidi w:val="0"/>
        <w:snapToGrid w:val="0"/>
        <w:spacing w:line="44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温州市龙湾区教育技术服务中心</w:t>
      </w:r>
      <w:r>
        <w:rPr>
          <w:rFonts w:hint="eastAsia" w:ascii="宋体" w:hAnsi="宋体" w:eastAsia="宋体" w:cs="宋体"/>
          <w:color w:val="auto"/>
          <w:sz w:val="22"/>
          <w:szCs w:val="22"/>
          <w:highlight w:val="none"/>
        </w:rPr>
        <w:t>、温州历程招标有限公司：</w:t>
      </w:r>
    </w:p>
    <w:p w14:paraId="14C25B60">
      <w:pPr>
        <w:pageBreakBefore w:val="0"/>
        <w:widowControl/>
        <w:kinsoku/>
        <w:wordWrap w:val="0"/>
        <w:topLinePunct w:val="0"/>
        <w:bidi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（采购项目名称、编号）投标，现郑重承诺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rPr>
        <w:t>参加本次政府采购活动前3年内</w:t>
      </w:r>
      <w:r>
        <w:rPr>
          <w:rFonts w:hint="eastAsia" w:ascii="宋体" w:hAnsi="宋体" w:eastAsia="宋体" w:cs="宋体"/>
          <w:color w:val="auto"/>
          <w:sz w:val="22"/>
          <w:szCs w:val="22"/>
          <w:highlight w:val="none"/>
        </w:rPr>
        <w:t>：</w:t>
      </w:r>
    </w:p>
    <w:p w14:paraId="3ADEECFC">
      <w:pPr>
        <w:pageBreakBefore w:val="0"/>
        <w:widowControl/>
        <w:kinsoku/>
        <w:wordWrap w:val="0"/>
        <w:topLinePunct w:val="0"/>
        <w:bidi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1、我方符合《中华人民共和国政府采购法》第22条规定的资格条件，即</w:t>
      </w:r>
    </w:p>
    <w:p w14:paraId="02332F5F">
      <w:pPr>
        <w:pageBreakBefore w:val="0"/>
        <w:widowControl/>
        <w:kinsoku/>
        <w:wordWrap w:val="0"/>
        <w:topLinePunct w:val="0"/>
        <w:bidi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（1）我方具有独立承担民事责任的能力；</w:t>
      </w:r>
    </w:p>
    <w:p w14:paraId="47193DF5">
      <w:pPr>
        <w:pageBreakBefore w:val="0"/>
        <w:widowControl/>
        <w:kinsoku/>
        <w:wordWrap w:val="0"/>
        <w:topLinePunct w:val="0"/>
        <w:bidi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（2）我方具有良好的商业信誉和健全的财务会计制度；</w:t>
      </w:r>
    </w:p>
    <w:p w14:paraId="6874E3D3">
      <w:pPr>
        <w:pageBreakBefore w:val="0"/>
        <w:widowControl/>
        <w:kinsoku/>
        <w:wordWrap w:val="0"/>
        <w:topLinePunct w:val="0"/>
        <w:bidi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（3）我方具有履行合同所必需的设备和专业技术能力；</w:t>
      </w:r>
    </w:p>
    <w:p w14:paraId="6136F008">
      <w:pPr>
        <w:pageBreakBefore w:val="0"/>
        <w:widowControl/>
        <w:kinsoku/>
        <w:wordWrap w:val="0"/>
        <w:topLinePunct w:val="0"/>
        <w:bidi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（4）我方有依法缴纳税收和社会保障资金的良好记录；</w:t>
      </w:r>
    </w:p>
    <w:p w14:paraId="61E13059">
      <w:pPr>
        <w:pageBreakBefore w:val="0"/>
        <w:widowControl/>
        <w:kinsoku/>
        <w:wordWrap w:val="0"/>
        <w:topLinePunct w:val="0"/>
        <w:bidi w:val="0"/>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w:t>
      </w:r>
      <w:r>
        <w:rPr>
          <w:rFonts w:hint="eastAsia" w:ascii="宋体" w:hAnsi="宋体" w:eastAsia="宋体" w:cs="宋体"/>
          <w:color w:val="auto"/>
          <w:kern w:val="0"/>
          <w:sz w:val="22"/>
          <w:szCs w:val="22"/>
          <w:highlight w:val="none"/>
        </w:rPr>
        <w:t>禁止参加政府采购活动的期限未满情形）。</w:t>
      </w:r>
    </w:p>
    <w:p w14:paraId="6F3CFF03">
      <w:pPr>
        <w:pageBreakBefore w:val="0"/>
        <w:widowControl/>
        <w:kinsoku/>
        <w:wordWrap w:val="0"/>
        <w:topLinePunct w:val="0"/>
        <w:bidi w:val="0"/>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2、到本项目投标截止时间为止，我方未被“信用中国（</w:t>
      </w:r>
      <w:r>
        <w:rPr>
          <w:rFonts w:hint="eastAsia" w:ascii="宋体" w:hAnsi="宋体" w:eastAsia="宋体" w:cs="宋体"/>
          <w:color w:val="auto"/>
          <w:kern w:val="0"/>
          <w:sz w:val="22"/>
          <w:szCs w:val="22"/>
          <w:highlight w:val="none"/>
        </w:rPr>
        <w:fldChar w:fldCharType="begin"/>
      </w:r>
      <w:r>
        <w:rPr>
          <w:rFonts w:hint="eastAsia" w:ascii="宋体" w:hAnsi="宋体" w:eastAsia="宋体" w:cs="宋体"/>
          <w:color w:val="auto"/>
          <w:kern w:val="0"/>
          <w:sz w:val="22"/>
          <w:szCs w:val="22"/>
          <w:highlight w:val="none"/>
        </w:rPr>
        <w:instrText xml:space="preserve"> HYPERLINK "http://www.creditchina.gov.cn）、" </w:instrText>
      </w:r>
      <w:r>
        <w:rPr>
          <w:rFonts w:hint="eastAsia" w:ascii="宋体" w:hAnsi="宋体" w:eastAsia="宋体" w:cs="宋体"/>
          <w:color w:val="auto"/>
          <w:kern w:val="0"/>
          <w:sz w:val="22"/>
          <w:szCs w:val="22"/>
          <w:highlight w:val="none"/>
        </w:rPr>
        <w:fldChar w:fldCharType="separate"/>
      </w:r>
      <w:r>
        <w:rPr>
          <w:rFonts w:hint="eastAsia" w:ascii="宋体" w:hAnsi="宋体" w:eastAsia="宋体" w:cs="宋体"/>
          <w:color w:val="auto"/>
          <w:kern w:val="0"/>
          <w:sz w:val="22"/>
          <w:szCs w:val="22"/>
          <w:highlight w:val="none"/>
        </w:rPr>
        <w:t>www.creditchina.gov.cn）、</w:t>
      </w:r>
      <w:r>
        <w:rPr>
          <w:rFonts w:hint="eastAsia" w:ascii="宋体" w:hAnsi="宋体" w:eastAsia="宋体" w:cs="宋体"/>
          <w:color w:val="auto"/>
          <w:kern w:val="0"/>
          <w:sz w:val="22"/>
          <w:szCs w:val="22"/>
          <w:highlight w:val="none"/>
        </w:rPr>
        <w:fldChar w:fldCharType="end"/>
      </w:r>
      <w:r>
        <w:rPr>
          <w:rFonts w:hint="eastAsia" w:ascii="宋体" w:hAnsi="宋体" w:eastAsia="宋体" w:cs="宋体"/>
          <w:color w:val="auto"/>
          <w:kern w:val="0"/>
          <w:sz w:val="22"/>
          <w:szCs w:val="22"/>
          <w:highlight w:val="none"/>
        </w:rPr>
        <w:t xml:space="preserve"> 中国政府采购网（www.ccgp.gov.cn）列入失信被执行人名单、重大税收违法案件当事人名单、政府采购严重违法失信行为记录名单。</w:t>
      </w:r>
    </w:p>
    <w:p w14:paraId="77A677B8">
      <w:pPr>
        <w:pageBreakBefore w:val="0"/>
        <w:widowControl/>
        <w:kinsoku/>
        <w:wordWrap w:val="0"/>
        <w:topLinePunct w:val="0"/>
        <w:bidi w:val="0"/>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3、我方与参加本次项目同一合同项下政府采购活动的其他供应商不存在单位负责人为同一人或者直接控股、管理关系。</w:t>
      </w:r>
    </w:p>
    <w:p w14:paraId="46968458">
      <w:pPr>
        <w:pageBreakBefore w:val="0"/>
        <w:widowControl/>
        <w:kinsoku/>
        <w:wordWrap w:val="0"/>
        <w:topLinePunct w:val="0"/>
        <w:bidi w:val="0"/>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4、我方</w:t>
      </w:r>
      <w:r>
        <w:rPr>
          <w:rFonts w:hint="eastAsia" w:ascii="宋体" w:hAnsi="宋体" w:eastAsia="宋体" w:cs="宋体"/>
          <w:color w:val="auto"/>
          <w:kern w:val="0"/>
          <w:sz w:val="22"/>
          <w:szCs w:val="22"/>
          <w:highlight w:val="none"/>
        </w:rPr>
        <w:t>不属于公益一类事业单位。</w:t>
      </w:r>
    </w:p>
    <w:p w14:paraId="3500501D">
      <w:pPr>
        <w:pageBreakBefore w:val="0"/>
        <w:widowControl/>
        <w:kinsoku/>
        <w:wordWrap w:val="0"/>
        <w:topLinePunct w:val="0"/>
        <w:bidi w:val="0"/>
        <w:snapToGrid w:val="0"/>
        <w:spacing w:line="440" w:lineRule="exact"/>
        <w:ind w:firstLine="440" w:firstLineChars="200"/>
        <w:jc w:val="left"/>
        <w:rPr>
          <w:rFonts w:hint="eastAsia" w:ascii="宋体" w:hAnsi="宋体" w:eastAsia="宋体" w:cs="宋体"/>
          <w:color w:val="auto"/>
          <w:kern w:val="0"/>
          <w:sz w:val="22"/>
          <w:szCs w:val="22"/>
          <w:highlight w:val="none"/>
          <w:lang w:val="en-US" w:eastAsia="zh-CN"/>
        </w:rPr>
      </w:pPr>
    </w:p>
    <w:p w14:paraId="4840B015">
      <w:pPr>
        <w:pageBreakBefore w:val="0"/>
        <w:widowControl/>
        <w:kinsoku/>
        <w:wordWrap w:val="0"/>
        <w:topLinePunct w:val="0"/>
        <w:bidi w:val="0"/>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以上承诺如有虚假，</w:t>
      </w:r>
      <w:r>
        <w:rPr>
          <w:rFonts w:hint="eastAsia" w:ascii="宋体" w:hAnsi="宋体" w:eastAsia="宋体" w:cs="宋体"/>
          <w:color w:val="auto"/>
          <w:sz w:val="22"/>
          <w:szCs w:val="22"/>
          <w:highlight w:val="none"/>
        </w:rPr>
        <w:t>愿接受取消</w:t>
      </w:r>
      <w:r>
        <w:rPr>
          <w:rFonts w:hint="eastAsia" w:ascii="宋体" w:hAnsi="宋体" w:eastAsia="宋体" w:cs="宋体"/>
          <w:color w:val="auto"/>
          <w:kern w:val="0"/>
          <w:sz w:val="22"/>
          <w:szCs w:val="22"/>
          <w:highlight w:val="none"/>
        </w:rPr>
        <w:t>我方任何资格（投标/成交/签订合同）</w:t>
      </w:r>
      <w:r>
        <w:rPr>
          <w:rFonts w:hint="eastAsia" w:ascii="宋体" w:hAnsi="宋体" w:eastAsia="宋体" w:cs="宋体"/>
          <w:color w:val="auto"/>
          <w:sz w:val="22"/>
          <w:szCs w:val="22"/>
          <w:highlight w:val="none"/>
        </w:rPr>
        <w:t>及其他任何形式的处理。</w:t>
      </w:r>
    </w:p>
    <w:p w14:paraId="26EE3A03">
      <w:pPr>
        <w:pageBreakBefore w:val="0"/>
        <w:widowControl/>
        <w:kinsoku/>
        <w:wordWrap w:val="0"/>
        <w:topLinePunct w:val="0"/>
        <w:bidi w:val="0"/>
        <w:snapToGrid w:val="0"/>
        <w:spacing w:line="440" w:lineRule="exact"/>
        <w:ind w:firstLine="440" w:firstLineChars="200"/>
        <w:jc w:val="left"/>
        <w:rPr>
          <w:rFonts w:hint="eastAsia" w:ascii="宋体" w:hAnsi="宋体" w:eastAsia="宋体" w:cs="宋体"/>
          <w:color w:val="auto"/>
          <w:kern w:val="0"/>
          <w:sz w:val="22"/>
          <w:szCs w:val="22"/>
          <w:highlight w:val="none"/>
        </w:rPr>
      </w:pPr>
    </w:p>
    <w:p w14:paraId="21869F57">
      <w:pPr>
        <w:pageBreakBefore w:val="0"/>
        <w:kinsoku/>
        <w:wordWrap w:val="0"/>
        <w:topLinePunct w:val="0"/>
        <w:bidi w:val="0"/>
        <w:snapToGrid w:val="0"/>
        <w:spacing w:line="360" w:lineRule="auto"/>
        <w:ind w:firstLine="5060" w:firstLineChars="2300"/>
        <w:rPr>
          <w:rFonts w:hint="eastAsia" w:ascii="宋体" w:hAnsi="宋体" w:eastAsia="宋体" w:cs="宋体"/>
          <w:color w:val="auto"/>
          <w:kern w:val="0"/>
          <w:sz w:val="22"/>
          <w:szCs w:val="22"/>
          <w:highlight w:val="none"/>
          <w:lang w:val="zh-CN"/>
        </w:rPr>
      </w:pPr>
    </w:p>
    <w:p w14:paraId="1C2CA3E7">
      <w:pPr>
        <w:pageBreakBefore w:val="0"/>
        <w:widowControl/>
        <w:kinsoku/>
        <w:wordWrap w:val="0"/>
        <w:topLinePunct w:val="0"/>
        <w:bidi w:val="0"/>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14:paraId="5ADB3C49">
      <w:pPr>
        <w:pageBreakBefore w:val="0"/>
        <w:widowControl/>
        <w:kinsoku/>
        <w:wordWrap w:val="0"/>
        <w:topLinePunct w:val="0"/>
        <w:bidi w:val="0"/>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14:paraId="6B069E4E">
      <w:pPr>
        <w:pageBreakBefore w:val="0"/>
        <w:widowControl/>
        <w:kinsoku/>
        <w:wordWrap w:val="0"/>
        <w:topLinePunct w:val="0"/>
        <w:bidi w:val="0"/>
        <w:snapToGrid w:val="0"/>
        <w:spacing w:line="460" w:lineRule="exact"/>
        <w:ind w:firstLine="440" w:firstLineChars="200"/>
        <w:jc w:val="left"/>
        <w:rPr>
          <w:rFonts w:hint="eastAsia" w:ascii="宋体" w:hAnsi="宋体" w:eastAsia="宋体" w:cs="宋体"/>
          <w:color w:val="auto"/>
          <w:kern w:val="0"/>
          <w:sz w:val="22"/>
          <w:szCs w:val="22"/>
          <w:highlight w:val="none"/>
        </w:rPr>
      </w:pPr>
    </w:p>
    <w:p w14:paraId="439105CD">
      <w:pPr>
        <w:pStyle w:val="24"/>
        <w:pageBreakBefore w:val="0"/>
        <w:kinsoku/>
        <w:wordWrap w:val="0"/>
        <w:topLinePunct w:val="0"/>
        <w:bidi w:val="0"/>
        <w:spacing w:line="460" w:lineRule="exact"/>
        <w:ind w:left="479" w:leftChars="228" w:firstLine="5280" w:firstLineChars="24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14:paraId="5013D903">
      <w:pPr>
        <w:pageBreakBefore w:val="0"/>
        <w:kinsoku/>
        <w:wordWrap w:val="0"/>
        <w:topLinePunct w:val="0"/>
        <w:bidi w:val="0"/>
        <w:rPr>
          <w:rFonts w:hint="eastAsia" w:ascii="宋体" w:hAnsi="宋体" w:eastAsia="宋体" w:cs="宋体"/>
          <w:color w:val="auto"/>
          <w:highlight w:val="none"/>
        </w:rPr>
      </w:pPr>
    </w:p>
    <w:p w14:paraId="33F05473">
      <w:pPr>
        <w:pStyle w:val="49"/>
        <w:keepNext w:val="0"/>
        <w:keepLines w:val="0"/>
        <w:pageBreakBefore w:val="0"/>
        <w:widowControl/>
        <w:numPr>
          <w:ilvl w:val="0"/>
          <w:numId w:val="0"/>
        </w:numPr>
        <w:tabs>
          <w:tab w:val="left" w:pos="630"/>
          <w:tab w:val="left" w:pos="840"/>
          <w:tab w:val="left" w:pos="1050"/>
        </w:tabs>
        <w:kinsoku/>
        <w:wordWrap w:val="0"/>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ascii="宋体" w:hAnsi="宋体" w:eastAsia="宋体" w:cs="宋体"/>
          <w:b/>
          <w:bCs w:val="0"/>
          <w:color w:val="auto"/>
          <w:sz w:val="28"/>
          <w:szCs w:val="28"/>
          <w:highlight w:val="none"/>
        </w:rPr>
      </w:pPr>
    </w:p>
    <w:p w14:paraId="75B648A4">
      <w:pPr>
        <w:pageBreakBefore w:val="0"/>
        <w:kinsoku/>
        <w:wordWrap w:val="0"/>
        <w:topLinePunct w:val="0"/>
        <w:bidi w:val="0"/>
        <w:rPr>
          <w:rFonts w:hint="eastAsia" w:ascii="宋体" w:hAnsi="宋体" w:eastAsia="宋体" w:cs="宋体"/>
          <w:b/>
          <w:bCs w:val="0"/>
          <w:color w:val="auto"/>
          <w:kern w:val="0"/>
          <w:sz w:val="32"/>
          <w:szCs w:val="32"/>
          <w:highlight w:val="none"/>
          <w:lang w:val="en-US" w:eastAsia="zh-CN" w:bidi="ar-SA"/>
        </w:rPr>
      </w:pPr>
      <w:r>
        <w:rPr>
          <w:rFonts w:hint="eastAsia" w:ascii="宋体" w:hAnsi="宋体" w:eastAsia="宋体" w:cs="宋体"/>
          <w:b/>
          <w:bCs w:val="0"/>
          <w:color w:val="auto"/>
          <w:kern w:val="0"/>
          <w:sz w:val="32"/>
          <w:szCs w:val="32"/>
          <w:highlight w:val="none"/>
          <w:lang w:val="en-US" w:eastAsia="zh-CN" w:bidi="ar-SA"/>
        </w:rPr>
        <w:br w:type="page"/>
      </w:r>
    </w:p>
    <w:p w14:paraId="55053433">
      <w:pPr>
        <w:pStyle w:val="49"/>
        <w:keepNext w:val="0"/>
        <w:keepLines w:val="0"/>
        <w:pageBreakBefore w:val="0"/>
        <w:widowControl/>
        <w:numPr>
          <w:ilvl w:val="0"/>
          <w:numId w:val="0"/>
        </w:numPr>
        <w:tabs>
          <w:tab w:val="left" w:pos="630"/>
          <w:tab w:val="left" w:pos="840"/>
          <w:tab w:val="left" w:pos="1050"/>
        </w:tabs>
        <w:kinsoku/>
        <w:wordWrap w:val="0"/>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2、有效营业执照</w:t>
      </w:r>
    </w:p>
    <w:p w14:paraId="1232585D">
      <w:pPr>
        <w:pStyle w:val="49"/>
        <w:pageBreakBefore w:val="0"/>
        <w:tabs>
          <w:tab w:val="left" w:pos="630"/>
          <w:tab w:val="left" w:pos="840"/>
          <w:tab w:val="left" w:pos="1050"/>
        </w:tabs>
        <w:kinsoku/>
        <w:wordWrap w:val="0"/>
        <w:topLinePunct w:val="0"/>
        <w:bidi w:val="0"/>
        <w:adjustRightInd w:val="0"/>
        <w:snapToGrid w:val="0"/>
        <w:spacing w:before="0" w:beforeAutospacing="0" w:after="0" w:afterAutospacing="0" w:line="360" w:lineRule="auto"/>
        <w:ind w:left="420"/>
        <w:rPr>
          <w:rFonts w:hint="eastAsia" w:ascii="宋体" w:hAnsi="宋体" w:eastAsia="宋体" w:cs="宋体"/>
          <w:bCs/>
          <w:color w:val="auto"/>
          <w:sz w:val="24"/>
          <w:szCs w:val="24"/>
          <w:highlight w:val="none"/>
        </w:rPr>
      </w:pPr>
    </w:p>
    <w:p w14:paraId="6EBED5AB">
      <w:pPr>
        <w:pStyle w:val="49"/>
        <w:pageBreakBefore w:val="0"/>
        <w:tabs>
          <w:tab w:val="left" w:pos="630"/>
          <w:tab w:val="left" w:pos="840"/>
          <w:tab w:val="left" w:pos="1050"/>
        </w:tabs>
        <w:kinsoku/>
        <w:wordWrap w:val="0"/>
        <w:topLinePunct w:val="0"/>
        <w:bidi w:val="0"/>
        <w:adjustRightInd w:val="0"/>
        <w:snapToGrid w:val="0"/>
        <w:spacing w:before="0" w:beforeAutospacing="0" w:after="0" w:afterAutospacing="0" w:line="360" w:lineRule="auto"/>
        <w:ind w:left="42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投标人须在投标文件中出具符合以下情况的证明材料复印件（五选一）：</w:t>
      </w:r>
    </w:p>
    <w:p w14:paraId="58E6F2B3">
      <w:pPr>
        <w:pStyle w:val="49"/>
        <w:pageBreakBefore w:val="0"/>
        <w:numPr>
          <w:ilvl w:val="0"/>
          <w:numId w:val="0"/>
        </w:numPr>
        <w:tabs>
          <w:tab w:val="left" w:pos="312"/>
        </w:tabs>
        <w:kinsoku/>
        <w:wordWrap w:val="0"/>
        <w:topLinePunct w:val="0"/>
        <w:bidi w:val="0"/>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①</w:t>
      </w:r>
      <w:r>
        <w:rPr>
          <w:rFonts w:hint="eastAsia" w:ascii="宋体" w:hAnsi="宋体" w:eastAsia="宋体" w:cs="宋体"/>
          <w:bCs/>
          <w:color w:val="auto"/>
          <w:sz w:val="22"/>
          <w:szCs w:val="22"/>
          <w:highlight w:val="none"/>
        </w:rPr>
        <w:t>如投标人是企业（包括合伙企业），提供在工商部门注册的有效“企业法人营业执照”或“营业执照”；</w:t>
      </w:r>
    </w:p>
    <w:p w14:paraId="60EA64A8">
      <w:pPr>
        <w:pStyle w:val="49"/>
        <w:pageBreakBefore w:val="0"/>
        <w:numPr>
          <w:ilvl w:val="0"/>
          <w:numId w:val="0"/>
        </w:numPr>
        <w:tabs>
          <w:tab w:val="left" w:pos="312"/>
        </w:tabs>
        <w:kinsoku/>
        <w:wordWrap w:val="0"/>
        <w:topLinePunct w:val="0"/>
        <w:bidi w:val="0"/>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②</w:t>
      </w:r>
      <w:r>
        <w:rPr>
          <w:rFonts w:hint="eastAsia" w:ascii="宋体" w:hAnsi="宋体" w:eastAsia="宋体" w:cs="宋体"/>
          <w:bCs/>
          <w:color w:val="auto"/>
          <w:sz w:val="22"/>
          <w:szCs w:val="22"/>
          <w:highlight w:val="none"/>
        </w:rPr>
        <w:t>如投标人是事业单位，提供有效的“事业单位法人证书”；</w:t>
      </w:r>
    </w:p>
    <w:p w14:paraId="7EA55F3B">
      <w:pPr>
        <w:pStyle w:val="49"/>
        <w:pageBreakBefore w:val="0"/>
        <w:numPr>
          <w:ilvl w:val="0"/>
          <w:numId w:val="0"/>
        </w:numPr>
        <w:tabs>
          <w:tab w:val="left" w:pos="312"/>
        </w:tabs>
        <w:kinsoku/>
        <w:wordWrap w:val="0"/>
        <w:topLinePunct w:val="0"/>
        <w:bidi w:val="0"/>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③</w:t>
      </w:r>
      <w:r>
        <w:rPr>
          <w:rFonts w:hint="eastAsia" w:ascii="宋体" w:hAnsi="宋体" w:eastAsia="宋体" w:cs="宋体"/>
          <w:bCs/>
          <w:color w:val="auto"/>
          <w:sz w:val="22"/>
          <w:szCs w:val="22"/>
          <w:highlight w:val="none"/>
        </w:rPr>
        <w:t>如投标人是非企业专业服务机构的，提供执业许可证等证明文件；</w:t>
      </w:r>
    </w:p>
    <w:p w14:paraId="01FF54E1">
      <w:pPr>
        <w:pStyle w:val="49"/>
        <w:pageBreakBefore w:val="0"/>
        <w:numPr>
          <w:ilvl w:val="0"/>
          <w:numId w:val="0"/>
        </w:numPr>
        <w:tabs>
          <w:tab w:val="left" w:pos="312"/>
        </w:tabs>
        <w:kinsoku/>
        <w:wordWrap w:val="0"/>
        <w:topLinePunct w:val="0"/>
        <w:bidi w:val="0"/>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④</w:t>
      </w:r>
      <w:r>
        <w:rPr>
          <w:rFonts w:hint="eastAsia" w:ascii="宋体" w:hAnsi="宋体" w:eastAsia="宋体" w:cs="宋体"/>
          <w:bCs/>
          <w:color w:val="auto"/>
          <w:sz w:val="22"/>
          <w:szCs w:val="22"/>
          <w:highlight w:val="none"/>
        </w:rPr>
        <w:t>如投标人是个体工商户，提供有效的“个体工商户营业执照”；</w:t>
      </w:r>
    </w:p>
    <w:p w14:paraId="3B45F242">
      <w:pPr>
        <w:pStyle w:val="49"/>
        <w:pageBreakBefore w:val="0"/>
        <w:numPr>
          <w:ilvl w:val="0"/>
          <w:numId w:val="0"/>
        </w:numPr>
        <w:tabs>
          <w:tab w:val="left" w:pos="312"/>
        </w:tabs>
        <w:kinsoku/>
        <w:wordWrap w:val="0"/>
        <w:topLinePunct w:val="0"/>
        <w:bidi w:val="0"/>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⑤</w:t>
      </w:r>
      <w:r>
        <w:rPr>
          <w:rFonts w:hint="eastAsia" w:ascii="宋体" w:hAnsi="宋体" w:eastAsia="宋体" w:cs="宋体"/>
          <w:bCs/>
          <w:color w:val="auto"/>
          <w:sz w:val="22"/>
          <w:szCs w:val="22"/>
          <w:highlight w:val="none"/>
        </w:rPr>
        <w:t>如投标人是自然人，提供有效的自然人身份证明（居民身份证正反面或公安机关出具的临时居民身份证正反面或港澳台胞证或护照）。</w:t>
      </w:r>
    </w:p>
    <w:p w14:paraId="7A287493">
      <w:pPr>
        <w:pStyle w:val="49"/>
        <w:pageBreakBefore w:val="0"/>
        <w:tabs>
          <w:tab w:val="left" w:pos="312"/>
        </w:tabs>
        <w:kinsoku/>
        <w:wordWrap w:val="0"/>
        <w:topLinePunct w:val="0"/>
        <w:bidi w:val="0"/>
        <w:adjustRightInd w:val="0"/>
        <w:snapToGrid w:val="0"/>
        <w:spacing w:before="0" w:beforeAutospacing="0" w:after="0" w:afterAutospacing="0" w:line="360" w:lineRule="auto"/>
        <w:rPr>
          <w:rFonts w:hint="eastAsia" w:ascii="宋体" w:hAnsi="宋体" w:eastAsia="宋体" w:cs="宋体"/>
          <w:bCs/>
          <w:color w:val="auto"/>
          <w:sz w:val="22"/>
          <w:szCs w:val="22"/>
          <w:highlight w:val="none"/>
        </w:rPr>
      </w:pPr>
    </w:p>
    <w:p w14:paraId="15E88AF4">
      <w:pPr>
        <w:pStyle w:val="218"/>
        <w:pageBreakBefore w:val="0"/>
        <w:tabs>
          <w:tab w:val="left" w:pos="1212"/>
          <w:tab w:val="left" w:pos="3888"/>
        </w:tabs>
        <w:kinsoku/>
        <w:wordWrap w:val="0"/>
        <w:topLinePunct w:val="0"/>
        <w:bidi w:val="0"/>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25191452">
      <w:pPr>
        <w:pageBreakBefore w:val="0"/>
        <w:kinsoku/>
        <w:wordWrap w:val="0"/>
        <w:topLinePunct w:val="0"/>
        <w:bidi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3D363B0E">
      <w:pPr>
        <w:pageBreakBefore w:val="0"/>
        <w:kinsoku/>
        <w:wordWrap w:val="0"/>
        <w:topLinePunct w:val="0"/>
        <w:bidi w:val="0"/>
        <w:rPr>
          <w:rFonts w:hint="eastAsia" w:ascii="宋体" w:hAnsi="宋体" w:eastAsia="宋体" w:cs="宋体"/>
          <w:color w:val="auto"/>
          <w:highlight w:val="none"/>
        </w:rPr>
      </w:pPr>
    </w:p>
    <w:p w14:paraId="2B77EB57">
      <w:pPr>
        <w:pStyle w:val="49"/>
        <w:keepNext w:val="0"/>
        <w:keepLines w:val="0"/>
        <w:pageBreakBefore w:val="0"/>
        <w:widowControl/>
        <w:numPr>
          <w:ilvl w:val="0"/>
          <w:numId w:val="0"/>
        </w:numPr>
        <w:tabs>
          <w:tab w:val="left" w:pos="630"/>
          <w:tab w:val="left" w:pos="840"/>
          <w:tab w:val="left" w:pos="1050"/>
        </w:tabs>
        <w:kinsoku/>
        <w:wordWrap w:val="0"/>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3、投标人信用查询</w:t>
      </w:r>
    </w:p>
    <w:p w14:paraId="25866295">
      <w:pPr>
        <w:pageBreakBefore w:val="0"/>
        <w:tabs>
          <w:tab w:val="left" w:pos="360"/>
        </w:tabs>
        <w:kinsoku/>
        <w:wordWrap w:val="0"/>
        <w:topLinePunct w:val="0"/>
        <w:bidi w:val="0"/>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1、投标人信用信息查询的查询渠道：“信用中国”(www.creditchina.gov.cn)；“中国政府采购网”（http://www.ccgp.gov.cn/）；</w:t>
      </w:r>
    </w:p>
    <w:p w14:paraId="25E4710A">
      <w:pPr>
        <w:pageBreakBefore w:val="0"/>
        <w:tabs>
          <w:tab w:val="left" w:pos="360"/>
        </w:tabs>
        <w:kinsoku/>
        <w:wordWrap w:val="0"/>
        <w:topLinePunct w:val="0"/>
        <w:bidi w:val="0"/>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2、投标人信用信息查询截止时点：招标公告发布之日至投标截止时间前。</w:t>
      </w:r>
    </w:p>
    <w:p w14:paraId="03E578EE">
      <w:pPr>
        <w:pageBreakBefore w:val="0"/>
        <w:tabs>
          <w:tab w:val="left" w:pos="360"/>
        </w:tabs>
        <w:kinsoku/>
        <w:wordWrap w:val="0"/>
        <w:topLinePunct w:val="0"/>
        <w:bidi w:val="0"/>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3、投标人信用信息查询记录和证据留存的具体方式：</w:t>
      </w:r>
      <w:r>
        <w:rPr>
          <w:rFonts w:hint="eastAsia" w:ascii="宋体" w:hAnsi="宋体" w:eastAsia="宋体" w:cs="宋体"/>
          <w:b/>
          <w:bCs/>
          <w:color w:val="auto"/>
          <w:sz w:val="22"/>
          <w:highlight w:val="none"/>
        </w:rPr>
        <w:t>网页截图</w:t>
      </w:r>
      <w:r>
        <w:rPr>
          <w:rFonts w:hint="eastAsia" w:ascii="宋体" w:hAnsi="宋体" w:eastAsia="宋体" w:cs="宋体"/>
          <w:color w:val="auto"/>
          <w:sz w:val="22"/>
          <w:highlight w:val="none"/>
        </w:rPr>
        <w:t>；</w:t>
      </w:r>
    </w:p>
    <w:p w14:paraId="2D1B2193">
      <w:pPr>
        <w:pageBreakBefore w:val="0"/>
        <w:tabs>
          <w:tab w:val="left" w:pos="360"/>
        </w:tabs>
        <w:kinsoku/>
        <w:wordWrap w:val="0"/>
        <w:topLinePunct w:val="0"/>
        <w:bidi w:val="0"/>
        <w:spacing w:line="460" w:lineRule="exact"/>
        <w:ind w:firstLine="550" w:firstLineChars="250"/>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highlight w:val="none"/>
          <w:u w:val="none"/>
        </w:rPr>
        <w:t>4、信用信息的使用规则：对列入失信被执行人、重大税收违法案件当事人名单、政府采购严重违法失信行为记录名单的投标人，其投标将作无效标处理。</w:t>
      </w:r>
    </w:p>
    <w:p w14:paraId="6711085E">
      <w:pPr>
        <w:pageBreakBefore w:val="0"/>
        <w:kinsoku/>
        <w:wordWrap w:val="0"/>
        <w:topLinePunct w:val="0"/>
        <w:bidi w:val="0"/>
        <w:rPr>
          <w:rFonts w:hint="eastAsia" w:cs="宋体"/>
          <w:b/>
          <w:bCs w:val="0"/>
          <w:color w:val="auto"/>
          <w:kern w:val="0"/>
          <w:sz w:val="28"/>
          <w:szCs w:val="28"/>
          <w:highlight w:val="none"/>
          <w:lang w:val="en-US" w:eastAsia="zh-CN" w:bidi="ar-SA"/>
        </w:rPr>
      </w:pPr>
    </w:p>
    <w:p w14:paraId="7FD659AD">
      <w:pPr>
        <w:pageBreakBefore w:val="0"/>
        <w:kinsoku/>
        <w:wordWrap w:val="0"/>
        <w:topLinePunct w:val="0"/>
        <w:bidi w:val="0"/>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br w:type="page"/>
      </w:r>
    </w:p>
    <w:p w14:paraId="596B3ED4">
      <w:pPr>
        <w:pStyle w:val="49"/>
        <w:keepNext w:val="0"/>
        <w:keepLines w:val="0"/>
        <w:pageBreakBefore w:val="0"/>
        <w:widowControl/>
        <w:numPr>
          <w:ilvl w:val="0"/>
          <w:numId w:val="0"/>
        </w:numPr>
        <w:tabs>
          <w:tab w:val="left" w:pos="630"/>
          <w:tab w:val="left" w:pos="840"/>
          <w:tab w:val="left" w:pos="1050"/>
        </w:tabs>
        <w:kinsoku/>
        <w:wordWrap w:val="0"/>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4、政府采购活动现场确认声明书</w:t>
      </w:r>
    </w:p>
    <w:p w14:paraId="0D5E0578">
      <w:pPr>
        <w:pageBreakBefore w:val="0"/>
        <w:kinsoku/>
        <w:wordWrap w:val="0"/>
        <w:topLinePunct w:val="0"/>
        <w:bidi w:val="0"/>
        <w:spacing w:line="460" w:lineRule="exact"/>
        <w:rPr>
          <w:rFonts w:hint="eastAsia" w:ascii="宋体" w:hAnsi="宋体" w:eastAsia="宋体" w:cs="宋体"/>
          <w:b/>
          <w:bCs/>
          <w:color w:val="auto"/>
          <w:sz w:val="22"/>
          <w:szCs w:val="22"/>
          <w:highlight w:val="none"/>
        </w:rPr>
      </w:pPr>
    </w:p>
    <w:p w14:paraId="4D00B74C">
      <w:pPr>
        <w:pageBreakBefore w:val="0"/>
        <w:kinsoku/>
        <w:wordWrap w:val="0"/>
        <w:topLinePunct w:val="0"/>
        <w:bidi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lang w:eastAsia="zh-CN"/>
        </w:rPr>
        <w:t>温州历程招标有限公司</w:t>
      </w:r>
      <w:r>
        <w:rPr>
          <w:rFonts w:hint="eastAsia" w:ascii="宋体" w:hAnsi="宋体" w:eastAsia="宋体" w:cs="宋体"/>
          <w:color w:val="auto"/>
          <w:sz w:val="22"/>
          <w:szCs w:val="22"/>
          <w:highlight w:val="none"/>
        </w:rPr>
        <w:t>：</w:t>
      </w:r>
    </w:p>
    <w:p w14:paraId="1CCFD4C9">
      <w:pPr>
        <w:pageBreakBefore w:val="0"/>
        <w:kinsoku/>
        <w:wordWrap w:val="0"/>
        <w:topLinePunct w:val="0"/>
        <w:bidi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本人经由</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（供应商名称）负责人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（姓名）合法授权参加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项目（编号：</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）采购活动，经与本单位法人代表（负责人）联系确认，现就有关公平竞争事项郑重声明如下：</w:t>
      </w:r>
    </w:p>
    <w:p w14:paraId="75ECBD88">
      <w:pPr>
        <w:pageBreakBefore w:val="0"/>
        <w:numPr>
          <w:ilvl w:val="0"/>
          <w:numId w:val="5"/>
        </w:numPr>
        <w:kinsoku/>
        <w:wordWrap w:val="0"/>
        <w:topLinePunct w:val="0"/>
        <w:bidi w:val="0"/>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本单位与招标人之间 □不存在利害关系 □存在下列利害关系：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A.投资关系    </w:t>
      </w:r>
    </w:p>
    <w:p w14:paraId="75340FD1">
      <w:pPr>
        <w:pageBreakBefore w:val="0"/>
        <w:kinsoku/>
        <w:wordWrap w:val="0"/>
        <w:topLinePunct w:val="0"/>
        <w:bidi w:val="0"/>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B.行政隶属关系    </w:t>
      </w:r>
    </w:p>
    <w:p w14:paraId="6D835EDA">
      <w:pPr>
        <w:pageBreakBefore w:val="0"/>
        <w:kinsoku/>
        <w:wordWrap w:val="0"/>
        <w:topLinePunct w:val="0"/>
        <w:bidi w:val="0"/>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C.业务指导关系  </w:t>
      </w:r>
    </w:p>
    <w:p w14:paraId="1CD4942E">
      <w:pPr>
        <w:pageBreakBefore w:val="0"/>
        <w:kinsoku/>
        <w:wordWrap w:val="0"/>
        <w:topLinePunct w:val="0"/>
        <w:bidi w:val="0"/>
        <w:spacing w:line="460" w:lineRule="exact"/>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D.其他可能影响采购公正的利害关系</w:t>
      </w:r>
      <w:r>
        <w:rPr>
          <w:rStyle w:val="332"/>
          <w:rFonts w:hint="eastAsia" w:ascii="宋体" w:hAnsi="宋体" w:eastAsia="宋体" w:cs="宋体"/>
          <w:color w:val="auto"/>
          <w:sz w:val="22"/>
          <w:szCs w:val="22"/>
          <w:highlight w:val="none"/>
        </w:rPr>
        <w:t xml:space="preserve">（如有，请如实说明）                 </w:t>
      </w:r>
      <w:r>
        <w:rPr>
          <w:rFonts w:hint="eastAsia" w:ascii="宋体" w:hAnsi="宋体" w:eastAsia="宋体" w:cs="宋体"/>
          <w:color w:val="auto"/>
          <w:kern w:val="0"/>
          <w:sz w:val="22"/>
          <w:szCs w:val="22"/>
          <w:highlight w:val="none"/>
        </w:rPr>
        <w:t>。</w:t>
      </w:r>
    </w:p>
    <w:p w14:paraId="0AB9345A">
      <w:pPr>
        <w:pageBreakBefore w:val="0"/>
        <w:numPr>
          <w:ilvl w:val="0"/>
          <w:numId w:val="5"/>
        </w:numPr>
        <w:kinsoku/>
        <w:wordWrap w:val="0"/>
        <w:topLinePunct w:val="0"/>
        <w:bidi w:val="0"/>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现已清楚知道参加本项目采购活动的其他所有供应商名称，本单位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□与其他所有供应商之间均不存在利害关系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□与</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供应商名称）之间存在下列利害关系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A.法定代表人或负责人或实际控制人是同一人</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B.法定代表人或负责人或实际控制人是夫妻关系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C.法定代表人或负责人或实际控制人是直系血亲关系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D.法定代表人或负责人或实际控制人存在三代以内旁系血亲关系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E.法定代表人或负责人或实际控制人存在近姻亲关系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F.法定代表人或负责人或实际控制人存在股份控制或实际控制关系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G.存在共同直接或间接投资设立子公司、联营企业和合营企业情况</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H.存在分级代理或代销关系、同一生产制造商关系、管理关系、重要业务（占主营业务收入50%以上）或重要财务往来关系（如融资）等其他实质性控制关系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I.其他利害关系情况</w:t>
      </w:r>
      <w:r>
        <w:rPr>
          <w:rFonts w:hint="eastAsia" w:ascii="宋体" w:hAnsi="宋体" w:eastAsia="宋体" w:cs="宋体"/>
          <w:color w:val="auto"/>
          <w:kern w:val="0"/>
          <w:sz w:val="22"/>
          <w:szCs w:val="22"/>
          <w:highlight w:val="none"/>
          <w:u w:val="single"/>
        </w:rPr>
        <w:t xml:space="preserve">                              。</w:t>
      </w:r>
    </w:p>
    <w:p w14:paraId="0EC8BF09">
      <w:pPr>
        <w:pStyle w:val="24"/>
        <w:pageBreakBefore w:val="0"/>
        <w:kinsoku/>
        <w:wordWrap w:val="0"/>
        <w:topLinePunct w:val="0"/>
        <w:bidi w:val="0"/>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（三）现已清楚知道并严格遵守政府采购法律法规和现场纪律</w:t>
      </w:r>
    </w:p>
    <w:p w14:paraId="3AA554A4">
      <w:pPr>
        <w:pStyle w:val="24"/>
        <w:pageBreakBefore w:val="0"/>
        <w:kinsoku/>
        <w:wordWrap w:val="0"/>
        <w:topLinePunct w:val="0"/>
        <w:bidi w:val="0"/>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（四）我发现</w:t>
      </w:r>
      <w:r>
        <w:rPr>
          <w:rStyle w:val="332"/>
          <w:rFonts w:hint="eastAsia" w:ascii="宋体" w:hAnsi="宋体" w:eastAsia="宋体" w:cs="宋体"/>
          <w:color w:val="auto"/>
          <w:sz w:val="22"/>
          <w:szCs w:val="22"/>
          <w:highlight w:val="none"/>
          <w:u w:val="single"/>
        </w:rPr>
        <w:t xml:space="preserve">                  </w:t>
      </w:r>
      <w:r>
        <w:rPr>
          <w:rStyle w:val="332"/>
          <w:rFonts w:hint="eastAsia" w:ascii="宋体" w:hAnsi="宋体" w:eastAsia="宋体" w:cs="宋体"/>
          <w:color w:val="auto"/>
          <w:sz w:val="22"/>
          <w:szCs w:val="22"/>
          <w:highlight w:val="none"/>
        </w:rPr>
        <w:t>与</w:t>
      </w:r>
      <w:r>
        <w:rPr>
          <w:rStyle w:val="332"/>
          <w:rFonts w:hint="eastAsia" w:ascii="宋体" w:hAnsi="宋体" w:eastAsia="宋体" w:cs="宋体"/>
          <w:color w:val="auto"/>
          <w:sz w:val="22"/>
          <w:szCs w:val="22"/>
          <w:highlight w:val="none"/>
          <w:u w:val="single"/>
        </w:rPr>
        <w:t xml:space="preserve">                  </w:t>
      </w:r>
      <w:r>
        <w:rPr>
          <w:rStyle w:val="332"/>
          <w:rFonts w:hint="eastAsia" w:ascii="宋体" w:hAnsi="宋体" w:eastAsia="宋体" w:cs="宋体"/>
          <w:color w:val="auto"/>
          <w:sz w:val="22"/>
          <w:szCs w:val="22"/>
          <w:highlight w:val="none"/>
        </w:rPr>
        <w:t>（供应商名称）</w:t>
      </w:r>
      <w:r>
        <w:rPr>
          <w:rFonts w:hint="eastAsia" w:ascii="宋体" w:hAnsi="宋体" w:eastAsia="宋体" w:cs="宋体"/>
          <w:color w:val="auto"/>
          <w:kern w:val="0"/>
          <w:sz w:val="22"/>
          <w:szCs w:val="22"/>
          <w:highlight w:val="none"/>
        </w:rPr>
        <w:t>之间存在或可能存在上述第二条第</w:t>
      </w:r>
      <w:r>
        <w:rPr>
          <w:rStyle w:val="332"/>
          <w:rFonts w:hint="eastAsia" w:ascii="宋体" w:hAnsi="宋体" w:eastAsia="宋体" w:cs="宋体"/>
          <w:color w:val="auto"/>
          <w:sz w:val="22"/>
          <w:szCs w:val="22"/>
          <w:highlight w:val="none"/>
          <w:u w:val="single"/>
        </w:rPr>
        <w:t xml:space="preserve">        </w:t>
      </w:r>
      <w:r>
        <w:rPr>
          <w:rFonts w:hint="eastAsia" w:ascii="宋体" w:hAnsi="宋体" w:eastAsia="宋体" w:cs="宋体"/>
          <w:color w:val="auto"/>
          <w:kern w:val="0"/>
          <w:sz w:val="22"/>
          <w:szCs w:val="22"/>
          <w:highlight w:val="none"/>
        </w:rPr>
        <w:t>项利害关系。</w:t>
      </w:r>
    </w:p>
    <w:p w14:paraId="5B1BCB93">
      <w:pPr>
        <w:pStyle w:val="24"/>
        <w:pageBreakBefore w:val="0"/>
        <w:kinsoku/>
        <w:wordWrap w:val="0"/>
        <w:topLinePunct w:val="0"/>
        <w:bidi w:val="0"/>
        <w:spacing w:line="460" w:lineRule="exact"/>
        <w:ind w:left="0" w:firstLine="0" w:firstLineChars="0"/>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供应商代表签名:</w:t>
      </w:r>
    </w:p>
    <w:p w14:paraId="2EBEBE83">
      <w:pPr>
        <w:pStyle w:val="24"/>
        <w:pageBreakBefore w:val="0"/>
        <w:kinsoku/>
        <w:wordWrap w:val="0"/>
        <w:topLinePunct w:val="0"/>
        <w:bidi w:val="0"/>
        <w:spacing w:line="460" w:lineRule="exact"/>
        <w:ind w:left="0" w:firstLine="0" w:firstLineChars="0"/>
        <w:jc w:val="right"/>
        <w:rPr>
          <w:rFonts w:hint="eastAsia" w:ascii="宋体" w:hAnsi="宋体" w:eastAsia="宋体" w:cs="宋体"/>
          <w:b/>
          <w:bCs/>
          <w:color w:val="auto"/>
          <w:sz w:val="22"/>
          <w:szCs w:val="22"/>
          <w:highlight w:val="none"/>
        </w:rPr>
      </w:pPr>
      <w:r>
        <w:rPr>
          <w:rFonts w:hint="eastAsia" w:ascii="宋体" w:hAnsi="宋体" w:eastAsia="宋体" w:cs="宋体"/>
          <w:b/>
          <w:color w:val="auto"/>
          <w:kern w:val="0"/>
          <w:sz w:val="22"/>
          <w:szCs w:val="22"/>
          <w:highlight w:val="none"/>
        </w:rPr>
        <w:t>日期:202</w:t>
      </w:r>
      <w:r>
        <w:rPr>
          <w:rFonts w:hint="eastAsia" w:ascii="宋体" w:hAnsi="宋体" w:eastAsia="宋体" w:cs="宋体"/>
          <w:b/>
          <w:color w:val="auto"/>
          <w:kern w:val="0"/>
          <w:sz w:val="22"/>
          <w:szCs w:val="22"/>
          <w:highlight w:val="none"/>
          <w:lang w:val="en-US" w:eastAsia="zh-CN"/>
        </w:rPr>
        <w:t xml:space="preserve">  </w:t>
      </w:r>
      <w:r>
        <w:rPr>
          <w:rFonts w:hint="eastAsia" w:ascii="宋体" w:hAnsi="宋体" w:eastAsia="宋体" w:cs="宋体"/>
          <w:b/>
          <w:color w:val="auto"/>
          <w:kern w:val="0"/>
          <w:sz w:val="22"/>
          <w:szCs w:val="22"/>
          <w:highlight w:val="none"/>
        </w:rPr>
        <w:t>年    月    日</w:t>
      </w:r>
    </w:p>
    <w:p w14:paraId="38F30B4C">
      <w:pPr>
        <w:pageBreakBefore w:val="0"/>
        <w:kinsoku/>
        <w:wordWrap w:val="0"/>
        <w:topLinePunct w:val="0"/>
        <w:bidi w:val="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p>
    <w:p w14:paraId="055AD207">
      <w:pPr>
        <w:pStyle w:val="49"/>
        <w:keepNext w:val="0"/>
        <w:keepLines w:val="0"/>
        <w:pageBreakBefore w:val="0"/>
        <w:widowControl/>
        <w:numPr>
          <w:ilvl w:val="0"/>
          <w:numId w:val="0"/>
        </w:numPr>
        <w:tabs>
          <w:tab w:val="left" w:pos="630"/>
          <w:tab w:val="left" w:pos="840"/>
          <w:tab w:val="left" w:pos="1050"/>
        </w:tabs>
        <w:kinsoku/>
        <w:wordWrap w:val="0"/>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5、联合体协议书</w:t>
      </w:r>
    </w:p>
    <w:p w14:paraId="1A322D88">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甲方：</w:t>
      </w:r>
      <w:r>
        <w:rPr>
          <w:rFonts w:hint="eastAsia" w:ascii="新宋体" w:hAnsi="新宋体" w:eastAsia="新宋体" w:cs="新宋体"/>
          <w:color w:val="auto"/>
          <w:kern w:val="0"/>
          <w:sz w:val="22"/>
          <w:szCs w:val="22"/>
          <w:highlight w:val="none"/>
          <w:u w:val="single"/>
          <w:lang w:val="en-US" w:eastAsia="zh-CN"/>
        </w:rPr>
        <w:t xml:space="preserve">                          </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乙方：</w:t>
      </w:r>
      <w:r>
        <w:rPr>
          <w:rFonts w:hint="eastAsia" w:ascii="新宋体" w:hAnsi="新宋体" w:eastAsia="新宋体" w:cs="新宋体"/>
          <w:color w:val="auto"/>
          <w:kern w:val="0"/>
          <w:sz w:val="22"/>
          <w:szCs w:val="22"/>
          <w:highlight w:val="none"/>
          <w:u w:val="single"/>
          <w:lang w:val="en-US" w:eastAsia="zh-CN"/>
        </w:rPr>
        <w:t xml:space="preserve">                          </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 xml:space="preserve">    各方经协商，就招标项目名称为</w:t>
      </w:r>
      <w:r>
        <w:rPr>
          <w:rFonts w:hint="eastAsia" w:ascii="新宋体" w:hAnsi="新宋体" w:eastAsia="新宋体" w:cs="新宋体"/>
          <w:color w:val="auto"/>
          <w:kern w:val="0"/>
          <w:sz w:val="22"/>
          <w:szCs w:val="22"/>
          <w:highlight w:val="none"/>
          <w:u w:val="single"/>
          <w:lang w:val="en-US" w:eastAsia="zh-CN"/>
        </w:rPr>
        <w:t xml:space="preserve">                        </w:t>
      </w:r>
      <w:r>
        <w:rPr>
          <w:rFonts w:hint="eastAsia" w:ascii="新宋体" w:hAnsi="新宋体" w:eastAsia="新宋体" w:cs="新宋体"/>
          <w:color w:val="auto"/>
          <w:kern w:val="0"/>
          <w:sz w:val="22"/>
          <w:szCs w:val="22"/>
          <w:highlight w:val="none"/>
        </w:rPr>
        <w:t>编号为</w:t>
      </w:r>
      <w:r>
        <w:rPr>
          <w:rFonts w:hint="eastAsia" w:ascii="新宋体" w:hAnsi="新宋体" w:eastAsia="新宋体" w:cs="新宋体"/>
          <w:color w:val="auto"/>
          <w:kern w:val="0"/>
          <w:sz w:val="22"/>
          <w:szCs w:val="22"/>
          <w:highlight w:val="none"/>
          <w:u w:val="single"/>
          <w:lang w:val="en-US" w:eastAsia="zh-CN"/>
        </w:rPr>
        <w:t xml:space="preserve">                 </w:t>
      </w:r>
      <w:r>
        <w:rPr>
          <w:rFonts w:hint="eastAsia" w:ascii="新宋体" w:hAnsi="新宋体" w:eastAsia="新宋体" w:cs="新宋体"/>
          <w:color w:val="auto"/>
          <w:kern w:val="0"/>
          <w:sz w:val="22"/>
          <w:szCs w:val="22"/>
          <w:highlight w:val="none"/>
        </w:rPr>
        <w:t>的招标采购活动联合进行招标之事宜，达成如下协议：</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 xml:space="preserve">    一、各方一致决定，</w:t>
      </w:r>
      <w:r>
        <w:rPr>
          <w:rFonts w:hint="eastAsia" w:ascii="新宋体" w:hAnsi="新宋体" w:eastAsia="新宋体" w:cs="新宋体"/>
          <w:color w:val="auto"/>
          <w:kern w:val="0"/>
          <w:sz w:val="22"/>
          <w:szCs w:val="22"/>
          <w:highlight w:val="none"/>
          <w:u w:val="single"/>
          <w:lang w:val="en-US" w:eastAsia="zh-CN"/>
        </w:rPr>
        <w:t xml:space="preserve">              </w:t>
      </w:r>
      <w:r>
        <w:rPr>
          <w:rFonts w:hint="eastAsia" w:ascii="新宋体" w:hAnsi="新宋体" w:eastAsia="新宋体" w:cs="新宋体"/>
          <w:color w:val="auto"/>
          <w:kern w:val="0"/>
          <w:sz w:val="22"/>
          <w:szCs w:val="22"/>
          <w:highlight w:val="none"/>
        </w:rPr>
        <w:t>为联合体牵头人，</w:t>
      </w:r>
      <w:r>
        <w:rPr>
          <w:rFonts w:hint="eastAsia" w:ascii="新宋体" w:hAnsi="新宋体" w:eastAsia="新宋体" w:cs="新宋体"/>
          <w:color w:val="auto"/>
          <w:kern w:val="0"/>
          <w:sz w:val="22"/>
          <w:szCs w:val="22"/>
          <w:highlight w:val="none"/>
          <w:u w:val="single"/>
          <w:lang w:val="en-US" w:eastAsia="zh-CN"/>
        </w:rPr>
        <w:t xml:space="preserve">               </w:t>
      </w:r>
      <w:r>
        <w:rPr>
          <w:rFonts w:hint="eastAsia" w:ascii="新宋体" w:hAnsi="新宋体" w:eastAsia="新宋体" w:cs="新宋体"/>
          <w:color w:val="auto"/>
          <w:kern w:val="0"/>
          <w:sz w:val="22"/>
          <w:szCs w:val="22"/>
          <w:highlight w:val="none"/>
        </w:rPr>
        <w:t>为联合体成员，并按照招标文件的规定分别提交资格文件。</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 xml:space="preserve">    二、在本次投标过程中，牵头人的法定代表人或授权代理人根据招标文件规定及招标内容而对招标人所作的任何合法承诺，包括书面澄清及响应等均对联合体各方产生约束力。如果成交并签订合同，则联合体各方将共同履行对招标人所负有的全部义务并就采购合同约定的事项对招标人承担连带责任。</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 xml:space="preserve">    三、联合体其余各方保证对牵头人为响应本次投标而提供的服务提供全部质量保证支持。</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 xml:space="preserve">    四、本次联合体投标中，双方各承担以下的工作和责任：</w:t>
      </w:r>
    </w:p>
    <w:p w14:paraId="7698185B">
      <w:pPr>
        <w:widowControl/>
        <w:spacing w:line="460" w:lineRule="exact"/>
        <w:ind w:firstLine="440" w:firstLineChars="200"/>
        <w:rPr>
          <w:rFonts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 xml:space="preserve">1、甲方承担的工作和责任为（详细说明）:  </w:t>
      </w:r>
      <w:r>
        <w:rPr>
          <w:rFonts w:hint="eastAsia" w:ascii="新宋体" w:hAnsi="新宋体" w:eastAsia="新宋体" w:cs="新宋体"/>
          <w:color w:val="auto"/>
          <w:kern w:val="0"/>
          <w:sz w:val="22"/>
          <w:szCs w:val="22"/>
          <w:highlight w:val="none"/>
          <w:u w:val="single"/>
        </w:rPr>
        <w:t xml:space="preserve">                                。</w:t>
      </w:r>
    </w:p>
    <w:p w14:paraId="682971AF">
      <w:pPr>
        <w:widowControl/>
        <w:spacing w:line="460" w:lineRule="exact"/>
        <w:ind w:firstLine="440" w:firstLineChars="200"/>
        <w:jc w:val="left"/>
        <w:rPr>
          <w:rFonts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 xml:space="preserve">2、乙方承担的工作和责任为（详细说明）： </w:t>
      </w:r>
      <w:r>
        <w:rPr>
          <w:rFonts w:hint="eastAsia" w:ascii="新宋体" w:hAnsi="新宋体" w:eastAsia="新宋体" w:cs="新宋体"/>
          <w:color w:val="auto"/>
          <w:kern w:val="0"/>
          <w:sz w:val="22"/>
          <w:szCs w:val="22"/>
          <w:highlight w:val="none"/>
          <w:u w:val="single"/>
        </w:rPr>
        <w:t xml:space="preserve">                                。</w:t>
      </w:r>
    </w:p>
    <w:p w14:paraId="3EF6A2FC">
      <w:pPr>
        <w:widowControl/>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3、如中标，联合体将遵守以下规定： </w:t>
      </w:r>
    </w:p>
    <w:p w14:paraId="35395F09">
      <w:pPr>
        <w:widowControl/>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lang w:val="en-US" w:eastAsia="zh-CN"/>
        </w:rPr>
        <w:t>由联合体牵头人与招标人签订合同</w:t>
      </w:r>
      <w:r>
        <w:rPr>
          <w:rFonts w:hint="eastAsia" w:ascii="新宋体" w:hAnsi="新宋体" w:eastAsia="新宋体" w:cs="新宋体"/>
          <w:color w:val="auto"/>
          <w:kern w:val="0"/>
          <w:sz w:val="22"/>
          <w:szCs w:val="22"/>
          <w:highlight w:val="none"/>
        </w:rPr>
        <w:t>，联合体牵头人和成员共同与招标人就中标项目向招标人承担合同规定的联合或各自的义务、责任和风险，就合同约定的事项对招标人承担连带责任。在整个合同实施过程的全部事宜均联合体牵头人代表联合体成员接受招标人的指令、指示和通知。</w:t>
      </w:r>
    </w:p>
    <w:p w14:paraId="06EB9E26">
      <w:pPr>
        <w:widowControl/>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五、有关本次联合体投标的其他事宜：</w:t>
      </w:r>
      <w:r>
        <w:rPr>
          <w:rFonts w:hint="eastAsia" w:ascii="新宋体" w:hAnsi="新宋体" w:eastAsia="新宋体" w:cs="新宋体"/>
          <w:color w:val="auto"/>
          <w:kern w:val="0"/>
          <w:sz w:val="22"/>
          <w:szCs w:val="22"/>
          <w:highlight w:val="none"/>
          <w:u w:val="single"/>
        </w:rPr>
        <w:t xml:space="preserve">                               。</w:t>
      </w:r>
    </w:p>
    <w:p w14:paraId="09CF91CB">
      <w:pPr>
        <w:widowControl/>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六、本协议提交招标人后，联合体各方不得以任何形式对上述实质内容进行修改或撤销。</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 xml:space="preserve">    七、本协议签约各方各持一份，交招标机构两份，其中一份投标时装订于投标文件正本内，一份与投标文件一同提交。</w:t>
      </w:r>
    </w:p>
    <w:p w14:paraId="73ADE58C">
      <w:pPr>
        <w:spacing w:line="360" w:lineRule="auto"/>
        <w:ind w:left="143" w:leftChars="68"/>
        <w:rPr>
          <w:rFonts w:ascii="新宋体" w:hAnsi="新宋体" w:eastAsia="新宋体" w:cs="新宋体"/>
          <w:color w:val="auto"/>
          <w:kern w:val="0"/>
          <w:sz w:val="22"/>
          <w:szCs w:val="22"/>
          <w:highlight w:val="none"/>
        </w:rPr>
      </w:pPr>
    </w:p>
    <w:p w14:paraId="4405A9CB">
      <w:pPr>
        <w:spacing w:line="360" w:lineRule="auto"/>
        <w:ind w:left="143" w:leftChars="68"/>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甲方单位：（公章）</w:t>
      </w:r>
    </w:p>
    <w:p w14:paraId="34DB281D">
      <w:pPr>
        <w:spacing w:line="360" w:lineRule="auto"/>
        <w:ind w:left="143" w:leftChars="68"/>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法定代表人：（签字或盖章）</w:t>
      </w:r>
    </w:p>
    <w:p w14:paraId="1736FB22">
      <w:pPr>
        <w:spacing w:line="360" w:lineRule="auto"/>
        <w:ind w:left="143" w:leftChars="68"/>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14:paraId="42DA99AE">
      <w:pPr>
        <w:spacing w:line="360" w:lineRule="auto"/>
        <w:ind w:left="143" w:leftChars="68"/>
        <w:rPr>
          <w:rFonts w:hint="eastAsia" w:ascii="新宋体" w:hAnsi="新宋体" w:eastAsia="新宋体" w:cs="新宋体"/>
          <w:color w:val="auto"/>
          <w:kern w:val="0"/>
          <w:sz w:val="22"/>
          <w:szCs w:val="22"/>
          <w:highlight w:val="none"/>
        </w:rPr>
      </w:pPr>
    </w:p>
    <w:p w14:paraId="58035677">
      <w:pPr>
        <w:spacing w:line="360" w:lineRule="auto"/>
        <w:ind w:left="143" w:leftChars="68"/>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乙方单位：（公章）</w:t>
      </w:r>
    </w:p>
    <w:p w14:paraId="4C4CCA4F">
      <w:pPr>
        <w:spacing w:line="360" w:lineRule="auto"/>
        <w:ind w:left="143" w:leftChars="68"/>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法定代表人：（签字或盖章）</w:t>
      </w:r>
    </w:p>
    <w:p w14:paraId="6BA0A42C">
      <w:pPr>
        <w:spacing w:line="360" w:lineRule="auto"/>
        <w:ind w:left="143" w:leftChars="68"/>
        <w:outlineLvl w:val="9"/>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14:paraId="63C8C2EE">
      <w:pPr>
        <w:pageBreakBefore w:val="0"/>
        <w:kinsoku/>
        <w:wordWrap w:val="0"/>
        <w:topLinePunct w:val="0"/>
        <w:bidi w:val="0"/>
        <w:outlineLvl w:val="1"/>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附件三</w:t>
      </w:r>
      <w:bookmarkEnd w:id="48"/>
      <w:bookmarkEnd w:id="49"/>
    </w:p>
    <w:p w14:paraId="33D6F413">
      <w:pPr>
        <w:pageBreakBefore w:val="0"/>
        <w:kinsoku/>
        <w:wordWrap w:val="0"/>
        <w:topLinePunct w:val="0"/>
        <w:bidi w:val="0"/>
        <w:spacing w:line="460" w:lineRule="exact"/>
        <w:jc w:val="center"/>
        <w:outlineLvl w:val="2"/>
        <w:rPr>
          <w:rFonts w:hint="eastAsia" w:ascii="宋体" w:hAnsi="宋体" w:eastAsia="宋体" w:cs="宋体"/>
          <w:b/>
          <w:bCs/>
          <w:color w:val="auto"/>
          <w:sz w:val="28"/>
          <w:szCs w:val="28"/>
          <w:highlight w:val="none"/>
          <w:lang w:val="zh-CN"/>
        </w:rPr>
      </w:pPr>
      <w:bookmarkStart w:id="50" w:name="_Toc29102"/>
      <w:bookmarkStart w:id="51" w:name="_Toc13639"/>
      <w:r>
        <w:rPr>
          <w:rFonts w:hint="eastAsia" w:ascii="宋体" w:hAnsi="宋体" w:eastAsia="宋体" w:cs="宋体"/>
          <w:b/>
          <w:bCs/>
          <w:color w:val="auto"/>
          <w:sz w:val="28"/>
          <w:szCs w:val="28"/>
          <w:highlight w:val="none"/>
          <w:lang w:val="zh-CN"/>
        </w:rPr>
        <w:t>商务技术文件</w:t>
      </w:r>
      <w:bookmarkEnd w:id="50"/>
      <w:bookmarkEnd w:id="51"/>
    </w:p>
    <w:p w14:paraId="5B694061">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8"/>
          <w:szCs w:val="28"/>
          <w:highlight w:val="none"/>
          <w:lang w:val="en-US" w:eastAsia="zh-CN"/>
        </w:rPr>
      </w:pPr>
    </w:p>
    <w:p w14:paraId="14DAFDD9">
      <w:pPr>
        <w:pageBreakBefore w:val="0"/>
        <w:kinsoku/>
        <w:wordWrap w:val="0"/>
        <w:topLinePunct w:val="0"/>
        <w:bidi w:val="0"/>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1、法定代表人授权书</w:t>
      </w:r>
    </w:p>
    <w:p w14:paraId="7FB463FA">
      <w:pPr>
        <w:pageBreakBefore w:val="0"/>
        <w:kinsoku/>
        <w:wordWrap w:val="0"/>
        <w:topLinePunct w:val="0"/>
        <w:bidi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温州市龙湾区教育技术服务中心、</w:t>
      </w:r>
      <w:r>
        <w:rPr>
          <w:rFonts w:hint="eastAsia" w:ascii="宋体" w:hAnsi="宋体" w:cs="宋体"/>
          <w:color w:val="auto"/>
          <w:sz w:val="22"/>
          <w:szCs w:val="22"/>
          <w:highlight w:val="none"/>
          <w:lang w:val="en-US" w:eastAsia="zh-CN"/>
        </w:rPr>
        <w:t>温州历程招标有限公司</w:t>
      </w:r>
      <w:r>
        <w:rPr>
          <w:rFonts w:hint="eastAsia" w:ascii="宋体" w:hAnsi="宋体" w:eastAsia="宋体" w:cs="宋体"/>
          <w:color w:val="auto"/>
          <w:sz w:val="22"/>
          <w:szCs w:val="22"/>
          <w:highlight w:val="none"/>
        </w:rPr>
        <w:t>：</w:t>
      </w:r>
    </w:p>
    <w:p w14:paraId="0812221B">
      <w:pPr>
        <w:pageBreakBefore w:val="0"/>
        <w:kinsoku/>
        <w:wordWrap w:val="0"/>
        <w:topLinePunct w:val="0"/>
        <w:bidi w:val="0"/>
        <w:spacing w:line="460" w:lineRule="exact"/>
        <w:rPr>
          <w:rFonts w:hint="eastAsia" w:ascii="宋体" w:hAnsi="宋体" w:eastAsia="宋体" w:cs="宋体"/>
          <w:color w:val="auto"/>
          <w:sz w:val="22"/>
          <w:szCs w:val="22"/>
          <w:highlight w:val="none"/>
          <w:u w:val="single"/>
        </w:rPr>
      </w:pPr>
    </w:p>
    <w:p w14:paraId="2F59A58D">
      <w:pPr>
        <w:pageBreakBefore w:val="0"/>
        <w:kinsoku/>
        <w:wordWrap w:val="0"/>
        <w:topLinePunct w:val="0"/>
        <w:bidi w:val="0"/>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（投标人全称）法定代表人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（全权代表姓名）为全权代表，参加贵处组织的（项目名称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）的招标活动，全权代表我方处理招标活动中的一切事宜。</w:t>
      </w:r>
    </w:p>
    <w:p w14:paraId="7C600055">
      <w:pPr>
        <w:pageBreakBefore w:val="0"/>
        <w:kinsoku/>
        <w:wordWrap w:val="0"/>
        <w:topLinePunct w:val="0"/>
        <w:bidi w:val="0"/>
        <w:spacing w:line="460" w:lineRule="exact"/>
        <w:ind w:firstLine="2955"/>
        <w:rPr>
          <w:rFonts w:hint="eastAsia" w:ascii="宋体" w:hAnsi="宋体" w:eastAsia="宋体" w:cs="宋体"/>
          <w:color w:val="auto"/>
          <w:sz w:val="22"/>
          <w:szCs w:val="22"/>
          <w:highlight w:val="none"/>
        </w:rPr>
      </w:pPr>
    </w:p>
    <w:p w14:paraId="034F7BC0">
      <w:pPr>
        <w:pageBreakBefore w:val="0"/>
        <w:kinsoku/>
        <w:wordWrap w:val="0"/>
        <w:topLinePunct w:val="0"/>
        <w:bidi w:val="0"/>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17C3DA5C">
      <w:pPr>
        <w:pageBreakBefore w:val="0"/>
        <w:kinsoku/>
        <w:wordWrap w:val="0"/>
        <w:topLinePunct w:val="0"/>
        <w:bidi w:val="0"/>
        <w:spacing w:line="460" w:lineRule="exact"/>
        <w:ind w:firstLine="4081" w:firstLineChars="18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(签字或盖章)：</w:t>
      </w:r>
    </w:p>
    <w:p w14:paraId="51FA2F97">
      <w:pPr>
        <w:pageBreakBefore w:val="0"/>
        <w:kinsoku/>
        <w:wordWrap w:val="0"/>
        <w:topLinePunct w:val="0"/>
        <w:bidi w:val="0"/>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投标人全称（公章）：</w:t>
      </w:r>
    </w:p>
    <w:p w14:paraId="62B020AD">
      <w:pPr>
        <w:pageBreakBefore w:val="0"/>
        <w:kinsoku/>
        <w:wordWrap w:val="0"/>
        <w:topLinePunct w:val="0"/>
        <w:bidi w:val="0"/>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w:t>
      </w:r>
    </w:p>
    <w:p w14:paraId="50124FB2">
      <w:pPr>
        <w:pageBreakBefore w:val="0"/>
        <w:kinsoku/>
        <w:wordWrap w:val="0"/>
        <w:topLinePunct w:val="0"/>
        <w:bidi w:val="0"/>
        <w:spacing w:line="380" w:lineRule="exact"/>
        <w:rPr>
          <w:rFonts w:hint="eastAsia" w:ascii="宋体" w:hAnsi="宋体" w:eastAsia="宋体" w:cs="宋体"/>
          <w:color w:val="auto"/>
          <w:sz w:val="22"/>
          <w:szCs w:val="22"/>
          <w:highlight w:val="none"/>
        </w:rPr>
      </w:pPr>
    </w:p>
    <w:p w14:paraId="120C1CAC">
      <w:pPr>
        <w:pageBreakBefore w:val="0"/>
        <w:kinsoku/>
        <w:wordWrap w:val="0"/>
        <w:topLinePunct w:val="0"/>
        <w:bidi w:val="0"/>
        <w:spacing w:line="380" w:lineRule="exact"/>
        <w:rPr>
          <w:rFonts w:hint="eastAsia" w:ascii="宋体" w:hAnsi="宋体" w:eastAsia="宋体" w:cs="宋体"/>
          <w:color w:val="auto"/>
          <w:sz w:val="22"/>
          <w:szCs w:val="22"/>
          <w:highlight w:val="none"/>
        </w:rPr>
      </w:pPr>
    </w:p>
    <w:p w14:paraId="581E39B5">
      <w:pPr>
        <w:pageBreakBefore w:val="0"/>
        <w:kinsoku/>
        <w:wordWrap w:val="0"/>
        <w:topLinePunct w:val="0"/>
        <w:bidi w:val="0"/>
        <w:spacing w:line="380" w:lineRule="exact"/>
        <w:rPr>
          <w:rFonts w:hint="eastAsia" w:ascii="宋体" w:hAnsi="宋体" w:eastAsia="宋体" w:cs="宋体"/>
          <w:color w:val="auto"/>
          <w:sz w:val="22"/>
          <w:szCs w:val="22"/>
          <w:highlight w:val="none"/>
        </w:rPr>
      </w:pPr>
    </w:p>
    <w:p w14:paraId="56709D9E">
      <w:pPr>
        <w:pageBreakBefore w:val="0"/>
        <w:kinsoku/>
        <w:wordWrap w:val="0"/>
        <w:topLinePunct w:val="0"/>
        <w:bidi w:val="0"/>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w:t>
      </w:r>
    </w:p>
    <w:p w14:paraId="36C3FA53">
      <w:pPr>
        <w:pageBreakBefore w:val="0"/>
        <w:kinsoku/>
        <w:wordWrap w:val="0"/>
        <w:topLinePunct w:val="0"/>
        <w:bidi w:val="0"/>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 xml:space="preserve">授权代表姓名：                               </w:t>
      </w:r>
    </w:p>
    <w:p w14:paraId="3EF98AD8">
      <w:pPr>
        <w:pageBreakBefore w:val="0"/>
        <w:kinsoku/>
        <w:wordWrap w:val="0"/>
        <w:topLinePunct w:val="0"/>
        <w:bidi w:val="0"/>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职务：</w:t>
      </w:r>
    </w:p>
    <w:p w14:paraId="0E899EBE">
      <w:pPr>
        <w:pageBreakBefore w:val="0"/>
        <w:kinsoku/>
        <w:wordWrap w:val="0"/>
        <w:topLinePunct w:val="0"/>
        <w:bidi w:val="0"/>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详细通讯地址：</w:t>
      </w:r>
    </w:p>
    <w:p w14:paraId="73028C52">
      <w:pPr>
        <w:pageBreakBefore w:val="0"/>
        <w:kinsoku/>
        <w:wordWrap w:val="0"/>
        <w:topLinePunct w:val="0"/>
        <w:bidi w:val="0"/>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电话：</w:t>
      </w:r>
    </w:p>
    <w:p w14:paraId="2CFAD01D">
      <w:pPr>
        <w:pageBreakBefore w:val="0"/>
        <w:kinsoku/>
        <w:wordWrap w:val="0"/>
        <w:topLinePunct w:val="0"/>
        <w:bidi w:val="0"/>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传真：</w:t>
      </w:r>
    </w:p>
    <w:p w14:paraId="3A8F97B9">
      <w:pPr>
        <w:pageBreakBefore w:val="0"/>
        <w:kinsoku/>
        <w:wordWrap w:val="0"/>
        <w:topLinePunct w:val="0"/>
        <w:bidi w:val="0"/>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邮政编码:</w:t>
      </w:r>
    </w:p>
    <w:p w14:paraId="2254F926">
      <w:pPr>
        <w:pageBreakBefore w:val="0"/>
        <w:kinsoku/>
        <w:wordWrap w:val="0"/>
        <w:topLinePunct w:val="0"/>
        <w:bidi w:val="0"/>
        <w:spacing w:line="380" w:lineRule="exact"/>
        <w:rPr>
          <w:rFonts w:hint="eastAsia" w:ascii="宋体" w:hAnsi="宋体" w:eastAsia="宋体" w:cs="宋体"/>
          <w:color w:val="auto"/>
          <w:sz w:val="22"/>
          <w:szCs w:val="22"/>
          <w:highlight w:val="none"/>
        </w:rPr>
      </w:pPr>
    </w:p>
    <w:p w14:paraId="5F8E53FE">
      <w:pPr>
        <w:pageBreakBefore w:val="0"/>
        <w:kinsoku/>
        <w:wordWrap w:val="0"/>
        <w:topLinePunct w:val="0"/>
        <w:bidi w:val="0"/>
        <w:spacing w:line="460" w:lineRule="exact"/>
        <w:jc w:val="center"/>
        <w:rPr>
          <w:rFonts w:hint="eastAsia" w:ascii="宋体" w:hAnsi="宋体" w:eastAsia="宋体" w:cs="宋体"/>
          <w:b/>
          <w:bCs/>
          <w:color w:val="auto"/>
          <w:sz w:val="28"/>
          <w:szCs w:val="28"/>
          <w:highlight w:val="none"/>
        </w:rPr>
      </w:pPr>
    </w:p>
    <w:p w14:paraId="66EE98E6">
      <w:pPr>
        <w:pageBreakBefore w:val="0"/>
        <w:kinsoku/>
        <w:wordWrap w:val="0"/>
        <w:topLinePunct w:val="0"/>
        <w:bidi w:val="0"/>
        <w:spacing w:line="460" w:lineRule="exact"/>
        <w:jc w:val="center"/>
        <w:rPr>
          <w:rFonts w:hint="eastAsia" w:ascii="宋体" w:hAnsi="宋体" w:eastAsia="宋体" w:cs="宋体"/>
          <w:b/>
          <w:bCs/>
          <w:color w:val="auto"/>
          <w:sz w:val="28"/>
          <w:szCs w:val="28"/>
          <w:highlight w:val="none"/>
        </w:rPr>
      </w:pPr>
    </w:p>
    <w:p w14:paraId="7310DD35">
      <w:pPr>
        <w:pageBreakBefore w:val="0"/>
        <w:kinsoku/>
        <w:wordWrap w:val="0"/>
        <w:topLinePunct w:val="0"/>
        <w:bidi w:val="0"/>
        <w:spacing w:line="460" w:lineRule="exact"/>
        <w:jc w:val="center"/>
        <w:rPr>
          <w:rFonts w:hint="eastAsia" w:ascii="宋体" w:hAnsi="宋体" w:eastAsia="宋体" w:cs="宋体"/>
          <w:b/>
          <w:bCs/>
          <w:color w:val="auto"/>
          <w:sz w:val="28"/>
          <w:szCs w:val="28"/>
          <w:highlight w:val="none"/>
        </w:rPr>
      </w:pPr>
    </w:p>
    <w:p w14:paraId="6720977A">
      <w:pPr>
        <w:pageBreakBefore w:val="0"/>
        <w:kinsoku/>
        <w:wordWrap w:val="0"/>
        <w:topLinePunct w:val="0"/>
        <w:bidi w:val="0"/>
        <w:spacing w:line="460" w:lineRule="exact"/>
        <w:jc w:val="center"/>
        <w:rPr>
          <w:rFonts w:hint="eastAsia" w:ascii="宋体" w:hAnsi="宋体" w:eastAsia="宋体" w:cs="宋体"/>
          <w:b/>
          <w:bCs/>
          <w:color w:val="auto"/>
          <w:sz w:val="28"/>
          <w:szCs w:val="28"/>
          <w:highlight w:val="none"/>
        </w:rPr>
      </w:pPr>
    </w:p>
    <w:p w14:paraId="2F4B1130">
      <w:pPr>
        <w:pageBreakBefore w:val="0"/>
        <w:kinsoku/>
        <w:wordWrap w:val="0"/>
        <w:topLinePunct w:val="0"/>
        <w:bidi w:val="0"/>
        <w:spacing w:line="460" w:lineRule="exact"/>
        <w:jc w:val="center"/>
        <w:rPr>
          <w:rFonts w:hint="eastAsia" w:ascii="宋体" w:hAnsi="宋体" w:eastAsia="宋体" w:cs="宋体"/>
          <w:b/>
          <w:bCs/>
          <w:color w:val="auto"/>
          <w:sz w:val="28"/>
          <w:szCs w:val="28"/>
          <w:highlight w:val="none"/>
        </w:rPr>
      </w:pPr>
    </w:p>
    <w:p w14:paraId="3F46C032">
      <w:pPr>
        <w:pageBreakBefore w:val="0"/>
        <w:kinsoku/>
        <w:wordWrap w:val="0"/>
        <w:topLinePunct w:val="0"/>
        <w:bidi w:val="0"/>
        <w:spacing w:line="460" w:lineRule="exact"/>
        <w:jc w:val="center"/>
        <w:rPr>
          <w:rFonts w:hint="eastAsia" w:ascii="宋体" w:hAnsi="宋体" w:eastAsia="宋体" w:cs="宋体"/>
          <w:b/>
          <w:bCs/>
          <w:color w:val="auto"/>
          <w:sz w:val="28"/>
          <w:szCs w:val="28"/>
          <w:highlight w:val="none"/>
        </w:rPr>
      </w:pPr>
    </w:p>
    <w:p w14:paraId="65BB9393">
      <w:pPr>
        <w:pageBreakBefore w:val="0"/>
        <w:kinsoku/>
        <w:wordWrap w:val="0"/>
        <w:topLinePunct w:val="0"/>
        <w:bidi w:val="0"/>
        <w:spacing w:line="460" w:lineRule="exact"/>
        <w:jc w:val="center"/>
        <w:rPr>
          <w:rFonts w:hint="eastAsia" w:ascii="宋体" w:hAnsi="宋体" w:eastAsia="宋体" w:cs="宋体"/>
          <w:b/>
          <w:bCs/>
          <w:color w:val="auto"/>
          <w:sz w:val="28"/>
          <w:szCs w:val="28"/>
          <w:highlight w:val="none"/>
        </w:rPr>
      </w:pPr>
    </w:p>
    <w:p w14:paraId="5ECC036C">
      <w:pPr>
        <w:pageBreakBefore w:val="0"/>
        <w:kinsoku/>
        <w:wordWrap w:val="0"/>
        <w:topLinePunct w:val="0"/>
        <w:bidi w:val="0"/>
        <w:spacing w:line="460" w:lineRule="exact"/>
        <w:jc w:val="center"/>
        <w:rPr>
          <w:rFonts w:hint="eastAsia" w:ascii="宋体" w:hAnsi="宋体" w:eastAsia="宋体" w:cs="宋体"/>
          <w:b/>
          <w:bCs/>
          <w:color w:val="auto"/>
          <w:sz w:val="28"/>
          <w:szCs w:val="28"/>
          <w:highlight w:val="none"/>
        </w:rPr>
      </w:pPr>
    </w:p>
    <w:p w14:paraId="04FCA6E8">
      <w:pPr>
        <w:pageBreakBefore w:val="0"/>
        <w:kinsoku/>
        <w:wordWrap w:val="0"/>
        <w:topLinePunct w:val="0"/>
        <w:bidi w:val="0"/>
        <w:spacing w:line="460" w:lineRule="exact"/>
        <w:jc w:val="center"/>
        <w:rPr>
          <w:rFonts w:hint="eastAsia" w:ascii="宋体" w:hAnsi="宋体" w:eastAsia="宋体" w:cs="宋体"/>
          <w:b/>
          <w:bCs/>
          <w:color w:val="auto"/>
          <w:sz w:val="28"/>
          <w:szCs w:val="28"/>
          <w:highlight w:val="none"/>
        </w:rPr>
      </w:pPr>
    </w:p>
    <w:p w14:paraId="7506C0AA">
      <w:pPr>
        <w:pageBreakBefore w:val="0"/>
        <w:kinsoku/>
        <w:wordWrap w:val="0"/>
        <w:topLinePunct w:val="0"/>
        <w:bidi w:val="0"/>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8AA9ED9">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fill on="t" focussize="0,0"/>
                <v:stroke color="#000000" joinstyle="miter"/>
                <v:imagedata o:title=""/>
                <o:lock v:ext="edit" aspectratio="f"/>
                <v:textbox>
                  <w:txbxContent>
                    <w:p w14:paraId="08AA9ED9">
                      <w:r>
                        <w:rPr>
                          <w:rFonts w:hint="eastAsia" w:ascii="新宋体" w:hAnsi="新宋体" w:eastAsia="新宋体"/>
                          <w:sz w:val="22"/>
                          <w:szCs w:val="22"/>
                        </w:rPr>
                        <w:t xml:space="preserve">  法定代表人身份证（正反面）：</w:t>
                      </w:r>
                    </w:p>
                  </w:txbxContent>
                </v:textbox>
              </v:shape>
            </w:pict>
          </mc:Fallback>
        </mc:AlternateContent>
      </w:r>
    </w:p>
    <w:p w14:paraId="737FD971">
      <w:pPr>
        <w:pageBreakBefore w:val="0"/>
        <w:kinsoku/>
        <w:wordWrap w:val="0"/>
        <w:topLinePunct w:val="0"/>
        <w:bidi w:val="0"/>
        <w:spacing w:line="460" w:lineRule="exact"/>
        <w:jc w:val="center"/>
        <w:rPr>
          <w:rFonts w:hint="eastAsia" w:ascii="宋体" w:hAnsi="宋体" w:eastAsia="宋体" w:cs="宋体"/>
          <w:b/>
          <w:bCs/>
          <w:color w:val="auto"/>
          <w:sz w:val="28"/>
          <w:szCs w:val="28"/>
          <w:highlight w:val="none"/>
        </w:rPr>
      </w:pPr>
    </w:p>
    <w:p w14:paraId="5D2CD0A5">
      <w:pPr>
        <w:pageBreakBefore w:val="0"/>
        <w:kinsoku/>
        <w:wordWrap w:val="0"/>
        <w:topLinePunct w:val="0"/>
        <w:bidi w:val="0"/>
        <w:spacing w:line="460" w:lineRule="exact"/>
        <w:jc w:val="center"/>
        <w:rPr>
          <w:rFonts w:hint="eastAsia" w:ascii="宋体" w:hAnsi="宋体" w:eastAsia="宋体" w:cs="宋体"/>
          <w:b/>
          <w:bCs/>
          <w:color w:val="auto"/>
          <w:sz w:val="28"/>
          <w:szCs w:val="28"/>
          <w:highlight w:val="none"/>
        </w:rPr>
      </w:pPr>
    </w:p>
    <w:p w14:paraId="63690BAE">
      <w:pPr>
        <w:pageBreakBefore w:val="0"/>
        <w:kinsoku/>
        <w:wordWrap w:val="0"/>
        <w:topLinePunct w:val="0"/>
        <w:bidi w:val="0"/>
        <w:spacing w:line="460" w:lineRule="exact"/>
        <w:jc w:val="center"/>
        <w:rPr>
          <w:rFonts w:hint="eastAsia" w:ascii="宋体" w:hAnsi="宋体" w:eastAsia="宋体" w:cs="宋体"/>
          <w:b/>
          <w:bCs/>
          <w:color w:val="auto"/>
          <w:sz w:val="28"/>
          <w:szCs w:val="28"/>
          <w:highlight w:val="none"/>
        </w:rPr>
      </w:pPr>
    </w:p>
    <w:p w14:paraId="04DC918A">
      <w:pPr>
        <w:pageBreakBefore w:val="0"/>
        <w:kinsoku/>
        <w:wordWrap w:val="0"/>
        <w:topLinePunct w:val="0"/>
        <w:bidi w:val="0"/>
        <w:spacing w:line="460" w:lineRule="exact"/>
        <w:jc w:val="center"/>
        <w:rPr>
          <w:rFonts w:hint="eastAsia" w:ascii="宋体" w:hAnsi="宋体" w:eastAsia="宋体" w:cs="宋体"/>
          <w:b/>
          <w:bCs/>
          <w:color w:val="auto"/>
          <w:sz w:val="28"/>
          <w:szCs w:val="28"/>
          <w:highlight w:val="none"/>
        </w:rPr>
      </w:pPr>
    </w:p>
    <w:p w14:paraId="05F9DAA4">
      <w:pPr>
        <w:pageBreakBefore w:val="0"/>
        <w:kinsoku/>
        <w:wordWrap w:val="0"/>
        <w:topLinePunct w:val="0"/>
        <w:bidi w:val="0"/>
        <w:spacing w:line="460" w:lineRule="exact"/>
        <w:jc w:val="center"/>
        <w:rPr>
          <w:rFonts w:hint="eastAsia" w:ascii="宋体" w:hAnsi="宋体" w:eastAsia="宋体" w:cs="宋体"/>
          <w:b/>
          <w:bCs/>
          <w:color w:val="auto"/>
          <w:sz w:val="28"/>
          <w:szCs w:val="28"/>
          <w:highlight w:val="none"/>
        </w:rPr>
      </w:pPr>
    </w:p>
    <w:p w14:paraId="6F9BA812">
      <w:pPr>
        <w:pageBreakBefore w:val="0"/>
        <w:kinsoku/>
        <w:wordWrap w:val="0"/>
        <w:topLinePunct w:val="0"/>
        <w:bidi w:val="0"/>
        <w:spacing w:line="460" w:lineRule="exact"/>
        <w:jc w:val="center"/>
        <w:rPr>
          <w:rFonts w:hint="eastAsia" w:ascii="宋体" w:hAnsi="宋体" w:eastAsia="宋体" w:cs="宋体"/>
          <w:b/>
          <w:bCs/>
          <w:color w:val="auto"/>
          <w:sz w:val="28"/>
          <w:szCs w:val="28"/>
          <w:highlight w:val="none"/>
        </w:rPr>
      </w:pPr>
    </w:p>
    <w:p w14:paraId="6E118B7B">
      <w:pPr>
        <w:pageBreakBefore w:val="0"/>
        <w:kinsoku/>
        <w:wordWrap w:val="0"/>
        <w:topLinePunct w:val="0"/>
        <w:bidi w:val="0"/>
        <w:spacing w:line="460" w:lineRule="exact"/>
        <w:jc w:val="center"/>
        <w:rPr>
          <w:rFonts w:hint="eastAsia" w:ascii="宋体" w:hAnsi="宋体" w:eastAsia="宋体" w:cs="宋体"/>
          <w:b/>
          <w:bCs/>
          <w:color w:val="auto"/>
          <w:sz w:val="28"/>
          <w:szCs w:val="28"/>
          <w:highlight w:val="none"/>
        </w:rPr>
      </w:pPr>
    </w:p>
    <w:p w14:paraId="640BE3E1">
      <w:pPr>
        <w:pageBreakBefore w:val="0"/>
        <w:kinsoku/>
        <w:wordWrap w:val="0"/>
        <w:topLinePunct w:val="0"/>
        <w:bidi w:val="0"/>
        <w:spacing w:line="460" w:lineRule="exact"/>
        <w:jc w:val="center"/>
        <w:rPr>
          <w:rFonts w:hint="eastAsia" w:ascii="宋体" w:hAnsi="宋体" w:eastAsia="宋体" w:cs="宋体"/>
          <w:b/>
          <w:bCs/>
          <w:color w:val="auto"/>
          <w:sz w:val="28"/>
          <w:szCs w:val="28"/>
          <w:highlight w:val="none"/>
        </w:rPr>
      </w:pPr>
    </w:p>
    <w:p w14:paraId="0A8EB81E">
      <w:pPr>
        <w:pageBreakBefore w:val="0"/>
        <w:kinsoku/>
        <w:wordWrap w:val="0"/>
        <w:topLinePunct w:val="0"/>
        <w:bidi w:val="0"/>
        <w:spacing w:line="460" w:lineRule="exact"/>
        <w:jc w:val="center"/>
        <w:rPr>
          <w:rFonts w:hint="eastAsia" w:ascii="宋体" w:hAnsi="宋体" w:eastAsia="宋体" w:cs="宋体"/>
          <w:b/>
          <w:bCs/>
          <w:color w:val="auto"/>
          <w:sz w:val="28"/>
          <w:szCs w:val="28"/>
          <w:highlight w:val="none"/>
        </w:rPr>
      </w:pPr>
    </w:p>
    <w:p w14:paraId="791B2B08">
      <w:pPr>
        <w:pageBreakBefore w:val="0"/>
        <w:kinsoku/>
        <w:wordWrap w:val="0"/>
        <w:topLinePunct w:val="0"/>
        <w:bidi w:val="0"/>
        <w:spacing w:line="460" w:lineRule="exact"/>
        <w:jc w:val="center"/>
        <w:rPr>
          <w:rFonts w:hint="eastAsia" w:ascii="宋体" w:hAnsi="宋体" w:eastAsia="宋体" w:cs="宋体"/>
          <w:b/>
          <w:bCs/>
          <w:color w:val="auto"/>
          <w:sz w:val="28"/>
          <w:szCs w:val="28"/>
          <w:highlight w:val="none"/>
        </w:rPr>
      </w:pPr>
    </w:p>
    <w:p w14:paraId="11EDC70D">
      <w:pPr>
        <w:pageBreakBefore w:val="0"/>
        <w:kinsoku/>
        <w:wordWrap w:val="0"/>
        <w:topLinePunct w:val="0"/>
        <w:bidi w:val="0"/>
        <w:spacing w:line="460" w:lineRule="exact"/>
        <w:jc w:val="center"/>
        <w:rPr>
          <w:rFonts w:hint="eastAsia" w:ascii="宋体" w:hAnsi="宋体" w:eastAsia="宋体" w:cs="宋体"/>
          <w:b/>
          <w:bCs/>
          <w:color w:val="auto"/>
          <w:sz w:val="28"/>
          <w:szCs w:val="28"/>
          <w:highlight w:val="none"/>
        </w:rPr>
      </w:pPr>
    </w:p>
    <w:p w14:paraId="7D83D3C1">
      <w:pPr>
        <w:pageBreakBefore w:val="0"/>
        <w:kinsoku/>
        <w:wordWrap w:val="0"/>
        <w:topLinePunct w:val="0"/>
        <w:bidi w:val="0"/>
        <w:spacing w:line="460" w:lineRule="exact"/>
        <w:jc w:val="center"/>
        <w:rPr>
          <w:rFonts w:hint="eastAsia" w:ascii="宋体" w:hAnsi="宋体" w:eastAsia="宋体" w:cs="宋体"/>
          <w:b/>
          <w:bCs/>
          <w:color w:val="auto"/>
          <w:sz w:val="28"/>
          <w:szCs w:val="28"/>
          <w:highlight w:val="none"/>
        </w:rPr>
      </w:pPr>
    </w:p>
    <w:p w14:paraId="17C8B90A">
      <w:pPr>
        <w:pageBreakBefore w:val="0"/>
        <w:kinsoku/>
        <w:wordWrap w:val="0"/>
        <w:topLinePunct w:val="0"/>
        <w:bidi w:val="0"/>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194E6E6">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60288;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fill on="t" focussize="0,0"/>
                <v:stroke color="#000000" joinstyle="miter"/>
                <v:imagedata o:title=""/>
                <o:lock v:ext="edit" aspectratio="f"/>
                <v:textbox>
                  <w:txbxContent>
                    <w:p w14:paraId="1194E6E6">
                      <w:r>
                        <w:rPr>
                          <w:rFonts w:hint="eastAsia" w:ascii="新宋体" w:hAnsi="新宋体" w:eastAsia="新宋体"/>
                          <w:sz w:val="22"/>
                          <w:szCs w:val="22"/>
                        </w:rPr>
                        <w:t xml:space="preserve">  授权代表身份证（正反面）：</w:t>
                      </w:r>
                    </w:p>
                  </w:txbxContent>
                </v:textbox>
              </v:shape>
            </w:pict>
          </mc:Fallback>
        </mc:AlternateContent>
      </w:r>
    </w:p>
    <w:p w14:paraId="0CADA2B3">
      <w:pPr>
        <w:pageBreakBefore w:val="0"/>
        <w:kinsoku/>
        <w:wordWrap w:val="0"/>
        <w:topLinePunct w:val="0"/>
        <w:bidi w:val="0"/>
        <w:spacing w:line="460" w:lineRule="exact"/>
        <w:jc w:val="center"/>
        <w:rPr>
          <w:rFonts w:hint="eastAsia" w:ascii="宋体" w:hAnsi="宋体" w:eastAsia="宋体" w:cs="宋体"/>
          <w:b/>
          <w:bCs/>
          <w:color w:val="auto"/>
          <w:sz w:val="28"/>
          <w:szCs w:val="28"/>
          <w:highlight w:val="none"/>
        </w:rPr>
      </w:pPr>
    </w:p>
    <w:p w14:paraId="63823A2A">
      <w:pPr>
        <w:pageBreakBefore w:val="0"/>
        <w:kinsoku/>
        <w:wordWrap w:val="0"/>
        <w:topLinePunct w:val="0"/>
        <w:bidi w:val="0"/>
        <w:spacing w:line="460" w:lineRule="exact"/>
        <w:jc w:val="center"/>
        <w:rPr>
          <w:rFonts w:hint="eastAsia" w:ascii="宋体" w:hAnsi="宋体" w:eastAsia="宋体" w:cs="宋体"/>
          <w:b/>
          <w:bCs/>
          <w:color w:val="auto"/>
          <w:sz w:val="28"/>
          <w:szCs w:val="28"/>
          <w:highlight w:val="none"/>
        </w:rPr>
      </w:pPr>
    </w:p>
    <w:p w14:paraId="2109F076">
      <w:pPr>
        <w:pageBreakBefore w:val="0"/>
        <w:kinsoku/>
        <w:wordWrap w:val="0"/>
        <w:topLinePunct w:val="0"/>
        <w:bidi w:val="0"/>
        <w:spacing w:line="460" w:lineRule="exact"/>
        <w:jc w:val="center"/>
        <w:rPr>
          <w:rFonts w:hint="eastAsia" w:ascii="宋体" w:hAnsi="宋体" w:eastAsia="宋体" w:cs="宋体"/>
          <w:b/>
          <w:bCs/>
          <w:color w:val="auto"/>
          <w:sz w:val="28"/>
          <w:szCs w:val="28"/>
          <w:highlight w:val="none"/>
        </w:rPr>
      </w:pPr>
    </w:p>
    <w:p w14:paraId="5A5E4D7E">
      <w:pPr>
        <w:pageBreakBefore w:val="0"/>
        <w:kinsoku/>
        <w:wordWrap w:val="0"/>
        <w:topLinePunct w:val="0"/>
        <w:bidi w:val="0"/>
        <w:spacing w:line="460" w:lineRule="exact"/>
        <w:jc w:val="center"/>
        <w:rPr>
          <w:rFonts w:hint="eastAsia" w:ascii="宋体" w:hAnsi="宋体" w:eastAsia="宋体" w:cs="宋体"/>
          <w:b/>
          <w:bCs/>
          <w:color w:val="auto"/>
          <w:sz w:val="28"/>
          <w:szCs w:val="28"/>
          <w:highlight w:val="none"/>
        </w:rPr>
      </w:pPr>
    </w:p>
    <w:p w14:paraId="272F0922">
      <w:pPr>
        <w:pageBreakBefore w:val="0"/>
        <w:kinsoku/>
        <w:wordWrap w:val="0"/>
        <w:topLinePunct w:val="0"/>
        <w:bidi w:val="0"/>
        <w:spacing w:line="460" w:lineRule="exact"/>
        <w:jc w:val="center"/>
        <w:rPr>
          <w:rFonts w:hint="eastAsia" w:ascii="宋体" w:hAnsi="宋体" w:eastAsia="宋体" w:cs="宋体"/>
          <w:b/>
          <w:bCs/>
          <w:color w:val="auto"/>
          <w:sz w:val="28"/>
          <w:szCs w:val="28"/>
          <w:highlight w:val="none"/>
        </w:rPr>
      </w:pPr>
    </w:p>
    <w:p w14:paraId="04847C87">
      <w:pPr>
        <w:pageBreakBefore w:val="0"/>
        <w:kinsoku/>
        <w:wordWrap w:val="0"/>
        <w:topLinePunct w:val="0"/>
        <w:bidi w:val="0"/>
        <w:spacing w:line="460" w:lineRule="exact"/>
        <w:jc w:val="center"/>
        <w:rPr>
          <w:rFonts w:hint="eastAsia" w:ascii="宋体" w:hAnsi="宋体" w:eastAsia="宋体" w:cs="宋体"/>
          <w:b/>
          <w:bCs/>
          <w:color w:val="auto"/>
          <w:sz w:val="28"/>
          <w:szCs w:val="28"/>
          <w:highlight w:val="none"/>
        </w:rPr>
      </w:pPr>
    </w:p>
    <w:p w14:paraId="0B345269">
      <w:pPr>
        <w:pageBreakBefore w:val="0"/>
        <w:kinsoku/>
        <w:wordWrap w:val="0"/>
        <w:topLinePunct w:val="0"/>
        <w:bidi w:val="0"/>
        <w:spacing w:line="460" w:lineRule="exact"/>
        <w:jc w:val="center"/>
        <w:rPr>
          <w:rFonts w:hint="eastAsia" w:ascii="宋体" w:hAnsi="宋体" w:eastAsia="宋体" w:cs="宋体"/>
          <w:b/>
          <w:bCs/>
          <w:color w:val="auto"/>
          <w:sz w:val="28"/>
          <w:szCs w:val="28"/>
          <w:highlight w:val="none"/>
        </w:rPr>
      </w:pPr>
    </w:p>
    <w:p w14:paraId="2F8784BC">
      <w:pPr>
        <w:pageBreakBefore w:val="0"/>
        <w:kinsoku/>
        <w:wordWrap w:val="0"/>
        <w:topLinePunct w:val="0"/>
        <w:bidi w:val="0"/>
        <w:spacing w:line="460" w:lineRule="exact"/>
        <w:jc w:val="center"/>
        <w:rPr>
          <w:rFonts w:hint="eastAsia" w:ascii="宋体" w:hAnsi="宋体" w:eastAsia="宋体" w:cs="宋体"/>
          <w:b/>
          <w:bCs/>
          <w:color w:val="auto"/>
          <w:sz w:val="28"/>
          <w:szCs w:val="28"/>
          <w:highlight w:val="none"/>
        </w:rPr>
      </w:pPr>
    </w:p>
    <w:p w14:paraId="23C0EF7B">
      <w:pPr>
        <w:pageBreakBefore w:val="0"/>
        <w:kinsoku/>
        <w:wordWrap w:val="0"/>
        <w:topLinePunct w:val="0"/>
        <w:bidi w:val="0"/>
        <w:spacing w:line="460" w:lineRule="exact"/>
        <w:jc w:val="center"/>
        <w:rPr>
          <w:rFonts w:hint="eastAsia" w:ascii="宋体" w:hAnsi="宋体" w:eastAsia="宋体" w:cs="宋体"/>
          <w:b/>
          <w:bCs/>
          <w:color w:val="auto"/>
          <w:sz w:val="28"/>
          <w:szCs w:val="28"/>
          <w:highlight w:val="none"/>
        </w:rPr>
      </w:pPr>
    </w:p>
    <w:p w14:paraId="62AA935C">
      <w:pPr>
        <w:pageBreakBefore w:val="0"/>
        <w:kinsoku/>
        <w:wordWrap w:val="0"/>
        <w:topLinePunct w:val="0"/>
        <w:bidi w:val="0"/>
        <w:spacing w:line="460" w:lineRule="exact"/>
        <w:jc w:val="center"/>
        <w:rPr>
          <w:rFonts w:hint="eastAsia" w:ascii="宋体" w:hAnsi="宋体" w:eastAsia="宋体" w:cs="宋体"/>
          <w:b/>
          <w:bCs/>
          <w:color w:val="auto"/>
          <w:sz w:val="28"/>
          <w:szCs w:val="28"/>
          <w:highlight w:val="none"/>
        </w:rPr>
      </w:pPr>
    </w:p>
    <w:p w14:paraId="0C4A12DD">
      <w:pPr>
        <w:pageBreakBefore w:val="0"/>
        <w:kinsoku/>
        <w:wordWrap w:val="0"/>
        <w:topLinePunct w:val="0"/>
        <w:bidi w:val="0"/>
        <w:spacing w:line="460" w:lineRule="exact"/>
        <w:jc w:val="center"/>
        <w:rPr>
          <w:rFonts w:hint="eastAsia" w:ascii="宋体" w:hAnsi="宋体" w:eastAsia="宋体" w:cs="宋体"/>
          <w:b/>
          <w:bCs/>
          <w:color w:val="auto"/>
          <w:sz w:val="28"/>
          <w:szCs w:val="28"/>
          <w:highlight w:val="none"/>
        </w:rPr>
      </w:pPr>
    </w:p>
    <w:p w14:paraId="1C4E7965">
      <w:pPr>
        <w:pageBreakBefore w:val="0"/>
        <w:kinsoku/>
        <w:wordWrap w:val="0"/>
        <w:topLinePunct w:val="0"/>
        <w:bidi w:val="0"/>
        <w:spacing w:line="460" w:lineRule="exact"/>
        <w:jc w:val="center"/>
        <w:rPr>
          <w:rFonts w:hint="eastAsia" w:ascii="宋体" w:hAnsi="宋体" w:eastAsia="宋体" w:cs="宋体"/>
          <w:b/>
          <w:bCs/>
          <w:color w:val="auto"/>
          <w:sz w:val="28"/>
          <w:szCs w:val="28"/>
          <w:highlight w:val="none"/>
        </w:rPr>
      </w:pPr>
    </w:p>
    <w:p w14:paraId="5E09789F">
      <w:pPr>
        <w:pageBreakBefore w:val="0"/>
        <w:kinsoku/>
        <w:wordWrap w:val="0"/>
        <w:topLinePunct w:val="0"/>
        <w:bidi w:val="0"/>
        <w:spacing w:line="460" w:lineRule="exact"/>
        <w:jc w:val="center"/>
        <w:rPr>
          <w:rFonts w:hint="eastAsia" w:ascii="宋体" w:hAnsi="宋体" w:eastAsia="宋体" w:cs="宋体"/>
          <w:b/>
          <w:bCs/>
          <w:color w:val="auto"/>
          <w:sz w:val="28"/>
          <w:szCs w:val="28"/>
          <w:highlight w:val="none"/>
        </w:rPr>
      </w:pPr>
    </w:p>
    <w:p w14:paraId="48BF38CC">
      <w:pPr>
        <w:pageBreakBefore w:val="0"/>
        <w:kinsoku/>
        <w:wordWrap w:val="0"/>
        <w:topLinePunct w:val="0"/>
        <w:bidi w:val="0"/>
        <w:spacing w:line="460" w:lineRule="exact"/>
        <w:jc w:val="center"/>
        <w:rPr>
          <w:rFonts w:hint="eastAsia" w:ascii="宋体" w:hAnsi="宋体" w:eastAsia="宋体" w:cs="宋体"/>
          <w:b/>
          <w:bCs/>
          <w:color w:val="auto"/>
          <w:sz w:val="28"/>
          <w:szCs w:val="28"/>
          <w:highlight w:val="none"/>
        </w:rPr>
      </w:pPr>
    </w:p>
    <w:p w14:paraId="1D945730">
      <w:pPr>
        <w:pageBreakBefore w:val="0"/>
        <w:kinsoku/>
        <w:wordWrap w:val="0"/>
        <w:topLinePunct w:val="0"/>
        <w:bidi w:val="0"/>
        <w:spacing w:line="460" w:lineRule="exact"/>
        <w:jc w:val="center"/>
        <w:rPr>
          <w:rFonts w:hint="eastAsia" w:ascii="宋体" w:hAnsi="宋体" w:eastAsia="宋体" w:cs="宋体"/>
          <w:b/>
          <w:bCs/>
          <w:color w:val="auto"/>
          <w:sz w:val="28"/>
          <w:szCs w:val="28"/>
          <w:highlight w:val="none"/>
        </w:rPr>
      </w:pPr>
    </w:p>
    <w:p w14:paraId="15751028">
      <w:pPr>
        <w:pageBreakBefore w:val="0"/>
        <w:kinsoku/>
        <w:wordWrap w:val="0"/>
        <w:topLinePunct w:val="0"/>
        <w:bidi w:val="0"/>
        <w:spacing w:line="460" w:lineRule="exact"/>
        <w:jc w:val="center"/>
        <w:outlineLvl w:val="3"/>
        <w:rPr>
          <w:rFonts w:hint="eastAsia" w:ascii="宋体" w:hAnsi="宋体" w:eastAsia="宋体" w:cs="宋体"/>
          <w:b/>
          <w:bCs/>
          <w:color w:val="auto"/>
          <w:sz w:val="22"/>
          <w:szCs w:val="22"/>
          <w:highlight w:val="none"/>
        </w:rPr>
        <w:sectPr>
          <w:headerReference r:id="rId3" w:type="default"/>
          <w:footerReference r:id="rId4" w:type="default"/>
          <w:pgSz w:w="11906" w:h="16838"/>
          <w:pgMar w:top="1134" w:right="1134" w:bottom="1134" w:left="1134" w:header="850" w:footer="992" w:gutter="0"/>
          <w:cols w:space="720" w:num="1"/>
          <w:titlePg/>
          <w:docGrid w:type="lines" w:linePitch="312" w:charSpace="0"/>
        </w:sectPr>
      </w:pPr>
    </w:p>
    <w:p w14:paraId="0BEF9FC3">
      <w:pPr>
        <w:pageBreakBefore w:val="0"/>
        <w:kinsoku/>
        <w:wordWrap w:val="0"/>
        <w:topLinePunct w:val="0"/>
        <w:bidi w:val="0"/>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2、投标人情况表</w:t>
      </w:r>
    </w:p>
    <w:p w14:paraId="05570403">
      <w:pPr>
        <w:pageBreakBefore w:val="0"/>
        <w:tabs>
          <w:tab w:val="left" w:pos="780"/>
        </w:tabs>
        <w:kinsoku/>
        <w:wordWrap w:val="0"/>
        <w:topLinePunct w:val="0"/>
        <w:bidi w:val="0"/>
        <w:spacing w:line="4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14:paraId="6188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2A6FF4EB">
            <w:pPr>
              <w:pageBreakBefore w:val="0"/>
              <w:kinsoku/>
              <w:wordWrap w:val="0"/>
              <w:topLinePunct w:val="0"/>
              <w:bidi w:val="0"/>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单位名称（盖章）</w:t>
            </w:r>
          </w:p>
        </w:tc>
        <w:tc>
          <w:tcPr>
            <w:tcW w:w="2804" w:type="dxa"/>
            <w:gridSpan w:val="2"/>
          </w:tcPr>
          <w:p w14:paraId="722D6F2F">
            <w:pPr>
              <w:pageBreakBefore w:val="0"/>
              <w:kinsoku/>
              <w:wordWrap w:val="0"/>
              <w:topLinePunct w:val="0"/>
              <w:bidi w:val="0"/>
              <w:spacing w:line="480" w:lineRule="exact"/>
              <w:rPr>
                <w:rFonts w:hint="eastAsia" w:ascii="宋体" w:hAnsi="宋体" w:eastAsia="宋体" w:cs="宋体"/>
                <w:color w:val="auto"/>
                <w:sz w:val="22"/>
                <w:szCs w:val="22"/>
                <w:highlight w:val="none"/>
              </w:rPr>
            </w:pPr>
          </w:p>
        </w:tc>
        <w:tc>
          <w:tcPr>
            <w:tcW w:w="1115" w:type="dxa"/>
            <w:gridSpan w:val="2"/>
          </w:tcPr>
          <w:p w14:paraId="4D14DE18">
            <w:pPr>
              <w:pageBreakBefore w:val="0"/>
              <w:kinsoku/>
              <w:wordWrap w:val="0"/>
              <w:topLinePunct w:val="0"/>
              <w:bidi w:val="0"/>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w:t>
            </w:r>
          </w:p>
        </w:tc>
        <w:tc>
          <w:tcPr>
            <w:tcW w:w="2588" w:type="dxa"/>
            <w:gridSpan w:val="2"/>
          </w:tcPr>
          <w:p w14:paraId="1328AFCB">
            <w:pPr>
              <w:pageBreakBefore w:val="0"/>
              <w:kinsoku/>
              <w:wordWrap w:val="0"/>
              <w:topLinePunct w:val="0"/>
              <w:bidi w:val="0"/>
              <w:spacing w:line="480" w:lineRule="exact"/>
              <w:rPr>
                <w:rFonts w:hint="eastAsia" w:ascii="宋体" w:hAnsi="宋体" w:eastAsia="宋体" w:cs="宋体"/>
                <w:color w:val="auto"/>
                <w:sz w:val="22"/>
                <w:szCs w:val="22"/>
                <w:highlight w:val="none"/>
              </w:rPr>
            </w:pPr>
          </w:p>
        </w:tc>
        <w:tc>
          <w:tcPr>
            <w:tcW w:w="1488" w:type="dxa"/>
          </w:tcPr>
          <w:p w14:paraId="24F9588E">
            <w:pPr>
              <w:pageBreakBefore w:val="0"/>
              <w:kinsoku/>
              <w:wordWrap w:val="0"/>
              <w:topLinePunct w:val="0"/>
              <w:bidi w:val="0"/>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主管部门</w:t>
            </w:r>
          </w:p>
        </w:tc>
        <w:tc>
          <w:tcPr>
            <w:tcW w:w="1502" w:type="dxa"/>
          </w:tcPr>
          <w:p w14:paraId="45F544CA">
            <w:pPr>
              <w:pageBreakBefore w:val="0"/>
              <w:kinsoku/>
              <w:wordWrap w:val="0"/>
              <w:topLinePunct w:val="0"/>
              <w:bidi w:val="0"/>
              <w:spacing w:line="480" w:lineRule="exact"/>
              <w:rPr>
                <w:rFonts w:hint="eastAsia" w:ascii="宋体" w:hAnsi="宋体" w:eastAsia="宋体" w:cs="宋体"/>
                <w:color w:val="auto"/>
                <w:sz w:val="22"/>
                <w:szCs w:val="22"/>
                <w:highlight w:val="none"/>
              </w:rPr>
            </w:pPr>
          </w:p>
        </w:tc>
        <w:tc>
          <w:tcPr>
            <w:tcW w:w="1488" w:type="dxa"/>
          </w:tcPr>
          <w:p w14:paraId="42604795">
            <w:pPr>
              <w:pageBreakBefore w:val="0"/>
              <w:kinsoku/>
              <w:wordWrap w:val="0"/>
              <w:topLinePunct w:val="0"/>
              <w:bidi w:val="0"/>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企业负责人</w:t>
            </w:r>
          </w:p>
        </w:tc>
        <w:tc>
          <w:tcPr>
            <w:tcW w:w="1115" w:type="dxa"/>
          </w:tcPr>
          <w:p w14:paraId="3BE780C8">
            <w:pPr>
              <w:pageBreakBefore w:val="0"/>
              <w:kinsoku/>
              <w:wordWrap w:val="0"/>
              <w:topLinePunct w:val="0"/>
              <w:bidi w:val="0"/>
              <w:spacing w:line="480" w:lineRule="exact"/>
              <w:rPr>
                <w:rFonts w:hint="eastAsia" w:ascii="宋体" w:hAnsi="宋体" w:eastAsia="宋体" w:cs="宋体"/>
                <w:color w:val="auto"/>
                <w:sz w:val="22"/>
                <w:szCs w:val="22"/>
                <w:highlight w:val="none"/>
              </w:rPr>
            </w:pPr>
          </w:p>
        </w:tc>
        <w:tc>
          <w:tcPr>
            <w:tcW w:w="1461" w:type="dxa"/>
            <w:gridSpan w:val="2"/>
          </w:tcPr>
          <w:p w14:paraId="7B92604A">
            <w:pPr>
              <w:pageBreakBefore w:val="0"/>
              <w:kinsoku/>
              <w:wordWrap w:val="0"/>
              <w:topLinePunct w:val="0"/>
              <w:bidi w:val="0"/>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14:paraId="1EE95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04A3E7F2">
            <w:pPr>
              <w:pageBreakBefore w:val="0"/>
              <w:kinsoku/>
              <w:wordWrap w:val="0"/>
              <w:topLinePunct w:val="0"/>
              <w:bidi w:val="0"/>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p>
        </w:tc>
        <w:tc>
          <w:tcPr>
            <w:tcW w:w="2804" w:type="dxa"/>
            <w:gridSpan w:val="2"/>
          </w:tcPr>
          <w:p w14:paraId="45F9F5C0">
            <w:pPr>
              <w:pageBreakBefore w:val="0"/>
              <w:kinsoku/>
              <w:wordWrap w:val="0"/>
              <w:topLinePunct w:val="0"/>
              <w:bidi w:val="0"/>
              <w:spacing w:line="480" w:lineRule="exact"/>
              <w:rPr>
                <w:rFonts w:hint="eastAsia" w:ascii="宋体" w:hAnsi="宋体" w:eastAsia="宋体" w:cs="宋体"/>
                <w:color w:val="auto"/>
                <w:sz w:val="22"/>
                <w:szCs w:val="22"/>
                <w:highlight w:val="none"/>
              </w:rPr>
            </w:pPr>
          </w:p>
        </w:tc>
        <w:tc>
          <w:tcPr>
            <w:tcW w:w="1115" w:type="dxa"/>
            <w:gridSpan w:val="2"/>
          </w:tcPr>
          <w:p w14:paraId="4273F597">
            <w:pPr>
              <w:pageBreakBefore w:val="0"/>
              <w:kinsoku/>
              <w:wordWrap w:val="0"/>
              <w:topLinePunct w:val="0"/>
              <w:bidi w:val="0"/>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p>
        </w:tc>
        <w:tc>
          <w:tcPr>
            <w:tcW w:w="2588" w:type="dxa"/>
            <w:gridSpan w:val="2"/>
          </w:tcPr>
          <w:p w14:paraId="597F12BB">
            <w:pPr>
              <w:pageBreakBefore w:val="0"/>
              <w:kinsoku/>
              <w:wordWrap w:val="0"/>
              <w:topLinePunct w:val="0"/>
              <w:bidi w:val="0"/>
              <w:spacing w:line="480" w:lineRule="exact"/>
              <w:rPr>
                <w:rFonts w:hint="eastAsia" w:ascii="宋体" w:hAnsi="宋体" w:eastAsia="宋体" w:cs="宋体"/>
                <w:color w:val="auto"/>
                <w:sz w:val="22"/>
                <w:szCs w:val="22"/>
                <w:highlight w:val="none"/>
              </w:rPr>
            </w:pPr>
          </w:p>
        </w:tc>
        <w:tc>
          <w:tcPr>
            <w:tcW w:w="1488" w:type="dxa"/>
          </w:tcPr>
          <w:p w14:paraId="4831A909">
            <w:pPr>
              <w:pageBreakBefore w:val="0"/>
              <w:kinsoku/>
              <w:wordWrap w:val="0"/>
              <w:topLinePunct w:val="0"/>
              <w:bidi w:val="0"/>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企业性质</w:t>
            </w:r>
          </w:p>
        </w:tc>
        <w:tc>
          <w:tcPr>
            <w:tcW w:w="1502" w:type="dxa"/>
          </w:tcPr>
          <w:p w14:paraId="3EB9F2D6">
            <w:pPr>
              <w:pageBreakBefore w:val="0"/>
              <w:kinsoku/>
              <w:wordWrap w:val="0"/>
              <w:topLinePunct w:val="0"/>
              <w:bidi w:val="0"/>
              <w:spacing w:line="480" w:lineRule="exact"/>
              <w:rPr>
                <w:rFonts w:hint="eastAsia" w:ascii="宋体" w:hAnsi="宋体" w:eastAsia="宋体" w:cs="宋体"/>
                <w:color w:val="auto"/>
                <w:sz w:val="22"/>
                <w:szCs w:val="22"/>
                <w:highlight w:val="none"/>
              </w:rPr>
            </w:pPr>
          </w:p>
        </w:tc>
        <w:tc>
          <w:tcPr>
            <w:tcW w:w="1488" w:type="dxa"/>
          </w:tcPr>
          <w:p w14:paraId="62BB3F26">
            <w:pPr>
              <w:pageBreakBefore w:val="0"/>
              <w:kinsoku/>
              <w:wordWrap w:val="0"/>
              <w:topLinePunct w:val="0"/>
              <w:bidi w:val="0"/>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p>
        </w:tc>
        <w:tc>
          <w:tcPr>
            <w:tcW w:w="1115" w:type="dxa"/>
          </w:tcPr>
          <w:p w14:paraId="33136606">
            <w:pPr>
              <w:pageBreakBefore w:val="0"/>
              <w:kinsoku/>
              <w:wordWrap w:val="0"/>
              <w:topLinePunct w:val="0"/>
              <w:bidi w:val="0"/>
              <w:spacing w:line="480" w:lineRule="exact"/>
              <w:rPr>
                <w:rFonts w:hint="eastAsia" w:ascii="宋体" w:hAnsi="宋体" w:eastAsia="宋体" w:cs="宋体"/>
                <w:color w:val="auto"/>
                <w:sz w:val="22"/>
                <w:szCs w:val="22"/>
                <w:highlight w:val="none"/>
              </w:rPr>
            </w:pPr>
          </w:p>
        </w:tc>
        <w:tc>
          <w:tcPr>
            <w:tcW w:w="1461" w:type="dxa"/>
            <w:gridSpan w:val="2"/>
          </w:tcPr>
          <w:p w14:paraId="4A6C4606">
            <w:pPr>
              <w:pageBreakBefore w:val="0"/>
              <w:kinsoku/>
              <w:wordWrap w:val="0"/>
              <w:topLinePunct w:val="0"/>
              <w:bidi w:val="0"/>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14:paraId="45E78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14:paraId="2AD85685">
            <w:pPr>
              <w:pageBreakBefore w:val="0"/>
              <w:kinsoku/>
              <w:wordWrap w:val="0"/>
              <w:topLinePunct w:val="0"/>
              <w:bidi w:val="0"/>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单位简介</w:t>
            </w:r>
          </w:p>
          <w:p w14:paraId="41C7A378">
            <w:pPr>
              <w:pageBreakBefore w:val="0"/>
              <w:kinsoku/>
              <w:wordWrap w:val="0"/>
              <w:topLinePunct w:val="0"/>
              <w:bidi w:val="0"/>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及机构</w:t>
            </w:r>
          </w:p>
        </w:tc>
        <w:tc>
          <w:tcPr>
            <w:tcW w:w="6507" w:type="dxa"/>
            <w:gridSpan w:val="6"/>
            <w:vAlign w:val="center"/>
          </w:tcPr>
          <w:p w14:paraId="7F7E0EB2">
            <w:pPr>
              <w:pageBreakBefore w:val="0"/>
              <w:kinsoku/>
              <w:wordWrap w:val="0"/>
              <w:topLinePunct w:val="0"/>
              <w:bidi w:val="0"/>
              <w:spacing w:line="480" w:lineRule="exact"/>
              <w:jc w:val="center"/>
              <w:rPr>
                <w:rFonts w:hint="eastAsia" w:ascii="宋体" w:hAnsi="宋体" w:eastAsia="宋体" w:cs="宋体"/>
                <w:color w:val="auto"/>
                <w:sz w:val="22"/>
                <w:szCs w:val="22"/>
                <w:highlight w:val="none"/>
              </w:rPr>
            </w:pPr>
          </w:p>
        </w:tc>
        <w:tc>
          <w:tcPr>
            <w:tcW w:w="1488" w:type="dxa"/>
            <w:vAlign w:val="center"/>
          </w:tcPr>
          <w:p w14:paraId="02CCE38D">
            <w:pPr>
              <w:pageBreakBefore w:val="0"/>
              <w:kinsoku/>
              <w:wordWrap w:val="0"/>
              <w:topLinePunct w:val="0"/>
              <w:bidi w:val="0"/>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单位优势</w:t>
            </w:r>
          </w:p>
          <w:p w14:paraId="4B7395E0">
            <w:pPr>
              <w:pageBreakBefore w:val="0"/>
              <w:kinsoku/>
              <w:wordWrap w:val="0"/>
              <w:topLinePunct w:val="0"/>
              <w:bidi w:val="0"/>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及特长</w:t>
            </w:r>
          </w:p>
        </w:tc>
        <w:tc>
          <w:tcPr>
            <w:tcW w:w="5566" w:type="dxa"/>
            <w:gridSpan w:val="5"/>
          </w:tcPr>
          <w:p w14:paraId="0B2861F6">
            <w:pPr>
              <w:pageBreakBefore w:val="0"/>
              <w:kinsoku/>
              <w:wordWrap w:val="0"/>
              <w:topLinePunct w:val="0"/>
              <w:bidi w:val="0"/>
              <w:spacing w:line="480" w:lineRule="exact"/>
              <w:rPr>
                <w:rFonts w:hint="eastAsia" w:ascii="宋体" w:hAnsi="宋体" w:eastAsia="宋体" w:cs="宋体"/>
                <w:color w:val="auto"/>
                <w:sz w:val="22"/>
                <w:szCs w:val="22"/>
                <w:highlight w:val="none"/>
              </w:rPr>
            </w:pPr>
          </w:p>
        </w:tc>
      </w:tr>
      <w:tr w14:paraId="089F3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14:paraId="25D77E85">
            <w:pPr>
              <w:pageBreakBefore w:val="0"/>
              <w:kinsoku/>
              <w:wordWrap w:val="0"/>
              <w:topLinePunct w:val="0"/>
              <w:bidi w:val="0"/>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单位概况</w:t>
            </w:r>
          </w:p>
        </w:tc>
        <w:tc>
          <w:tcPr>
            <w:tcW w:w="1115" w:type="dxa"/>
            <w:vMerge w:val="restart"/>
          </w:tcPr>
          <w:p w14:paraId="7557E572">
            <w:pPr>
              <w:pageBreakBefore w:val="0"/>
              <w:kinsoku/>
              <w:wordWrap w:val="0"/>
              <w:topLinePunct w:val="0"/>
              <w:bidi w:val="0"/>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职工总数</w:t>
            </w:r>
          </w:p>
        </w:tc>
        <w:tc>
          <w:tcPr>
            <w:tcW w:w="1689" w:type="dxa"/>
            <w:vMerge w:val="restart"/>
          </w:tcPr>
          <w:p w14:paraId="0BB86D16">
            <w:pPr>
              <w:pageBreakBefore w:val="0"/>
              <w:kinsoku/>
              <w:wordWrap w:val="0"/>
              <w:topLinePunct w:val="0"/>
              <w:bidi w:val="0"/>
              <w:spacing w:line="480" w:lineRule="exact"/>
              <w:ind w:firstLine="1540" w:firstLineChars="700"/>
              <w:rPr>
                <w:rFonts w:hint="eastAsia" w:ascii="宋体" w:hAnsi="宋体" w:eastAsia="宋体" w:cs="宋体"/>
                <w:color w:val="auto"/>
                <w:sz w:val="22"/>
                <w:szCs w:val="22"/>
                <w:highlight w:val="none"/>
              </w:rPr>
            </w:pPr>
          </w:p>
        </w:tc>
        <w:tc>
          <w:tcPr>
            <w:tcW w:w="3703" w:type="dxa"/>
            <w:gridSpan w:val="4"/>
            <w:vMerge w:val="restart"/>
          </w:tcPr>
          <w:p w14:paraId="7C8C4CF2">
            <w:pPr>
              <w:pageBreakBefore w:val="0"/>
              <w:kinsoku/>
              <w:wordWrap w:val="0"/>
              <w:topLinePunct w:val="0"/>
              <w:bidi w:val="0"/>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各人员构成情况</w:t>
            </w:r>
          </w:p>
        </w:tc>
        <w:tc>
          <w:tcPr>
            <w:tcW w:w="1488" w:type="dxa"/>
            <w:vMerge w:val="restart"/>
            <w:vAlign w:val="center"/>
          </w:tcPr>
          <w:p w14:paraId="3CC3B9F3">
            <w:pPr>
              <w:pageBreakBefore w:val="0"/>
              <w:kinsoku/>
              <w:wordWrap w:val="0"/>
              <w:topLinePunct w:val="0"/>
              <w:bidi w:val="0"/>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上一年主要  经济指标</w:t>
            </w:r>
          </w:p>
        </w:tc>
        <w:tc>
          <w:tcPr>
            <w:tcW w:w="1502" w:type="dxa"/>
            <w:vAlign w:val="center"/>
          </w:tcPr>
          <w:p w14:paraId="2B96A134">
            <w:pPr>
              <w:pageBreakBefore w:val="0"/>
              <w:kinsoku/>
              <w:wordWrap w:val="0"/>
              <w:topLinePunct w:val="0"/>
              <w:bidi w:val="0"/>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指标名称</w:t>
            </w:r>
          </w:p>
        </w:tc>
        <w:tc>
          <w:tcPr>
            <w:tcW w:w="1488" w:type="dxa"/>
            <w:tcBorders>
              <w:tr2bl w:val="single" w:color="auto" w:sz="4" w:space="0"/>
            </w:tcBorders>
            <w:vAlign w:val="center"/>
          </w:tcPr>
          <w:p w14:paraId="35C19BD5">
            <w:pPr>
              <w:pageBreakBefore w:val="0"/>
              <w:kinsoku/>
              <w:wordWrap w:val="0"/>
              <w:topLinePunct w:val="0"/>
              <w:bidi w:val="0"/>
              <w:spacing w:line="480" w:lineRule="exact"/>
              <w:jc w:val="center"/>
              <w:rPr>
                <w:rFonts w:hint="eastAsia" w:ascii="宋体" w:hAnsi="宋体" w:eastAsia="宋体" w:cs="宋体"/>
                <w:color w:val="auto"/>
                <w:sz w:val="22"/>
                <w:szCs w:val="22"/>
                <w:highlight w:val="none"/>
              </w:rPr>
            </w:pPr>
          </w:p>
        </w:tc>
        <w:tc>
          <w:tcPr>
            <w:tcW w:w="1470" w:type="dxa"/>
            <w:gridSpan w:val="2"/>
            <w:vAlign w:val="center"/>
          </w:tcPr>
          <w:p w14:paraId="46657D6C">
            <w:pPr>
              <w:pageBreakBefore w:val="0"/>
              <w:kinsoku/>
              <w:wordWrap w:val="0"/>
              <w:topLinePunct w:val="0"/>
              <w:bidi w:val="0"/>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实际完成</w:t>
            </w:r>
          </w:p>
        </w:tc>
        <w:tc>
          <w:tcPr>
            <w:tcW w:w="1106" w:type="dxa"/>
            <w:tcBorders>
              <w:tr2bl w:val="single" w:color="auto" w:sz="4" w:space="0"/>
            </w:tcBorders>
            <w:vAlign w:val="center"/>
          </w:tcPr>
          <w:p w14:paraId="75516E18">
            <w:pPr>
              <w:pageBreakBefore w:val="0"/>
              <w:kinsoku/>
              <w:wordWrap w:val="0"/>
              <w:topLinePunct w:val="0"/>
              <w:bidi w:val="0"/>
              <w:spacing w:line="480" w:lineRule="exact"/>
              <w:jc w:val="center"/>
              <w:rPr>
                <w:rFonts w:hint="eastAsia" w:ascii="宋体" w:hAnsi="宋体" w:eastAsia="宋体" w:cs="宋体"/>
                <w:color w:val="auto"/>
                <w:sz w:val="22"/>
                <w:szCs w:val="22"/>
                <w:highlight w:val="none"/>
              </w:rPr>
            </w:pPr>
          </w:p>
        </w:tc>
      </w:tr>
      <w:tr w14:paraId="655D2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14:paraId="28C138BF">
            <w:pPr>
              <w:pageBreakBefore w:val="0"/>
              <w:kinsoku/>
              <w:wordWrap w:val="0"/>
              <w:topLinePunct w:val="0"/>
              <w:bidi w:val="0"/>
              <w:spacing w:line="480" w:lineRule="exact"/>
              <w:rPr>
                <w:rFonts w:hint="eastAsia" w:ascii="宋体" w:hAnsi="宋体" w:eastAsia="宋体" w:cs="宋体"/>
                <w:color w:val="auto"/>
                <w:sz w:val="22"/>
                <w:szCs w:val="22"/>
                <w:highlight w:val="none"/>
              </w:rPr>
            </w:pPr>
          </w:p>
        </w:tc>
        <w:tc>
          <w:tcPr>
            <w:tcW w:w="1115" w:type="dxa"/>
            <w:vMerge w:val="continue"/>
          </w:tcPr>
          <w:p w14:paraId="45B62D8A">
            <w:pPr>
              <w:pageBreakBefore w:val="0"/>
              <w:kinsoku/>
              <w:wordWrap w:val="0"/>
              <w:topLinePunct w:val="0"/>
              <w:bidi w:val="0"/>
              <w:spacing w:line="480" w:lineRule="exact"/>
              <w:rPr>
                <w:rFonts w:hint="eastAsia" w:ascii="宋体" w:hAnsi="宋体" w:eastAsia="宋体" w:cs="宋体"/>
                <w:color w:val="auto"/>
                <w:sz w:val="22"/>
                <w:szCs w:val="22"/>
                <w:highlight w:val="none"/>
              </w:rPr>
            </w:pPr>
          </w:p>
        </w:tc>
        <w:tc>
          <w:tcPr>
            <w:tcW w:w="1689" w:type="dxa"/>
            <w:vMerge w:val="continue"/>
          </w:tcPr>
          <w:p w14:paraId="1C372A80">
            <w:pPr>
              <w:pageBreakBefore w:val="0"/>
              <w:kinsoku/>
              <w:wordWrap w:val="0"/>
              <w:topLinePunct w:val="0"/>
              <w:bidi w:val="0"/>
              <w:spacing w:line="480" w:lineRule="exact"/>
              <w:rPr>
                <w:rFonts w:hint="eastAsia" w:ascii="宋体" w:hAnsi="宋体" w:eastAsia="宋体" w:cs="宋体"/>
                <w:color w:val="auto"/>
                <w:sz w:val="22"/>
                <w:szCs w:val="22"/>
                <w:highlight w:val="none"/>
              </w:rPr>
            </w:pPr>
          </w:p>
        </w:tc>
        <w:tc>
          <w:tcPr>
            <w:tcW w:w="3703" w:type="dxa"/>
            <w:gridSpan w:val="4"/>
            <w:vMerge w:val="continue"/>
          </w:tcPr>
          <w:p w14:paraId="2927B782">
            <w:pPr>
              <w:pageBreakBefore w:val="0"/>
              <w:kinsoku/>
              <w:wordWrap w:val="0"/>
              <w:topLinePunct w:val="0"/>
              <w:bidi w:val="0"/>
              <w:spacing w:line="480" w:lineRule="exact"/>
              <w:rPr>
                <w:rFonts w:hint="eastAsia" w:ascii="宋体" w:hAnsi="宋体" w:eastAsia="宋体" w:cs="宋体"/>
                <w:color w:val="auto"/>
                <w:sz w:val="22"/>
                <w:szCs w:val="22"/>
                <w:highlight w:val="none"/>
              </w:rPr>
            </w:pPr>
          </w:p>
        </w:tc>
        <w:tc>
          <w:tcPr>
            <w:tcW w:w="1488" w:type="dxa"/>
            <w:vMerge w:val="continue"/>
          </w:tcPr>
          <w:p w14:paraId="565BDC2D">
            <w:pPr>
              <w:pageBreakBefore w:val="0"/>
              <w:kinsoku/>
              <w:wordWrap w:val="0"/>
              <w:topLinePunct w:val="0"/>
              <w:bidi w:val="0"/>
              <w:spacing w:line="480" w:lineRule="exact"/>
              <w:rPr>
                <w:rFonts w:hint="eastAsia" w:ascii="宋体" w:hAnsi="宋体" w:eastAsia="宋体" w:cs="宋体"/>
                <w:color w:val="auto"/>
                <w:sz w:val="22"/>
                <w:szCs w:val="22"/>
                <w:highlight w:val="none"/>
              </w:rPr>
            </w:pPr>
          </w:p>
        </w:tc>
        <w:tc>
          <w:tcPr>
            <w:tcW w:w="1502" w:type="dxa"/>
            <w:vAlign w:val="center"/>
          </w:tcPr>
          <w:p w14:paraId="76C556D2">
            <w:pPr>
              <w:pageBreakBefore w:val="0"/>
              <w:kinsoku/>
              <w:wordWrap w:val="0"/>
              <w:topLinePunct w:val="0"/>
              <w:bidi w:val="0"/>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488" w:type="dxa"/>
            <w:vAlign w:val="center"/>
          </w:tcPr>
          <w:p w14:paraId="1210E519">
            <w:pPr>
              <w:pageBreakBefore w:val="0"/>
              <w:kinsoku/>
              <w:wordWrap w:val="0"/>
              <w:topLinePunct w:val="0"/>
              <w:bidi w:val="0"/>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14:paraId="016EE491">
            <w:pPr>
              <w:pageBreakBefore w:val="0"/>
              <w:kinsoku/>
              <w:wordWrap w:val="0"/>
              <w:topLinePunct w:val="0"/>
              <w:bidi w:val="0"/>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106" w:type="dxa"/>
            <w:vAlign w:val="center"/>
          </w:tcPr>
          <w:p w14:paraId="337636D0">
            <w:pPr>
              <w:pageBreakBefore w:val="0"/>
              <w:kinsoku/>
              <w:wordWrap w:val="0"/>
              <w:topLinePunct w:val="0"/>
              <w:bidi w:val="0"/>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14:paraId="39AE2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14:paraId="28160192">
            <w:pPr>
              <w:pageBreakBefore w:val="0"/>
              <w:kinsoku/>
              <w:wordWrap w:val="0"/>
              <w:topLinePunct w:val="0"/>
              <w:bidi w:val="0"/>
              <w:spacing w:line="480" w:lineRule="exact"/>
              <w:rPr>
                <w:rFonts w:hint="eastAsia" w:ascii="宋体" w:hAnsi="宋体" w:eastAsia="宋体" w:cs="宋体"/>
                <w:color w:val="auto"/>
                <w:sz w:val="22"/>
                <w:szCs w:val="22"/>
                <w:highlight w:val="none"/>
              </w:rPr>
            </w:pPr>
          </w:p>
        </w:tc>
        <w:tc>
          <w:tcPr>
            <w:tcW w:w="1115" w:type="dxa"/>
            <w:vMerge w:val="restart"/>
          </w:tcPr>
          <w:p w14:paraId="5F85C913">
            <w:pPr>
              <w:pageBreakBefore w:val="0"/>
              <w:kinsoku/>
              <w:wordWrap w:val="0"/>
              <w:topLinePunct w:val="0"/>
              <w:bidi w:val="0"/>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流动资金</w:t>
            </w:r>
          </w:p>
        </w:tc>
        <w:tc>
          <w:tcPr>
            <w:tcW w:w="1689" w:type="dxa"/>
            <w:vMerge w:val="restart"/>
          </w:tcPr>
          <w:p w14:paraId="5EBCFA23">
            <w:pPr>
              <w:pageBreakBefore w:val="0"/>
              <w:kinsoku/>
              <w:wordWrap w:val="0"/>
              <w:topLinePunct w:val="0"/>
              <w:bidi w:val="0"/>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5E5AE851">
            <w:pPr>
              <w:pageBreakBefore w:val="0"/>
              <w:kinsoku/>
              <w:wordWrap w:val="0"/>
              <w:topLinePunct w:val="0"/>
              <w:bidi w:val="0"/>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万元 </w:t>
            </w:r>
          </w:p>
        </w:tc>
        <w:tc>
          <w:tcPr>
            <w:tcW w:w="728" w:type="dxa"/>
            <w:vMerge w:val="restart"/>
          </w:tcPr>
          <w:p w14:paraId="638422B9">
            <w:pPr>
              <w:pageBreakBefore w:val="0"/>
              <w:kinsoku/>
              <w:wordWrap w:val="0"/>
              <w:topLinePunct w:val="0"/>
              <w:bidi w:val="0"/>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1487" w:type="dxa"/>
            <w:gridSpan w:val="2"/>
            <w:vAlign w:val="center"/>
          </w:tcPr>
          <w:p w14:paraId="19C9415B">
            <w:pPr>
              <w:pageBreakBefore w:val="0"/>
              <w:kinsoku/>
              <w:wordWrap w:val="0"/>
              <w:topLinePunct w:val="0"/>
              <w:bidi w:val="0"/>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自有资金</w:t>
            </w:r>
          </w:p>
        </w:tc>
        <w:tc>
          <w:tcPr>
            <w:tcW w:w="1488" w:type="dxa"/>
            <w:vAlign w:val="center"/>
          </w:tcPr>
          <w:p w14:paraId="062367AF">
            <w:pPr>
              <w:pageBreakBefore w:val="0"/>
              <w:kinsoku/>
              <w:wordWrap w:val="0"/>
              <w:topLinePunct w:val="0"/>
              <w:bidi w:val="0"/>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14:paraId="3548D745">
            <w:pPr>
              <w:pageBreakBefore w:val="0"/>
              <w:kinsoku/>
              <w:wordWrap w:val="0"/>
              <w:topLinePunct w:val="0"/>
              <w:bidi w:val="0"/>
              <w:spacing w:line="480" w:lineRule="exact"/>
              <w:rPr>
                <w:rFonts w:hint="eastAsia" w:ascii="宋体" w:hAnsi="宋体" w:eastAsia="宋体" w:cs="宋体"/>
                <w:color w:val="auto"/>
                <w:sz w:val="22"/>
                <w:szCs w:val="22"/>
                <w:highlight w:val="none"/>
              </w:rPr>
            </w:pPr>
          </w:p>
        </w:tc>
        <w:tc>
          <w:tcPr>
            <w:tcW w:w="1502" w:type="dxa"/>
            <w:vAlign w:val="center"/>
          </w:tcPr>
          <w:p w14:paraId="074DB248">
            <w:pPr>
              <w:pageBreakBefore w:val="0"/>
              <w:kinsoku/>
              <w:wordWrap w:val="0"/>
              <w:topLinePunct w:val="0"/>
              <w:bidi w:val="0"/>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488" w:type="dxa"/>
            <w:vAlign w:val="center"/>
          </w:tcPr>
          <w:p w14:paraId="2E1A9040">
            <w:pPr>
              <w:pageBreakBefore w:val="0"/>
              <w:kinsoku/>
              <w:wordWrap w:val="0"/>
              <w:topLinePunct w:val="0"/>
              <w:bidi w:val="0"/>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14:paraId="18A0280F">
            <w:pPr>
              <w:pageBreakBefore w:val="0"/>
              <w:kinsoku/>
              <w:wordWrap w:val="0"/>
              <w:topLinePunct w:val="0"/>
              <w:bidi w:val="0"/>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106" w:type="dxa"/>
            <w:vAlign w:val="center"/>
          </w:tcPr>
          <w:p w14:paraId="3036284D">
            <w:pPr>
              <w:pageBreakBefore w:val="0"/>
              <w:kinsoku/>
              <w:wordWrap w:val="0"/>
              <w:topLinePunct w:val="0"/>
              <w:bidi w:val="0"/>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14:paraId="792F2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14:paraId="22299036">
            <w:pPr>
              <w:pageBreakBefore w:val="0"/>
              <w:kinsoku/>
              <w:wordWrap w:val="0"/>
              <w:topLinePunct w:val="0"/>
              <w:bidi w:val="0"/>
              <w:spacing w:line="480" w:lineRule="exact"/>
              <w:rPr>
                <w:rFonts w:hint="eastAsia" w:ascii="宋体" w:hAnsi="宋体" w:eastAsia="宋体" w:cs="宋体"/>
                <w:color w:val="auto"/>
                <w:sz w:val="22"/>
                <w:szCs w:val="22"/>
                <w:highlight w:val="none"/>
              </w:rPr>
            </w:pPr>
          </w:p>
        </w:tc>
        <w:tc>
          <w:tcPr>
            <w:tcW w:w="1115" w:type="dxa"/>
            <w:vMerge w:val="continue"/>
            <w:tcBorders>
              <w:bottom w:val="single" w:color="auto" w:sz="4" w:space="0"/>
            </w:tcBorders>
          </w:tcPr>
          <w:p w14:paraId="444E6B46">
            <w:pPr>
              <w:pageBreakBefore w:val="0"/>
              <w:kinsoku/>
              <w:wordWrap w:val="0"/>
              <w:topLinePunct w:val="0"/>
              <w:bidi w:val="0"/>
              <w:spacing w:line="480" w:lineRule="exact"/>
              <w:rPr>
                <w:rFonts w:hint="eastAsia" w:ascii="宋体" w:hAnsi="宋体" w:eastAsia="宋体" w:cs="宋体"/>
                <w:color w:val="auto"/>
                <w:sz w:val="22"/>
                <w:szCs w:val="22"/>
                <w:highlight w:val="none"/>
              </w:rPr>
            </w:pPr>
          </w:p>
        </w:tc>
        <w:tc>
          <w:tcPr>
            <w:tcW w:w="1689" w:type="dxa"/>
            <w:vMerge w:val="continue"/>
            <w:tcBorders>
              <w:bottom w:val="single" w:color="auto" w:sz="4" w:space="0"/>
            </w:tcBorders>
          </w:tcPr>
          <w:p w14:paraId="3E1C72C5">
            <w:pPr>
              <w:pageBreakBefore w:val="0"/>
              <w:kinsoku/>
              <w:wordWrap w:val="0"/>
              <w:topLinePunct w:val="0"/>
              <w:bidi w:val="0"/>
              <w:spacing w:line="480" w:lineRule="exact"/>
              <w:rPr>
                <w:rFonts w:hint="eastAsia" w:ascii="宋体" w:hAnsi="宋体" w:eastAsia="宋体" w:cs="宋体"/>
                <w:color w:val="auto"/>
                <w:sz w:val="22"/>
                <w:szCs w:val="22"/>
                <w:highlight w:val="none"/>
              </w:rPr>
            </w:pPr>
          </w:p>
        </w:tc>
        <w:tc>
          <w:tcPr>
            <w:tcW w:w="728" w:type="dxa"/>
            <w:vMerge w:val="continue"/>
            <w:tcBorders>
              <w:bottom w:val="single" w:color="auto" w:sz="4" w:space="0"/>
            </w:tcBorders>
          </w:tcPr>
          <w:p w14:paraId="1E356411">
            <w:pPr>
              <w:pageBreakBefore w:val="0"/>
              <w:kinsoku/>
              <w:wordWrap w:val="0"/>
              <w:topLinePunct w:val="0"/>
              <w:bidi w:val="0"/>
              <w:spacing w:line="480" w:lineRule="exact"/>
              <w:rPr>
                <w:rFonts w:hint="eastAsia" w:ascii="宋体" w:hAnsi="宋体" w:eastAsia="宋体" w:cs="宋体"/>
                <w:color w:val="auto"/>
                <w:sz w:val="22"/>
                <w:szCs w:val="22"/>
                <w:highlight w:val="none"/>
              </w:rPr>
            </w:pPr>
          </w:p>
        </w:tc>
        <w:tc>
          <w:tcPr>
            <w:tcW w:w="1487" w:type="dxa"/>
            <w:gridSpan w:val="2"/>
            <w:tcBorders>
              <w:bottom w:val="single" w:color="auto" w:sz="4" w:space="0"/>
            </w:tcBorders>
          </w:tcPr>
          <w:p w14:paraId="7165DAD3">
            <w:pPr>
              <w:pageBreakBefore w:val="0"/>
              <w:kinsoku/>
              <w:wordWrap w:val="0"/>
              <w:topLinePunct w:val="0"/>
              <w:bidi w:val="0"/>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银行贷款</w:t>
            </w:r>
          </w:p>
        </w:tc>
        <w:tc>
          <w:tcPr>
            <w:tcW w:w="1488" w:type="dxa"/>
            <w:tcBorders>
              <w:bottom w:val="single" w:color="auto" w:sz="4" w:space="0"/>
            </w:tcBorders>
          </w:tcPr>
          <w:p w14:paraId="2B58FE90">
            <w:pPr>
              <w:pageBreakBefore w:val="0"/>
              <w:kinsoku/>
              <w:wordWrap w:val="0"/>
              <w:topLinePunct w:val="0"/>
              <w:bidi w:val="0"/>
              <w:spacing w:line="48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88" w:type="dxa"/>
            <w:vMerge w:val="continue"/>
            <w:tcBorders>
              <w:bottom w:val="single" w:color="auto" w:sz="4" w:space="0"/>
            </w:tcBorders>
          </w:tcPr>
          <w:p w14:paraId="2476421B">
            <w:pPr>
              <w:pageBreakBefore w:val="0"/>
              <w:kinsoku/>
              <w:wordWrap w:val="0"/>
              <w:topLinePunct w:val="0"/>
              <w:bidi w:val="0"/>
              <w:spacing w:line="480" w:lineRule="exact"/>
              <w:rPr>
                <w:rFonts w:hint="eastAsia" w:ascii="宋体" w:hAnsi="宋体" w:eastAsia="宋体" w:cs="宋体"/>
                <w:color w:val="auto"/>
                <w:sz w:val="22"/>
                <w:szCs w:val="22"/>
                <w:highlight w:val="none"/>
              </w:rPr>
            </w:pPr>
          </w:p>
        </w:tc>
        <w:tc>
          <w:tcPr>
            <w:tcW w:w="1502" w:type="dxa"/>
            <w:vMerge w:val="restart"/>
            <w:tcBorders>
              <w:bottom w:val="single" w:color="auto" w:sz="4" w:space="0"/>
            </w:tcBorders>
            <w:vAlign w:val="center"/>
          </w:tcPr>
          <w:p w14:paraId="61D0896D">
            <w:pPr>
              <w:pageBreakBefore w:val="0"/>
              <w:kinsoku/>
              <w:wordWrap w:val="0"/>
              <w:topLinePunct w:val="0"/>
              <w:bidi w:val="0"/>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主要业绩</w:t>
            </w:r>
          </w:p>
        </w:tc>
        <w:tc>
          <w:tcPr>
            <w:tcW w:w="4064" w:type="dxa"/>
            <w:gridSpan w:val="4"/>
            <w:vMerge w:val="restart"/>
            <w:tcBorders>
              <w:bottom w:val="single" w:color="auto" w:sz="4" w:space="0"/>
            </w:tcBorders>
            <w:vAlign w:val="center"/>
          </w:tcPr>
          <w:p w14:paraId="12E095BA">
            <w:pPr>
              <w:pageBreakBefore w:val="0"/>
              <w:kinsoku/>
              <w:wordWrap w:val="0"/>
              <w:topLinePunct w:val="0"/>
              <w:bidi w:val="0"/>
              <w:spacing w:line="480" w:lineRule="exact"/>
              <w:jc w:val="center"/>
              <w:rPr>
                <w:rFonts w:hint="eastAsia" w:ascii="宋体" w:hAnsi="宋体" w:eastAsia="宋体" w:cs="宋体"/>
                <w:color w:val="auto"/>
                <w:sz w:val="22"/>
                <w:szCs w:val="22"/>
                <w:highlight w:val="none"/>
              </w:rPr>
            </w:pPr>
          </w:p>
        </w:tc>
      </w:tr>
      <w:tr w14:paraId="367F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14:paraId="10B40AA7">
            <w:pPr>
              <w:pageBreakBefore w:val="0"/>
              <w:kinsoku/>
              <w:wordWrap w:val="0"/>
              <w:topLinePunct w:val="0"/>
              <w:bidi w:val="0"/>
              <w:spacing w:line="480" w:lineRule="exact"/>
              <w:rPr>
                <w:rFonts w:hint="eastAsia" w:ascii="宋体" w:hAnsi="宋体" w:eastAsia="宋体" w:cs="宋体"/>
                <w:color w:val="auto"/>
                <w:sz w:val="22"/>
                <w:szCs w:val="22"/>
                <w:highlight w:val="none"/>
              </w:rPr>
            </w:pPr>
          </w:p>
        </w:tc>
        <w:tc>
          <w:tcPr>
            <w:tcW w:w="1115" w:type="dxa"/>
            <w:vMerge w:val="restart"/>
          </w:tcPr>
          <w:p w14:paraId="030A0963">
            <w:pPr>
              <w:pageBreakBefore w:val="0"/>
              <w:kinsoku/>
              <w:wordWrap w:val="0"/>
              <w:topLinePunct w:val="0"/>
              <w:bidi w:val="0"/>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固定资产</w:t>
            </w:r>
          </w:p>
        </w:tc>
        <w:tc>
          <w:tcPr>
            <w:tcW w:w="1689" w:type="dxa"/>
            <w:vMerge w:val="restart"/>
          </w:tcPr>
          <w:p w14:paraId="7822D78C">
            <w:pPr>
              <w:pageBreakBefore w:val="0"/>
              <w:kinsoku/>
              <w:wordWrap w:val="0"/>
              <w:topLinePunct w:val="0"/>
              <w:bidi w:val="0"/>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原值   万元</w:t>
            </w:r>
          </w:p>
          <w:p w14:paraId="53C455B8">
            <w:pPr>
              <w:pageBreakBefore w:val="0"/>
              <w:kinsoku/>
              <w:wordWrap w:val="0"/>
              <w:topLinePunct w:val="0"/>
              <w:bidi w:val="0"/>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净值   万元</w:t>
            </w:r>
          </w:p>
        </w:tc>
        <w:tc>
          <w:tcPr>
            <w:tcW w:w="728" w:type="dxa"/>
            <w:vMerge w:val="restart"/>
          </w:tcPr>
          <w:p w14:paraId="6D17870F">
            <w:pPr>
              <w:pageBreakBefore w:val="0"/>
              <w:kinsoku/>
              <w:wordWrap w:val="0"/>
              <w:topLinePunct w:val="0"/>
              <w:bidi w:val="0"/>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资金性质</w:t>
            </w:r>
          </w:p>
        </w:tc>
        <w:tc>
          <w:tcPr>
            <w:tcW w:w="1487" w:type="dxa"/>
            <w:gridSpan w:val="2"/>
          </w:tcPr>
          <w:p w14:paraId="368144FB">
            <w:pPr>
              <w:pageBreakBefore w:val="0"/>
              <w:kinsoku/>
              <w:wordWrap w:val="0"/>
              <w:topLinePunct w:val="0"/>
              <w:bidi w:val="0"/>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生产性</w:t>
            </w:r>
          </w:p>
        </w:tc>
        <w:tc>
          <w:tcPr>
            <w:tcW w:w="1488" w:type="dxa"/>
          </w:tcPr>
          <w:p w14:paraId="0459B30F">
            <w:pPr>
              <w:pageBreakBefore w:val="0"/>
              <w:kinsoku/>
              <w:wordWrap w:val="0"/>
              <w:topLinePunct w:val="0"/>
              <w:bidi w:val="0"/>
              <w:spacing w:line="48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14:paraId="1BE79337">
            <w:pPr>
              <w:pageBreakBefore w:val="0"/>
              <w:kinsoku/>
              <w:wordWrap w:val="0"/>
              <w:topLinePunct w:val="0"/>
              <w:bidi w:val="0"/>
              <w:spacing w:line="480" w:lineRule="exact"/>
              <w:rPr>
                <w:rFonts w:hint="eastAsia" w:ascii="宋体" w:hAnsi="宋体" w:eastAsia="宋体" w:cs="宋体"/>
                <w:color w:val="auto"/>
                <w:sz w:val="22"/>
                <w:szCs w:val="22"/>
                <w:highlight w:val="none"/>
              </w:rPr>
            </w:pPr>
          </w:p>
        </w:tc>
        <w:tc>
          <w:tcPr>
            <w:tcW w:w="1502" w:type="dxa"/>
            <w:vMerge w:val="continue"/>
          </w:tcPr>
          <w:p w14:paraId="32CF11EA">
            <w:pPr>
              <w:pageBreakBefore w:val="0"/>
              <w:kinsoku/>
              <w:wordWrap w:val="0"/>
              <w:topLinePunct w:val="0"/>
              <w:bidi w:val="0"/>
              <w:spacing w:line="480" w:lineRule="exact"/>
              <w:rPr>
                <w:rFonts w:hint="eastAsia" w:ascii="宋体" w:hAnsi="宋体" w:eastAsia="宋体" w:cs="宋体"/>
                <w:color w:val="auto"/>
                <w:sz w:val="22"/>
                <w:szCs w:val="22"/>
                <w:highlight w:val="none"/>
              </w:rPr>
            </w:pPr>
          </w:p>
        </w:tc>
        <w:tc>
          <w:tcPr>
            <w:tcW w:w="4064" w:type="dxa"/>
            <w:gridSpan w:val="4"/>
            <w:vMerge w:val="continue"/>
          </w:tcPr>
          <w:p w14:paraId="710E58CD">
            <w:pPr>
              <w:pageBreakBefore w:val="0"/>
              <w:kinsoku/>
              <w:wordWrap w:val="0"/>
              <w:topLinePunct w:val="0"/>
              <w:bidi w:val="0"/>
              <w:spacing w:line="480" w:lineRule="exact"/>
              <w:rPr>
                <w:rFonts w:hint="eastAsia" w:ascii="宋体" w:hAnsi="宋体" w:eastAsia="宋体" w:cs="宋体"/>
                <w:color w:val="auto"/>
                <w:sz w:val="22"/>
                <w:szCs w:val="22"/>
                <w:highlight w:val="none"/>
              </w:rPr>
            </w:pPr>
          </w:p>
        </w:tc>
      </w:tr>
      <w:tr w14:paraId="5A252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14:paraId="7C18124F">
            <w:pPr>
              <w:pageBreakBefore w:val="0"/>
              <w:kinsoku/>
              <w:wordWrap w:val="0"/>
              <w:topLinePunct w:val="0"/>
              <w:bidi w:val="0"/>
              <w:spacing w:line="480" w:lineRule="exact"/>
              <w:rPr>
                <w:rFonts w:hint="eastAsia" w:ascii="宋体" w:hAnsi="宋体" w:eastAsia="宋体" w:cs="宋体"/>
                <w:color w:val="auto"/>
                <w:sz w:val="22"/>
                <w:szCs w:val="22"/>
                <w:highlight w:val="none"/>
              </w:rPr>
            </w:pPr>
          </w:p>
        </w:tc>
        <w:tc>
          <w:tcPr>
            <w:tcW w:w="1115" w:type="dxa"/>
            <w:vMerge w:val="continue"/>
          </w:tcPr>
          <w:p w14:paraId="23008C29">
            <w:pPr>
              <w:pageBreakBefore w:val="0"/>
              <w:kinsoku/>
              <w:wordWrap w:val="0"/>
              <w:topLinePunct w:val="0"/>
              <w:bidi w:val="0"/>
              <w:spacing w:line="480" w:lineRule="exact"/>
              <w:rPr>
                <w:rFonts w:hint="eastAsia" w:ascii="宋体" w:hAnsi="宋体" w:eastAsia="宋体" w:cs="宋体"/>
                <w:color w:val="auto"/>
                <w:sz w:val="22"/>
                <w:szCs w:val="22"/>
                <w:highlight w:val="none"/>
              </w:rPr>
            </w:pPr>
          </w:p>
        </w:tc>
        <w:tc>
          <w:tcPr>
            <w:tcW w:w="1689" w:type="dxa"/>
            <w:vMerge w:val="continue"/>
          </w:tcPr>
          <w:p w14:paraId="540C5F2C">
            <w:pPr>
              <w:pageBreakBefore w:val="0"/>
              <w:kinsoku/>
              <w:wordWrap w:val="0"/>
              <w:topLinePunct w:val="0"/>
              <w:bidi w:val="0"/>
              <w:spacing w:line="480" w:lineRule="exact"/>
              <w:rPr>
                <w:rFonts w:hint="eastAsia" w:ascii="宋体" w:hAnsi="宋体" w:eastAsia="宋体" w:cs="宋体"/>
                <w:color w:val="auto"/>
                <w:sz w:val="22"/>
                <w:szCs w:val="22"/>
                <w:highlight w:val="none"/>
              </w:rPr>
            </w:pPr>
          </w:p>
        </w:tc>
        <w:tc>
          <w:tcPr>
            <w:tcW w:w="728" w:type="dxa"/>
            <w:vMerge w:val="continue"/>
          </w:tcPr>
          <w:p w14:paraId="5A72BDFA">
            <w:pPr>
              <w:pageBreakBefore w:val="0"/>
              <w:kinsoku/>
              <w:wordWrap w:val="0"/>
              <w:topLinePunct w:val="0"/>
              <w:bidi w:val="0"/>
              <w:spacing w:line="480" w:lineRule="exact"/>
              <w:rPr>
                <w:rFonts w:hint="eastAsia" w:ascii="宋体" w:hAnsi="宋体" w:eastAsia="宋体" w:cs="宋体"/>
                <w:color w:val="auto"/>
                <w:sz w:val="22"/>
                <w:szCs w:val="22"/>
                <w:highlight w:val="none"/>
              </w:rPr>
            </w:pPr>
          </w:p>
        </w:tc>
        <w:tc>
          <w:tcPr>
            <w:tcW w:w="1487" w:type="dxa"/>
            <w:gridSpan w:val="2"/>
          </w:tcPr>
          <w:p w14:paraId="288DCA85">
            <w:pPr>
              <w:pageBreakBefore w:val="0"/>
              <w:kinsoku/>
              <w:wordWrap w:val="0"/>
              <w:topLinePunct w:val="0"/>
              <w:bidi w:val="0"/>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非生产性</w:t>
            </w:r>
          </w:p>
        </w:tc>
        <w:tc>
          <w:tcPr>
            <w:tcW w:w="1488" w:type="dxa"/>
          </w:tcPr>
          <w:p w14:paraId="058F321D">
            <w:pPr>
              <w:pageBreakBefore w:val="0"/>
              <w:kinsoku/>
              <w:wordWrap w:val="0"/>
              <w:topLinePunct w:val="0"/>
              <w:bidi w:val="0"/>
              <w:spacing w:line="48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14:paraId="47470DB6">
            <w:pPr>
              <w:pageBreakBefore w:val="0"/>
              <w:kinsoku/>
              <w:wordWrap w:val="0"/>
              <w:topLinePunct w:val="0"/>
              <w:bidi w:val="0"/>
              <w:spacing w:line="480" w:lineRule="exact"/>
              <w:rPr>
                <w:rFonts w:hint="eastAsia" w:ascii="宋体" w:hAnsi="宋体" w:eastAsia="宋体" w:cs="宋体"/>
                <w:color w:val="auto"/>
                <w:sz w:val="22"/>
                <w:szCs w:val="22"/>
                <w:highlight w:val="none"/>
              </w:rPr>
            </w:pPr>
          </w:p>
        </w:tc>
        <w:tc>
          <w:tcPr>
            <w:tcW w:w="1502" w:type="dxa"/>
            <w:vMerge w:val="continue"/>
          </w:tcPr>
          <w:p w14:paraId="29D347C9">
            <w:pPr>
              <w:pageBreakBefore w:val="0"/>
              <w:kinsoku/>
              <w:wordWrap w:val="0"/>
              <w:topLinePunct w:val="0"/>
              <w:bidi w:val="0"/>
              <w:spacing w:line="480" w:lineRule="exact"/>
              <w:rPr>
                <w:rFonts w:hint="eastAsia" w:ascii="宋体" w:hAnsi="宋体" w:eastAsia="宋体" w:cs="宋体"/>
                <w:color w:val="auto"/>
                <w:sz w:val="22"/>
                <w:szCs w:val="22"/>
                <w:highlight w:val="none"/>
              </w:rPr>
            </w:pPr>
          </w:p>
        </w:tc>
        <w:tc>
          <w:tcPr>
            <w:tcW w:w="4064" w:type="dxa"/>
            <w:gridSpan w:val="4"/>
            <w:vMerge w:val="continue"/>
          </w:tcPr>
          <w:p w14:paraId="4065D5C5">
            <w:pPr>
              <w:pageBreakBefore w:val="0"/>
              <w:kinsoku/>
              <w:wordWrap w:val="0"/>
              <w:topLinePunct w:val="0"/>
              <w:bidi w:val="0"/>
              <w:spacing w:line="480" w:lineRule="exact"/>
              <w:rPr>
                <w:rFonts w:hint="eastAsia" w:ascii="宋体" w:hAnsi="宋体" w:eastAsia="宋体" w:cs="宋体"/>
                <w:color w:val="auto"/>
                <w:sz w:val="22"/>
                <w:szCs w:val="22"/>
                <w:highlight w:val="none"/>
              </w:rPr>
            </w:pPr>
          </w:p>
        </w:tc>
      </w:tr>
    </w:tbl>
    <w:p w14:paraId="2830E279">
      <w:pPr>
        <w:pageBreakBefore w:val="0"/>
        <w:kinsoku/>
        <w:wordWrap w:val="0"/>
        <w:topLinePunct w:val="0"/>
        <w:bidi w:val="0"/>
        <w:spacing w:line="460" w:lineRule="exact"/>
        <w:rPr>
          <w:rFonts w:hint="eastAsia" w:ascii="宋体" w:hAnsi="宋体" w:eastAsia="宋体" w:cs="宋体"/>
          <w:color w:val="auto"/>
          <w:sz w:val="22"/>
          <w:szCs w:val="22"/>
          <w:highlight w:val="none"/>
        </w:rPr>
        <w:sectPr>
          <w:pgSz w:w="16838" w:h="11906" w:orient="landscape"/>
          <w:pgMar w:top="1134" w:right="1134" w:bottom="1134" w:left="1134" w:header="850" w:footer="992" w:gutter="0"/>
          <w:cols w:space="720" w:num="1"/>
          <w:docGrid w:type="lines" w:linePitch="321" w:charSpace="0"/>
        </w:sectPr>
      </w:pPr>
    </w:p>
    <w:p w14:paraId="28A4A396">
      <w:pPr>
        <w:pageBreakBefore w:val="0"/>
        <w:kinsoku/>
        <w:wordWrap w:val="0"/>
        <w:topLinePunct w:val="0"/>
        <w:bidi w:val="0"/>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lang w:val="zh-CN" w:eastAsia="zh-CN"/>
        </w:rPr>
        <w:t>偏离表（</w:t>
      </w:r>
      <w:r>
        <w:rPr>
          <w:rFonts w:hint="eastAsia" w:ascii="宋体" w:hAnsi="宋体" w:eastAsia="宋体" w:cs="宋体"/>
          <w:b/>
          <w:bCs/>
          <w:color w:val="auto"/>
          <w:sz w:val="28"/>
          <w:szCs w:val="28"/>
          <w:highlight w:val="none"/>
          <w:lang w:val="en-US" w:eastAsia="zh-CN"/>
        </w:rPr>
        <w:t>商务、技术偏离</w:t>
      </w:r>
      <w:r>
        <w:rPr>
          <w:rFonts w:hint="eastAsia" w:ascii="宋体" w:hAnsi="宋体" w:eastAsia="宋体" w:cs="宋体"/>
          <w:b/>
          <w:bCs/>
          <w:color w:val="auto"/>
          <w:sz w:val="28"/>
          <w:szCs w:val="28"/>
          <w:highlight w:val="none"/>
          <w:lang w:val="zh-CN" w:eastAsia="zh-CN"/>
        </w:rPr>
        <w:t>）</w:t>
      </w:r>
    </w:p>
    <w:p w14:paraId="6CFCE1AD">
      <w:pPr>
        <w:pageBreakBefore w:val="0"/>
        <w:kinsoku/>
        <w:wordWrap w:val="0"/>
        <w:topLinePunct w:val="0"/>
        <w:bidi w:val="0"/>
        <w:spacing w:line="360" w:lineRule="auto"/>
        <w:rPr>
          <w:rFonts w:hint="eastAsia" w:ascii="宋体" w:hAnsi="宋体" w:eastAsia="宋体" w:cs="宋体"/>
          <w:b w:val="0"/>
          <w:bCs w:val="0"/>
          <w:color w:val="auto"/>
          <w:sz w:val="22"/>
          <w:szCs w:val="22"/>
          <w:highlight w:val="none"/>
        </w:rPr>
      </w:pPr>
    </w:p>
    <w:p w14:paraId="4BF228FB">
      <w:pPr>
        <w:pageBreakBefore w:val="0"/>
        <w:kinsoku/>
        <w:wordWrap w:val="0"/>
        <w:topLinePunct w:val="0"/>
        <w:bidi w:val="0"/>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WZLCZB（Z）-2025-07016</w:t>
      </w:r>
    </w:p>
    <w:p w14:paraId="2632F347">
      <w:pPr>
        <w:keepNext/>
        <w:keepLines w:val="0"/>
        <w:pageBreakBefore w:val="0"/>
        <w:widowControl w:val="0"/>
        <w:kinsoku/>
        <w:wordWrap w:val="0"/>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2025年学校图书</w:t>
      </w:r>
    </w:p>
    <w:tbl>
      <w:tblPr>
        <w:tblStyle w:val="52"/>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687"/>
        <w:gridCol w:w="3402"/>
        <w:gridCol w:w="1580"/>
      </w:tblGrid>
      <w:tr w14:paraId="2D8CE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91" w:type="dxa"/>
            <w:shd w:val="clear" w:color="auto" w:fill="FFFFFF"/>
            <w:vAlign w:val="center"/>
          </w:tcPr>
          <w:p w14:paraId="765C9958">
            <w:pPr>
              <w:pageBreakBefore w:val="0"/>
              <w:kinsoku/>
              <w:wordWrap w:val="0"/>
              <w:topLinePunct w:val="0"/>
              <w:bidi w:val="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  号</w:t>
            </w:r>
          </w:p>
        </w:tc>
        <w:tc>
          <w:tcPr>
            <w:tcW w:w="3687" w:type="dxa"/>
            <w:shd w:val="clear" w:color="auto" w:fill="FFFFFF"/>
            <w:vAlign w:val="center"/>
          </w:tcPr>
          <w:p w14:paraId="247CCB91">
            <w:pPr>
              <w:pageBreakBefore w:val="0"/>
              <w:kinsoku/>
              <w:wordWrap w:val="0"/>
              <w:topLinePunct w:val="0"/>
              <w:bidi w:val="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招标文件</w:t>
            </w:r>
          </w:p>
          <w:p w14:paraId="65B69559">
            <w:pPr>
              <w:pageBreakBefore w:val="0"/>
              <w:kinsoku/>
              <w:wordWrap w:val="0"/>
              <w:topLinePunct w:val="0"/>
              <w:bidi w:val="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规格要求</w:t>
            </w:r>
          </w:p>
        </w:tc>
        <w:tc>
          <w:tcPr>
            <w:tcW w:w="3402" w:type="dxa"/>
            <w:shd w:val="clear" w:color="auto" w:fill="FFFFFF"/>
            <w:vAlign w:val="center"/>
          </w:tcPr>
          <w:p w14:paraId="5E283821">
            <w:pPr>
              <w:pageBreakBefore w:val="0"/>
              <w:kinsoku/>
              <w:wordWrap w:val="0"/>
              <w:topLinePunct w:val="0"/>
              <w:bidi w:val="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w:t>
            </w:r>
          </w:p>
          <w:p w14:paraId="40FD2C22">
            <w:pPr>
              <w:pageBreakBefore w:val="0"/>
              <w:kinsoku/>
              <w:wordWrap w:val="0"/>
              <w:topLinePunct w:val="0"/>
              <w:bidi w:val="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对应规格</w:t>
            </w:r>
          </w:p>
        </w:tc>
        <w:tc>
          <w:tcPr>
            <w:tcW w:w="1580" w:type="dxa"/>
            <w:shd w:val="clear" w:color="auto" w:fill="FFFFFF"/>
            <w:vAlign w:val="center"/>
          </w:tcPr>
          <w:p w14:paraId="7BC20B71">
            <w:pPr>
              <w:pageBreakBefore w:val="0"/>
              <w:kinsoku/>
              <w:wordWrap w:val="0"/>
              <w:topLinePunct w:val="0"/>
              <w:bidi w:val="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   明</w:t>
            </w:r>
          </w:p>
        </w:tc>
      </w:tr>
      <w:tr w14:paraId="2E075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91" w:type="dxa"/>
            <w:vAlign w:val="center"/>
          </w:tcPr>
          <w:p w14:paraId="0F8795E5">
            <w:pPr>
              <w:pageBreakBefore w:val="0"/>
              <w:kinsoku/>
              <w:wordWrap w:val="0"/>
              <w:topLinePunct w:val="0"/>
              <w:bidi w:val="0"/>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687" w:type="dxa"/>
            <w:vAlign w:val="center"/>
          </w:tcPr>
          <w:p w14:paraId="1D20240C">
            <w:pPr>
              <w:pageBreakBefore w:val="0"/>
              <w:kinsoku/>
              <w:wordWrap w:val="0"/>
              <w:topLinePunct w:val="0"/>
              <w:bidi w:val="0"/>
              <w:jc w:val="center"/>
              <w:rPr>
                <w:rFonts w:hint="eastAsia" w:ascii="宋体" w:hAnsi="宋体" w:eastAsia="宋体" w:cs="宋体"/>
                <w:color w:val="auto"/>
                <w:sz w:val="22"/>
                <w:szCs w:val="22"/>
                <w:highlight w:val="none"/>
              </w:rPr>
            </w:pPr>
          </w:p>
        </w:tc>
        <w:tc>
          <w:tcPr>
            <w:tcW w:w="3402" w:type="dxa"/>
            <w:vAlign w:val="center"/>
          </w:tcPr>
          <w:p w14:paraId="14DB6375">
            <w:pPr>
              <w:pageBreakBefore w:val="0"/>
              <w:kinsoku/>
              <w:wordWrap w:val="0"/>
              <w:topLinePunct w:val="0"/>
              <w:bidi w:val="0"/>
              <w:jc w:val="center"/>
              <w:rPr>
                <w:rFonts w:hint="eastAsia" w:ascii="宋体" w:hAnsi="宋体" w:eastAsia="宋体" w:cs="宋体"/>
                <w:color w:val="auto"/>
                <w:sz w:val="22"/>
                <w:szCs w:val="22"/>
                <w:highlight w:val="none"/>
              </w:rPr>
            </w:pPr>
          </w:p>
        </w:tc>
        <w:tc>
          <w:tcPr>
            <w:tcW w:w="1580" w:type="dxa"/>
            <w:vAlign w:val="center"/>
          </w:tcPr>
          <w:p w14:paraId="4DA8AF4B">
            <w:pPr>
              <w:pageBreakBefore w:val="0"/>
              <w:kinsoku/>
              <w:wordWrap w:val="0"/>
              <w:topLinePunct w:val="0"/>
              <w:bidi w:val="0"/>
              <w:jc w:val="center"/>
              <w:rPr>
                <w:rFonts w:hint="eastAsia" w:ascii="宋体" w:hAnsi="宋体" w:eastAsia="宋体" w:cs="宋体"/>
                <w:color w:val="auto"/>
                <w:sz w:val="22"/>
                <w:szCs w:val="22"/>
                <w:highlight w:val="none"/>
              </w:rPr>
            </w:pPr>
          </w:p>
        </w:tc>
      </w:tr>
      <w:tr w14:paraId="55500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2383D0DB">
            <w:pPr>
              <w:pageBreakBefore w:val="0"/>
              <w:kinsoku/>
              <w:wordWrap w:val="0"/>
              <w:topLinePunct w:val="0"/>
              <w:bidi w:val="0"/>
              <w:jc w:val="center"/>
              <w:rPr>
                <w:rFonts w:hint="eastAsia" w:ascii="宋体" w:hAnsi="宋体" w:eastAsia="宋体" w:cs="宋体"/>
                <w:color w:val="auto"/>
                <w:sz w:val="22"/>
                <w:szCs w:val="22"/>
                <w:highlight w:val="none"/>
              </w:rPr>
            </w:pPr>
          </w:p>
        </w:tc>
        <w:tc>
          <w:tcPr>
            <w:tcW w:w="3687" w:type="dxa"/>
            <w:vAlign w:val="center"/>
          </w:tcPr>
          <w:p w14:paraId="1EAC87AC">
            <w:pPr>
              <w:pageBreakBefore w:val="0"/>
              <w:kinsoku/>
              <w:wordWrap w:val="0"/>
              <w:topLinePunct w:val="0"/>
              <w:bidi w:val="0"/>
              <w:jc w:val="center"/>
              <w:rPr>
                <w:rFonts w:hint="eastAsia" w:ascii="宋体" w:hAnsi="宋体" w:eastAsia="宋体" w:cs="宋体"/>
                <w:color w:val="auto"/>
                <w:sz w:val="22"/>
                <w:szCs w:val="22"/>
                <w:highlight w:val="none"/>
              </w:rPr>
            </w:pPr>
          </w:p>
        </w:tc>
        <w:tc>
          <w:tcPr>
            <w:tcW w:w="3402" w:type="dxa"/>
            <w:vAlign w:val="center"/>
          </w:tcPr>
          <w:p w14:paraId="4C43080F">
            <w:pPr>
              <w:pageBreakBefore w:val="0"/>
              <w:kinsoku/>
              <w:wordWrap w:val="0"/>
              <w:topLinePunct w:val="0"/>
              <w:bidi w:val="0"/>
              <w:jc w:val="center"/>
              <w:rPr>
                <w:rFonts w:hint="eastAsia" w:ascii="宋体" w:hAnsi="宋体" w:eastAsia="宋体" w:cs="宋体"/>
                <w:color w:val="auto"/>
                <w:sz w:val="22"/>
                <w:szCs w:val="22"/>
                <w:highlight w:val="none"/>
              </w:rPr>
            </w:pPr>
          </w:p>
        </w:tc>
        <w:tc>
          <w:tcPr>
            <w:tcW w:w="1580" w:type="dxa"/>
            <w:vAlign w:val="center"/>
          </w:tcPr>
          <w:p w14:paraId="682367CB">
            <w:pPr>
              <w:pageBreakBefore w:val="0"/>
              <w:kinsoku/>
              <w:wordWrap w:val="0"/>
              <w:topLinePunct w:val="0"/>
              <w:bidi w:val="0"/>
              <w:jc w:val="center"/>
              <w:rPr>
                <w:rFonts w:hint="eastAsia" w:ascii="宋体" w:hAnsi="宋体" w:eastAsia="宋体" w:cs="宋体"/>
                <w:color w:val="auto"/>
                <w:sz w:val="22"/>
                <w:szCs w:val="22"/>
                <w:highlight w:val="none"/>
              </w:rPr>
            </w:pPr>
          </w:p>
        </w:tc>
      </w:tr>
      <w:tr w14:paraId="3DBBD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4ADF3D2E">
            <w:pPr>
              <w:pageBreakBefore w:val="0"/>
              <w:kinsoku/>
              <w:wordWrap w:val="0"/>
              <w:topLinePunct w:val="0"/>
              <w:bidi w:val="0"/>
              <w:jc w:val="center"/>
              <w:rPr>
                <w:rFonts w:hint="eastAsia" w:ascii="宋体" w:hAnsi="宋体" w:eastAsia="宋体" w:cs="宋体"/>
                <w:color w:val="auto"/>
                <w:sz w:val="22"/>
                <w:szCs w:val="22"/>
                <w:highlight w:val="none"/>
              </w:rPr>
            </w:pPr>
          </w:p>
        </w:tc>
        <w:tc>
          <w:tcPr>
            <w:tcW w:w="3687" w:type="dxa"/>
            <w:vAlign w:val="center"/>
          </w:tcPr>
          <w:p w14:paraId="40D05A3E">
            <w:pPr>
              <w:pageBreakBefore w:val="0"/>
              <w:kinsoku/>
              <w:wordWrap w:val="0"/>
              <w:topLinePunct w:val="0"/>
              <w:bidi w:val="0"/>
              <w:jc w:val="center"/>
              <w:rPr>
                <w:rFonts w:hint="eastAsia" w:ascii="宋体" w:hAnsi="宋体" w:eastAsia="宋体" w:cs="宋体"/>
                <w:color w:val="auto"/>
                <w:sz w:val="22"/>
                <w:szCs w:val="22"/>
                <w:highlight w:val="none"/>
              </w:rPr>
            </w:pPr>
          </w:p>
        </w:tc>
        <w:tc>
          <w:tcPr>
            <w:tcW w:w="3402" w:type="dxa"/>
            <w:vAlign w:val="center"/>
          </w:tcPr>
          <w:p w14:paraId="535011AA">
            <w:pPr>
              <w:pageBreakBefore w:val="0"/>
              <w:kinsoku/>
              <w:wordWrap w:val="0"/>
              <w:topLinePunct w:val="0"/>
              <w:bidi w:val="0"/>
              <w:jc w:val="center"/>
              <w:rPr>
                <w:rFonts w:hint="eastAsia" w:ascii="宋体" w:hAnsi="宋体" w:eastAsia="宋体" w:cs="宋体"/>
                <w:color w:val="auto"/>
                <w:sz w:val="22"/>
                <w:szCs w:val="22"/>
                <w:highlight w:val="none"/>
              </w:rPr>
            </w:pPr>
          </w:p>
        </w:tc>
        <w:tc>
          <w:tcPr>
            <w:tcW w:w="1580" w:type="dxa"/>
            <w:vAlign w:val="center"/>
          </w:tcPr>
          <w:p w14:paraId="1D6FD689">
            <w:pPr>
              <w:pageBreakBefore w:val="0"/>
              <w:kinsoku/>
              <w:wordWrap w:val="0"/>
              <w:topLinePunct w:val="0"/>
              <w:bidi w:val="0"/>
              <w:jc w:val="center"/>
              <w:rPr>
                <w:rFonts w:hint="eastAsia" w:ascii="宋体" w:hAnsi="宋体" w:eastAsia="宋体" w:cs="宋体"/>
                <w:color w:val="auto"/>
                <w:sz w:val="22"/>
                <w:szCs w:val="22"/>
                <w:highlight w:val="none"/>
              </w:rPr>
            </w:pPr>
          </w:p>
        </w:tc>
      </w:tr>
      <w:tr w14:paraId="3C9AE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17535EF2">
            <w:pPr>
              <w:pageBreakBefore w:val="0"/>
              <w:kinsoku/>
              <w:wordWrap w:val="0"/>
              <w:topLinePunct w:val="0"/>
              <w:bidi w:val="0"/>
              <w:jc w:val="center"/>
              <w:rPr>
                <w:rFonts w:hint="eastAsia" w:ascii="宋体" w:hAnsi="宋体" w:eastAsia="宋体" w:cs="宋体"/>
                <w:color w:val="auto"/>
                <w:sz w:val="22"/>
                <w:szCs w:val="22"/>
                <w:highlight w:val="none"/>
              </w:rPr>
            </w:pPr>
          </w:p>
        </w:tc>
        <w:tc>
          <w:tcPr>
            <w:tcW w:w="3687" w:type="dxa"/>
            <w:vAlign w:val="center"/>
          </w:tcPr>
          <w:p w14:paraId="54852255">
            <w:pPr>
              <w:pageBreakBefore w:val="0"/>
              <w:kinsoku/>
              <w:wordWrap w:val="0"/>
              <w:topLinePunct w:val="0"/>
              <w:bidi w:val="0"/>
              <w:jc w:val="center"/>
              <w:rPr>
                <w:rFonts w:hint="eastAsia" w:ascii="宋体" w:hAnsi="宋体" w:eastAsia="宋体" w:cs="宋体"/>
                <w:color w:val="auto"/>
                <w:sz w:val="22"/>
                <w:szCs w:val="22"/>
                <w:highlight w:val="none"/>
              </w:rPr>
            </w:pPr>
          </w:p>
        </w:tc>
        <w:tc>
          <w:tcPr>
            <w:tcW w:w="3402" w:type="dxa"/>
            <w:vAlign w:val="center"/>
          </w:tcPr>
          <w:p w14:paraId="33B679D0">
            <w:pPr>
              <w:pageBreakBefore w:val="0"/>
              <w:kinsoku/>
              <w:wordWrap w:val="0"/>
              <w:topLinePunct w:val="0"/>
              <w:bidi w:val="0"/>
              <w:jc w:val="center"/>
              <w:rPr>
                <w:rFonts w:hint="eastAsia" w:ascii="宋体" w:hAnsi="宋体" w:eastAsia="宋体" w:cs="宋体"/>
                <w:color w:val="auto"/>
                <w:sz w:val="22"/>
                <w:szCs w:val="22"/>
                <w:highlight w:val="none"/>
              </w:rPr>
            </w:pPr>
          </w:p>
        </w:tc>
        <w:tc>
          <w:tcPr>
            <w:tcW w:w="1580" w:type="dxa"/>
            <w:vAlign w:val="center"/>
          </w:tcPr>
          <w:p w14:paraId="232E1C6D">
            <w:pPr>
              <w:pageBreakBefore w:val="0"/>
              <w:kinsoku/>
              <w:wordWrap w:val="0"/>
              <w:topLinePunct w:val="0"/>
              <w:bidi w:val="0"/>
              <w:jc w:val="center"/>
              <w:rPr>
                <w:rFonts w:hint="eastAsia" w:ascii="宋体" w:hAnsi="宋体" w:eastAsia="宋体" w:cs="宋体"/>
                <w:color w:val="auto"/>
                <w:sz w:val="22"/>
                <w:szCs w:val="22"/>
                <w:highlight w:val="none"/>
              </w:rPr>
            </w:pPr>
          </w:p>
        </w:tc>
      </w:tr>
      <w:tr w14:paraId="227D7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3FC4EF85">
            <w:pPr>
              <w:pageBreakBefore w:val="0"/>
              <w:kinsoku/>
              <w:wordWrap w:val="0"/>
              <w:topLinePunct w:val="0"/>
              <w:bidi w:val="0"/>
              <w:jc w:val="center"/>
              <w:rPr>
                <w:rFonts w:hint="eastAsia" w:ascii="宋体" w:hAnsi="宋体" w:eastAsia="宋体" w:cs="宋体"/>
                <w:color w:val="auto"/>
                <w:sz w:val="22"/>
                <w:szCs w:val="22"/>
                <w:highlight w:val="none"/>
              </w:rPr>
            </w:pPr>
          </w:p>
        </w:tc>
        <w:tc>
          <w:tcPr>
            <w:tcW w:w="3687" w:type="dxa"/>
            <w:vAlign w:val="center"/>
          </w:tcPr>
          <w:p w14:paraId="18BF5D8F">
            <w:pPr>
              <w:pageBreakBefore w:val="0"/>
              <w:kinsoku/>
              <w:wordWrap w:val="0"/>
              <w:topLinePunct w:val="0"/>
              <w:bidi w:val="0"/>
              <w:jc w:val="center"/>
              <w:rPr>
                <w:rFonts w:hint="eastAsia" w:ascii="宋体" w:hAnsi="宋体" w:eastAsia="宋体" w:cs="宋体"/>
                <w:color w:val="auto"/>
                <w:sz w:val="22"/>
                <w:szCs w:val="22"/>
                <w:highlight w:val="none"/>
              </w:rPr>
            </w:pPr>
          </w:p>
        </w:tc>
        <w:tc>
          <w:tcPr>
            <w:tcW w:w="3402" w:type="dxa"/>
            <w:vAlign w:val="center"/>
          </w:tcPr>
          <w:p w14:paraId="070D5A95">
            <w:pPr>
              <w:pageBreakBefore w:val="0"/>
              <w:kinsoku/>
              <w:wordWrap w:val="0"/>
              <w:topLinePunct w:val="0"/>
              <w:bidi w:val="0"/>
              <w:jc w:val="center"/>
              <w:rPr>
                <w:rFonts w:hint="eastAsia" w:ascii="宋体" w:hAnsi="宋体" w:eastAsia="宋体" w:cs="宋体"/>
                <w:color w:val="auto"/>
                <w:sz w:val="22"/>
                <w:szCs w:val="22"/>
                <w:highlight w:val="none"/>
              </w:rPr>
            </w:pPr>
          </w:p>
        </w:tc>
        <w:tc>
          <w:tcPr>
            <w:tcW w:w="1580" w:type="dxa"/>
            <w:vAlign w:val="center"/>
          </w:tcPr>
          <w:p w14:paraId="20C72C68">
            <w:pPr>
              <w:pageBreakBefore w:val="0"/>
              <w:kinsoku/>
              <w:wordWrap w:val="0"/>
              <w:topLinePunct w:val="0"/>
              <w:bidi w:val="0"/>
              <w:jc w:val="center"/>
              <w:rPr>
                <w:rFonts w:hint="eastAsia" w:ascii="宋体" w:hAnsi="宋体" w:eastAsia="宋体" w:cs="宋体"/>
                <w:color w:val="auto"/>
                <w:sz w:val="22"/>
                <w:szCs w:val="22"/>
                <w:highlight w:val="none"/>
              </w:rPr>
            </w:pPr>
          </w:p>
        </w:tc>
      </w:tr>
      <w:tr w14:paraId="0A9A7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523DBFEF">
            <w:pPr>
              <w:pageBreakBefore w:val="0"/>
              <w:kinsoku/>
              <w:wordWrap w:val="0"/>
              <w:topLinePunct w:val="0"/>
              <w:bidi w:val="0"/>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687" w:type="dxa"/>
            <w:vAlign w:val="center"/>
          </w:tcPr>
          <w:p w14:paraId="09ED7535">
            <w:pPr>
              <w:pageBreakBefore w:val="0"/>
              <w:kinsoku/>
              <w:wordWrap w:val="0"/>
              <w:topLinePunct w:val="0"/>
              <w:bidi w:val="0"/>
              <w:jc w:val="center"/>
              <w:rPr>
                <w:rFonts w:hint="eastAsia" w:ascii="宋体" w:hAnsi="宋体" w:eastAsia="宋体" w:cs="宋体"/>
                <w:color w:val="auto"/>
                <w:sz w:val="22"/>
                <w:szCs w:val="22"/>
                <w:highlight w:val="none"/>
              </w:rPr>
            </w:pPr>
          </w:p>
        </w:tc>
        <w:tc>
          <w:tcPr>
            <w:tcW w:w="3402" w:type="dxa"/>
            <w:vAlign w:val="center"/>
          </w:tcPr>
          <w:p w14:paraId="5A127999">
            <w:pPr>
              <w:pageBreakBefore w:val="0"/>
              <w:kinsoku/>
              <w:wordWrap w:val="0"/>
              <w:topLinePunct w:val="0"/>
              <w:bidi w:val="0"/>
              <w:jc w:val="center"/>
              <w:rPr>
                <w:rFonts w:hint="eastAsia" w:ascii="宋体" w:hAnsi="宋体" w:eastAsia="宋体" w:cs="宋体"/>
                <w:color w:val="auto"/>
                <w:sz w:val="22"/>
                <w:szCs w:val="22"/>
                <w:highlight w:val="none"/>
              </w:rPr>
            </w:pPr>
          </w:p>
        </w:tc>
        <w:tc>
          <w:tcPr>
            <w:tcW w:w="1580" w:type="dxa"/>
            <w:vAlign w:val="center"/>
          </w:tcPr>
          <w:p w14:paraId="14E34516">
            <w:pPr>
              <w:pageBreakBefore w:val="0"/>
              <w:kinsoku/>
              <w:wordWrap w:val="0"/>
              <w:topLinePunct w:val="0"/>
              <w:bidi w:val="0"/>
              <w:jc w:val="center"/>
              <w:rPr>
                <w:rFonts w:hint="eastAsia" w:ascii="宋体" w:hAnsi="宋体" w:eastAsia="宋体" w:cs="宋体"/>
                <w:color w:val="auto"/>
                <w:sz w:val="22"/>
                <w:szCs w:val="22"/>
                <w:highlight w:val="none"/>
              </w:rPr>
            </w:pPr>
          </w:p>
        </w:tc>
      </w:tr>
      <w:tr w14:paraId="1C21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5B8CDE52">
            <w:pPr>
              <w:pageBreakBefore w:val="0"/>
              <w:kinsoku/>
              <w:wordWrap w:val="0"/>
              <w:topLinePunct w:val="0"/>
              <w:bidi w:val="0"/>
              <w:jc w:val="center"/>
              <w:rPr>
                <w:rFonts w:hint="eastAsia" w:ascii="宋体" w:hAnsi="宋体" w:eastAsia="宋体" w:cs="宋体"/>
                <w:color w:val="auto"/>
                <w:sz w:val="22"/>
                <w:szCs w:val="22"/>
                <w:highlight w:val="none"/>
              </w:rPr>
            </w:pPr>
          </w:p>
        </w:tc>
        <w:tc>
          <w:tcPr>
            <w:tcW w:w="3687" w:type="dxa"/>
            <w:vAlign w:val="center"/>
          </w:tcPr>
          <w:p w14:paraId="6564A0C9">
            <w:pPr>
              <w:pageBreakBefore w:val="0"/>
              <w:kinsoku/>
              <w:wordWrap w:val="0"/>
              <w:topLinePunct w:val="0"/>
              <w:bidi w:val="0"/>
              <w:jc w:val="center"/>
              <w:rPr>
                <w:rFonts w:hint="eastAsia" w:ascii="宋体" w:hAnsi="宋体" w:eastAsia="宋体" w:cs="宋体"/>
                <w:color w:val="auto"/>
                <w:sz w:val="22"/>
                <w:szCs w:val="22"/>
                <w:highlight w:val="none"/>
              </w:rPr>
            </w:pPr>
          </w:p>
        </w:tc>
        <w:tc>
          <w:tcPr>
            <w:tcW w:w="3402" w:type="dxa"/>
            <w:vAlign w:val="center"/>
          </w:tcPr>
          <w:p w14:paraId="6A71363B">
            <w:pPr>
              <w:pageBreakBefore w:val="0"/>
              <w:kinsoku/>
              <w:wordWrap w:val="0"/>
              <w:topLinePunct w:val="0"/>
              <w:bidi w:val="0"/>
              <w:jc w:val="center"/>
              <w:rPr>
                <w:rFonts w:hint="eastAsia" w:ascii="宋体" w:hAnsi="宋体" w:eastAsia="宋体" w:cs="宋体"/>
                <w:color w:val="auto"/>
                <w:sz w:val="22"/>
                <w:szCs w:val="22"/>
                <w:highlight w:val="none"/>
              </w:rPr>
            </w:pPr>
          </w:p>
        </w:tc>
        <w:tc>
          <w:tcPr>
            <w:tcW w:w="1580" w:type="dxa"/>
            <w:vAlign w:val="center"/>
          </w:tcPr>
          <w:p w14:paraId="65F940BE">
            <w:pPr>
              <w:pageBreakBefore w:val="0"/>
              <w:kinsoku/>
              <w:wordWrap w:val="0"/>
              <w:topLinePunct w:val="0"/>
              <w:bidi w:val="0"/>
              <w:jc w:val="center"/>
              <w:rPr>
                <w:rFonts w:hint="eastAsia" w:ascii="宋体" w:hAnsi="宋体" w:eastAsia="宋体" w:cs="宋体"/>
                <w:color w:val="auto"/>
                <w:sz w:val="22"/>
                <w:szCs w:val="22"/>
                <w:highlight w:val="none"/>
              </w:rPr>
            </w:pPr>
          </w:p>
        </w:tc>
      </w:tr>
      <w:tr w14:paraId="76AC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0133A6F0">
            <w:pPr>
              <w:pageBreakBefore w:val="0"/>
              <w:kinsoku/>
              <w:wordWrap w:val="0"/>
              <w:topLinePunct w:val="0"/>
              <w:bidi w:val="0"/>
              <w:jc w:val="center"/>
              <w:rPr>
                <w:rFonts w:hint="eastAsia" w:ascii="宋体" w:hAnsi="宋体" w:eastAsia="宋体" w:cs="宋体"/>
                <w:color w:val="auto"/>
                <w:sz w:val="22"/>
                <w:szCs w:val="22"/>
                <w:highlight w:val="none"/>
              </w:rPr>
            </w:pPr>
          </w:p>
        </w:tc>
        <w:tc>
          <w:tcPr>
            <w:tcW w:w="3687" w:type="dxa"/>
            <w:vAlign w:val="center"/>
          </w:tcPr>
          <w:p w14:paraId="2CEE8BCE">
            <w:pPr>
              <w:pageBreakBefore w:val="0"/>
              <w:kinsoku/>
              <w:wordWrap w:val="0"/>
              <w:topLinePunct w:val="0"/>
              <w:bidi w:val="0"/>
              <w:jc w:val="center"/>
              <w:rPr>
                <w:rFonts w:hint="eastAsia" w:ascii="宋体" w:hAnsi="宋体" w:eastAsia="宋体" w:cs="宋体"/>
                <w:color w:val="auto"/>
                <w:sz w:val="22"/>
                <w:szCs w:val="22"/>
                <w:highlight w:val="none"/>
              </w:rPr>
            </w:pPr>
          </w:p>
        </w:tc>
        <w:tc>
          <w:tcPr>
            <w:tcW w:w="3402" w:type="dxa"/>
            <w:vAlign w:val="center"/>
          </w:tcPr>
          <w:p w14:paraId="787D70AB">
            <w:pPr>
              <w:pageBreakBefore w:val="0"/>
              <w:kinsoku/>
              <w:wordWrap w:val="0"/>
              <w:topLinePunct w:val="0"/>
              <w:bidi w:val="0"/>
              <w:jc w:val="center"/>
              <w:rPr>
                <w:rFonts w:hint="eastAsia" w:ascii="宋体" w:hAnsi="宋体" w:eastAsia="宋体" w:cs="宋体"/>
                <w:color w:val="auto"/>
                <w:sz w:val="22"/>
                <w:szCs w:val="22"/>
                <w:highlight w:val="none"/>
              </w:rPr>
            </w:pPr>
          </w:p>
        </w:tc>
        <w:tc>
          <w:tcPr>
            <w:tcW w:w="1580" w:type="dxa"/>
            <w:vAlign w:val="center"/>
          </w:tcPr>
          <w:p w14:paraId="73A41A2A">
            <w:pPr>
              <w:pageBreakBefore w:val="0"/>
              <w:kinsoku/>
              <w:wordWrap w:val="0"/>
              <w:topLinePunct w:val="0"/>
              <w:bidi w:val="0"/>
              <w:jc w:val="center"/>
              <w:rPr>
                <w:rFonts w:hint="eastAsia" w:ascii="宋体" w:hAnsi="宋体" w:eastAsia="宋体" w:cs="宋体"/>
                <w:color w:val="auto"/>
                <w:sz w:val="22"/>
                <w:szCs w:val="22"/>
                <w:highlight w:val="none"/>
              </w:rPr>
            </w:pPr>
          </w:p>
        </w:tc>
      </w:tr>
      <w:tr w14:paraId="1CAC6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5F08AAE8">
            <w:pPr>
              <w:pageBreakBefore w:val="0"/>
              <w:kinsoku/>
              <w:wordWrap w:val="0"/>
              <w:topLinePunct w:val="0"/>
              <w:bidi w:val="0"/>
              <w:jc w:val="center"/>
              <w:rPr>
                <w:rFonts w:hint="eastAsia" w:ascii="宋体" w:hAnsi="宋体" w:eastAsia="宋体" w:cs="宋体"/>
                <w:color w:val="auto"/>
                <w:sz w:val="22"/>
                <w:szCs w:val="22"/>
                <w:highlight w:val="none"/>
              </w:rPr>
            </w:pPr>
          </w:p>
        </w:tc>
        <w:tc>
          <w:tcPr>
            <w:tcW w:w="3687" w:type="dxa"/>
            <w:vAlign w:val="center"/>
          </w:tcPr>
          <w:p w14:paraId="144BBA81">
            <w:pPr>
              <w:pageBreakBefore w:val="0"/>
              <w:kinsoku/>
              <w:wordWrap w:val="0"/>
              <w:topLinePunct w:val="0"/>
              <w:bidi w:val="0"/>
              <w:jc w:val="center"/>
              <w:rPr>
                <w:rFonts w:hint="eastAsia" w:ascii="宋体" w:hAnsi="宋体" w:eastAsia="宋体" w:cs="宋体"/>
                <w:color w:val="auto"/>
                <w:sz w:val="22"/>
                <w:szCs w:val="22"/>
                <w:highlight w:val="none"/>
              </w:rPr>
            </w:pPr>
          </w:p>
        </w:tc>
        <w:tc>
          <w:tcPr>
            <w:tcW w:w="3402" w:type="dxa"/>
            <w:vAlign w:val="center"/>
          </w:tcPr>
          <w:p w14:paraId="0B090CB4">
            <w:pPr>
              <w:pageBreakBefore w:val="0"/>
              <w:kinsoku/>
              <w:wordWrap w:val="0"/>
              <w:topLinePunct w:val="0"/>
              <w:bidi w:val="0"/>
              <w:jc w:val="center"/>
              <w:rPr>
                <w:rFonts w:hint="eastAsia" w:ascii="宋体" w:hAnsi="宋体" w:eastAsia="宋体" w:cs="宋体"/>
                <w:color w:val="auto"/>
                <w:sz w:val="22"/>
                <w:szCs w:val="22"/>
                <w:highlight w:val="none"/>
              </w:rPr>
            </w:pPr>
          </w:p>
        </w:tc>
        <w:tc>
          <w:tcPr>
            <w:tcW w:w="1580" w:type="dxa"/>
            <w:vAlign w:val="center"/>
          </w:tcPr>
          <w:p w14:paraId="4F9FE25F">
            <w:pPr>
              <w:pageBreakBefore w:val="0"/>
              <w:kinsoku/>
              <w:wordWrap w:val="0"/>
              <w:topLinePunct w:val="0"/>
              <w:bidi w:val="0"/>
              <w:jc w:val="center"/>
              <w:rPr>
                <w:rFonts w:hint="eastAsia" w:ascii="宋体" w:hAnsi="宋体" w:eastAsia="宋体" w:cs="宋体"/>
                <w:color w:val="auto"/>
                <w:sz w:val="22"/>
                <w:szCs w:val="22"/>
                <w:highlight w:val="none"/>
              </w:rPr>
            </w:pPr>
          </w:p>
        </w:tc>
      </w:tr>
      <w:tr w14:paraId="5119F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3BCA5C31">
            <w:pPr>
              <w:pageBreakBefore w:val="0"/>
              <w:kinsoku/>
              <w:wordWrap w:val="0"/>
              <w:topLinePunct w:val="0"/>
              <w:bidi w:val="0"/>
              <w:jc w:val="center"/>
              <w:rPr>
                <w:rFonts w:hint="eastAsia" w:ascii="宋体" w:hAnsi="宋体" w:eastAsia="宋体" w:cs="宋体"/>
                <w:color w:val="auto"/>
                <w:sz w:val="22"/>
                <w:szCs w:val="22"/>
                <w:highlight w:val="none"/>
              </w:rPr>
            </w:pPr>
          </w:p>
        </w:tc>
        <w:tc>
          <w:tcPr>
            <w:tcW w:w="3687" w:type="dxa"/>
            <w:vAlign w:val="center"/>
          </w:tcPr>
          <w:p w14:paraId="572EC441">
            <w:pPr>
              <w:pageBreakBefore w:val="0"/>
              <w:kinsoku/>
              <w:wordWrap w:val="0"/>
              <w:topLinePunct w:val="0"/>
              <w:bidi w:val="0"/>
              <w:jc w:val="center"/>
              <w:rPr>
                <w:rFonts w:hint="eastAsia" w:ascii="宋体" w:hAnsi="宋体" w:eastAsia="宋体" w:cs="宋体"/>
                <w:color w:val="auto"/>
                <w:sz w:val="22"/>
                <w:szCs w:val="22"/>
                <w:highlight w:val="none"/>
              </w:rPr>
            </w:pPr>
          </w:p>
        </w:tc>
        <w:tc>
          <w:tcPr>
            <w:tcW w:w="3402" w:type="dxa"/>
            <w:vAlign w:val="center"/>
          </w:tcPr>
          <w:p w14:paraId="40BB5089">
            <w:pPr>
              <w:pageBreakBefore w:val="0"/>
              <w:kinsoku/>
              <w:wordWrap w:val="0"/>
              <w:topLinePunct w:val="0"/>
              <w:bidi w:val="0"/>
              <w:jc w:val="center"/>
              <w:rPr>
                <w:rFonts w:hint="eastAsia" w:ascii="宋体" w:hAnsi="宋体" w:eastAsia="宋体" w:cs="宋体"/>
                <w:color w:val="auto"/>
                <w:sz w:val="22"/>
                <w:szCs w:val="22"/>
                <w:highlight w:val="none"/>
              </w:rPr>
            </w:pPr>
          </w:p>
        </w:tc>
        <w:tc>
          <w:tcPr>
            <w:tcW w:w="1580" w:type="dxa"/>
            <w:vAlign w:val="center"/>
          </w:tcPr>
          <w:p w14:paraId="71B1BF5F">
            <w:pPr>
              <w:pageBreakBefore w:val="0"/>
              <w:kinsoku/>
              <w:wordWrap w:val="0"/>
              <w:topLinePunct w:val="0"/>
              <w:bidi w:val="0"/>
              <w:jc w:val="center"/>
              <w:rPr>
                <w:rFonts w:hint="eastAsia" w:ascii="宋体" w:hAnsi="宋体" w:eastAsia="宋体" w:cs="宋体"/>
                <w:color w:val="auto"/>
                <w:sz w:val="22"/>
                <w:szCs w:val="22"/>
                <w:highlight w:val="none"/>
              </w:rPr>
            </w:pPr>
          </w:p>
        </w:tc>
      </w:tr>
      <w:tr w14:paraId="12E50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025B73BF">
            <w:pPr>
              <w:pageBreakBefore w:val="0"/>
              <w:kinsoku/>
              <w:wordWrap w:val="0"/>
              <w:topLinePunct w:val="0"/>
              <w:bidi w:val="0"/>
              <w:jc w:val="center"/>
              <w:rPr>
                <w:rFonts w:hint="eastAsia" w:ascii="宋体" w:hAnsi="宋体" w:eastAsia="宋体" w:cs="宋体"/>
                <w:color w:val="auto"/>
                <w:sz w:val="22"/>
                <w:szCs w:val="22"/>
                <w:highlight w:val="none"/>
              </w:rPr>
            </w:pPr>
          </w:p>
        </w:tc>
        <w:tc>
          <w:tcPr>
            <w:tcW w:w="3687" w:type="dxa"/>
            <w:vAlign w:val="center"/>
          </w:tcPr>
          <w:p w14:paraId="1A4F299C">
            <w:pPr>
              <w:pageBreakBefore w:val="0"/>
              <w:kinsoku/>
              <w:wordWrap w:val="0"/>
              <w:topLinePunct w:val="0"/>
              <w:bidi w:val="0"/>
              <w:jc w:val="center"/>
              <w:rPr>
                <w:rFonts w:hint="eastAsia" w:ascii="宋体" w:hAnsi="宋体" w:eastAsia="宋体" w:cs="宋体"/>
                <w:color w:val="auto"/>
                <w:sz w:val="22"/>
                <w:szCs w:val="22"/>
                <w:highlight w:val="none"/>
              </w:rPr>
            </w:pPr>
          </w:p>
        </w:tc>
        <w:tc>
          <w:tcPr>
            <w:tcW w:w="3402" w:type="dxa"/>
            <w:vAlign w:val="center"/>
          </w:tcPr>
          <w:p w14:paraId="023C48A6">
            <w:pPr>
              <w:pageBreakBefore w:val="0"/>
              <w:kinsoku/>
              <w:wordWrap w:val="0"/>
              <w:topLinePunct w:val="0"/>
              <w:bidi w:val="0"/>
              <w:jc w:val="center"/>
              <w:rPr>
                <w:rFonts w:hint="eastAsia" w:ascii="宋体" w:hAnsi="宋体" w:eastAsia="宋体" w:cs="宋体"/>
                <w:color w:val="auto"/>
                <w:sz w:val="22"/>
                <w:szCs w:val="22"/>
                <w:highlight w:val="none"/>
              </w:rPr>
            </w:pPr>
          </w:p>
        </w:tc>
        <w:tc>
          <w:tcPr>
            <w:tcW w:w="1580" w:type="dxa"/>
            <w:vAlign w:val="center"/>
          </w:tcPr>
          <w:p w14:paraId="50BE4EE1">
            <w:pPr>
              <w:pageBreakBefore w:val="0"/>
              <w:kinsoku/>
              <w:wordWrap w:val="0"/>
              <w:topLinePunct w:val="0"/>
              <w:bidi w:val="0"/>
              <w:jc w:val="center"/>
              <w:rPr>
                <w:rFonts w:hint="eastAsia" w:ascii="宋体" w:hAnsi="宋体" w:eastAsia="宋体" w:cs="宋体"/>
                <w:color w:val="auto"/>
                <w:sz w:val="22"/>
                <w:szCs w:val="22"/>
                <w:highlight w:val="none"/>
              </w:rPr>
            </w:pPr>
          </w:p>
        </w:tc>
      </w:tr>
    </w:tbl>
    <w:p w14:paraId="1E6D7754">
      <w:pPr>
        <w:pageBreakBefore w:val="0"/>
        <w:kinsoku/>
        <w:wordWrap w:val="0"/>
        <w:topLinePunct w:val="0"/>
        <w:bidi w:val="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w:t>
      </w:r>
      <w:r>
        <w:rPr>
          <w:rFonts w:hint="eastAsia" w:ascii="宋体" w:hAnsi="宋体" w:eastAsia="宋体" w:cs="宋体"/>
          <w:b/>
          <w:bCs/>
          <w:color w:val="auto"/>
          <w:sz w:val="22"/>
          <w:szCs w:val="22"/>
          <w:highlight w:val="none"/>
        </w:rPr>
        <w:t>注： 如有偏离，必须在偏离表中进行详细对比说明并注明正偏离和负偏离，如不说明偏离情况，视为完全响应采购文件要求无偏离</w:t>
      </w:r>
      <w:r>
        <w:rPr>
          <w:rFonts w:hint="eastAsia" w:ascii="宋体" w:hAnsi="宋体" w:cs="宋体"/>
          <w:b/>
          <w:bCs/>
          <w:color w:val="auto"/>
          <w:sz w:val="22"/>
          <w:szCs w:val="22"/>
          <w:highlight w:val="none"/>
          <w:lang w:eastAsia="zh-CN"/>
        </w:rPr>
        <w:t>。</w:t>
      </w:r>
    </w:p>
    <w:p w14:paraId="5EE5E168">
      <w:pPr>
        <w:pageBreakBefore w:val="0"/>
        <w:kinsoku/>
        <w:wordWrap w:val="0"/>
        <w:topLinePunct w:val="0"/>
        <w:bidi w:val="0"/>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7EEE6921">
      <w:pPr>
        <w:pageBreakBefore w:val="0"/>
        <w:kinsoku/>
        <w:wordWrap w:val="0"/>
        <w:topLinePunct w:val="0"/>
        <w:bidi w:val="0"/>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23F13B6C">
      <w:pPr>
        <w:pageBreakBefore w:val="0"/>
        <w:kinsoku/>
        <w:wordWrap w:val="0"/>
        <w:topLinePunct w:val="0"/>
        <w:bidi w:val="0"/>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14:paraId="3D8D1371">
      <w:pPr>
        <w:pageBreakBefore w:val="0"/>
        <w:kinsoku/>
        <w:wordWrap w:val="0"/>
        <w:topLinePunct w:val="0"/>
        <w:bidi w:val="0"/>
        <w:rPr>
          <w:rFonts w:hint="eastAsia" w:ascii="宋体" w:hAnsi="宋体" w:eastAsia="宋体" w:cs="宋体"/>
          <w:b/>
          <w:color w:val="auto"/>
          <w:sz w:val="24"/>
          <w:highlight w:val="none"/>
        </w:rPr>
      </w:pPr>
      <w:bookmarkStart w:id="52" w:name="_Toc415152386"/>
      <w:r>
        <w:rPr>
          <w:rFonts w:hint="eastAsia" w:ascii="宋体" w:hAnsi="宋体" w:eastAsia="宋体" w:cs="宋体"/>
          <w:b/>
          <w:color w:val="auto"/>
          <w:sz w:val="24"/>
          <w:highlight w:val="none"/>
        </w:rPr>
        <w:br w:type="page"/>
      </w:r>
    </w:p>
    <w:p w14:paraId="4FBFC420">
      <w:pPr>
        <w:pageBreakBefore w:val="0"/>
        <w:kinsoku/>
        <w:wordWrap w:val="0"/>
        <w:topLinePunct w:val="0"/>
        <w:bidi w:val="0"/>
        <w:spacing w:line="400" w:lineRule="exact"/>
        <w:jc w:val="center"/>
        <w:outlineLvl w:val="3"/>
        <w:rPr>
          <w:rFonts w:ascii="新宋体" w:hAnsi="新宋体" w:eastAsia="新宋体" w:cs="新宋体"/>
          <w:b/>
          <w:color w:val="auto"/>
          <w:sz w:val="24"/>
          <w:highlight w:val="none"/>
          <w:lang w:val="zh-CN"/>
        </w:rPr>
      </w:pPr>
      <w:r>
        <w:rPr>
          <w:rFonts w:hint="eastAsia" w:ascii="新宋体" w:hAnsi="新宋体" w:eastAsia="新宋体" w:cs="新宋体"/>
          <w:b/>
          <w:color w:val="auto"/>
          <w:sz w:val="24"/>
          <w:highlight w:val="none"/>
        </w:rPr>
        <w:t>4、</w:t>
      </w:r>
      <w:r>
        <w:rPr>
          <w:rFonts w:hint="eastAsia" w:ascii="新宋体" w:hAnsi="新宋体" w:eastAsia="新宋体" w:cs="新宋体"/>
          <w:b/>
          <w:color w:val="auto"/>
          <w:sz w:val="24"/>
          <w:highlight w:val="none"/>
          <w:lang w:val="zh-CN"/>
        </w:rPr>
        <w:t>详细供货清单说明一览表（</w:t>
      </w:r>
      <w:r>
        <w:rPr>
          <w:rFonts w:hint="eastAsia" w:ascii="新宋体" w:hAnsi="新宋体" w:eastAsia="新宋体" w:cs="新宋体"/>
          <w:b/>
          <w:color w:val="auto"/>
          <w:sz w:val="24"/>
          <w:highlight w:val="none"/>
          <w:lang w:val="en-US" w:eastAsia="zh-CN"/>
        </w:rPr>
        <w:t>如有</w:t>
      </w:r>
      <w:r>
        <w:rPr>
          <w:rFonts w:hint="eastAsia" w:ascii="新宋体" w:hAnsi="新宋体" w:eastAsia="新宋体" w:cs="新宋体"/>
          <w:b/>
          <w:color w:val="auto"/>
          <w:sz w:val="24"/>
          <w:highlight w:val="none"/>
          <w:lang w:val="zh-CN"/>
        </w:rPr>
        <w:t>）</w:t>
      </w:r>
    </w:p>
    <w:p w14:paraId="7D889138">
      <w:pPr>
        <w:pageBreakBefore w:val="0"/>
        <w:kinsoku/>
        <w:wordWrap w:val="0"/>
        <w:topLinePunct w:val="0"/>
        <w:bidi w:val="0"/>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WZLCZB（Z）-2025-07016</w:t>
      </w:r>
    </w:p>
    <w:p w14:paraId="5D5E7981">
      <w:pPr>
        <w:keepNext/>
        <w:keepLines w:val="0"/>
        <w:pageBreakBefore w:val="0"/>
        <w:widowControl w:val="0"/>
        <w:kinsoku/>
        <w:wordWrap w:val="0"/>
        <w:overflowPunct/>
        <w:topLinePunct w:val="0"/>
        <w:autoSpaceDE/>
        <w:autoSpaceDN/>
        <w:bidi w:val="0"/>
        <w:adjustRightInd/>
        <w:snapToGrid/>
        <w:spacing w:line="360" w:lineRule="auto"/>
        <w:jc w:val="both"/>
        <w:textAlignment w:val="auto"/>
        <w:outlineLvl w:val="9"/>
        <w:rPr>
          <w:rFonts w:hint="eastAsia" w:ascii="新宋体" w:hAnsi="新宋体" w:eastAsia="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2025年学校图书</w:t>
      </w:r>
    </w:p>
    <w:tbl>
      <w:tblPr>
        <w:tblStyle w:val="52"/>
        <w:tblpPr w:leftFromText="180" w:rightFromText="180" w:vertAnchor="text" w:horzAnchor="margin" w:tblpY="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2"/>
        <w:gridCol w:w="2880"/>
        <w:gridCol w:w="1661"/>
        <w:gridCol w:w="1260"/>
        <w:gridCol w:w="1219"/>
      </w:tblGrid>
      <w:tr w14:paraId="571E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828" w:type="dxa"/>
            <w:shd w:val="clear" w:color="auto" w:fill="FFFFFF"/>
            <w:noWrap w:val="0"/>
            <w:vAlign w:val="center"/>
          </w:tcPr>
          <w:p w14:paraId="2D1750F6">
            <w:pPr>
              <w:pageBreakBefore w:val="0"/>
              <w:kinsoku/>
              <w:wordWrap w:val="0"/>
              <w:topLinePunct w:val="0"/>
              <w:bidi w:val="0"/>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序号</w:t>
            </w:r>
          </w:p>
        </w:tc>
        <w:tc>
          <w:tcPr>
            <w:tcW w:w="1692" w:type="dxa"/>
            <w:shd w:val="clear" w:color="auto" w:fill="FFFFFF"/>
            <w:noWrap w:val="0"/>
            <w:vAlign w:val="center"/>
          </w:tcPr>
          <w:p w14:paraId="0AEF9F7A">
            <w:pPr>
              <w:pageBreakBefore w:val="0"/>
              <w:kinsoku/>
              <w:wordWrap w:val="0"/>
              <w:topLinePunct w:val="0"/>
              <w:bidi w:val="0"/>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设备名称</w:t>
            </w:r>
          </w:p>
        </w:tc>
        <w:tc>
          <w:tcPr>
            <w:tcW w:w="2880" w:type="dxa"/>
            <w:shd w:val="clear" w:color="auto" w:fill="FFFFFF"/>
            <w:noWrap w:val="0"/>
            <w:vAlign w:val="center"/>
          </w:tcPr>
          <w:p w14:paraId="230913B1">
            <w:pPr>
              <w:pageBreakBefore w:val="0"/>
              <w:kinsoku/>
              <w:wordWrap w:val="0"/>
              <w:topLinePunct w:val="0"/>
              <w:bidi w:val="0"/>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规格及技术参数</w:t>
            </w:r>
          </w:p>
        </w:tc>
        <w:tc>
          <w:tcPr>
            <w:tcW w:w="1661" w:type="dxa"/>
            <w:shd w:val="clear" w:color="auto" w:fill="FFFFFF"/>
            <w:noWrap w:val="0"/>
            <w:vAlign w:val="center"/>
          </w:tcPr>
          <w:p w14:paraId="7102B098">
            <w:pPr>
              <w:pageBreakBefore w:val="0"/>
              <w:kinsoku/>
              <w:wordWrap w:val="0"/>
              <w:topLinePunct w:val="0"/>
              <w:bidi w:val="0"/>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原产地</w:t>
            </w:r>
          </w:p>
          <w:p w14:paraId="12558E08">
            <w:pPr>
              <w:pageBreakBefore w:val="0"/>
              <w:kinsoku/>
              <w:wordWrap w:val="0"/>
              <w:topLinePunct w:val="0"/>
              <w:bidi w:val="0"/>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（生产厂家）</w:t>
            </w:r>
          </w:p>
        </w:tc>
        <w:tc>
          <w:tcPr>
            <w:tcW w:w="1260" w:type="dxa"/>
            <w:shd w:val="clear" w:color="auto" w:fill="FFFFFF"/>
            <w:noWrap w:val="0"/>
            <w:vAlign w:val="center"/>
          </w:tcPr>
          <w:p w14:paraId="513103B5">
            <w:pPr>
              <w:pageBreakBefore w:val="0"/>
              <w:kinsoku/>
              <w:wordWrap w:val="0"/>
              <w:topLinePunct w:val="0"/>
              <w:bidi w:val="0"/>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数量</w:t>
            </w:r>
          </w:p>
        </w:tc>
        <w:tc>
          <w:tcPr>
            <w:tcW w:w="1219" w:type="dxa"/>
            <w:shd w:val="clear" w:color="auto" w:fill="FFFFFF"/>
            <w:noWrap w:val="0"/>
            <w:vAlign w:val="center"/>
          </w:tcPr>
          <w:p w14:paraId="470F12E1">
            <w:pPr>
              <w:pageBreakBefore w:val="0"/>
              <w:kinsoku/>
              <w:wordWrap w:val="0"/>
              <w:topLinePunct w:val="0"/>
              <w:bidi w:val="0"/>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质保期</w:t>
            </w:r>
          </w:p>
        </w:tc>
      </w:tr>
      <w:tr w14:paraId="3F255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605C746A">
            <w:pPr>
              <w:pageBreakBefore w:val="0"/>
              <w:kinsoku/>
              <w:wordWrap w:val="0"/>
              <w:topLinePunct w:val="0"/>
              <w:bidi w:val="0"/>
              <w:spacing w:line="360" w:lineRule="auto"/>
              <w:jc w:val="center"/>
              <w:rPr>
                <w:rFonts w:ascii="新宋体" w:hAnsi="新宋体" w:eastAsia="新宋体"/>
                <w:color w:val="auto"/>
                <w:sz w:val="22"/>
                <w:szCs w:val="22"/>
                <w:highlight w:val="none"/>
              </w:rPr>
            </w:pPr>
          </w:p>
        </w:tc>
        <w:tc>
          <w:tcPr>
            <w:tcW w:w="1692" w:type="dxa"/>
            <w:noWrap w:val="0"/>
            <w:vAlign w:val="center"/>
          </w:tcPr>
          <w:p w14:paraId="4C28FF5F">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2880" w:type="dxa"/>
            <w:noWrap w:val="0"/>
            <w:vAlign w:val="center"/>
          </w:tcPr>
          <w:p w14:paraId="62CE21B8">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661" w:type="dxa"/>
            <w:noWrap w:val="0"/>
            <w:vAlign w:val="center"/>
          </w:tcPr>
          <w:p w14:paraId="6A01B583">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260" w:type="dxa"/>
            <w:noWrap w:val="0"/>
            <w:vAlign w:val="center"/>
          </w:tcPr>
          <w:p w14:paraId="791834CB">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219" w:type="dxa"/>
            <w:noWrap w:val="0"/>
            <w:vAlign w:val="top"/>
          </w:tcPr>
          <w:p w14:paraId="6CC9322F">
            <w:pPr>
              <w:pageBreakBefore w:val="0"/>
              <w:kinsoku/>
              <w:wordWrap w:val="0"/>
              <w:topLinePunct w:val="0"/>
              <w:bidi w:val="0"/>
              <w:rPr>
                <w:rFonts w:ascii="新宋体" w:hAnsi="新宋体" w:eastAsia="新宋体"/>
                <w:color w:val="auto"/>
                <w:sz w:val="22"/>
                <w:szCs w:val="22"/>
                <w:highlight w:val="none"/>
              </w:rPr>
            </w:pPr>
          </w:p>
        </w:tc>
      </w:tr>
      <w:tr w14:paraId="351CD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6169F25B">
            <w:pPr>
              <w:pageBreakBefore w:val="0"/>
              <w:kinsoku/>
              <w:wordWrap w:val="0"/>
              <w:topLinePunct w:val="0"/>
              <w:bidi w:val="0"/>
              <w:spacing w:line="360" w:lineRule="auto"/>
              <w:jc w:val="center"/>
              <w:rPr>
                <w:rFonts w:ascii="新宋体" w:hAnsi="新宋体" w:eastAsia="新宋体"/>
                <w:color w:val="auto"/>
                <w:sz w:val="22"/>
                <w:szCs w:val="22"/>
                <w:highlight w:val="none"/>
              </w:rPr>
            </w:pPr>
          </w:p>
        </w:tc>
        <w:tc>
          <w:tcPr>
            <w:tcW w:w="1692" w:type="dxa"/>
            <w:noWrap w:val="0"/>
            <w:vAlign w:val="center"/>
          </w:tcPr>
          <w:p w14:paraId="3FFEE02F">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2880" w:type="dxa"/>
            <w:noWrap w:val="0"/>
            <w:vAlign w:val="center"/>
          </w:tcPr>
          <w:p w14:paraId="4808BF67">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661" w:type="dxa"/>
            <w:noWrap w:val="0"/>
            <w:vAlign w:val="center"/>
          </w:tcPr>
          <w:p w14:paraId="5CB2C4C8">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260" w:type="dxa"/>
            <w:noWrap w:val="0"/>
            <w:vAlign w:val="center"/>
          </w:tcPr>
          <w:p w14:paraId="1D18D934">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219" w:type="dxa"/>
            <w:noWrap w:val="0"/>
            <w:vAlign w:val="top"/>
          </w:tcPr>
          <w:p w14:paraId="37762E10">
            <w:pPr>
              <w:pageBreakBefore w:val="0"/>
              <w:kinsoku/>
              <w:wordWrap w:val="0"/>
              <w:topLinePunct w:val="0"/>
              <w:bidi w:val="0"/>
              <w:rPr>
                <w:rFonts w:ascii="新宋体" w:hAnsi="新宋体" w:eastAsia="新宋体"/>
                <w:color w:val="auto"/>
                <w:sz w:val="22"/>
                <w:szCs w:val="22"/>
                <w:highlight w:val="none"/>
              </w:rPr>
            </w:pPr>
          </w:p>
        </w:tc>
      </w:tr>
      <w:tr w14:paraId="3EEC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11B31424">
            <w:pPr>
              <w:pageBreakBefore w:val="0"/>
              <w:kinsoku/>
              <w:wordWrap w:val="0"/>
              <w:topLinePunct w:val="0"/>
              <w:bidi w:val="0"/>
              <w:spacing w:line="360" w:lineRule="auto"/>
              <w:jc w:val="center"/>
              <w:rPr>
                <w:rFonts w:ascii="新宋体" w:hAnsi="新宋体" w:eastAsia="新宋体"/>
                <w:color w:val="auto"/>
                <w:sz w:val="22"/>
                <w:szCs w:val="22"/>
                <w:highlight w:val="none"/>
              </w:rPr>
            </w:pPr>
          </w:p>
        </w:tc>
        <w:tc>
          <w:tcPr>
            <w:tcW w:w="1692" w:type="dxa"/>
            <w:noWrap w:val="0"/>
            <w:vAlign w:val="center"/>
          </w:tcPr>
          <w:p w14:paraId="0A663272">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2880" w:type="dxa"/>
            <w:noWrap w:val="0"/>
            <w:vAlign w:val="center"/>
          </w:tcPr>
          <w:p w14:paraId="22B03415">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661" w:type="dxa"/>
            <w:noWrap w:val="0"/>
            <w:vAlign w:val="center"/>
          </w:tcPr>
          <w:p w14:paraId="01A6D3B6">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260" w:type="dxa"/>
            <w:noWrap w:val="0"/>
            <w:vAlign w:val="center"/>
          </w:tcPr>
          <w:p w14:paraId="6EED9B78">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219" w:type="dxa"/>
            <w:noWrap w:val="0"/>
            <w:vAlign w:val="top"/>
          </w:tcPr>
          <w:p w14:paraId="210D5957">
            <w:pPr>
              <w:pageBreakBefore w:val="0"/>
              <w:kinsoku/>
              <w:wordWrap w:val="0"/>
              <w:topLinePunct w:val="0"/>
              <w:bidi w:val="0"/>
              <w:rPr>
                <w:rFonts w:ascii="新宋体" w:hAnsi="新宋体" w:eastAsia="新宋体"/>
                <w:color w:val="auto"/>
                <w:sz w:val="22"/>
                <w:szCs w:val="22"/>
                <w:highlight w:val="none"/>
              </w:rPr>
            </w:pPr>
          </w:p>
        </w:tc>
      </w:tr>
      <w:tr w14:paraId="499B0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30996761">
            <w:pPr>
              <w:pageBreakBefore w:val="0"/>
              <w:kinsoku/>
              <w:wordWrap w:val="0"/>
              <w:topLinePunct w:val="0"/>
              <w:bidi w:val="0"/>
              <w:spacing w:line="360" w:lineRule="auto"/>
              <w:jc w:val="center"/>
              <w:rPr>
                <w:rFonts w:ascii="新宋体" w:hAnsi="新宋体" w:eastAsia="新宋体"/>
                <w:color w:val="auto"/>
                <w:sz w:val="22"/>
                <w:szCs w:val="22"/>
                <w:highlight w:val="none"/>
              </w:rPr>
            </w:pPr>
          </w:p>
        </w:tc>
        <w:tc>
          <w:tcPr>
            <w:tcW w:w="1692" w:type="dxa"/>
            <w:noWrap w:val="0"/>
            <w:vAlign w:val="center"/>
          </w:tcPr>
          <w:p w14:paraId="647A0BAF">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2880" w:type="dxa"/>
            <w:noWrap w:val="0"/>
            <w:vAlign w:val="center"/>
          </w:tcPr>
          <w:p w14:paraId="62B3CE56">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661" w:type="dxa"/>
            <w:noWrap w:val="0"/>
            <w:vAlign w:val="center"/>
          </w:tcPr>
          <w:p w14:paraId="2149B737">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260" w:type="dxa"/>
            <w:noWrap w:val="0"/>
            <w:vAlign w:val="center"/>
          </w:tcPr>
          <w:p w14:paraId="067E3DDB">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219" w:type="dxa"/>
            <w:noWrap w:val="0"/>
            <w:vAlign w:val="top"/>
          </w:tcPr>
          <w:p w14:paraId="1147B088">
            <w:pPr>
              <w:pageBreakBefore w:val="0"/>
              <w:kinsoku/>
              <w:wordWrap w:val="0"/>
              <w:topLinePunct w:val="0"/>
              <w:bidi w:val="0"/>
              <w:rPr>
                <w:rFonts w:ascii="新宋体" w:hAnsi="新宋体" w:eastAsia="新宋体"/>
                <w:color w:val="auto"/>
                <w:sz w:val="22"/>
                <w:szCs w:val="22"/>
                <w:highlight w:val="none"/>
              </w:rPr>
            </w:pPr>
          </w:p>
        </w:tc>
      </w:tr>
      <w:tr w14:paraId="2659A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19ABDF22">
            <w:pPr>
              <w:pageBreakBefore w:val="0"/>
              <w:kinsoku/>
              <w:wordWrap w:val="0"/>
              <w:topLinePunct w:val="0"/>
              <w:bidi w:val="0"/>
              <w:spacing w:line="360" w:lineRule="auto"/>
              <w:jc w:val="center"/>
              <w:rPr>
                <w:rFonts w:ascii="新宋体" w:hAnsi="新宋体" w:eastAsia="新宋体"/>
                <w:color w:val="auto"/>
                <w:sz w:val="22"/>
                <w:szCs w:val="22"/>
                <w:highlight w:val="none"/>
              </w:rPr>
            </w:pPr>
          </w:p>
        </w:tc>
        <w:tc>
          <w:tcPr>
            <w:tcW w:w="1692" w:type="dxa"/>
            <w:noWrap w:val="0"/>
            <w:vAlign w:val="center"/>
          </w:tcPr>
          <w:p w14:paraId="77534DE5">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2880" w:type="dxa"/>
            <w:noWrap w:val="0"/>
            <w:vAlign w:val="center"/>
          </w:tcPr>
          <w:p w14:paraId="79157C28">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661" w:type="dxa"/>
            <w:noWrap w:val="0"/>
            <w:vAlign w:val="center"/>
          </w:tcPr>
          <w:p w14:paraId="7A7628CD">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260" w:type="dxa"/>
            <w:noWrap w:val="0"/>
            <w:vAlign w:val="center"/>
          </w:tcPr>
          <w:p w14:paraId="4E944D4C">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219" w:type="dxa"/>
            <w:noWrap w:val="0"/>
            <w:vAlign w:val="top"/>
          </w:tcPr>
          <w:p w14:paraId="5624FE51">
            <w:pPr>
              <w:pageBreakBefore w:val="0"/>
              <w:kinsoku/>
              <w:wordWrap w:val="0"/>
              <w:topLinePunct w:val="0"/>
              <w:bidi w:val="0"/>
              <w:rPr>
                <w:rFonts w:ascii="新宋体" w:hAnsi="新宋体" w:eastAsia="新宋体"/>
                <w:color w:val="auto"/>
                <w:sz w:val="22"/>
                <w:szCs w:val="22"/>
                <w:highlight w:val="none"/>
              </w:rPr>
            </w:pPr>
          </w:p>
        </w:tc>
      </w:tr>
      <w:tr w14:paraId="3D92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673306B9">
            <w:pPr>
              <w:pageBreakBefore w:val="0"/>
              <w:kinsoku/>
              <w:wordWrap w:val="0"/>
              <w:topLinePunct w:val="0"/>
              <w:bidi w:val="0"/>
              <w:spacing w:line="360" w:lineRule="auto"/>
              <w:jc w:val="center"/>
              <w:rPr>
                <w:rFonts w:ascii="新宋体" w:hAnsi="新宋体" w:eastAsia="新宋体"/>
                <w:color w:val="auto"/>
                <w:sz w:val="22"/>
                <w:szCs w:val="22"/>
                <w:highlight w:val="none"/>
              </w:rPr>
            </w:pPr>
          </w:p>
        </w:tc>
        <w:tc>
          <w:tcPr>
            <w:tcW w:w="1692" w:type="dxa"/>
            <w:noWrap w:val="0"/>
            <w:vAlign w:val="center"/>
          </w:tcPr>
          <w:p w14:paraId="77932358">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2880" w:type="dxa"/>
            <w:noWrap w:val="0"/>
            <w:vAlign w:val="center"/>
          </w:tcPr>
          <w:p w14:paraId="1EB5EB22">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661" w:type="dxa"/>
            <w:noWrap w:val="0"/>
            <w:vAlign w:val="center"/>
          </w:tcPr>
          <w:p w14:paraId="0220F487">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260" w:type="dxa"/>
            <w:noWrap w:val="0"/>
            <w:vAlign w:val="center"/>
          </w:tcPr>
          <w:p w14:paraId="5CB394CC">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219" w:type="dxa"/>
            <w:noWrap w:val="0"/>
            <w:vAlign w:val="top"/>
          </w:tcPr>
          <w:p w14:paraId="0DBB68B0">
            <w:pPr>
              <w:pageBreakBefore w:val="0"/>
              <w:kinsoku/>
              <w:wordWrap w:val="0"/>
              <w:topLinePunct w:val="0"/>
              <w:bidi w:val="0"/>
              <w:rPr>
                <w:rFonts w:ascii="新宋体" w:hAnsi="新宋体" w:eastAsia="新宋体"/>
                <w:color w:val="auto"/>
                <w:sz w:val="22"/>
                <w:szCs w:val="22"/>
                <w:highlight w:val="none"/>
              </w:rPr>
            </w:pPr>
          </w:p>
        </w:tc>
      </w:tr>
      <w:tr w14:paraId="7F58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54A5B416">
            <w:pPr>
              <w:pageBreakBefore w:val="0"/>
              <w:kinsoku/>
              <w:wordWrap w:val="0"/>
              <w:topLinePunct w:val="0"/>
              <w:bidi w:val="0"/>
              <w:spacing w:line="360" w:lineRule="auto"/>
              <w:jc w:val="center"/>
              <w:rPr>
                <w:rFonts w:ascii="新宋体" w:hAnsi="新宋体" w:eastAsia="新宋体"/>
                <w:color w:val="auto"/>
                <w:sz w:val="22"/>
                <w:szCs w:val="22"/>
                <w:highlight w:val="none"/>
              </w:rPr>
            </w:pPr>
          </w:p>
        </w:tc>
        <w:tc>
          <w:tcPr>
            <w:tcW w:w="1692" w:type="dxa"/>
            <w:noWrap w:val="0"/>
            <w:vAlign w:val="center"/>
          </w:tcPr>
          <w:p w14:paraId="2D2918B4">
            <w:pPr>
              <w:pageBreakBefore w:val="0"/>
              <w:kinsoku/>
              <w:wordWrap w:val="0"/>
              <w:topLinePunct w:val="0"/>
              <w:bidi w:val="0"/>
              <w:spacing w:line="360" w:lineRule="auto"/>
              <w:jc w:val="center"/>
              <w:rPr>
                <w:rFonts w:ascii="新宋体" w:hAnsi="新宋体" w:eastAsia="新宋体"/>
                <w:color w:val="auto"/>
                <w:sz w:val="22"/>
                <w:szCs w:val="22"/>
                <w:highlight w:val="none"/>
              </w:rPr>
            </w:pPr>
          </w:p>
        </w:tc>
        <w:tc>
          <w:tcPr>
            <w:tcW w:w="2880" w:type="dxa"/>
            <w:noWrap w:val="0"/>
            <w:vAlign w:val="center"/>
          </w:tcPr>
          <w:p w14:paraId="35DFC067">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661" w:type="dxa"/>
            <w:noWrap w:val="0"/>
            <w:vAlign w:val="center"/>
          </w:tcPr>
          <w:p w14:paraId="3E7B21C3">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260" w:type="dxa"/>
            <w:noWrap w:val="0"/>
            <w:vAlign w:val="center"/>
          </w:tcPr>
          <w:p w14:paraId="710D63D1">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219" w:type="dxa"/>
            <w:noWrap w:val="0"/>
            <w:vAlign w:val="top"/>
          </w:tcPr>
          <w:p w14:paraId="05127798">
            <w:pPr>
              <w:pageBreakBefore w:val="0"/>
              <w:kinsoku/>
              <w:wordWrap w:val="0"/>
              <w:topLinePunct w:val="0"/>
              <w:bidi w:val="0"/>
              <w:rPr>
                <w:rFonts w:ascii="新宋体" w:hAnsi="新宋体" w:eastAsia="新宋体"/>
                <w:color w:val="auto"/>
                <w:sz w:val="22"/>
                <w:szCs w:val="22"/>
                <w:highlight w:val="none"/>
              </w:rPr>
            </w:pPr>
          </w:p>
        </w:tc>
      </w:tr>
      <w:tr w14:paraId="103A9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752DC2D2">
            <w:pPr>
              <w:pageBreakBefore w:val="0"/>
              <w:kinsoku/>
              <w:wordWrap w:val="0"/>
              <w:topLinePunct w:val="0"/>
              <w:bidi w:val="0"/>
              <w:spacing w:line="360" w:lineRule="auto"/>
              <w:jc w:val="center"/>
              <w:rPr>
                <w:rFonts w:ascii="新宋体" w:hAnsi="新宋体" w:eastAsia="新宋体"/>
                <w:color w:val="auto"/>
                <w:sz w:val="22"/>
                <w:szCs w:val="22"/>
                <w:highlight w:val="none"/>
              </w:rPr>
            </w:pPr>
          </w:p>
        </w:tc>
        <w:tc>
          <w:tcPr>
            <w:tcW w:w="1692" w:type="dxa"/>
            <w:noWrap w:val="0"/>
            <w:vAlign w:val="center"/>
          </w:tcPr>
          <w:p w14:paraId="145DFA71">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2880" w:type="dxa"/>
            <w:noWrap w:val="0"/>
            <w:vAlign w:val="center"/>
          </w:tcPr>
          <w:p w14:paraId="4DF2364E">
            <w:pPr>
              <w:pageBreakBefore w:val="0"/>
              <w:kinsoku/>
              <w:wordWrap w:val="0"/>
              <w:topLinePunct w:val="0"/>
              <w:bidi w:val="0"/>
              <w:spacing w:line="360" w:lineRule="auto"/>
              <w:jc w:val="center"/>
              <w:rPr>
                <w:rFonts w:ascii="新宋体" w:hAnsi="新宋体" w:eastAsia="新宋体"/>
                <w:color w:val="auto"/>
                <w:sz w:val="22"/>
                <w:szCs w:val="22"/>
                <w:highlight w:val="none"/>
              </w:rPr>
            </w:pPr>
          </w:p>
        </w:tc>
        <w:tc>
          <w:tcPr>
            <w:tcW w:w="1661" w:type="dxa"/>
            <w:noWrap w:val="0"/>
            <w:vAlign w:val="center"/>
          </w:tcPr>
          <w:p w14:paraId="5BA7B309">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260" w:type="dxa"/>
            <w:noWrap w:val="0"/>
            <w:vAlign w:val="center"/>
          </w:tcPr>
          <w:p w14:paraId="225D7469">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219" w:type="dxa"/>
            <w:noWrap w:val="0"/>
            <w:vAlign w:val="top"/>
          </w:tcPr>
          <w:p w14:paraId="5FA74DD0">
            <w:pPr>
              <w:pageBreakBefore w:val="0"/>
              <w:kinsoku/>
              <w:wordWrap w:val="0"/>
              <w:topLinePunct w:val="0"/>
              <w:bidi w:val="0"/>
              <w:rPr>
                <w:rFonts w:ascii="新宋体" w:hAnsi="新宋体" w:eastAsia="新宋体"/>
                <w:color w:val="auto"/>
                <w:sz w:val="22"/>
                <w:szCs w:val="22"/>
                <w:highlight w:val="none"/>
              </w:rPr>
            </w:pPr>
          </w:p>
        </w:tc>
      </w:tr>
      <w:tr w14:paraId="3C27D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78F6F5E3">
            <w:pPr>
              <w:pageBreakBefore w:val="0"/>
              <w:kinsoku/>
              <w:wordWrap w:val="0"/>
              <w:topLinePunct w:val="0"/>
              <w:bidi w:val="0"/>
              <w:spacing w:line="360" w:lineRule="auto"/>
              <w:jc w:val="center"/>
              <w:rPr>
                <w:rFonts w:ascii="新宋体" w:hAnsi="新宋体" w:eastAsia="新宋体"/>
                <w:color w:val="auto"/>
                <w:sz w:val="22"/>
                <w:szCs w:val="22"/>
                <w:highlight w:val="none"/>
              </w:rPr>
            </w:pPr>
          </w:p>
        </w:tc>
        <w:tc>
          <w:tcPr>
            <w:tcW w:w="1692" w:type="dxa"/>
            <w:noWrap w:val="0"/>
            <w:vAlign w:val="center"/>
          </w:tcPr>
          <w:p w14:paraId="5AE40B99">
            <w:pPr>
              <w:pageBreakBefore w:val="0"/>
              <w:kinsoku/>
              <w:wordWrap w:val="0"/>
              <w:topLinePunct w:val="0"/>
              <w:bidi w:val="0"/>
              <w:spacing w:line="360" w:lineRule="auto"/>
              <w:jc w:val="center"/>
              <w:rPr>
                <w:rFonts w:ascii="新宋体" w:hAnsi="新宋体" w:eastAsia="新宋体"/>
                <w:color w:val="auto"/>
                <w:sz w:val="22"/>
                <w:szCs w:val="22"/>
                <w:highlight w:val="none"/>
              </w:rPr>
            </w:pPr>
          </w:p>
        </w:tc>
        <w:tc>
          <w:tcPr>
            <w:tcW w:w="2880" w:type="dxa"/>
            <w:noWrap w:val="0"/>
            <w:vAlign w:val="top"/>
          </w:tcPr>
          <w:p w14:paraId="3347F356">
            <w:pPr>
              <w:pageBreakBefore w:val="0"/>
              <w:kinsoku/>
              <w:wordWrap w:val="0"/>
              <w:topLinePunct w:val="0"/>
              <w:bidi w:val="0"/>
              <w:spacing w:line="360" w:lineRule="auto"/>
              <w:rPr>
                <w:rFonts w:ascii="新宋体" w:hAnsi="新宋体" w:eastAsia="新宋体"/>
                <w:b/>
                <w:bCs/>
                <w:color w:val="auto"/>
                <w:sz w:val="22"/>
                <w:szCs w:val="22"/>
                <w:highlight w:val="none"/>
              </w:rPr>
            </w:pPr>
          </w:p>
        </w:tc>
        <w:tc>
          <w:tcPr>
            <w:tcW w:w="1661" w:type="dxa"/>
            <w:noWrap w:val="0"/>
            <w:vAlign w:val="center"/>
          </w:tcPr>
          <w:p w14:paraId="7C8341B7">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260" w:type="dxa"/>
            <w:noWrap w:val="0"/>
            <w:vAlign w:val="center"/>
          </w:tcPr>
          <w:p w14:paraId="0C95D9BC">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219" w:type="dxa"/>
            <w:noWrap w:val="0"/>
            <w:vAlign w:val="top"/>
          </w:tcPr>
          <w:p w14:paraId="2D74BCD7">
            <w:pPr>
              <w:pageBreakBefore w:val="0"/>
              <w:kinsoku/>
              <w:wordWrap w:val="0"/>
              <w:topLinePunct w:val="0"/>
              <w:bidi w:val="0"/>
              <w:rPr>
                <w:rFonts w:ascii="新宋体" w:hAnsi="新宋体" w:eastAsia="新宋体"/>
                <w:color w:val="auto"/>
                <w:sz w:val="22"/>
                <w:szCs w:val="22"/>
                <w:highlight w:val="none"/>
              </w:rPr>
            </w:pPr>
          </w:p>
        </w:tc>
      </w:tr>
      <w:tr w14:paraId="6F592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49E06406">
            <w:pPr>
              <w:pageBreakBefore w:val="0"/>
              <w:kinsoku/>
              <w:wordWrap w:val="0"/>
              <w:topLinePunct w:val="0"/>
              <w:bidi w:val="0"/>
              <w:spacing w:line="360" w:lineRule="auto"/>
              <w:jc w:val="center"/>
              <w:rPr>
                <w:rFonts w:ascii="新宋体" w:hAnsi="新宋体" w:eastAsia="新宋体"/>
                <w:color w:val="auto"/>
                <w:sz w:val="22"/>
                <w:szCs w:val="22"/>
                <w:highlight w:val="none"/>
              </w:rPr>
            </w:pPr>
          </w:p>
        </w:tc>
        <w:tc>
          <w:tcPr>
            <w:tcW w:w="1692" w:type="dxa"/>
            <w:noWrap w:val="0"/>
            <w:vAlign w:val="center"/>
          </w:tcPr>
          <w:p w14:paraId="7C580DCE">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2880" w:type="dxa"/>
            <w:noWrap w:val="0"/>
            <w:vAlign w:val="top"/>
          </w:tcPr>
          <w:p w14:paraId="706A6FAB">
            <w:pPr>
              <w:pageBreakBefore w:val="0"/>
              <w:kinsoku/>
              <w:wordWrap w:val="0"/>
              <w:topLinePunct w:val="0"/>
              <w:bidi w:val="0"/>
              <w:spacing w:line="360" w:lineRule="auto"/>
              <w:rPr>
                <w:rFonts w:ascii="新宋体" w:hAnsi="新宋体" w:eastAsia="新宋体"/>
                <w:color w:val="auto"/>
                <w:sz w:val="22"/>
                <w:szCs w:val="22"/>
                <w:highlight w:val="none"/>
              </w:rPr>
            </w:pPr>
          </w:p>
        </w:tc>
        <w:tc>
          <w:tcPr>
            <w:tcW w:w="1661" w:type="dxa"/>
            <w:noWrap w:val="0"/>
            <w:vAlign w:val="center"/>
          </w:tcPr>
          <w:p w14:paraId="43FF4909">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260" w:type="dxa"/>
            <w:noWrap w:val="0"/>
            <w:vAlign w:val="center"/>
          </w:tcPr>
          <w:p w14:paraId="4A34E322">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219" w:type="dxa"/>
            <w:noWrap w:val="0"/>
            <w:vAlign w:val="top"/>
          </w:tcPr>
          <w:p w14:paraId="361B83FB">
            <w:pPr>
              <w:pageBreakBefore w:val="0"/>
              <w:kinsoku/>
              <w:wordWrap w:val="0"/>
              <w:topLinePunct w:val="0"/>
              <w:bidi w:val="0"/>
              <w:rPr>
                <w:rFonts w:ascii="新宋体" w:hAnsi="新宋体" w:eastAsia="新宋体"/>
                <w:color w:val="auto"/>
                <w:sz w:val="22"/>
                <w:szCs w:val="22"/>
                <w:highlight w:val="none"/>
              </w:rPr>
            </w:pPr>
          </w:p>
        </w:tc>
      </w:tr>
      <w:tr w14:paraId="04D7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7C7F06E7">
            <w:pPr>
              <w:pageBreakBefore w:val="0"/>
              <w:kinsoku/>
              <w:wordWrap w:val="0"/>
              <w:topLinePunct w:val="0"/>
              <w:bidi w:val="0"/>
              <w:spacing w:line="360" w:lineRule="auto"/>
              <w:jc w:val="center"/>
              <w:rPr>
                <w:rFonts w:ascii="新宋体" w:hAnsi="新宋体" w:eastAsia="新宋体"/>
                <w:color w:val="auto"/>
                <w:sz w:val="22"/>
                <w:szCs w:val="22"/>
                <w:highlight w:val="none"/>
              </w:rPr>
            </w:pPr>
          </w:p>
        </w:tc>
        <w:tc>
          <w:tcPr>
            <w:tcW w:w="1692" w:type="dxa"/>
            <w:noWrap w:val="0"/>
            <w:vAlign w:val="center"/>
          </w:tcPr>
          <w:p w14:paraId="79E58CB9">
            <w:pPr>
              <w:pageBreakBefore w:val="0"/>
              <w:kinsoku/>
              <w:wordWrap w:val="0"/>
              <w:topLinePunct w:val="0"/>
              <w:bidi w:val="0"/>
              <w:spacing w:line="360" w:lineRule="auto"/>
              <w:jc w:val="center"/>
              <w:rPr>
                <w:rFonts w:ascii="新宋体" w:hAnsi="新宋体" w:eastAsia="新宋体"/>
                <w:color w:val="auto"/>
                <w:sz w:val="22"/>
                <w:szCs w:val="22"/>
                <w:highlight w:val="none"/>
              </w:rPr>
            </w:pPr>
          </w:p>
        </w:tc>
        <w:tc>
          <w:tcPr>
            <w:tcW w:w="2880" w:type="dxa"/>
            <w:noWrap w:val="0"/>
            <w:vAlign w:val="top"/>
          </w:tcPr>
          <w:p w14:paraId="27E99D6A">
            <w:pPr>
              <w:pageBreakBefore w:val="0"/>
              <w:kinsoku/>
              <w:wordWrap w:val="0"/>
              <w:topLinePunct w:val="0"/>
              <w:bidi w:val="0"/>
              <w:spacing w:line="360" w:lineRule="auto"/>
              <w:rPr>
                <w:rFonts w:ascii="新宋体" w:hAnsi="新宋体" w:eastAsia="新宋体"/>
                <w:color w:val="auto"/>
                <w:sz w:val="22"/>
                <w:szCs w:val="22"/>
                <w:highlight w:val="none"/>
              </w:rPr>
            </w:pPr>
          </w:p>
        </w:tc>
        <w:tc>
          <w:tcPr>
            <w:tcW w:w="1661" w:type="dxa"/>
            <w:noWrap w:val="0"/>
            <w:vAlign w:val="center"/>
          </w:tcPr>
          <w:p w14:paraId="4356C82C">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260" w:type="dxa"/>
            <w:noWrap w:val="0"/>
            <w:vAlign w:val="center"/>
          </w:tcPr>
          <w:p w14:paraId="069CAEB9">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219" w:type="dxa"/>
            <w:noWrap w:val="0"/>
            <w:vAlign w:val="top"/>
          </w:tcPr>
          <w:p w14:paraId="37A7253C">
            <w:pPr>
              <w:pageBreakBefore w:val="0"/>
              <w:kinsoku/>
              <w:wordWrap w:val="0"/>
              <w:topLinePunct w:val="0"/>
              <w:bidi w:val="0"/>
              <w:rPr>
                <w:rFonts w:ascii="新宋体" w:hAnsi="新宋体" w:eastAsia="新宋体"/>
                <w:color w:val="auto"/>
                <w:sz w:val="22"/>
                <w:szCs w:val="22"/>
                <w:highlight w:val="none"/>
              </w:rPr>
            </w:pPr>
          </w:p>
        </w:tc>
      </w:tr>
      <w:tr w14:paraId="6E538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609FD45B">
            <w:pPr>
              <w:pageBreakBefore w:val="0"/>
              <w:kinsoku/>
              <w:wordWrap w:val="0"/>
              <w:topLinePunct w:val="0"/>
              <w:bidi w:val="0"/>
              <w:spacing w:line="360" w:lineRule="auto"/>
              <w:jc w:val="center"/>
              <w:rPr>
                <w:rFonts w:ascii="新宋体" w:hAnsi="新宋体" w:eastAsia="新宋体"/>
                <w:color w:val="auto"/>
                <w:sz w:val="22"/>
                <w:szCs w:val="22"/>
                <w:highlight w:val="none"/>
              </w:rPr>
            </w:pPr>
          </w:p>
        </w:tc>
        <w:tc>
          <w:tcPr>
            <w:tcW w:w="1692" w:type="dxa"/>
            <w:noWrap w:val="0"/>
            <w:vAlign w:val="center"/>
          </w:tcPr>
          <w:p w14:paraId="79D74C4E">
            <w:pPr>
              <w:pageBreakBefore w:val="0"/>
              <w:kinsoku/>
              <w:wordWrap w:val="0"/>
              <w:topLinePunct w:val="0"/>
              <w:bidi w:val="0"/>
              <w:spacing w:line="360" w:lineRule="auto"/>
              <w:jc w:val="center"/>
              <w:rPr>
                <w:rFonts w:ascii="新宋体" w:hAnsi="新宋体" w:eastAsia="新宋体"/>
                <w:color w:val="auto"/>
                <w:sz w:val="22"/>
                <w:szCs w:val="22"/>
                <w:highlight w:val="none"/>
              </w:rPr>
            </w:pPr>
          </w:p>
        </w:tc>
        <w:tc>
          <w:tcPr>
            <w:tcW w:w="2880" w:type="dxa"/>
            <w:noWrap w:val="0"/>
            <w:vAlign w:val="top"/>
          </w:tcPr>
          <w:p w14:paraId="7584DA8E">
            <w:pPr>
              <w:pageBreakBefore w:val="0"/>
              <w:kinsoku/>
              <w:wordWrap w:val="0"/>
              <w:topLinePunct w:val="0"/>
              <w:bidi w:val="0"/>
              <w:spacing w:line="360" w:lineRule="auto"/>
              <w:rPr>
                <w:rFonts w:ascii="新宋体" w:hAnsi="新宋体" w:eastAsia="新宋体"/>
                <w:color w:val="auto"/>
                <w:sz w:val="22"/>
                <w:szCs w:val="22"/>
                <w:highlight w:val="none"/>
              </w:rPr>
            </w:pPr>
          </w:p>
        </w:tc>
        <w:tc>
          <w:tcPr>
            <w:tcW w:w="1661" w:type="dxa"/>
            <w:noWrap w:val="0"/>
            <w:vAlign w:val="center"/>
          </w:tcPr>
          <w:p w14:paraId="3E693421">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260" w:type="dxa"/>
            <w:noWrap w:val="0"/>
            <w:vAlign w:val="center"/>
          </w:tcPr>
          <w:p w14:paraId="7E820815">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219" w:type="dxa"/>
            <w:noWrap w:val="0"/>
            <w:vAlign w:val="top"/>
          </w:tcPr>
          <w:p w14:paraId="2EDB6A1C">
            <w:pPr>
              <w:pageBreakBefore w:val="0"/>
              <w:kinsoku/>
              <w:wordWrap w:val="0"/>
              <w:topLinePunct w:val="0"/>
              <w:bidi w:val="0"/>
              <w:rPr>
                <w:rFonts w:ascii="新宋体" w:hAnsi="新宋体" w:eastAsia="新宋体"/>
                <w:color w:val="auto"/>
                <w:sz w:val="22"/>
                <w:szCs w:val="22"/>
                <w:highlight w:val="none"/>
              </w:rPr>
            </w:pPr>
          </w:p>
        </w:tc>
      </w:tr>
      <w:tr w14:paraId="2E220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79012298">
            <w:pPr>
              <w:pageBreakBefore w:val="0"/>
              <w:kinsoku/>
              <w:wordWrap w:val="0"/>
              <w:topLinePunct w:val="0"/>
              <w:bidi w:val="0"/>
              <w:spacing w:line="360" w:lineRule="auto"/>
              <w:jc w:val="center"/>
              <w:rPr>
                <w:rFonts w:ascii="新宋体" w:hAnsi="新宋体" w:eastAsia="新宋体"/>
                <w:color w:val="auto"/>
                <w:sz w:val="22"/>
                <w:szCs w:val="22"/>
                <w:highlight w:val="none"/>
              </w:rPr>
            </w:pPr>
          </w:p>
        </w:tc>
        <w:tc>
          <w:tcPr>
            <w:tcW w:w="1692" w:type="dxa"/>
            <w:noWrap w:val="0"/>
            <w:vAlign w:val="center"/>
          </w:tcPr>
          <w:p w14:paraId="09347DE9">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2880" w:type="dxa"/>
            <w:noWrap w:val="0"/>
            <w:vAlign w:val="center"/>
          </w:tcPr>
          <w:p w14:paraId="21CD46E4">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661" w:type="dxa"/>
            <w:noWrap w:val="0"/>
            <w:vAlign w:val="center"/>
          </w:tcPr>
          <w:p w14:paraId="04EB78ED">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260" w:type="dxa"/>
            <w:noWrap w:val="0"/>
            <w:vAlign w:val="center"/>
          </w:tcPr>
          <w:p w14:paraId="5CED0408">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219" w:type="dxa"/>
            <w:noWrap w:val="0"/>
            <w:vAlign w:val="top"/>
          </w:tcPr>
          <w:p w14:paraId="06D69C35">
            <w:pPr>
              <w:pageBreakBefore w:val="0"/>
              <w:kinsoku/>
              <w:wordWrap w:val="0"/>
              <w:topLinePunct w:val="0"/>
              <w:bidi w:val="0"/>
              <w:rPr>
                <w:rFonts w:ascii="新宋体" w:hAnsi="新宋体" w:eastAsia="新宋体"/>
                <w:color w:val="auto"/>
                <w:sz w:val="22"/>
                <w:szCs w:val="22"/>
                <w:highlight w:val="none"/>
              </w:rPr>
            </w:pPr>
          </w:p>
        </w:tc>
      </w:tr>
      <w:tr w14:paraId="6C0AD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0C2C57CE">
            <w:pPr>
              <w:pageBreakBefore w:val="0"/>
              <w:kinsoku/>
              <w:wordWrap w:val="0"/>
              <w:topLinePunct w:val="0"/>
              <w:bidi w:val="0"/>
              <w:spacing w:line="360" w:lineRule="auto"/>
              <w:jc w:val="center"/>
              <w:rPr>
                <w:rFonts w:ascii="新宋体" w:hAnsi="新宋体" w:eastAsia="新宋体"/>
                <w:color w:val="auto"/>
                <w:sz w:val="22"/>
                <w:szCs w:val="22"/>
                <w:highlight w:val="none"/>
              </w:rPr>
            </w:pPr>
          </w:p>
        </w:tc>
        <w:tc>
          <w:tcPr>
            <w:tcW w:w="1692" w:type="dxa"/>
            <w:noWrap w:val="0"/>
            <w:vAlign w:val="center"/>
          </w:tcPr>
          <w:p w14:paraId="6FAF78D2">
            <w:pPr>
              <w:pageBreakBefore w:val="0"/>
              <w:kinsoku/>
              <w:wordWrap w:val="0"/>
              <w:topLinePunct w:val="0"/>
              <w:bidi w:val="0"/>
              <w:spacing w:line="360" w:lineRule="auto"/>
              <w:rPr>
                <w:rFonts w:ascii="新宋体" w:hAnsi="新宋体" w:eastAsia="新宋体"/>
                <w:b/>
                <w:bCs/>
                <w:color w:val="auto"/>
                <w:sz w:val="22"/>
                <w:szCs w:val="22"/>
                <w:highlight w:val="none"/>
              </w:rPr>
            </w:pPr>
          </w:p>
        </w:tc>
        <w:tc>
          <w:tcPr>
            <w:tcW w:w="2880" w:type="dxa"/>
            <w:noWrap w:val="0"/>
            <w:vAlign w:val="center"/>
          </w:tcPr>
          <w:p w14:paraId="4A5D78A7">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661" w:type="dxa"/>
            <w:noWrap w:val="0"/>
            <w:vAlign w:val="center"/>
          </w:tcPr>
          <w:p w14:paraId="3EE6F39E">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260" w:type="dxa"/>
            <w:noWrap w:val="0"/>
            <w:vAlign w:val="center"/>
          </w:tcPr>
          <w:p w14:paraId="63FDFD4C">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219" w:type="dxa"/>
            <w:noWrap w:val="0"/>
            <w:vAlign w:val="top"/>
          </w:tcPr>
          <w:p w14:paraId="11C1061E">
            <w:pPr>
              <w:pageBreakBefore w:val="0"/>
              <w:kinsoku/>
              <w:wordWrap w:val="0"/>
              <w:topLinePunct w:val="0"/>
              <w:bidi w:val="0"/>
              <w:rPr>
                <w:rFonts w:ascii="新宋体" w:hAnsi="新宋体" w:eastAsia="新宋体"/>
                <w:color w:val="auto"/>
                <w:sz w:val="22"/>
                <w:szCs w:val="22"/>
                <w:highlight w:val="none"/>
              </w:rPr>
            </w:pPr>
          </w:p>
        </w:tc>
      </w:tr>
      <w:tr w14:paraId="1596F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5EB2D685">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692" w:type="dxa"/>
            <w:noWrap w:val="0"/>
            <w:vAlign w:val="center"/>
          </w:tcPr>
          <w:p w14:paraId="10D39EA4">
            <w:pPr>
              <w:pageBreakBefore w:val="0"/>
              <w:kinsoku/>
              <w:wordWrap w:val="0"/>
              <w:topLinePunct w:val="0"/>
              <w:bidi w:val="0"/>
              <w:spacing w:line="360" w:lineRule="auto"/>
              <w:rPr>
                <w:rFonts w:ascii="新宋体" w:hAnsi="新宋体" w:eastAsia="新宋体"/>
                <w:b/>
                <w:bCs/>
                <w:color w:val="auto"/>
                <w:sz w:val="22"/>
                <w:szCs w:val="22"/>
                <w:highlight w:val="none"/>
              </w:rPr>
            </w:pPr>
          </w:p>
        </w:tc>
        <w:tc>
          <w:tcPr>
            <w:tcW w:w="2880" w:type="dxa"/>
            <w:noWrap w:val="0"/>
            <w:vAlign w:val="center"/>
          </w:tcPr>
          <w:p w14:paraId="3A3570F0">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661" w:type="dxa"/>
            <w:noWrap w:val="0"/>
            <w:vAlign w:val="center"/>
          </w:tcPr>
          <w:p w14:paraId="20BFC148">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260" w:type="dxa"/>
            <w:noWrap w:val="0"/>
            <w:vAlign w:val="center"/>
          </w:tcPr>
          <w:p w14:paraId="34DDCF44">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219" w:type="dxa"/>
            <w:noWrap w:val="0"/>
            <w:vAlign w:val="top"/>
          </w:tcPr>
          <w:p w14:paraId="00C8A008">
            <w:pPr>
              <w:pageBreakBefore w:val="0"/>
              <w:kinsoku/>
              <w:wordWrap w:val="0"/>
              <w:topLinePunct w:val="0"/>
              <w:bidi w:val="0"/>
              <w:rPr>
                <w:rFonts w:ascii="新宋体" w:hAnsi="新宋体" w:eastAsia="新宋体"/>
                <w:color w:val="auto"/>
                <w:sz w:val="22"/>
                <w:szCs w:val="22"/>
                <w:highlight w:val="none"/>
              </w:rPr>
            </w:pPr>
          </w:p>
        </w:tc>
      </w:tr>
      <w:tr w14:paraId="19398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46045796">
            <w:pPr>
              <w:pageBreakBefore w:val="0"/>
              <w:kinsoku/>
              <w:wordWrap w:val="0"/>
              <w:topLinePunct w:val="0"/>
              <w:bidi w:val="0"/>
              <w:spacing w:line="360" w:lineRule="auto"/>
              <w:jc w:val="center"/>
              <w:rPr>
                <w:rFonts w:ascii="新宋体" w:hAnsi="新宋体" w:eastAsia="新宋体"/>
                <w:bCs/>
                <w:color w:val="auto"/>
                <w:sz w:val="22"/>
                <w:szCs w:val="22"/>
                <w:highlight w:val="none"/>
              </w:rPr>
            </w:pPr>
          </w:p>
        </w:tc>
        <w:tc>
          <w:tcPr>
            <w:tcW w:w="1692" w:type="dxa"/>
            <w:noWrap w:val="0"/>
            <w:vAlign w:val="center"/>
          </w:tcPr>
          <w:p w14:paraId="67879E69">
            <w:pPr>
              <w:pageBreakBefore w:val="0"/>
              <w:kinsoku/>
              <w:wordWrap w:val="0"/>
              <w:topLinePunct w:val="0"/>
              <w:bidi w:val="0"/>
              <w:spacing w:line="360" w:lineRule="auto"/>
              <w:rPr>
                <w:rFonts w:ascii="新宋体" w:hAnsi="新宋体" w:eastAsia="新宋体"/>
                <w:color w:val="auto"/>
                <w:sz w:val="22"/>
                <w:szCs w:val="22"/>
                <w:highlight w:val="none"/>
              </w:rPr>
            </w:pPr>
          </w:p>
        </w:tc>
        <w:tc>
          <w:tcPr>
            <w:tcW w:w="2880" w:type="dxa"/>
            <w:noWrap w:val="0"/>
            <w:vAlign w:val="center"/>
          </w:tcPr>
          <w:p w14:paraId="553D33F4">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661" w:type="dxa"/>
            <w:noWrap w:val="0"/>
            <w:vAlign w:val="center"/>
          </w:tcPr>
          <w:p w14:paraId="36A66ED7">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260" w:type="dxa"/>
            <w:noWrap w:val="0"/>
            <w:vAlign w:val="center"/>
          </w:tcPr>
          <w:p w14:paraId="3709A7CF">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219" w:type="dxa"/>
            <w:noWrap w:val="0"/>
            <w:vAlign w:val="top"/>
          </w:tcPr>
          <w:p w14:paraId="3A9D9929">
            <w:pPr>
              <w:pageBreakBefore w:val="0"/>
              <w:kinsoku/>
              <w:wordWrap w:val="0"/>
              <w:topLinePunct w:val="0"/>
              <w:bidi w:val="0"/>
              <w:rPr>
                <w:rFonts w:ascii="新宋体" w:hAnsi="新宋体" w:eastAsia="新宋体"/>
                <w:color w:val="auto"/>
                <w:sz w:val="22"/>
                <w:szCs w:val="22"/>
                <w:highlight w:val="none"/>
              </w:rPr>
            </w:pPr>
          </w:p>
        </w:tc>
      </w:tr>
      <w:tr w14:paraId="4C0D2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7C439CCB">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692" w:type="dxa"/>
            <w:noWrap w:val="0"/>
            <w:vAlign w:val="center"/>
          </w:tcPr>
          <w:p w14:paraId="2CE6F32D">
            <w:pPr>
              <w:pageBreakBefore w:val="0"/>
              <w:kinsoku/>
              <w:wordWrap w:val="0"/>
              <w:topLinePunct w:val="0"/>
              <w:bidi w:val="0"/>
              <w:spacing w:line="360" w:lineRule="auto"/>
              <w:rPr>
                <w:rFonts w:ascii="新宋体" w:hAnsi="新宋体" w:eastAsia="新宋体"/>
                <w:b/>
                <w:bCs/>
                <w:color w:val="auto"/>
                <w:sz w:val="22"/>
                <w:szCs w:val="22"/>
                <w:highlight w:val="none"/>
              </w:rPr>
            </w:pPr>
          </w:p>
        </w:tc>
        <w:tc>
          <w:tcPr>
            <w:tcW w:w="2880" w:type="dxa"/>
            <w:noWrap w:val="0"/>
            <w:vAlign w:val="center"/>
          </w:tcPr>
          <w:p w14:paraId="575F00E0">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661" w:type="dxa"/>
            <w:noWrap w:val="0"/>
            <w:vAlign w:val="center"/>
          </w:tcPr>
          <w:p w14:paraId="77C9D1BB">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260" w:type="dxa"/>
            <w:noWrap w:val="0"/>
            <w:vAlign w:val="center"/>
          </w:tcPr>
          <w:p w14:paraId="03678620">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219" w:type="dxa"/>
            <w:noWrap w:val="0"/>
            <w:vAlign w:val="top"/>
          </w:tcPr>
          <w:p w14:paraId="33A70625">
            <w:pPr>
              <w:pageBreakBefore w:val="0"/>
              <w:kinsoku/>
              <w:wordWrap w:val="0"/>
              <w:topLinePunct w:val="0"/>
              <w:bidi w:val="0"/>
              <w:rPr>
                <w:rFonts w:ascii="新宋体" w:hAnsi="新宋体" w:eastAsia="新宋体"/>
                <w:color w:val="auto"/>
                <w:sz w:val="22"/>
                <w:szCs w:val="22"/>
                <w:highlight w:val="none"/>
              </w:rPr>
            </w:pPr>
          </w:p>
        </w:tc>
      </w:tr>
      <w:tr w14:paraId="71EA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2959BA94">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692" w:type="dxa"/>
            <w:noWrap w:val="0"/>
            <w:vAlign w:val="center"/>
          </w:tcPr>
          <w:p w14:paraId="5CE5D2EC">
            <w:pPr>
              <w:pageBreakBefore w:val="0"/>
              <w:kinsoku/>
              <w:wordWrap w:val="0"/>
              <w:topLinePunct w:val="0"/>
              <w:bidi w:val="0"/>
              <w:spacing w:line="360" w:lineRule="auto"/>
              <w:rPr>
                <w:rFonts w:ascii="新宋体" w:hAnsi="新宋体" w:eastAsia="新宋体"/>
                <w:color w:val="auto"/>
                <w:sz w:val="22"/>
                <w:szCs w:val="22"/>
                <w:highlight w:val="none"/>
              </w:rPr>
            </w:pPr>
          </w:p>
        </w:tc>
        <w:tc>
          <w:tcPr>
            <w:tcW w:w="2880" w:type="dxa"/>
            <w:noWrap w:val="0"/>
            <w:vAlign w:val="center"/>
          </w:tcPr>
          <w:p w14:paraId="754FF96A">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661" w:type="dxa"/>
            <w:noWrap w:val="0"/>
            <w:vAlign w:val="center"/>
          </w:tcPr>
          <w:p w14:paraId="18A317F7">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260" w:type="dxa"/>
            <w:noWrap w:val="0"/>
            <w:vAlign w:val="center"/>
          </w:tcPr>
          <w:p w14:paraId="1B8E3B38">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219" w:type="dxa"/>
            <w:noWrap w:val="0"/>
            <w:vAlign w:val="top"/>
          </w:tcPr>
          <w:p w14:paraId="30D96E3B">
            <w:pPr>
              <w:pageBreakBefore w:val="0"/>
              <w:kinsoku/>
              <w:wordWrap w:val="0"/>
              <w:topLinePunct w:val="0"/>
              <w:bidi w:val="0"/>
              <w:rPr>
                <w:rFonts w:ascii="新宋体" w:hAnsi="新宋体" w:eastAsia="新宋体"/>
                <w:color w:val="auto"/>
                <w:sz w:val="22"/>
                <w:szCs w:val="22"/>
                <w:highlight w:val="none"/>
              </w:rPr>
            </w:pPr>
          </w:p>
        </w:tc>
      </w:tr>
      <w:tr w14:paraId="36109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19A77E42">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692" w:type="dxa"/>
            <w:noWrap w:val="0"/>
            <w:vAlign w:val="center"/>
          </w:tcPr>
          <w:p w14:paraId="4745008B">
            <w:pPr>
              <w:pageBreakBefore w:val="0"/>
              <w:kinsoku/>
              <w:wordWrap w:val="0"/>
              <w:topLinePunct w:val="0"/>
              <w:bidi w:val="0"/>
              <w:spacing w:line="360" w:lineRule="auto"/>
              <w:rPr>
                <w:rFonts w:ascii="新宋体" w:hAnsi="新宋体" w:eastAsia="新宋体"/>
                <w:b/>
                <w:bCs/>
                <w:color w:val="auto"/>
                <w:sz w:val="22"/>
                <w:szCs w:val="22"/>
                <w:highlight w:val="none"/>
              </w:rPr>
            </w:pPr>
          </w:p>
        </w:tc>
        <w:tc>
          <w:tcPr>
            <w:tcW w:w="2880" w:type="dxa"/>
            <w:noWrap w:val="0"/>
            <w:vAlign w:val="center"/>
          </w:tcPr>
          <w:p w14:paraId="1B7E2036">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661" w:type="dxa"/>
            <w:noWrap w:val="0"/>
            <w:vAlign w:val="center"/>
          </w:tcPr>
          <w:p w14:paraId="0BD3E40A">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260" w:type="dxa"/>
            <w:noWrap w:val="0"/>
            <w:vAlign w:val="center"/>
          </w:tcPr>
          <w:p w14:paraId="1300E7F3">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219" w:type="dxa"/>
            <w:noWrap w:val="0"/>
            <w:vAlign w:val="top"/>
          </w:tcPr>
          <w:p w14:paraId="3B997171">
            <w:pPr>
              <w:pageBreakBefore w:val="0"/>
              <w:kinsoku/>
              <w:wordWrap w:val="0"/>
              <w:topLinePunct w:val="0"/>
              <w:bidi w:val="0"/>
              <w:rPr>
                <w:rFonts w:ascii="新宋体" w:hAnsi="新宋体" w:eastAsia="新宋体"/>
                <w:color w:val="auto"/>
                <w:sz w:val="22"/>
                <w:szCs w:val="22"/>
                <w:highlight w:val="none"/>
              </w:rPr>
            </w:pPr>
          </w:p>
        </w:tc>
      </w:tr>
      <w:tr w14:paraId="2F54B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43DC717D">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692" w:type="dxa"/>
            <w:noWrap w:val="0"/>
            <w:vAlign w:val="center"/>
          </w:tcPr>
          <w:p w14:paraId="114D1CBF">
            <w:pPr>
              <w:pageBreakBefore w:val="0"/>
              <w:kinsoku/>
              <w:wordWrap w:val="0"/>
              <w:topLinePunct w:val="0"/>
              <w:bidi w:val="0"/>
              <w:spacing w:line="360" w:lineRule="auto"/>
              <w:rPr>
                <w:rFonts w:ascii="新宋体" w:hAnsi="新宋体" w:eastAsia="新宋体"/>
                <w:b/>
                <w:bCs/>
                <w:color w:val="auto"/>
                <w:sz w:val="22"/>
                <w:szCs w:val="22"/>
                <w:highlight w:val="none"/>
              </w:rPr>
            </w:pPr>
          </w:p>
        </w:tc>
        <w:tc>
          <w:tcPr>
            <w:tcW w:w="2880" w:type="dxa"/>
            <w:noWrap w:val="0"/>
            <w:vAlign w:val="center"/>
          </w:tcPr>
          <w:p w14:paraId="4081F0F5">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661" w:type="dxa"/>
            <w:noWrap w:val="0"/>
            <w:vAlign w:val="center"/>
          </w:tcPr>
          <w:p w14:paraId="47642A2B">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260" w:type="dxa"/>
            <w:noWrap w:val="0"/>
            <w:vAlign w:val="center"/>
          </w:tcPr>
          <w:p w14:paraId="54C711E5">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219" w:type="dxa"/>
            <w:noWrap w:val="0"/>
            <w:vAlign w:val="top"/>
          </w:tcPr>
          <w:p w14:paraId="55EB8EAE">
            <w:pPr>
              <w:pageBreakBefore w:val="0"/>
              <w:kinsoku/>
              <w:wordWrap w:val="0"/>
              <w:topLinePunct w:val="0"/>
              <w:bidi w:val="0"/>
              <w:rPr>
                <w:rFonts w:ascii="新宋体" w:hAnsi="新宋体" w:eastAsia="新宋体"/>
                <w:color w:val="auto"/>
                <w:sz w:val="22"/>
                <w:szCs w:val="22"/>
                <w:highlight w:val="none"/>
              </w:rPr>
            </w:pPr>
          </w:p>
        </w:tc>
      </w:tr>
      <w:tr w14:paraId="54FE0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234AAD16">
            <w:pPr>
              <w:pageBreakBefore w:val="0"/>
              <w:kinsoku/>
              <w:wordWrap w:val="0"/>
              <w:topLinePunct w:val="0"/>
              <w:bidi w:val="0"/>
              <w:spacing w:line="360" w:lineRule="auto"/>
              <w:jc w:val="center"/>
              <w:rPr>
                <w:rFonts w:ascii="新宋体" w:hAnsi="新宋体" w:eastAsia="新宋体"/>
                <w:color w:val="auto"/>
                <w:sz w:val="22"/>
                <w:szCs w:val="22"/>
                <w:highlight w:val="none"/>
              </w:rPr>
            </w:pPr>
          </w:p>
        </w:tc>
        <w:tc>
          <w:tcPr>
            <w:tcW w:w="1692" w:type="dxa"/>
            <w:noWrap w:val="0"/>
            <w:vAlign w:val="center"/>
          </w:tcPr>
          <w:p w14:paraId="19D16C46">
            <w:pPr>
              <w:pageBreakBefore w:val="0"/>
              <w:kinsoku/>
              <w:wordWrap w:val="0"/>
              <w:topLinePunct w:val="0"/>
              <w:bidi w:val="0"/>
              <w:spacing w:line="360" w:lineRule="auto"/>
              <w:rPr>
                <w:rFonts w:ascii="新宋体" w:hAnsi="新宋体" w:eastAsia="新宋体"/>
                <w:color w:val="auto"/>
                <w:sz w:val="22"/>
                <w:szCs w:val="22"/>
                <w:highlight w:val="none"/>
              </w:rPr>
            </w:pPr>
          </w:p>
        </w:tc>
        <w:tc>
          <w:tcPr>
            <w:tcW w:w="2880" w:type="dxa"/>
            <w:noWrap w:val="0"/>
            <w:vAlign w:val="center"/>
          </w:tcPr>
          <w:p w14:paraId="069250FF">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661" w:type="dxa"/>
            <w:noWrap w:val="0"/>
            <w:vAlign w:val="center"/>
          </w:tcPr>
          <w:p w14:paraId="28081E88">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260" w:type="dxa"/>
            <w:noWrap w:val="0"/>
            <w:vAlign w:val="center"/>
          </w:tcPr>
          <w:p w14:paraId="7890CCCA">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219" w:type="dxa"/>
            <w:noWrap w:val="0"/>
            <w:vAlign w:val="top"/>
          </w:tcPr>
          <w:p w14:paraId="3F020D11">
            <w:pPr>
              <w:pageBreakBefore w:val="0"/>
              <w:kinsoku/>
              <w:wordWrap w:val="0"/>
              <w:topLinePunct w:val="0"/>
              <w:bidi w:val="0"/>
              <w:rPr>
                <w:rFonts w:ascii="新宋体" w:hAnsi="新宋体" w:eastAsia="新宋体"/>
                <w:color w:val="auto"/>
                <w:sz w:val="22"/>
                <w:szCs w:val="22"/>
                <w:highlight w:val="none"/>
              </w:rPr>
            </w:pPr>
          </w:p>
        </w:tc>
      </w:tr>
      <w:tr w14:paraId="6A9D2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4E206805">
            <w:pPr>
              <w:pageBreakBefore w:val="0"/>
              <w:kinsoku/>
              <w:wordWrap w:val="0"/>
              <w:topLinePunct w:val="0"/>
              <w:bidi w:val="0"/>
              <w:spacing w:line="360" w:lineRule="auto"/>
              <w:rPr>
                <w:rFonts w:ascii="新宋体" w:hAnsi="新宋体" w:eastAsia="新宋体"/>
                <w:color w:val="auto"/>
                <w:sz w:val="22"/>
                <w:szCs w:val="22"/>
                <w:highlight w:val="none"/>
              </w:rPr>
            </w:pPr>
          </w:p>
        </w:tc>
        <w:tc>
          <w:tcPr>
            <w:tcW w:w="1692" w:type="dxa"/>
            <w:noWrap w:val="0"/>
            <w:vAlign w:val="center"/>
          </w:tcPr>
          <w:p w14:paraId="18A33B58">
            <w:pPr>
              <w:pageBreakBefore w:val="0"/>
              <w:kinsoku/>
              <w:wordWrap w:val="0"/>
              <w:topLinePunct w:val="0"/>
              <w:bidi w:val="0"/>
              <w:spacing w:line="360" w:lineRule="auto"/>
              <w:rPr>
                <w:rFonts w:ascii="新宋体" w:hAnsi="新宋体" w:eastAsia="新宋体"/>
                <w:color w:val="auto"/>
                <w:sz w:val="22"/>
                <w:szCs w:val="22"/>
                <w:highlight w:val="none"/>
              </w:rPr>
            </w:pPr>
          </w:p>
        </w:tc>
        <w:tc>
          <w:tcPr>
            <w:tcW w:w="2880" w:type="dxa"/>
            <w:noWrap w:val="0"/>
            <w:vAlign w:val="center"/>
          </w:tcPr>
          <w:p w14:paraId="4FDB1EBE">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661" w:type="dxa"/>
            <w:noWrap w:val="0"/>
            <w:vAlign w:val="center"/>
          </w:tcPr>
          <w:p w14:paraId="5C82B397">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260" w:type="dxa"/>
            <w:noWrap w:val="0"/>
            <w:vAlign w:val="center"/>
          </w:tcPr>
          <w:p w14:paraId="098B306A">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219" w:type="dxa"/>
            <w:noWrap w:val="0"/>
            <w:vAlign w:val="top"/>
          </w:tcPr>
          <w:p w14:paraId="58FE29E5">
            <w:pPr>
              <w:pageBreakBefore w:val="0"/>
              <w:kinsoku/>
              <w:wordWrap w:val="0"/>
              <w:topLinePunct w:val="0"/>
              <w:bidi w:val="0"/>
              <w:rPr>
                <w:rFonts w:ascii="新宋体" w:hAnsi="新宋体" w:eastAsia="新宋体"/>
                <w:color w:val="auto"/>
                <w:sz w:val="22"/>
                <w:szCs w:val="22"/>
                <w:highlight w:val="none"/>
              </w:rPr>
            </w:pPr>
          </w:p>
        </w:tc>
      </w:tr>
      <w:tr w14:paraId="3E163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1ABE0FB8">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692" w:type="dxa"/>
            <w:noWrap w:val="0"/>
            <w:vAlign w:val="top"/>
          </w:tcPr>
          <w:p w14:paraId="7E7E99E4">
            <w:pPr>
              <w:pageBreakBefore w:val="0"/>
              <w:kinsoku/>
              <w:wordWrap w:val="0"/>
              <w:topLinePunct w:val="0"/>
              <w:bidi w:val="0"/>
              <w:spacing w:line="360" w:lineRule="auto"/>
              <w:rPr>
                <w:rFonts w:ascii="新宋体" w:hAnsi="新宋体" w:eastAsia="新宋体"/>
                <w:color w:val="auto"/>
                <w:sz w:val="22"/>
                <w:szCs w:val="22"/>
                <w:highlight w:val="none"/>
              </w:rPr>
            </w:pPr>
          </w:p>
        </w:tc>
        <w:tc>
          <w:tcPr>
            <w:tcW w:w="2880" w:type="dxa"/>
            <w:noWrap w:val="0"/>
            <w:vAlign w:val="center"/>
          </w:tcPr>
          <w:p w14:paraId="1049E8DA">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661" w:type="dxa"/>
            <w:noWrap w:val="0"/>
            <w:vAlign w:val="center"/>
          </w:tcPr>
          <w:p w14:paraId="07EDAEE4">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260" w:type="dxa"/>
            <w:noWrap w:val="0"/>
            <w:vAlign w:val="center"/>
          </w:tcPr>
          <w:p w14:paraId="7E78756D">
            <w:pPr>
              <w:pageBreakBefore w:val="0"/>
              <w:kinsoku/>
              <w:wordWrap w:val="0"/>
              <w:topLinePunct w:val="0"/>
              <w:bidi w:val="0"/>
              <w:spacing w:line="360" w:lineRule="auto"/>
              <w:jc w:val="center"/>
              <w:rPr>
                <w:rFonts w:ascii="新宋体" w:hAnsi="新宋体" w:eastAsia="新宋体"/>
                <w:b/>
                <w:bCs/>
                <w:color w:val="auto"/>
                <w:sz w:val="22"/>
                <w:szCs w:val="22"/>
                <w:highlight w:val="none"/>
              </w:rPr>
            </w:pPr>
          </w:p>
        </w:tc>
        <w:tc>
          <w:tcPr>
            <w:tcW w:w="1219" w:type="dxa"/>
            <w:noWrap w:val="0"/>
            <w:vAlign w:val="top"/>
          </w:tcPr>
          <w:p w14:paraId="17CC14DD">
            <w:pPr>
              <w:pageBreakBefore w:val="0"/>
              <w:kinsoku/>
              <w:wordWrap w:val="0"/>
              <w:topLinePunct w:val="0"/>
              <w:bidi w:val="0"/>
              <w:rPr>
                <w:rFonts w:ascii="新宋体" w:hAnsi="新宋体" w:eastAsia="新宋体"/>
                <w:color w:val="auto"/>
                <w:sz w:val="22"/>
                <w:szCs w:val="22"/>
                <w:highlight w:val="none"/>
              </w:rPr>
            </w:pPr>
          </w:p>
        </w:tc>
      </w:tr>
    </w:tbl>
    <w:p w14:paraId="40C2EC96">
      <w:pPr>
        <w:pStyle w:val="31"/>
        <w:pageBreakBefore w:val="0"/>
        <w:kinsoku/>
        <w:wordWrap w:val="0"/>
        <w:topLinePunct w:val="0"/>
        <w:bidi w:val="0"/>
        <w:spacing w:line="400" w:lineRule="atLeast"/>
        <w:rPr>
          <w:rFonts w:ascii="新宋体" w:hAnsi="新宋体" w:eastAsia="新宋体"/>
          <w:color w:val="auto"/>
          <w:sz w:val="22"/>
          <w:szCs w:val="22"/>
          <w:highlight w:val="none"/>
        </w:rPr>
      </w:pPr>
    </w:p>
    <w:p w14:paraId="647AA700">
      <w:pPr>
        <w:pageBreakBefore w:val="0"/>
        <w:kinsoku/>
        <w:wordWrap w:val="0"/>
        <w:topLinePunct w:val="0"/>
        <w:bidi w:val="0"/>
        <w:spacing w:line="460" w:lineRule="exact"/>
        <w:ind w:firstLine="5060" w:firstLineChars="23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14:paraId="687CB267">
      <w:pPr>
        <w:pageBreakBefore w:val="0"/>
        <w:kinsoku/>
        <w:wordWrap w:val="0"/>
        <w:topLinePunct w:val="0"/>
        <w:bidi w:val="0"/>
        <w:spacing w:line="460" w:lineRule="exact"/>
        <w:ind w:firstLine="5060" w:firstLineChars="2300"/>
        <w:rPr>
          <w:rFonts w:ascii="新宋体" w:hAnsi="新宋体" w:eastAsia="新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新宋体" w:hAnsi="新宋体" w:eastAsia="新宋体"/>
          <w:color w:val="auto"/>
          <w:sz w:val="22"/>
          <w:szCs w:val="22"/>
          <w:highlight w:val="none"/>
        </w:rPr>
        <w:t>：</w:t>
      </w:r>
    </w:p>
    <w:p w14:paraId="562EA9A5">
      <w:pPr>
        <w:pageBreakBefore w:val="0"/>
        <w:kinsoku/>
        <w:wordWrap w:val="0"/>
        <w:topLinePunct w:val="0"/>
        <w:bidi w:val="0"/>
        <w:spacing w:line="460" w:lineRule="exact"/>
        <w:ind w:firstLine="5060" w:firstLineChars="23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日  期：</w:t>
      </w:r>
    </w:p>
    <w:p w14:paraId="26F70496">
      <w:pPr>
        <w:pageBreakBefore w:val="0"/>
        <w:kinsoku/>
        <w:wordWrap w:val="0"/>
        <w:topLinePunct w:val="0"/>
        <w:bidi w:val="0"/>
        <w:spacing w:line="460" w:lineRule="exact"/>
        <w:ind w:firstLine="5060" w:firstLineChars="2300"/>
        <w:rPr>
          <w:rFonts w:ascii="新宋体" w:hAnsi="新宋体" w:eastAsia="新宋体"/>
          <w:color w:val="auto"/>
          <w:sz w:val="22"/>
          <w:szCs w:val="22"/>
          <w:highlight w:val="none"/>
        </w:rPr>
      </w:pPr>
    </w:p>
    <w:p w14:paraId="19F36BD8">
      <w:pPr>
        <w:pageBreakBefore w:val="0"/>
        <w:kinsoku/>
        <w:wordWrap w:val="0"/>
        <w:topLinePunct w:val="0"/>
        <w:bidi w:val="0"/>
        <w:spacing w:line="460" w:lineRule="exact"/>
        <w:ind w:firstLine="5060" w:firstLineChars="2300"/>
        <w:rPr>
          <w:rFonts w:ascii="新宋体" w:hAnsi="新宋体" w:eastAsia="新宋体"/>
          <w:color w:val="auto"/>
          <w:sz w:val="22"/>
          <w:szCs w:val="22"/>
          <w:highlight w:val="none"/>
        </w:rPr>
      </w:pPr>
    </w:p>
    <w:p w14:paraId="4B2D42E3">
      <w:pPr>
        <w:pageBreakBefore w:val="0"/>
        <w:kinsoku/>
        <w:wordWrap w:val="0"/>
        <w:topLinePunct w:val="0"/>
        <w:bidi w:val="0"/>
        <w:spacing w:line="460" w:lineRule="exact"/>
        <w:ind w:firstLine="5060" w:firstLineChars="2300"/>
        <w:rPr>
          <w:rFonts w:ascii="新宋体" w:hAnsi="新宋体" w:eastAsia="新宋体"/>
          <w:color w:val="auto"/>
          <w:sz w:val="22"/>
          <w:szCs w:val="22"/>
          <w:highlight w:val="none"/>
        </w:rPr>
      </w:pPr>
    </w:p>
    <w:p w14:paraId="2396DF40">
      <w:pPr>
        <w:pageBreakBefore w:val="0"/>
        <w:kinsoku/>
        <w:wordWrap w:val="0"/>
        <w:topLinePunct w:val="0"/>
        <w:bidi w:val="0"/>
        <w:spacing w:line="400" w:lineRule="exact"/>
        <w:jc w:val="center"/>
        <w:outlineLvl w:val="3"/>
        <w:rPr>
          <w:rFonts w:ascii="新宋体" w:hAnsi="新宋体" w:eastAsia="新宋体" w:cs="新宋体"/>
          <w:b/>
          <w:color w:val="auto"/>
          <w:sz w:val="24"/>
          <w:highlight w:val="none"/>
          <w:lang w:val="zh-CN"/>
        </w:rPr>
      </w:pPr>
      <w:r>
        <w:rPr>
          <w:rFonts w:hint="eastAsia" w:ascii="新宋体" w:hAnsi="新宋体" w:eastAsia="新宋体" w:cs="新宋体"/>
          <w:b/>
          <w:color w:val="auto"/>
          <w:sz w:val="24"/>
          <w:highlight w:val="none"/>
        </w:rPr>
        <w:t>5、备</w:t>
      </w:r>
      <w:r>
        <w:rPr>
          <w:rFonts w:hint="eastAsia" w:ascii="新宋体" w:hAnsi="新宋体" w:eastAsia="新宋体" w:cs="新宋体"/>
          <w:b/>
          <w:color w:val="auto"/>
          <w:sz w:val="24"/>
          <w:highlight w:val="none"/>
          <w:lang w:val="zh-CN"/>
        </w:rPr>
        <w:t>品、易损件、备件、专用工具清单（</w:t>
      </w:r>
      <w:r>
        <w:rPr>
          <w:rFonts w:hint="eastAsia" w:ascii="新宋体" w:hAnsi="新宋体" w:eastAsia="新宋体" w:cs="新宋体"/>
          <w:b/>
          <w:color w:val="auto"/>
          <w:sz w:val="24"/>
          <w:highlight w:val="none"/>
          <w:lang w:val="en-US" w:eastAsia="zh-CN"/>
        </w:rPr>
        <w:t>如有</w:t>
      </w:r>
      <w:r>
        <w:rPr>
          <w:rFonts w:hint="eastAsia" w:ascii="新宋体" w:hAnsi="新宋体" w:eastAsia="新宋体" w:cs="新宋体"/>
          <w:b/>
          <w:color w:val="auto"/>
          <w:sz w:val="24"/>
          <w:highlight w:val="none"/>
          <w:lang w:val="zh-CN"/>
        </w:rPr>
        <w:t>）</w:t>
      </w:r>
    </w:p>
    <w:p w14:paraId="0D7002FF">
      <w:pPr>
        <w:pageBreakBefore w:val="0"/>
        <w:kinsoku/>
        <w:wordWrap w:val="0"/>
        <w:topLinePunct w:val="0"/>
        <w:bidi w:val="0"/>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WZLCZB（Z）-2025-07016</w:t>
      </w:r>
    </w:p>
    <w:p w14:paraId="12EBC6B6">
      <w:pPr>
        <w:keepNext/>
        <w:keepLines w:val="0"/>
        <w:pageBreakBefore w:val="0"/>
        <w:widowControl w:val="0"/>
        <w:kinsoku/>
        <w:wordWrap w:val="0"/>
        <w:overflowPunct/>
        <w:topLinePunct w:val="0"/>
        <w:autoSpaceDE/>
        <w:autoSpaceDN/>
        <w:bidi w:val="0"/>
        <w:adjustRightInd/>
        <w:snapToGrid/>
        <w:spacing w:line="360" w:lineRule="auto"/>
        <w:jc w:val="both"/>
        <w:textAlignment w:val="auto"/>
        <w:outlineLvl w:val="9"/>
        <w:rPr>
          <w:rFonts w:hint="eastAsia" w:ascii="新宋体" w:hAnsi="新宋体" w:eastAsia="宋体" w:cs="新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2025年学校图书</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40"/>
        <w:gridCol w:w="1404"/>
        <w:gridCol w:w="796"/>
        <w:gridCol w:w="3704"/>
        <w:gridCol w:w="1568"/>
      </w:tblGrid>
      <w:tr w14:paraId="2750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6" w:type="dxa"/>
            <w:shd w:val="clear" w:color="auto" w:fill="FFFFFF"/>
            <w:noWrap w:val="0"/>
            <w:vAlign w:val="center"/>
          </w:tcPr>
          <w:p w14:paraId="2D148910">
            <w:pPr>
              <w:pageBreakBefore w:val="0"/>
              <w:kinsoku/>
              <w:wordWrap w:val="0"/>
              <w:topLinePunct w:val="0"/>
              <w:bidi w:val="0"/>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240" w:type="dxa"/>
            <w:shd w:val="clear" w:color="auto" w:fill="FFFFFF"/>
            <w:noWrap w:val="0"/>
            <w:vAlign w:val="center"/>
          </w:tcPr>
          <w:p w14:paraId="7871FB10">
            <w:pPr>
              <w:pageBreakBefore w:val="0"/>
              <w:kinsoku/>
              <w:wordWrap w:val="0"/>
              <w:topLinePunct w:val="0"/>
              <w:bidi w:val="0"/>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404" w:type="dxa"/>
            <w:shd w:val="clear" w:color="auto" w:fill="FFFFFF"/>
            <w:noWrap w:val="0"/>
            <w:vAlign w:val="center"/>
          </w:tcPr>
          <w:p w14:paraId="758FBA60">
            <w:pPr>
              <w:pageBreakBefore w:val="0"/>
              <w:kinsoku/>
              <w:wordWrap w:val="0"/>
              <w:topLinePunct w:val="0"/>
              <w:bidi w:val="0"/>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规格型号</w:t>
            </w:r>
          </w:p>
        </w:tc>
        <w:tc>
          <w:tcPr>
            <w:tcW w:w="796" w:type="dxa"/>
            <w:shd w:val="clear" w:color="auto" w:fill="FFFFFF"/>
            <w:noWrap w:val="0"/>
            <w:vAlign w:val="center"/>
          </w:tcPr>
          <w:p w14:paraId="2B6C0CCC">
            <w:pPr>
              <w:pageBreakBefore w:val="0"/>
              <w:kinsoku/>
              <w:wordWrap w:val="0"/>
              <w:topLinePunct w:val="0"/>
              <w:bidi w:val="0"/>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3704" w:type="dxa"/>
            <w:shd w:val="clear" w:color="auto" w:fill="FFFFFF"/>
            <w:noWrap w:val="0"/>
            <w:vAlign w:val="center"/>
          </w:tcPr>
          <w:p w14:paraId="5A3C25BE">
            <w:pPr>
              <w:pageBreakBefore w:val="0"/>
              <w:kinsoku/>
              <w:wordWrap w:val="0"/>
              <w:topLinePunct w:val="0"/>
              <w:bidi w:val="0"/>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原产地/制造商</w:t>
            </w:r>
          </w:p>
        </w:tc>
        <w:tc>
          <w:tcPr>
            <w:tcW w:w="1568" w:type="dxa"/>
            <w:shd w:val="clear" w:color="auto" w:fill="FFFFFF"/>
            <w:noWrap w:val="0"/>
            <w:vAlign w:val="center"/>
          </w:tcPr>
          <w:p w14:paraId="709A544F">
            <w:pPr>
              <w:pageBreakBefore w:val="0"/>
              <w:kinsoku/>
              <w:wordWrap w:val="0"/>
              <w:topLinePunct w:val="0"/>
              <w:bidi w:val="0"/>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14:paraId="0E504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0D86AAAE">
            <w:pPr>
              <w:pageBreakBefore w:val="0"/>
              <w:kinsoku/>
              <w:wordWrap w:val="0"/>
              <w:topLinePunct w:val="0"/>
              <w:bidi w:val="0"/>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15B6E34A">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1404" w:type="dxa"/>
            <w:noWrap w:val="0"/>
            <w:vAlign w:val="top"/>
          </w:tcPr>
          <w:p w14:paraId="1854BFE0">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796" w:type="dxa"/>
            <w:noWrap w:val="0"/>
            <w:vAlign w:val="top"/>
          </w:tcPr>
          <w:p w14:paraId="7709ACC0">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3704" w:type="dxa"/>
            <w:noWrap w:val="0"/>
            <w:vAlign w:val="top"/>
          </w:tcPr>
          <w:p w14:paraId="7806ED71">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1568" w:type="dxa"/>
            <w:noWrap w:val="0"/>
            <w:vAlign w:val="top"/>
          </w:tcPr>
          <w:p w14:paraId="4B761D29">
            <w:pPr>
              <w:pageBreakBefore w:val="0"/>
              <w:kinsoku/>
              <w:wordWrap w:val="0"/>
              <w:topLinePunct w:val="0"/>
              <w:bidi w:val="0"/>
              <w:spacing w:line="400" w:lineRule="exact"/>
              <w:rPr>
                <w:rFonts w:ascii="新宋体" w:hAnsi="新宋体" w:eastAsia="新宋体" w:cs="新宋体"/>
                <w:color w:val="auto"/>
                <w:sz w:val="22"/>
                <w:szCs w:val="22"/>
                <w:highlight w:val="none"/>
              </w:rPr>
            </w:pPr>
          </w:p>
        </w:tc>
      </w:tr>
      <w:tr w14:paraId="214F2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644492CF">
            <w:pPr>
              <w:pageBreakBefore w:val="0"/>
              <w:kinsoku/>
              <w:wordWrap w:val="0"/>
              <w:topLinePunct w:val="0"/>
              <w:bidi w:val="0"/>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10256910">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1404" w:type="dxa"/>
            <w:noWrap w:val="0"/>
            <w:vAlign w:val="top"/>
          </w:tcPr>
          <w:p w14:paraId="6931BEFE">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796" w:type="dxa"/>
            <w:noWrap w:val="0"/>
            <w:vAlign w:val="top"/>
          </w:tcPr>
          <w:p w14:paraId="52FA0DF1">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3704" w:type="dxa"/>
            <w:noWrap w:val="0"/>
            <w:vAlign w:val="top"/>
          </w:tcPr>
          <w:p w14:paraId="56231EE7">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1568" w:type="dxa"/>
            <w:noWrap w:val="0"/>
            <w:vAlign w:val="top"/>
          </w:tcPr>
          <w:p w14:paraId="182A6C1B">
            <w:pPr>
              <w:pageBreakBefore w:val="0"/>
              <w:kinsoku/>
              <w:wordWrap w:val="0"/>
              <w:topLinePunct w:val="0"/>
              <w:bidi w:val="0"/>
              <w:spacing w:line="400" w:lineRule="exact"/>
              <w:rPr>
                <w:rFonts w:ascii="新宋体" w:hAnsi="新宋体" w:eastAsia="新宋体" w:cs="新宋体"/>
                <w:color w:val="auto"/>
                <w:sz w:val="22"/>
                <w:szCs w:val="22"/>
                <w:highlight w:val="none"/>
              </w:rPr>
            </w:pPr>
          </w:p>
        </w:tc>
      </w:tr>
      <w:tr w14:paraId="4FAE1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534DEC50">
            <w:pPr>
              <w:pageBreakBefore w:val="0"/>
              <w:kinsoku/>
              <w:wordWrap w:val="0"/>
              <w:topLinePunct w:val="0"/>
              <w:bidi w:val="0"/>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53A28E67">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1404" w:type="dxa"/>
            <w:noWrap w:val="0"/>
            <w:vAlign w:val="top"/>
          </w:tcPr>
          <w:p w14:paraId="264A9103">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796" w:type="dxa"/>
            <w:noWrap w:val="0"/>
            <w:vAlign w:val="top"/>
          </w:tcPr>
          <w:p w14:paraId="6DFDCAA2">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3704" w:type="dxa"/>
            <w:noWrap w:val="0"/>
            <w:vAlign w:val="top"/>
          </w:tcPr>
          <w:p w14:paraId="0B1E3450">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1568" w:type="dxa"/>
            <w:noWrap w:val="0"/>
            <w:vAlign w:val="top"/>
          </w:tcPr>
          <w:p w14:paraId="1247FFFF">
            <w:pPr>
              <w:pageBreakBefore w:val="0"/>
              <w:kinsoku/>
              <w:wordWrap w:val="0"/>
              <w:topLinePunct w:val="0"/>
              <w:bidi w:val="0"/>
              <w:spacing w:line="400" w:lineRule="exact"/>
              <w:rPr>
                <w:rFonts w:ascii="新宋体" w:hAnsi="新宋体" w:eastAsia="新宋体" w:cs="新宋体"/>
                <w:color w:val="auto"/>
                <w:sz w:val="22"/>
                <w:szCs w:val="22"/>
                <w:highlight w:val="none"/>
              </w:rPr>
            </w:pPr>
          </w:p>
        </w:tc>
      </w:tr>
      <w:tr w14:paraId="1AC8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528E7B1E">
            <w:pPr>
              <w:pageBreakBefore w:val="0"/>
              <w:kinsoku/>
              <w:wordWrap w:val="0"/>
              <w:topLinePunct w:val="0"/>
              <w:bidi w:val="0"/>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5D33388C">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1404" w:type="dxa"/>
            <w:noWrap w:val="0"/>
            <w:vAlign w:val="top"/>
          </w:tcPr>
          <w:p w14:paraId="3B0CF0ED">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796" w:type="dxa"/>
            <w:noWrap w:val="0"/>
            <w:vAlign w:val="top"/>
          </w:tcPr>
          <w:p w14:paraId="5D4D342A">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3704" w:type="dxa"/>
            <w:noWrap w:val="0"/>
            <w:vAlign w:val="top"/>
          </w:tcPr>
          <w:p w14:paraId="42E43B41">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1568" w:type="dxa"/>
            <w:noWrap w:val="0"/>
            <w:vAlign w:val="top"/>
          </w:tcPr>
          <w:p w14:paraId="154E4A22">
            <w:pPr>
              <w:pageBreakBefore w:val="0"/>
              <w:kinsoku/>
              <w:wordWrap w:val="0"/>
              <w:topLinePunct w:val="0"/>
              <w:bidi w:val="0"/>
              <w:spacing w:line="400" w:lineRule="exact"/>
              <w:rPr>
                <w:rFonts w:ascii="新宋体" w:hAnsi="新宋体" w:eastAsia="新宋体" w:cs="新宋体"/>
                <w:color w:val="auto"/>
                <w:sz w:val="22"/>
                <w:szCs w:val="22"/>
                <w:highlight w:val="none"/>
              </w:rPr>
            </w:pPr>
          </w:p>
        </w:tc>
      </w:tr>
      <w:tr w14:paraId="53796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4E1E7AE5">
            <w:pPr>
              <w:pageBreakBefore w:val="0"/>
              <w:kinsoku/>
              <w:wordWrap w:val="0"/>
              <w:topLinePunct w:val="0"/>
              <w:bidi w:val="0"/>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56F3597A">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1404" w:type="dxa"/>
            <w:noWrap w:val="0"/>
            <w:vAlign w:val="top"/>
          </w:tcPr>
          <w:p w14:paraId="581E7FD7">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796" w:type="dxa"/>
            <w:noWrap w:val="0"/>
            <w:vAlign w:val="top"/>
          </w:tcPr>
          <w:p w14:paraId="6882920C">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3704" w:type="dxa"/>
            <w:noWrap w:val="0"/>
            <w:vAlign w:val="top"/>
          </w:tcPr>
          <w:p w14:paraId="30595E06">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1568" w:type="dxa"/>
            <w:noWrap w:val="0"/>
            <w:vAlign w:val="top"/>
          </w:tcPr>
          <w:p w14:paraId="2638DB02">
            <w:pPr>
              <w:pageBreakBefore w:val="0"/>
              <w:kinsoku/>
              <w:wordWrap w:val="0"/>
              <w:topLinePunct w:val="0"/>
              <w:bidi w:val="0"/>
              <w:spacing w:line="400" w:lineRule="exact"/>
              <w:rPr>
                <w:rFonts w:ascii="新宋体" w:hAnsi="新宋体" w:eastAsia="新宋体" w:cs="新宋体"/>
                <w:color w:val="auto"/>
                <w:sz w:val="22"/>
                <w:szCs w:val="22"/>
                <w:highlight w:val="none"/>
              </w:rPr>
            </w:pPr>
          </w:p>
        </w:tc>
      </w:tr>
      <w:tr w14:paraId="63B46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64A4A371">
            <w:pPr>
              <w:pageBreakBefore w:val="0"/>
              <w:kinsoku/>
              <w:wordWrap w:val="0"/>
              <w:topLinePunct w:val="0"/>
              <w:bidi w:val="0"/>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30930C37">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1404" w:type="dxa"/>
            <w:noWrap w:val="0"/>
            <w:vAlign w:val="top"/>
          </w:tcPr>
          <w:p w14:paraId="0FAF0FF8">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796" w:type="dxa"/>
            <w:noWrap w:val="0"/>
            <w:vAlign w:val="top"/>
          </w:tcPr>
          <w:p w14:paraId="679B713F">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3704" w:type="dxa"/>
            <w:noWrap w:val="0"/>
            <w:vAlign w:val="top"/>
          </w:tcPr>
          <w:p w14:paraId="27DDA6FA">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1568" w:type="dxa"/>
            <w:noWrap w:val="0"/>
            <w:vAlign w:val="top"/>
          </w:tcPr>
          <w:p w14:paraId="24EE6974">
            <w:pPr>
              <w:pageBreakBefore w:val="0"/>
              <w:kinsoku/>
              <w:wordWrap w:val="0"/>
              <w:topLinePunct w:val="0"/>
              <w:bidi w:val="0"/>
              <w:spacing w:line="400" w:lineRule="exact"/>
              <w:rPr>
                <w:rFonts w:ascii="新宋体" w:hAnsi="新宋体" w:eastAsia="新宋体" w:cs="新宋体"/>
                <w:color w:val="auto"/>
                <w:sz w:val="22"/>
                <w:szCs w:val="22"/>
                <w:highlight w:val="none"/>
              </w:rPr>
            </w:pPr>
          </w:p>
        </w:tc>
      </w:tr>
      <w:tr w14:paraId="5CDD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4778F563">
            <w:pPr>
              <w:pageBreakBefore w:val="0"/>
              <w:kinsoku/>
              <w:wordWrap w:val="0"/>
              <w:topLinePunct w:val="0"/>
              <w:bidi w:val="0"/>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4E690DEA">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1404" w:type="dxa"/>
            <w:noWrap w:val="0"/>
            <w:vAlign w:val="top"/>
          </w:tcPr>
          <w:p w14:paraId="4AB2A1B8">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796" w:type="dxa"/>
            <w:noWrap w:val="0"/>
            <w:vAlign w:val="top"/>
          </w:tcPr>
          <w:p w14:paraId="3AC75E02">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3704" w:type="dxa"/>
            <w:noWrap w:val="0"/>
            <w:vAlign w:val="top"/>
          </w:tcPr>
          <w:p w14:paraId="3F709F38">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1568" w:type="dxa"/>
            <w:noWrap w:val="0"/>
            <w:vAlign w:val="top"/>
          </w:tcPr>
          <w:p w14:paraId="0641DD7D">
            <w:pPr>
              <w:pageBreakBefore w:val="0"/>
              <w:kinsoku/>
              <w:wordWrap w:val="0"/>
              <w:topLinePunct w:val="0"/>
              <w:bidi w:val="0"/>
              <w:spacing w:line="400" w:lineRule="exact"/>
              <w:rPr>
                <w:rFonts w:ascii="新宋体" w:hAnsi="新宋体" w:eastAsia="新宋体" w:cs="新宋体"/>
                <w:color w:val="auto"/>
                <w:sz w:val="22"/>
                <w:szCs w:val="22"/>
                <w:highlight w:val="none"/>
              </w:rPr>
            </w:pPr>
          </w:p>
        </w:tc>
      </w:tr>
      <w:tr w14:paraId="7BE2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221990AF">
            <w:pPr>
              <w:pageBreakBefore w:val="0"/>
              <w:kinsoku/>
              <w:wordWrap w:val="0"/>
              <w:topLinePunct w:val="0"/>
              <w:bidi w:val="0"/>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0E08DBC5">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1404" w:type="dxa"/>
            <w:noWrap w:val="0"/>
            <w:vAlign w:val="top"/>
          </w:tcPr>
          <w:p w14:paraId="00B19BF7">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796" w:type="dxa"/>
            <w:noWrap w:val="0"/>
            <w:vAlign w:val="top"/>
          </w:tcPr>
          <w:p w14:paraId="7EB1B388">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3704" w:type="dxa"/>
            <w:noWrap w:val="0"/>
            <w:vAlign w:val="top"/>
          </w:tcPr>
          <w:p w14:paraId="61418A6D">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1568" w:type="dxa"/>
            <w:noWrap w:val="0"/>
            <w:vAlign w:val="top"/>
          </w:tcPr>
          <w:p w14:paraId="282788B1">
            <w:pPr>
              <w:pageBreakBefore w:val="0"/>
              <w:kinsoku/>
              <w:wordWrap w:val="0"/>
              <w:topLinePunct w:val="0"/>
              <w:bidi w:val="0"/>
              <w:spacing w:line="400" w:lineRule="exact"/>
              <w:rPr>
                <w:rFonts w:ascii="新宋体" w:hAnsi="新宋体" w:eastAsia="新宋体" w:cs="新宋体"/>
                <w:color w:val="auto"/>
                <w:sz w:val="22"/>
                <w:szCs w:val="22"/>
                <w:highlight w:val="none"/>
              </w:rPr>
            </w:pPr>
          </w:p>
        </w:tc>
      </w:tr>
      <w:tr w14:paraId="22F32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1A415A57">
            <w:pPr>
              <w:pageBreakBefore w:val="0"/>
              <w:kinsoku/>
              <w:wordWrap w:val="0"/>
              <w:topLinePunct w:val="0"/>
              <w:bidi w:val="0"/>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2DA72781">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1404" w:type="dxa"/>
            <w:noWrap w:val="0"/>
            <w:vAlign w:val="top"/>
          </w:tcPr>
          <w:p w14:paraId="7DD27581">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796" w:type="dxa"/>
            <w:noWrap w:val="0"/>
            <w:vAlign w:val="top"/>
          </w:tcPr>
          <w:p w14:paraId="130C6027">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3704" w:type="dxa"/>
            <w:noWrap w:val="0"/>
            <w:vAlign w:val="top"/>
          </w:tcPr>
          <w:p w14:paraId="5EDC9D30">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1568" w:type="dxa"/>
            <w:noWrap w:val="0"/>
            <w:vAlign w:val="top"/>
          </w:tcPr>
          <w:p w14:paraId="108D96D6">
            <w:pPr>
              <w:pageBreakBefore w:val="0"/>
              <w:kinsoku/>
              <w:wordWrap w:val="0"/>
              <w:topLinePunct w:val="0"/>
              <w:bidi w:val="0"/>
              <w:spacing w:line="400" w:lineRule="exact"/>
              <w:rPr>
                <w:rFonts w:ascii="新宋体" w:hAnsi="新宋体" w:eastAsia="新宋体" w:cs="新宋体"/>
                <w:color w:val="auto"/>
                <w:sz w:val="22"/>
                <w:szCs w:val="22"/>
                <w:highlight w:val="none"/>
              </w:rPr>
            </w:pPr>
          </w:p>
        </w:tc>
      </w:tr>
      <w:tr w14:paraId="6767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787DB9F8">
            <w:pPr>
              <w:pageBreakBefore w:val="0"/>
              <w:kinsoku/>
              <w:wordWrap w:val="0"/>
              <w:topLinePunct w:val="0"/>
              <w:bidi w:val="0"/>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55F77BA2">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1404" w:type="dxa"/>
            <w:noWrap w:val="0"/>
            <w:vAlign w:val="top"/>
          </w:tcPr>
          <w:p w14:paraId="44401C7B">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796" w:type="dxa"/>
            <w:noWrap w:val="0"/>
            <w:vAlign w:val="top"/>
          </w:tcPr>
          <w:p w14:paraId="393FAABB">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3704" w:type="dxa"/>
            <w:noWrap w:val="0"/>
            <w:vAlign w:val="top"/>
          </w:tcPr>
          <w:p w14:paraId="469A3398">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1568" w:type="dxa"/>
            <w:noWrap w:val="0"/>
            <w:vAlign w:val="top"/>
          </w:tcPr>
          <w:p w14:paraId="601B81D0">
            <w:pPr>
              <w:pageBreakBefore w:val="0"/>
              <w:kinsoku/>
              <w:wordWrap w:val="0"/>
              <w:topLinePunct w:val="0"/>
              <w:bidi w:val="0"/>
              <w:spacing w:line="400" w:lineRule="exact"/>
              <w:rPr>
                <w:rFonts w:ascii="新宋体" w:hAnsi="新宋体" w:eastAsia="新宋体" w:cs="新宋体"/>
                <w:color w:val="auto"/>
                <w:sz w:val="22"/>
                <w:szCs w:val="22"/>
                <w:highlight w:val="none"/>
              </w:rPr>
            </w:pPr>
          </w:p>
        </w:tc>
      </w:tr>
      <w:tr w14:paraId="425D9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52624BD4">
            <w:pPr>
              <w:pageBreakBefore w:val="0"/>
              <w:kinsoku/>
              <w:wordWrap w:val="0"/>
              <w:topLinePunct w:val="0"/>
              <w:bidi w:val="0"/>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1A26450F">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1404" w:type="dxa"/>
            <w:noWrap w:val="0"/>
            <w:vAlign w:val="top"/>
          </w:tcPr>
          <w:p w14:paraId="107622D8">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796" w:type="dxa"/>
            <w:noWrap w:val="0"/>
            <w:vAlign w:val="top"/>
          </w:tcPr>
          <w:p w14:paraId="02B169A7">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3704" w:type="dxa"/>
            <w:noWrap w:val="0"/>
            <w:vAlign w:val="top"/>
          </w:tcPr>
          <w:p w14:paraId="7D3B29A9">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1568" w:type="dxa"/>
            <w:noWrap w:val="0"/>
            <w:vAlign w:val="top"/>
          </w:tcPr>
          <w:p w14:paraId="277FCD11">
            <w:pPr>
              <w:pageBreakBefore w:val="0"/>
              <w:kinsoku/>
              <w:wordWrap w:val="0"/>
              <w:topLinePunct w:val="0"/>
              <w:bidi w:val="0"/>
              <w:spacing w:line="400" w:lineRule="exact"/>
              <w:rPr>
                <w:rFonts w:ascii="新宋体" w:hAnsi="新宋体" w:eastAsia="新宋体" w:cs="新宋体"/>
                <w:color w:val="auto"/>
                <w:sz w:val="22"/>
                <w:szCs w:val="22"/>
                <w:highlight w:val="none"/>
              </w:rPr>
            </w:pPr>
          </w:p>
        </w:tc>
      </w:tr>
      <w:tr w14:paraId="18EF5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5E4FFF93">
            <w:pPr>
              <w:pageBreakBefore w:val="0"/>
              <w:kinsoku/>
              <w:wordWrap w:val="0"/>
              <w:topLinePunct w:val="0"/>
              <w:bidi w:val="0"/>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71EB4521">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1404" w:type="dxa"/>
            <w:noWrap w:val="0"/>
            <w:vAlign w:val="top"/>
          </w:tcPr>
          <w:p w14:paraId="2A6E77AC">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796" w:type="dxa"/>
            <w:noWrap w:val="0"/>
            <w:vAlign w:val="top"/>
          </w:tcPr>
          <w:p w14:paraId="0CB78113">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3704" w:type="dxa"/>
            <w:noWrap w:val="0"/>
            <w:vAlign w:val="top"/>
          </w:tcPr>
          <w:p w14:paraId="03C38519">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1568" w:type="dxa"/>
            <w:noWrap w:val="0"/>
            <w:vAlign w:val="top"/>
          </w:tcPr>
          <w:p w14:paraId="4E1C309C">
            <w:pPr>
              <w:pageBreakBefore w:val="0"/>
              <w:kinsoku/>
              <w:wordWrap w:val="0"/>
              <w:topLinePunct w:val="0"/>
              <w:bidi w:val="0"/>
              <w:spacing w:line="400" w:lineRule="exact"/>
              <w:rPr>
                <w:rFonts w:ascii="新宋体" w:hAnsi="新宋体" w:eastAsia="新宋体" w:cs="新宋体"/>
                <w:color w:val="auto"/>
                <w:sz w:val="22"/>
                <w:szCs w:val="22"/>
                <w:highlight w:val="none"/>
              </w:rPr>
            </w:pPr>
          </w:p>
        </w:tc>
      </w:tr>
      <w:tr w14:paraId="6FFCE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602D7CF5">
            <w:pPr>
              <w:pageBreakBefore w:val="0"/>
              <w:kinsoku/>
              <w:wordWrap w:val="0"/>
              <w:topLinePunct w:val="0"/>
              <w:bidi w:val="0"/>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2CA8F9CF">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1404" w:type="dxa"/>
            <w:noWrap w:val="0"/>
            <w:vAlign w:val="top"/>
          </w:tcPr>
          <w:p w14:paraId="3C6AC4AC">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796" w:type="dxa"/>
            <w:noWrap w:val="0"/>
            <w:vAlign w:val="top"/>
          </w:tcPr>
          <w:p w14:paraId="1F7AF27D">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3704" w:type="dxa"/>
            <w:noWrap w:val="0"/>
            <w:vAlign w:val="top"/>
          </w:tcPr>
          <w:p w14:paraId="6F4B84C0">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1568" w:type="dxa"/>
            <w:noWrap w:val="0"/>
            <w:vAlign w:val="top"/>
          </w:tcPr>
          <w:p w14:paraId="62FD19C8">
            <w:pPr>
              <w:pageBreakBefore w:val="0"/>
              <w:kinsoku/>
              <w:wordWrap w:val="0"/>
              <w:topLinePunct w:val="0"/>
              <w:bidi w:val="0"/>
              <w:spacing w:line="400" w:lineRule="exact"/>
              <w:rPr>
                <w:rFonts w:ascii="新宋体" w:hAnsi="新宋体" w:eastAsia="新宋体" w:cs="新宋体"/>
                <w:color w:val="auto"/>
                <w:sz w:val="22"/>
                <w:szCs w:val="22"/>
                <w:highlight w:val="none"/>
              </w:rPr>
            </w:pPr>
          </w:p>
        </w:tc>
      </w:tr>
      <w:tr w14:paraId="16E2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0F4D7FFF">
            <w:pPr>
              <w:pageBreakBefore w:val="0"/>
              <w:kinsoku/>
              <w:wordWrap w:val="0"/>
              <w:topLinePunct w:val="0"/>
              <w:bidi w:val="0"/>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6A917651">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1404" w:type="dxa"/>
            <w:noWrap w:val="0"/>
            <w:vAlign w:val="top"/>
          </w:tcPr>
          <w:p w14:paraId="5B815B94">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796" w:type="dxa"/>
            <w:noWrap w:val="0"/>
            <w:vAlign w:val="top"/>
          </w:tcPr>
          <w:p w14:paraId="17670CBC">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3704" w:type="dxa"/>
            <w:noWrap w:val="0"/>
            <w:vAlign w:val="top"/>
          </w:tcPr>
          <w:p w14:paraId="19713FED">
            <w:pPr>
              <w:pageBreakBefore w:val="0"/>
              <w:kinsoku/>
              <w:wordWrap w:val="0"/>
              <w:topLinePunct w:val="0"/>
              <w:bidi w:val="0"/>
              <w:spacing w:line="400" w:lineRule="exact"/>
              <w:rPr>
                <w:rFonts w:ascii="新宋体" w:hAnsi="新宋体" w:eastAsia="新宋体" w:cs="新宋体"/>
                <w:color w:val="auto"/>
                <w:sz w:val="22"/>
                <w:szCs w:val="22"/>
                <w:highlight w:val="none"/>
              </w:rPr>
            </w:pPr>
          </w:p>
        </w:tc>
        <w:tc>
          <w:tcPr>
            <w:tcW w:w="1568" w:type="dxa"/>
            <w:noWrap w:val="0"/>
            <w:vAlign w:val="top"/>
          </w:tcPr>
          <w:p w14:paraId="27C4F87F">
            <w:pPr>
              <w:pageBreakBefore w:val="0"/>
              <w:kinsoku/>
              <w:wordWrap w:val="0"/>
              <w:topLinePunct w:val="0"/>
              <w:bidi w:val="0"/>
              <w:spacing w:line="400" w:lineRule="exact"/>
              <w:rPr>
                <w:rFonts w:ascii="新宋体" w:hAnsi="新宋体" w:eastAsia="新宋体" w:cs="新宋体"/>
                <w:color w:val="auto"/>
                <w:sz w:val="22"/>
                <w:szCs w:val="22"/>
                <w:highlight w:val="none"/>
              </w:rPr>
            </w:pPr>
          </w:p>
        </w:tc>
      </w:tr>
    </w:tbl>
    <w:p w14:paraId="3D19A888">
      <w:pPr>
        <w:pageBreakBefore w:val="0"/>
        <w:kinsoku/>
        <w:wordWrap w:val="0"/>
        <w:topLinePunct w:val="0"/>
        <w:bidi w:val="0"/>
        <w:spacing w:line="400" w:lineRule="exact"/>
        <w:ind w:firstLine="4620" w:firstLineChars="2100"/>
        <w:rPr>
          <w:rFonts w:ascii="新宋体" w:hAnsi="新宋体" w:eastAsia="新宋体" w:cs="新宋体"/>
          <w:color w:val="auto"/>
          <w:sz w:val="22"/>
          <w:szCs w:val="22"/>
          <w:highlight w:val="none"/>
        </w:rPr>
      </w:pPr>
    </w:p>
    <w:p w14:paraId="1C449A27">
      <w:pPr>
        <w:pageBreakBefore w:val="0"/>
        <w:kinsoku/>
        <w:wordWrap w:val="0"/>
        <w:topLinePunct w:val="0"/>
        <w:bidi w:val="0"/>
        <w:spacing w:line="360" w:lineRule="auto"/>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03C62FF2">
      <w:pPr>
        <w:pageBreakBefore w:val="0"/>
        <w:kinsoku/>
        <w:wordWrap w:val="0"/>
        <w:topLinePunct w:val="0"/>
        <w:bidi w:val="0"/>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r>
        <w:rPr>
          <w:rFonts w:hint="eastAsia" w:ascii="宋体" w:hAnsi="宋体" w:eastAsia="宋体" w:cs="宋体"/>
          <w:color w:val="auto"/>
          <w:kern w:val="0"/>
          <w:sz w:val="22"/>
          <w:szCs w:val="22"/>
          <w:highlight w:val="none"/>
        </w:rPr>
        <w:t>法定代表人或其授权代表（签字或盖章）</w:t>
      </w:r>
      <w:r>
        <w:rPr>
          <w:rFonts w:hint="eastAsia" w:ascii="新宋体" w:hAnsi="新宋体" w:eastAsia="新宋体" w:cs="新宋体"/>
          <w:color w:val="auto"/>
          <w:sz w:val="22"/>
          <w:szCs w:val="22"/>
          <w:highlight w:val="none"/>
        </w:rPr>
        <w:t>：</w:t>
      </w:r>
    </w:p>
    <w:p w14:paraId="35C5D568">
      <w:pPr>
        <w:pageBreakBefore w:val="0"/>
        <w:kinsoku/>
        <w:wordWrap w:val="0"/>
        <w:topLinePunct w:val="0"/>
        <w:bidi w:val="0"/>
        <w:spacing w:line="360" w:lineRule="auto"/>
        <w:rPr>
          <w:rFonts w:hint="eastAsia" w:ascii="宋体" w:hAnsi="宋体" w:eastAsia="宋体" w:cs="宋体"/>
          <w:b/>
          <w:bCs/>
          <w:color w:val="auto"/>
          <w:sz w:val="28"/>
          <w:szCs w:val="28"/>
          <w:highlight w:val="none"/>
          <w:lang w:val="en-US" w:eastAsia="zh-CN"/>
        </w:rPr>
      </w:pPr>
      <w:r>
        <w:rPr>
          <w:rFonts w:hint="eastAsia" w:ascii="新宋体" w:hAnsi="新宋体" w:eastAsia="新宋体" w:cs="新宋体"/>
          <w:color w:val="auto"/>
          <w:sz w:val="22"/>
          <w:szCs w:val="22"/>
          <w:highlight w:val="none"/>
        </w:rPr>
        <w:t xml:space="preserve">                                                日    期：</w:t>
      </w:r>
    </w:p>
    <w:p w14:paraId="2A86DB34">
      <w:pPr>
        <w:pageBreakBefore w:val="0"/>
        <w:kinsoku/>
        <w:wordWrap w:val="0"/>
        <w:topLinePunct w:val="0"/>
        <w:bidi w:val="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67E53276">
      <w:pPr>
        <w:pageBreakBefore w:val="0"/>
        <w:kinsoku/>
        <w:wordWrap w:val="0"/>
        <w:topLinePunct w:val="0"/>
        <w:bidi w:val="0"/>
        <w:spacing w:line="400" w:lineRule="exact"/>
        <w:jc w:val="center"/>
        <w:outlineLvl w:val="3"/>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6</w:t>
      </w:r>
      <w:bookmarkEnd w:id="52"/>
      <w:r>
        <w:rPr>
          <w:rFonts w:hint="eastAsia" w:ascii="宋体" w:hAnsi="宋体" w:cs="宋体"/>
          <w:b/>
          <w:bCs/>
          <w:color w:val="auto"/>
          <w:sz w:val="28"/>
          <w:szCs w:val="28"/>
          <w:highlight w:val="none"/>
          <w:lang w:val="en-US" w:eastAsia="zh-CN"/>
        </w:rPr>
        <w:t>、供应商履约能力</w:t>
      </w:r>
    </w:p>
    <w:p w14:paraId="33A91263">
      <w:pPr>
        <w:pageBreakBefore w:val="0"/>
        <w:kinsoku/>
        <w:wordWrap w:val="0"/>
        <w:topLinePunct w:val="0"/>
        <w:bidi w:val="0"/>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WZLCZB（Z）-2025-07016</w:t>
      </w:r>
    </w:p>
    <w:p w14:paraId="7BF356F1">
      <w:pPr>
        <w:keepNext/>
        <w:keepLines w:val="0"/>
        <w:pageBreakBefore w:val="0"/>
        <w:widowControl w:val="0"/>
        <w:kinsoku/>
        <w:wordWrap w:val="0"/>
        <w:overflowPunct/>
        <w:topLinePunct w:val="0"/>
        <w:autoSpaceDE/>
        <w:autoSpaceDN/>
        <w:bidi w:val="0"/>
        <w:adjustRightInd/>
        <w:snapToGrid/>
        <w:spacing w:line="360" w:lineRule="auto"/>
        <w:jc w:val="both"/>
        <w:textAlignment w:val="auto"/>
        <w:outlineLvl w:val="9"/>
        <w:rPr>
          <w:rFonts w:hint="eastAsia" w:eastAsia="宋体"/>
          <w:color w:val="auto"/>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2025年学校图书</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14:paraId="0ED2A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14:paraId="4D531E87">
            <w:pPr>
              <w:pageBreakBefore w:val="0"/>
              <w:kinsoku/>
              <w:wordWrap w:val="0"/>
              <w:topLinePunct w:val="0"/>
              <w:bidi w:val="0"/>
              <w:spacing w:line="360" w:lineRule="auto"/>
              <w:rPr>
                <w:rFonts w:hint="eastAsia" w:ascii="宋体" w:hAnsi="宋体" w:eastAsia="宋体" w:cs="宋体"/>
                <w:color w:val="auto"/>
                <w:sz w:val="22"/>
                <w:szCs w:val="22"/>
                <w:highlight w:val="none"/>
              </w:rPr>
            </w:pPr>
          </w:p>
        </w:tc>
      </w:tr>
    </w:tbl>
    <w:p w14:paraId="5597A6C8">
      <w:pPr>
        <w:pStyle w:val="31"/>
        <w:pageBreakBefore w:val="0"/>
        <w:kinsoku/>
        <w:wordWrap w:val="0"/>
        <w:topLinePunct w:val="0"/>
        <w:bidi w:val="0"/>
        <w:spacing w:line="400" w:lineRule="atLeast"/>
        <w:rPr>
          <w:rFonts w:hint="eastAsia" w:ascii="宋体" w:hAnsi="宋体" w:eastAsia="宋体" w:cs="宋体"/>
          <w:color w:val="auto"/>
          <w:sz w:val="22"/>
          <w:szCs w:val="22"/>
          <w:highlight w:val="none"/>
        </w:rPr>
      </w:pPr>
    </w:p>
    <w:p w14:paraId="1F3E4EE9">
      <w:pPr>
        <w:pageBreakBefore w:val="0"/>
        <w:kinsoku/>
        <w:wordWrap w:val="0"/>
        <w:topLinePunct w:val="0"/>
        <w:bidi w:val="0"/>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735FA285">
      <w:pPr>
        <w:pageBreakBefore w:val="0"/>
        <w:kinsoku/>
        <w:wordWrap w:val="0"/>
        <w:topLinePunct w:val="0"/>
        <w:bidi w:val="0"/>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5BF37715">
      <w:pPr>
        <w:pageBreakBefore w:val="0"/>
        <w:kinsoku/>
        <w:wordWrap w:val="0"/>
        <w:topLinePunct w:val="0"/>
        <w:bidi w:val="0"/>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14:paraId="68091D8B">
      <w:pPr>
        <w:pageBreakBefore w:val="0"/>
        <w:kinsoku/>
        <w:wordWrap w:val="0"/>
        <w:topLinePunct w:val="0"/>
        <w:bidi w:val="0"/>
        <w:spacing w:line="460" w:lineRule="exact"/>
        <w:ind w:firstLine="5060" w:firstLineChars="2300"/>
        <w:rPr>
          <w:rFonts w:hint="eastAsia" w:ascii="宋体" w:hAnsi="宋体" w:eastAsia="宋体" w:cs="宋体"/>
          <w:color w:val="auto"/>
          <w:sz w:val="22"/>
          <w:szCs w:val="22"/>
          <w:highlight w:val="none"/>
        </w:rPr>
      </w:pPr>
    </w:p>
    <w:p w14:paraId="3DB91E5C">
      <w:pPr>
        <w:pageBreakBefore w:val="0"/>
        <w:kinsoku/>
        <w:wordWrap w:val="0"/>
        <w:topLinePunct w:val="0"/>
        <w:bidi w:val="0"/>
        <w:spacing w:line="460" w:lineRule="exact"/>
        <w:rPr>
          <w:rFonts w:hint="eastAsia" w:ascii="宋体" w:hAnsi="宋体" w:eastAsia="宋体" w:cs="宋体"/>
          <w:color w:val="auto"/>
          <w:sz w:val="22"/>
          <w:szCs w:val="22"/>
          <w:highlight w:val="none"/>
        </w:rPr>
      </w:pPr>
    </w:p>
    <w:p w14:paraId="0AE979E7">
      <w:pPr>
        <w:pageBreakBefore w:val="0"/>
        <w:kinsoku/>
        <w:wordWrap w:val="0"/>
        <w:topLinePunct w:val="0"/>
        <w:bidi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0B508CB8">
      <w:pPr>
        <w:pageBreakBefore w:val="0"/>
        <w:kinsoku/>
        <w:wordWrap w:val="0"/>
        <w:topLinePunct w:val="0"/>
        <w:bidi w:val="0"/>
        <w:spacing w:line="400" w:lineRule="exact"/>
        <w:jc w:val="center"/>
        <w:outlineLvl w:val="3"/>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7</w:t>
      </w:r>
      <w:r>
        <w:rPr>
          <w:rFonts w:hint="eastAsia" w:ascii="宋体" w:hAnsi="宋体" w:eastAsia="宋体" w:cs="宋体"/>
          <w:b/>
          <w:bCs/>
          <w:color w:val="auto"/>
          <w:sz w:val="28"/>
          <w:szCs w:val="28"/>
          <w:highlight w:val="none"/>
          <w:lang w:val="en-US" w:eastAsia="zh-CN"/>
        </w:rPr>
        <w:t>、</w:t>
      </w:r>
      <w:r>
        <w:rPr>
          <w:rFonts w:hint="eastAsia" w:ascii="宋体" w:hAnsi="宋体" w:cs="宋体"/>
          <w:b/>
          <w:bCs/>
          <w:color w:val="auto"/>
          <w:sz w:val="28"/>
          <w:szCs w:val="28"/>
          <w:highlight w:val="none"/>
          <w:lang w:val="en-US" w:eastAsia="zh-CN"/>
        </w:rPr>
        <w:t>投标人业绩</w:t>
      </w:r>
    </w:p>
    <w:p w14:paraId="222C5F2A">
      <w:pPr>
        <w:pageBreakBefore w:val="0"/>
        <w:kinsoku/>
        <w:wordWrap w:val="0"/>
        <w:topLinePunct w:val="0"/>
        <w:bidi w:val="0"/>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WZLCZB（Z）-2025-07016</w:t>
      </w:r>
    </w:p>
    <w:p w14:paraId="2450B110">
      <w:pPr>
        <w:keepNext/>
        <w:keepLines w:val="0"/>
        <w:pageBreakBefore w:val="0"/>
        <w:widowControl w:val="0"/>
        <w:kinsoku/>
        <w:wordWrap w:val="0"/>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2025年学校图书</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69"/>
        <w:gridCol w:w="2437"/>
        <w:gridCol w:w="1737"/>
        <w:gridCol w:w="1737"/>
        <w:gridCol w:w="926"/>
      </w:tblGrid>
      <w:tr w14:paraId="7A6E2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12329EC2">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2069" w:type="dxa"/>
            <w:noWrap w:val="0"/>
            <w:vAlign w:val="center"/>
          </w:tcPr>
          <w:p w14:paraId="684F3CF1">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用户名称</w:t>
            </w:r>
          </w:p>
        </w:tc>
        <w:tc>
          <w:tcPr>
            <w:tcW w:w="2437" w:type="dxa"/>
            <w:noWrap w:val="0"/>
            <w:vAlign w:val="center"/>
          </w:tcPr>
          <w:p w14:paraId="6F556EA8">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w:t>
            </w:r>
          </w:p>
        </w:tc>
        <w:tc>
          <w:tcPr>
            <w:tcW w:w="1737" w:type="dxa"/>
            <w:noWrap w:val="0"/>
            <w:vAlign w:val="center"/>
          </w:tcPr>
          <w:p w14:paraId="01CDE897">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合同金额</w:t>
            </w:r>
          </w:p>
        </w:tc>
        <w:tc>
          <w:tcPr>
            <w:tcW w:w="1737" w:type="dxa"/>
            <w:noWrap w:val="0"/>
            <w:vAlign w:val="center"/>
          </w:tcPr>
          <w:p w14:paraId="625D8A8A">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联系方式</w:t>
            </w:r>
          </w:p>
        </w:tc>
        <w:tc>
          <w:tcPr>
            <w:tcW w:w="926" w:type="dxa"/>
            <w:noWrap w:val="0"/>
            <w:vAlign w:val="center"/>
          </w:tcPr>
          <w:p w14:paraId="11FE08BF">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w:t>
            </w:r>
          </w:p>
        </w:tc>
      </w:tr>
      <w:tr w14:paraId="5576A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518CCDC2">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3969BDD2">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717D441A">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1111247C">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188A3B0A">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3906302D">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r>
      <w:tr w14:paraId="18920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49FA2DB7">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1B2319E8">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15228282">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521C9C4D">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6089F009">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7577555B">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r>
      <w:tr w14:paraId="75227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5E9FF739">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2B314D47">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0E8BC9E8">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F51EE38">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574DAD2B">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4FB33678">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r>
      <w:tr w14:paraId="5375A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495EFC60">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268B3625">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0C23A97D">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6E05172B">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4C634508">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52F7AB66">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r>
      <w:tr w14:paraId="5BDB4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5BC0E0ED">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3F603436">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035ED3B9">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06F574E4">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7A8A953B">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52B1A6A9">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r>
      <w:tr w14:paraId="25AD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1B6E6B0E">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36AEBED1">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6F4074CA">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7CADF55B">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17B158BB">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4DBF1BEA">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r>
      <w:tr w14:paraId="4C39C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05199355">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3EE0CF53">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5AAF8E2F">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44D25392">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7B54E979">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4CFAFB33">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r>
      <w:tr w14:paraId="4EF8C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12748E17">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51ED6AEE">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3823D098">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7D721F2C">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59E76D2">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5227306C">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r>
      <w:tr w14:paraId="46E29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08F692BE">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4A74CEA7">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5EC6DBFF">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15A3290E">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110BD7E5">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57EAB9E9">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r>
      <w:tr w14:paraId="6EB7A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558CC6A3">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72F4825D">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372B58AB">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46DA7AAF">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4F816279">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5602017E">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r>
      <w:tr w14:paraId="70D05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6B5D6A07">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73C7F0CF">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4C1D7F7E">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0F755ADA">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555E1427">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19A88BF3">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r>
      <w:tr w14:paraId="49363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4568893E">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4094F4CC">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35D7A7B3">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70CAC301">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06351E6E">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0E9BC670">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r>
      <w:tr w14:paraId="56E94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69A6B895">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555E26ED">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35CAC7AA">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87E459F">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7AF5BF37">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20FDD35A">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r>
      <w:tr w14:paraId="0675A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1268AF0C">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36D64B8B">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3F118C9A">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40AEEF20">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0D0913C6">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3078894D">
            <w:pPr>
              <w:pageBreakBefore w:val="0"/>
              <w:kinsoku/>
              <w:wordWrap w:val="0"/>
              <w:topLinePunct w:val="0"/>
              <w:bidi w:val="0"/>
              <w:spacing w:line="380" w:lineRule="exact"/>
              <w:ind w:left="442" w:hanging="442" w:hangingChars="200"/>
              <w:jc w:val="center"/>
              <w:rPr>
                <w:rFonts w:hint="eastAsia" w:ascii="宋体" w:hAnsi="宋体" w:eastAsia="宋体" w:cs="宋体"/>
                <w:b/>
                <w:bCs/>
                <w:color w:val="auto"/>
                <w:sz w:val="22"/>
                <w:szCs w:val="22"/>
                <w:highlight w:val="none"/>
              </w:rPr>
            </w:pPr>
          </w:p>
        </w:tc>
      </w:tr>
    </w:tbl>
    <w:p w14:paraId="065EA163">
      <w:pPr>
        <w:pageBreakBefore w:val="0"/>
        <w:kinsoku/>
        <w:wordWrap w:val="0"/>
        <w:topLinePunct w:val="0"/>
        <w:bidi w:val="0"/>
        <w:spacing w:line="400" w:lineRule="exact"/>
        <w:ind w:firstLine="4620" w:firstLineChars="2100"/>
        <w:rPr>
          <w:rFonts w:hint="eastAsia" w:ascii="宋体" w:hAnsi="宋体" w:eastAsia="宋体" w:cs="宋体"/>
          <w:color w:val="auto"/>
          <w:sz w:val="22"/>
          <w:szCs w:val="22"/>
          <w:highlight w:val="none"/>
        </w:rPr>
      </w:pPr>
    </w:p>
    <w:p w14:paraId="202736F8">
      <w:pPr>
        <w:pageBreakBefore w:val="0"/>
        <w:kinsoku/>
        <w:wordWrap w:val="0"/>
        <w:topLinePunct w:val="0"/>
        <w:bidi w:val="0"/>
        <w:spacing w:line="360" w:lineRule="auto"/>
        <w:ind w:firstLine="5280" w:firstLineChars="2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2D6EB3E7">
      <w:pPr>
        <w:pageBreakBefore w:val="0"/>
        <w:kinsoku/>
        <w:wordWrap w:val="0"/>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5E362CD0">
      <w:pPr>
        <w:pageBreakBefore w:val="0"/>
        <w:kinsoku/>
        <w:wordWrap w:val="0"/>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14:paraId="60887F43">
      <w:pPr>
        <w:pageBreakBefore w:val="0"/>
        <w:kinsoku/>
        <w:wordWrap w:val="0"/>
        <w:topLinePunct w:val="0"/>
        <w:bidi w:val="0"/>
        <w:spacing w:line="460" w:lineRule="exact"/>
        <w:ind w:firstLine="5060" w:firstLineChars="2300"/>
        <w:rPr>
          <w:rFonts w:hint="eastAsia" w:ascii="宋体" w:hAnsi="宋体" w:eastAsia="宋体" w:cs="宋体"/>
          <w:color w:val="auto"/>
          <w:sz w:val="22"/>
          <w:szCs w:val="22"/>
          <w:highlight w:val="none"/>
        </w:rPr>
      </w:pPr>
    </w:p>
    <w:p w14:paraId="04D6EDBE">
      <w:pPr>
        <w:pageBreakBefore w:val="0"/>
        <w:kinsoku/>
        <w:wordWrap w:val="0"/>
        <w:topLinePunct w:val="0"/>
        <w:bidi w:val="0"/>
        <w:rPr>
          <w:rFonts w:hint="eastAsia" w:ascii="宋体" w:hAnsi="宋体" w:eastAsia="宋体" w:cs="宋体"/>
          <w:color w:val="auto"/>
          <w:highlight w:val="none"/>
        </w:rPr>
      </w:pPr>
    </w:p>
    <w:p w14:paraId="763BD853">
      <w:pPr>
        <w:pageBreakBefore w:val="0"/>
        <w:kinsoku/>
        <w:wordWrap w:val="0"/>
        <w:topLinePunct w:val="0"/>
        <w:bidi w:val="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457711E0">
      <w:pPr>
        <w:pageBreakBefore w:val="0"/>
        <w:kinsoku/>
        <w:wordWrap w:val="0"/>
        <w:topLinePunct w:val="0"/>
        <w:bidi w:val="0"/>
        <w:spacing w:line="400" w:lineRule="exact"/>
        <w:jc w:val="center"/>
        <w:outlineLvl w:val="3"/>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8</w:t>
      </w:r>
      <w:r>
        <w:rPr>
          <w:rFonts w:hint="eastAsia" w:ascii="宋体" w:hAnsi="宋体" w:eastAsia="宋体" w:cs="宋体"/>
          <w:b/>
          <w:bCs/>
          <w:color w:val="auto"/>
          <w:sz w:val="28"/>
          <w:szCs w:val="28"/>
          <w:highlight w:val="none"/>
          <w:lang w:val="en-US" w:eastAsia="zh-CN"/>
        </w:rPr>
        <w:t>、</w:t>
      </w:r>
      <w:r>
        <w:rPr>
          <w:rFonts w:hint="eastAsia" w:ascii="宋体" w:hAnsi="宋体" w:cs="宋体"/>
          <w:b/>
          <w:bCs/>
          <w:color w:val="auto"/>
          <w:sz w:val="28"/>
          <w:szCs w:val="28"/>
          <w:highlight w:val="none"/>
          <w:lang w:val="en-US" w:eastAsia="zh-CN"/>
        </w:rPr>
        <w:t>供货渠道</w:t>
      </w:r>
    </w:p>
    <w:p w14:paraId="3AEC6FE6">
      <w:pPr>
        <w:pageBreakBefore w:val="0"/>
        <w:kinsoku/>
        <w:wordWrap w:val="0"/>
        <w:topLinePunct w:val="0"/>
        <w:bidi w:val="0"/>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WZLCZB（Z）-2025-07016</w:t>
      </w:r>
    </w:p>
    <w:p w14:paraId="13E6CC1B">
      <w:pPr>
        <w:keepNext/>
        <w:keepLines w:val="0"/>
        <w:pageBreakBefore w:val="0"/>
        <w:widowControl w:val="0"/>
        <w:kinsoku/>
        <w:wordWrap w:val="0"/>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2025年学校图书</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40BB8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07B0B316">
            <w:pPr>
              <w:pageBreakBefore w:val="0"/>
              <w:kinsoku/>
              <w:wordWrap w:val="0"/>
              <w:topLinePunct w:val="0"/>
              <w:bidi w:val="0"/>
              <w:spacing w:line="360" w:lineRule="auto"/>
              <w:rPr>
                <w:rFonts w:hint="eastAsia" w:ascii="宋体" w:hAnsi="宋体" w:eastAsia="宋体" w:cs="宋体"/>
                <w:color w:val="auto"/>
                <w:sz w:val="22"/>
                <w:szCs w:val="22"/>
                <w:highlight w:val="none"/>
              </w:rPr>
            </w:pPr>
          </w:p>
        </w:tc>
      </w:tr>
    </w:tbl>
    <w:p w14:paraId="71DA64ED">
      <w:pPr>
        <w:pStyle w:val="31"/>
        <w:pageBreakBefore w:val="0"/>
        <w:kinsoku/>
        <w:wordWrap w:val="0"/>
        <w:topLinePunct w:val="0"/>
        <w:bidi w:val="0"/>
        <w:spacing w:line="400" w:lineRule="atLeast"/>
        <w:rPr>
          <w:rFonts w:hint="eastAsia" w:ascii="宋体" w:hAnsi="宋体" w:eastAsia="宋体" w:cs="宋体"/>
          <w:color w:val="auto"/>
          <w:sz w:val="22"/>
          <w:highlight w:val="none"/>
        </w:rPr>
      </w:pPr>
    </w:p>
    <w:p w14:paraId="36225EB0">
      <w:pPr>
        <w:pStyle w:val="31"/>
        <w:pageBreakBefore w:val="0"/>
        <w:kinsoku/>
        <w:wordWrap w:val="0"/>
        <w:topLinePunct w:val="0"/>
        <w:bidi w:val="0"/>
        <w:spacing w:line="460" w:lineRule="atLeast"/>
        <w:ind w:left="657" w:leftChars="313" w:firstLine="3960" w:firstLineChars="18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投标人名称（盖章）：</w:t>
      </w:r>
    </w:p>
    <w:p w14:paraId="63F3AA8A">
      <w:pPr>
        <w:pStyle w:val="31"/>
        <w:pageBreakBefore w:val="0"/>
        <w:kinsoku/>
        <w:wordWrap w:val="0"/>
        <w:topLinePunct w:val="0"/>
        <w:bidi w:val="0"/>
        <w:spacing w:line="460" w:lineRule="atLeast"/>
        <w:ind w:left="660" w:hanging="660" w:hangingChars="3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法定代表人或其授权代表（签字或盖章）：   </w:t>
      </w:r>
    </w:p>
    <w:p w14:paraId="35F9B0AF">
      <w:pPr>
        <w:pStyle w:val="31"/>
        <w:pageBreakBefore w:val="0"/>
        <w:kinsoku/>
        <w:wordWrap w:val="0"/>
        <w:topLinePunct w:val="0"/>
        <w:bidi w:val="0"/>
        <w:spacing w:line="460" w:lineRule="atLeast"/>
        <w:ind w:left="660" w:hanging="660" w:hangingChars="3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日   期： </w:t>
      </w:r>
    </w:p>
    <w:p w14:paraId="4D1CCD45">
      <w:pPr>
        <w:pageBreakBefore w:val="0"/>
        <w:kinsoku/>
        <w:wordWrap w:val="0"/>
        <w:topLinePunct w:val="0"/>
        <w:bidi w:val="0"/>
        <w:jc w:val="both"/>
        <w:rPr>
          <w:rFonts w:hint="eastAsia" w:ascii="宋体" w:hAnsi="宋体" w:eastAsia="宋体" w:cs="宋体"/>
          <w:b/>
          <w:bCs/>
          <w:color w:val="auto"/>
          <w:sz w:val="22"/>
          <w:szCs w:val="22"/>
          <w:highlight w:val="none"/>
        </w:rPr>
      </w:pPr>
    </w:p>
    <w:p w14:paraId="0D9F3A2A">
      <w:pPr>
        <w:pStyle w:val="9"/>
        <w:pageBreakBefore w:val="0"/>
        <w:kinsoku/>
        <w:wordWrap w:val="0"/>
        <w:topLinePunct w:val="0"/>
        <w:bidi w:val="0"/>
        <w:rPr>
          <w:rFonts w:hint="eastAsia" w:ascii="宋体" w:hAnsi="宋体" w:eastAsia="宋体" w:cs="宋体"/>
          <w:bCs/>
          <w:color w:val="auto"/>
          <w:sz w:val="22"/>
          <w:szCs w:val="22"/>
          <w:highlight w:val="none"/>
        </w:rPr>
      </w:pPr>
    </w:p>
    <w:p w14:paraId="4D8BF0CB">
      <w:pPr>
        <w:pageBreakBefore w:val="0"/>
        <w:kinsoku/>
        <w:wordWrap w:val="0"/>
        <w:topLinePunct w:val="0"/>
        <w:bidi w:val="0"/>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1EDD998F">
      <w:pPr>
        <w:pageBreakBefore w:val="0"/>
        <w:kinsoku/>
        <w:wordWrap w:val="0"/>
        <w:topLinePunct w:val="0"/>
        <w:bidi w:val="0"/>
        <w:spacing w:line="400" w:lineRule="exact"/>
        <w:jc w:val="center"/>
        <w:outlineLvl w:val="3"/>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9</w:t>
      </w:r>
      <w:r>
        <w:rPr>
          <w:rFonts w:hint="eastAsia" w:ascii="宋体" w:hAnsi="宋体" w:eastAsia="宋体" w:cs="宋体"/>
          <w:b/>
          <w:bCs/>
          <w:color w:val="auto"/>
          <w:sz w:val="28"/>
          <w:szCs w:val="28"/>
          <w:highlight w:val="none"/>
          <w:lang w:val="en-US" w:eastAsia="zh-CN"/>
        </w:rPr>
        <w:t>、</w:t>
      </w:r>
      <w:r>
        <w:rPr>
          <w:rFonts w:hint="eastAsia" w:ascii="宋体" w:hAnsi="宋体" w:cs="宋体"/>
          <w:b/>
          <w:bCs/>
          <w:color w:val="auto"/>
          <w:sz w:val="28"/>
          <w:szCs w:val="28"/>
          <w:highlight w:val="none"/>
          <w:lang w:val="en-US" w:eastAsia="zh-CN"/>
        </w:rPr>
        <w:t>企业物流、仓储设施</w:t>
      </w:r>
    </w:p>
    <w:p w14:paraId="1E73D365">
      <w:pPr>
        <w:pageBreakBefore w:val="0"/>
        <w:kinsoku/>
        <w:wordWrap w:val="0"/>
        <w:topLinePunct w:val="0"/>
        <w:bidi w:val="0"/>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WZLCZB（Z）-2025-07016</w:t>
      </w:r>
    </w:p>
    <w:p w14:paraId="21C0E4B8">
      <w:pPr>
        <w:keepNext/>
        <w:keepLines w:val="0"/>
        <w:pageBreakBefore w:val="0"/>
        <w:widowControl w:val="0"/>
        <w:kinsoku/>
        <w:wordWrap w:val="0"/>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2025年学校图书</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28853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2DC7E822">
            <w:pPr>
              <w:pageBreakBefore w:val="0"/>
              <w:kinsoku/>
              <w:wordWrap w:val="0"/>
              <w:topLinePunct w:val="0"/>
              <w:bidi w:val="0"/>
              <w:spacing w:line="360" w:lineRule="auto"/>
              <w:rPr>
                <w:rFonts w:hint="eastAsia" w:ascii="宋体" w:hAnsi="宋体" w:eastAsia="宋体" w:cs="宋体"/>
                <w:color w:val="auto"/>
                <w:sz w:val="22"/>
                <w:szCs w:val="22"/>
                <w:highlight w:val="none"/>
              </w:rPr>
            </w:pPr>
          </w:p>
        </w:tc>
      </w:tr>
    </w:tbl>
    <w:p w14:paraId="57EA7255">
      <w:pPr>
        <w:pageBreakBefore w:val="0"/>
        <w:kinsoku/>
        <w:wordWrap w:val="0"/>
        <w:topLinePunct w:val="0"/>
        <w:bidi w:val="0"/>
        <w:spacing w:line="380" w:lineRule="exact"/>
        <w:rPr>
          <w:rFonts w:hint="eastAsia" w:ascii="宋体" w:hAnsi="宋体" w:eastAsia="宋体" w:cs="宋体"/>
          <w:color w:val="auto"/>
          <w:sz w:val="36"/>
          <w:szCs w:val="36"/>
          <w:highlight w:val="none"/>
        </w:rPr>
      </w:pPr>
    </w:p>
    <w:p w14:paraId="63793EAE">
      <w:pPr>
        <w:pageBreakBefore w:val="0"/>
        <w:kinsoku/>
        <w:wordWrap w:val="0"/>
        <w:topLinePunct w:val="0"/>
        <w:bidi w:val="0"/>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1A4D25DB">
      <w:pPr>
        <w:pageBreakBefore w:val="0"/>
        <w:kinsoku/>
        <w:wordWrap w:val="0"/>
        <w:topLinePunct w:val="0"/>
        <w:bidi w:val="0"/>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7688BC61">
      <w:pPr>
        <w:pageBreakBefore w:val="0"/>
        <w:kinsoku/>
        <w:wordWrap w:val="0"/>
        <w:topLinePunct w:val="0"/>
        <w:bidi w:val="0"/>
        <w:spacing w:line="460" w:lineRule="exact"/>
        <w:ind w:firstLine="4400" w:firstLineChars="2000"/>
        <w:rPr>
          <w:rFonts w:hint="eastAsia" w:ascii="宋体" w:hAnsi="宋体" w:eastAsia="宋体" w:cs="宋体"/>
          <w:b/>
          <w:color w:val="auto"/>
          <w:sz w:val="36"/>
          <w:szCs w:val="36"/>
          <w:highlight w:val="none"/>
        </w:rPr>
      </w:pPr>
      <w:r>
        <w:rPr>
          <w:rFonts w:hint="eastAsia" w:ascii="宋体" w:hAnsi="宋体" w:eastAsia="宋体" w:cs="宋体"/>
          <w:color w:val="auto"/>
          <w:sz w:val="22"/>
          <w:szCs w:val="22"/>
          <w:highlight w:val="none"/>
        </w:rPr>
        <w:t xml:space="preserve">日  期：   </w:t>
      </w:r>
    </w:p>
    <w:p w14:paraId="07E185B5">
      <w:pPr>
        <w:pageBreakBefore w:val="0"/>
        <w:kinsoku/>
        <w:wordWrap w:val="0"/>
        <w:topLinePunct w:val="0"/>
        <w:bidi w:val="0"/>
        <w:spacing w:line="380" w:lineRule="exact"/>
        <w:rPr>
          <w:rFonts w:hint="eastAsia" w:ascii="宋体" w:hAnsi="宋体" w:eastAsia="宋体" w:cs="宋体"/>
          <w:b/>
          <w:color w:val="auto"/>
          <w:sz w:val="36"/>
          <w:szCs w:val="36"/>
          <w:highlight w:val="none"/>
        </w:rPr>
      </w:pPr>
    </w:p>
    <w:p w14:paraId="427A1DBC">
      <w:pPr>
        <w:pageBreakBefore w:val="0"/>
        <w:kinsoku/>
        <w:wordWrap w:val="0"/>
        <w:topLinePunct w:val="0"/>
        <w:bidi w:val="0"/>
        <w:spacing w:line="380" w:lineRule="exact"/>
        <w:rPr>
          <w:rFonts w:hint="eastAsia" w:ascii="宋体" w:hAnsi="宋体" w:eastAsia="宋体" w:cs="宋体"/>
          <w:b/>
          <w:color w:val="auto"/>
          <w:sz w:val="36"/>
          <w:szCs w:val="36"/>
          <w:highlight w:val="none"/>
        </w:rPr>
      </w:pPr>
    </w:p>
    <w:p w14:paraId="0F4CF88C">
      <w:pPr>
        <w:pageBreakBefore w:val="0"/>
        <w:kinsoku/>
        <w:wordWrap w:val="0"/>
        <w:topLinePunct w:val="0"/>
        <w:bidi w:val="0"/>
        <w:spacing w:line="380" w:lineRule="exact"/>
        <w:rPr>
          <w:rFonts w:hint="eastAsia" w:ascii="宋体" w:hAnsi="宋体" w:eastAsia="宋体" w:cs="宋体"/>
          <w:b/>
          <w:color w:val="auto"/>
          <w:sz w:val="36"/>
          <w:szCs w:val="36"/>
          <w:highlight w:val="none"/>
        </w:rPr>
      </w:pPr>
    </w:p>
    <w:p w14:paraId="59896D64">
      <w:pPr>
        <w:pageBreakBefore w:val="0"/>
        <w:kinsoku/>
        <w:wordWrap w:val="0"/>
        <w:topLinePunct w:val="0"/>
        <w:bidi w:val="0"/>
        <w:spacing w:line="400" w:lineRule="exact"/>
        <w:jc w:val="center"/>
        <w:outlineLvl w:val="3"/>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10</w:t>
      </w:r>
      <w:r>
        <w:rPr>
          <w:rFonts w:hint="eastAsia" w:ascii="宋体" w:hAnsi="宋体" w:eastAsia="宋体" w:cs="宋体"/>
          <w:b/>
          <w:bCs/>
          <w:color w:val="auto"/>
          <w:sz w:val="28"/>
          <w:szCs w:val="28"/>
          <w:highlight w:val="none"/>
          <w:lang w:val="en-US" w:eastAsia="zh-CN"/>
        </w:rPr>
        <w:t>、</w:t>
      </w:r>
      <w:r>
        <w:rPr>
          <w:rFonts w:hint="eastAsia" w:ascii="宋体" w:hAnsi="宋体" w:cs="宋体"/>
          <w:b/>
          <w:bCs/>
          <w:color w:val="auto"/>
          <w:sz w:val="28"/>
          <w:szCs w:val="28"/>
          <w:highlight w:val="none"/>
          <w:lang w:val="en-US" w:eastAsia="zh-CN"/>
        </w:rPr>
        <w:t>到书率</w:t>
      </w:r>
    </w:p>
    <w:p w14:paraId="73B50649">
      <w:pPr>
        <w:pageBreakBefore w:val="0"/>
        <w:kinsoku/>
        <w:wordWrap w:val="0"/>
        <w:topLinePunct w:val="0"/>
        <w:bidi w:val="0"/>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WZLCZB（Z）-2025-07016</w:t>
      </w:r>
    </w:p>
    <w:p w14:paraId="74E211D6">
      <w:pPr>
        <w:keepNext/>
        <w:keepLines w:val="0"/>
        <w:pageBreakBefore w:val="0"/>
        <w:widowControl w:val="0"/>
        <w:kinsoku/>
        <w:wordWrap w:val="0"/>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2025年学校图书</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1E2F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1DCDCC13">
            <w:pPr>
              <w:pageBreakBefore w:val="0"/>
              <w:kinsoku/>
              <w:wordWrap w:val="0"/>
              <w:topLinePunct w:val="0"/>
              <w:bidi w:val="0"/>
              <w:spacing w:line="360" w:lineRule="auto"/>
              <w:rPr>
                <w:rFonts w:hint="eastAsia" w:ascii="宋体" w:hAnsi="宋体" w:eastAsia="宋体" w:cs="宋体"/>
                <w:color w:val="auto"/>
                <w:sz w:val="22"/>
                <w:szCs w:val="22"/>
                <w:highlight w:val="none"/>
              </w:rPr>
            </w:pPr>
          </w:p>
        </w:tc>
      </w:tr>
    </w:tbl>
    <w:p w14:paraId="602EE297">
      <w:pPr>
        <w:pageBreakBefore w:val="0"/>
        <w:kinsoku/>
        <w:wordWrap w:val="0"/>
        <w:topLinePunct w:val="0"/>
        <w:bidi w:val="0"/>
        <w:spacing w:line="380" w:lineRule="exact"/>
        <w:rPr>
          <w:rFonts w:hint="eastAsia" w:ascii="宋体" w:hAnsi="宋体" w:eastAsia="宋体" w:cs="宋体"/>
          <w:color w:val="auto"/>
          <w:sz w:val="36"/>
          <w:szCs w:val="36"/>
          <w:highlight w:val="none"/>
        </w:rPr>
      </w:pPr>
    </w:p>
    <w:p w14:paraId="03258116">
      <w:pPr>
        <w:pageBreakBefore w:val="0"/>
        <w:kinsoku/>
        <w:wordWrap w:val="0"/>
        <w:topLinePunct w:val="0"/>
        <w:bidi w:val="0"/>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5CEA1870">
      <w:pPr>
        <w:pageBreakBefore w:val="0"/>
        <w:kinsoku/>
        <w:wordWrap w:val="0"/>
        <w:topLinePunct w:val="0"/>
        <w:bidi w:val="0"/>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7E4BA730">
      <w:pPr>
        <w:pageBreakBefore w:val="0"/>
        <w:kinsoku/>
        <w:wordWrap w:val="0"/>
        <w:topLinePunct w:val="0"/>
        <w:bidi w:val="0"/>
        <w:spacing w:line="460" w:lineRule="exact"/>
        <w:ind w:firstLine="4400" w:firstLineChars="2000"/>
        <w:rPr>
          <w:rFonts w:hint="eastAsia" w:ascii="宋体" w:hAnsi="宋体" w:eastAsia="宋体" w:cs="宋体"/>
          <w:color w:val="auto"/>
          <w:highlight w:val="none"/>
        </w:rPr>
      </w:pPr>
      <w:r>
        <w:rPr>
          <w:rFonts w:hint="eastAsia" w:ascii="宋体" w:hAnsi="宋体" w:eastAsia="宋体" w:cs="宋体"/>
          <w:color w:val="auto"/>
          <w:sz w:val="22"/>
          <w:szCs w:val="22"/>
          <w:highlight w:val="none"/>
        </w:rPr>
        <w:t>日  期：</w:t>
      </w:r>
    </w:p>
    <w:p w14:paraId="0AFDAD4D">
      <w:pPr>
        <w:pageBreakBefore w:val="0"/>
        <w:kinsoku/>
        <w:wordWrap w:val="0"/>
        <w:topLinePunct w:val="0"/>
        <w:bidi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1E2D5A43">
      <w:pPr>
        <w:pageBreakBefore w:val="0"/>
        <w:kinsoku/>
        <w:wordWrap w:val="0"/>
        <w:topLinePunct w:val="0"/>
        <w:bidi w:val="0"/>
        <w:spacing w:line="400" w:lineRule="exact"/>
        <w:jc w:val="center"/>
        <w:outlineLvl w:val="3"/>
        <w:rPr>
          <w:rFonts w:hint="eastAsia" w:ascii="宋体" w:hAnsi="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1</w:t>
      </w:r>
      <w:r>
        <w:rPr>
          <w:rFonts w:hint="eastAsia" w:ascii="宋体" w:hAnsi="宋体" w:eastAsia="宋体" w:cs="宋体"/>
          <w:b/>
          <w:bCs/>
          <w:color w:val="auto"/>
          <w:sz w:val="28"/>
          <w:szCs w:val="28"/>
          <w:highlight w:val="none"/>
          <w:lang w:val="en-US" w:eastAsia="zh-CN"/>
        </w:rPr>
        <w:t>、</w:t>
      </w:r>
      <w:r>
        <w:rPr>
          <w:rFonts w:hint="eastAsia" w:ascii="宋体" w:hAnsi="宋体" w:cs="宋体"/>
          <w:b/>
          <w:bCs/>
          <w:color w:val="auto"/>
          <w:sz w:val="28"/>
          <w:szCs w:val="28"/>
          <w:highlight w:val="none"/>
          <w:lang w:val="en-US" w:eastAsia="zh-CN"/>
        </w:rPr>
        <w:t>对订单处理、调整能力</w:t>
      </w:r>
    </w:p>
    <w:p w14:paraId="2C6A49B6">
      <w:pPr>
        <w:pageBreakBefore w:val="0"/>
        <w:kinsoku/>
        <w:wordWrap w:val="0"/>
        <w:topLinePunct w:val="0"/>
        <w:bidi w:val="0"/>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WZLCZB（Z）-2025-07016</w:t>
      </w:r>
    </w:p>
    <w:p w14:paraId="78AC7629">
      <w:pPr>
        <w:keepNext/>
        <w:keepLines w:val="0"/>
        <w:pageBreakBefore w:val="0"/>
        <w:widowControl w:val="0"/>
        <w:kinsoku/>
        <w:wordWrap w:val="0"/>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2025年学校图书</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33471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0229F470">
            <w:pPr>
              <w:pageBreakBefore w:val="0"/>
              <w:kinsoku/>
              <w:wordWrap w:val="0"/>
              <w:topLinePunct w:val="0"/>
              <w:bidi w:val="0"/>
              <w:spacing w:line="360" w:lineRule="auto"/>
              <w:rPr>
                <w:rFonts w:hint="eastAsia" w:ascii="宋体" w:hAnsi="宋体" w:eastAsia="宋体" w:cs="宋体"/>
                <w:color w:val="auto"/>
                <w:sz w:val="22"/>
                <w:szCs w:val="22"/>
                <w:highlight w:val="none"/>
              </w:rPr>
            </w:pPr>
          </w:p>
        </w:tc>
      </w:tr>
    </w:tbl>
    <w:p w14:paraId="38F9C2DB">
      <w:pPr>
        <w:pageBreakBefore w:val="0"/>
        <w:kinsoku/>
        <w:wordWrap w:val="0"/>
        <w:topLinePunct w:val="0"/>
        <w:bidi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68CDA246">
      <w:pPr>
        <w:pageBreakBefore w:val="0"/>
        <w:kinsoku/>
        <w:wordWrap w:val="0"/>
        <w:topLinePunct w:val="0"/>
        <w:bidi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14:paraId="3E0BB98D">
      <w:pPr>
        <w:pageBreakBefore w:val="0"/>
        <w:kinsoku/>
        <w:wordWrap w:val="0"/>
        <w:topLinePunct w:val="0"/>
        <w:bidi w:val="0"/>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4C5DA632">
      <w:pPr>
        <w:pStyle w:val="31"/>
        <w:pageBreakBefore w:val="0"/>
        <w:kinsoku/>
        <w:wordWrap w:val="0"/>
        <w:topLinePunct w:val="0"/>
        <w:bidi w:val="0"/>
        <w:spacing w:line="460" w:lineRule="atLeast"/>
        <w:ind w:left="659" w:leftChars="314" w:firstLine="3740" w:firstLineChars="1700"/>
        <w:rPr>
          <w:rFonts w:hint="eastAsia" w:ascii="宋体" w:hAnsi="宋体" w:eastAsia="宋体" w:cs="宋体"/>
          <w:b w:val="0"/>
          <w:bCs/>
          <w:color w:val="auto"/>
          <w:sz w:val="22"/>
          <w:highlight w:val="none"/>
        </w:rPr>
      </w:pPr>
      <w:r>
        <w:rPr>
          <w:rFonts w:hint="eastAsia" w:ascii="宋体" w:hAnsi="宋体" w:eastAsia="宋体" w:cs="宋体"/>
          <w:b w:val="0"/>
          <w:color w:val="auto"/>
          <w:kern w:val="2"/>
          <w:sz w:val="22"/>
          <w:szCs w:val="22"/>
          <w:highlight w:val="none"/>
        </w:rPr>
        <w:t>日  期：</w:t>
      </w:r>
      <w:r>
        <w:rPr>
          <w:rFonts w:hint="eastAsia" w:ascii="宋体" w:hAnsi="宋体" w:eastAsia="宋体" w:cs="宋体"/>
          <w:b w:val="0"/>
          <w:bCs/>
          <w:color w:val="auto"/>
          <w:sz w:val="22"/>
          <w:highlight w:val="none"/>
        </w:rPr>
        <w:t xml:space="preserve"> </w:t>
      </w:r>
    </w:p>
    <w:p w14:paraId="0BB26F68">
      <w:pPr>
        <w:pageBreakBefore w:val="0"/>
        <w:kinsoku/>
        <w:wordWrap w:val="0"/>
        <w:topLinePunct w:val="0"/>
        <w:bidi w:val="0"/>
        <w:spacing w:line="460" w:lineRule="exact"/>
        <w:ind w:firstLine="4400" w:firstLineChars="2000"/>
        <w:rPr>
          <w:rFonts w:hint="eastAsia" w:ascii="宋体" w:hAnsi="宋体" w:eastAsia="宋体" w:cs="宋体"/>
          <w:color w:val="auto"/>
          <w:sz w:val="22"/>
          <w:szCs w:val="22"/>
          <w:highlight w:val="none"/>
        </w:rPr>
      </w:pPr>
    </w:p>
    <w:p w14:paraId="2F2AE599">
      <w:pPr>
        <w:pageBreakBefore w:val="0"/>
        <w:kinsoku/>
        <w:wordWrap w:val="0"/>
        <w:topLinePunct w:val="0"/>
        <w:bidi w:val="0"/>
        <w:spacing w:line="460" w:lineRule="exact"/>
        <w:ind w:firstLine="4400" w:firstLineChars="2000"/>
        <w:rPr>
          <w:rFonts w:hint="eastAsia" w:ascii="宋体" w:hAnsi="宋体" w:eastAsia="宋体" w:cs="宋体"/>
          <w:color w:val="auto"/>
          <w:sz w:val="22"/>
          <w:szCs w:val="22"/>
          <w:highlight w:val="none"/>
        </w:rPr>
      </w:pPr>
    </w:p>
    <w:p w14:paraId="64C304B3">
      <w:pPr>
        <w:pageBreakBefore w:val="0"/>
        <w:kinsoku/>
        <w:wordWrap w:val="0"/>
        <w:topLinePunct w:val="0"/>
        <w:bidi w:val="0"/>
        <w:spacing w:line="400" w:lineRule="exact"/>
        <w:jc w:val="center"/>
        <w:outlineLvl w:val="3"/>
        <w:rPr>
          <w:rFonts w:hint="eastAsia" w:ascii="宋体" w:hAnsi="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2</w:t>
      </w:r>
      <w:r>
        <w:rPr>
          <w:rFonts w:hint="eastAsia" w:ascii="宋体" w:hAnsi="宋体" w:eastAsia="宋体" w:cs="宋体"/>
          <w:b/>
          <w:bCs/>
          <w:color w:val="auto"/>
          <w:sz w:val="28"/>
          <w:szCs w:val="28"/>
          <w:highlight w:val="none"/>
          <w:lang w:val="en-US" w:eastAsia="zh-CN"/>
        </w:rPr>
        <w:t>、</w:t>
      </w:r>
      <w:r>
        <w:rPr>
          <w:rFonts w:hint="eastAsia" w:ascii="宋体" w:hAnsi="宋体" w:cs="宋体"/>
          <w:b/>
          <w:bCs/>
          <w:color w:val="auto"/>
          <w:sz w:val="28"/>
          <w:szCs w:val="28"/>
          <w:highlight w:val="none"/>
          <w:lang w:val="en-US" w:eastAsia="zh-CN"/>
        </w:rPr>
        <w:t>图书配送方案</w:t>
      </w:r>
    </w:p>
    <w:p w14:paraId="6D79B997">
      <w:pPr>
        <w:pageBreakBefore w:val="0"/>
        <w:kinsoku/>
        <w:wordWrap w:val="0"/>
        <w:topLinePunct w:val="0"/>
        <w:bidi w:val="0"/>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WZLCZB（Z）-2025-07016</w:t>
      </w:r>
    </w:p>
    <w:p w14:paraId="019DA638">
      <w:pPr>
        <w:keepNext/>
        <w:keepLines w:val="0"/>
        <w:pageBreakBefore w:val="0"/>
        <w:widowControl w:val="0"/>
        <w:kinsoku/>
        <w:wordWrap w:val="0"/>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2025年学校图书</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737E2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69819C3F">
            <w:pPr>
              <w:pageBreakBefore w:val="0"/>
              <w:kinsoku/>
              <w:wordWrap w:val="0"/>
              <w:topLinePunct w:val="0"/>
              <w:bidi w:val="0"/>
              <w:spacing w:line="360" w:lineRule="auto"/>
              <w:rPr>
                <w:rFonts w:hint="eastAsia" w:ascii="宋体" w:hAnsi="宋体" w:eastAsia="宋体" w:cs="宋体"/>
                <w:color w:val="auto"/>
                <w:sz w:val="22"/>
                <w:szCs w:val="22"/>
                <w:highlight w:val="none"/>
              </w:rPr>
            </w:pPr>
          </w:p>
        </w:tc>
      </w:tr>
    </w:tbl>
    <w:p w14:paraId="5125272C">
      <w:pPr>
        <w:pageBreakBefore w:val="0"/>
        <w:kinsoku/>
        <w:wordWrap w:val="0"/>
        <w:topLinePunct w:val="0"/>
        <w:bidi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6AE422A6">
      <w:pPr>
        <w:pageBreakBefore w:val="0"/>
        <w:kinsoku/>
        <w:wordWrap w:val="0"/>
        <w:topLinePunct w:val="0"/>
        <w:bidi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14:paraId="59F7E9D6">
      <w:pPr>
        <w:pageBreakBefore w:val="0"/>
        <w:kinsoku/>
        <w:wordWrap w:val="0"/>
        <w:topLinePunct w:val="0"/>
        <w:bidi w:val="0"/>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3842E7EE">
      <w:pPr>
        <w:pageBreakBefore w:val="0"/>
        <w:kinsoku/>
        <w:wordWrap w:val="0"/>
        <w:topLinePunct w:val="0"/>
        <w:bidi w:val="0"/>
        <w:spacing w:line="460" w:lineRule="exact"/>
        <w:ind w:firstLine="4400" w:firstLineChars="2000"/>
        <w:rPr>
          <w:rFonts w:hint="eastAsia" w:ascii="宋体" w:hAnsi="宋体" w:eastAsia="宋体" w:cs="宋体"/>
          <w:color w:val="auto"/>
          <w:highlight w:val="none"/>
        </w:rPr>
      </w:pPr>
      <w:r>
        <w:rPr>
          <w:rFonts w:hint="eastAsia" w:ascii="宋体" w:hAnsi="宋体" w:eastAsia="宋体" w:cs="宋体"/>
          <w:b w:val="0"/>
          <w:color w:val="auto"/>
          <w:kern w:val="2"/>
          <w:sz w:val="22"/>
          <w:szCs w:val="22"/>
          <w:highlight w:val="none"/>
        </w:rPr>
        <w:t>日  期：</w:t>
      </w:r>
    </w:p>
    <w:p w14:paraId="7248B9F9">
      <w:pPr>
        <w:pageBreakBefore w:val="0"/>
        <w:kinsoku/>
        <w:wordWrap w:val="0"/>
        <w:topLinePunct w:val="0"/>
        <w:bidi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0558202A">
      <w:pPr>
        <w:pageBreakBefore w:val="0"/>
        <w:kinsoku/>
        <w:wordWrap w:val="0"/>
        <w:topLinePunct w:val="0"/>
        <w:bidi w:val="0"/>
        <w:spacing w:line="400" w:lineRule="exact"/>
        <w:jc w:val="center"/>
        <w:outlineLvl w:val="3"/>
        <w:rPr>
          <w:rFonts w:hint="eastAsia" w:ascii="宋体" w:hAnsi="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3</w:t>
      </w:r>
      <w:r>
        <w:rPr>
          <w:rFonts w:hint="eastAsia" w:ascii="宋体" w:hAnsi="宋体" w:eastAsia="宋体" w:cs="宋体"/>
          <w:b/>
          <w:bCs/>
          <w:color w:val="auto"/>
          <w:sz w:val="28"/>
          <w:szCs w:val="28"/>
          <w:highlight w:val="none"/>
          <w:lang w:val="en-US" w:eastAsia="zh-CN"/>
        </w:rPr>
        <w:t>、</w:t>
      </w:r>
      <w:r>
        <w:rPr>
          <w:rFonts w:hint="eastAsia" w:ascii="宋体" w:hAnsi="宋体" w:cs="宋体"/>
          <w:b/>
          <w:bCs/>
          <w:color w:val="auto"/>
          <w:sz w:val="28"/>
          <w:szCs w:val="28"/>
          <w:highlight w:val="none"/>
          <w:lang w:val="en-US" w:eastAsia="zh-CN"/>
        </w:rPr>
        <w:t>图书质量保证</w:t>
      </w:r>
    </w:p>
    <w:p w14:paraId="6AA1D081">
      <w:pPr>
        <w:pageBreakBefore w:val="0"/>
        <w:kinsoku/>
        <w:wordWrap w:val="0"/>
        <w:topLinePunct w:val="0"/>
        <w:bidi w:val="0"/>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WZLCZB（Z）-2025-07016</w:t>
      </w:r>
    </w:p>
    <w:p w14:paraId="52233703">
      <w:pPr>
        <w:keepNext/>
        <w:keepLines w:val="0"/>
        <w:pageBreakBefore w:val="0"/>
        <w:widowControl w:val="0"/>
        <w:kinsoku/>
        <w:wordWrap w:val="0"/>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2025年学校图书</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4A2B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78DBF9E5">
            <w:pPr>
              <w:pageBreakBefore w:val="0"/>
              <w:kinsoku/>
              <w:wordWrap w:val="0"/>
              <w:topLinePunct w:val="0"/>
              <w:bidi w:val="0"/>
              <w:spacing w:line="360" w:lineRule="auto"/>
              <w:rPr>
                <w:rFonts w:hint="eastAsia" w:ascii="宋体" w:hAnsi="宋体" w:eastAsia="宋体" w:cs="宋体"/>
                <w:color w:val="auto"/>
                <w:sz w:val="22"/>
                <w:szCs w:val="22"/>
                <w:highlight w:val="none"/>
              </w:rPr>
            </w:pPr>
          </w:p>
        </w:tc>
      </w:tr>
    </w:tbl>
    <w:p w14:paraId="039DF954">
      <w:pPr>
        <w:pageBreakBefore w:val="0"/>
        <w:kinsoku/>
        <w:wordWrap w:val="0"/>
        <w:topLinePunct w:val="0"/>
        <w:bidi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402BF896">
      <w:pPr>
        <w:pageBreakBefore w:val="0"/>
        <w:kinsoku/>
        <w:wordWrap w:val="0"/>
        <w:topLinePunct w:val="0"/>
        <w:bidi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14:paraId="599D8C5E">
      <w:pPr>
        <w:pageBreakBefore w:val="0"/>
        <w:kinsoku/>
        <w:wordWrap w:val="0"/>
        <w:topLinePunct w:val="0"/>
        <w:bidi w:val="0"/>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0A07F602">
      <w:pPr>
        <w:pageBreakBefore w:val="0"/>
        <w:kinsoku/>
        <w:wordWrap w:val="0"/>
        <w:topLinePunct w:val="0"/>
        <w:bidi w:val="0"/>
        <w:spacing w:line="460" w:lineRule="exact"/>
        <w:ind w:firstLine="4400" w:firstLineChars="2000"/>
        <w:rPr>
          <w:rFonts w:hint="eastAsia" w:ascii="宋体" w:hAnsi="宋体" w:eastAsia="宋体" w:cs="宋体"/>
          <w:color w:val="auto"/>
          <w:highlight w:val="none"/>
        </w:rPr>
      </w:pPr>
      <w:r>
        <w:rPr>
          <w:rFonts w:hint="eastAsia" w:ascii="宋体" w:hAnsi="宋体" w:eastAsia="宋体" w:cs="宋体"/>
          <w:b w:val="0"/>
          <w:color w:val="auto"/>
          <w:kern w:val="2"/>
          <w:sz w:val="22"/>
          <w:szCs w:val="22"/>
          <w:highlight w:val="none"/>
        </w:rPr>
        <w:t>日  期：</w:t>
      </w:r>
    </w:p>
    <w:p w14:paraId="64F15584">
      <w:pPr>
        <w:pageBreakBefore w:val="0"/>
        <w:kinsoku/>
        <w:wordWrap w:val="0"/>
        <w:topLinePunct w:val="0"/>
        <w:bidi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2DFB7D1D">
      <w:pPr>
        <w:pageBreakBefore w:val="0"/>
        <w:kinsoku/>
        <w:wordWrap w:val="0"/>
        <w:topLinePunct w:val="0"/>
        <w:bidi w:val="0"/>
        <w:spacing w:line="400" w:lineRule="exact"/>
        <w:jc w:val="center"/>
        <w:outlineLvl w:val="3"/>
        <w:rPr>
          <w:rFonts w:hint="eastAsia" w:ascii="宋体" w:hAnsi="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1</w:t>
      </w:r>
      <w:r>
        <w:rPr>
          <w:rFonts w:hint="eastAsia" w:ascii="宋体" w:hAnsi="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w:t>
      </w:r>
      <w:r>
        <w:rPr>
          <w:rFonts w:hint="eastAsia" w:ascii="宋体" w:hAnsi="宋体" w:cs="宋体"/>
          <w:b/>
          <w:bCs/>
          <w:color w:val="auto"/>
          <w:sz w:val="28"/>
          <w:szCs w:val="28"/>
          <w:highlight w:val="none"/>
          <w:lang w:val="en-US" w:eastAsia="zh-CN"/>
        </w:rPr>
        <w:t>图书退换方案、对到书率不足部分处理的方案及承诺</w:t>
      </w:r>
    </w:p>
    <w:p w14:paraId="3267FA00">
      <w:pPr>
        <w:pageBreakBefore w:val="0"/>
        <w:kinsoku/>
        <w:wordWrap w:val="0"/>
        <w:topLinePunct w:val="0"/>
        <w:bidi w:val="0"/>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WZLCZB（Z）-2025-07016</w:t>
      </w:r>
    </w:p>
    <w:p w14:paraId="00DCD44A">
      <w:pPr>
        <w:keepNext/>
        <w:keepLines w:val="0"/>
        <w:pageBreakBefore w:val="0"/>
        <w:widowControl w:val="0"/>
        <w:kinsoku/>
        <w:wordWrap w:val="0"/>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2025年学校图书</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40E36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4E32A82D">
            <w:pPr>
              <w:pageBreakBefore w:val="0"/>
              <w:kinsoku/>
              <w:wordWrap w:val="0"/>
              <w:topLinePunct w:val="0"/>
              <w:bidi w:val="0"/>
              <w:spacing w:line="360" w:lineRule="auto"/>
              <w:rPr>
                <w:rFonts w:hint="eastAsia" w:ascii="宋体" w:hAnsi="宋体" w:eastAsia="宋体" w:cs="宋体"/>
                <w:color w:val="auto"/>
                <w:sz w:val="22"/>
                <w:szCs w:val="22"/>
                <w:highlight w:val="none"/>
              </w:rPr>
            </w:pPr>
          </w:p>
        </w:tc>
      </w:tr>
    </w:tbl>
    <w:p w14:paraId="228600DC">
      <w:pPr>
        <w:pageBreakBefore w:val="0"/>
        <w:kinsoku/>
        <w:wordWrap w:val="0"/>
        <w:topLinePunct w:val="0"/>
        <w:bidi w:val="0"/>
        <w:spacing w:line="460" w:lineRule="exact"/>
        <w:ind w:firstLine="5060" w:firstLineChars="2300"/>
        <w:rPr>
          <w:rFonts w:hint="eastAsia" w:ascii="宋体" w:hAnsi="宋体" w:eastAsia="宋体" w:cs="宋体"/>
          <w:color w:val="auto"/>
          <w:sz w:val="22"/>
          <w:szCs w:val="22"/>
          <w:highlight w:val="none"/>
        </w:rPr>
      </w:pPr>
    </w:p>
    <w:p w14:paraId="2F325270">
      <w:pPr>
        <w:pageBreakBefore w:val="0"/>
        <w:kinsoku/>
        <w:wordWrap w:val="0"/>
        <w:topLinePunct w:val="0"/>
        <w:bidi w:val="0"/>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14FEE455">
      <w:pPr>
        <w:pageBreakBefore w:val="0"/>
        <w:kinsoku/>
        <w:wordWrap w:val="0"/>
        <w:topLinePunct w:val="0"/>
        <w:bidi w:val="0"/>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0AB65A3C">
      <w:pPr>
        <w:pageBreakBefore w:val="0"/>
        <w:kinsoku/>
        <w:wordWrap w:val="0"/>
        <w:topLinePunct w:val="0"/>
        <w:bidi w:val="0"/>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0ABF2E2C">
      <w:pPr>
        <w:pageBreakBefore w:val="0"/>
        <w:kinsoku/>
        <w:wordWrap w:val="0"/>
        <w:topLinePunct w:val="0"/>
        <w:bidi w:val="0"/>
        <w:spacing w:line="380" w:lineRule="exact"/>
        <w:ind w:firstLine="4400" w:firstLineChars="2000"/>
        <w:rPr>
          <w:rFonts w:hint="eastAsia" w:ascii="宋体" w:hAnsi="宋体" w:eastAsia="宋体" w:cs="宋体"/>
          <w:color w:val="auto"/>
          <w:sz w:val="22"/>
          <w:szCs w:val="22"/>
          <w:highlight w:val="none"/>
        </w:rPr>
      </w:pPr>
    </w:p>
    <w:p w14:paraId="38952783">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66E91F63">
      <w:pPr>
        <w:pageBreakBefore w:val="0"/>
        <w:kinsoku/>
        <w:wordWrap w:val="0"/>
        <w:topLinePunct w:val="0"/>
        <w:bidi w:val="0"/>
        <w:spacing w:line="400" w:lineRule="exact"/>
        <w:jc w:val="center"/>
        <w:outlineLvl w:val="3"/>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15、编目加工</w:t>
      </w:r>
    </w:p>
    <w:p w14:paraId="627E3EF5">
      <w:pPr>
        <w:pageBreakBefore w:val="0"/>
        <w:kinsoku/>
        <w:wordWrap w:val="0"/>
        <w:topLinePunct w:val="0"/>
        <w:bidi w:val="0"/>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WZLCZB（Z）-2025-07016</w:t>
      </w:r>
    </w:p>
    <w:p w14:paraId="3F370713">
      <w:pPr>
        <w:keepNext/>
        <w:keepLines w:val="0"/>
        <w:pageBreakBefore w:val="0"/>
        <w:widowControl w:val="0"/>
        <w:kinsoku/>
        <w:wordWrap w:val="0"/>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2025年学校图书</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4824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03D78515">
            <w:pPr>
              <w:pageBreakBefore w:val="0"/>
              <w:kinsoku/>
              <w:wordWrap w:val="0"/>
              <w:topLinePunct w:val="0"/>
              <w:bidi w:val="0"/>
              <w:spacing w:line="360" w:lineRule="auto"/>
              <w:rPr>
                <w:rFonts w:hint="eastAsia" w:ascii="宋体" w:hAnsi="宋体" w:eastAsia="宋体" w:cs="宋体"/>
                <w:color w:val="auto"/>
                <w:sz w:val="22"/>
                <w:szCs w:val="22"/>
                <w:highlight w:val="none"/>
              </w:rPr>
            </w:pPr>
          </w:p>
        </w:tc>
      </w:tr>
    </w:tbl>
    <w:p w14:paraId="1BD2DC28">
      <w:pPr>
        <w:pageBreakBefore w:val="0"/>
        <w:kinsoku/>
        <w:wordWrap w:val="0"/>
        <w:topLinePunct w:val="0"/>
        <w:bidi w:val="0"/>
        <w:spacing w:line="460" w:lineRule="exact"/>
        <w:ind w:firstLine="5060" w:firstLineChars="2300"/>
        <w:rPr>
          <w:rFonts w:hint="eastAsia" w:ascii="宋体" w:hAnsi="宋体" w:eastAsia="宋体" w:cs="宋体"/>
          <w:color w:val="auto"/>
          <w:sz w:val="22"/>
          <w:szCs w:val="22"/>
          <w:highlight w:val="none"/>
        </w:rPr>
      </w:pPr>
    </w:p>
    <w:p w14:paraId="72A6181D">
      <w:pPr>
        <w:pageBreakBefore w:val="0"/>
        <w:kinsoku/>
        <w:wordWrap w:val="0"/>
        <w:topLinePunct w:val="0"/>
        <w:bidi w:val="0"/>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75A9ECC9">
      <w:pPr>
        <w:pageBreakBefore w:val="0"/>
        <w:kinsoku/>
        <w:wordWrap w:val="0"/>
        <w:topLinePunct w:val="0"/>
        <w:bidi w:val="0"/>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25004CBA">
      <w:pPr>
        <w:pageBreakBefore w:val="0"/>
        <w:kinsoku/>
        <w:wordWrap w:val="0"/>
        <w:topLinePunct w:val="0"/>
        <w:bidi w:val="0"/>
        <w:spacing w:line="460" w:lineRule="exact"/>
        <w:ind w:firstLine="5060" w:firstLineChars="2300"/>
        <w:rPr>
          <w:rFonts w:hint="eastAsia" w:ascii="宋体" w:hAnsi="宋体" w:cs="宋体"/>
          <w:b/>
          <w:bCs/>
          <w:color w:val="auto"/>
          <w:sz w:val="28"/>
          <w:szCs w:val="28"/>
          <w:highlight w:val="none"/>
          <w:lang w:val="en-US" w:eastAsia="zh-CN"/>
        </w:rPr>
      </w:pPr>
      <w:r>
        <w:rPr>
          <w:rFonts w:hint="eastAsia" w:ascii="宋体" w:hAnsi="宋体" w:eastAsia="宋体" w:cs="宋体"/>
          <w:color w:val="auto"/>
          <w:sz w:val="22"/>
          <w:szCs w:val="22"/>
          <w:highlight w:val="none"/>
        </w:rPr>
        <w:t>日   期：</w:t>
      </w:r>
    </w:p>
    <w:p w14:paraId="35B7CECE">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6FE32071">
      <w:pPr>
        <w:pageBreakBefore w:val="0"/>
        <w:kinsoku/>
        <w:wordWrap w:val="0"/>
        <w:topLinePunct w:val="0"/>
        <w:bidi w:val="0"/>
        <w:spacing w:line="400" w:lineRule="exact"/>
        <w:jc w:val="center"/>
        <w:outlineLvl w:val="3"/>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16、售后服务</w:t>
      </w:r>
    </w:p>
    <w:p w14:paraId="36A49113">
      <w:pPr>
        <w:pageBreakBefore w:val="0"/>
        <w:kinsoku/>
        <w:wordWrap w:val="0"/>
        <w:topLinePunct w:val="0"/>
        <w:bidi w:val="0"/>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WZLCZB（Z）-2025-07016</w:t>
      </w:r>
    </w:p>
    <w:p w14:paraId="5881A588">
      <w:pPr>
        <w:keepNext/>
        <w:keepLines w:val="0"/>
        <w:pageBreakBefore w:val="0"/>
        <w:widowControl w:val="0"/>
        <w:kinsoku/>
        <w:wordWrap w:val="0"/>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2025年学校图书</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29899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6EEBF745">
            <w:pPr>
              <w:pageBreakBefore w:val="0"/>
              <w:kinsoku/>
              <w:wordWrap w:val="0"/>
              <w:topLinePunct w:val="0"/>
              <w:bidi w:val="0"/>
              <w:spacing w:line="360" w:lineRule="auto"/>
              <w:rPr>
                <w:rFonts w:hint="eastAsia" w:ascii="宋体" w:hAnsi="宋体" w:eastAsia="宋体" w:cs="宋体"/>
                <w:color w:val="auto"/>
                <w:sz w:val="22"/>
                <w:szCs w:val="22"/>
                <w:highlight w:val="none"/>
              </w:rPr>
            </w:pPr>
          </w:p>
        </w:tc>
      </w:tr>
    </w:tbl>
    <w:p w14:paraId="1C8CC245">
      <w:pPr>
        <w:pageBreakBefore w:val="0"/>
        <w:kinsoku/>
        <w:wordWrap w:val="0"/>
        <w:topLinePunct w:val="0"/>
        <w:bidi w:val="0"/>
        <w:spacing w:line="460" w:lineRule="exact"/>
        <w:ind w:firstLine="5060" w:firstLineChars="2300"/>
        <w:rPr>
          <w:rFonts w:hint="eastAsia" w:ascii="宋体" w:hAnsi="宋体" w:eastAsia="宋体" w:cs="宋体"/>
          <w:color w:val="auto"/>
          <w:sz w:val="22"/>
          <w:szCs w:val="22"/>
          <w:highlight w:val="none"/>
        </w:rPr>
      </w:pPr>
    </w:p>
    <w:p w14:paraId="245B042A">
      <w:pPr>
        <w:pageBreakBefore w:val="0"/>
        <w:kinsoku/>
        <w:wordWrap w:val="0"/>
        <w:topLinePunct w:val="0"/>
        <w:bidi w:val="0"/>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3DCAEC41">
      <w:pPr>
        <w:pageBreakBefore w:val="0"/>
        <w:kinsoku/>
        <w:wordWrap w:val="0"/>
        <w:topLinePunct w:val="0"/>
        <w:bidi w:val="0"/>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1CD8ECBA">
      <w:pPr>
        <w:pageBreakBefore w:val="0"/>
        <w:kinsoku/>
        <w:wordWrap w:val="0"/>
        <w:topLinePunct w:val="0"/>
        <w:bidi w:val="0"/>
        <w:spacing w:line="460" w:lineRule="exact"/>
        <w:ind w:firstLine="5060" w:firstLineChars="2300"/>
        <w:rPr>
          <w:rFonts w:hint="eastAsia" w:ascii="宋体" w:hAnsi="宋体" w:cs="宋体"/>
          <w:b/>
          <w:bCs/>
          <w:color w:val="auto"/>
          <w:sz w:val="28"/>
          <w:szCs w:val="28"/>
          <w:highlight w:val="none"/>
          <w:lang w:val="en-US" w:eastAsia="zh-CN"/>
        </w:rPr>
      </w:pPr>
      <w:r>
        <w:rPr>
          <w:rFonts w:hint="eastAsia" w:ascii="宋体" w:hAnsi="宋体" w:eastAsia="宋体" w:cs="宋体"/>
          <w:color w:val="auto"/>
          <w:sz w:val="22"/>
          <w:szCs w:val="22"/>
          <w:highlight w:val="none"/>
        </w:rPr>
        <w:t>日   期：</w:t>
      </w:r>
    </w:p>
    <w:p w14:paraId="28D46CED">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50DE832A">
      <w:pPr>
        <w:pageBreakBefore w:val="0"/>
        <w:kinsoku/>
        <w:wordWrap w:val="0"/>
        <w:topLinePunct w:val="0"/>
        <w:bidi w:val="0"/>
        <w:spacing w:line="400" w:lineRule="exact"/>
        <w:jc w:val="center"/>
        <w:outlineLvl w:val="3"/>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17、特色服务</w:t>
      </w:r>
    </w:p>
    <w:p w14:paraId="11F66C7F">
      <w:pPr>
        <w:pageBreakBefore w:val="0"/>
        <w:kinsoku/>
        <w:wordWrap w:val="0"/>
        <w:topLinePunct w:val="0"/>
        <w:bidi w:val="0"/>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WZLCZB（Z）-2025-07016</w:t>
      </w:r>
    </w:p>
    <w:p w14:paraId="4A260DE3">
      <w:pPr>
        <w:keepNext/>
        <w:keepLines w:val="0"/>
        <w:pageBreakBefore w:val="0"/>
        <w:widowControl w:val="0"/>
        <w:kinsoku/>
        <w:wordWrap w:val="0"/>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2025年学校图书</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1D6C1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452226A7">
            <w:pPr>
              <w:pageBreakBefore w:val="0"/>
              <w:kinsoku/>
              <w:wordWrap w:val="0"/>
              <w:topLinePunct w:val="0"/>
              <w:bidi w:val="0"/>
              <w:spacing w:line="360" w:lineRule="auto"/>
              <w:rPr>
                <w:rFonts w:hint="eastAsia" w:ascii="宋体" w:hAnsi="宋体" w:eastAsia="宋体" w:cs="宋体"/>
                <w:color w:val="auto"/>
                <w:sz w:val="22"/>
                <w:szCs w:val="22"/>
                <w:highlight w:val="none"/>
              </w:rPr>
            </w:pPr>
          </w:p>
        </w:tc>
      </w:tr>
    </w:tbl>
    <w:p w14:paraId="157F96CE">
      <w:pPr>
        <w:pageBreakBefore w:val="0"/>
        <w:kinsoku/>
        <w:wordWrap w:val="0"/>
        <w:topLinePunct w:val="0"/>
        <w:bidi w:val="0"/>
        <w:spacing w:line="460" w:lineRule="exact"/>
        <w:ind w:firstLine="5060" w:firstLineChars="2300"/>
        <w:rPr>
          <w:rFonts w:hint="eastAsia" w:ascii="宋体" w:hAnsi="宋体" w:eastAsia="宋体" w:cs="宋体"/>
          <w:color w:val="auto"/>
          <w:sz w:val="22"/>
          <w:szCs w:val="22"/>
          <w:highlight w:val="none"/>
        </w:rPr>
      </w:pPr>
    </w:p>
    <w:p w14:paraId="204716C6">
      <w:pPr>
        <w:pageBreakBefore w:val="0"/>
        <w:kinsoku/>
        <w:wordWrap w:val="0"/>
        <w:topLinePunct w:val="0"/>
        <w:bidi w:val="0"/>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0F85F3AF">
      <w:pPr>
        <w:pageBreakBefore w:val="0"/>
        <w:kinsoku/>
        <w:wordWrap w:val="0"/>
        <w:topLinePunct w:val="0"/>
        <w:bidi w:val="0"/>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24381C91">
      <w:pPr>
        <w:pageBreakBefore w:val="0"/>
        <w:kinsoku/>
        <w:wordWrap w:val="0"/>
        <w:topLinePunct w:val="0"/>
        <w:bidi w:val="0"/>
        <w:spacing w:line="460" w:lineRule="exact"/>
        <w:ind w:firstLine="5060" w:firstLineChars="2300"/>
        <w:rPr>
          <w:rFonts w:hint="eastAsia" w:ascii="宋体" w:hAnsi="宋体" w:cs="宋体"/>
          <w:b/>
          <w:bCs/>
          <w:color w:val="auto"/>
          <w:sz w:val="28"/>
          <w:szCs w:val="28"/>
          <w:highlight w:val="none"/>
          <w:lang w:val="en-US" w:eastAsia="zh-CN"/>
        </w:rPr>
      </w:pPr>
      <w:r>
        <w:rPr>
          <w:rFonts w:hint="eastAsia" w:ascii="宋体" w:hAnsi="宋体" w:eastAsia="宋体" w:cs="宋体"/>
          <w:color w:val="auto"/>
          <w:sz w:val="22"/>
          <w:szCs w:val="22"/>
          <w:highlight w:val="none"/>
        </w:rPr>
        <w:t>日   期：</w:t>
      </w:r>
    </w:p>
    <w:p w14:paraId="00175B59">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2D93C777">
      <w:pPr>
        <w:pageBreakBefore w:val="0"/>
        <w:kinsoku/>
        <w:wordWrap w:val="0"/>
        <w:topLinePunct w:val="0"/>
        <w:bidi w:val="0"/>
        <w:spacing w:line="400" w:lineRule="exact"/>
        <w:jc w:val="center"/>
        <w:outlineLvl w:val="3"/>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18、供应商其他服务等优惠承诺</w:t>
      </w:r>
    </w:p>
    <w:p w14:paraId="5C821158">
      <w:pPr>
        <w:pageBreakBefore w:val="0"/>
        <w:kinsoku/>
        <w:wordWrap w:val="0"/>
        <w:topLinePunct w:val="0"/>
        <w:bidi w:val="0"/>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WZLCZB（Z）-2025-07016</w:t>
      </w:r>
    </w:p>
    <w:p w14:paraId="75B94872">
      <w:pPr>
        <w:keepNext/>
        <w:keepLines w:val="0"/>
        <w:pageBreakBefore w:val="0"/>
        <w:widowControl w:val="0"/>
        <w:kinsoku/>
        <w:wordWrap w:val="0"/>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2025年学校图书</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43729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60D676C5">
            <w:pPr>
              <w:pageBreakBefore w:val="0"/>
              <w:kinsoku/>
              <w:wordWrap w:val="0"/>
              <w:topLinePunct w:val="0"/>
              <w:bidi w:val="0"/>
              <w:spacing w:line="360" w:lineRule="auto"/>
              <w:rPr>
                <w:rFonts w:hint="eastAsia" w:ascii="宋体" w:hAnsi="宋体" w:eastAsia="宋体" w:cs="宋体"/>
                <w:color w:val="auto"/>
                <w:sz w:val="22"/>
                <w:szCs w:val="22"/>
                <w:highlight w:val="none"/>
              </w:rPr>
            </w:pPr>
          </w:p>
        </w:tc>
      </w:tr>
    </w:tbl>
    <w:p w14:paraId="2C53F881">
      <w:pPr>
        <w:pageBreakBefore w:val="0"/>
        <w:kinsoku/>
        <w:wordWrap w:val="0"/>
        <w:topLinePunct w:val="0"/>
        <w:bidi w:val="0"/>
        <w:spacing w:line="460" w:lineRule="exact"/>
        <w:ind w:firstLine="5060" w:firstLineChars="2300"/>
        <w:rPr>
          <w:rFonts w:hint="eastAsia" w:ascii="宋体" w:hAnsi="宋体" w:eastAsia="宋体" w:cs="宋体"/>
          <w:color w:val="auto"/>
          <w:sz w:val="22"/>
          <w:szCs w:val="22"/>
          <w:highlight w:val="none"/>
        </w:rPr>
      </w:pPr>
    </w:p>
    <w:p w14:paraId="644DFAE9">
      <w:pPr>
        <w:pageBreakBefore w:val="0"/>
        <w:kinsoku/>
        <w:wordWrap w:val="0"/>
        <w:topLinePunct w:val="0"/>
        <w:bidi w:val="0"/>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5E0D2ECC">
      <w:pPr>
        <w:pageBreakBefore w:val="0"/>
        <w:kinsoku/>
        <w:wordWrap w:val="0"/>
        <w:topLinePunct w:val="0"/>
        <w:bidi w:val="0"/>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2102A307">
      <w:pPr>
        <w:pageBreakBefore w:val="0"/>
        <w:kinsoku/>
        <w:wordWrap w:val="0"/>
        <w:topLinePunct w:val="0"/>
        <w:bidi w:val="0"/>
        <w:spacing w:line="460" w:lineRule="exact"/>
        <w:ind w:firstLine="5060" w:firstLineChars="2300"/>
        <w:rPr>
          <w:rFonts w:hint="eastAsia" w:ascii="宋体" w:hAnsi="宋体" w:cs="宋体"/>
          <w:b/>
          <w:bCs/>
          <w:color w:val="auto"/>
          <w:sz w:val="28"/>
          <w:szCs w:val="28"/>
          <w:highlight w:val="none"/>
          <w:lang w:val="en-US" w:eastAsia="zh-CN"/>
        </w:rPr>
      </w:pPr>
      <w:r>
        <w:rPr>
          <w:rFonts w:hint="eastAsia" w:ascii="宋体" w:hAnsi="宋体" w:eastAsia="宋体" w:cs="宋体"/>
          <w:color w:val="auto"/>
          <w:sz w:val="22"/>
          <w:szCs w:val="22"/>
          <w:highlight w:val="none"/>
        </w:rPr>
        <w:t>日   期：</w:t>
      </w:r>
    </w:p>
    <w:p w14:paraId="585B8820">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0EF37D46">
      <w:pPr>
        <w:pageBreakBefore w:val="0"/>
        <w:kinsoku/>
        <w:wordWrap w:val="0"/>
        <w:topLinePunct w:val="0"/>
        <w:bidi w:val="0"/>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19、节能环保</w:t>
      </w:r>
    </w:p>
    <w:p w14:paraId="781DD427">
      <w:pPr>
        <w:pageBreakBefore w:val="0"/>
        <w:kinsoku/>
        <w:wordWrap w:val="0"/>
        <w:topLinePunct w:val="0"/>
        <w:bidi w:val="0"/>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WZLCZB（Z）-2025-07016</w:t>
      </w:r>
    </w:p>
    <w:p w14:paraId="60E429E2">
      <w:pPr>
        <w:keepNext/>
        <w:keepLines w:val="0"/>
        <w:pageBreakBefore w:val="0"/>
        <w:widowControl w:val="0"/>
        <w:kinsoku/>
        <w:wordWrap w:val="0"/>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2025年学校图书</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11CF0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2838E872">
            <w:pPr>
              <w:pageBreakBefore w:val="0"/>
              <w:kinsoku/>
              <w:wordWrap w:val="0"/>
              <w:topLinePunct w:val="0"/>
              <w:bidi w:val="0"/>
              <w:spacing w:line="360" w:lineRule="auto"/>
              <w:rPr>
                <w:rFonts w:hint="eastAsia" w:ascii="宋体" w:hAnsi="宋体" w:eastAsia="宋体" w:cs="宋体"/>
                <w:color w:val="auto"/>
                <w:sz w:val="22"/>
                <w:szCs w:val="22"/>
                <w:highlight w:val="none"/>
              </w:rPr>
            </w:pPr>
          </w:p>
        </w:tc>
      </w:tr>
    </w:tbl>
    <w:p w14:paraId="09536E8B">
      <w:pPr>
        <w:pageBreakBefore w:val="0"/>
        <w:kinsoku/>
        <w:wordWrap w:val="0"/>
        <w:topLinePunct w:val="0"/>
        <w:bidi w:val="0"/>
        <w:spacing w:line="460" w:lineRule="exact"/>
        <w:ind w:firstLine="5060" w:firstLineChars="2300"/>
        <w:rPr>
          <w:rFonts w:hint="eastAsia" w:ascii="宋体" w:hAnsi="宋体" w:eastAsia="宋体" w:cs="宋体"/>
          <w:color w:val="auto"/>
          <w:sz w:val="22"/>
          <w:szCs w:val="22"/>
          <w:highlight w:val="none"/>
        </w:rPr>
      </w:pPr>
    </w:p>
    <w:p w14:paraId="30A9EEC6">
      <w:pPr>
        <w:pageBreakBefore w:val="0"/>
        <w:kinsoku/>
        <w:wordWrap w:val="0"/>
        <w:topLinePunct w:val="0"/>
        <w:bidi w:val="0"/>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3A9C1105">
      <w:pPr>
        <w:pageBreakBefore w:val="0"/>
        <w:kinsoku/>
        <w:wordWrap w:val="0"/>
        <w:topLinePunct w:val="0"/>
        <w:bidi w:val="0"/>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77A9DECE">
      <w:pPr>
        <w:pageBreakBefore w:val="0"/>
        <w:kinsoku/>
        <w:wordWrap w:val="0"/>
        <w:topLinePunct w:val="0"/>
        <w:bidi w:val="0"/>
        <w:spacing w:line="460" w:lineRule="exact"/>
        <w:ind w:firstLine="5060" w:firstLineChars="2300"/>
        <w:rPr>
          <w:rFonts w:hint="eastAsia" w:ascii="宋体" w:hAnsi="宋体" w:eastAsia="宋体" w:cs="宋体"/>
          <w:b/>
          <w:bCs/>
          <w:color w:val="auto"/>
          <w:sz w:val="28"/>
          <w:szCs w:val="28"/>
          <w:highlight w:val="none"/>
          <w:lang w:val="en-US" w:eastAsia="zh-CN"/>
        </w:rPr>
      </w:pPr>
      <w:r>
        <w:rPr>
          <w:rFonts w:hint="eastAsia" w:ascii="宋体" w:hAnsi="宋体" w:eastAsia="宋体" w:cs="宋体"/>
          <w:color w:val="auto"/>
          <w:sz w:val="22"/>
          <w:szCs w:val="22"/>
          <w:highlight w:val="none"/>
        </w:rPr>
        <w:t>日   期：</w:t>
      </w:r>
    </w:p>
    <w:p w14:paraId="52A0281D">
      <w:pPr>
        <w:pageBreakBefore w:val="0"/>
        <w:kinsoku/>
        <w:wordWrap w:val="0"/>
        <w:topLinePunct w:val="0"/>
        <w:bidi w:val="0"/>
        <w:spacing w:line="400" w:lineRule="exact"/>
        <w:jc w:val="center"/>
        <w:outlineLvl w:val="9"/>
        <w:rPr>
          <w:rFonts w:hint="eastAsia" w:ascii="宋体" w:hAnsi="宋体" w:eastAsia="宋体" w:cs="宋体"/>
          <w:b/>
          <w:bCs/>
          <w:color w:val="auto"/>
          <w:sz w:val="28"/>
          <w:szCs w:val="28"/>
          <w:highlight w:val="none"/>
          <w:lang w:val="en-US" w:eastAsia="zh-CN"/>
        </w:rPr>
      </w:pPr>
    </w:p>
    <w:p w14:paraId="65B6D16D">
      <w:pPr>
        <w:pageBreakBefore w:val="0"/>
        <w:kinsoku/>
        <w:wordWrap w:val="0"/>
        <w:topLinePunct w:val="0"/>
        <w:bidi w:val="0"/>
        <w:spacing w:line="400" w:lineRule="exact"/>
        <w:jc w:val="center"/>
        <w:outlineLvl w:val="9"/>
        <w:rPr>
          <w:rFonts w:hint="eastAsia" w:ascii="宋体" w:hAnsi="宋体" w:eastAsia="宋体" w:cs="宋体"/>
          <w:b/>
          <w:bCs/>
          <w:color w:val="auto"/>
          <w:sz w:val="28"/>
          <w:szCs w:val="28"/>
          <w:highlight w:val="none"/>
          <w:lang w:val="en-US" w:eastAsia="zh-CN"/>
        </w:rPr>
      </w:pPr>
    </w:p>
    <w:p w14:paraId="0184B1BB">
      <w:pPr>
        <w:pageBreakBefore w:val="0"/>
        <w:kinsoku/>
        <w:wordWrap w:val="0"/>
        <w:topLinePunct w:val="0"/>
        <w:bidi w:val="0"/>
        <w:spacing w:line="400" w:lineRule="exact"/>
        <w:jc w:val="center"/>
        <w:outlineLvl w:val="9"/>
        <w:rPr>
          <w:rFonts w:hint="eastAsia" w:ascii="宋体" w:hAnsi="宋体" w:eastAsia="宋体" w:cs="宋体"/>
          <w:b/>
          <w:bCs/>
          <w:color w:val="auto"/>
          <w:sz w:val="28"/>
          <w:szCs w:val="28"/>
          <w:highlight w:val="none"/>
          <w:lang w:val="en-US" w:eastAsia="zh-CN"/>
        </w:rPr>
      </w:pPr>
    </w:p>
    <w:p w14:paraId="2644E8B5">
      <w:pPr>
        <w:rPr>
          <w:rFonts w:hint="eastAsia" w:ascii="宋体" w:hAnsi="宋体" w:eastAsia="宋体" w:cs="宋体"/>
          <w:b/>
          <w:color w:val="auto"/>
          <w:highlight w:val="none"/>
        </w:rPr>
      </w:pPr>
      <w:r>
        <w:rPr>
          <w:rFonts w:hint="eastAsia" w:ascii="宋体" w:hAnsi="宋体" w:eastAsia="宋体" w:cs="宋体"/>
          <w:color w:val="auto"/>
          <w:highlight w:val="none"/>
          <w:lang w:val="en-US" w:eastAsia="zh-CN"/>
        </w:rPr>
        <w:br w:type="page"/>
      </w:r>
    </w:p>
    <w:p w14:paraId="2009E436">
      <w:pPr>
        <w:pStyle w:val="3"/>
        <w:pageBreakBefore w:val="0"/>
        <w:numPr>
          <w:ilvl w:val="0"/>
          <w:numId w:val="6"/>
        </w:numPr>
        <w:kinsoku/>
        <w:wordWrap w:val="0"/>
        <w:topLinePunct w:val="0"/>
        <w:bidi w:val="0"/>
        <w:rPr>
          <w:rFonts w:hint="eastAsia" w:ascii="宋体" w:hAnsi="宋体" w:eastAsia="宋体" w:cs="宋体"/>
          <w:b/>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项目技术规范和服务要求</w:t>
      </w:r>
    </w:p>
    <w:p w14:paraId="033A1900">
      <w:pPr>
        <w:widowControl/>
        <w:numPr>
          <w:ilvl w:val="0"/>
          <w:numId w:val="0"/>
        </w:numPr>
        <w:autoSpaceDE w:val="0"/>
        <w:autoSpaceDN w:val="0"/>
        <w:adjustRightInd w:val="0"/>
        <w:spacing w:line="360" w:lineRule="auto"/>
        <w:jc w:val="left"/>
        <w:textAlignment w:val="bottom"/>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2"/>
          <w:sz w:val="22"/>
          <w:szCs w:val="22"/>
          <w:highlight w:val="none"/>
          <w:lang w:val="en-US" w:eastAsia="zh-CN" w:bidi="ar-SA"/>
        </w:rPr>
        <w:t>一、</w:t>
      </w:r>
      <w:r>
        <w:rPr>
          <w:rFonts w:hint="eastAsia" w:ascii="新宋体" w:hAnsi="新宋体" w:eastAsia="新宋体" w:cs="新宋体"/>
          <w:b/>
          <w:bCs/>
          <w:color w:val="auto"/>
          <w:sz w:val="22"/>
          <w:szCs w:val="22"/>
          <w:highlight w:val="none"/>
          <w:lang w:val="en-US" w:eastAsia="zh-CN"/>
        </w:rPr>
        <w:t>本项目</w:t>
      </w:r>
      <w:r>
        <w:rPr>
          <w:rFonts w:hint="eastAsia" w:ascii="新宋体" w:hAnsi="新宋体" w:eastAsia="新宋体" w:cs="新宋体"/>
          <w:b/>
          <w:bCs/>
          <w:color w:val="auto"/>
          <w:sz w:val="22"/>
          <w:szCs w:val="22"/>
          <w:highlight w:val="none"/>
        </w:rPr>
        <w:t>需实现目标</w:t>
      </w:r>
    </w:p>
    <w:p w14:paraId="151F5DA6">
      <w:pPr>
        <w:widowControl/>
        <w:autoSpaceDE w:val="0"/>
        <w:autoSpaceDN w:val="0"/>
        <w:adjustRightInd w:val="0"/>
        <w:spacing w:line="400" w:lineRule="exact"/>
        <w:ind w:firstLine="440" w:firstLineChars="200"/>
        <w:textAlignment w:val="bottom"/>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rPr>
        <w:t>图书质量好</w:t>
      </w:r>
      <w:r>
        <w:rPr>
          <w:rFonts w:hint="eastAsia" w:ascii="新宋体" w:hAnsi="新宋体" w:eastAsia="新宋体" w:cs="新宋体"/>
          <w:bCs/>
          <w:color w:val="auto"/>
          <w:sz w:val="22"/>
          <w:szCs w:val="22"/>
          <w:highlight w:val="none"/>
          <w:lang w:val="en-US" w:eastAsia="zh-CN"/>
        </w:rPr>
        <w:t>，</w:t>
      </w:r>
      <w:r>
        <w:rPr>
          <w:rFonts w:hint="eastAsia" w:ascii="新宋体" w:hAnsi="新宋体" w:eastAsia="新宋体" w:cs="新宋体"/>
          <w:bCs/>
          <w:color w:val="auto"/>
          <w:sz w:val="22"/>
          <w:szCs w:val="22"/>
          <w:highlight w:val="none"/>
        </w:rPr>
        <w:t>符合新课程标准，适合浙江省初中、小学开展教学和课外阅读需要。</w:t>
      </w:r>
    </w:p>
    <w:p w14:paraId="074D7DEA">
      <w:pPr>
        <w:widowControl/>
        <w:numPr>
          <w:ilvl w:val="0"/>
          <w:numId w:val="0"/>
        </w:numPr>
        <w:autoSpaceDE w:val="0"/>
        <w:autoSpaceDN w:val="0"/>
        <w:adjustRightInd w:val="0"/>
        <w:spacing w:line="360" w:lineRule="auto"/>
        <w:jc w:val="left"/>
        <w:textAlignment w:val="bottom"/>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2"/>
          <w:sz w:val="22"/>
          <w:szCs w:val="22"/>
          <w:highlight w:val="none"/>
          <w:lang w:val="en-US" w:eastAsia="zh-CN" w:bidi="ar-SA"/>
        </w:rPr>
        <w:t>二、</w:t>
      </w:r>
      <w:r>
        <w:rPr>
          <w:rFonts w:hint="eastAsia" w:ascii="新宋体" w:hAnsi="新宋体" w:eastAsia="新宋体" w:cs="新宋体"/>
          <w:b/>
          <w:bCs/>
          <w:color w:val="auto"/>
          <w:sz w:val="22"/>
          <w:szCs w:val="22"/>
          <w:highlight w:val="none"/>
        </w:rPr>
        <w:t>采购总说明</w:t>
      </w:r>
    </w:p>
    <w:p w14:paraId="62A79947">
      <w:pPr>
        <w:widowControl/>
        <w:autoSpaceDE w:val="0"/>
        <w:autoSpaceDN w:val="0"/>
        <w:adjustRightInd w:val="0"/>
        <w:spacing w:line="400" w:lineRule="exact"/>
        <w:ind w:firstLine="440" w:firstLineChars="200"/>
        <w:textAlignment w:val="bottom"/>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rPr>
        <w:t>本技术规范要求提出的是最低限度的基本技术要求，并未对所有技术细节作出规定，供应商应提供符合本技术要求和国家标准、行业标准的优质产品。</w:t>
      </w:r>
    </w:p>
    <w:p w14:paraId="6E3903D2">
      <w:pPr>
        <w:widowControl/>
        <w:autoSpaceDE w:val="0"/>
        <w:autoSpaceDN w:val="0"/>
        <w:adjustRightInd w:val="0"/>
        <w:spacing w:line="400" w:lineRule="exact"/>
        <w:ind w:firstLine="440" w:firstLineChars="200"/>
        <w:textAlignment w:val="bottom"/>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2、</w:t>
      </w:r>
      <w:r>
        <w:rPr>
          <w:rFonts w:hint="eastAsia" w:ascii="新宋体" w:hAnsi="新宋体" w:eastAsia="新宋体" w:cs="新宋体"/>
          <w:bCs/>
          <w:color w:val="auto"/>
          <w:sz w:val="22"/>
          <w:szCs w:val="22"/>
          <w:highlight w:val="none"/>
        </w:rPr>
        <w:t>供应商产品与本技术要求不一致时，供应商应在投标文件中予以说明，并由评审小组鉴定供应商产品能否达到要求。如供应商没有在投标文件中提出异议，则视为供应商提供的产品完全按照本招标文件要求。</w:t>
      </w:r>
    </w:p>
    <w:p w14:paraId="418CE74C">
      <w:pPr>
        <w:widowControl/>
        <w:autoSpaceDE w:val="0"/>
        <w:autoSpaceDN w:val="0"/>
        <w:adjustRightInd w:val="0"/>
        <w:spacing w:line="400" w:lineRule="exact"/>
        <w:ind w:firstLine="440" w:firstLineChars="200"/>
        <w:textAlignment w:val="bottom"/>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、技术要求及标准的执行</w:t>
      </w:r>
    </w:p>
    <w:p w14:paraId="470BB1A1">
      <w:pPr>
        <w:widowControl/>
        <w:autoSpaceDE w:val="0"/>
        <w:autoSpaceDN w:val="0"/>
        <w:adjustRightInd w:val="0"/>
        <w:spacing w:line="400" w:lineRule="exact"/>
        <w:ind w:firstLine="440" w:firstLineChars="200"/>
        <w:textAlignment w:val="bottom"/>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3.1、</w:t>
      </w:r>
      <w:r>
        <w:rPr>
          <w:rFonts w:hint="eastAsia" w:ascii="新宋体" w:hAnsi="新宋体" w:eastAsia="新宋体" w:cs="新宋体"/>
          <w:bCs/>
          <w:color w:val="auto"/>
          <w:sz w:val="22"/>
          <w:szCs w:val="22"/>
          <w:highlight w:val="none"/>
        </w:rPr>
        <w:t>供应商提供的产品应标明所执行的质量标准，若同一标准已颁发新标准，则按最新标准执行。若同一产品同时有几个标准（国际标准、国家标准、行业标准、企业标准等），则按最高层次的标准执行。</w:t>
      </w:r>
    </w:p>
    <w:p w14:paraId="2480CE6F">
      <w:pPr>
        <w:widowControl/>
        <w:autoSpaceDE w:val="0"/>
        <w:autoSpaceDN w:val="0"/>
        <w:adjustRightInd w:val="0"/>
        <w:spacing w:line="400" w:lineRule="exact"/>
        <w:ind w:firstLine="440" w:firstLineChars="200"/>
        <w:textAlignment w:val="bottom"/>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3.2、</w:t>
      </w:r>
      <w:r>
        <w:rPr>
          <w:rFonts w:hint="eastAsia" w:ascii="新宋体" w:hAnsi="新宋体" w:eastAsia="新宋体" w:cs="新宋体"/>
          <w:bCs/>
          <w:color w:val="auto"/>
          <w:sz w:val="22"/>
          <w:szCs w:val="22"/>
          <w:highlight w:val="none"/>
        </w:rPr>
        <w:t>以下所列仅为基本要求，供应商须按国家有关规定及标准完成本次招标货物的供货、运输、装卸、就位、安装、调试、技术培训、检验、通过有关部门验收、</w:t>
      </w:r>
      <w:r>
        <w:rPr>
          <w:rFonts w:hint="eastAsia" w:ascii="新宋体" w:hAnsi="新宋体" w:eastAsia="新宋体" w:cs="新宋体"/>
          <w:bCs/>
          <w:color w:val="auto"/>
          <w:sz w:val="22"/>
          <w:szCs w:val="22"/>
          <w:highlight w:val="none"/>
          <w:lang w:val="en-US" w:eastAsia="zh-CN"/>
        </w:rPr>
        <w:t>图书加工、上架</w:t>
      </w:r>
      <w:r>
        <w:rPr>
          <w:rFonts w:hint="eastAsia" w:ascii="新宋体" w:hAnsi="新宋体" w:eastAsia="新宋体" w:cs="新宋体"/>
          <w:bCs/>
          <w:color w:val="auto"/>
          <w:sz w:val="22"/>
          <w:szCs w:val="22"/>
          <w:highlight w:val="none"/>
        </w:rPr>
        <w:t>等各项工作，并保证货物使用的安全性能与检测结果的可靠性。如中标，中标（成交）供应商必须提供原包装的新货物，对中标货物使用的安全性能与可靠性负全部责任；供应商报价应包括货物价格、税费、运输、质保期内的维护保养</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加工、上架</w:t>
      </w:r>
      <w:r>
        <w:rPr>
          <w:rFonts w:hint="eastAsia" w:ascii="新宋体" w:hAnsi="新宋体" w:eastAsia="新宋体" w:cs="新宋体"/>
          <w:bCs/>
          <w:color w:val="auto"/>
          <w:sz w:val="22"/>
          <w:szCs w:val="22"/>
          <w:highlight w:val="none"/>
        </w:rPr>
        <w:t>等所有费用，以及供应商认为必要的其他服务供应商提供的正常、合法、安全运行及使用所必需的所有费用，包含所有的版权、专利等一切费用，如果供应商在中标并签署合同后，在供货、安装与调试、培训等工作中出现货物及软件等方面的任何遗漏，均由中标（成交）供应商免费提供，采购人将不再支付任何费用。</w:t>
      </w:r>
    </w:p>
    <w:p w14:paraId="7DC4A532">
      <w:pPr>
        <w:widowControl/>
        <w:numPr>
          <w:ilvl w:val="0"/>
          <w:numId w:val="0"/>
        </w:numPr>
        <w:autoSpaceDE w:val="0"/>
        <w:autoSpaceDN w:val="0"/>
        <w:adjustRightInd w:val="0"/>
        <w:spacing w:line="360" w:lineRule="auto"/>
        <w:jc w:val="left"/>
        <w:textAlignment w:val="bottom"/>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2"/>
          <w:sz w:val="22"/>
          <w:szCs w:val="22"/>
          <w:highlight w:val="none"/>
          <w:lang w:val="en-US" w:eastAsia="zh-CN" w:bidi="ar-SA"/>
        </w:rPr>
        <w:t>三、</w:t>
      </w:r>
      <w:r>
        <w:rPr>
          <w:rFonts w:hint="eastAsia" w:ascii="新宋体" w:hAnsi="新宋体" w:eastAsia="新宋体" w:cs="新宋体"/>
          <w:b/>
          <w:bCs/>
          <w:color w:val="auto"/>
          <w:sz w:val="22"/>
          <w:szCs w:val="22"/>
          <w:highlight w:val="none"/>
          <w:lang w:val="en-US" w:eastAsia="zh-CN"/>
        </w:rPr>
        <w:t>采购内容</w:t>
      </w:r>
    </w:p>
    <w:tbl>
      <w:tblPr>
        <w:tblStyle w:val="52"/>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3036"/>
        <w:gridCol w:w="5858"/>
      </w:tblGrid>
      <w:tr w14:paraId="576B5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82" w:type="dxa"/>
            <w:noWrap w:val="0"/>
            <w:vAlign w:val="center"/>
          </w:tcPr>
          <w:p w14:paraId="3F02C716">
            <w:pPr>
              <w:tabs>
                <w:tab w:val="left" w:pos="1200"/>
              </w:tabs>
              <w:spacing w:line="440" w:lineRule="exact"/>
              <w:jc w:val="center"/>
              <w:rPr>
                <w:rFonts w:hint="eastAsia" w:ascii="新宋体" w:hAnsi="新宋体" w:eastAsia="新宋体" w:cs="新宋体"/>
                <w:bCs/>
                <w:color w:val="auto"/>
                <w:kern w:val="0"/>
                <w:sz w:val="22"/>
                <w:szCs w:val="22"/>
                <w:highlight w:val="none"/>
                <w:lang w:val="en-US" w:eastAsia="zh-CN"/>
              </w:rPr>
            </w:pPr>
            <w:r>
              <w:rPr>
                <w:rFonts w:hint="eastAsia" w:ascii="新宋体" w:hAnsi="新宋体" w:eastAsia="新宋体" w:cs="新宋体"/>
                <w:bCs/>
                <w:color w:val="auto"/>
                <w:kern w:val="0"/>
                <w:sz w:val="22"/>
                <w:szCs w:val="22"/>
                <w:highlight w:val="none"/>
                <w:lang w:val="en-US" w:eastAsia="zh-CN"/>
              </w:rPr>
              <w:t>序号</w:t>
            </w:r>
          </w:p>
        </w:tc>
        <w:tc>
          <w:tcPr>
            <w:tcW w:w="3036" w:type="dxa"/>
            <w:noWrap w:val="0"/>
            <w:vAlign w:val="center"/>
          </w:tcPr>
          <w:p w14:paraId="0886A5F4">
            <w:pPr>
              <w:tabs>
                <w:tab w:val="left" w:pos="1200"/>
              </w:tabs>
              <w:spacing w:line="440" w:lineRule="exact"/>
              <w:jc w:val="center"/>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采购内容</w:t>
            </w:r>
          </w:p>
        </w:tc>
        <w:tc>
          <w:tcPr>
            <w:tcW w:w="5858" w:type="dxa"/>
            <w:noWrap w:val="0"/>
            <w:vAlign w:val="center"/>
          </w:tcPr>
          <w:p w14:paraId="6F0B4FA7">
            <w:pPr>
              <w:widowControl/>
              <w:snapToGrid w:val="0"/>
              <w:spacing w:line="440" w:lineRule="exact"/>
              <w:jc w:val="center"/>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备注</w:t>
            </w:r>
          </w:p>
        </w:tc>
      </w:tr>
      <w:tr w14:paraId="3ACD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82" w:type="dxa"/>
            <w:noWrap w:val="0"/>
            <w:vAlign w:val="center"/>
          </w:tcPr>
          <w:p w14:paraId="63739968">
            <w:pPr>
              <w:tabs>
                <w:tab w:val="left" w:pos="1200"/>
              </w:tabs>
              <w:jc w:val="center"/>
              <w:rPr>
                <w:rFonts w:hint="eastAsia" w:ascii="新宋体" w:hAnsi="新宋体" w:eastAsia="新宋体" w:cs="新宋体"/>
                <w:bCs/>
                <w:color w:val="auto"/>
                <w:kern w:val="0"/>
                <w:sz w:val="22"/>
                <w:szCs w:val="22"/>
                <w:highlight w:val="none"/>
                <w:lang w:val="en-US" w:eastAsia="zh-CN"/>
              </w:rPr>
            </w:pPr>
            <w:r>
              <w:rPr>
                <w:rFonts w:hint="eastAsia" w:ascii="新宋体" w:hAnsi="新宋体" w:eastAsia="新宋体" w:cs="新宋体"/>
                <w:bCs/>
                <w:color w:val="auto"/>
                <w:kern w:val="0"/>
                <w:sz w:val="22"/>
                <w:szCs w:val="22"/>
                <w:highlight w:val="none"/>
                <w:lang w:val="en-US" w:eastAsia="zh-CN"/>
              </w:rPr>
              <w:t>1</w:t>
            </w:r>
          </w:p>
        </w:tc>
        <w:tc>
          <w:tcPr>
            <w:tcW w:w="3036" w:type="dxa"/>
            <w:noWrap w:val="0"/>
            <w:vAlign w:val="center"/>
          </w:tcPr>
          <w:p w14:paraId="2ED62227">
            <w:pPr>
              <w:tabs>
                <w:tab w:val="left" w:pos="1200"/>
              </w:tabs>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学校推荐书目图书（详见</w:t>
            </w:r>
            <w:r>
              <w:rPr>
                <w:rFonts w:hint="eastAsia" w:ascii="新宋体" w:hAnsi="新宋体" w:eastAsia="新宋体" w:cs="新宋体"/>
                <w:color w:val="auto"/>
                <w:kern w:val="0"/>
                <w:sz w:val="22"/>
                <w:szCs w:val="22"/>
                <w:highlight w:val="none"/>
                <w:lang w:val="en-US" w:eastAsia="zh-CN"/>
              </w:rPr>
              <w:t>附件</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学校图书</w:t>
            </w:r>
            <w:r>
              <w:rPr>
                <w:rFonts w:hint="eastAsia" w:ascii="新宋体" w:hAnsi="新宋体" w:eastAsia="新宋体" w:cs="新宋体"/>
                <w:color w:val="auto"/>
                <w:kern w:val="0"/>
                <w:sz w:val="22"/>
                <w:szCs w:val="22"/>
                <w:highlight w:val="none"/>
              </w:rPr>
              <w:t>清单</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 xml:space="preserve">） </w:t>
            </w:r>
          </w:p>
        </w:tc>
        <w:tc>
          <w:tcPr>
            <w:tcW w:w="5858" w:type="dxa"/>
            <w:noWrap w:val="0"/>
            <w:vAlign w:val="center"/>
          </w:tcPr>
          <w:p w14:paraId="7EBEE799">
            <w:pPr>
              <w:widowControl/>
              <w:snapToGrid w:val="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1、中标人根据学校推荐书目图书清单（详见</w:t>
            </w:r>
            <w:r>
              <w:rPr>
                <w:rFonts w:hint="eastAsia" w:ascii="新宋体" w:hAnsi="新宋体" w:eastAsia="新宋体" w:cs="新宋体"/>
                <w:color w:val="auto"/>
                <w:sz w:val="22"/>
                <w:szCs w:val="22"/>
                <w:highlight w:val="none"/>
                <w:lang w:val="en-US" w:eastAsia="zh-CN"/>
              </w:rPr>
              <w:t>附件的</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学校图书</w:t>
            </w:r>
            <w:r>
              <w:rPr>
                <w:rFonts w:hint="eastAsia" w:ascii="新宋体" w:hAnsi="新宋体" w:eastAsia="新宋体" w:cs="新宋体"/>
                <w:color w:val="auto"/>
                <w:sz w:val="22"/>
                <w:szCs w:val="22"/>
                <w:highlight w:val="none"/>
              </w:rPr>
              <w:t>清单</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），按采购人或学校要求供货。</w:t>
            </w:r>
          </w:p>
          <w:p w14:paraId="6009FAEA">
            <w:pPr>
              <w:widowControl/>
              <w:snapToGrid w:val="0"/>
              <w:jc w:val="lef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、图书价格按实结算，最高可以结算至采购预算金额</w:t>
            </w:r>
            <w:r>
              <w:rPr>
                <w:rFonts w:hint="eastAsia" w:ascii="新宋体" w:hAnsi="新宋体" w:eastAsia="新宋体" w:cs="新宋体"/>
                <w:color w:val="auto"/>
                <w:sz w:val="22"/>
                <w:szCs w:val="22"/>
                <w:highlight w:val="none"/>
                <w:lang w:eastAsia="zh-CN"/>
              </w:rPr>
              <w:t>。</w:t>
            </w:r>
          </w:p>
        </w:tc>
      </w:tr>
    </w:tbl>
    <w:p w14:paraId="02FBB9C9">
      <w:pPr>
        <w:widowControl/>
        <w:numPr>
          <w:ilvl w:val="0"/>
          <w:numId w:val="0"/>
        </w:numPr>
        <w:autoSpaceDE w:val="0"/>
        <w:autoSpaceDN w:val="0"/>
        <w:adjustRightInd w:val="0"/>
        <w:spacing w:line="360" w:lineRule="auto"/>
        <w:jc w:val="left"/>
        <w:textAlignment w:val="bottom"/>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kern w:val="2"/>
          <w:sz w:val="22"/>
          <w:szCs w:val="22"/>
          <w:highlight w:val="none"/>
          <w:lang w:val="en-US" w:eastAsia="zh-CN" w:bidi="ar-SA"/>
        </w:rPr>
        <w:t>四、</w:t>
      </w:r>
      <w:r>
        <w:rPr>
          <w:rFonts w:hint="eastAsia" w:ascii="新宋体" w:hAnsi="新宋体" w:eastAsia="新宋体" w:cs="新宋体"/>
          <w:b/>
          <w:bCs/>
          <w:color w:val="auto"/>
          <w:sz w:val="22"/>
          <w:szCs w:val="22"/>
          <w:highlight w:val="none"/>
          <w:lang w:val="en-US" w:eastAsia="zh-CN"/>
        </w:rPr>
        <w:t>采购要求</w:t>
      </w:r>
    </w:p>
    <w:p w14:paraId="249DD127">
      <w:pPr>
        <w:tabs>
          <w:tab w:val="left" w:pos="0"/>
        </w:tabs>
        <w:spacing w:line="440" w:lineRule="exact"/>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1、采购要求</w:t>
      </w:r>
    </w:p>
    <w:p w14:paraId="257C130B">
      <w:pPr>
        <w:tabs>
          <w:tab w:val="left" w:pos="0"/>
        </w:tabs>
        <w:spacing w:line="440" w:lineRule="exact"/>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（一）技术要求</w:t>
      </w:r>
    </w:p>
    <w:p w14:paraId="6B1A6E9A">
      <w:pPr>
        <w:tabs>
          <w:tab w:val="left" w:pos="0"/>
        </w:tabs>
        <w:spacing w:line="440" w:lineRule="exact"/>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u w:val="single"/>
        </w:rPr>
        <w:t>供应商须严格按照其投标图书目录根据采购人的要求将图书运输至采购人指定的地点，保证所有图书的采到率不低于90%，并在投标文件中予以明确。</w:t>
      </w:r>
    </w:p>
    <w:p w14:paraId="6F646CFD">
      <w:pPr>
        <w:tabs>
          <w:tab w:val="left" w:pos="0"/>
        </w:tabs>
        <w:spacing w:line="440" w:lineRule="exact"/>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（2）能提供符合国家财税法律规定制度要求的售书发票。</w:t>
      </w:r>
    </w:p>
    <w:p w14:paraId="2C0E093E">
      <w:pPr>
        <w:tabs>
          <w:tab w:val="left" w:pos="0"/>
        </w:tabs>
        <w:spacing w:line="440" w:lineRule="exact"/>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（二）服务要求</w:t>
      </w:r>
    </w:p>
    <w:p w14:paraId="2D33622A">
      <w:pPr>
        <w:tabs>
          <w:tab w:val="left" w:pos="0"/>
        </w:tabs>
        <w:spacing w:line="440" w:lineRule="exact"/>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（1）中标人需将其投标文件中图书目录、马克数据包递交至采购方。</w:t>
      </w:r>
    </w:p>
    <w:p w14:paraId="04F94DB8">
      <w:pPr>
        <w:tabs>
          <w:tab w:val="left" w:pos="0"/>
        </w:tabs>
        <w:spacing w:line="440" w:lineRule="exact"/>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图书加工：供应商在与采购人或采购人指定的采购单位签定合同并收到图书订单后应及时整理收订工作，供应商须提供图书加工服务，承担包括按采购人的标准和要求进行加工，还需粘贴条形码、编目、打印书标并贴书标、书标保护膜</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盖馆藏章、</w:t>
      </w:r>
      <w:r>
        <w:rPr>
          <w:rFonts w:hint="eastAsia" w:ascii="新宋体" w:hAnsi="新宋体" w:eastAsia="新宋体" w:cs="新宋体"/>
          <w:color w:val="auto"/>
          <w:sz w:val="22"/>
          <w:szCs w:val="22"/>
          <w:highlight w:val="none"/>
        </w:rPr>
        <w:t>书脊侧贴胶带纸</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把符合《中国机读目录格式》标准的编目数据套录到采购人的计算机管理系统中</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新书上架等全部加工工序，此笔费用由投标人负责，包含在投标报价中。</w:t>
      </w:r>
    </w:p>
    <w:p w14:paraId="354CCCCA">
      <w:pPr>
        <w:tabs>
          <w:tab w:val="left" w:pos="0"/>
        </w:tabs>
        <w:spacing w:line="440" w:lineRule="exact"/>
        <w:ind w:firstLine="440" w:firstLineChars="200"/>
        <w:jc w:val="left"/>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（3）供应商必须提供相应人力，确保</w:t>
      </w:r>
      <w:r>
        <w:rPr>
          <w:rFonts w:hint="eastAsia" w:ascii="新宋体" w:hAnsi="新宋体" w:eastAsia="新宋体" w:cs="新宋体"/>
          <w:color w:val="auto"/>
          <w:sz w:val="22"/>
          <w:szCs w:val="22"/>
          <w:highlight w:val="none"/>
          <w:u w:val="single"/>
          <w:lang w:val="en-US" w:eastAsia="zh-CN"/>
        </w:rPr>
        <w:t>合同签订</w:t>
      </w:r>
      <w:r>
        <w:rPr>
          <w:rFonts w:hint="eastAsia" w:ascii="新宋体" w:hAnsi="新宋体" w:eastAsia="新宋体" w:cs="新宋体"/>
          <w:color w:val="auto"/>
          <w:sz w:val="22"/>
          <w:szCs w:val="22"/>
          <w:highlight w:val="none"/>
          <w:u w:val="single"/>
        </w:rPr>
        <w:t>后</w:t>
      </w:r>
      <w:r>
        <w:rPr>
          <w:rFonts w:hint="eastAsia" w:ascii="新宋体" w:hAnsi="新宋体" w:eastAsia="新宋体" w:cs="新宋体"/>
          <w:color w:val="auto"/>
          <w:sz w:val="22"/>
          <w:szCs w:val="22"/>
          <w:highlight w:val="none"/>
          <w:u w:val="single"/>
          <w:lang w:val="en-US" w:eastAsia="zh-CN"/>
        </w:rPr>
        <w:t>60</w:t>
      </w:r>
      <w:r>
        <w:rPr>
          <w:rFonts w:hint="eastAsia" w:ascii="新宋体" w:hAnsi="新宋体" w:eastAsia="新宋体" w:cs="新宋体"/>
          <w:color w:val="auto"/>
          <w:sz w:val="22"/>
          <w:szCs w:val="22"/>
          <w:highlight w:val="none"/>
          <w:u w:val="single"/>
        </w:rPr>
        <w:t>天内送达指定地点、完成编码加工并全部上架流通阅览。</w:t>
      </w:r>
    </w:p>
    <w:p w14:paraId="45FA0A05">
      <w:pPr>
        <w:tabs>
          <w:tab w:val="left" w:pos="0"/>
        </w:tabs>
        <w:spacing w:line="440" w:lineRule="exact"/>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（4）供应商投标工作范围：图书的提供、运输（装卸、就位）、完成各项图书加工工作，并在采购人的配合下进行验收，并提供各种数据资料直至通过验收，以上工作内容的费用均包含在投标报价中。</w:t>
      </w:r>
    </w:p>
    <w:p w14:paraId="2AB382C4">
      <w:pPr>
        <w:tabs>
          <w:tab w:val="left" w:pos="0"/>
        </w:tabs>
        <w:spacing w:line="440" w:lineRule="exact"/>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（5）按采购人提出的书目及包装要求，将图书及时送交到采购人指定地点，为此所发生的费用全部由供应商承担。</w:t>
      </w:r>
    </w:p>
    <w:p w14:paraId="0B094793">
      <w:pPr>
        <w:tabs>
          <w:tab w:val="left" w:pos="0"/>
        </w:tabs>
        <w:spacing w:line="440" w:lineRule="exact"/>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供应商必须按采购人订购的图书品种、数量及时供货，除出版社推迟出版或发生影响合同履行的不可抗力事情以外，若不能按时供货的图书种数或册数超过订单订购数的10%，即可以认定该供应商不具备供货条件，一旦采购人提出终止供货的要求，该供应商必须接受，终止供货造成的损失由供应商承担，为尽可能消除因供应商不能按合同规定要求供货所造成的影响，采购人有权采取相应的补救措施（如直接向出版商邮购图书或向其他供货商补订图书），由此给采购人造成的各项损失或增加的各项费用（如折扣损失、邮费、数据费、加工费）等均由违约的供货商承担。</w:t>
      </w:r>
      <w:r>
        <w:rPr>
          <w:rFonts w:hint="eastAsia" w:ascii="新宋体" w:hAnsi="新宋体" w:eastAsia="新宋体" w:cs="新宋体"/>
          <w:b/>
          <w:bCs/>
          <w:color w:val="auto"/>
          <w:sz w:val="22"/>
          <w:szCs w:val="22"/>
          <w:highlight w:val="none"/>
          <w:u w:val="single"/>
        </w:rPr>
        <w:t>中标后到书率未达到中标供应商承诺到书率的，每少1%按预算总额的2%扣罚违约金，不足1%按照直线插入法计算。</w:t>
      </w:r>
    </w:p>
    <w:p w14:paraId="251B2E43">
      <w:pPr>
        <w:tabs>
          <w:tab w:val="left" w:pos="0"/>
        </w:tabs>
        <w:spacing w:line="440" w:lineRule="exact"/>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保证图书错误率控制在国家规定的3/10000之内，送交到采购人的图书不能有质量问题，若验收时发现有污损，图文不清，缺页，倒页等质量不合格的图书，以及与订单不符的图书，一律予以退货，由此造成的损失及费用全部由供应商承担。</w:t>
      </w:r>
    </w:p>
    <w:p w14:paraId="5BEEFAC4">
      <w:pPr>
        <w:tabs>
          <w:tab w:val="left" w:pos="0"/>
        </w:tabs>
        <w:spacing w:line="440" w:lineRule="exact"/>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凡送交到用户的图书，以图书定价作为计算书款的依据，经验收发现书款与发货单不相符的，采购人及时通知供应商派员到验收地核算，供应商接到通知之日起10个工作日内不能派员核算的，以采购人验收的实际数额计算书款金额。</w:t>
      </w:r>
    </w:p>
    <w:p w14:paraId="6C7B4A5B">
      <w:pPr>
        <w:tabs>
          <w:tab w:val="left" w:pos="0"/>
        </w:tabs>
        <w:spacing w:line="440" w:lineRule="exact"/>
        <w:ind w:firstLine="442" w:firstLineChars="200"/>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5、图书配送要求</w:t>
      </w:r>
    </w:p>
    <w:p w14:paraId="4E341860">
      <w:pPr>
        <w:tabs>
          <w:tab w:val="left" w:pos="0"/>
        </w:tabs>
        <w:spacing w:line="440" w:lineRule="exact"/>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1)严格按订单配送，若订购单上图书的价格、书名、ISBN号发生变动时要与采购人联系确认后再配送。</w:t>
      </w:r>
    </w:p>
    <w:p w14:paraId="0173E889">
      <w:pPr>
        <w:tabs>
          <w:tab w:val="left" w:pos="0"/>
        </w:tabs>
        <w:spacing w:line="440" w:lineRule="exact"/>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2)一批图书提供两份清单。一份是汇总清单</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与‘学校图书清单’一致</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，一份是每包内明细单。清单上注明每种图书码洋、折扣、实洋。在外包装上标注顺序号，并在汇总清单中注明顺序号。</w:t>
      </w:r>
    </w:p>
    <w:p w14:paraId="62114D71">
      <w:pPr>
        <w:tabs>
          <w:tab w:val="left" w:pos="0"/>
        </w:tabs>
        <w:spacing w:line="440" w:lineRule="exact"/>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3)每批图书发货时，须发送一份相应的电子表格明细单到采购人联系人的电子邮箱。</w:t>
      </w:r>
    </w:p>
    <w:p w14:paraId="075E3502">
      <w:pPr>
        <w:tabs>
          <w:tab w:val="left" w:pos="0"/>
        </w:tabs>
        <w:spacing w:line="440" w:lineRule="exact"/>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4)结算之前要先同业务联系人进行核实，发票的抬头、格式及金额请与业务联系人确认后再开票据。</w:t>
      </w:r>
    </w:p>
    <w:p w14:paraId="600815C4">
      <w:pPr>
        <w:tabs>
          <w:tab w:val="left" w:pos="0"/>
        </w:tabs>
        <w:spacing w:line="440" w:lineRule="exact"/>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5）中标人必须按订单供书，不得擅自更换入选书目中的图书，改供其他图书，一经发现，即扣罚预算总额的</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%扣罚违约金，并必须更换。产生的费用与违约责任由中标人自负。</w:t>
      </w:r>
    </w:p>
    <w:p w14:paraId="20495139">
      <w:pPr>
        <w:widowControl/>
        <w:autoSpaceDE w:val="0"/>
        <w:autoSpaceDN w:val="0"/>
        <w:adjustRightInd w:val="0"/>
        <w:spacing w:line="460" w:lineRule="atLeast"/>
        <w:ind w:firstLine="440" w:firstLineChars="200"/>
        <w:textAlignment w:val="bottom"/>
        <w:rPr>
          <w:rFonts w:hint="eastAsia" w:ascii="新宋体" w:hAnsi="新宋体" w:eastAsia="新宋体" w:cs="新宋体"/>
          <w:color w:val="auto"/>
          <w:sz w:val="22"/>
          <w:szCs w:val="22"/>
          <w:highlight w:val="none"/>
          <w:lang w:val="en-US" w:eastAsia="zh-CN"/>
        </w:rPr>
      </w:pPr>
    </w:p>
    <w:p w14:paraId="5530EC69">
      <w:pPr>
        <w:widowControl/>
        <w:numPr>
          <w:ilvl w:val="0"/>
          <w:numId w:val="0"/>
        </w:numPr>
        <w:autoSpaceDE w:val="0"/>
        <w:autoSpaceDN w:val="0"/>
        <w:adjustRightInd w:val="0"/>
        <w:spacing w:line="360" w:lineRule="auto"/>
        <w:jc w:val="left"/>
        <w:textAlignment w:val="bottom"/>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kern w:val="2"/>
          <w:sz w:val="22"/>
          <w:szCs w:val="22"/>
          <w:highlight w:val="none"/>
          <w:lang w:val="en-US" w:eastAsia="zh-CN" w:bidi="ar-SA"/>
        </w:rPr>
        <w:t>五、</w:t>
      </w:r>
      <w:r>
        <w:rPr>
          <w:rFonts w:hint="eastAsia" w:ascii="新宋体" w:hAnsi="新宋体" w:eastAsia="新宋体" w:cs="新宋体"/>
          <w:b/>
          <w:bCs/>
          <w:color w:val="auto"/>
          <w:sz w:val="22"/>
          <w:szCs w:val="22"/>
          <w:highlight w:val="none"/>
          <w:lang w:val="en-US" w:eastAsia="zh-CN"/>
        </w:rPr>
        <w:t xml:space="preserve">商务条款 </w:t>
      </w:r>
    </w:p>
    <w:p w14:paraId="61FADA69">
      <w:pPr>
        <w:tabs>
          <w:tab w:val="left" w:pos="0"/>
        </w:tabs>
        <w:spacing w:line="440" w:lineRule="exact"/>
        <w:ind w:firstLine="440" w:firstLineChars="200"/>
        <w:jc w:val="left"/>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lang w:val="en-US" w:eastAsia="zh-CN"/>
        </w:rPr>
        <w:t>▲1.</w:t>
      </w:r>
      <w:r>
        <w:rPr>
          <w:rFonts w:hint="eastAsia" w:ascii="新宋体" w:hAnsi="新宋体" w:eastAsia="新宋体" w:cs="新宋体"/>
          <w:color w:val="auto"/>
          <w:sz w:val="22"/>
          <w:szCs w:val="22"/>
          <w:highlight w:val="none"/>
          <w:u w:val="single"/>
        </w:rPr>
        <w:t>本次采用所有图书统一平均折扣率进行报价，即为图书码洋基础上进行折扣率报价，最后结算根据订购数量*图书码洋*</w:t>
      </w:r>
      <w:r>
        <w:rPr>
          <w:rFonts w:hint="eastAsia" w:ascii="新宋体" w:hAnsi="新宋体" w:eastAsia="新宋体" w:cs="新宋体"/>
          <w:color w:val="auto"/>
          <w:sz w:val="22"/>
          <w:szCs w:val="22"/>
          <w:highlight w:val="none"/>
          <w:u w:val="single"/>
          <w:lang w:eastAsia="zh-CN"/>
        </w:rPr>
        <w:t>中标折扣率</w:t>
      </w:r>
      <w:r>
        <w:rPr>
          <w:rFonts w:hint="eastAsia" w:ascii="新宋体" w:hAnsi="新宋体" w:eastAsia="新宋体" w:cs="新宋体"/>
          <w:color w:val="auto"/>
          <w:sz w:val="22"/>
          <w:szCs w:val="22"/>
          <w:highlight w:val="none"/>
          <w:u w:val="single"/>
        </w:rPr>
        <w:t>进行结算。报价包含完成图书供应、</w:t>
      </w:r>
      <w:r>
        <w:rPr>
          <w:rFonts w:hint="eastAsia" w:ascii="新宋体" w:hAnsi="新宋体" w:eastAsia="新宋体" w:cs="新宋体"/>
          <w:color w:val="auto"/>
          <w:sz w:val="22"/>
          <w:szCs w:val="22"/>
          <w:highlight w:val="none"/>
          <w:u w:val="single"/>
          <w:lang w:val="en-US" w:eastAsia="zh-CN"/>
        </w:rPr>
        <w:t>加工、</w:t>
      </w:r>
      <w:r>
        <w:rPr>
          <w:rFonts w:hint="eastAsia" w:ascii="新宋体" w:hAnsi="新宋体" w:eastAsia="新宋体" w:cs="新宋体"/>
          <w:color w:val="auto"/>
          <w:sz w:val="22"/>
          <w:szCs w:val="22"/>
          <w:highlight w:val="none"/>
          <w:u w:val="single"/>
        </w:rPr>
        <w:t>上架及完成本项目全部采购内容所需的费用。</w:t>
      </w:r>
    </w:p>
    <w:p w14:paraId="71E38BA6">
      <w:pPr>
        <w:tabs>
          <w:tab w:val="left" w:pos="0"/>
        </w:tabs>
        <w:spacing w:line="440" w:lineRule="exact"/>
        <w:ind w:firstLine="440" w:firstLineChars="200"/>
        <w:jc w:val="left"/>
        <w:rPr>
          <w:rFonts w:hint="eastAsia" w:ascii="新宋体" w:hAnsi="新宋体" w:eastAsia="新宋体" w:cs="新宋体"/>
          <w:color w:val="auto"/>
          <w:sz w:val="22"/>
          <w:szCs w:val="22"/>
          <w:highlight w:val="none"/>
          <w:u w:val="single"/>
          <w:lang w:val="en-US" w:eastAsia="zh-CN"/>
        </w:rPr>
      </w:pPr>
      <w:r>
        <w:rPr>
          <w:rFonts w:hint="eastAsia" w:ascii="新宋体" w:hAnsi="新宋体" w:eastAsia="新宋体" w:cs="新宋体"/>
          <w:color w:val="auto"/>
          <w:sz w:val="22"/>
          <w:szCs w:val="22"/>
          <w:highlight w:val="none"/>
          <w:u w:val="single"/>
          <w:lang w:val="en-US" w:eastAsia="zh-CN"/>
        </w:rPr>
        <w:t>▲2.</w:t>
      </w:r>
      <w:r>
        <w:rPr>
          <w:rFonts w:hint="eastAsia" w:ascii="新宋体" w:hAnsi="新宋体" w:eastAsia="新宋体" w:cs="新宋体"/>
          <w:color w:val="auto"/>
          <w:sz w:val="22"/>
          <w:szCs w:val="22"/>
          <w:highlight w:val="none"/>
          <w:u w:val="single"/>
        </w:rPr>
        <w:t>图书平均报价折扣率</w:t>
      </w:r>
      <w:r>
        <w:rPr>
          <w:rFonts w:hint="eastAsia" w:ascii="新宋体" w:hAnsi="新宋体" w:eastAsia="新宋体" w:cs="新宋体"/>
          <w:color w:val="auto"/>
          <w:sz w:val="22"/>
          <w:szCs w:val="22"/>
          <w:highlight w:val="none"/>
          <w:u w:val="single"/>
          <w:lang w:val="en-US" w:eastAsia="zh-CN"/>
        </w:rPr>
        <w:t>最高限价为50%（5折），最终报价超过50%（5折）的作无效标处理。</w:t>
      </w:r>
    </w:p>
    <w:p w14:paraId="7FF81AB9">
      <w:pPr>
        <w:tabs>
          <w:tab w:val="left" w:pos="0"/>
        </w:tabs>
        <w:spacing w:line="440" w:lineRule="exact"/>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本次招标涉及龙湾区所属多所学校，要求供应商送货到各个学校。各个送货地点路途较远、较为分散，供应商报价应充分考虑送货与编目等所有工作的风险。</w:t>
      </w:r>
    </w:p>
    <w:p w14:paraId="403AC04F">
      <w:pPr>
        <w:tabs>
          <w:tab w:val="left" w:pos="0"/>
        </w:tabs>
        <w:spacing w:line="440" w:lineRule="exact"/>
        <w:ind w:firstLine="440" w:firstLineChars="200"/>
        <w:jc w:val="left"/>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lang w:val="en-US" w:eastAsia="zh-CN"/>
        </w:rPr>
        <w:t>4.付款方式：签订合同后具备实施条件后支付预算金额的40%预付款，剩余款项在验收合格、资金到位后支付。</w:t>
      </w:r>
    </w:p>
    <w:p w14:paraId="10F7FECB">
      <w:pPr>
        <w:tabs>
          <w:tab w:val="left" w:pos="0"/>
        </w:tabs>
        <w:spacing w:line="440" w:lineRule="exact"/>
        <w:ind w:firstLine="440" w:firstLineChars="200"/>
        <w:jc w:val="left"/>
        <w:rPr>
          <w:rFonts w:hint="eastAsia" w:ascii="新宋体" w:hAnsi="新宋体" w:eastAsia="新宋体" w:cs="新宋体"/>
          <w:i w:val="0"/>
          <w:iCs w:val="0"/>
          <w:color w:val="auto"/>
          <w:sz w:val="22"/>
          <w:szCs w:val="22"/>
          <w:highlight w:val="none"/>
          <w:lang w:val="en-US" w:eastAsia="zh-CN"/>
        </w:rPr>
      </w:pPr>
      <w:r>
        <w:rPr>
          <w:rFonts w:hint="eastAsia" w:ascii="新宋体" w:hAnsi="新宋体" w:eastAsia="新宋体" w:cs="新宋体"/>
          <w:i w:val="0"/>
          <w:iCs w:val="0"/>
          <w:color w:val="auto"/>
          <w:sz w:val="22"/>
          <w:szCs w:val="22"/>
          <w:highlight w:val="none"/>
          <w:lang w:val="en-US" w:eastAsia="zh-CN"/>
        </w:rPr>
        <w:t>4.1.付款比例在付款过程中可能会根据财政的实际资金安排进行细微调整，具体金额在签订合同中明确。</w:t>
      </w:r>
    </w:p>
    <w:p w14:paraId="3D4F50A0">
      <w:pPr>
        <w:tabs>
          <w:tab w:val="left" w:pos="0"/>
        </w:tabs>
        <w:spacing w:line="440" w:lineRule="exact"/>
        <w:ind w:firstLine="440" w:firstLineChars="200"/>
        <w:jc w:val="left"/>
        <w:rPr>
          <w:rFonts w:hint="eastAsia" w:ascii="新宋体" w:hAnsi="新宋体" w:eastAsia="新宋体" w:cs="新宋体"/>
          <w:i w:val="0"/>
          <w:iCs w:val="0"/>
          <w:color w:val="auto"/>
          <w:sz w:val="22"/>
          <w:szCs w:val="22"/>
          <w:highlight w:val="none"/>
          <w:lang w:val="en-US" w:eastAsia="zh-CN"/>
        </w:rPr>
      </w:pPr>
      <w:r>
        <w:rPr>
          <w:rFonts w:hint="eastAsia" w:ascii="新宋体" w:hAnsi="新宋体" w:eastAsia="新宋体" w:cs="新宋体"/>
          <w:i w:val="0"/>
          <w:iCs w:val="0"/>
          <w:color w:val="auto"/>
          <w:sz w:val="22"/>
          <w:szCs w:val="22"/>
          <w:highlight w:val="none"/>
          <w:lang w:val="en-US" w:eastAsia="zh-CN"/>
        </w:rPr>
        <w:t>4.2根据浙江省财政厅文件《浙江省财政厅关于进一步发挥政府采购政策功能全力推动经济稳进提质的通知》（浙财采监〔2022〕3号）的规定“在签订合同时，供应商明确表示无需预付款或者主动要求降低预付款比例的，采购单位可不适用前述规定”。</w:t>
      </w:r>
    </w:p>
    <w:p w14:paraId="0C59CF04">
      <w:pPr>
        <w:tabs>
          <w:tab w:val="left" w:pos="0"/>
        </w:tabs>
        <w:spacing w:line="440" w:lineRule="exact"/>
        <w:ind w:firstLine="440" w:firstLineChars="200"/>
        <w:jc w:val="left"/>
        <w:rPr>
          <w:rFonts w:hint="eastAsia" w:ascii="新宋体" w:hAnsi="新宋体" w:eastAsia="新宋体" w:cs="新宋体"/>
          <w:i w:val="0"/>
          <w:iCs w:val="0"/>
          <w:color w:val="auto"/>
          <w:sz w:val="22"/>
          <w:szCs w:val="22"/>
          <w:highlight w:val="none"/>
          <w:lang w:val="en-US" w:eastAsia="zh-CN"/>
        </w:rPr>
      </w:pPr>
      <w:r>
        <w:rPr>
          <w:rFonts w:hint="eastAsia" w:ascii="新宋体" w:hAnsi="新宋体" w:eastAsia="新宋体" w:cs="新宋体"/>
          <w:i w:val="0"/>
          <w:iCs w:val="0"/>
          <w:color w:val="auto"/>
          <w:sz w:val="22"/>
          <w:szCs w:val="22"/>
          <w:highlight w:val="none"/>
          <w:lang w:val="en-US" w:eastAsia="zh-CN"/>
        </w:rPr>
        <w:t>4.3对于满足合同支付约定条件的，采购人于收到中标供应商开具的正式税务发票后7个工作日内予以支付相应合同价款，具体视财政资金到位情况为准，由违约或验收结果引起的经济扣款，直接在服务费中扣除。</w:t>
      </w:r>
    </w:p>
    <w:p w14:paraId="2AECEF3B">
      <w:pPr>
        <w:tabs>
          <w:tab w:val="left" w:pos="0"/>
        </w:tabs>
        <w:spacing w:line="440" w:lineRule="exact"/>
        <w:ind w:firstLine="442" w:firstLineChars="200"/>
        <w:jc w:val="left"/>
        <w:rPr>
          <w:rFonts w:hint="eastAsia" w:ascii="宋体" w:hAnsi="宋体" w:eastAsia="宋体" w:cs="宋体"/>
          <w:b/>
          <w:bCs/>
          <w:i w:val="0"/>
          <w:iCs w:val="0"/>
          <w:color w:val="auto"/>
          <w:sz w:val="20"/>
          <w:szCs w:val="20"/>
          <w:highlight w:val="none"/>
          <w:lang w:val="en-US" w:eastAsia="zh-CN"/>
        </w:rPr>
      </w:pPr>
      <w:r>
        <w:rPr>
          <w:rFonts w:hint="eastAsia" w:ascii="新宋体" w:hAnsi="新宋体" w:eastAsia="新宋体" w:cs="新宋体"/>
          <w:b/>
          <w:bCs/>
          <w:i w:val="0"/>
          <w:iCs w:val="0"/>
          <w:color w:val="auto"/>
          <w:sz w:val="22"/>
          <w:szCs w:val="22"/>
          <w:highlight w:val="none"/>
          <w:lang w:val="en-US" w:eastAsia="zh-CN"/>
        </w:rPr>
        <w:t>4.4本项目的经费由政府拨款，如因政策影响，拨款未能及时到位，中标供应商不得以此为由而不履行本项目规定的义务。如因财政资金拨付原因，预付款可能会延缓支付或不予支付，供应商报价时充分考虑，自行承担垫资风险。</w:t>
      </w:r>
    </w:p>
    <w:p w14:paraId="534F4A2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EA5FEAE">
      <w:pPr>
        <w:pStyle w:val="3"/>
        <w:pageBreakBefore w:val="0"/>
        <w:kinsoku/>
        <w:wordWrap w:val="0"/>
        <w:topLinePunct w:val="0"/>
        <w:bidi w:val="0"/>
        <w:rPr>
          <w:rFonts w:hint="eastAsia" w:ascii="宋体" w:hAnsi="宋体" w:eastAsia="宋体" w:cs="宋体"/>
          <w:color w:val="auto"/>
          <w:highlight w:val="none"/>
        </w:rPr>
      </w:pPr>
      <w:r>
        <w:rPr>
          <w:rFonts w:hint="eastAsia" w:ascii="宋体" w:hAnsi="宋体" w:eastAsia="宋体" w:cs="宋体"/>
          <w:color w:val="auto"/>
          <w:highlight w:val="none"/>
        </w:rPr>
        <w:t>第五部分   评标原则及方法</w:t>
      </w:r>
    </w:p>
    <w:p w14:paraId="56EB2D0E">
      <w:pPr>
        <w:pageBreakBefore w:val="0"/>
        <w:kinsoku/>
        <w:wordWrap w:val="0"/>
        <w:topLinePunct w:val="0"/>
        <w:bidi w:val="0"/>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14:paraId="214CF94C">
      <w:pPr>
        <w:keepNext w:val="0"/>
        <w:keepLines w:val="0"/>
        <w:pageBreakBefore w:val="0"/>
        <w:widowControl w:val="0"/>
        <w:kinsoku/>
        <w:wordWrap w:val="0"/>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一、总 则</w:t>
      </w:r>
    </w:p>
    <w:p w14:paraId="544A23A3">
      <w:pPr>
        <w:pageBreakBefore w:val="0"/>
        <w:kinsoku/>
        <w:wordWrap w:val="0"/>
        <w:topLinePunct w:val="0"/>
        <w:bidi w:val="0"/>
        <w:spacing w:line="460" w:lineRule="exact"/>
        <w:ind w:firstLine="539" w:firstLineChars="245"/>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4B48FB84">
      <w:pPr>
        <w:keepNext w:val="0"/>
        <w:keepLines w:val="0"/>
        <w:pageBreakBefore w:val="0"/>
        <w:widowControl w:val="0"/>
        <w:kinsoku/>
        <w:wordWrap w:val="0"/>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二、评标组织</w:t>
      </w:r>
    </w:p>
    <w:p w14:paraId="75BE0291">
      <w:pPr>
        <w:pageBreakBefore w:val="0"/>
        <w:kinsoku/>
        <w:wordWrap w:val="0"/>
        <w:topLinePunct w:val="0"/>
        <w:bidi w:val="0"/>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评标工作由招标人组建的评标委员会负责，评标全过程由有关部门指导监督。</w:t>
      </w:r>
    </w:p>
    <w:p w14:paraId="7FBCC5FE">
      <w:pPr>
        <w:keepNext w:val="0"/>
        <w:keepLines w:val="0"/>
        <w:pageBreakBefore w:val="0"/>
        <w:widowControl w:val="0"/>
        <w:kinsoku/>
        <w:wordWrap w:val="0"/>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三、评标程序</w:t>
      </w:r>
    </w:p>
    <w:p w14:paraId="7554EE99">
      <w:pPr>
        <w:pageBreakBefore w:val="0"/>
        <w:kinsoku/>
        <w:wordWrap w:val="0"/>
        <w:topLinePunct w:val="0"/>
        <w:bidi w:val="0"/>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1、评标委员按照招标文件中规定的评标方法和标准，对投标文件进行商务和技术评估，综合比较与评价</w:t>
      </w:r>
      <w:r>
        <w:rPr>
          <w:rFonts w:hint="eastAsia" w:ascii="宋体" w:hAnsi="宋体" w:eastAsia="宋体" w:cs="宋体"/>
          <w:color w:val="auto"/>
          <w:sz w:val="22"/>
          <w:szCs w:val="22"/>
          <w:highlight w:val="none"/>
        </w:rPr>
        <w:t>，根据综合评审结果，提交评审报告。</w:t>
      </w:r>
    </w:p>
    <w:p w14:paraId="5C83B3E7">
      <w:pPr>
        <w:pageBreakBefore w:val="0"/>
        <w:kinsoku/>
        <w:wordWrap w:val="0"/>
        <w:topLinePunct w:val="0"/>
        <w:bidi w:val="0"/>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2、提供相同品牌产品且通过资格审查、符合性审查的不同投标人参加同一合同项下投标的,按一家投标人计算,评审后综合得分最高的同品牌投标人获得中标人推荐资格；综合得分相同的,报价最低一家供应商获得中标人推荐资格；均相同时采取随机抽取方式确认一个投标人获得中标人推荐资格,其他同品牌投标人不作为中标候选人。</w:t>
      </w:r>
    </w:p>
    <w:p w14:paraId="73D45116">
      <w:pPr>
        <w:pageBreakBefore w:val="0"/>
        <w:kinsoku/>
        <w:wordWrap w:val="0"/>
        <w:topLinePunct w:val="0"/>
        <w:bidi w:val="0"/>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非单一产品采购项目，应当根据采购项目技术构成、产品价格比重等合理确定核心产品。多家投标人提供的核心产品品牌相同的，按前款规定处理。</w:t>
      </w:r>
    </w:p>
    <w:p w14:paraId="3B7468E5">
      <w:pPr>
        <w:keepNext w:val="0"/>
        <w:keepLines w:val="0"/>
        <w:pageBreakBefore w:val="0"/>
        <w:widowControl w:val="0"/>
        <w:kinsoku/>
        <w:wordWrap w:val="0"/>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四、评标办法</w:t>
      </w:r>
    </w:p>
    <w:p w14:paraId="768A0BB3">
      <w:pPr>
        <w:pageBreakBefore w:val="0"/>
        <w:kinsoku/>
        <w:wordWrap w:val="0"/>
        <w:topLinePunct w:val="0"/>
        <w:bidi w:val="0"/>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eastAsia="宋体" w:cs="宋体"/>
          <w:b/>
          <w:color w:val="auto"/>
          <w:sz w:val="22"/>
          <w:szCs w:val="22"/>
          <w:highlight w:val="none"/>
        </w:rPr>
        <w:t>总分设定为100分：技术标70分（权值70%），商务标（报价）30分（权值30%）。</w:t>
      </w:r>
    </w:p>
    <w:p w14:paraId="017B6434">
      <w:pPr>
        <w:keepNext w:val="0"/>
        <w:keepLines w:val="0"/>
        <w:pageBreakBefore w:val="0"/>
        <w:widowControl w:val="0"/>
        <w:numPr>
          <w:ilvl w:val="0"/>
          <w:numId w:val="7"/>
        </w:numPr>
        <w:kinsoku/>
        <w:wordWrap w:val="0"/>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评分细则</w:t>
      </w:r>
    </w:p>
    <w:p w14:paraId="293922C1">
      <w:pPr>
        <w:pageBreakBefore w:val="0"/>
        <w:kinsoku/>
        <w:wordWrap w:val="0"/>
        <w:topLinePunct w:val="0"/>
        <w:bidi w:val="0"/>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1、技术分的评定：技术标70分（权值70%）</w:t>
      </w:r>
    </w:p>
    <w:p w14:paraId="661AAE89">
      <w:pPr>
        <w:pageBreakBefore w:val="0"/>
        <w:kinsoku/>
        <w:wordWrap w:val="0"/>
        <w:topLinePunct w:val="0"/>
        <w:bidi w:val="0"/>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hAnsi="宋体" w:eastAsia="宋体" w:cs="宋体"/>
          <w:color w:val="auto"/>
          <w:sz w:val="22"/>
          <w:highlight w:val="none"/>
        </w:rPr>
        <w:t>各评标委员会成员对各投标人的各项评分内容评分的算术平均值为各投标人技术分得分</w:t>
      </w:r>
      <w:r>
        <w:rPr>
          <w:rFonts w:hint="eastAsia" w:ascii="宋体" w:hAnsi="宋体" w:eastAsia="宋体" w:cs="宋体"/>
          <w:color w:val="auto"/>
          <w:sz w:val="22"/>
          <w:szCs w:val="22"/>
          <w:highlight w:val="none"/>
        </w:rPr>
        <w:t>（小数点后按四舍五入保留2位）。</w:t>
      </w:r>
    </w:p>
    <w:tbl>
      <w:tblPr>
        <w:tblStyle w:val="52"/>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590"/>
        <w:gridCol w:w="952"/>
        <w:gridCol w:w="6509"/>
      </w:tblGrid>
      <w:tr w14:paraId="0876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14:paraId="1A7482C0">
            <w:pPr>
              <w:jc w:val="center"/>
              <w:rPr>
                <w:rFonts w:ascii="宋体" w:eastAsia="宋体"/>
                <w:b/>
                <w:bCs/>
                <w:color w:val="auto"/>
                <w:kern w:val="0"/>
                <w:sz w:val="22"/>
                <w:highlight w:val="none"/>
              </w:rPr>
            </w:pPr>
            <w:r>
              <w:rPr>
                <w:rFonts w:hint="eastAsia" w:ascii="宋体" w:eastAsia="宋体"/>
                <w:b/>
                <w:bCs/>
                <w:color w:val="auto"/>
                <w:sz w:val="22"/>
                <w:highlight w:val="none"/>
              </w:rPr>
              <w:t>序号</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7CC54D4F">
            <w:pPr>
              <w:jc w:val="center"/>
              <w:rPr>
                <w:rFonts w:hint="eastAsia" w:ascii="宋体" w:eastAsia="宋体"/>
                <w:b/>
                <w:bCs/>
                <w:color w:val="auto"/>
                <w:sz w:val="22"/>
                <w:highlight w:val="none"/>
              </w:rPr>
            </w:pPr>
            <w:r>
              <w:rPr>
                <w:rFonts w:hint="eastAsia" w:ascii="宋体" w:eastAsia="宋体"/>
                <w:b/>
                <w:bCs/>
                <w:color w:val="auto"/>
                <w:sz w:val="22"/>
                <w:highlight w:val="none"/>
              </w:rPr>
              <w:t>评分内容</w:t>
            </w:r>
          </w:p>
        </w:tc>
        <w:tc>
          <w:tcPr>
            <w:tcW w:w="952" w:type="dxa"/>
            <w:tcBorders>
              <w:top w:val="single" w:color="auto" w:sz="4" w:space="0"/>
              <w:left w:val="single" w:color="auto" w:sz="4" w:space="0"/>
              <w:bottom w:val="single" w:color="auto" w:sz="4" w:space="0"/>
              <w:right w:val="single" w:color="auto" w:sz="4" w:space="0"/>
            </w:tcBorders>
            <w:noWrap w:val="0"/>
            <w:vAlign w:val="center"/>
          </w:tcPr>
          <w:p w14:paraId="741573F4">
            <w:pPr>
              <w:jc w:val="center"/>
              <w:rPr>
                <w:rFonts w:hint="eastAsia" w:ascii="宋体" w:eastAsia="宋体"/>
                <w:b/>
                <w:bCs/>
                <w:color w:val="auto"/>
                <w:sz w:val="22"/>
                <w:highlight w:val="none"/>
              </w:rPr>
            </w:pPr>
            <w:r>
              <w:rPr>
                <w:rFonts w:hint="eastAsia" w:ascii="宋体" w:eastAsia="宋体"/>
                <w:b/>
                <w:bCs/>
                <w:color w:val="auto"/>
                <w:sz w:val="22"/>
                <w:highlight w:val="none"/>
              </w:rPr>
              <w:t>分值</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1CE3601F">
            <w:pPr>
              <w:jc w:val="center"/>
              <w:rPr>
                <w:rFonts w:hint="eastAsia" w:ascii="宋体" w:eastAsia="宋体"/>
                <w:b/>
                <w:bCs/>
                <w:color w:val="auto"/>
                <w:sz w:val="22"/>
                <w:highlight w:val="none"/>
              </w:rPr>
            </w:pPr>
            <w:r>
              <w:rPr>
                <w:rFonts w:hint="eastAsia" w:ascii="宋体" w:eastAsia="宋体"/>
                <w:b/>
                <w:bCs/>
                <w:color w:val="auto"/>
                <w:sz w:val="22"/>
                <w:highlight w:val="none"/>
              </w:rPr>
              <w:t>评分标准及说明（评审因素）</w:t>
            </w:r>
          </w:p>
        </w:tc>
      </w:tr>
      <w:tr w14:paraId="5CAF5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jc w:val="center"/>
        </w:trPr>
        <w:tc>
          <w:tcPr>
            <w:tcW w:w="646" w:type="dxa"/>
            <w:vMerge w:val="restart"/>
            <w:tcBorders>
              <w:top w:val="single" w:color="auto" w:sz="4" w:space="0"/>
              <w:left w:val="single" w:color="auto" w:sz="4" w:space="0"/>
              <w:right w:val="single" w:color="auto" w:sz="4" w:space="0"/>
            </w:tcBorders>
            <w:noWrap w:val="0"/>
            <w:vAlign w:val="center"/>
          </w:tcPr>
          <w:p w14:paraId="58B6259F">
            <w:pPr>
              <w:spacing w:line="360" w:lineRule="auto"/>
              <w:jc w:val="center"/>
              <w:rPr>
                <w:rFonts w:hint="eastAsia" w:ascii="宋体" w:eastAsia="宋体"/>
                <w:b w:val="0"/>
                <w:color w:val="auto"/>
                <w:sz w:val="22"/>
                <w:highlight w:val="none"/>
              </w:rPr>
            </w:pPr>
            <w:r>
              <w:rPr>
                <w:rFonts w:hint="eastAsia" w:ascii="宋体" w:eastAsia="宋体"/>
                <w:b w:val="0"/>
                <w:color w:val="auto"/>
                <w:sz w:val="22"/>
                <w:highlight w:val="none"/>
              </w:rPr>
              <w:t>1</w:t>
            </w:r>
          </w:p>
        </w:tc>
        <w:tc>
          <w:tcPr>
            <w:tcW w:w="1590" w:type="dxa"/>
            <w:vMerge w:val="restart"/>
            <w:tcBorders>
              <w:top w:val="single" w:color="auto" w:sz="4" w:space="0"/>
              <w:left w:val="single" w:color="auto" w:sz="4" w:space="0"/>
              <w:right w:val="single" w:color="auto" w:sz="4" w:space="0"/>
            </w:tcBorders>
            <w:noWrap w:val="0"/>
            <w:vAlign w:val="center"/>
          </w:tcPr>
          <w:p w14:paraId="2A2B0FF9">
            <w:pPr>
              <w:spacing w:line="360" w:lineRule="auto"/>
              <w:jc w:val="center"/>
              <w:rPr>
                <w:rFonts w:hint="eastAsia" w:ascii="宋体" w:eastAsia="宋体"/>
                <w:b w:val="0"/>
                <w:color w:val="auto"/>
                <w:sz w:val="22"/>
                <w:highlight w:val="none"/>
                <w:lang w:eastAsia="zh-CN"/>
              </w:rPr>
            </w:pPr>
            <w:r>
              <w:rPr>
                <w:rFonts w:hint="eastAsia" w:ascii="宋体" w:eastAsia="宋体"/>
                <w:b w:val="0"/>
                <w:color w:val="auto"/>
                <w:sz w:val="22"/>
                <w:highlight w:val="none"/>
              </w:rPr>
              <w:t>供应商</w:t>
            </w:r>
            <w:r>
              <w:rPr>
                <w:rFonts w:hint="eastAsia" w:ascii="宋体" w:eastAsia="宋体"/>
                <w:b w:val="0"/>
                <w:color w:val="auto"/>
                <w:sz w:val="22"/>
                <w:highlight w:val="none"/>
                <w:lang w:val="en-US" w:eastAsia="zh-CN"/>
              </w:rPr>
              <w:t>履约能力</w:t>
            </w:r>
          </w:p>
        </w:tc>
        <w:tc>
          <w:tcPr>
            <w:tcW w:w="952" w:type="dxa"/>
            <w:tcBorders>
              <w:top w:val="single" w:color="auto" w:sz="4" w:space="0"/>
              <w:left w:val="single" w:color="auto" w:sz="4" w:space="0"/>
              <w:right w:val="single" w:color="auto" w:sz="4" w:space="0"/>
            </w:tcBorders>
            <w:noWrap w:val="0"/>
            <w:vAlign w:val="center"/>
          </w:tcPr>
          <w:p w14:paraId="08FC9E8E">
            <w:pPr>
              <w:spacing w:line="360" w:lineRule="auto"/>
              <w:jc w:val="center"/>
              <w:rPr>
                <w:rFonts w:hint="eastAsia" w:ascii="宋体" w:eastAsia="宋体"/>
                <w:b w:val="0"/>
                <w:color w:val="auto"/>
                <w:sz w:val="22"/>
                <w:highlight w:val="none"/>
              </w:rPr>
            </w:pPr>
            <w:r>
              <w:rPr>
                <w:rFonts w:hint="eastAsia" w:ascii="宋体"/>
                <w:b w:val="0"/>
                <w:color w:val="auto"/>
                <w:sz w:val="22"/>
                <w:highlight w:val="none"/>
                <w:lang w:val="en-US" w:eastAsia="zh-CN"/>
              </w:rPr>
              <w:t>3</w:t>
            </w:r>
            <w:r>
              <w:rPr>
                <w:rFonts w:hint="eastAsia" w:ascii="宋体" w:eastAsia="宋体"/>
                <w:b w:val="0"/>
                <w:color w:val="auto"/>
                <w:sz w:val="22"/>
                <w:highlight w:val="none"/>
              </w:rPr>
              <w:t>分</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0A5693F8">
            <w:pPr>
              <w:spacing w:line="360" w:lineRule="auto"/>
              <w:rPr>
                <w:rFonts w:hint="eastAsia" w:ascii="宋体" w:eastAsia="宋体"/>
                <w:b w:val="0"/>
                <w:color w:val="auto"/>
                <w:sz w:val="22"/>
                <w:highlight w:val="none"/>
              </w:rPr>
            </w:pPr>
            <w:r>
              <w:rPr>
                <w:rFonts w:hint="eastAsia" w:ascii="宋体" w:eastAsia="宋体"/>
                <w:b w:val="0"/>
                <w:color w:val="auto"/>
                <w:sz w:val="22"/>
                <w:highlight w:val="none"/>
              </w:rPr>
              <w:t>1</w:t>
            </w:r>
            <w:r>
              <w:rPr>
                <w:rFonts w:hint="eastAsia" w:ascii="宋体" w:eastAsia="宋体"/>
                <w:b w:val="0"/>
                <w:color w:val="auto"/>
                <w:sz w:val="22"/>
                <w:highlight w:val="none"/>
                <w:lang w:val="en-US" w:eastAsia="zh-CN"/>
              </w:rPr>
              <w:t>.</w:t>
            </w:r>
            <w:r>
              <w:rPr>
                <w:rFonts w:hint="eastAsia" w:ascii="宋体" w:eastAsia="宋体"/>
                <w:b w:val="0"/>
                <w:color w:val="auto"/>
                <w:sz w:val="22"/>
                <w:highlight w:val="none"/>
              </w:rPr>
              <w:t>供应商具有质量管理体系认证证书的得1分；</w:t>
            </w:r>
          </w:p>
          <w:p w14:paraId="21EC5A5F">
            <w:pPr>
              <w:spacing w:line="360" w:lineRule="auto"/>
              <w:rPr>
                <w:rFonts w:hint="eastAsia" w:ascii="宋体" w:eastAsia="宋体"/>
                <w:b w:val="0"/>
                <w:color w:val="auto"/>
                <w:sz w:val="22"/>
                <w:highlight w:val="none"/>
              </w:rPr>
            </w:pPr>
            <w:r>
              <w:rPr>
                <w:rFonts w:hint="eastAsia" w:ascii="宋体" w:eastAsia="宋体"/>
                <w:b w:val="0"/>
                <w:color w:val="auto"/>
                <w:sz w:val="22"/>
                <w:highlight w:val="none"/>
              </w:rPr>
              <w:t>2</w:t>
            </w:r>
            <w:r>
              <w:rPr>
                <w:rFonts w:hint="eastAsia" w:ascii="宋体" w:eastAsia="宋体"/>
                <w:b w:val="0"/>
                <w:color w:val="auto"/>
                <w:sz w:val="22"/>
                <w:highlight w:val="none"/>
                <w:lang w:eastAsia="zh-CN"/>
              </w:rPr>
              <w:t>.</w:t>
            </w:r>
            <w:r>
              <w:rPr>
                <w:rFonts w:hint="eastAsia" w:ascii="宋体" w:eastAsia="宋体"/>
                <w:b w:val="0"/>
                <w:color w:val="auto"/>
                <w:sz w:val="22"/>
                <w:highlight w:val="none"/>
              </w:rPr>
              <w:t>供应商具有环境管理体系认证证书的得1分；</w:t>
            </w:r>
          </w:p>
          <w:p w14:paraId="03DE2D1B">
            <w:pPr>
              <w:spacing w:line="360" w:lineRule="auto"/>
              <w:rPr>
                <w:rFonts w:hint="eastAsia" w:ascii="宋体" w:eastAsia="宋体"/>
                <w:b w:val="0"/>
                <w:color w:val="auto"/>
                <w:sz w:val="22"/>
                <w:highlight w:val="none"/>
              </w:rPr>
            </w:pPr>
            <w:r>
              <w:rPr>
                <w:rFonts w:hint="eastAsia" w:ascii="宋体" w:eastAsia="宋体"/>
                <w:b w:val="0"/>
                <w:color w:val="auto"/>
                <w:sz w:val="22"/>
                <w:highlight w:val="none"/>
              </w:rPr>
              <w:t>3</w:t>
            </w:r>
            <w:r>
              <w:rPr>
                <w:rFonts w:hint="eastAsia" w:ascii="宋体" w:eastAsia="宋体"/>
                <w:b w:val="0"/>
                <w:color w:val="auto"/>
                <w:sz w:val="22"/>
                <w:highlight w:val="none"/>
                <w:lang w:eastAsia="zh-CN"/>
              </w:rPr>
              <w:t>.</w:t>
            </w:r>
            <w:r>
              <w:rPr>
                <w:rFonts w:hint="eastAsia" w:ascii="宋体" w:eastAsia="宋体"/>
                <w:b w:val="0"/>
                <w:color w:val="auto"/>
                <w:sz w:val="22"/>
                <w:highlight w:val="none"/>
              </w:rPr>
              <w:t>供应商具有职业健康安全管理体系认证证书的得1分。</w:t>
            </w:r>
          </w:p>
          <w:p w14:paraId="6D94739B">
            <w:pPr>
              <w:spacing w:line="360" w:lineRule="auto"/>
              <w:rPr>
                <w:rFonts w:hint="default" w:ascii="宋体" w:eastAsia="宋体"/>
                <w:b w:val="0"/>
                <w:color w:val="auto"/>
                <w:sz w:val="22"/>
                <w:highlight w:val="none"/>
                <w:lang w:val="en-US" w:eastAsia="zh-CN"/>
              </w:rPr>
            </w:pPr>
            <w:r>
              <w:rPr>
                <w:rFonts w:hint="eastAsia" w:ascii="宋体" w:eastAsia="宋体"/>
                <w:b w:val="0"/>
                <w:color w:val="auto"/>
                <w:sz w:val="22"/>
                <w:highlight w:val="none"/>
              </w:rPr>
              <w:t>（提供相关证书扫描件并加盖投标供应商公章，证书须在有效期内）</w:t>
            </w:r>
          </w:p>
        </w:tc>
      </w:tr>
      <w:tr w14:paraId="61894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646" w:type="dxa"/>
            <w:vMerge w:val="continue"/>
            <w:tcBorders>
              <w:left w:val="single" w:color="auto" w:sz="4" w:space="0"/>
              <w:bottom w:val="single" w:color="auto" w:sz="4" w:space="0"/>
              <w:right w:val="single" w:color="auto" w:sz="4" w:space="0"/>
            </w:tcBorders>
            <w:noWrap w:val="0"/>
            <w:vAlign w:val="center"/>
          </w:tcPr>
          <w:p w14:paraId="1EE697BF">
            <w:pPr>
              <w:spacing w:line="360" w:lineRule="auto"/>
              <w:jc w:val="center"/>
              <w:rPr>
                <w:rFonts w:hint="eastAsia" w:ascii="宋体" w:eastAsia="宋体"/>
                <w:b w:val="0"/>
                <w:color w:val="auto"/>
                <w:sz w:val="22"/>
                <w:highlight w:val="none"/>
              </w:rPr>
            </w:pPr>
          </w:p>
        </w:tc>
        <w:tc>
          <w:tcPr>
            <w:tcW w:w="1590" w:type="dxa"/>
            <w:vMerge w:val="continue"/>
            <w:tcBorders>
              <w:left w:val="single" w:color="auto" w:sz="4" w:space="0"/>
              <w:bottom w:val="single" w:color="auto" w:sz="4" w:space="0"/>
              <w:right w:val="single" w:color="auto" w:sz="4" w:space="0"/>
            </w:tcBorders>
            <w:noWrap w:val="0"/>
            <w:vAlign w:val="center"/>
          </w:tcPr>
          <w:p w14:paraId="546287D4">
            <w:pPr>
              <w:spacing w:line="360" w:lineRule="auto"/>
              <w:jc w:val="center"/>
              <w:rPr>
                <w:rFonts w:hint="eastAsia" w:ascii="宋体" w:eastAsia="宋体"/>
                <w:b w:val="0"/>
                <w:color w:val="auto"/>
                <w:sz w:val="22"/>
                <w:highlight w:val="none"/>
              </w:rPr>
            </w:pPr>
          </w:p>
        </w:tc>
        <w:tc>
          <w:tcPr>
            <w:tcW w:w="952" w:type="dxa"/>
            <w:tcBorders>
              <w:left w:val="single" w:color="auto" w:sz="4" w:space="0"/>
              <w:bottom w:val="single" w:color="auto" w:sz="4" w:space="0"/>
              <w:right w:val="single" w:color="auto" w:sz="4" w:space="0"/>
            </w:tcBorders>
            <w:noWrap w:val="0"/>
            <w:vAlign w:val="center"/>
          </w:tcPr>
          <w:p w14:paraId="2E08B3BC">
            <w:pPr>
              <w:spacing w:line="360" w:lineRule="auto"/>
              <w:jc w:val="center"/>
              <w:rPr>
                <w:rFonts w:hint="eastAsia" w:ascii="宋体" w:eastAsia="宋体"/>
                <w:b w:val="0"/>
                <w:color w:val="auto"/>
                <w:sz w:val="22"/>
                <w:highlight w:val="none"/>
                <w:lang w:val="en-US" w:eastAsia="zh-CN"/>
              </w:rPr>
            </w:pPr>
            <w:r>
              <w:rPr>
                <w:rFonts w:hint="eastAsia" w:ascii="宋体"/>
                <w:b w:val="0"/>
                <w:color w:val="auto"/>
                <w:sz w:val="22"/>
                <w:highlight w:val="none"/>
                <w:lang w:val="en-US" w:eastAsia="zh-CN"/>
              </w:rPr>
              <w:t>3</w:t>
            </w:r>
            <w:r>
              <w:rPr>
                <w:rFonts w:hint="eastAsia" w:ascii="宋体" w:eastAsia="宋体"/>
                <w:b w:val="0"/>
                <w:color w:val="auto"/>
                <w:sz w:val="22"/>
                <w:highlight w:val="none"/>
              </w:rPr>
              <w:t>分</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15C34D19">
            <w:pPr>
              <w:spacing w:line="360" w:lineRule="auto"/>
              <w:rPr>
                <w:rFonts w:hint="eastAsia" w:ascii="宋体" w:eastAsia="宋体"/>
                <w:b w:val="0"/>
                <w:color w:val="auto"/>
                <w:sz w:val="22"/>
                <w:highlight w:val="none"/>
              </w:rPr>
            </w:pPr>
            <w:r>
              <w:rPr>
                <w:rFonts w:hint="eastAsia" w:ascii="宋体" w:eastAsia="宋体"/>
                <w:b w:val="0"/>
                <w:color w:val="auto"/>
                <w:sz w:val="22"/>
                <w:highlight w:val="none"/>
              </w:rPr>
              <w:t>4.根据投标供应商</w:t>
            </w:r>
            <w:r>
              <w:rPr>
                <w:rFonts w:hint="eastAsia" w:ascii="宋体"/>
                <w:b w:val="0"/>
                <w:color w:val="auto"/>
                <w:sz w:val="22"/>
                <w:highlight w:val="none"/>
                <w:lang w:val="en-US" w:eastAsia="zh-CN"/>
              </w:rPr>
              <w:t>与项目相关的</w:t>
            </w:r>
            <w:r>
              <w:rPr>
                <w:rFonts w:hint="eastAsia" w:ascii="宋体" w:eastAsia="宋体"/>
                <w:b w:val="0"/>
                <w:color w:val="auto"/>
                <w:sz w:val="22"/>
                <w:highlight w:val="none"/>
              </w:rPr>
              <w:t>资信、荣誉、获奖等情况由评委进行打分。</w:t>
            </w:r>
            <w:r>
              <w:rPr>
                <w:rFonts w:hint="eastAsia" w:ascii="宋体"/>
                <w:b w:val="0"/>
                <w:color w:val="auto"/>
                <w:sz w:val="22"/>
                <w:highlight w:val="none"/>
                <w:lang w:val="en-US" w:eastAsia="zh-CN"/>
              </w:rPr>
              <w:t>评分范围（3、2、1、0分）</w:t>
            </w:r>
          </w:p>
        </w:tc>
      </w:tr>
      <w:tr w14:paraId="2114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14:paraId="3F21C13E">
            <w:pPr>
              <w:spacing w:line="360" w:lineRule="auto"/>
              <w:jc w:val="center"/>
              <w:rPr>
                <w:rFonts w:hint="eastAsia" w:ascii="宋体" w:eastAsia="宋体"/>
                <w:b w:val="0"/>
                <w:color w:val="auto"/>
                <w:sz w:val="22"/>
                <w:highlight w:val="none"/>
              </w:rPr>
            </w:pPr>
            <w:r>
              <w:rPr>
                <w:rFonts w:hint="eastAsia" w:ascii="宋体" w:eastAsia="宋体"/>
                <w:b w:val="0"/>
                <w:color w:val="auto"/>
                <w:sz w:val="22"/>
                <w:highlight w:val="none"/>
              </w:rPr>
              <w:t>2</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4878E1B2">
            <w:pPr>
              <w:spacing w:line="360" w:lineRule="auto"/>
              <w:jc w:val="center"/>
              <w:rPr>
                <w:rFonts w:hint="eastAsia" w:ascii="宋体" w:eastAsia="宋体"/>
                <w:b w:val="0"/>
                <w:color w:val="auto"/>
                <w:sz w:val="22"/>
                <w:highlight w:val="none"/>
              </w:rPr>
            </w:pPr>
            <w:r>
              <w:rPr>
                <w:rFonts w:hint="eastAsia" w:ascii="宋体" w:eastAsia="宋体"/>
                <w:b w:val="0"/>
                <w:color w:val="auto"/>
                <w:sz w:val="22"/>
                <w:highlight w:val="none"/>
                <w:lang w:val="en-US" w:eastAsia="zh-CN"/>
              </w:rPr>
              <w:t>投标人</w:t>
            </w:r>
            <w:r>
              <w:rPr>
                <w:rFonts w:hint="eastAsia" w:ascii="宋体" w:eastAsia="宋体"/>
                <w:b w:val="0"/>
                <w:color w:val="auto"/>
                <w:sz w:val="22"/>
                <w:highlight w:val="none"/>
              </w:rPr>
              <w:t>业绩</w:t>
            </w:r>
          </w:p>
        </w:tc>
        <w:tc>
          <w:tcPr>
            <w:tcW w:w="952" w:type="dxa"/>
            <w:tcBorders>
              <w:top w:val="single" w:color="auto" w:sz="4" w:space="0"/>
              <w:left w:val="single" w:color="auto" w:sz="4" w:space="0"/>
              <w:bottom w:val="single" w:color="auto" w:sz="4" w:space="0"/>
              <w:right w:val="single" w:color="auto" w:sz="4" w:space="0"/>
            </w:tcBorders>
            <w:noWrap w:val="0"/>
            <w:vAlign w:val="center"/>
          </w:tcPr>
          <w:p w14:paraId="4AF85140">
            <w:pPr>
              <w:spacing w:line="360" w:lineRule="auto"/>
              <w:jc w:val="center"/>
              <w:rPr>
                <w:rFonts w:hint="eastAsia" w:ascii="宋体" w:eastAsia="宋体"/>
                <w:b w:val="0"/>
                <w:color w:val="auto"/>
                <w:sz w:val="22"/>
                <w:highlight w:val="none"/>
              </w:rPr>
            </w:pPr>
            <w:r>
              <w:rPr>
                <w:rFonts w:ascii="宋体" w:eastAsia="宋体"/>
                <w:b w:val="0"/>
                <w:color w:val="auto"/>
                <w:sz w:val="22"/>
                <w:highlight w:val="none"/>
              </w:rPr>
              <w:t>3</w:t>
            </w:r>
            <w:r>
              <w:rPr>
                <w:rFonts w:hint="eastAsia" w:ascii="宋体" w:eastAsia="宋体"/>
                <w:b w:val="0"/>
                <w:color w:val="auto"/>
                <w:sz w:val="22"/>
                <w:highlight w:val="none"/>
              </w:rPr>
              <w:t>分</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35834DEB">
            <w:pPr>
              <w:spacing w:line="360" w:lineRule="auto"/>
              <w:rPr>
                <w:rFonts w:hint="eastAsia" w:ascii="宋体" w:eastAsia="宋体"/>
                <w:b w:val="0"/>
                <w:color w:val="auto"/>
                <w:sz w:val="22"/>
                <w:highlight w:val="none"/>
              </w:rPr>
            </w:pPr>
            <w:r>
              <w:rPr>
                <w:rFonts w:hint="eastAsia" w:ascii="宋体" w:eastAsia="宋体"/>
                <w:b w:val="0"/>
                <w:color w:val="auto"/>
                <w:sz w:val="22"/>
                <w:highlight w:val="none"/>
              </w:rPr>
              <w:t>根据投标人20</w:t>
            </w:r>
            <w:r>
              <w:rPr>
                <w:rFonts w:ascii="宋体" w:eastAsia="宋体"/>
                <w:b w:val="0"/>
                <w:color w:val="auto"/>
                <w:sz w:val="22"/>
                <w:highlight w:val="none"/>
              </w:rPr>
              <w:t>20</w:t>
            </w:r>
            <w:r>
              <w:rPr>
                <w:rFonts w:hint="eastAsia" w:ascii="宋体" w:eastAsia="宋体"/>
                <w:b w:val="0"/>
                <w:color w:val="auto"/>
                <w:sz w:val="22"/>
                <w:highlight w:val="none"/>
              </w:rPr>
              <w:t>年1月1日至今图书供货业绩，每提供一份有效业绩得1分，最高得</w:t>
            </w:r>
            <w:r>
              <w:rPr>
                <w:rFonts w:ascii="宋体" w:eastAsia="宋体"/>
                <w:b w:val="0"/>
                <w:color w:val="auto"/>
                <w:sz w:val="22"/>
                <w:highlight w:val="none"/>
              </w:rPr>
              <w:t>3</w:t>
            </w:r>
            <w:r>
              <w:rPr>
                <w:rFonts w:hint="eastAsia" w:ascii="宋体" w:eastAsia="宋体"/>
                <w:b w:val="0"/>
                <w:color w:val="auto"/>
                <w:sz w:val="22"/>
                <w:highlight w:val="none"/>
              </w:rPr>
              <w:t>分。业绩有效性认定：提供中标通知书（或发票）、合同和业主评价证明材料（缺一不可），业绩认定时间以合同签订时间为准。</w:t>
            </w:r>
          </w:p>
        </w:tc>
      </w:tr>
      <w:tr w14:paraId="3C835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14:paraId="793FA142">
            <w:pPr>
              <w:spacing w:line="360" w:lineRule="auto"/>
              <w:jc w:val="center"/>
              <w:rPr>
                <w:rFonts w:hint="eastAsia" w:ascii="宋体" w:eastAsia="宋体"/>
                <w:b w:val="0"/>
                <w:color w:val="auto"/>
                <w:sz w:val="22"/>
                <w:highlight w:val="none"/>
              </w:rPr>
            </w:pPr>
            <w:r>
              <w:rPr>
                <w:rFonts w:hint="eastAsia" w:ascii="宋体" w:eastAsia="宋体"/>
                <w:b w:val="0"/>
                <w:color w:val="auto"/>
                <w:sz w:val="22"/>
                <w:highlight w:val="none"/>
              </w:rPr>
              <w:t>3</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3AACC653">
            <w:pPr>
              <w:spacing w:line="360" w:lineRule="auto"/>
              <w:jc w:val="center"/>
              <w:rPr>
                <w:rFonts w:hint="eastAsia" w:ascii="宋体" w:eastAsia="宋体"/>
                <w:b w:val="0"/>
                <w:color w:val="auto"/>
                <w:sz w:val="22"/>
                <w:highlight w:val="none"/>
              </w:rPr>
            </w:pPr>
            <w:r>
              <w:rPr>
                <w:rFonts w:hint="eastAsia" w:ascii="宋体" w:eastAsia="宋体"/>
                <w:b w:val="0"/>
                <w:color w:val="auto"/>
                <w:sz w:val="22"/>
                <w:highlight w:val="none"/>
              </w:rPr>
              <w:t>供货渠道</w:t>
            </w:r>
          </w:p>
        </w:tc>
        <w:tc>
          <w:tcPr>
            <w:tcW w:w="952" w:type="dxa"/>
            <w:tcBorders>
              <w:top w:val="single" w:color="auto" w:sz="4" w:space="0"/>
              <w:left w:val="single" w:color="auto" w:sz="4" w:space="0"/>
              <w:bottom w:val="single" w:color="auto" w:sz="4" w:space="0"/>
              <w:right w:val="single" w:color="auto" w:sz="4" w:space="0"/>
            </w:tcBorders>
            <w:noWrap w:val="0"/>
            <w:vAlign w:val="center"/>
          </w:tcPr>
          <w:p w14:paraId="1B49F9E8">
            <w:pPr>
              <w:spacing w:line="360" w:lineRule="auto"/>
              <w:jc w:val="center"/>
              <w:rPr>
                <w:rFonts w:hint="eastAsia" w:ascii="宋体" w:eastAsia="宋体"/>
                <w:b w:val="0"/>
                <w:color w:val="auto"/>
                <w:sz w:val="22"/>
                <w:highlight w:val="none"/>
              </w:rPr>
            </w:pPr>
            <w:r>
              <w:rPr>
                <w:rFonts w:ascii="宋体" w:eastAsia="宋体"/>
                <w:b w:val="0"/>
                <w:color w:val="auto"/>
                <w:sz w:val="22"/>
                <w:highlight w:val="none"/>
              </w:rPr>
              <w:t>6</w:t>
            </w:r>
            <w:r>
              <w:rPr>
                <w:rFonts w:hint="eastAsia" w:ascii="宋体" w:eastAsia="宋体"/>
                <w:b w:val="0"/>
                <w:color w:val="auto"/>
                <w:sz w:val="22"/>
                <w:highlight w:val="none"/>
              </w:rPr>
              <w:t>分</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6DC95AF3">
            <w:pPr>
              <w:numPr>
                <w:ilvl w:val="0"/>
                <w:numId w:val="0"/>
              </w:numPr>
              <w:spacing w:line="360" w:lineRule="auto"/>
              <w:rPr>
                <w:rFonts w:hint="eastAsia" w:ascii="宋体"/>
                <w:b w:val="0"/>
                <w:color w:val="auto"/>
                <w:sz w:val="22"/>
                <w:highlight w:val="none"/>
                <w:lang w:val="en-US" w:eastAsia="zh-CN"/>
              </w:rPr>
            </w:pPr>
            <w:r>
              <w:rPr>
                <w:rFonts w:hint="eastAsia" w:ascii="宋体" w:eastAsia="宋体"/>
                <w:b w:val="0"/>
                <w:color w:val="auto"/>
                <w:sz w:val="22"/>
                <w:highlight w:val="none"/>
              </w:rPr>
              <w:t>有供书保障的各类国家级出版社、地方出版社数量20 家及以上得</w:t>
            </w:r>
            <w:r>
              <w:rPr>
                <w:rFonts w:hint="eastAsia" w:ascii="宋体"/>
                <w:b w:val="0"/>
                <w:color w:val="auto"/>
                <w:sz w:val="22"/>
                <w:highlight w:val="none"/>
                <w:lang w:val="en-US" w:eastAsia="zh-CN"/>
              </w:rPr>
              <w:t>6</w:t>
            </w:r>
            <w:r>
              <w:rPr>
                <w:rFonts w:hint="eastAsia" w:ascii="宋体" w:eastAsia="宋体"/>
                <w:b w:val="0"/>
                <w:color w:val="auto"/>
                <w:sz w:val="22"/>
                <w:highlight w:val="none"/>
              </w:rPr>
              <w:t xml:space="preserve"> 分，</w:t>
            </w:r>
            <w:r>
              <w:rPr>
                <w:rFonts w:hint="eastAsia" w:ascii="宋体"/>
                <w:b w:val="0"/>
                <w:color w:val="auto"/>
                <w:sz w:val="22"/>
                <w:highlight w:val="none"/>
                <w:lang w:val="en-US" w:eastAsia="zh-CN"/>
              </w:rPr>
              <w:t>提供10份得4份，10份一下1分。</w:t>
            </w:r>
          </w:p>
          <w:p w14:paraId="11C1342E">
            <w:pPr>
              <w:numPr>
                <w:ilvl w:val="0"/>
                <w:numId w:val="0"/>
              </w:numPr>
              <w:spacing w:line="360" w:lineRule="auto"/>
              <w:rPr>
                <w:rFonts w:hint="eastAsia" w:ascii="宋体" w:eastAsia="宋体"/>
                <w:b w:val="0"/>
                <w:color w:val="auto"/>
                <w:sz w:val="22"/>
                <w:highlight w:val="none"/>
              </w:rPr>
            </w:pPr>
            <w:r>
              <w:rPr>
                <w:rFonts w:hint="eastAsia" w:ascii="宋体"/>
                <w:b w:val="0"/>
                <w:color w:val="auto"/>
                <w:sz w:val="22"/>
                <w:highlight w:val="none"/>
                <w:lang w:val="en-US" w:eastAsia="zh-CN"/>
              </w:rPr>
              <w:t>注：出版社授权书需要开具本项目名称及项目编号且要提供出版社的联系人姓名和电话</w:t>
            </w:r>
            <w:r>
              <w:rPr>
                <w:rFonts w:hint="eastAsia" w:ascii="宋体" w:eastAsia="宋体" w:cs="宋体"/>
                <w:b w:val="0"/>
                <w:color w:val="auto"/>
                <w:sz w:val="22"/>
                <w:highlight w:val="none"/>
                <w:lang w:val="en-US" w:eastAsia="zh-CN"/>
              </w:rPr>
              <w:t>，</w:t>
            </w:r>
            <w:r>
              <w:rPr>
                <w:rFonts w:hint="eastAsia" w:ascii="宋体" w:eastAsia="宋体" w:cs="宋体"/>
                <w:b/>
                <w:bCs/>
                <w:color w:val="auto"/>
                <w:sz w:val="22"/>
                <w:highlight w:val="none"/>
                <w:lang w:val="en-US" w:eastAsia="zh-CN"/>
              </w:rPr>
              <w:t>否则不予计分。</w:t>
            </w:r>
          </w:p>
        </w:tc>
      </w:tr>
      <w:tr w14:paraId="65203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14:paraId="4AF31807">
            <w:pPr>
              <w:spacing w:line="360" w:lineRule="auto"/>
              <w:jc w:val="center"/>
              <w:rPr>
                <w:rFonts w:hint="eastAsia" w:ascii="宋体" w:eastAsia="宋体"/>
                <w:b w:val="0"/>
                <w:color w:val="auto"/>
                <w:sz w:val="22"/>
                <w:highlight w:val="none"/>
              </w:rPr>
            </w:pPr>
            <w:r>
              <w:rPr>
                <w:rFonts w:hint="eastAsia" w:ascii="宋体" w:eastAsia="宋体"/>
                <w:b w:val="0"/>
                <w:color w:val="auto"/>
                <w:sz w:val="22"/>
                <w:highlight w:val="none"/>
              </w:rPr>
              <w:t>4</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3816B2F0">
            <w:pPr>
              <w:spacing w:line="360" w:lineRule="auto"/>
              <w:jc w:val="center"/>
              <w:rPr>
                <w:rFonts w:hint="eastAsia" w:ascii="宋体" w:eastAsia="宋体"/>
                <w:b w:val="0"/>
                <w:color w:val="auto"/>
                <w:sz w:val="22"/>
                <w:highlight w:val="none"/>
              </w:rPr>
            </w:pPr>
            <w:r>
              <w:rPr>
                <w:rFonts w:hint="eastAsia" w:ascii="宋体" w:eastAsia="宋体"/>
                <w:b w:val="0"/>
                <w:color w:val="auto"/>
                <w:sz w:val="22"/>
                <w:highlight w:val="none"/>
              </w:rPr>
              <w:t>企业物流、仓储设施</w:t>
            </w:r>
          </w:p>
        </w:tc>
        <w:tc>
          <w:tcPr>
            <w:tcW w:w="952" w:type="dxa"/>
            <w:tcBorders>
              <w:top w:val="single" w:color="auto" w:sz="4" w:space="0"/>
              <w:left w:val="single" w:color="auto" w:sz="4" w:space="0"/>
              <w:bottom w:val="single" w:color="auto" w:sz="4" w:space="0"/>
              <w:right w:val="single" w:color="auto" w:sz="4" w:space="0"/>
            </w:tcBorders>
            <w:noWrap w:val="0"/>
            <w:vAlign w:val="center"/>
          </w:tcPr>
          <w:p w14:paraId="01B5AFF1">
            <w:pPr>
              <w:spacing w:line="360" w:lineRule="auto"/>
              <w:jc w:val="center"/>
              <w:rPr>
                <w:rFonts w:hint="eastAsia" w:ascii="宋体" w:eastAsia="宋体"/>
                <w:b w:val="0"/>
                <w:color w:val="auto"/>
                <w:sz w:val="22"/>
                <w:highlight w:val="none"/>
              </w:rPr>
            </w:pPr>
            <w:r>
              <w:rPr>
                <w:rFonts w:ascii="宋体" w:eastAsia="宋体"/>
                <w:b w:val="0"/>
                <w:color w:val="auto"/>
                <w:sz w:val="22"/>
                <w:highlight w:val="none"/>
              </w:rPr>
              <w:t>5</w:t>
            </w:r>
            <w:r>
              <w:rPr>
                <w:rFonts w:hint="eastAsia" w:ascii="宋体" w:eastAsia="宋体"/>
                <w:b w:val="0"/>
                <w:color w:val="auto"/>
                <w:sz w:val="22"/>
                <w:highlight w:val="none"/>
              </w:rPr>
              <w:t>分</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109EDF99">
            <w:pPr>
              <w:spacing w:line="360" w:lineRule="auto"/>
              <w:rPr>
                <w:rFonts w:hint="eastAsia" w:ascii="宋体" w:eastAsia="宋体"/>
                <w:b w:val="0"/>
                <w:color w:val="auto"/>
                <w:sz w:val="22"/>
                <w:highlight w:val="none"/>
                <w:lang w:eastAsia="zh-CN"/>
              </w:rPr>
            </w:pPr>
            <w:r>
              <w:rPr>
                <w:rFonts w:hint="eastAsia" w:ascii="宋体" w:eastAsia="宋体"/>
                <w:b w:val="0"/>
                <w:color w:val="auto"/>
                <w:sz w:val="22"/>
                <w:highlight w:val="none"/>
              </w:rPr>
              <w:t>根据投标人企业物流、仓储基地、设施情况（提供相应材料，如自有场地提供房产证明扫描件，租赁场地的提供房产证明扫描件及租赁协议扫描件等），由评委综合评分。</w:t>
            </w:r>
            <w:r>
              <w:rPr>
                <w:rFonts w:hint="eastAsia" w:ascii="宋体"/>
                <w:b w:val="0"/>
                <w:color w:val="auto"/>
                <w:sz w:val="22"/>
                <w:highlight w:val="none"/>
                <w:lang w:val="en-US" w:eastAsia="zh-CN"/>
              </w:rPr>
              <w:t>评分范围（5、4、3、2、1、0分）</w:t>
            </w:r>
          </w:p>
        </w:tc>
      </w:tr>
      <w:tr w14:paraId="25599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14:paraId="1ECA548D">
            <w:pPr>
              <w:spacing w:line="360" w:lineRule="auto"/>
              <w:jc w:val="center"/>
              <w:rPr>
                <w:rFonts w:hint="eastAsia" w:ascii="宋体" w:eastAsia="宋体"/>
                <w:b w:val="0"/>
                <w:color w:val="auto"/>
                <w:sz w:val="22"/>
                <w:highlight w:val="none"/>
              </w:rPr>
            </w:pPr>
            <w:r>
              <w:rPr>
                <w:rFonts w:hint="eastAsia" w:ascii="宋体" w:eastAsia="宋体"/>
                <w:b w:val="0"/>
                <w:color w:val="auto"/>
                <w:sz w:val="22"/>
                <w:highlight w:val="none"/>
              </w:rPr>
              <w:t>5</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5299D0D0">
            <w:pPr>
              <w:spacing w:line="360" w:lineRule="auto"/>
              <w:jc w:val="center"/>
              <w:rPr>
                <w:rFonts w:hint="eastAsia" w:ascii="宋体" w:eastAsia="宋体"/>
                <w:b w:val="0"/>
                <w:color w:val="auto"/>
                <w:sz w:val="22"/>
                <w:highlight w:val="none"/>
              </w:rPr>
            </w:pPr>
            <w:r>
              <w:rPr>
                <w:rFonts w:hint="eastAsia" w:ascii="宋体" w:eastAsia="宋体"/>
                <w:b w:val="0"/>
                <w:color w:val="auto"/>
                <w:sz w:val="22"/>
                <w:highlight w:val="none"/>
              </w:rPr>
              <w:t>到书率</w:t>
            </w:r>
          </w:p>
        </w:tc>
        <w:tc>
          <w:tcPr>
            <w:tcW w:w="952" w:type="dxa"/>
            <w:tcBorders>
              <w:top w:val="single" w:color="auto" w:sz="4" w:space="0"/>
              <w:left w:val="single" w:color="auto" w:sz="4" w:space="0"/>
              <w:bottom w:val="single" w:color="auto" w:sz="4" w:space="0"/>
              <w:right w:val="single" w:color="auto" w:sz="4" w:space="0"/>
            </w:tcBorders>
            <w:noWrap w:val="0"/>
            <w:vAlign w:val="center"/>
          </w:tcPr>
          <w:p w14:paraId="3B892F50">
            <w:pPr>
              <w:spacing w:line="360" w:lineRule="auto"/>
              <w:jc w:val="center"/>
              <w:rPr>
                <w:rFonts w:hint="eastAsia" w:ascii="宋体" w:eastAsia="宋体"/>
                <w:b w:val="0"/>
                <w:color w:val="auto"/>
                <w:sz w:val="22"/>
                <w:highlight w:val="none"/>
              </w:rPr>
            </w:pPr>
            <w:r>
              <w:rPr>
                <w:rFonts w:hint="eastAsia" w:ascii="宋体" w:eastAsia="宋体"/>
                <w:b w:val="0"/>
                <w:color w:val="auto"/>
                <w:sz w:val="22"/>
                <w:highlight w:val="none"/>
              </w:rPr>
              <w:t>5分</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7AE7E0BC">
            <w:pPr>
              <w:spacing w:line="360" w:lineRule="auto"/>
              <w:rPr>
                <w:rFonts w:hint="eastAsia" w:ascii="宋体" w:eastAsia="宋体"/>
                <w:b w:val="0"/>
                <w:color w:val="auto"/>
                <w:sz w:val="22"/>
                <w:highlight w:val="none"/>
              </w:rPr>
            </w:pPr>
            <w:r>
              <w:rPr>
                <w:rFonts w:hint="eastAsia" w:ascii="宋体" w:eastAsia="宋体"/>
                <w:b w:val="0"/>
                <w:color w:val="auto"/>
                <w:sz w:val="22"/>
                <w:highlight w:val="none"/>
              </w:rPr>
              <w:t>以</w:t>
            </w:r>
            <w:r>
              <w:rPr>
                <w:rFonts w:hint="eastAsia" w:ascii="宋体"/>
                <w:b w:val="0"/>
                <w:color w:val="auto"/>
                <w:sz w:val="22"/>
                <w:highlight w:val="none"/>
                <w:lang w:val="en-US" w:eastAsia="zh-CN"/>
              </w:rPr>
              <w:t>90</w:t>
            </w:r>
            <w:r>
              <w:rPr>
                <w:rFonts w:hint="eastAsia" w:ascii="宋体" w:eastAsia="宋体"/>
                <w:b w:val="0"/>
                <w:color w:val="auto"/>
                <w:sz w:val="22"/>
                <w:highlight w:val="none"/>
              </w:rPr>
              <w:t>%到书率为基准，承诺到书率每上浮1%得1分（增加尾数不足1%的不计分），满分5分。（提供承诺函，承诺到书率取整）</w:t>
            </w:r>
          </w:p>
        </w:tc>
      </w:tr>
      <w:tr w14:paraId="7E59C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14:paraId="57DE6D9A">
            <w:pPr>
              <w:spacing w:line="360" w:lineRule="auto"/>
              <w:jc w:val="center"/>
              <w:rPr>
                <w:rFonts w:hint="eastAsia" w:ascii="宋体" w:eastAsia="宋体"/>
                <w:b w:val="0"/>
                <w:color w:val="auto"/>
                <w:sz w:val="22"/>
                <w:highlight w:val="none"/>
              </w:rPr>
            </w:pPr>
            <w:r>
              <w:rPr>
                <w:rFonts w:hint="eastAsia" w:ascii="宋体" w:eastAsia="宋体"/>
                <w:b w:val="0"/>
                <w:color w:val="auto"/>
                <w:sz w:val="22"/>
                <w:highlight w:val="none"/>
              </w:rPr>
              <w:t>6</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73E3846D">
            <w:pPr>
              <w:spacing w:line="360" w:lineRule="auto"/>
              <w:jc w:val="center"/>
              <w:rPr>
                <w:rFonts w:hint="eastAsia" w:ascii="宋体" w:eastAsia="宋体"/>
                <w:b w:val="0"/>
                <w:color w:val="auto"/>
                <w:sz w:val="22"/>
                <w:highlight w:val="none"/>
              </w:rPr>
            </w:pPr>
            <w:r>
              <w:rPr>
                <w:rFonts w:hint="eastAsia" w:ascii="宋体" w:eastAsia="宋体"/>
                <w:b w:val="0"/>
                <w:color w:val="auto"/>
                <w:sz w:val="22"/>
                <w:highlight w:val="none"/>
              </w:rPr>
              <w:t>对订单处理、调整能力</w:t>
            </w:r>
          </w:p>
        </w:tc>
        <w:tc>
          <w:tcPr>
            <w:tcW w:w="952" w:type="dxa"/>
            <w:tcBorders>
              <w:top w:val="single" w:color="auto" w:sz="4" w:space="0"/>
              <w:left w:val="single" w:color="auto" w:sz="4" w:space="0"/>
              <w:bottom w:val="single" w:color="auto" w:sz="4" w:space="0"/>
              <w:right w:val="single" w:color="auto" w:sz="4" w:space="0"/>
            </w:tcBorders>
            <w:noWrap w:val="0"/>
            <w:vAlign w:val="center"/>
          </w:tcPr>
          <w:p w14:paraId="5B04073B">
            <w:pPr>
              <w:spacing w:line="360" w:lineRule="auto"/>
              <w:jc w:val="center"/>
              <w:rPr>
                <w:rFonts w:hint="eastAsia" w:ascii="宋体" w:eastAsia="宋体"/>
                <w:b w:val="0"/>
                <w:color w:val="auto"/>
                <w:sz w:val="22"/>
                <w:highlight w:val="none"/>
              </w:rPr>
            </w:pPr>
            <w:r>
              <w:rPr>
                <w:rFonts w:hint="eastAsia" w:ascii="宋体" w:eastAsia="宋体"/>
                <w:b w:val="0"/>
                <w:color w:val="auto"/>
                <w:sz w:val="22"/>
                <w:highlight w:val="none"/>
              </w:rPr>
              <w:t>1</w:t>
            </w:r>
            <w:r>
              <w:rPr>
                <w:rFonts w:ascii="宋体" w:eastAsia="宋体"/>
                <w:b w:val="0"/>
                <w:color w:val="auto"/>
                <w:sz w:val="22"/>
                <w:highlight w:val="none"/>
              </w:rPr>
              <w:t>1</w:t>
            </w:r>
            <w:r>
              <w:rPr>
                <w:rFonts w:hint="eastAsia" w:ascii="宋体" w:eastAsia="宋体"/>
                <w:b w:val="0"/>
                <w:color w:val="auto"/>
                <w:sz w:val="22"/>
                <w:highlight w:val="none"/>
              </w:rPr>
              <w:t>分</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7CE0BF8C">
            <w:pPr>
              <w:snapToGrid w:val="0"/>
              <w:spacing w:line="360" w:lineRule="auto"/>
              <w:rPr>
                <w:rFonts w:hint="eastAsia" w:ascii="宋体" w:eastAsia="宋体"/>
                <w:b w:val="0"/>
                <w:color w:val="auto"/>
                <w:sz w:val="22"/>
                <w:highlight w:val="none"/>
                <w:lang w:eastAsia="zh-CN"/>
              </w:rPr>
            </w:pPr>
            <w:r>
              <w:rPr>
                <w:rFonts w:hint="eastAsia" w:ascii="宋体" w:eastAsia="宋体"/>
                <w:b w:val="0"/>
                <w:color w:val="auto"/>
                <w:sz w:val="22"/>
                <w:highlight w:val="none"/>
              </w:rPr>
              <w:t>1、订单处理及时性、订单处理信息二次确认、订单处理信息查询、急需订单处理、清库告知及说明等。</w:t>
            </w:r>
          </w:p>
          <w:p w14:paraId="0DAF5DBB">
            <w:pPr>
              <w:snapToGrid w:val="0"/>
              <w:spacing w:line="360" w:lineRule="auto"/>
              <w:rPr>
                <w:rFonts w:hint="eastAsia" w:ascii="宋体" w:eastAsia="宋体"/>
                <w:b w:val="0"/>
                <w:color w:val="auto"/>
                <w:sz w:val="22"/>
                <w:highlight w:val="none"/>
              </w:rPr>
            </w:pPr>
            <w:r>
              <w:rPr>
                <w:rFonts w:hint="eastAsia" w:ascii="宋体" w:eastAsia="宋体"/>
                <w:b w:val="0"/>
                <w:color w:val="auto"/>
                <w:sz w:val="22"/>
                <w:highlight w:val="none"/>
              </w:rPr>
              <w:t>对采购人已预订，但因到货、出版推迟等不能及时到货的图书，或取消出版的图书信息能否及时予以反馈，并以书面形式分析、说明原因。处理方案全面细致的得</w:t>
            </w:r>
            <w:r>
              <w:rPr>
                <w:rFonts w:hint="eastAsia" w:ascii="宋体"/>
                <w:b w:val="0"/>
                <w:color w:val="auto"/>
                <w:sz w:val="22"/>
                <w:highlight w:val="none"/>
                <w:lang w:eastAsia="zh-CN"/>
              </w:rPr>
              <w:t>（</w:t>
            </w:r>
            <w:r>
              <w:rPr>
                <w:rFonts w:hint="eastAsia" w:ascii="宋体"/>
                <w:b w:val="0"/>
                <w:color w:val="auto"/>
                <w:sz w:val="22"/>
                <w:highlight w:val="none"/>
                <w:lang w:val="en-US" w:eastAsia="zh-CN"/>
              </w:rPr>
              <w:t>6、5）</w:t>
            </w:r>
            <w:r>
              <w:rPr>
                <w:rFonts w:hint="eastAsia" w:ascii="宋体" w:eastAsia="宋体"/>
                <w:b w:val="0"/>
                <w:color w:val="auto"/>
                <w:sz w:val="22"/>
                <w:highlight w:val="none"/>
              </w:rPr>
              <w:t>分；处理方案较为全面但无细致说明的得</w:t>
            </w:r>
            <w:r>
              <w:rPr>
                <w:rFonts w:hint="eastAsia" w:ascii="宋体"/>
                <w:b w:val="0"/>
                <w:color w:val="auto"/>
                <w:sz w:val="22"/>
                <w:highlight w:val="none"/>
                <w:lang w:eastAsia="zh-CN"/>
              </w:rPr>
              <w:t>（</w:t>
            </w:r>
            <w:r>
              <w:rPr>
                <w:rFonts w:hint="eastAsia" w:ascii="宋体"/>
                <w:b w:val="0"/>
                <w:color w:val="auto"/>
                <w:sz w:val="22"/>
                <w:highlight w:val="none"/>
                <w:lang w:val="en-US" w:eastAsia="zh-CN"/>
              </w:rPr>
              <w:t>4、3）</w:t>
            </w:r>
            <w:r>
              <w:rPr>
                <w:rFonts w:hint="eastAsia" w:ascii="宋体" w:eastAsia="宋体"/>
                <w:b w:val="0"/>
                <w:color w:val="auto"/>
                <w:sz w:val="22"/>
                <w:highlight w:val="none"/>
              </w:rPr>
              <w:t>分；处理方案较差的得</w:t>
            </w:r>
            <w:r>
              <w:rPr>
                <w:rFonts w:hint="eastAsia" w:ascii="宋体"/>
                <w:b w:val="0"/>
                <w:color w:val="auto"/>
                <w:sz w:val="22"/>
                <w:highlight w:val="none"/>
                <w:lang w:eastAsia="zh-CN"/>
              </w:rPr>
              <w:t>（</w:t>
            </w:r>
            <w:r>
              <w:rPr>
                <w:rFonts w:hint="eastAsia" w:ascii="宋体"/>
                <w:b w:val="0"/>
                <w:color w:val="auto"/>
                <w:sz w:val="22"/>
                <w:highlight w:val="none"/>
                <w:lang w:val="en-US" w:eastAsia="zh-CN"/>
              </w:rPr>
              <w:t>2、1、0）</w:t>
            </w:r>
            <w:r>
              <w:rPr>
                <w:rFonts w:hint="eastAsia" w:ascii="宋体" w:eastAsia="宋体"/>
                <w:b w:val="0"/>
                <w:color w:val="auto"/>
                <w:sz w:val="22"/>
                <w:highlight w:val="none"/>
              </w:rPr>
              <w:t>分。</w:t>
            </w:r>
          </w:p>
          <w:p w14:paraId="036A7F79">
            <w:pPr>
              <w:spacing w:line="360" w:lineRule="auto"/>
              <w:rPr>
                <w:rFonts w:hint="eastAsia" w:ascii="宋体" w:eastAsia="宋体"/>
                <w:b w:val="0"/>
                <w:color w:val="auto"/>
                <w:sz w:val="22"/>
                <w:highlight w:val="none"/>
              </w:rPr>
            </w:pPr>
            <w:r>
              <w:rPr>
                <w:rFonts w:hint="eastAsia" w:ascii="宋体" w:eastAsia="宋体"/>
                <w:b w:val="0"/>
                <w:color w:val="auto"/>
                <w:sz w:val="22"/>
                <w:highlight w:val="none"/>
              </w:rPr>
              <w:t>2、根据供应商对已订书单因情况变化，要求减少订数或要求取消订购的反应，零星、急需图书的反应措施是否及时合理可行由评委打分，合理可行的</w:t>
            </w:r>
            <w:r>
              <w:rPr>
                <w:rFonts w:hint="eastAsia" w:ascii="宋体"/>
                <w:b w:val="0"/>
                <w:color w:val="auto"/>
                <w:sz w:val="22"/>
                <w:highlight w:val="none"/>
                <w:lang w:eastAsia="zh-CN"/>
              </w:rPr>
              <w:t>（</w:t>
            </w:r>
            <w:r>
              <w:rPr>
                <w:rFonts w:hint="eastAsia" w:ascii="宋体"/>
                <w:b w:val="0"/>
                <w:color w:val="auto"/>
                <w:sz w:val="22"/>
                <w:highlight w:val="none"/>
                <w:lang w:val="en-US" w:eastAsia="zh-CN"/>
              </w:rPr>
              <w:t>5、4）</w:t>
            </w:r>
            <w:r>
              <w:rPr>
                <w:rFonts w:hint="eastAsia" w:ascii="宋体" w:eastAsia="宋体"/>
                <w:b w:val="0"/>
                <w:color w:val="auto"/>
                <w:sz w:val="22"/>
                <w:highlight w:val="none"/>
              </w:rPr>
              <w:t>分，基本合理可行的</w:t>
            </w:r>
            <w:r>
              <w:rPr>
                <w:rFonts w:hint="eastAsia" w:ascii="宋体"/>
                <w:b w:val="0"/>
                <w:color w:val="auto"/>
                <w:sz w:val="22"/>
                <w:highlight w:val="none"/>
                <w:lang w:eastAsia="zh-CN"/>
              </w:rPr>
              <w:t>（</w:t>
            </w:r>
            <w:r>
              <w:rPr>
                <w:rFonts w:hint="eastAsia" w:ascii="宋体"/>
                <w:b w:val="0"/>
                <w:color w:val="auto"/>
                <w:sz w:val="22"/>
                <w:highlight w:val="none"/>
                <w:lang w:val="en-US" w:eastAsia="zh-CN"/>
              </w:rPr>
              <w:t>3、2）</w:t>
            </w:r>
            <w:r>
              <w:rPr>
                <w:rFonts w:hint="eastAsia" w:ascii="宋体" w:eastAsia="宋体"/>
                <w:b w:val="0"/>
                <w:color w:val="auto"/>
                <w:sz w:val="22"/>
                <w:highlight w:val="none"/>
              </w:rPr>
              <w:t>分，可行性差</w:t>
            </w:r>
            <w:r>
              <w:rPr>
                <w:rFonts w:hint="eastAsia" w:ascii="宋体"/>
                <w:b w:val="0"/>
                <w:color w:val="auto"/>
                <w:sz w:val="22"/>
                <w:highlight w:val="none"/>
                <w:lang w:eastAsia="zh-CN"/>
              </w:rPr>
              <w:t>（</w:t>
            </w:r>
            <w:r>
              <w:rPr>
                <w:rFonts w:hint="eastAsia" w:ascii="宋体"/>
                <w:b w:val="0"/>
                <w:color w:val="auto"/>
                <w:sz w:val="22"/>
                <w:highlight w:val="none"/>
                <w:lang w:val="en-US" w:eastAsia="zh-CN"/>
              </w:rPr>
              <w:t>1、0）</w:t>
            </w:r>
            <w:r>
              <w:rPr>
                <w:rFonts w:hint="eastAsia" w:ascii="宋体" w:eastAsia="宋体"/>
                <w:b w:val="0"/>
                <w:color w:val="auto"/>
                <w:sz w:val="22"/>
                <w:highlight w:val="none"/>
              </w:rPr>
              <w:t>分。</w:t>
            </w:r>
          </w:p>
        </w:tc>
      </w:tr>
      <w:tr w14:paraId="5E55C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14:paraId="5E1A9C3F">
            <w:pPr>
              <w:spacing w:line="360" w:lineRule="auto"/>
              <w:jc w:val="center"/>
              <w:rPr>
                <w:rFonts w:hint="eastAsia" w:ascii="宋体" w:eastAsia="宋体"/>
                <w:b w:val="0"/>
                <w:color w:val="auto"/>
                <w:sz w:val="22"/>
                <w:highlight w:val="none"/>
              </w:rPr>
            </w:pPr>
            <w:r>
              <w:rPr>
                <w:rFonts w:hint="eastAsia" w:ascii="宋体" w:eastAsia="宋体"/>
                <w:b w:val="0"/>
                <w:color w:val="auto"/>
                <w:sz w:val="22"/>
                <w:highlight w:val="none"/>
              </w:rPr>
              <w:t>7</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43A23986">
            <w:pPr>
              <w:spacing w:line="360" w:lineRule="auto"/>
              <w:jc w:val="center"/>
              <w:rPr>
                <w:rFonts w:hint="eastAsia" w:ascii="宋体" w:eastAsia="宋体"/>
                <w:b w:val="0"/>
                <w:color w:val="auto"/>
                <w:sz w:val="22"/>
                <w:highlight w:val="none"/>
              </w:rPr>
            </w:pPr>
            <w:r>
              <w:rPr>
                <w:rFonts w:hint="eastAsia" w:ascii="宋体" w:eastAsia="宋体"/>
                <w:b w:val="0"/>
                <w:color w:val="auto"/>
                <w:sz w:val="22"/>
                <w:highlight w:val="none"/>
              </w:rPr>
              <w:t>图书配送方案</w:t>
            </w:r>
          </w:p>
        </w:tc>
        <w:tc>
          <w:tcPr>
            <w:tcW w:w="952" w:type="dxa"/>
            <w:tcBorders>
              <w:top w:val="single" w:color="auto" w:sz="4" w:space="0"/>
              <w:left w:val="single" w:color="auto" w:sz="4" w:space="0"/>
              <w:bottom w:val="single" w:color="auto" w:sz="4" w:space="0"/>
              <w:right w:val="single" w:color="auto" w:sz="4" w:space="0"/>
            </w:tcBorders>
            <w:noWrap w:val="0"/>
            <w:vAlign w:val="center"/>
          </w:tcPr>
          <w:p w14:paraId="10927801">
            <w:pPr>
              <w:spacing w:line="360" w:lineRule="auto"/>
              <w:jc w:val="center"/>
              <w:rPr>
                <w:rFonts w:hint="eastAsia" w:ascii="宋体" w:eastAsia="宋体"/>
                <w:b w:val="0"/>
                <w:color w:val="auto"/>
                <w:sz w:val="22"/>
                <w:highlight w:val="none"/>
              </w:rPr>
            </w:pPr>
            <w:r>
              <w:rPr>
                <w:rFonts w:ascii="宋体" w:eastAsia="宋体"/>
                <w:b w:val="0"/>
                <w:color w:val="auto"/>
                <w:sz w:val="22"/>
                <w:highlight w:val="none"/>
              </w:rPr>
              <w:t>6</w:t>
            </w:r>
            <w:r>
              <w:rPr>
                <w:rFonts w:hint="eastAsia" w:ascii="宋体" w:eastAsia="宋体"/>
                <w:b w:val="0"/>
                <w:color w:val="auto"/>
                <w:sz w:val="22"/>
                <w:highlight w:val="none"/>
              </w:rPr>
              <w:t>分</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749088FA">
            <w:pPr>
              <w:snapToGrid w:val="0"/>
              <w:spacing w:line="360" w:lineRule="auto"/>
              <w:rPr>
                <w:rFonts w:hint="eastAsia" w:ascii="宋体" w:eastAsia="宋体"/>
                <w:b w:val="0"/>
                <w:color w:val="auto"/>
                <w:sz w:val="22"/>
                <w:highlight w:val="none"/>
              </w:rPr>
            </w:pPr>
            <w:r>
              <w:rPr>
                <w:rFonts w:hint="eastAsia" w:ascii="宋体" w:eastAsia="宋体"/>
                <w:b w:val="0"/>
                <w:color w:val="auto"/>
                <w:sz w:val="22"/>
                <w:highlight w:val="none"/>
              </w:rPr>
              <w:t>根据供应商关于包装和物流，到书状态，图书的包装是否符合运输和方便装卸的要求，能否及时运送，是否配送到指定位置承诺由评委进行打分，方案完善、可行的</w:t>
            </w:r>
            <w:r>
              <w:rPr>
                <w:rFonts w:hint="eastAsia" w:ascii="宋体"/>
                <w:b w:val="0"/>
                <w:color w:val="auto"/>
                <w:sz w:val="22"/>
                <w:highlight w:val="none"/>
                <w:lang w:eastAsia="zh-CN"/>
              </w:rPr>
              <w:t>（</w:t>
            </w:r>
            <w:r>
              <w:rPr>
                <w:rFonts w:hint="eastAsia" w:ascii="宋体"/>
                <w:b w:val="0"/>
                <w:color w:val="auto"/>
                <w:sz w:val="22"/>
                <w:highlight w:val="none"/>
                <w:lang w:val="en-US" w:eastAsia="zh-CN"/>
              </w:rPr>
              <w:t>6、5）</w:t>
            </w:r>
            <w:r>
              <w:rPr>
                <w:rFonts w:hint="eastAsia" w:ascii="宋体" w:eastAsia="宋体"/>
                <w:b w:val="0"/>
                <w:color w:val="auto"/>
                <w:sz w:val="22"/>
                <w:highlight w:val="none"/>
              </w:rPr>
              <w:t>分，基本完善可行的</w:t>
            </w:r>
            <w:r>
              <w:rPr>
                <w:rFonts w:hint="eastAsia" w:ascii="宋体"/>
                <w:b w:val="0"/>
                <w:color w:val="auto"/>
                <w:sz w:val="22"/>
                <w:highlight w:val="none"/>
                <w:lang w:eastAsia="zh-CN"/>
              </w:rPr>
              <w:t>（</w:t>
            </w:r>
            <w:r>
              <w:rPr>
                <w:rFonts w:hint="eastAsia" w:ascii="宋体"/>
                <w:b w:val="0"/>
                <w:color w:val="auto"/>
                <w:sz w:val="22"/>
                <w:highlight w:val="none"/>
                <w:lang w:val="en-US" w:eastAsia="zh-CN"/>
              </w:rPr>
              <w:t>4、3）</w:t>
            </w:r>
            <w:r>
              <w:rPr>
                <w:rFonts w:hint="eastAsia" w:ascii="宋体" w:eastAsia="宋体"/>
                <w:b w:val="0"/>
                <w:color w:val="auto"/>
                <w:sz w:val="22"/>
                <w:highlight w:val="none"/>
              </w:rPr>
              <w:t>分，可行性差</w:t>
            </w:r>
            <w:r>
              <w:rPr>
                <w:rFonts w:hint="eastAsia" w:ascii="宋体"/>
                <w:b w:val="0"/>
                <w:color w:val="auto"/>
                <w:sz w:val="22"/>
                <w:highlight w:val="none"/>
                <w:lang w:eastAsia="zh-CN"/>
              </w:rPr>
              <w:t>（</w:t>
            </w:r>
            <w:r>
              <w:rPr>
                <w:rFonts w:hint="eastAsia" w:ascii="宋体"/>
                <w:b w:val="0"/>
                <w:color w:val="auto"/>
                <w:sz w:val="22"/>
                <w:highlight w:val="none"/>
                <w:lang w:val="en-US" w:eastAsia="zh-CN"/>
              </w:rPr>
              <w:t>2、1、0）</w:t>
            </w:r>
            <w:r>
              <w:rPr>
                <w:rFonts w:hint="eastAsia" w:ascii="宋体" w:eastAsia="宋体"/>
                <w:b w:val="0"/>
                <w:color w:val="auto"/>
                <w:sz w:val="22"/>
                <w:highlight w:val="none"/>
              </w:rPr>
              <w:t>分。</w:t>
            </w:r>
          </w:p>
        </w:tc>
      </w:tr>
      <w:tr w14:paraId="49B9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14:paraId="2BB0E37C">
            <w:pPr>
              <w:spacing w:line="360" w:lineRule="auto"/>
              <w:jc w:val="center"/>
              <w:rPr>
                <w:rFonts w:hint="eastAsia" w:ascii="宋体" w:eastAsia="宋体"/>
                <w:b w:val="0"/>
                <w:color w:val="auto"/>
                <w:sz w:val="22"/>
                <w:highlight w:val="none"/>
              </w:rPr>
            </w:pPr>
            <w:r>
              <w:rPr>
                <w:rFonts w:hint="eastAsia" w:ascii="宋体" w:eastAsia="宋体"/>
                <w:b w:val="0"/>
                <w:color w:val="auto"/>
                <w:sz w:val="22"/>
                <w:highlight w:val="none"/>
              </w:rPr>
              <w:t>8</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182D4A69">
            <w:pPr>
              <w:spacing w:line="360" w:lineRule="auto"/>
              <w:jc w:val="center"/>
              <w:rPr>
                <w:rFonts w:hint="eastAsia" w:ascii="宋体" w:eastAsia="宋体"/>
                <w:b w:val="0"/>
                <w:color w:val="auto"/>
                <w:sz w:val="22"/>
                <w:highlight w:val="none"/>
              </w:rPr>
            </w:pPr>
            <w:r>
              <w:rPr>
                <w:rFonts w:hint="eastAsia" w:ascii="宋体" w:eastAsia="宋体"/>
                <w:b w:val="0"/>
                <w:color w:val="auto"/>
                <w:sz w:val="22"/>
                <w:highlight w:val="none"/>
              </w:rPr>
              <w:t>图书质量保证</w:t>
            </w:r>
          </w:p>
        </w:tc>
        <w:tc>
          <w:tcPr>
            <w:tcW w:w="952" w:type="dxa"/>
            <w:tcBorders>
              <w:top w:val="single" w:color="auto" w:sz="4" w:space="0"/>
              <w:left w:val="single" w:color="auto" w:sz="4" w:space="0"/>
              <w:bottom w:val="single" w:color="auto" w:sz="4" w:space="0"/>
              <w:right w:val="single" w:color="auto" w:sz="4" w:space="0"/>
            </w:tcBorders>
            <w:noWrap w:val="0"/>
            <w:vAlign w:val="center"/>
          </w:tcPr>
          <w:p w14:paraId="2F66A5A1">
            <w:pPr>
              <w:spacing w:line="360" w:lineRule="auto"/>
              <w:jc w:val="center"/>
              <w:rPr>
                <w:rFonts w:hint="eastAsia" w:ascii="宋体" w:eastAsia="宋体"/>
                <w:b w:val="0"/>
                <w:color w:val="auto"/>
                <w:sz w:val="22"/>
                <w:highlight w:val="none"/>
              </w:rPr>
            </w:pPr>
            <w:r>
              <w:rPr>
                <w:rFonts w:ascii="宋体" w:eastAsia="宋体"/>
                <w:b w:val="0"/>
                <w:color w:val="auto"/>
                <w:sz w:val="22"/>
                <w:highlight w:val="none"/>
              </w:rPr>
              <w:t>5</w:t>
            </w:r>
            <w:r>
              <w:rPr>
                <w:rFonts w:hint="eastAsia" w:ascii="宋体" w:eastAsia="宋体"/>
                <w:b w:val="0"/>
                <w:color w:val="auto"/>
                <w:sz w:val="22"/>
                <w:highlight w:val="none"/>
              </w:rPr>
              <w:t>分</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3079B461">
            <w:pPr>
              <w:spacing w:line="360" w:lineRule="auto"/>
              <w:rPr>
                <w:rFonts w:hint="eastAsia" w:ascii="宋体" w:eastAsia="宋体"/>
                <w:b w:val="0"/>
                <w:color w:val="auto"/>
                <w:sz w:val="22"/>
                <w:highlight w:val="none"/>
              </w:rPr>
            </w:pPr>
            <w:r>
              <w:rPr>
                <w:rFonts w:hint="eastAsia" w:ascii="宋体" w:eastAsia="宋体"/>
                <w:b w:val="0"/>
                <w:color w:val="auto"/>
                <w:sz w:val="22"/>
                <w:highlight w:val="none"/>
              </w:rPr>
              <w:t>根据供应商图书质量保证措施由评委进行打分。图书质量保证措施完善、可行的</w:t>
            </w:r>
            <w:r>
              <w:rPr>
                <w:rFonts w:hint="eastAsia" w:ascii="宋体"/>
                <w:b w:val="0"/>
                <w:color w:val="auto"/>
                <w:sz w:val="22"/>
                <w:highlight w:val="none"/>
                <w:lang w:eastAsia="zh-CN"/>
              </w:rPr>
              <w:t>（</w:t>
            </w:r>
            <w:r>
              <w:rPr>
                <w:rFonts w:hint="eastAsia" w:ascii="宋体"/>
                <w:b w:val="0"/>
                <w:color w:val="auto"/>
                <w:sz w:val="22"/>
                <w:highlight w:val="none"/>
                <w:lang w:val="en-US" w:eastAsia="zh-CN"/>
              </w:rPr>
              <w:t>5、4）</w:t>
            </w:r>
            <w:r>
              <w:rPr>
                <w:rFonts w:hint="eastAsia" w:ascii="宋体" w:eastAsia="宋体"/>
                <w:b w:val="0"/>
                <w:color w:val="auto"/>
                <w:sz w:val="22"/>
                <w:highlight w:val="none"/>
              </w:rPr>
              <w:t>分，基本完善可行的</w:t>
            </w:r>
            <w:r>
              <w:rPr>
                <w:rFonts w:hint="eastAsia" w:ascii="宋体"/>
                <w:b w:val="0"/>
                <w:color w:val="auto"/>
                <w:sz w:val="22"/>
                <w:highlight w:val="none"/>
                <w:lang w:eastAsia="zh-CN"/>
              </w:rPr>
              <w:t>（</w:t>
            </w:r>
            <w:r>
              <w:rPr>
                <w:rFonts w:hint="eastAsia" w:ascii="宋体"/>
                <w:b w:val="0"/>
                <w:color w:val="auto"/>
                <w:sz w:val="22"/>
                <w:highlight w:val="none"/>
                <w:lang w:val="en-US" w:eastAsia="zh-CN"/>
              </w:rPr>
              <w:t>3、2）</w:t>
            </w:r>
            <w:r>
              <w:rPr>
                <w:rFonts w:hint="eastAsia" w:ascii="宋体" w:eastAsia="宋体"/>
                <w:b w:val="0"/>
                <w:color w:val="auto"/>
                <w:sz w:val="22"/>
                <w:highlight w:val="none"/>
              </w:rPr>
              <w:t>分，可行性差</w:t>
            </w:r>
            <w:r>
              <w:rPr>
                <w:rFonts w:hint="eastAsia" w:ascii="宋体"/>
                <w:b w:val="0"/>
                <w:color w:val="auto"/>
                <w:sz w:val="22"/>
                <w:highlight w:val="none"/>
                <w:lang w:eastAsia="zh-CN"/>
              </w:rPr>
              <w:t>（</w:t>
            </w:r>
            <w:r>
              <w:rPr>
                <w:rFonts w:hint="eastAsia" w:ascii="宋体"/>
                <w:b w:val="0"/>
                <w:color w:val="auto"/>
                <w:sz w:val="22"/>
                <w:highlight w:val="none"/>
                <w:lang w:val="en-US" w:eastAsia="zh-CN"/>
              </w:rPr>
              <w:t>1、0）</w:t>
            </w:r>
            <w:r>
              <w:rPr>
                <w:rFonts w:hint="eastAsia" w:ascii="宋体" w:eastAsia="宋体"/>
                <w:b w:val="0"/>
                <w:color w:val="auto"/>
                <w:sz w:val="22"/>
                <w:highlight w:val="none"/>
              </w:rPr>
              <w:t>分。</w:t>
            </w:r>
          </w:p>
        </w:tc>
      </w:tr>
      <w:tr w14:paraId="4096F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14:paraId="2EE4DB94">
            <w:pPr>
              <w:spacing w:line="360" w:lineRule="auto"/>
              <w:jc w:val="center"/>
              <w:rPr>
                <w:rFonts w:hint="eastAsia" w:ascii="宋体" w:eastAsia="宋体"/>
                <w:b w:val="0"/>
                <w:color w:val="auto"/>
                <w:sz w:val="22"/>
                <w:highlight w:val="none"/>
              </w:rPr>
            </w:pPr>
            <w:r>
              <w:rPr>
                <w:rFonts w:hint="eastAsia" w:ascii="宋体" w:eastAsia="宋体"/>
                <w:b w:val="0"/>
                <w:color w:val="auto"/>
                <w:sz w:val="22"/>
                <w:highlight w:val="none"/>
              </w:rPr>
              <w:t>9</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219D886B">
            <w:pPr>
              <w:spacing w:line="360" w:lineRule="auto"/>
              <w:jc w:val="center"/>
              <w:rPr>
                <w:rFonts w:hint="eastAsia" w:ascii="宋体" w:eastAsia="宋体"/>
                <w:b w:val="0"/>
                <w:color w:val="auto"/>
                <w:sz w:val="22"/>
                <w:highlight w:val="none"/>
              </w:rPr>
            </w:pPr>
            <w:r>
              <w:rPr>
                <w:rFonts w:hint="eastAsia" w:ascii="宋体" w:eastAsia="宋体"/>
                <w:b w:val="0"/>
                <w:color w:val="auto"/>
                <w:sz w:val="22"/>
                <w:highlight w:val="none"/>
              </w:rPr>
              <w:t>图书退换方案、对到书率不足部分处理的方案及承诺</w:t>
            </w:r>
          </w:p>
        </w:tc>
        <w:tc>
          <w:tcPr>
            <w:tcW w:w="952" w:type="dxa"/>
            <w:tcBorders>
              <w:top w:val="single" w:color="auto" w:sz="4" w:space="0"/>
              <w:left w:val="single" w:color="auto" w:sz="4" w:space="0"/>
              <w:bottom w:val="single" w:color="auto" w:sz="4" w:space="0"/>
              <w:right w:val="single" w:color="auto" w:sz="4" w:space="0"/>
            </w:tcBorders>
            <w:noWrap w:val="0"/>
            <w:vAlign w:val="center"/>
          </w:tcPr>
          <w:p w14:paraId="67D8541A">
            <w:pPr>
              <w:spacing w:line="360" w:lineRule="auto"/>
              <w:jc w:val="center"/>
              <w:rPr>
                <w:rFonts w:hint="eastAsia" w:ascii="宋体" w:eastAsia="宋体"/>
                <w:b w:val="0"/>
                <w:color w:val="auto"/>
                <w:sz w:val="22"/>
                <w:highlight w:val="none"/>
              </w:rPr>
            </w:pPr>
            <w:r>
              <w:rPr>
                <w:rFonts w:ascii="宋体" w:eastAsia="宋体"/>
                <w:b w:val="0"/>
                <w:color w:val="auto"/>
                <w:sz w:val="22"/>
                <w:highlight w:val="none"/>
              </w:rPr>
              <w:t>8</w:t>
            </w:r>
            <w:r>
              <w:rPr>
                <w:rFonts w:hint="eastAsia" w:ascii="宋体" w:eastAsia="宋体"/>
                <w:b w:val="0"/>
                <w:color w:val="auto"/>
                <w:sz w:val="22"/>
                <w:highlight w:val="none"/>
              </w:rPr>
              <w:t>分</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7EF9925A">
            <w:pPr>
              <w:spacing w:line="360" w:lineRule="auto"/>
              <w:rPr>
                <w:rFonts w:hint="eastAsia" w:ascii="宋体" w:eastAsia="宋体"/>
                <w:b w:val="0"/>
                <w:color w:val="auto"/>
                <w:sz w:val="22"/>
                <w:highlight w:val="none"/>
              </w:rPr>
            </w:pPr>
            <w:r>
              <w:rPr>
                <w:rFonts w:hint="eastAsia" w:ascii="宋体" w:eastAsia="宋体"/>
                <w:b w:val="0"/>
                <w:color w:val="auto"/>
                <w:sz w:val="22"/>
                <w:highlight w:val="none"/>
              </w:rPr>
              <w:t>1、满足图书退换要求，对图书质量问题、与采购要求不符、与预订不符等原因退书的处理方案及处理速度等，由评委综合打分。</w:t>
            </w:r>
          </w:p>
          <w:p w14:paraId="7B228F25">
            <w:pPr>
              <w:spacing w:line="360" w:lineRule="auto"/>
              <w:rPr>
                <w:rFonts w:hint="default" w:ascii="宋体" w:eastAsia="宋体"/>
                <w:b w:val="0"/>
                <w:color w:val="auto"/>
                <w:sz w:val="22"/>
                <w:highlight w:val="none"/>
                <w:lang w:val="en-US"/>
              </w:rPr>
            </w:pPr>
            <w:r>
              <w:rPr>
                <w:rFonts w:hint="eastAsia" w:ascii="宋体"/>
                <w:b w:val="0"/>
                <w:color w:val="auto"/>
                <w:sz w:val="22"/>
                <w:highlight w:val="none"/>
                <w:lang w:val="en-US" w:eastAsia="zh-CN"/>
              </w:rPr>
              <w:t>评分范围（4、3、2、1、0分）</w:t>
            </w:r>
          </w:p>
          <w:p w14:paraId="685FAA63">
            <w:pPr>
              <w:spacing w:line="360" w:lineRule="auto"/>
              <w:rPr>
                <w:rFonts w:hint="eastAsia" w:ascii="宋体" w:eastAsia="宋体"/>
                <w:b w:val="0"/>
                <w:color w:val="auto"/>
                <w:sz w:val="22"/>
                <w:highlight w:val="none"/>
              </w:rPr>
            </w:pPr>
            <w:r>
              <w:rPr>
                <w:rFonts w:hint="eastAsia" w:ascii="宋体" w:eastAsia="宋体"/>
                <w:b w:val="0"/>
                <w:color w:val="auto"/>
                <w:sz w:val="22"/>
                <w:highlight w:val="none"/>
              </w:rPr>
              <w:t>2、对到书率不足部分处理的方案及承诺</w:t>
            </w:r>
            <w:r>
              <w:rPr>
                <w:rFonts w:hint="eastAsia" w:ascii="宋体"/>
                <w:b w:val="0"/>
                <w:color w:val="auto"/>
                <w:sz w:val="22"/>
                <w:highlight w:val="none"/>
                <w:lang w:eastAsia="zh-CN"/>
              </w:rPr>
              <w:t>，</w:t>
            </w:r>
            <w:r>
              <w:rPr>
                <w:rFonts w:hint="eastAsia" w:ascii="宋体" w:eastAsia="宋体"/>
                <w:b w:val="0"/>
                <w:color w:val="auto"/>
                <w:sz w:val="22"/>
                <w:highlight w:val="none"/>
              </w:rPr>
              <w:t>由评委进行综合打分。</w:t>
            </w:r>
          </w:p>
          <w:p w14:paraId="46AB05B9">
            <w:pPr>
              <w:spacing w:line="360" w:lineRule="auto"/>
              <w:rPr>
                <w:rFonts w:hint="eastAsia" w:ascii="宋体" w:eastAsia="宋体"/>
                <w:b w:val="0"/>
                <w:color w:val="auto"/>
                <w:sz w:val="22"/>
                <w:highlight w:val="none"/>
              </w:rPr>
            </w:pPr>
            <w:r>
              <w:rPr>
                <w:rFonts w:hint="eastAsia" w:ascii="宋体"/>
                <w:b w:val="0"/>
                <w:color w:val="auto"/>
                <w:sz w:val="22"/>
                <w:highlight w:val="none"/>
                <w:lang w:val="en-US" w:eastAsia="zh-CN"/>
              </w:rPr>
              <w:t>评分范围（4、3、2、1、0分）</w:t>
            </w:r>
          </w:p>
        </w:tc>
      </w:tr>
      <w:tr w14:paraId="2FE7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646" w:type="dxa"/>
            <w:vMerge w:val="restart"/>
            <w:tcBorders>
              <w:top w:val="single" w:color="auto" w:sz="4" w:space="0"/>
              <w:left w:val="single" w:color="auto" w:sz="4" w:space="0"/>
              <w:right w:val="single" w:color="auto" w:sz="4" w:space="0"/>
            </w:tcBorders>
            <w:noWrap w:val="0"/>
            <w:vAlign w:val="center"/>
          </w:tcPr>
          <w:p w14:paraId="74EACF9E">
            <w:pPr>
              <w:spacing w:line="360" w:lineRule="auto"/>
              <w:jc w:val="center"/>
              <w:rPr>
                <w:rFonts w:hint="eastAsia" w:ascii="宋体" w:eastAsia="宋体"/>
                <w:b w:val="0"/>
                <w:color w:val="auto"/>
                <w:sz w:val="22"/>
                <w:highlight w:val="none"/>
              </w:rPr>
            </w:pPr>
            <w:r>
              <w:rPr>
                <w:rFonts w:hint="eastAsia" w:ascii="宋体" w:eastAsia="宋体"/>
                <w:b w:val="0"/>
                <w:color w:val="auto"/>
                <w:sz w:val="22"/>
                <w:highlight w:val="none"/>
              </w:rPr>
              <w:t>1</w:t>
            </w:r>
            <w:r>
              <w:rPr>
                <w:rFonts w:ascii="宋体" w:eastAsia="宋体"/>
                <w:b w:val="0"/>
                <w:color w:val="auto"/>
                <w:sz w:val="22"/>
                <w:highlight w:val="none"/>
              </w:rPr>
              <w:t>0</w:t>
            </w:r>
          </w:p>
        </w:tc>
        <w:tc>
          <w:tcPr>
            <w:tcW w:w="1590" w:type="dxa"/>
            <w:vMerge w:val="restart"/>
            <w:tcBorders>
              <w:top w:val="single" w:color="auto" w:sz="4" w:space="0"/>
              <w:left w:val="single" w:color="auto" w:sz="4" w:space="0"/>
              <w:right w:val="single" w:color="auto" w:sz="4" w:space="0"/>
            </w:tcBorders>
            <w:noWrap w:val="0"/>
            <w:vAlign w:val="center"/>
          </w:tcPr>
          <w:p w14:paraId="5934707D">
            <w:pPr>
              <w:spacing w:line="360" w:lineRule="auto"/>
              <w:jc w:val="center"/>
              <w:rPr>
                <w:rFonts w:hint="eastAsia" w:ascii="宋体" w:eastAsia="宋体"/>
                <w:b w:val="0"/>
                <w:bCs/>
                <w:color w:val="auto"/>
                <w:sz w:val="22"/>
                <w:highlight w:val="none"/>
              </w:rPr>
            </w:pPr>
            <w:r>
              <w:rPr>
                <w:rFonts w:hint="eastAsia" w:ascii="宋体" w:eastAsia="宋体" w:cs="宋体"/>
                <w:b w:val="0"/>
                <w:bCs/>
                <w:color w:val="auto"/>
                <w:sz w:val="22"/>
                <w:highlight w:val="none"/>
              </w:rPr>
              <w:t>编目加工</w:t>
            </w:r>
          </w:p>
        </w:tc>
        <w:tc>
          <w:tcPr>
            <w:tcW w:w="952" w:type="dxa"/>
            <w:tcBorders>
              <w:top w:val="single" w:color="auto" w:sz="4" w:space="0"/>
              <w:left w:val="single" w:color="auto" w:sz="4" w:space="0"/>
              <w:bottom w:val="single" w:color="auto" w:sz="4" w:space="0"/>
              <w:right w:val="single" w:color="auto" w:sz="4" w:space="0"/>
            </w:tcBorders>
            <w:noWrap w:val="0"/>
            <w:vAlign w:val="center"/>
          </w:tcPr>
          <w:p w14:paraId="13737B1C">
            <w:pPr>
              <w:spacing w:line="360" w:lineRule="auto"/>
              <w:jc w:val="center"/>
              <w:rPr>
                <w:rFonts w:hint="eastAsia" w:ascii="宋体" w:eastAsia="宋体"/>
                <w:b w:val="0"/>
                <w:color w:val="auto"/>
                <w:sz w:val="22"/>
                <w:highlight w:val="none"/>
              </w:rPr>
            </w:pPr>
            <w:r>
              <w:rPr>
                <w:rFonts w:hint="eastAsia" w:ascii="宋体"/>
                <w:b w:val="0"/>
                <w:color w:val="auto"/>
                <w:sz w:val="22"/>
                <w:highlight w:val="none"/>
                <w:lang w:val="en-US" w:eastAsia="zh-CN"/>
              </w:rPr>
              <w:t>2</w:t>
            </w:r>
            <w:r>
              <w:rPr>
                <w:rFonts w:hint="eastAsia" w:ascii="宋体" w:eastAsia="宋体"/>
                <w:b w:val="0"/>
                <w:color w:val="auto"/>
                <w:sz w:val="22"/>
                <w:highlight w:val="none"/>
              </w:rPr>
              <w:t>分</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3B1FE181">
            <w:pPr>
              <w:numPr>
                <w:ilvl w:val="0"/>
                <w:numId w:val="0"/>
              </w:numPr>
              <w:spacing w:line="360" w:lineRule="auto"/>
              <w:rPr>
                <w:rFonts w:ascii="宋体" w:eastAsia="宋体"/>
                <w:b w:val="0"/>
                <w:color w:val="auto"/>
                <w:sz w:val="22"/>
                <w:highlight w:val="none"/>
              </w:rPr>
            </w:pPr>
            <w:r>
              <w:rPr>
                <w:rFonts w:ascii="宋体" w:hAnsi="Times New Roman" w:eastAsia="宋体" w:cs="Times New Roman"/>
                <w:b w:val="0"/>
                <w:color w:val="auto"/>
                <w:kern w:val="2"/>
                <w:sz w:val="22"/>
                <w:szCs w:val="24"/>
                <w:highlight w:val="none"/>
                <w:lang w:val="en-US" w:eastAsia="zh-CN" w:bidi="ar-SA"/>
              </w:rPr>
              <w:t>1、</w:t>
            </w:r>
            <w:r>
              <w:rPr>
                <w:rFonts w:ascii="宋体" w:eastAsia="宋体"/>
                <w:b w:val="0"/>
                <w:color w:val="auto"/>
                <w:sz w:val="22"/>
                <w:highlight w:val="none"/>
              </w:rPr>
              <w:t>根据投标供应商提供的到馆编目加工服务方案由评委打分</w:t>
            </w:r>
          </w:p>
          <w:p w14:paraId="435B08F4">
            <w:pPr>
              <w:numPr>
                <w:ilvl w:val="0"/>
                <w:numId w:val="0"/>
              </w:numPr>
              <w:spacing w:line="360" w:lineRule="auto"/>
              <w:rPr>
                <w:rFonts w:hint="eastAsia" w:ascii="宋体" w:eastAsia="宋体"/>
                <w:b w:val="0"/>
                <w:color w:val="auto"/>
                <w:sz w:val="22"/>
                <w:highlight w:val="none"/>
              </w:rPr>
            </w:pPr>
            <w:r>
              <w:rPr>
                <w:rFonts w:hint="eastAsia" w:ascii="宋体"/>
                <w:b w:val="0"/>
                <w:color w:val="auto"/>
                <w:sz w:val="22"/>
                <w:highlight w:val="none"/>
                <w:lang w:val="en-US" w:eastAsia="zh-CN"/>
              </w:rPr>
              <w:t>评分范围（2、1、0分）</w:t>
            </w:r>
            <w:r>
              <w:rPr>
                <w:rFonts w:ascii="宋体" w:eastAsia="宋体"/>
                <w:b w:val="0"/>
                <w:color w:val="auto"/>
                <w:sz w:val="22"/>
                <w:highlight w:val="none"/>
              </w:rPr>
              <w:t>。</w:t>
            </w:r>
          </w:p>
        </w:tc>
      </w:tr>
      <w:tr w14:paraId="3095D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646" w:type="dxa"/>
            <w:vMerge w:val="continue"/>
            <w:tcBorders>
              <w:left w:val="single" w:color="auto" w:sz="4" w:space="0"/>
              <w:bottom w:val="single" w:color="auto" w:sz="4" w:space="0"/>
              <w:right w:val="single" w:color="auto" w:sz="4" w:space="0"/>
            </w:tcBorders>
            <w:noWrap w:val="0"/>
            <w:vAlign w:val="center"/>
          </w:tcPr>
          <w:p w14:paraId="0643BAE8">
            <w:pPr>
              <w:spacing w:line="360" w:lineRule="auto"/>
              <w:jc w:val="center"/>
              <w:rPr>
                <w:rFonts w:hint="eastAsia" w:ascii="宋体" w:eastAsia="宋体"/>
                <w:b w:val="0"/>
                <w:color w:val="auto"/>
                <w:sz w:val="22"/>
                <w:highlight w:val="none"/>
              </w:rPr>
            </w:pPr>
          </w:p>
        </w:tc>
        <w:tc>
          <w:tcPr>
            <w:tcW w:w="1590" w:type="dxa"/>
            <w:vMerge w:val="continue"/>
            <w:tcBorders>
              <w:left w:val="single" w:color="auto" w:sz="4" w:space="0"/>
              <w:bottom w:val="single" w:color="auto" w:sz="4" w:space="0"/>
              <w:right w:val="single" w:color="auto" w:sz="4" w:space="0"/>
            </w:tcBorders>
            <w:noWrap w:val="0"/>
            <w:vAlign w:val="center"/>
          </w:tcPr>
          <w:p w14:paraId="5DA8374D">
            <w:pPr>
              <w:spacing w:line="360" w:lineRule="auto"/>
              <w:jc w:val="center"/>
              <w:rPr>
                <w:rFonts w:hint="eastAsia" w:ascii="宋体" w:eastAsia="宋体" w:cs="宋体"/>
                <w:b w:val="0"/>
                <w:bCs/>
                <w:color w:val="auto"/>
                <w:sz w:val="22"/>
                <w:highlight w:val="none"/>
              </w:rPr>
            </w:pPr>
          </w:p>
        </w:tc>
        <w:tc>
          <w:tcPr>
            <w:tcW w:w="952" w:type="dxa"/>
            <w:tcBorders>
              <w:top w:val="single" w:color="auto" w:sz="4" w:space="0"/>
              <w:left w:val="single" w:color="auto" w:sz="4" w:space="0"/>
              <w:bottom w:val="single" w:color="auto" w:sz="4" w:space="0"/>
              <w:right w:val="single" w:color="auto" w:sz="4" w:space="0"/>
            </w:tcBorders>
            <w:noWrap w:val="0"/>
            <w:vAlign w:val="center"/>
          </w:tcPr>
          <w:p w14:paraId="2FCB92AB">
            <w:pPr>
              <w:spacing w:line="360" w:lineRule="auto"/>
              <w:jc w:val="center"/>
              <w:rPr>
                <w:rFonts w:hint="default" w:ascii="宋体" w:eastAsia="宋体"/>
                <w:b w:val="0"/>
                <w:bCs w:val="0"/>
                <w:color w:val="auto"/>
                <w:sz w:val="22"/>
                <w:highlight w:val="none"/>
                <w:lang w:val="en-US" w:eastAsia="zh-CN"/>
              </w:rPr>
            </w:pPr>
            <w:r>
              <w:rPr>
                <w:rFonts w:hint="eastAsia" w:ascii="宋体"/>
                <w:b w:val="0"/>
                <w:bCs w:val="0"/>
                <w:color w:val="auto"/>
                <w:sz w:val="22"/>
                <w:highlight w:val="none"/>
                <w:lang w:val="en-US" w:eastAsia="zh-CN"/>
              </w:rPr>
              <w:t>2</w:t>
            </w:r>
            <w:r>
              <w:rPr>
                <w:rFonts w:hint="eastAsia" w:ascii="宋体" w:eastAsia="宋体"/>
                <w:b w:val="0"/>
                <w:bCs w:val="0"/>
                <w:color w:val="auto"/>
                <w:sz w:val="22"/>
                <w:highlight w:val="none"/>
              </w:rPr>
              <w:t>分</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42B3ABC9">
            <w:pPr>
              <w:numPr>
                <w:ilvl w:val="0"/>
                <w:numId w:val="0"/>
              </w:numPr>
              <w:spacing w:line="360" w:lineRule="auto"/>
              <w:rPr>
                <w:rFonts w:hint="eastAsia" w:ascii="宋体" w:eastAsia="宋体" w:cs="Times New Roman"/>
                <w:b w:val="0"/>
                <w:bCs w:val="0"/>
                <w:color w:val="auto"/>
                <w:sz w:val="22"/>
                <w:highlight w:val="none"/>
              </w:rPr>
            </w:pPr>
            <w:r>
              <w:rPr>
                <w:rFonts w:hint="eastAsia" w:ascii="宋体" w:hAnsi="Times New Roman" w:eastAsia="宋体" w:cs="Times New Roman"/>
                <w:b w:val="0"/>
                <w:bCs w:val="0"/>
                <w:color w:val="auto"/>
                <w:kern w:val="2"/>
                <w:sz w:val="22"/>
                <w:szCs w:val="24"/>
                <w:highlight w:val="none"/>
                <w:lang w:val="en-US" w:eastAsia="zh-CN" w:bidi="ar-SA"/>
              </w:rPr>
              <w:t>2、</w:t>
            </w:r>
            <w:r>
              <w:rPr>
                <w:rFonts w:hint="eastAsia" w:ascii="宋体" w:eastAsia="宋体" w:cs="Times New Roman"/>
                <w:b w:val="0"/>
                <w:bCs w:val="0"/>
                <w:color w:val="auto"/>
                <w:sz w:val="22"/>
                <w:highlight w:val="none"/>
              </w:rPr>
              <w:t>以往完成同类项目，能根据采购人要求在规定时间内完成编目、上架，得到采购人认可的，提供采购人盖章的相关证明资料，每个采购人的证明得1分（同一个采购人的证明只计一次得分，不累加），最高得</w:t>
            </w:r>
            <w:r>
              <w:rPr>
                <w:rFonts w:hint="eastAsia" w:ascii="宋体" w:eastAsia="宋体" w:cs="Times New Roman"/>
                <w:b w:val="0"/>
                <w:bCs w:val="0"/>
                <w:color w:val="auto"/>
                <w:sz w:val="22"/>
                <w:highlight w:val="none"/>
                <w:lang w:val="en-US" w:eastAsia="zh-CN"/>
              </w:rPr>
              <w:t>2</w:t>
            </w:r>
            <w:r>
              <w:rPr>
                <w:rFonts w:hint="eastAsia" w:ascii="宋体" w:eastAsia="宋体" w:cs="Times New Roman"/>
                <w:b w:val="0"/>
                <w:bCs w:val="0"/>
                <w:color w:val="auto"/>
                <w:sz w:val="22"/>
                <w:highlight w:val="none"/>
              </w:rPr>
              <w:t>分。</w:t>
            </w:r>
          </w:p>
        </w:tc>
      </w:tr>
      <w:tr w14:paraId="0D54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14:paraId="4E0F7D06">
            <w:pPr>
              <w:spacing w:line="360" w:lineRule="auto"/>
              <w:jc w:val="center"/>
              <w:rPr>
                <w:rFonts w:hint="eastAsia" w:ascii="宋体" w:eastAsia="宋体"/>
                <w:b w:val="0"/>
                <w:color w:val="auto"/>
                <w:sz w:val="22"/>
                <w:highlight w:val="none"/>
              </w:rPr>
            </w:pPr>
            <w:r>
              <w:rPr>
                <w:rFonts w:hint="eastAsia" w:ascii="宋体" w:eastAsia="宋体"/>
                <w:b w:val="0"/>
                <w:color w:val="auto"/>
                <w:sz w:val="22"/>
                <w:highlight w:val="none"/>
              </w:rPr>
              <w:t>1</w:t>
            </w:r>
            <w:r>
              <w:rPr>
                <w:rFonts w:ascii="宋体" w:eastAsia="宋体"/>
                <w:b w:val="0"/>
                <w:color w:val="auto"/>
                <w:sz w:val="22"/>
                <w:highlight w:val="none"/>
              </w:rPr>
              <w:t>1</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43ACA7D8">
            <w:pPr>
              <w:spacing w:line="360" w:lineRule="auto"/>
              <w:jc w:val="center"/>
              <w:rPr>
                <w:rFonts w:hint="eastAsia" w:ascii="宋体" w:eastAsia="宋体"/>
                <w:b w:val="0"/>
                <w:color w:val="auto"/>
                <w:sz w:val="22"/>
                <w:highlight w:val="none"/>
              </w:rPr>
            </w:pPr>
            <w:r>
              <w:rPr>
                <w:rFonts w:hint="eastAsia" w:ascii="宋体" w:eastAsia="宋体"/>
                <w:b w:val="0"/>
                <w:color w:val="auto"/>
                <w:sz w:val="22"/>
                <w:highlight w:val="none"/>
              </w:rPr>
              <w:t>售后服务</w:t>
            </w:r>
          </w:p>
        </w:tc>
        <w:tc>
          <w:tcPr>
            <w:tcW w:w="952" w:type="dxa"/>
            <w:tcBorders>
              <w:top w:val="single" w:color="auto" w:sz="4" w:space="0"/>
              <w:left w:val="single" w:color="auto" w:sz="4" w:space="0"/>
              <w:bottom w:val="single" w:color="auto" w:sz="4" w:space="0"/>
              <w:right w:val="single" w:color="auto" w:sz="4" w:space="0"/>
            </w:tcBorders>
            <w:noWrap w:val="0"/>
            <w:vAlign w:val="center"/>
          </w:tcPr>
          <w:p w14:paraId="2C2A17CA">
            <w:pPr>
              <w:spacing w:line="360" w:lineRule="auto"/>
              <w:jc w:val="center"/>
              <w:rPr>
                <w:rFonts w:hint="eastAsia" w:ascii="宋体" w:eastAsia="宋体"/>
                <w:b w:val="0"/>
                <w:color w:val="auto"/>
                <w:sz w:val="22"/>
                <w:highlight w:val="none"/>
              </w:rPr>
            </w:pPr>
            <w:r>
              <w:rPr>
                <w:rFonts w:hint="eastAsia" w:ascii="宋体" w:eastAsia="宋体"/>
                <w:b w:val="0"/>
                <w:color w:val="auto"/>
                <w:sz w:val="22"/>
                <w:highlight w:val="none"/>
                <w:lang w:val="en-US" w:eastAsia="zh-CN"/>
              </w:rPr>
              <w:t>5</w:t>
            </w:r>
            <w:r>
              <w:rPr>
                <w:rFonts w:hint="eastAsia" w:ascii="宋体" w:eastAsia="宋体"/>
                <w:b w:val="0"/>
                <w:color w:val="auto"/>
                <w:sz w:val="22"/>
                <w:highlight w:val="none"/>
              </w:rPr>
              <w:t>分</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4494D9F8">
            <w:pPr>
              <w:spacing w:line="360" w:lineRule="auto"/>
              <w:rPr>
                <w:rFonts w:hint="eastAsia" w:ascii="宋体" w:eastAsia="宋体"/>
                <w:b w:val="0"/>
                <w:color w:val="auto"/>
                <w:sz w:val="22"/>
                <w:highlight w:val="none"/>
                <w:lang w:eastAsia="zh-CN"/>
              </w:rPr>
            </w:pPr>
            <w:r>
              <w:rPr>
                <w:rFonts w:hint="eastAsia" w:ascii="宋体" w:eastAsia="宋体"/>
                <w:b w:val="0"/>
                <w:color w:val="auto"/>
                <w:sz w:val="22"/>
                <w:highlight w:val="none"/>
              </w:rPr>
              <w:t>售后服务机构（或办事处）能及时提供完善的售后服务，评委根据售后服务点的综合介绍、售后服务方案等，售后服务地点以相关主管部门的登记证明为准，由评委综合打分</w:t>
            </w:r>
            <w:r>
              <w:rPr>
                <w:rFonts w:hint="eastAsia" w:ascii="宋体"/>
                <w:b w:val="0"/>
                <w:color w:val="auto"/>
                <w:sz w:val="22"/>
                <w:highlight w:val="none"/>
                <w:lang w:eastAsia="zh-CN"/>
              </w:rPr>
              <w:t>。</w:t>
            </w:r>
            <w:r>
              <w:rPr>
                <w:rFonts w:hint="eastAsia" w:ascii="宋体"/>
                <w:b w:val="0"/>
                <w:color w:val="auto"/>
                <w:sz w:val="22"/>
                <w:highlight w:val="none"/>
                <w:lang w:val="en-US" w:eastAsia="zh-CN"/>
              </w:rPr>
              <w:t>评分范围（5、4、3、2、1、0分）</w:t>
            </w:r>
          </w:p>
        </w:tc>
      </w:tr>
      <w:tr w14:paraId="5586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14:paraId="1DB2C206">
            <w:pPr>
              <w:spacing w:line="360" w:lineRule="auto"/>
              <w:jc w:val="center"/>
              <w:rPr>
                <w:rFonts w:hint="eastAsia" w:ascii="宋体" w:eastAsia="宋体"/>
                <w:b w:val="0"/>
                <w:color w:val="auto"/>
                <w:sz w:val="22"/>
                <w:highlight w:val="none"/>
              </w:rPr>
            </w:pPr>
            <w:r>
              <w:rPr>
                <w:rFonts w:hint="eastAsia" w:ascii="宋体" w:eastAsia="宋体"/>
                <w:b w:val="0"/>
                <w:color w:val="auto"/>
                <w:sz w:val="22"/>
                <w:highlight w:val="none"/>
              </w:rPr>
              <w:t>1</w:t>
            </w:r>
            <w:r>
              <w:rPr>
                <w:rFonts w:ascii="宋体" w:eastAsia="宋体"/>
                <w:b w:val="0"/>
                <w:color w:val="auto"/>
                <w:sz w:val="22"/>
                <w:highlight w:val="none"/>
              </w:rPr>
              <w:t>2</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20BB7608">
            <w:pPr>
              <w:spacing w:line="360" w:lineRule="auto"/>
              <w:jc w:val="center"/>
              <w:rPr>
                <w:rFonts w:hint="eastAsia" w:ascii="宋体" w:eastAsia="宋体"/>
                <w:b w:val="0"/>
                <w:color w:val="auto"/>
                <w:sz w:val="22"/>
                <w:highlight w:val="none"/>
              </w:rPr>
            </w:pPr>
            <w:r>
              <w:rPr>
                <w:rFonts w:hint="eastAsia" w:ascii="宋体" w:eastAsia="宋体"/>
                <w:b w:val="0"/>
                <w:color w:val="auto"/>
                <w:sz w:val="22"/>
                <w:highlight w:val="none"/>
              </w:rPr>
              <w:t>特色服务</w:t>
            </w:r>
          </w:p>
        </w:tc>
        <w:tc>
          <w:tcPr>
            <w:tcW w:w="952" w:type="dxa"/>
            <w:tcBorders>
              <w:top w:val="single" w:color="auto" w:sz="4" w:space="0"/>
              <w:left w:val="single" w:color="auto" w:sz="4" w:space="0"/>
              <w:bottom w:val="single" w:color="auto" w:sz="4" w:space="0"/>
              <w:right w:val="single" w:color="auto" w:sz="4" w:space="0"/>
            </w:tcBorders>
            <w:noWrap w:val="0"/>
            <w:vAlign w:val="center"/>
          </w:tcPr>
          <w:p w14:paraId="2770B0F4">
            <w:pPr>
              <w:spacing w:line="360" w:lineRule="auto"/>
              <w:jc w:val="center"/>
              <w:rPr>
                <w:rFonts w:hint="eastAsia" w:ascii="宋体" w:eastAsia="宋体"/>
                <w:b w:val="0"/>
                <w:color w:val="auto"/>
                <w:sz w:val="22"/>
                <w:highlight w:val="none"/>
              </w:rPr>
            </w:pPr>
            <w:r>
              <w:rPr>
                <w:rFonts w:hint="eastAsia" w:ascii="宋体" w:eastAsia="宋体"/>
                <w:b w:val="0"/>
                <w:color w:val="auto"/>
                <w:sz w:val="22"/>
                <w:highlight w:val="none"/>
                <w:lang w:val="en-US" w:eastAsia="zh-CN"/>
              </w:rPr>
              <w:t>3</w:t>
            </w:r>
            <w:r>
              <w:rPr>
                <w:rFonts w:hint="eastAsia" w:ascii="宋体" w:eastAsia="宋体"/>
                <w:b w:val="0"/>
                <w:color w:val="auto"/>
                <w:sz w:val="22"/>
                <w:highlight w:val="none"/>
              </w:rPr>
              <w:t>分</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1C7BD50E">
            <w:pPr>
              <w:spacing w:line="360" w:lineRule="auto"/>
              <w:rPr>
                <w:rFonts w:hint="eastAsia" w:ascii="宋体" w:eastAsia="宋体"/>
                <w:b w:val="0"/>
                <w:color w:val="auto"/>
                <w:sz w:val="22"/>
                <w:highlight w:val="none"/>
              </w:rPr>
            </w:pPr>
            <w:r>
              <w:rPr>
                <w:rFonts w:hint="eastAsia" w:ascii="宋体" w:eastAsia="宋体"/>
                <w:b w:val="0"/>
                <w:color w:val="auto"/>
                <w:sz w:val="22"/>
                <w:highlight w:val="none"/>
              </w:rPr>
              <w:t>根据供应商提供的针对校园与图书相关的特色服务，综合打分</w:t>
            </w:r>
            <w:r>
              <w:rPr>
                <w:rFonts w:hint="eastAsia" w:ascii="宋体"/>
                <w:b w:val="0"/>
                <w:color w:val="auto"/>
                <w:sz w:val="22"/>
                <w:highlight w:val="none"/>
                <w:lang w:eastAsia="zh-CN"/>
              </w:rPr>
              <w:t>。</w:t>
            </w:r>
            <w:r>
              <w:rPr>
                <w:rFonts w:hint="eastAsia" w:ascii="宋体"/>
                <w:b w:val="0"/>
                <w:color w:val="auto"/>
                <w:sz w:val="22"/>
                <w:highlight w:val="none"/>
                <w:lang w:val="en-US" w:eastAsia="zh-CN"/>
              </w:rPr>
              <w:t>评分范围（3、2、1、0分）</w:t>
            </w:r>
          </w:p>
        </w:tc>
      </w:tr>
      <w:tr w14:paraId="4187B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14:paraId="4CA1BB4F">
            <w:pPr>
              <w:spacing w:line="360" w:lineRule="auto"/>
              <w:jc w:val="center"/>
              <w:rPr>
                <w:rFonts w:hint="eastAsia" w:ascii="宋体" w:eastAsia="宋体"/>
                <w:b w:val="0"/>
                <w:color w:val="auto"/>
                <w:sz w:val="22"/>
                <w:highlight w:val="none"/>
              </w:rPr>
            </w:pPr>
            <w:r>
              <w:rPr>
                <w:rFonts w:hint="eastAsia" w:ascii="宋体" w:eastAsia="宋体"/>
                <w:b w:val="0"/>
                <w:color w:val="auto"/>
                <w:sz w:val="22"/>
                <w:highlight w:val="none"/>
              </w:rPr>
              <w:t>1</w:t>
            </w:r>
            <w:r>
              <w:rPr>
                <w:rFonts w:ascii="宋体" w:eastAsia="宋体"/>
                <w:b w:val="0"/>
                <w:color w:val="auto"/>
                <w:sz w:val="22"/>
                <w:highlight w:val="none"/>
              </w:rPr>
              <w:t>3</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05A192B2">
            <w:pPr>
              <w:spacing w:line="360" w:lineRule="auto"/>
              <w:jc w:val="center"/>
              <w:rPr>
                <w:rFonts w:hint="eastAsia" w:ascii="宋体" w:eastAsia="宋体"/>
                <w:b w:val="0"/>
                <w:color w:val="auto"/>
                <w:sz w:val="22"/>
                <w:highlight w:val="none"/>
              </w:rPr>
            </w:pPr>
            <w:r>
              <w:rPr>
                <w:rFonts w:hint="eastAsia" w:ascii="宋体" w:eastAsia="宋体"/>
                <w:b w:val="0"/>
                <w:color w:val="auto"/>
                <w:sz w:val="22"/>
                <w:highlight w:val="none"/>
              </w:rPr>
              <w:t>供应商其他服务等优惠承诺</w:t>
            </w:r>
          </w:p>
        </w:tc>
        <w:tc>
          <w:tcPr>
            <w:tcW w:w="952" w:type="dxa"/>
            <w:tcBorders>
              <w:top w:val="single" w:color="auto" w:sz="4" w:space="0"/>
              <w:left w:val="single" w:color="auto" w:sz="4" w:space="0"/>
              <w:bottom w:val="single" w:color="auto" w:sz="4" w:space="0"/>
              <w:right w:val="single" w:color="auto" w:sz="4" w:space="0"/>
            </w:tcBorders>
            <w:noWrap w:val="0"/>
            <w:vAlign w:val="center"/>
          </w:tcPr>
          <w:p w14:paraId="1B90B19F">
            <w:pPr>
              <w:spacing w:line="360" w:lineRule="auto"/>
              <w:jc w:val="center"/>
              <w:rPr>
                <w:rFonts w:hint="eastAsia" w:ascii="宋体" w:eastAsia="宋体"/>
                <w:b w:val="0"/>
                <w:color w:val="auto"/>
                <w:sz w:val="22"/>
                <w:highlight w:val="none"/>
              </w:rPr>
            </w:pPr>
            <w:r>
              <w:rPr>
                <w:rFonts w:hint="eastAsia" w:ascii="宋体" w:eastAsia="宋体"/>
                <w:b w:val="0"/>
                <w:color w:val="auto"/>
                <w:sz w:val="22"/>
                <w:highlight w:val="none"/>
                <w:lang w:val="en-US" w:eastAsia="zh-CN"/>
              </w:rPr>
              <w:t>2</w:t>
            </w:r>
            <w:r>
              <w:rPr>
                <w:rFonts w:hint="eastAsia" w:ascii="宋体" w:eastAsia="宋体"/>
                <w:b w:val="0"/>
                <w:color w:val="auto"/>
                <w:sz w:val="22"/>
                <w:highlight w:val="none"/>
              </w:rPr>
              <w:t>分</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4232CFD8">
            <w:pPr>
              <w:spacing w:line="360" w:lineRule="auto"/>
              <w:rPr>
                <w:rFonts w:hint="eastAsia" w:ascii="宋体" w:eastAsia="宋体"/>
                <w:b w:val="0"/>
                <w:color w:val="auto"/>
                <w:sz w:val="22"/>
                <w:highlight w:val="none"/>
              </w:rPr>
            </w:pPr>
            <w:r>
              <w:rPr>
                <w:rFonts w:hint="eastAsia" w:ascii="宋体" w:eastAsia="宋体"/>
                <w:b w:val="0"/>
                <w:color w:val="auto"/>
                <w:sz w:val="22"/>
                <w:highlight w:val="none"/>
              </w:rPr>
              <w:t>根据供应商是否提供合理的其他服务等优惠承诺由评委进行综合评价打分。</w:t>
            </w:r>
            <w:r>
              <w:rPr>
                <w:rFonts w:hint="eastAsia" w:ascii="宋体"/>
                <w:b w:val="0"/>
                <w:color w:val="auto"/>
                <w:sz w:val="22"/>
                <w:highlight w:val="none"/>
                <w:lang w:val="en-US" w:eastAsia="zh-CN"/>
              </w:rPr>
              <w:t>评分范围（2、1、0分）</w:t>
            </w:r>
          </w:p>
        </w:tc>
      </w:tr>
      <w:tr w14:paraId="2A321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14:paraId="1C3484D9">
            <w:pPr>
              <w:spacing w:line="360" w:lineRule="auto"/>
              <w:jc w:val="center"/>
              <w:rPr>
                <w:rFonts w:hint="eastAsia" w:ascii="宋体" w:eastAsia="宋体"/>
                <w:b w:val="0"/>
                <w:color w:val="auto"/>
                <w:sz w:val="22"/>
                <w:highlight w:val="none"/>
              </w:rPr>
            </w:pPr>
            <w:r>
              <w:rPr>
                <w:rFonts w:hint="eastAsia" w:ascii="宋体" w:eastAsia="宋体"/>
                <w:b w:val="0"/>
                <w:color w:val="auto"/>
                <w:sz w:val="22"/>
                <w:highlight w:val="none"/>
              </w:rPr>
              <w:t>1</w:t>
            </w:r>
            <w:r>
              <w:rPr>
                <w:rFonts w:ascii="宋体" w:eastAsia="宋体"/>
                <w:b w:val="0"/>
                <w:color w:val="auto"/>
                <w:sz w:val="22"/>
                <w:highlight w:val="none"/>
              </w:rPr>
              <w:t>4</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6D39B65C">
            <w:pPr>
              <w:spacing w:line="360" w:lineRule="auto"/>
              <w:jc w:val="center"/>
              <w:rPr>
                <w:rFonts w:hint="eastAsia" w:ascii="宋体" w:eastAsia="宋体"/>
                <w:b w:val="0"/>
                <w:color w:val="auto"/>
                <w:sz w:val="22"/>
                <w:highlight w:val="none"/>
              </w:rPr>
            </w:pPr>
            <w:r>
              <w:rPr>
                <w:rFonts w:hint="eastAsia" w:ascii="宋体" w:eastAsia="宋体"/>
                <w:b w:val="0"/>
                <w:color w:val="auto"/>
                <w:sz w:val="22"/>
                <w:highlight w:val="none"/>
              </w:rPr>
              <w:t>节能环保</w:t>
            </w:r>
          </w:p>
        </w:tc>
        <w:tc>
          <w:tcPr>
            <w:tcW w:w="952" w:type="dxa"/>
            <w:tcBorders>
              <w:top w:val="single" w:color="auto" w:sz="4" w:space="0"/>
              <w:left w:val="single" w:color="auto" w:sz="4" w:space="0"/>
              <w:bottom w:val="single" w:color="auto" w:sz="4" w:space="0"/>
              <w:right w:val="single" w:color="auto" w:sz="4" w:space="0"/>
            </w:tcBorders>
            <w:noWrap w:val="0"/>
            <w:vAlign w:val="center"/>
          </w:tcPr>
          <w:p w14:paraId="4AA2ACCE">
            <w:pPr>
              <w:spacing w:line="360" w:lineRule="auto"/>
              <w:jc w:val="center"/>
              <w:rPr>
                <w:rFonts w:hint="eastAsia" w:ascii="宋体" w:eastAsia="宋体"/>
                <w:b w:val="0"/>
                <w:color w:val="auto"/>
                <w:sz w:val="22"/>
                <w:highlight w:val="none"/>
              </w:rPr>
            </w:pPr>
            <w:r>
              <w:rPr>
                <w:rFonts w:ascii="宋体" w:eastAsia="宋体"/>
                <w:b w:val="0"/>
                <w:color w:val="auto"/>
                <w:sz w:val="22"/>
                <w:highlight w:val="none"/>
              </w:rPr>
              <w:t>1</w:t>
            </w:r>
            <w:r>
              <w:rPr>
                <w:rFonts w:hint="eastAsia" w:ascii="宋体" w:eastAsia="宋体"/>
                <w:b w:val="0"/>
                <w:color w:val="auto"/>
                <w:sz w:val="22"/>
                <w:highlight w:val="none"/>
              </w:rPr>
              <w:t>分</w:t>
            </w:r>
          </w:p>
        </w:tc>
        <w:tc>
          <w:tcPr>
            <w:tcW w:w="6509" w:type="dxa"/>
            <w:tcBorders>
              <w:top w:val="single" w:color="auto" w:sz="4" w:space="0"/>
              <w:left w:val="single" w:color="auto" w:sz="4" w:space="0"/>
              <w:bottom w:val="single" w:color="auto" w:sz="4" w:space="0"/>
              <w:right w:val="single" w:color="auto" w:sz="4" w:space="0"/>
            </w:tcBorders>
            <w:noWrap w:val="0"/>
            <w:vAlign w:val="top"/>
          </w:tcPr>
          <w:p w14:paraId="0DBF9C82">
            <w:pPr>
              <w:spacing w:line="360" w:lineRule="auto"/>
              <w:rPr>
                <w:rFonts w:hint="eastAsia" w:ascii="宋体" w:eastAsia="宋体"/>
                <w:b w:val="0"/>
                <w:color w:val="auto"/>
                <w:sz w:val="22"/>
                <w:highlight w:val="none"/>
              </w:rPr>
            </w:pPr>
            <w:r>
              <w:rPr>
                <w:rFonts w:hint="eastAsia" w:ascii="新宋体" w:hAnsi="新宋体" w:eastAsia="新宋体" w:cs="新宋体"/>
                <w:color w:val="auto"/>
                <w:sz w:val="22"/>
                <w:szCs w:val="22"/>
                <w:highlight w:val="none"/>
                <w:u w:val="none"/>
              </w:rPr>
              <w:t>提供由《市场监管总局关于发布参与实施政府采购节能产品、环境标志产品认证机构名录的公告》文件指定的环境标志产品认证机构出具的、处于有效期之内的节能产品认证证书复印件得</w:t>
            </w:r>
            <w:r>
              <w:rPr>
                <w:rFonts w:hint="eastAsia" w:ascii="新宋体" w:hAnsi="新宋体" w:eastAsia="新宋体" w:cs="新宋体"/>
                <w:color w:val="auto"/>
                <w:sz w:val="22"/>
                <w:szCs w:val="22"/>
                <w:highlight w:val="none"/>
                <w:u w:val="none"/>
                <w:lang w:val="en-US" w:eastAsia="zh-CN"/>
              </w:rPr>
              <w:t>1</w:t>
            </w:r>
            <w:r>
              <w:rPr>
                <w:rFonts w:hint="eastAsia" w:ascii="新宋体" w:hAnsi="新宋体" w:eastAsia="新宋体" w:cs="新宋体"/>
                <w:color w:val="auto"/>
                <w:sz w:val="22"/>
                <w:szCs w:val="22"/>
                <w:highlight w:val="none"/>
                <w:u w:val="none"/>
              </w:rPr>
              <w:t>分、环境标志产品认证证书复印件得</w:t>
            </w:r>
            <w:r>
              <w:rPr>
                <w:rFonts w:hint="eastAsia" w:ascii="新宋体" w:hAnsi="新宋体" w:eastAsia="新宋体" w:cs="新宋体"/>
                <w:color w:val="auto"/>
                <w:sz w:val="22"/>
                <w:szCs w:val="22"/>
                <w:highlight w:val="none"/>
                <w:u w:val="none"/>
                <w:lang w:val="en-US" w:eastAsia="zh-CN"/>
              </w:rPr>
              <w:t>1</w:t>
            </w:r>
            <w:r>
              <w:rPr>
                <w:rFonts w:hint="eastAsia" w:ascii="新宋体" w:hAnsi="新宋体" w:eastAsia="新宋体" w:cs="新宋体"/>
                <w:color w:val="auto"/>
                <w:sz w:val="22"/>
                <w:szCs w:val="22"/>
                <w:highlight w:val="none"/>
                <w:u w:val="none"/>
              </w:rPr>
              <w:t>分。自行提供证明材料（如标注本次投标产品的清单），未提供证明材料或不能清楚辨析的不得分。</w:t>
            </w:r>
          </w:p>
        </w:tc>
      </w:tr>
    </w:tbl>
    <w:p w14:paraId="6C275417">
      <w:pPr>
        <w:pageBreakBefore w:val="0"/>
        <w:kinsoku/>
        <w:wordWrap w:val="0"/>
        <w:topLinePunct w:val="0"/>
        <w:bidi w:val="0"/>
        <w:spacing w:line="460" w:lineRule="exact"/>
        <w:ind w:firstLine="539" w:firstLineChars="245"/>
        <w:rPr>
          <w:rFonts w:ascii="宋体" w:hAnsi="宋体"/>
          <w:snapToGrid w:val="0"/>
          <w:color w:val="auto"/>
          <w:kern w:val="0"/>
          <w:sz w:val="22"/>
          <w:highlight w:val="none"/>
        </w:rPr>
      </w:pPr>
      <w:r>
        <w:rPr>
          <w:rFonts w:hint="eastAsia" w:ascii="宋体" w:hAnsi="宋体"/>
          <w:snapToGrid w:val="0"/>
          <w:color w:val="auto"/>
          <w:kern w:val="0"/>
          <w:sz w:val="22"/>
          <w:highlight w:val="none"/>
        </w:rPr>
        <w:t>说明</w:t>
      </w:r>
      <w:r>
        <w:rPr>
          <w:rFonts w:hint="eastAsia" w:ascii="宋体" w:hAnsi="宋体"/>
          <w:snapToGrid w:val="0"/>
          <w:color w:val="auto"/>
          <w:kern w:val="0"/>
          <w:sz w:val="22"/>
          <w:highlight w:val="none"/>
          <w:lang w:eastAsia="zh-CN"/>
        </w:rPr>
        <w:t>：</w:t>
      </w:r>
      <w:r>
        <w:rPr>
          <w:rFonts w:hint="eastAsia" w:ascii="宋体" w:hAnsi="宋体"/>
          <w:snapToGrid w:val="0"/>
          <w:color w:val="auto"/>
          <w:kern w:val="0"/>
          <w:sz w:val="22"/>
          <w:highlight w:val="none"/>
        </w:rPr>
        <w:t>（</w:t>
      </w:r>
      <w:r>
        <w:rPr>
          <w:rFonts w:hint="eastAsia" w:ascii="宋体" w:hAnsi="宋体"/>
          <w:snapToGrid w:val="0"/>
          <w:color w:val="auto"/>
          <w:kern w:val="0"/>
          <w:sz w:val="22"/>
          <w:highlight w:val="none"/>
          <w:lang w:val="en-US" w:eastAsia="zh-CN"/>
        </w:rPr>
        <w:t>1</w:t>
      </w:r>
      <w:r>
        <w:rPr>
          <w:rFonts w:hint="eastAsia" w:ascii="宋体" w:hAnsi="宋体"/>
          <w:snapToGrid w:val="0"/>
          <w:color w:val="auto"/>
          <w:kern w:val="0"/>
          <w:sz w:val="22"/>
          <w:highlight w:val="none"/>
        </w:rPr>
        <w:t>）商务技术文件中提供的证明材料无法辨认的，按未提供处理。</w:t>
      </w:r>
    </w:p>
    <w:p w14:paraId="30C1B8FF">
      <w:pPr>
        <w:pageBreakBefore w:val="0"/>
        <w:kinsoku/>
        <w:wordWrap w:val="0"/>
        <w:topLinePunct w:val="0"/>
        <w:bidi w:val="0"/>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snapToGrid w:val="0"/>
          <w:color w:val="auto"/>
          <w:kern w:val="0"/>
          <w:sz w:val="22"/>
          <w:highlight w:val="none"/>
        </w:rPr>
        <w:t>（</w:t>
      </w:r>
      <w:r>
        <w:rPr>
          <w:rFonts w:hint="eastAsia" w:ascii="宋体" w:hAnsi="宋体"/>
          <w:snapToGrid w:val="0"/>
          <w:color w:val="auto"/>
          <w:kern w:val="0"/>
          <w:sz w:val="22"/>
          <w:highlight w:val="none"/>
          <w:lang w:val="en-US" w:eastAsia="zh-CN"/>
        </w:rPr>
        <w:t>2</w:t>
      </w:r>
      <w:r>
        <w:rPr>
          <w:rFonts w:hint="eastAsia" w:ascii="宋体" w:hAnsi="宋体"/>
          <w:snapToGrid w:val="0"/>
          <w:color w:val="auto"/>
          <w:kern w:val="0"/>
          <w:sz w:val="22"/>
          <w:highlight w:val="none"/>
        </w:rPr>
        <w:t>）投标人需根据招标文件的要求进行制作，内容简洁明了，编排合理有序，与采购内容无关或不符合招标文件要求的资料不要编入商务技术文件.</w:t>
      </w:r>
    </w:p>
    <w:p w14:paraId="4DCE916E">
      <w:pPr>
        <w:pStyle w:val="24"/>
        <w:pageBreakBefore w:val="0"/>
        <w:kinsoku/>
        <w:wordWrap w:val="0"/>
        <w:topLinePunct w:val="0"/>
        <w:bidi w:val="0"/>
        <w:spacing w:line="460" w:lineRule="exact"/>
        <w:ind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2、报价评分（30分）（权值30%）：</w:t>
      </w:r>
    </w:p>
    <w:p w14:paraId="6EBA8795">
      <w:pPr>
        <w:pageBreakBefore w:val="0"/>
        <w:kinsoku/>
        <w:wordWrap w:val="0"/>
        <w:topLinePunct w:val="0"/>
        <w:bidi w:val="0"/>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满足招标文件要求且投标报价最低的投标报价为评标基准价，其余投标人投标报价与该基准价对比，计算出商务报价评分值（保留小数2位）：</w:t>
      </w:r>
    </w:p>
    <w:p w14:paraId="3D762E26">
      <w:pPr>
        <w:pageBreakBefore w:val="0"/>
        <w:kinsoku/>
        <w:wordWrap w:val="0"/>
        <w:topLinePunct w:val="0"/>
        <w:bidi w:val="0"/>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1）有效投标人的投标报价等于评标基准价时其报价分为满分30分；</w:t>
      </w:r>
    </w:p>
    <w:p w14:paraId="5F960128">
      <w:pPr>
        <w:pageBreakBefore w:val="0"/>
        <w:kinsoku/>
        <w:wordWrap w:val="0"/>
        <w:topLinePunct w:val="0"/>
        <w:bidi w:val="0"/>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2）其他投标人的价格分按以下公式计算：</w:t>
      </w:r>
    </w:p>
    <w:p w14:paraId="05CB091D">
      <w:pPr>
        <w:pageBreakBefore w:val="0"/>
        <w:kinsoku/>
        <w:wordWrap w:val="0"/>
        <w:topLinePunct w:val="0"/>
        <w:bidi w:val="0"/>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投标报价得分=（评分基准价/投标人投标报价）× 价格权值 ×100（保留小数2位）</w:t>
      </w:r>
    </w:p>
    <w:p w14:paraId="2227F728">
      <w:pPr>
        <w:pageBreakBefore w:val="0"/>
        <w:kinsoku/>
        <w:wordWrap w:val="0"/>
        <w:topLinePunct w:val="0"/>
        <w:bidi w:val="0"/>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3、有效投标人的综合得分为技术分和商务（报价）分的总和。</w:t>
      </w:r>
    </w:p>
    <w:p w14:paraId="5F5E9685">
      <w:pPr>
        <w:pageBreakBefore w:val="0"/>
        <w:kinsoku/>
        <w:wordWrap w:val="0"/>
        <w:topLinePunct w:val="0"/>
        <w:bidi w:val="0"/>
        <w:spacing w:line="460" w:lineRule="exact"/>
        <w:ind w:firstLine="539" w:firstLineChars="245"/>
        <w:rPr>
          <w:rFonts w:hint="eastAsia" w:ascii="新宋体" w:hAnsi="新宋体" w:eastAsia="新宋体"/>
          <w:b w:val="0"/>
          <w:bCs w:val="0"/>
          <w:color w:val="auto"/>
          <w:sz w:val="22"/>
          <w:szCs w:val="22"/>
          <w:highlight w:val="none"/>
          <w:lang w:val="zh-CN"/>
        </w:rPr>
      </w:pPr>
      <w:r>
        <w:rPr>
          <w:rFonts w:hint="eastAsia" w:ascii="新宋体" w:hAnsi="新宋体" w:eastAsia="新宋体"/>
          <w:b w:val="0"/>
          <w:bCs w:val="0"/>
          <w:color w:val="auto"/>
          <w:sz w:val="22"/>
          <w:szCs w:val="22"/>
          <w:highlight w:val="none"/>
          <w:lang w:val="zh-CN"/>
        </w:rPr>
        <w:t>根据</w:t>
      </w:r>
      <w:r>
        <w:rPr>
          <w:rFonts w:hint="eastAsia" w:ascii="新宋体" w:hAnsi="新宋体" w:eastAsia="新宋体" w:cs="新宋体"/>
          <w:b w:val="0"/>
          <w:bCs w:val="0"/>
          <w:color w:val="auto"/>
          <w:kern w:val="0"/>
          <w:sz w:val="22"/>
          <w:szCs w:val="22"/>
          <w:highlight w:val="none"/>
        </w:rPr>
        <w:t>《政府采购促进中小企业发展管理办法》（财库〔2020〕46号）</w:t>
      </w:r>
      <w:r>
        <w:rPr>
          <w:rFonts w:hint="eastAsia" w:ascii="新宋体" w:hAnsi="新宋体" w:eastAsia="新宋体" w:cs="新宋体"/>
          <w:b w:val="0"/>
          <w:bCs w:val="0"/>
          <w:color w:val="auto"/>
          <w:kern w:val="0"/>
          <w:sz w:val="22"/>
          <w:szCs w:val="22"/>
          <w:highlight w:val="none"/>
          <w:lang w:eastAsia="zh-CN"/>
        </w:rPr>
        <w:t>、</w:t>
      </w:r>
      <w:r>
        <w:rPr>
          <w:rFonts w:hint="eastAsia" w:ascii="新宋体" w:hAnsi="新宋体" w:eastAsia="新宋体" w:cs="新宋体"/>
          <w:b w:val="0"/>
          <w:bCs w:val="0"/>
          <w:color w:val="auto"/>
          <w:kern w:val="0"/>
          <w:sz w:val="22"/>
          <w:szCs w:val="22"/>
          <w:highlight w:val="none"/>
        </w:rPr>
        <w:t>《财政部关于进一步加大政府采购支持中小企业力度的通知》（财库〔2022〕19号）</w:t>
      </w:r>
      <w:r>
        <w:rPr>
          <w:rFonts w:hint="eastAsia" w:ascii="新宋体" w:hAnsi="新宋体" w:eastAsia="新宋体" w:cs="新宋体"/>
          <w:b w:val="0"/>
          <w:bCs w:val="0"/>
          <w:color w:val="auto"/>
          <w:kern w:val="0"/>
          <w:sz w:val="22"/>
          <w:szCs w:val="22"/>
          <w:highlight w:val="none"/>
          <w:lang w:eastAsia="zh-CN"/>
        </w:rPr>
        <w:t>、《浙江省财政厅关于进一步加大政府采购支持中小企业力度助力扎实稳住经济的通知》（</w:t>
      </w:r>
      <w:r>
        <w:rPr>
          <w:rFonts w:hint="eastAsia" w:ascii="新宋体" w:hAnsi="新宋体" w:eastAsia="新宋体" w:cs="新宋体"/>
          <w:b w:val="0"/>
          <w:bCs w:val="0"/>
          <w:color w:val="auto"/>
          <w:kern w:val="0"/>
          <w:sz w:val="22"/>
          <w:szCs w:val="22"/>
          <w:highlight w:val="none"/>
        </w:rPr>
        <w:t>浙财采监〔2022〕8号</w:t>
      </w:r>
      <w:r>
        <w:rPr>
          <w:rFonts w:hint="eastAsia" w:ascii="新宋体" w:hAnsi="新宋体" w:eastAsia="新宋体" w:cs="新宋体"/>
          <w:b w:val="0"/>
          <w:bCs w:val="0"/>
          <w:color w:val="auto"/>
          <w:kern w:val="0"/>
          <w:sz w:val="22"/>
          <w:szCs w:val="22"/>
          <w:highlight w:val="none"/>
          <w:lang w:eastAsia="zh-CN"/>
        </w:rPr>
        <w:t>）</w:t>
      </w:r>
      <w:r>
        <w:rPr>
          <w:rFonts w:hint="eastAsia" w:ascii="新宋体" w:hAnsi="新宋体" w:eastAsia="新宋体" w:cs="新宋体"/>
          <w:b w:val="0"/>
          <w:bCs w:val="0"/>
          <w:color w:val="auto"/>
          <w:kern w:val="0"/>
          <w:sz w:val="22"/>
          <w:szCs w:val="22"/>
          <w:highlight w:val="none"/>
          <w:lang w:val="en-US" w:eastAsia="zh-CN"/>
        </w:rPr>
        <w:t>等</w:t>
      </w:r>
      <w:r>
        <w:rPr>
          <w:rFonts w:hint="eastAsia" w:ascii="新宋体" w:hAnsi="新宋体" w:eastAsia="新宋体" w:cs="新宋体"/>
          <w:b w:val="0"/>
          <w:bCs w:val="0"/>
          <w:color w:val="auto"/>
          <w:kern w:val="0"/>
          <w:sz w:val="22"/>
          <w:szCs w:val="22"/>
          <w:highlight w:val="none"/>
        </w:rPr>
        <w:t>有关规定</w:t>
      </w:r>
      <w:r>
        <w:rPr>
          <w:rFonts w:hint="eastAsia" w:ascii="新宋体" w:hAnsi="新宋体" w:eastAsia="新宋体"/>
          <w:b w:val="0"/>
          <w:bCs w:val="0"/>
          <w:color w:val="auto"/>
          <w:sz w:val="22"/>
          <w:szCs w:val="22"/>
          <w:highlight w:val="none"/>
          <w:lang w:val="zh-CN"/>
        </w:rPr>
        <w:t>，对</w:t>
      </w:r>
      <w:r>
        <w:rPr>
          <w:rFonts w:hint="eastAsia" w:ascii="新宋体" w:hAnsi="新宋体" w:eastAsia="新宋体"/>
          <w:b w:val="0"/>
          <w:bCs w:val="0"/>
          <w:color w:val="auto"/>
          <w:sz w:val="22"/>
          <w:szCs w:val="22"/>
          <w:highlight w:val="none"/>
          <w:lang w:val="en-US" w:eastAsia="zh-CN"/>
        </w:rPr>
        <w:t>货物类项目</w:t>
      </w:r>
      <w:r>
        <w:rPr>
          <w:rFonts w:hint="eastAsia" w:ascii="新宋体" w:hAnsi="新宋体" w:eastAsia="新宋体"/>
          <w:b w:val="0"/>
          <w:bCs w:val="0"/>
          <w:color w:val="auto"/>
          <w:sz w:val="22"/>
          <w:szCs w:val="22"/>
          <w:highlight w:val="none"/>
          <w:lang w:val="zh-CN"/>
        </w:rPr>
        <w:t>投标产品为小型或微型企业生产的，</w:t>
      </w:r>
      <w:r>
        <w:rPr>
          <w:rFonts w:hint="eastAsia" w:ascii="新宋体" w:hAnsi="新宋体" w:eastAsia="新宋体"/>
          <w:b w:val="0"/>
          <w:bCs w:val="0"/>
          <w:color w:val="auto"/>
          <w:sz w:val="22"/>
          <w:szCs w:val="22"/>
          <w:highlight w:val="none"/>
          <w:lang w:val="en-US" w:eastAsia="zh-CN"/>
        </w:rPr>
        <w:t>工程、服务类项目由小型或微型企业承建、承接的</w:t>
      </w:r>
      <w:r>
        <w:rPr>
          <w:rFonts w:hint="eastAsia" w:ascii="新宋体" w:hAnsi="新宋体" w:eastAsia="新宋体"/>
          <w:b w:val="0"/>
          <w:bCs w:val="0"/>
          <w:color w:val="auto"/>
          <w:sz w:val="22"/>
          <w:szCs w:val="22"/>
          <w:highlight w:val="none"/>
          <w:lang w:val="zh-CN"/>
        </w:rPr>
        <w:t>，</w:t>
      </w:r>
      <w:r>
        <w:rPr>
          <w:rFonts w:hint="eastAsia" w:ascii="新宋体" w:hAnsi="新宋体" w:eastAsia="新宋体"/>
          <w:b w:val="0"/>
          <w:bCs w:val="0"/>
          <w:color w:val="auto"/>
          <w:sz w:val="22"/>
          <w:szCs w:val="22"/>
          <w:highlight w:val="none"/>
          <w:u w:val="single"/>
          <w:lang w:val="zh-CN"/>
        </w:rPr>
        <w:t>价格给予</w:t>
      </w:r>
      <w:r>
        <w:rPr>
          <w:rFonts w:hint="eastAsia" w:ascii="新宋体" w:hAnsi="新宋体" w:eastAsia="新宋体"/>
          <w:b w:val="0"/>
          <w:bCs w:val="0"/>
          <w:color w:val="auto"/>
          <w:sz w:val="22"/>
          <w:szCs w:val="22"/>
          <w:highlight w:val="none"/>
          <w:u w:val="single"/>
          <w:lang w:val="en-US" w:eastAsia="zh-CN"/>
        </w:rPr>
        <w:t>1</w:t>
      </w:r>
      <w:r>
        <w:rPr>
          <w:rFonts w:hint="eastAsia" w:ascii="新宋体" w:hAnsi="新宋体" w:eastAsia="新宋体"/>
          <w:b w:val="0"/>
          <w:bCs w:val="0"/>
          <w:color w:val="auto"/>
          <w:sz w:val="22"/>
          <w:szCs w:val="22"/>
          <w:highlight w:val="none"/>
          <w:u w:val="single"/>
        </w:rPr>
        <w:t>0</w:t>
      </w:r>
      <w:r>
        <w:rPr>
          <w:rFonts w:hint="eastAsia" w:ascii="新宋体" w:hAnsi="新宋体" w:eastAsia="新宋体"/>
          <w:b w:val="0"/>
          <w:bCs w:val="0"/>
          <w:color w:val="auto"/>
          <w:sz w:val="22"/>
          <w:szCs w:val="22"/>
          <w:highlight w:val="none"/>
          <w:u w:val="single"/>
          <w:lang w:val="zh-CN"/>
        </w:rPr>
        <w:t>%的扣除</w:t>
      </w:r>
      <w:r>
        <w:rPr>
          <w:rFonts w:hint="eastAsia" w:ascii="新宋体" w:hAnsi="新宋体" w:eastAsia="新宋体"/>
          <w:b w:val="0"/>
          <w:bCs w:val="0"/>
          <w:color w:val="auto"/>
          <w:sz w:val="22"/>
          <w:szCs w:val="22"/>
          <w:highlight w:val="none"/>
          <w:lang w:val="zh-CN"/>
        </w:rPr>
        <w:t>，用扣除后的价格参与价格评分。</w:t>
      </w:r>
    </w:p>
    <w:p w14:paraId="55BE2B12">
      <w:pPr>
        <w:pageBreakBefore w:val="0"/>
        <w:kinsoku/>
        <w:wordWrap w:val="0"/>
        <w:topLinePunct w:val="0"/>
        <w:bidi w:val="0"/>
        <w:spacing w:line="460" w:lineRule="exact"/>
        <w:ind w:firstLine="539" w:firstLineChars="245"/>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rPr>
        <w:t>监狱企业视同小微企业，其产品参加本项目投标的，享受小微企业同等的价格扣除。</w:t>
      </w:r>
    </w:p>
    <w:p w14:paraId="415D55DF">
      <w:pPr>
        <w:pStyle w:val="21"/>
        <w:keepNext w:val="0"/>
        <w:keepLines w:val="0"/>
        <w:pageBreakBefore w:val="0"/>
        <w:widowControl w:val="0"/>
        <w:kinsoku/>
        <w:wordWrap w:val="0"/>
        <w:overflowPunct/>
        <w:topLinePunct w:val="0"/>
        <w:autoSpaceDE/>
        <w:autoSpaceDN/>
        <w:bidi w:val="0"/>
        <w:adjustRightInd/>
        <w:snapToGrid/>
        <w:spacing w:line="460" w:lineRule="exact"/>
        <w:ind w:firstLine="442" w:firstLineChars="200"/>
        <w:textAlignment w:val="auto"/>
        <w:rPr>
          <w:rFonts w:hint="eastAsia" w:ascii="宋体" w:hAnsi="宋体" w:eastAsia="宋体" w:cs="宋体"/>
          <w:b/>
          <w:bCs/>
          <w:color w:val="auto"/>
          <w:kern w:val="2"/>
          <w:sz w:val="22"/>
          <w:szCs w:val="22"/>
          <w:highlight w:val="none"/>
          <w:u w:val="single"/>
          <w:lang w:val="en-US" w:eastAsia="zh-CN" w:bidi="ar-SA"/>
        </w:rPr>
      </w:pPr>
      <w:r>
        <w:rPr>
          <w:rFonts w:hint="eastAsia" w:ascii="宋体" w:hAnsi="宋体" w:eastAsia="宋体" w:cs="宋体"/>
          <w:b/>
          <w:bCs/>
          <w:color w:val="auto"/>
          <w:kern w:val="2"/>
          <w:sz w:val="22"/>
          <w:szCs w:val="22"/>
          <w:highlight w:val="none"/>
          <w:u w:val="none"/>
          <w:lang w:val="en-US" w:eastAsia="zh-CN" w:bidi="ar-SA"/>
        </w:rPr>
        <w:t>4、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p w14:paraId="0154ABDB">
      <w:pPr>
        <w:keepNext w:val="0"/>
        <w:keepLines w:val="0"/>
        <w:pageBreakBefore w:val="0"/>
        <w:widowControl w:val="0"/>
        <w:kinsoku/>
        <w:wordWrap w:val="0"/>
        <w:overflowPunct/>
        <w:topLinePunct w:val="0"/>
        <w:autoSpaceDE/>
        <w:autoSpaceDN/>
        <w:bidi w:val="0"/>
        <w:adjustRightInd/>
        <w:snapToGrid/>
        <w:spacing w:line="460" w:lineRule="exact"/>
        <w:textAlignment w:val="auto"/>
        <w:rPr>
          <w:rFonts w:hint="eastAsia" w:ascii="宋体" w:hAnsi="宋体" w:eastAsia="宋体" w:cs="宋体"/>
          <w:b/>
          <w:bCs/>
          <w:color w:val="auto"/>
          <w:sz w:val="22"/>
          <w:szCs w:val="22"/>
          <w:highlight w:val="none"/>
          <w:u w:val="single"/>
        </w:rPr>
      </w:pPr>
      <w:r>
        <w:rPr>
          <w:rFonts w:hint="eastAsia" w:ascii="宋体" w:hAnsi="宋体" w:eastAsia="宋体" w:cs="宋体"/>
          <w:b w:val="0"/>
          <w:bCs w:val="0"/>
          <w:color w:val="auto"/>
          <w:kern w:val="2"/>
          <w:sz w:val="22"/>
          <w:szCs w:val="22"/>
          <w:highlight w:val="none"/>
          <w:u w:val="none"/>
          <w:lang w:val="en-US" w:eastAsia="zh-CN" w:bidi="ar-SA"/>
        </w:rPr>
        <w:t xml:space="preserve">   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44DB5D7">
      <w:pPr>
        <w:pageBreakBefore w:val="0"/>
        <w:kinsoku/>
        <w:wordWrap w:val="0"/>
        <w:topLinePunct w:val="0"/>
        <w:bidi w:val="0"/>
        <w:spacing w:line="460" w:lineRule="exact"/>
        <w:ind w:firstLine="541" w:firstLineChars="245"/>
        <w:outlineLvl w:val="1"/>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六、定标办法</w:t>
      </w:r>
    </w:p>
    <w:p w14:paraId="18C40EF5">
      <w:pPr>
        <w:pageBreakBefore w:val="0"/>
        <w:kinsoku/>
        <w:wordWrap w:val="0"/>
        <w:topLinePunct w:val="0"/>
        <w:bidi w:val="0"/>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14:paraId="3C72A448">
      <w:pPr>
        <w:pageBreakBefore w:val="0"/>
        <w:kinsoku/>
        <w:wordWrap w:val="0"/>
        <w:topLinePunct w:val="0"/>
        <w:bidi w:val="0"/>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1.1由评标委员会确定中标候选人。</w:t>
      </w:r>
    </w:p>
    <w:p w14:paraId="3DFD2C4F">
      <w:pPr>
        <w:pageBreakBefore w:val="0"/>
        <w:kinsoku/>
        <w:wordWrap w:val="0"/>
        <w:topLinePunct w:val="0"/>
        <w:bidi w:val="0"/>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14:paraId="239987DA">
      <w:pPr>
        <w:pageBreakBefore w:val="0"/>
        <w:kinsoku/>
        <w:wordWrap w:val="0"/>
        <w:topLinePunct w:val="0"/>
        <w:bidi w:val="0"/>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2、确定中标人</w:t>
      </w:r>
    </w:p>
    <w:p w14:paraId="69B599BD">
      <w:pPr>
        <w:pageBreakBefore w:val="0"/>
        <w:kinsoku/>
        <w:wordWrap w:val="0"/>
        <w:topLinePunct w:val="0"/>
        <w:bidi w:val="0"/>
        <w:spacing w:line="46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2.1招标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6E5544AD">
      <w:pPr>
        <w:pageBreakBefore w:val="0"/>
        <w:kinsoku/>
        <w:wordWrap w:val="0"/>
        <w:topLinePunct w:val="0"/>
        <w:bidi w:val="0"/>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2.2如中标人放弃中标；或未能在规定时间内与招标人签订合同的；或者经质疑，招标人审查后，确因排名第一的候选人在本次采购活动中存在违法违规行为或其他原因使质疑成立的，招标人可以</w:t>
      </w:r>
      <w:r>
        <w:rPr>
          <w:rFonts w:hint="eastAsia" w:ascii="宋体" w:hAnsi="宋体" w:cs="宋体"/>
          <w:color w:val="auto"/>
          <w:sz w:val="22"/>
          <w:szCs w:val="22"/>
          <w:highlight w:val="none"/>
          <w:lang w:val="en-US" w:eastAsia="zh-CN"/>
        </w:rPr>
        <w:t>依法</w:t>
      </w:r>
      <w:r>
        <w:rPr>
          <w:rFonts w:hint="eastAsia" w:ascii="宋体" w:hAnsi="宋体" w:eastAsia="宋体" w:cs="宋体"/>
          <w:color w:val="auto"/>
          <w:sz w:val="22"/>
          <w:szCs w:val="22"/>
          <w:highlight w:val="none"/>
        </w:rPr>
        <w:t>视情况直接确定排名第二的候选人为中标人或重新组织招标。</w:t>
      </w:r>
    </w:p>
    <w:p w14:paraId="4ABE45F2">
      <w:pPr>
        <w:pageBreakBefore w:val="0"/>
        <w:kinsoku/>
        <w:wordWrap w:val="0"/>
        <w:topLinePunct w:val="0"/>
        <w:bidi w:val="0"/>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中标人确定后，招标人将在指定媒体公告中标结果，招标人向中标人发出中标通知书。</w:t>
      </w:r>
    </w:p>
    <w:p w14:paraId="7ED1D2E0">
      <w:pPr>
        <w:pageBreakBefore w:val="0"/>
        <w:kinsoku/>
        <w:wordWrap w:val="0"/>
        <w:topLinePunct w:val="0"/>
        <w:bidi w:val="0"/>
        <w:spacing w:line="460" w:lineRule="exact"/>
        <w:ind w:firstLine="541" w:firstLineChars="245"/>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七、投标人义务</w:t>
      </w:r>
    </w:p>
    <w:p w14:paraId="6EB2A358">
      <w:pPr>
        <w:pageBreakBefore w:val="0"/>
        <w:kinsoku/>
        <w:wordWrap w:val="0"/>
        <w:topLinePunct w:val="0"/>
        <w:bidi w:val="0"/>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color w:val="auto"/>
          <w:sz w:val="22"/>
          <w:szCs w:val="22"/>
          <w:highlight w:val="none"/>
        </w:rPr>
        <w:t>投标人应随时接受评标委员会的询标，解答包括有关的商务、技术问题等。评标结束，所有评标资料存招标机构备查。</w:t>
      </w:r>
    </w:p>
    <w:p w14:paraId="5B6E9C48">
      <w:pPr>
        <w:pageBreakBefore w:val="0"/>
        <w:kinsoku/>
        <w:wordWrap w:val="0"/>
        <w:topLinePunct w:val="0"/>
        <w:bidi w:val="0"/>
        <w:spacing w:line="460" w:lineRule="exact"/>
        <w:jc w:val="center"/>
        <w:rPr>
          <w:rFonts w:hint="eastAsia" w:ascii="宋体" w:hAnsi="宋体" w:eastAsia="宋体" w:cs="宋体"/>
          <w:b/>
          <w:color w:val="auto"/>
          <w:sz w:val="32"/>
          <w:szCs w:val="32"/>
          <w:highlight w:val="none"/>
        </w:rPr>
      </w:pPr>
    </w:p>
    <w:p w14:paraId="63CA35F9">
      <w:pPr>
        <w:pStyle w:val="24"/>
        <w:pageBreakBefore w:val="0"/>
        <w:kinsoku/>
        <w:wordWrap w:val="0"/>
        <w:topLinePunct w:val="0"/>
        <w:bidi w:val="0"/>
        <w:ind w:left="440" w:hanging="440"/>
        <w:rPr>
          <w:rFonts w:hint="eastAsia" w:ascii="宋体" w:hAnsi="宋体" w:eastAsia="宋体" w:cs="宋体"/>
          <w:color w:val="auto"/>
          <w:kern w:val="0"/>
          <w:sz w:val="22"/>
          <w:szCs w:val="22"/>
          <w:highlight w:val="none"/>
        </w:rPr>
      </w:pPr>
    </w:p>
    <w:sectPr>
      <w:headerReference r:id="rId5" w:type="default"/>
      <w:footerReference r:id="rId6"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A222B">
    <w:pPr>
      <w:pStyle w:val="37"/>
      <w:framePr w:wrap="around" w:vAnchor="text" w:hAnchor="margin" w:xAlign="center" w:y="1"/>
      <w:rPr>
        <w:rStyle w:val="56"/>
      </w:rPr>
    </w:pPr>
    <w:r>
      <w:fldChar w:fldCharType="begin"/>
    </w:r>
    <w:r>
      <w:rPr>
        <w:rStyle w:val="56"/>
      </w:rPr>
      <w:instrText xml:space="preserve">PAGE  </w:instrText>
    </w:r>
    <w:r>
      <w:fldChar w:fldCharType="separate"/>
    </w:r>
    <w:r>
      <w:rPr>
        <w:rStyle w:val="56"/>
      </w:rPr>
      <w:t>28</w:t>
    </w:r>
    <w:r>
      <w:fldChar w:fldCharType="end"/>
    </w:r>
  </w:p>
  <w:p w14:paraId="43D6B249">
    <w:pPr>
      <w:pStyle w:val="37"/>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48F86">
    <w:pPr>
      <w:pStyle w:val="37"/>
      <w:framePr w:wrap="around" w:vAnchor="text" w:hAnchor="margin" w:xAlign="center" w:y="1"/>
      <w:rPr>
        <w:rStyle w:val="56"/>
      </w:rPr>
    </w:pPr>
    <w:r>
      <w:fldChar w:fldCharType="begin"/>
    </w:r>
    <w:r>
      <w:rPr>
        <w:rStyle w:val="56"/>
      </w:rPr>
      <w:instrText xml:space="preserve">PAGE  </w:instrText>
    </w:r>
    <w:r>
      <w:fldChar w:fldCharType="separate"/>
    </w:r>
    <w:r>
      <w:rPr>
        <w:rStyle w:val="56"/>
      </w:rPr>
      <w:t>72</w:t>
    </w:r>
    <w:r>
      <w:fldChar w:fldCharType="end"/>
    </w:r>
  </w:p>
  <w:p w14:paraId="17EADCA7">
    <w:pPr>
      <w:pStyle w:val="37"/>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408B5">
    <w:pPr>
      <w:pStyle w:val="38"/>
      <w:pBdr>
        <w:bottom w:val="single" w:color="auto" w:sz="6" w:space="0"/>
      </w:pBdr>
      <w:jc w:val="both"/>
    </w:pPr>
    <w:r>
      <w:rPr>
        <w:rFonts w:hint="eastAsia"/>
      </w:rPr>
      <w:t>温州市政府（分散）采购招标文件                                             项目编号：</w:t>
    </w:r>
    <w:r>
      <w:rPr>
        <w:rFonts w:hint="eastAsia"/>
        <w:lang w:eastAsia="zh-CN"/>
      </w:rPr>
      <w:t xml:space="preserve">WZLCZB（Z）-2025-07016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F94A3">
    <w:pPr>
      <w:pStyle w:val="38"/>
      <w:pBdr>
        <w:bottom w:val="single" w:color="auto" w:sz="6" w:space="0"/>
      </w:pBdr>
      <w:jc w:val="both"/>
    </w:pPr>
    <w:r>
      <w:rPr>
        <w:rFonts w:hint="eastAsia"/>
      </w:rPr>
      <w:t>温州市政府（分散）采购招标文件                                             项目编号：</w:t>
    </w:r>
    <w:r>
      <w:rPr>
        <w:rFonts w:hint="eastAsia"/>
        <w:lang w:eastAsia="zh-CN"/>
      </w:rPr>
      <w:t xml:space="preserve">WZLCZB（Z）-2025-07016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D2AFC"/>
    <w:multiLevelType w:val="singleLevel"/>
    <w:tmpl w:val="9DED2AFC"/>
    <w:lvl w:ilvl="0" w:tentative="0">
      <w:start w:val="4"/>
      <w:numFmt w:val="chineseCounting"/>
      <w:suff w:val="space"/>
      <w:lvlText w:val="第%1部分"/>
      <w:lvlJc w:val="left"/>
      <w:rPr>
        <w:rFonts w:hint="eastAsia"/>
      </w:rPr>
    </w:lvl>
  </w:abstractNum>
  <w:abstractNum w:abstractNumId="1">
    <w:nsid w:val="B1C0EE6B"/>
    <w:multiLevelType w:val="singleLevel"/>
    <w:tmpl w:val="B1C0EE6B"/>
    <w:lvl w:ilvl="0" w:tentative="0">
      <w:start w:val="5"/>
      <w:numFmt w:val="chineseCounting"/>
      <w:suff w:val="nothing"/>
      <w:lvlText w:val="%1、"/>
      <w:lvlJc w:val="left"/>
      <w:rPr>
        <w:rFonts w:hint="eastAsia"/>
      </w:rPr>
    </w:lvl>
  </w:abstractNum>
  <w:abstractNum w:abstractNumId="2">
    <w:nsid w:val="BAF9EC89"/>
    <w:multiLevelType w:val="singleLevel"/>
    <w:tmpl w:val="BAF9EC89"/>
    <w:lvl w:ilvl="0" w:tentative="0">
      <w:start w:val="1"/>
      <w:numFmt w:val="chineseCounting"/>
      <w:suff w:val="nothing"/>
      <w:lvlText w:val="（%1）"/>
      <w:lvlJc w:val="left"/>
      <w:rPr>
        <w:rFonts w:hint="eastAsia"/>
      </w:rPr>
    </w:lvl>
  </w:abstractNum>
  <w:abstractNum w:abstractNumId="3">
    <w:nsid w:val="0AB09F3C"/>
    <w:multiLevelType w:val="singleLevel"/>
    <w:tmpl w:val="0AB09F3C"/>
    <w:lvl w:ilvl="0" w:tentative="0">
      <w:start w:val="3"/>
      <w:numFmt w:val="chineseCounting"/>
      <w:suff w:val="nothing"/>
      <w:lvlText w:val="%1、"/>
      <w:lvlJc w:val="left"/>
      <w:rPr>
        <w:rFonts w:hint="eastAsia"/>
      </w:rPr>
    </w:lvl>
  </w:abstractNum>
  <w:abstractNum w:abstractNumId="4">
    <w:nsid w:val="3C8F7E87"/>
    <w:multiLevelType w:val="multilevel"/>
    <w:tmpl w:val="3C8F7E87"/>
    <w:lvl w:ilvl="0" w:tentative="0">
      <w:start w:val="1"/>
      <w:numFmt w:val="decimal"/>
      <w:lvlText w:val="%1."/>
      <w:lvlJc w:val="left"/>
      <w:pPr>
        <w:tabs>
          <w:tab w:val="left" w:pos="905"/>
        </w:tabs>
        <w:ind w:left="905" w:hanging="420"/>
      </w:pPr>
      <w:rPr>
        <w:rFonts w:hint="default" w:ascii="黑体" w:hAnsi="黑体"/>
        <w:b/>
        <w:i w:val="0"/>
        <w:sz w:val="21"/>
        <w:szCs w:val="21"/>
      </w:rPr>
    </w:lvl>
    <w:lvl w:ilvl="1" w:tentative="0">
      <w:start w:val="1"/>
      <w:numFmt w:val="decimal"/>
      <w:lvlText w:val="%2."/>
      <w:lvlJc w:val="left"/>
      <w:pPr>
        <w:tabs>
          <w:tab w:val="left" w:pos="840"/>
        </w:tabs>
        <w:ind w:left="840" w:hanging="420"/>
      </w:pPr>
      <w:rPr>
        <w:rFonts w:hint="default" w:ascii="宋体" w:hAnsi="宋体" w:eastAsia="宋体"/>
        <w:b w:val="0"/>
        <w:i w:val="0"/>
        <w:sz w:val="21"/>
        <w:szCs w:val="21"/>
      </w:rPr>
    </w:lvl>
    <w:lvl w:ilvl="2" w:tentative="0">
      <w:start w:val="1"/>
      <w:numFmt w:val="decimal"/>
      <w:lvlText w:val="（%3）"/>
      <w:lvlJc w:val="left"/>
      <w:pPr>
        <w:tabs>
          <w:tab w:val="left" w:pos="1560"/>
        </w:tabs>
        <w:ind w:left="1237" w:hanging="397"/>
      </w:pPr>
      <w:rPr>
        <w:rFonts w:hint="default" w:ascii="黑体" w:hAnsi="黑体"/>
        <w:b/>
        <w:i w:val="0"/>
        <w:sz w:val="21"/>
        <w:szCs w:val="21"/>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2D7A3B6"/>
    <w:multiLevelType w:val="singleLevel"/>
    <w:tmpl w:val="52D7A3B6"/>
    <w:lvl w:ilvl="0" w:tentative="0">
      <w:start w:val="1"/>
      <w:numFmt w:val="decimal"/>
      <w:suff w:val="nothing"/>
      <w:lvlText w:val="（%1）"/>
      <w:lvlJc w:val="left"/>
    </w:lvl>
  </w:abstractNum>
  <w:abstractNum w:abstractNumId="6">
    <w:nsid w:val="71D25FB7"/>
    <w:multiLevelType w:val="multilevel"/>
    <w:tmpl w:val="71D25FB7"/>
    <w:lvl w:ilvl="0" w:tentative="0">
      <w:start w:val="1"/>
      <w:numFmt w:val="decimal"/>
      <w:lvlText w:val="%1)"/>
      <w:lvlJc w:val="left"/>
      <w:pPr>
        <w:tabs>
          <w:tab w:val="left" w:pos="1319"/>
        </w:tabs>
        <w:ind w:left="1319" w:hanging="420"/>
      </w:pPr>
    </w:lvl>
    <w:lvl w:ilvl="1" w:tentative="0">
      <w:start w:val="1"/>
      <w:numFmt w:val="decimal"/>
      <w:lvlText w:val="%2、"/>
      <w:lvlJc w:val="left"/>
      <w:pPr>
        <w:tabs>
          <w:tab w:val="left" w:pos="1679"/>
        </w:tabs>
        <w:ind w:left="1679" w:hanging="360"/>
      </w:pPr>
      <w:rPr>
        <w:rFonts w:hint="default"/>
      </w:r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num w:numId="1">
    <w:abstractNumId w:val="5"/>
  </w:num>
  <w:num w:numId="2">
    <w:abstractNumId w:val="3"/>
  </w:num>
  <w:num w:numId="3">
    <w:abstractNumId w:val="4"/>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kMDU2YjljNjFkZWFlNzkxZjE4MTdlMTg1NWY3MDkifQ=="/>
  </w:docVars>
  <w:rsids>
    <w:rsidRoot w:val="00172A27"/>
    <w:rsid w:val="000149E3"/>
    <w:rsid w:val="00020693"/>
    <w:rsid w:val="000217C7"/>
    <w:rsid w:val="00026A46"/>
    <w:rsid w:val="00027D0D"/>
    <w:rsid w:val="00031F49"/>
    <w:rsid w:val="00037B6F"/>
    <w:rsid w:val="000474B4"/>
    <w:rsid w:val="00063600"/>
    <w:rsid w:val="000A6326"/>
    <w:rsid w:val="000B2878"/>
    <w:rsid w:val="0010260A"/>
    <w:rsid w:val="0013451B"/>
    <w:rsid w:val="00146E35"/>
    <w:rsid w:val="00172A27"/>
    <w:rsid w:val="00176791"/>
    <w:rsid w:val="0019644F"/>
    <w:rsid w:val="001B0F17"/>
    <w:rsid w:val="001B2275"/>
    <w:rsid w:val="001D4048"/>
    <w:rsid w:val="001D49A1"/>
    <w:rsid w:val="001E7897"/>
    <w:rsid w:val="001F5D2B"/>
    <w:rsid w:val="002018F6"/>
    <w:rsid w:val="002044B9"/>
    <w:rsid w:val="00212172"/>
    <w:rsid w:val="00223CC1"/>
    <w:rsid w:val="00227214"/>
    <w:rsid w:val="00230913"/>
    <w:rsid w:val="00243D5B"/>
    <w:rsid w:val="002447E7"/>
    <w:rsid w:val="00261F3C"/>
    <w:rsid w:val="00270294"/>
    <w:rsid w:val="00271C2D"/>
    <w:rsid w:val="002843F3"/>
    <w:rsid w:val="00296547"/>
    <w:rsid w:val="002A31D6"/>
    <w:rsid w:val="002B5782"/>
    <w:rsid w:val="002C08AE"/>
    <w:rsid w:val="002C09AD"/>
    <w:rsid w:val="002D20EE"/>
    <w:rsid w:val="002D2D3D"/>
    <w:rsid w:val="002E7DAB"/>
    <w:rsid w:val="003058EA"/>
    <w:rsid w:val="00327AB8"/>
    <w:rsid w:val="00350DF6"/>
    <w:rsid w:val="00351F86"/>
    <w:rsid w:val="00352124"/>
    <w:rsid w:val="0035435E"/>
    <w:rsid w:val="00357388"/>
    <w:rsid w:val="00357A7B"/>
    <w:rsid w:val="003654EF"/>
    <w:rsid w:val="00372FCF"/>
    <w:rsid w:val="00373BB2"/>
    <w:rsid w:val="00380B23"/>
    <w:rsid w:val="00383F1F"/>
    <w:rsid w:val="003B0A15"/>
    <w:rsid w:val="003B1471"/>
    <w:rsid w:val="003B5050"/>
    <w:rsid w:val="003C713C"/>
    <w:rsid w:val="00405F28"/>
    <w:rsid w:val="0041137E"/>
    <w:rsid w:val="00430AB9"/>
    <w:rsid w:val="00441256"/>
    <w:rsid w:val="0045663E"/>
    <w:rsid w:val="00461389"/>
    <w:rsid w:val="0046542D"/>
    <w:rsid w:val="00481BD3"/>
    <w:rsid w:val="004B66F1"/>
    <w:rsid w:val="004C013A"/>
    <w:rsid w:val="004C7034"/>
    <w:rsid w:val="005001D6"/>
    <w:rsid w:val="00522EF2"/>
    <w:rsid w:val="005238A3"/>
    <w:rsid w:val="00526065"/>
    <w:rsid w:val="00532669"/>
    <w:rsid w:val="00533C40"/>
    <w:rsid w:val="00555FA3"/>
    <w:rsid w:val="00561E5D"/>
    <w:rsid w:val="0056534C"/>
    <w:rsid w:val="00565E01"/>
    <w:rsid w:val="005674BB"/>
    <w:rsid w:val="00572B8A"/>
    <w:rsid w:val="00582AEF"/>
    <w:rsid w:val="00586839"/>
    <w:rsid w:val="00587A14"/>
    <w:rsid w:val="005A1DD3"/>
    <w:rsid w:val="005A3AA2"/>
    <w:rsid w:val="005A65DF"/>
    <w:rsid w:val="005B3595"/>
    <w:rsid w:val="005C388F"/>
    <w:rsid w:val="00607A59"/>
    <w:rsid w:val="00631E7A"/>
    <w:rsid w:val="0064398C"/>
    <w:rsid w:val="00644CD7"/>
    <w:rsid w:val="00647AB1"/>
    <w:rsid w:val="00654A9F"/>
    <w:rsid w:val="00692D32"/>
    <w:rsid w:val="00696C82"/>
    <w:rsid w:val="006A1CF7"/>
    <w:rsid w:val="006B3E1C"/>
    <w:rsid w:val="006D6C7C"/>
    <w:rsid w:val="006E2672"/>
    <w:rsid w:val="007068AC"/>
    <w:rsid w:val="00722BB3"/>
    <w:rsid w:val="00740E65"/>
    <w:rsid w:val="00753072"/>
    <w:rsid w:val="007546B0"/>
    <w:rsid w:val="007671B7"/>
    <w:rsid w:val="00774E3F"/>
    <w:rsid w:val="00776F48"/>
    <w:rsid w:val="00780CBF"/>
    <w:rsid w:val="00781B95"/>
    <w:rsid w:val="007A21E8"/>
    <w:rsid w:val="007A62BD"/>
    <w:rsid w:val="007B564B"/>
    <w:rsid w:val="007B769B"/>
    <w:rsid w:val="007E29D6"/>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92732"/>
    <w:rsid w:val="00893202"/>
    <w:rsid w:val="0089599B"/>
    <w:rsid w:val="008A127E"/>
    <w:rsid w:val="008B2FA9"/>
    <w:rsid w:val="008C2D7B"/>
    <w:rsid w:val="008C31BC"/>
    <w:rsid w:val="008D62C9"/>
    <w:rsid w:val="008D75C3"/>
    <w:rsid w:val="008E0B76"/>
    <w:rsid w:val="008E26D5"/>
    <w:rsid w:val="008F4E37"/>
    <w:rsid w:val="008F7BE3"/>
    <w:rsid w:val="008F7D27"/>
    <w:rsid w:val="00902AA2"/>
    <w:rsid w:val="009254A6"/>
    <w:rsid w:val="0093089E"/>
    <w:rsid w:val="00933974"/>
    <w:rsid w:val="00936127"/>
    <w:rsid w:val="00945DCB"/>
    <w:rsid w:val="009652E5"/>
    <w:rsid w:val="00973F7A"/>
    <w:rsid w:val="0097671D"/>
    <w:rsid w:val="00977673"/>
    <w:rsid w:val="00987F54"/>
    <w:rsid w:val="00991B38"/>
    <w:rsid w:val="00996305"/>
    <w:rsid w:val="009C748F"/>
    <w:rsid w:val="009E4D45"/>
    <w:rsid w:val="00A24A5C"/>
    <w:rsid w:val="00A42424"/>
    <w:rsid w:val="00A45873"/>
    <w:rsid w:val="00A56219"/>
    <w:rsid w:val="00A61866"/>
    <w:rsid w:val="00A77176"/>
    <w:rsid w:val="00A92B83"/>
    <w:rsid w:val="00A957CF"/>
    <w:rsid w:val="00AA3DA6"/>
    <w:rsid w:val="00AA7C87"/>
    <w:rsid w:val="00AD303C"/>
    <w:rsid w:val="00AD66E6"/>
    <w:rsid w:val="00AE4B39"/>
    <w:rsid w:val="00AF7BEB"/>
    <w:rsid w:val="00B06E43"/>
    <w:rsid w:val="00B2584A"/>
    <w:rsid w:val="00B41362"/>
    <w:rsid w:val="00B43A9E"/>
    <w:rsid w:val="00B44537"/>
    <w:rsid w:val="00B5466C"/>
    <w:rsid w:val="00B74039"/>
    <w:rsid w:val="00B87E26"/>
    <w:rsid w:val="00B9767A"/>
    <w:rsid w:val="00BA78D1"/>
    <w:rsid w:val="00BC0A13"/>
    <w:rsid w:val="00BC2B54"/>
    <w:rsid w:val="00BC4AC5"/>
    <w:rsid w:val="00BC66D1"/>
    <w:rsid w:val="00BF1399"/>
    <w:rsid w:val="00BF32BD"/>
    <w:rsid w:val="00C12358"/>
    <w:rsid w:val="00C232C8"/>
    <w:rsid w:val="00C468B7"/>
    <w:rsid w:val="00C67C97"/>
    <w:rsid w:val="00C70CE6"/>
    <w:rsid w:val="00C758F7"/>
    <w:rsid w:val="00C816DD"/>
    <w:rsid w:val="00C95163"/>
    <w:rsid w:val="00CB584C"/>
    <w:rsid w:val="00CC06DE"/>
    <w:rsid w:val="00CC3B91"/>
    <w:rsid w:val="00CE590D"/>
    <w:rsid w:val="00CF5C76"/>
    <w:rsid w:val="00D00FFE"/>
    <w:rsid w:val="00D13A1C"/>
    <w:rsid w:val="00D224FF"/>
    <w:rsid w:val="00D27DB2"/>
    <w:rsid w:val="00D3078D"/>
    <w:rsid w:val="00D30E82"/>
    <w:rsid w:val="00D47AC2"/>
    <w:rsid w:val="00D56369"/>
    <w:rsid w:val="00D70EBE"/>
    <w:rsid w:val="00D73718"/>
    <w:rsid w:val="00D7763D"/>
    <w:rsid w:val="00D844F8"/>
    <w:rsid w:val="00DB09B7"/>
    <w:rsid w:val="00DB2DE0"/>
    <w:rsid w:val="00DB41D0"/>
    <w:rsid w:val="00DF073C"/>
    <w:rsid w:val="00DF0B3F"/>
    <w:rsid w:val="00E02244"/>
    <w:rsid w:val="00E05AD1"/>
    <w:rsid w:val="00E11D98"/>
    <w:rsid w:val="00E15CD1"/>
    <w:rsid w:val="00E22045"/>
    <w:rsid w:val="00E248CD"/>
    <w:rsid w:val="00E36483"/>
    <w:rsid w:val="00E53874"/>
    <w:rsid w:val="00E56BD4"/>
    <w:rsid w:val="00E57D1E"/>
    <w:rsid w:val="00E72ABC"/>
    <w:rsid w:val="00E74DBC"/>
    <w:rsid w:val="00E76E5A"/>
    <w:rsid w:val="00EC182D"/>
    <w:rsid w:val="00EC6C26"/>
    <w:rsid w:val="00EC7DF8"/>
    <w:rsid w:val="00ED2873"/>
    <w:rsid w:val="00ED3B24"/>
    <w:rsid w:val="00ED7497"/>
    <w:rsid w:val="00EE45C7"/>
    <w:rsid w:val="00EF4A4C"/>
    <w:rsid w:val="00F03D32"/>
    <w:rsid w:val="00F06ABE"/>
    <w:rsid w:val="00F270F8"/>
    <w:rsid w:val="00F27576"/>
    <w:rsid w:val="00F36312"/>
    <w:rsid w:val="00F5082C"/>
    <w:rsid w:val="00F52CCB"/>
    <w:rsid w:val="00F52CD3"/>
    <w:rsid w:val="00F52E99"/>
    <w:rsid w:val="00F60DCB"/>
    <w:rsid w:val="00F80AAA"/>
    <w:rsid w:val="00F93BBA"/>
    <w:rsid w:val="00F95280"/>
    <w:rsid w:val="00FA662A"/>
    <w:rsid w:val="00FB0E0C"/>
    <w:rsid w:val="00FB1229"/>
    <w:rsid w:val="00FC44CE"/>
    <w:rsid w:val="00FD52B1"/>
    <w:rsid w:val="00FF3A66"/>
    <w:rsid w:val="00FF6977"/>
    <w:rsid w:val="0116709E"/>
    <w:rsid w:val="01606883"/>
    <w:rsid w:val="01EA76D8"/>
    <w:rsid w:val="020D29B1"/>
    <w:rsid w:val="021F7DAD"/>
    <w:rsid w:val="0224444B"/>
    <w:rsid w:val="022D7429"/>
    <w:rsid w:val="02451328"/>
    <w:rsid w:val="027D25C0"/>
    <w:rsid w:val="02841565"/>
    <w:rsid w:val="02B3222E"/>
    <w:rsid w:val="02F56D74"/>
    <w:rsid w:val="02F63BA4"/>
    <w:rsid w:val="031D0871"/>
    <w:rsid w:val="03283281"/>
    <w:rsid w:val="03331487"/>
    <w:rsid w:val="034A64CB"/>
    <w:rsid w:val="03771E7F"/>
    <w:rsid w:val="039714E5"/>
    <w:rsid w:val="03BE392F"/>
    <w:rsid w:val="03E13A1E"/>
    <w:rsid w:val="03E97FA0"/>
    <w:rsid w:val="04156ACE"/>
    <w:rsid w:val="041E2060"/>
    <w:rsid w:val="042A5AFC"/>
    <w:rsid w:val="043D6DF1"/>
    <w:rsid w:val="043F2279"/>
    <w:rsid w:val="044865A2"/>
    <w:rsid w:val="048D46D7"/>
    <w:rsid w:val="048F0F53"/>
    <w:rsid w:val="04A01243"/>
    <w:rsid w:val="04C27070"/>
    <w:rsid w:val="04E23C80"/>
    <w:rsid w:val="04FD6D0A"/>
    <w:rsid w:val="050751FC"/>
    <w:rsid w:val="05166806"/>
    <w:rsid w:val="0529508C"/>
    <w:rsid w:val="053A30CA"/>
    <w:rsid w:val="057D25F0"/>
    <w:rsid w:val="05936339"/>
    <w:rsid w:val="05D76F02"/>
    <w:rsid w:val="062F7E7F"/>
    <w:rsid w:val="0650016B"/>
    <w:rsid w:val="06695ADA"/>
    <w:rsid w:val="067F52AB"/>
    <w:rsid w:val="068E5B46"/>
    <w:rsid w:val="06E17425"/>
    <w:rsid w:val="06E81491"/>
    <w:rsid w:val="07081502"/>
    <w:rsid w:val="072046E3"/>
    <w:rsid w:val="07373C8C"/>
    <w:rsid w:val="074234A9"/>
    <w:rsid w:val="0747552D"/>
    <w:rsid w:val="07592C30"/>
    <w:rsid w:val="07791E20"/>
    <w:rsid w:val="078177D5"/>
    <w:rsid w:val="07924879"/>
    <w:rsid w:val="079C0E64"/>
    <w:rsid w:val="07D37D83"/>
    <w:rsid w:val="07D60F62"/>
    <w:rsid w:val="08621901"/>
    <w:rsid w:val="08803E31"/>
    <w:rsid w:val="08911C02"/>
    <w:rsid w:val="08913549"/>
    <w:rsid w:val="08A302D0"/>
    <w:rsid w:val="08B53A61"/>
    <w:rsid w:val="08E76FD5"/>
    <w:rsid w:val="08FD20E7"/>
    <w:rsid w:val="09101BCD"/>
    <w:rsid w:val="09315C91"/>
    <w:rsid w:val="093D09BC"/>
    <w:rsid w:val="09510BFE"/>
    <w:rsid w:val="097E368B"/>
    <w:rsid w:val="09816EE6"/>
    <w:rsid w:val="099757EE"/>
    <w:rsid w:val="09A34824"/>
    <w:rsid w:val="09B85302"/>
    <w:rsid w:val="09B94936"/>
    <w:rsid w:val="09D26DBF"/>
    <w:rsid w:val="09F65854"/>
    <w:rsid w:val="09FA7544"/>
    <w:rsid w:val="0A07422F"/>
    <w:rsid w:val="0A1B49C1"/>
    <w:rsid w:val="0A3D0590"/>
    <w:rsid w:val="0A7416D8"/>
    <w:rsid w:val="0A8945EB"/>
    <w:rsid w:val="0BAC1F4C"/>
    <w:rsid w:val="0BBE4F63"/>
    <w:rsid w:val="0BDA530A"/>
    <w:rsid w:val="0C0247C0"/>
    <w:rsid w:val="0C3408BA"/>
    <w:rsid w:val="0C353302"/>
    <w:rsid w:val="0C496297"/>
    <w:rsid w:val="0C660E5E"/>
    <w:rsid w:val="0C770B66"/>
    <w:rsid w:val="0C9A109E"/>
    <w:rsid w:val="0CA74D09"/>
    <w:rsid w:val="0CA9483B"/>
    <w:rsid w:val="0CC51217"/>
    <w:rsid w:val="0CCB1484"/>
    <w:rsid w:val="0CEE6D0E"/>
    <w:rsid w:val="0D0A01F7"/>
    <w:rsid w:val="0D183D8B"/>
    <w:rsid w:val="0D1F1C9D"/>
    <w:rsid w:val="0D694ADA"/>
    <w:rsid w:val="0D735BCC"/>
    <w:rsid w:val="0D7C2119"/>
    <w:rsid w:val="0D920730"/>
    <w:rsid w:val="0DE33D9A"/>
    <w:rsid w:val="0E022677"/>
    <w:rsid w:val="0E064CB1"/>
    <w:rsid w:val="0E4706D1"/>
    <w:rsid w:val="0E4B6575"/>
    <w:rsid w:val="0E5C2643"/>
    <w:rsid w:val="0E6537C4"/>
    <w:rsid w:val="0E701E1B"/>
    <w:rsid w:val="0E750CB0"/>
    <w:rsid w:val="0E8A0A30"/>
    <w:rsid w:val="0E8E6882"/>
    <w:rsid w:val="0ED30DE7"/>
    <w:rsid w:val="0EE50D43"/>
    <w:rsid w:val="0F0377AE"/>
    <w:rsid w:val="0F0E6EE3"/>
    <w:rsid w:val="0F3D6D9E"/>
    <w:rsid w:val="0F706416"/>
    <w:rsid w:val="0FCD5779"/>
    <w:rsid w:val="0FD03A0D"/>
    <w:rsid w:val="103510F8"/>
    <w:rsid w:val="10381F40"/>
    <w:rsid w:val="104869BA"/>
    <w:rsid w:val="10575CC4"/>
    <w:rsid w:val="10D75E1E"/>
    <w:rsid w:val="10F47168"/>
    <w:rsid w:val="110264F1"/>
    <w:rsid w:val="1104198D"/>
    <w:rsid w:val="1105049E"/>
    <w:rsid w:val="115434FF"/>
    <w:rsid w:val="115D3896"/>
    <w:rsid w:val="1184032F"/>
    <w:rsid w:val="11B13176"/>
    <w:rsid w:val="11B62E53"/>
    <w:rsid w:val="12103D4D"/>
    <w:rsid w:val="12345EA5"/>
    <w:rsid w:val="124027F2"/>
    <w:rsid w:val="125A673E"/>
    <w:rsid w:val="12775E6D"/>
    <w:rsid w:val="12A01322"/>
    <w:rsid w:val="12AB0828"/>
    <w:rsid w:val="12E05DF5"/>
    <w:rsid w:val="133616DD"/>
    <w:rsid w:val="13582BF6"/>
    <w:rsid w:val="13583E3E"/>
    <w:rsid w:val="138356B4"/>
    <w:rsid w:val="13884680"/>
    <w:rsid w:val="13996DA4"/>
    <w:rsid w:val="13A56966"/>
    <w:rsid w:val="13B56A40"/>
    <w:rsid w:val="13D309B3"/>
    <w:rsid w:val="13EC3F05"/>
    <w:rsid w:val="13FF0438"/>
    <w:rsid w:val="14077D57"/>
    <w:rsid w:val="14342819"/>
    <w:rsid w:val="145B2480"/>
    <w:rsid w:val="14965811"/>
    <w:rsid w:val="14D92610"/>
    <w:rsid w:val="15001500"/>
    <w:rsid w:val="151D6C46"/>
    <w:rsid w:val="154A25D7"/>
    <w:rsid w:val="15525604"/>
    <w:rsid w:val="156E5828"/>
    <w:rsid w:val="15841819"/>
    <w:rsid w:val="15B36E57"/>
    <w:rsid w:val="15B43A33"/>
    <w:rsid w:val="15C02CFA"/>
    <w:rsid w:val="15D02588"/>
    <w:rsid w:val="163004AD"/>
    <w:rsid w:val="164356BB"/>
    <w:rsid w:val="16503C6F"/>
    <w:rsid w:val="166F777C"/>
    <w:rsid w:val="167E1E2F"/>
    <w:rsid w:val="169C21B8"/>
    <w:rsid w:val="169C6B59"/>
    <w:rsid w:val="16BB60A4"/>
    <w:rsid w:val="16D604C4"/>
    <w:rsid w:val="173A5387"/>
    <w:rsid w:val="173C4B1A"/>
    <w:rsid w:val="17432754"/>
    <w:rsid w:val="17725C57"/>
    <w:rsid w:val="17755246"/>
    <w:rsid w:val="17800AEC"/>
    <w:rsid w:val="18245E40"/>
    <w:rsid w:val="186B461D"/>
    <w:rsid w:val="188A13FA"/>
    <w:rsid w:val="188B4950"/>
    <w:rsid w:val="18C50468"/>
    <w:rsid w:val="18C7387D"/>
    <w:rsid w:val="18C76564"/>
    <w:rsid w:val="18CB02F9"/>
    <w:rsid w:val="19087A11"/>
    <w:rsid w:val="191B7534"/>
    <w:rsid w:val="193A7C38"/>
    <w:rsid w:val="196C6250"/>
    <w:rsid w:val="196E2C37"/>
    <w:rsid w:val="1974690A"/>
    <w:rsid w:val="19AF5886"/>
    <w:rsid w:val="19C072D3"/>
    <w:rsid w:val="1A25720B"/>
    <w:rsid w:val="1A510684"/>
    <w:rsid w:val="1A6171B2"/>
    <w:rsid w:val="1AA65F2A"/>
    <w:rsid w:val="1AA666F2"/>
    <w:rsid w:val="1ADC340E"/>
    <w:rsid w:val="1AED2C78"/>
    <w:rsid w:val="1AEF15D5"/>
    <w:rsid w:val="1B1F6B22"/>
    <w:rsid w:val="1B343FD0"/>
    <w:rsid w:val="1B356551"/>
    <w:rsid w:val="1B377F92"/>
    <w:rsid w:val="1B3E4ABA"/>
    <w:rsid w:val="1B9A62B3"/>
    <w:rsid w:val="1B9D2D2C"/>
    <w:rsid w:val="1BAB13EA"/>
    <w:rsid w:val="1BE02644"/>
    <w:rsid w:val="1BF27CE6"/>
    <w:rsid w:val="1BF57F17"/>
    <w:rsid w:val="1C13053F"/>
    <w:rsid w:val="1C162BF5"/>
    <w:rsid w:val="1C212DFA"/>
    <w:rsid w:val="1C2654D2"/>
    <w:rsid w:val="1C3065A1"/>
    <w:rsid w:val="1C32514E"/>
    <w:rsid w:val="1C8449C2"/>
    <w:rsid w:val="1C8676F7"/>
    <w:rsid w:val="1C8B5EF5"/>
    <w:rsid w:val="1C9B7764"/>
    <w:rsid w:val="1C9C37E6"/>
    <w:rsid w:val="1CA0162A"/>
    <w:rsid w:val="1CA3081A"/>
    <w:rsid w:val="1CAC0120"/>
    <w:rsid w:val="1CB81673"/>
    <w:rsid w:val="1CEB7EC5"/>
    <w:rsid w:val="1D0A50BD"/>
    <w:rsid w:val="1D2A3DAB"/>
    <w:rsid w:val="1D2B7B0B"/>
    <w:rsid w:val="1D46542E"/>
    <w:rsid w:val="1D6359BB"/>
    <w:rsid w:val="1D664936"/>
    <w:rsid w:val="1D71729C"/>
    <w:rsid w:val="1D981331"/>
    <w:rsid w:val="1DAB3C89"/>
    <w:rsid w:val="1DC06E93"/>
    <w:rsid w:val="1DCC77C2"/>
    <w:rsid w:val="1DCF4890"/>
    <w:rsid w:val="1DFB57EB"/>
    <w:rsid w:val="1DFD14A7"/>
    <w:rsid w:val="1E0062C5"/>
    <w:rsid w:val="1E116D00"/>
    <w:rsid w:val="1E4F15C4"/>
    <w:rsid w:val="1E665E93"/>
    <w:rsid w:val="1E6D0B8E"/>
    <w:rsid w:val="1E740910"/>
    <w:rsid w:val="1E8A1B7B"/>
    <w:rsid w:val="1ED05FDD"/>
    <w:rsid w:val="1EDA4565"/>
    <w:rsid w:val="1F0115E6"/>
    <w:rsid w:val="1F2D4157"/>
    <w:rsid w:val="1F522A56"/>
    <w:rsid w:val="1F8B73B9"/>
    <w:rsid w:val="1F8F25D3"/>
    <w:rsid w:val="1FC0508F"/>
    <w:rsid w:val="1FD17519"/>
    <w:rsid w:val="1FDE37FF"/>
    <w:rsid w:val="1FE87CF6"/>
    <w:rsid w:val="20142293"/>
    <w:rsid w:val="202875D1"/>
    <w:rsid w:val="203B6405"/>
    <w:rsid w:val="204042C4"/>
    <w:rsid w:val="204434A6"/>
    <w:rsid w:val="208E2CB0"/>
    <w:rsid w:val="20C7192F"/>
    <w:rsid w:val="20C94ACB"/>
    <w:rsid w:val="20CC6F0F"/>
    <w:rsid w:val="20F3606E"/>
    <w:rsid w:val="2117534C"/>
    <w:rsid w:val="211E00DD"/>
    <w:rsid w:val="213009EF"/>
    <w:rsid w:val="213D75BE"/>
    <w:rsid w:val="213F7AB1"/>
    <w:rsid w:val="217A33A1"/>
    <w:rsid w:val="21832CCF"/>
    <w:rsid w:val="21872636"/>
    <w:rsid w:val="218D6BC2"/>
    <w:rsid w:val="218F2648"/>
    <w:rsid w:val="21AB5C9B"/>
    <w:rsid w:val="21B427AB"/>
    <w:rsid w:val="21BD46E0"/>
    <w:rsid w:val="21D16251"/>
    <w:rsid w:val="227C0C68"/>
    <w:rsid w:val="227D1F07"/>
    <w:rsid w:val="22AE5DFE"/>
    <w:rsid w:val="22C205C9"/>
    <w:rsid w:val="23025E80"/>
    <w:rsid w:val="235C31B0"/>
    <w:rsid w:val="236B6A5A"/>
    <w:rsid w:val="23C16FD2"/>
    <w:rsid w:val="242C445B"/>
    <w:rsid w:val="247E04BE"/>
    <w:rsid w:val="248B6BF0"/>
    <w:rsid w:val="24975A35"/>
    <w:rsid w:val="24A451C8"/>
    <w:rsid w:val="24B0777F"/>
    <w:rsid w:val="24B80E3D"/>
    <w:rsid w:val="24BA3A6C"/>
    <w:rsid w:val="24C14262"/>
    <w:rsid w:val="24D310BF"/>
    <w:rsid w:val="24DB11B1"/>
    <w:rsid w:val="24DB1DC1"/>
    <w:rsid w:val="254579AD"/>
    <w:rsid w:val="25482804"/>
    <w:rsid w:val="25550995"/>
    <w:rsid w:val="25916749"/>
    <w:rsid w:val="25B15AD3"/>
    <w:rsid w:val="25C12DBA"/>
    <w:rsid w:val="25E5097B"/>
    <w:rsid w:val="25ED1CE2"/>
    <w:rsid w:val="260366CA"/>
    <w:rsid w:val="26190B1E"/>
    <w:rsid w:val="261954E5"/>
    <w:rsid w:val="26B25A04"/>
    <w:rsid w:val="26BE554B"/>
    <w:rsid w:val="26E86A48"/>
    <w:rsid w:val="270262E3"/>
    <w:rsid w:val="27101EDB"/>
    <w:rsid w:val="27450F96"/>
    <w:rsid w:val="279F5238"/>
    <w:rsid w:val="27A03254"/>
    <w:rsid w:val="27A230C5"/>
    <w:rsid w:val="27A851CF"/>
    <w:rsid w:val="27F6755B"/>
    <w:rsid w:val="2815326B"/>
    <w:rsid w:val="2835156C"/>
    <w:rsid w:val="285E7742"/>
    <w:rsid w:val="285F589C"/>
    <w:rsid w:val="2860075F"/>
    <w:rsid w:val="288E7537"/>
    <w:rsid w:val="28D51CE9"/>
    <w:rsid w:val="28E0382C"/>
    <w:rsid w:val="28FB2940"/>
    <w:rsid w:val="2935387C"/>
    <w:rsid w:val="293B3101"/>
    <w:rsid w:val="295642C7"/>
    <w:rsid w:val="29923BE6"/>
    <w:rsid w:val="29C74D12"/>
    <w:rsid w:val="29D70027"/>
    <w:rsid w:val="29DA51F1"/>
    <w:rsid w:val="29E4565C"/>
    <w:rsid w:val="2A217644"/>
    <w:rsid w:val="2A5522DC"/>
    <w:rsid w:val="2A6D7AE4"/>
    <w:rsid w:val="2A81126C"/>
    <w:rsid w:val="2A9A509F"/>
    <w:rsid w:val="2ABE75C5"/>
    <w:rsid w:val="2AC54EDF"/>
    <w:rsid w:val="2ADE1592"/>
    <w:rsid w:val="2AE72478"/>
    <w:rsid w:val="2AEF2177"/>
    <w:rsid w:val="2AF85EBC"/>
    <w:rsid w:val="2AFE6BB2"/>
    <w:rsid w:val="2AFF547A"/>
    <w:rsid w:val="2B0F5BE3"/>
    <w:rsid w:val="2B194010"/>
    <w:rsid w:val="2B1A0A86"/>
    <w:rsid w:val="2B766889"/>
    <w:rsid w:val="2B8A2A44"/>
    <w:rsid w:val="2B8F7412"/>
    <w:rsid w:val="2BB62C14"/>
    <w:rsid w:val="2BB82208"/>
    <w:rsid w:val="2BB86C14"/>
    <w:rsid w:val="2BC1544C"/>
    <w:rsid w:val="2BF25A55"/>
    <w:rsid w:val="2BF83122"/>
    <w:rsid w:val="2C4D4422"/>
    <w:rsid w:val="2C61592A"/>
    <w:rsid w:val="2CF23348"/>
    <w:rsid w:val="2D0212AF"/>
    <w:rsid w:val="2D0721CE"/>
    <w:rsid w:val="2D2D0FB8"/>
    <w:rsid w:val="2D5369A4"/>
    <w:rsid w:val="2D553E12"/>
    <w:rsid w:val="2D563294"/>
    <w:rsid w:val="2D572DE8"/>
    <w:rsid w:val="2D7657B0"/>
    <w:rsid w:val="2DA92533"/>
    <w:rsid w:val="2DC542FD"/>
    <w:rsid w:val="2DDA67FA"/>
    <w:rsid w:val="2E027319"/>
    <w:rsid w:val="2E740C9C"/>
    <w:rsid w:val="2E912614"/>
    <w:rsid w:val="2EA92A1B"/>
    <w:rsid w:val="2EB82B9B"/>
    <w:rsid w:val="2EDB211E"/>
    <w:rsid w:val="2EEA0CBD"/>
    <w:rsid w:val="2F340F2B"/>
    <w:rsid w:val="2FAF734F"/>
    <w:rsid w:val="2FB74538"/>
    <w:rsid w:val="2FC85BC4"/>
    <w:rsid w:val="2FF16930"/>
    <w:rsid w:val="30255652"/>
    <w:rsid w:val="302A5959"/>
    <w:rsid w:val="305B0C4B"/>
    <w:rsid w:val="306F34C7"/>
    <w:rsid w:val="30973BDD"/>
    <w:rsid w:val="31024AE6"/>
    <w:rsid w:val="31232744"/>
    <w:rsid w:val="313F60CD"/>
    <w:rsid w:val="314E4E8D"/>
    <w:rsid w:val="316C164E"/>
    <w:rsid w:val="319B4E07"/>
    <w:rsid w:val="31AC33EA"/>
    <w:rsid w:val="31B469D0"/>
    <w:rsid w:val="31D64F96"/>
    <w:rsid w:val="32017181"/>
    <w:rsid w:val="3202578C"/>
    <w:rsid w:val="32244DFC"/>
    <w:rsid w:val="326D3B31"/>
    <w:rsid w:val="327021FA"/>
    <w:rsid w:val="329C1DF0"/>
    <w:rsid w:val="329E2BA3"/>
    <w:rsid w:val="32AE7A75"/>
    <w:rsid w:val="32E032B1"/>
    <w:rsid w:val="32EF11A3"/>
    <w:rsid w:val="32EF2028"/>
    <w:rsid w:val="33011C41"/>
    <w:rsid w:val="333C6A3D"/>
    <w:rsid w:val="33644CFD"/>
    <w:rsid w:val="33774568"/>
    <w:rsid w:val="33912798"/>
    <w:rsid w:val="33A0028D"/>
    <w:rsid w:val="33A570FA"/>
    <w:rsid w:val="33D32C1C"/>
    <w:rsid w:val="33D92429"/>
    <w:rsid w:val="343B3818"/>
    <w:rsid w:val="343C1893"/>
    <w:rsid w:val="358526AE"/>
    <w:rsid w:val="35B43FF1"/>
    <w:rsid w:val="35B54B22"/>
    <w:rsid w:val="35DF0F8E"/>
    <w:rsid w:val="35E83CBD"/>
    <w:rsid w:val="35EF293B"/>
    <w:rsid w:val="35F13A2A"/>
    <w:rsid w:val="360453EB"/>
    <w:rsid w:val="361633A9"/>
    <w:rsid w:val="36241029"/>
    <w:rsid w:val="36280A97"/>
    <w:rsid w:val="362C0965"/>
    <w:rsid w:val="36495F37"/>
    <w:rsid w:val="36523501"/>
    <w:rsid w:val="366A6E58"/>
    <w:rsid w:val="36781886"/>
    <w:rsid w:val="3703155C"/>
    <w:rsid w:val="37366041"/>
    <w:rsid w:val="373D0F4E"/>
    <w:rsid w:val="375D41E8"/>
    <w:rsid w:val="37625DAE"/>
    <w:rsid w:val="377717B0"/>
    <w:rsid w:val="379D7A74"/>
    <w:rsid w:val="37A03DDA"/>
    <w:rsid w:val="37DC389E"/>
    <w:rsid w:val="37E41DF1"/>
    <w:rsid w:val="37FC364E"/>
    <w:rsid w:val="38463090"/>
    <w:rsid w:val="3882116E"/>
    <w:rsid w:val="388234B9"/>
    <w:rsid w:val="38973473"/>
    <w:rsid w:val="38A56CC9"/>
    <w:rsid w:val="38C05F24"/>
    <w:rsid w:val="38D750B8"/>
    <w:rsid w:val="38F2240C"/>
    <w:rsid w:val="39171CC0"/>
    <w:rsid w:val="393F39C1"/>
    <w:rsid w:val="3941283A"/>
    <w:rsid w:val="395212E1"/>
    <w:rsid w:val="39777F08"/>
    <w:rsid w:val="39976574"/>
    <w:rsid w:val="39A165F9"/>
    <w:rsid w:val="39B72706"/>
    <w:rsid w:val="39C84E5A"/>
    <w:rsid w:val="39FA0921"/>
    <w:rsid w:val="3A3457E8"/>
    <w:rsid w:val="3A3F0320"/>
    <w:rsid w:val="3A536E24"/>
    <w:rsid w:val="3A565A98"/>
    <w:rsid w:val="3A810ECA"/>
    <w:rsid w:val="3A871F8A"/>
    <w:rsid w:val="3AA31206"/>
    <w:rsid w:val="3AB57780"/>
    <w:rsid w:val="3AC51ACB"/>
    <w:rsid w:val="3AC65AD2"/>
    <w:rsid w:val="3ACF5A26"/>
    <w:rsid w:val="3B1B509F"/>
    <w:rsid w:val="3B3575B2"/>
    <w:rsid w:val="3B4764C1"/>
    <w:rsid w:val="3B54731C"/>
    <w:rsid w:val="3B67428D"/>
    <w:rsid w:val="3B713350"/>
    <w:rsid w:val="3B7A26BE"/>
    <w:rsid w:val="3BE767A5"/>
    <w:rsid w:val="3C1701DB"/>
    <w:rsid w:val="3C215F09"/>
    <w:rsid w:val="3C2E25AC"/>
    <w:rsid w:val="3C33699A"/>
    <w:rsid w:val="3C41291B"/>
    <w:rsid w:val="3C447C27"/>
    <w:rsid w:val="3C4E3440"/>
    <w:rsid w:val="3C5207B8"/>
    <w:rsid w:val="3D096998"/>
    <w:rsid w:val="3DA1675A"/>
    <w:rsid w:val="3E225ED0"/>
    <w:rsid w:val="3E29108F"/>
    <w:rsid w:val="3E763568"/>
    <w:rsid w:val="3EB341AB"/>
    <w:rsid w:val="3EC20226"/>
    <w:rsid w:val="3EC451E1"/>
    <w:rsid w:val="3EC47F80"/>
    <w:rsid w:val="3F1E63B0"/>
    <w:rsid w:val="3F2226EC"/>
    <w:rsid w:val="3F601C75"/>
    <w:rsid w:val="3FAC6CE4"/>
    <w:rsid w:val="3FB04B06"/>
    <w:rsid w:val="3FDA48AC"/>
    <w:rsid w:val="3FF63E3E"/>
    <w:rsid w:val="4004626D"/>
    <w:rsid w:val="402A3DD6"/>
    <w:rsid w:val="402E363B"/>
    <w:rsid w:val="403A7A13"/>
    <w:rsid w:val="40883F9A"/>
    <w:rsid w:val="40A6403B"/>
    <w:rsid w:val="40C31767"/>
    <w:rsid w:val="40D11C13"/>
    <w:rsid w:val="40D14228"/>
    <w:rsid w:val="40E32648"/>
    <w:rsid w:val="40EA1805"/>
    <w:rsid w:val="413F338F"/>
    <w:rsid w:val="415D3A83"/>
    <w:rsid w:val="417863BD"/>
    <w:rsid w:val="419659D4"/>
    <w:rsid w:val="41970A1B"/>
    <w:rsid w:val="41A50FA5"/>
    <w:rsid w:val="41AF222E"/>
    <w:rsid w:val="41CC07BC"/>
    <w:rsid w:val="41DD5AAF"/>
    <w:rsid w:val="420569A4"/>
    <w:rsid w:val="4246080B"/>
    <w:rsid w:val="428C5E2B"/>
    <w:rsid w:val="42CE24FD"/>
    <w:rsid w:val="42F302DD"/>
    <w:rsid w:val="42FE0872"/>
    <w:rsid w:val="43260C43"/>
    <w:rsid w:val="435C1E4D"/>
    <w:rsid w:val="438034F8"/>
    <w:rsid w:val="4388321A"/>
    <w:rsid w:val="4392444A"/>
    <w:rsid w:val="441A31FF"/>
    <w:rsid w:val="443F03D6"/>
    <w:rsid w:val="446A3759"/>
    <w:rsid w:val="446B4961"/>
    <w:rsid w:val="449428DA"/>
    <w:rsid w:val="45132E7E"/>
    <w:rsid w:val="45275022"/>
    <w:rsid w:val="45797DA1"/>
    <w:rsid w:val="45A046DF"/>
    <w:rsid w:val="45A8633B"/>
    <w:rsid w:val="45B725A0"/>
    <w:rsid w:val="45D33008"/>
    <w:rsid w:val="45D53422"/>
    <w:rsid w:val="461E795D"/>
    <w:rsid w:val="462E25CA"/>
    <w:rsid w:val="46303A17"/>
    <w:rsid w:val="46572882"/>
    <w:rsid w:val="465A58CC"/>
    <w:rsid w:val="467A4FB7"/>
    <w:rsid w:val="46931FE6"/>
    <w:rsid w:val="46D637ED"/>
    <w:rsid w:val="46DD3F38"/>
    <w:rsid w:val="46F16F1D"/>
    <w:rsid w:val="46FD2CBF"/>
    <w:rsid w:val="472910BD"/>
    <w:rsid w:val="47553E8E"/>
    <w:rsid w:val="477C293C"/>
    <w:rsid w:val="47B57E4D"/>
    <w:rsid w:val="47CA2F97"/>
    <w:rsid w:val="47D84675"/>
    <w:rsid w:val="47E17B3A"/>
    <w:rsid w:val="481379C4"/>
    <w:rsid w:val="481947FE"/>
    <w:rsid w:val="483B043E"/>
    <w:rsid w:val="48632720"/>
    <w:rsid w:val="486B0826"/>
    <w:rsid w:val="486B1D8E"/>
    <w:rsid w:val="487F39D8"/>
    <w:rsid w:val="48A93D74"/>
    <w:rsid w:val="48D139F6"/>
    <w:rsid w:val="48F56DD6"/>
    <w:rsid w:val="491916C6"/>
    <w:rsid w:val="49573AC8"/>
    <w:rsid w:val="49AA7971"/>
    <w:rsid w:val="49FE240E"/>
    <w:rsid w:val="4A073D73"/>
    <w:rsid w:val="4A141151"/>
    <w:rsid w:val="4A316318"/>
    <w:rsid w:val="4A5950C6"/>
    <w:rsid w:val="4A643B84"/>
    <w:rsid w:val="4A777A6A"/>
    <w:rsid w:val="4AA07571"/>
    <w:rsid w:val="4AC9062D"/>
    <w:rsid w:val="4AE52C42"/>
    <w:rsid w:val="4AF2187D"/>
    <w:rsid w:val="4AFC3953"/>
    <w:rsid w:val="4B074E64"/>
    <w:rsid w:val="4B1E385E"/>
    <w:rsid w:val="4B6870F9"/>
    <w:rsid w:val="4B6C2969"/>
    <w:rsid w:val="4BCF6DCB"/>
    <w:rsid w:val="4BD06B38"/>
    <w:rsid w:val="4BDF321A"/>
    <w:rsid w:val="4C0065CE"/>
    <w:rsid w:val="4C18241E"/>
    <w:rsid w:val="4C227943"/>
    <w:rsid w:val="4C4373DD"/>
    <w:rsid w:val="4C472142"/>
    <w:rsid w:val="4C4F5594"/>
    <w:rsid w:val="4C5F22C4"/>
    <w:rsid w:val="4C6835B8"/>
    <w:rsid w:val="4C791FF1"/>
    <w:rsid w:val="4CA51F52"/>
    <w:rsid w:val="4CAC7FF3"/>
    <w:rsid w:val="4CBD4D38"/>
    <w:rsid w:val="4CDD603C"/>
    <w:rsid w:val="4DC86CD0"/>
    <w:rsid w:val="4DD62C1F"/>
    <w:rsid w:val="4DF46D27"/>
    <w:rsid w:val="4E367509"/>
    <w:rsid w:val="4E5211BA"/>
    <w:rsid w:val="4E90713C"/>
    <w:rsid w:val="4E9D1D1E"/>
    <w:rsid w:val="4EEC7467"/>
    <w:rsid w:val="4F0E0B1D"/>
    <w:rsid w:val="4F563CC4"/>
    <w:rsid w:val="4F637FC6"/>
    <w:rsid w:val="4FBD41CA"/>
    <w:rsid w:val="4FD246D2"/>
    <w:rsid w:val="50077D56"/>
    <w:rsid w:val="50131451"/>
    <w:rsid w:val="50831BFE"/>
    <w:rsid w:val="50B52FE4"/>
    <w:rsid w:val="50BF2E54"/>
    <w:rsid w:val="51390BE4"/>
    <w:rsid w:val="51600E2A"/>
    <w:rsid w:val="51C804DE"/>
    <w:rsid w:val="51CF0D4C"/>
    <w:rsid w:val="51E12FF8"/>
    <w:rsid w:val="51E33826"/>
    <w:rsid w:val="51E71C22"/>
    <w:rsid w:val="52057C01"/>
    <w:rsid w:val="520C6B50"/>
    <w:rsid w:val="522E62F3"/>
    <w:rsid w:val="52A33960"/>
    <w:rsid w:val="52B476CE"/>
    <w:rsid w:val="52F47A95"/>
    <w:rsid w:val="52F8622C"/>
    <w:rsid w:val="531645CA"/>
    <w:rsid w:val="531F2A96"/>
    <w:rsid w:val="53262EC9"/>
    <w:rsid w:val="53734149"/>
    <w:rsid w:val="53932760"/>
    <w:rsid w:val="539873E7"/>
    <w:rsid w:val="53B46D0C"/>
    <w:rsid w:val="54087353"/>
    <w:rsid w:val="54375044"/>
    <w:rsid w:val="544232E7"/>
    <w:rsid w:val="54557110"/>
    <w:rsid w:val="54732B03"/>
    <w:rsid w:val="549661B6"/>
    <w:rsid w:val="54D24E79"/>
    <w:rsid w:val="54D253EC"/>
    <w:rsid w:val="5503429F"/>
    <w:rsid w:val="551027C6"/>
    <w:rsid w:val="552F7315"/>
    <w:rsid w:val="554B0FDD"/>
    <w:rsid w:val="55631D2D"/>
    <w:rsid w:val="5573432D"/>
    <w:rsid w:val="55A65C2A"/>
    <w:rsid w:val="55BB1E97"/>
    <w:rsid w:val="55C8709D"/>
    <w:rsid w:val="560509A3"/>
    <w:rsid w:val="56050C0A"/>
    <w:rsid w:val="56250237"/>
    <w:rsid w:val="564569EB"/>
    <w:rsid w:val="56AB5944"/>
    <w:rsid w:val="56E3144D"/>
    <w:rsid w:val="56F645A2"/>
    <w:rsid w:val="57214861"/>
    <w:rsid w:val="572B4616"/>
    <w:rsid w:val="574F5BC8"/>
    <w:rsid w:val="57541EAD"/>
    <w:rsid w:val="57603E5B"/>
    <w:rsid w:val="576D2C98"/>
    <w:rsid w:val="577465D8"/>
    <w:rsid w:val="57AE5029"/>
    <w:rsid w:val="57C23486"/>
    <w:rsid w:val="57D123D3"/>
    <w:rsid w:val="57E403A8"/>
    <w:rsid w:val="5807247D"/>
    <w:rsid w:val="58117CC1"/>
    <w:rsid w:val="582C3384"/>
    <w:rsid w:val="58624A55"/>
    <w:rsid w:val="59162EF2"/>
    <w:rsid w:val="59216A89"/>
    <w:rsid w:val="59A175DF"/>
    <w:rsid w:val="59B819C2"/>
    <w:rsid w:val="59C7668D"/>
    <w:rsid w:val="59FC4729"/>
    <w:rsid w:val="59FF697B"/>
    <w:rsid w:val="5A0B75E4"/>
    <w:rsid w:val="5A575BFF"/>
    <w:rsid w:val="5A77586F"/>
    <w:rsid w:val="5AA12CBD"/>
    <w:rsid w:val="5ACA65CD"/>
    <w:rsid w:val="5ACC7A53"/>
    <w:rsid w:val="5AE51758"/>
    <w:rsid w:val="5B581F93"/>
    <w:rsid w:val="5B6B529B"/>
    <w:rsid w:val="5BB0603A"/>
    <w:rsid w:val="5BB250E2"/>
    <w:rsid w:val="5BB3320D"/>
    <w:rsid w:val="5BC31A45"/>
    <w:rsid w:val="5BC772C9"/>
    <w:rsid w:val="5BF50377"/>
    <w:rsid w:val="5C165FC3"/>
    <w:rsid w:val="5C465FA2"/>
    <w:rsid w:val="5C544090"/>
    <w:rsid w:val="5C726BB6"/>
    <w:rsid w:val="5C7322D1"/>
    <w:rsid w:val="5CEF4070"/>
    <w:rsid w:val="5CFC28A8"/>
    <w:rsid w:val="5D246FFC"/>
    <w:rsid w:val="5D36426B"/>
    <w:rsid w:val="5DDA696A"/>
    <w:rsid w:val="5E410FFD"/>
    <w:rsid w:val="5E544606"/>
    <w:rsid w:val="5E8E05EA"/>
    <w:rsid w:val="5EFB61FA"/>
    <w:rsid w:val="5F06135B"/>
    <w:rsid w:val="5F2C7D02"/>
    <w:rsid w:val="5F2E07B9"/>
    <w:rsid w:val="5F31206E"/>
    <w:rsid w:val="5F7663E9"/>
    <w:rsid w:val="5FB656F9"/>
    <w:rsid w:val="5FBC2CFA"/>
    <w:rsid w:val="5FC53466"/>
    <w:rsid w:val="5FD13015"/>
    <w:rsid w:val="5FF56DB4"/>
    <w:rsid w:val="60190EE3"/>
    <w:rsid w:val="601D48F2"/>
    <w:rsid w:val="601E31F8"/>
    <w:rsid w:val="602832C7"/>
    <w:rsid w:val="603D1F50"/>
    <w:rsid w:val="603F673E"/>
    <w:rsid w:val="604C76FA"/>
    <w:rsid w:val="605467C6"/>
    <w:rsid w:val="605806FC"/>
    <w:rsid w:val="606925F4"/>
    <w:rsid w:val="606D5A42"/>
    <w:rsid w:val="60D605A1"/>
    <w:rsid w:val="612C537D"/>
    <w:rsid w:val="61464F6C"/>
    <w:rsid w:val="61515A7F"/>
    <w:rsid w:val="61633E93"/>
    <w:rsid w:val="61A4558D"/>
    <w:rsid w:val="61C308CB"/>
    <w:rsid w:val="61C32B70"/>
    <w:rsid w:val="61D54EA8"/>
    <w:rsid w:val="61E045CD"/>
    <w:rsid w:val="61E23930"/>
    <w:rsid w:val="62016875"/>
    <w:rsid w:val="623E052A"/>
    <w:rsid w:val="628B7263"/>
    <w:rsid w:val="62902D58"/>
    <w:rsid w:val="62AE4BDA"/>
    <w:rsid w:val="62C66425"/>
    <w:rsid w:val="62C97640"/>
    <w:rsid w:val="62D27C48"/>
    <w:rsid w:val="62FE5BAA"/>
    <w:rsid w:val="6307315E"/>
    <w:rsid w:val="63184211"/>
    <w:rsid w:val="631B5AD9"/>
    <w:rsid w:val="635514AC"/>
    <w:rsid w:val="635C575B"/>
    <w:rsid w:val="63672302"/>
    <w:rsid w:val="636863CF"/>
    <w:rsid w:val="63715219"/>
    <w:rsid w:val="63752C12"/>
    <w:rsid w:val="638C1080"/>
    <w:rsid w:val="63B413CF"/>
    <w:rsid w:val="63D4721A"/>
    <w:rsid w:val="63FF6C27"/>
    <w:rsid w:val="6405263C"/>
    <w:rsid w:val="642454D9"/>
    <w:rsid w:val="6464336B"/>
    <w:rsid w:val="653C5193"/>
    <w:rsid w:val="655C7828"/>
    <w:rsid w:val="655F0E94"/>
    <w:rsid w:val="658B4967"/>
    <w:rsid w:val="65CB1350"/>
    <w:rsid w:val="66330E7B"/>
    <w:rsid w:val="66351622"/>
    <w:rsid w:val="663A437A"/>
    <w:rsid w:val="665A2304"/>
    <w:rsid w:val="669C6349"/>
    <w:rsid w:val="66A80AC6"/>
    <w:rsid w:val="67144976"/>
    <w:rsid w:val="67202357"/>
    <w:rsid w:val="67580AC9"/>
    <w:rsid w:val="67603F26"/>
    <w:rsid w:val="67D3264E"/>
    <w:rsid w:val="67D63720"/>
    <w:rsid w:val="67EC027D"/>
    <w:rsid w:val="68024DD3"/>
    <w:rsid w:val="680F332B"/>
    <w:rsid w:val="6832253F"/>
    <w:rsid w:val="68594DE1"/>
    <w:rsid w:val="685C3C4D"/>
    <w:rsid w:val="687102AD"/>
    <w:rsid w:val="68724B40"/>
    <w:rsid w:val="68902798"/>
    <w:rsid w:val="690C7142"/>
    <w:rsid w:val="693B5FD8"/>
    <w:rsid w:val="69412846"/>
    <w:rsid w:val="695907E9"/>
    <w:rsid w:val="6964290E"/>
    <w:rsid w:val="698304CD"/>
    <w:rsid w:val="69932BAE"/>
    <w:rsid w:val="69A16FDB"/>
    <w:rsid w:val="69BA6060"/>
    <w:rsid w:val="69ED5B2B"/>
    <w:rsid w:val="6A223F21"/>
    <w:rsid w:val="6A4771F0"/>
    <w:rsid w:val="6A641277"/>
    <w:rsid w:val="6A643087"/>
    <w:rsid w:val="6A985E45"/>
    <w:rsid w:val="6AAD0001"/>
    <w:rsid w:val="6ACC3B62"/>
    <w:rsid w:val="6AE30427"/>
    <w:rsid w:val="6B1B05C6"/>
    <w:rsid w:val="6B35684E"/>
    <w:rsid w:val="6B5775BA"/>
    <w:rsid w:val="6B6C1D6A"/>
    <w:rsid w:val="6B706DFD"/>
    <w:rsid w:val="6B735145"/>
    <w:rsid w:val="6B76701F"/>
    <w:rsid w:val="6BAA63F6"/>
    <w:rsid w:val="6BB64940"/>
    <w:rsid w:val="6BBA5ABD"/>
    <w:rsid w:val="6BC04151"/>
    <w:rsid w:val="6BFF6B53"/>
    <w:rsid w:val="6C161EDD"/>
    <w:rsid w:val="6C17534B"/>
    <w:rsid w:val="6C3A466C"/>
    <w:rsid w:val="6C52384A"/>
    <w:rsid w:val="6C5F577B"/>
    <w:rsid w:val="6C5F6B13"/>
    <w:rsid w:val="6C825DDE"/>
    <w:rsid w:val="6C831486"/>
    <w:rsid w:val="6C8C7141"/>
    <w:rsid w:val="6C903E5F"/>
    <w:rsid w:val="6C92595F"/>
    <w:rsid w:val="6CA31D11"/>
    <w:rsid w:val="6CB73345"/>
    <w:rsid w:val="6CE513BE"/>
    <w:rsid w:val="6CEE595E"/>
    <w:rsid w:val="6CF82160"/>
    <w:rsid w:val="6D094BFA"/>
    <w:rsid w:val="6D1D7324"/>
    <w:rsid w:val="6D283EB3"/>
    <w:rsid w:val="6D476F5C"/>
    <w:rsid w:val="6D524D35"/>
    <w:rsid w:val="6D631E8B"/>
    <w:rsid w:val="6D6B44B8"/>
    <w:rsid w:val="6DA45721"/>
    <w:rsid w:val="6DE456D2"/>
    <w:rsid w:val="6DEF5724"/>
    <w:rsid w:val="6E096679"/>
    <w:rsid w:val="6E2D7396"/>
    <w:rsid w:val="6E977E1E"/>
    <w:rsid w:val="6E9A083E"/>
    <w:rsid w:val="6F1013D6"/>
    <w:rsid w:val="6F1830F3"/>
    <w:rsid w:val="6F2C4E6B"/>
    <w:rsid w:val="6F7502BE"/>
    <w:rsid w:val="6F8E346E"/>
    <w:rsid w:val="6F922D77"/>
    <w:rsid w:val="6FA85985"/>
    <w:rsid w:val="6FB35970"/>
    <w:rsid w:val="6FD7718C"/>
    <w:rsid w:val="6FEA2DEF"/>
    <w:rsid w:val="70231C9D"/>
    <w:rsid w:val="70411BFE"/>
    <w:rsid w:val="704768DE"/>
    <w:rsid w:val="707B5C7D"/>
    <w:rsid w:val="708C386D"/>
    <w:rsid w:val="7093353E"/>
    <w:rsid w:val="70A25D2A"/>
    <w:rsid w:val="70EC15F1"/>
    <w:rsid w:val="70F606D1"/>
    <w:rsid w:val="710C3141"/>
    <w:rsid w:val="71104E62"/>
    <w:rsid w:val="713927A1"/>
    <w:rsid w:val="71426CAF"/>
    <w:rsid w:val="715E0A8A"/>
    <w:rsid w:val="719525E5"/>
    <w:rsid w:val="71970440"/>
    <w:rsid w:val="71C43EDF"/>
    <w:rsid w:val="71D12B7B"/>
    <w:rsid w:val="72047D57"/>
    <w:rsid w:val="720F329A"/>
    <w:rsid w:val="723E4161"/>
    <w:rsid w:val="7254510E"/>
    <w:rsid w:val="72563FB1"/>
    <w:rsid w:val="726E28BC"/>
    <w:rsid w:val="729701F7"/>
    <w:rsid w:val="72C13435"/>
    <w:rsid w:val="72FF4E4D"/>
    <w:rsid w:val="732757A8"/>
    <w:rsid w:val="7332304C"/>
    <w:rsid w:val="73460DCF"/>
    <w:rsid w:val="736F51CC"/>
    <w:rsid w:val="73765DF7"/>
    <w:rsid w:val="739C093C"/>
    <w:rsid w:val="739D0315"/>
    <w:rsid w:val="73CE4F10"/>
    <w:rsid w:val="73DE0BF4"/>
    <w:rsid w:val="73EF72A5"/>
    <w:rsid w:val="740166CA"/>
    <w:rsid w:val="74092522"/>
    <w:rsid w:val="741606DE"/>
    <w:rsid w:val="74575C64"/>
    <w:rsid w:val="746B4618"/>
    <w:rsid w:val="746F2FAE"/>
    <w:rsid w:val="748E187D"/>
    <w:rsid w:val="74E47C0F"/>
    <w:rsid w:val="74F727ED"/>
    <w:rsid w:val="75120509"/>
    <w:rsid w:val="75395A4F"/>
    <w:rsid w:val="75A62599"/>
    <w:rsid w:val="75C718AC"/>
    <w:rsid w:val="75E5168E"/>
    <w:rsid w:val="75E65018"/>
    <w:rsid w:val="75FD7923"/>
    <w:rsid w:val="764536B8"/>
    <w:rsid w:val="764C1E95"/>
    <w:rsid w:val="765340BE"/>
    <w:rsid w:val="76600B0B"/>
    <w:rsid w:val="769D4729"/>
    <w:rsid w:val="76AB50A9"/>
    <w:rsid w:val="76EC025F"/>
    <w:rsid w:val="77104195"/>
    <w:rsid w:val="77532B5B"/>
    <w:rsid w:val="77A72B49"/>
    <w:rsid w:val="77BA48A1"/>
    <w:rsid w:val="77EA45C3"/>
    <w:rsid w:val="77F3515D"/>
    <w:rsid w:val="77F537AF"/>
    <w:rsid w:val="7810498A"/>
    <w:rsid w:val="78427D95"/>
    <w:rsid w:val="789B3619"/>
    <w:rsid w:val="78B722E5"/>
    <w:rsid w:val="78CE3373"/>
    <w:rsid w:val="78D27840"/>
    <w:rsid w:val="78EA06B1"/>
    <w:rsid w:val="79301317"/>
    <w:rsid w:val="79303653"/>
    <w:rsid w:val="79332894"/>
    <w:rsid w:val="79432FDA"/>
    <w:rsid w:val="794E031B"/>
    <w:rsid w:val="796340FE"/>
    <w:rsid w:val="79F651E3"/>
    <w:rsid w:val="7A107860"/>
    <w:rsid w:val="7A4A0DFD"/>
    <w:rsid w:val="7A552236"/>
    <w:rsid w:val="7A735659"/>
    <w:rsid w:val="7A7E0068"/>
    <w:rsid w:val="7AB60141"/>
    <w:rsid w:val="7AB7745D"/>
    <w:rsid w:val="7AC17447"/>
    <w:rsid w:val="7AD70C9B"/>
    <w:rsid w:val="7ADA5B3C"/>
    <w:rsid w:val="7B4531F1"/>
    <w:rsid w:val="7B4D07FD"/>
    <w:rsid w:val="7BAB3DF5"/>
    <w:rsid w:val="7BD26364"/>
    <w:rsid w:val="7BDB29F1"/>
    <w:rsid w:val="7C2F53CB"/>
    <w:rsid w:val="7C3A3603"/>
    <w:rsid w:val="7C461D0D"/>
    <w:rsid w:val="7C485C63"/>
    <w:rsid w:val="7CA834CE"/>
    <w:rsid w:val="7CB9036C"/>
    <w:rsid w:val="7D047631"/>
    <w:rsid w:val="7D3475DB"/>
    <w:rsid w:val="7D6A4C5A"/>
    <w:rsid w:val="7D771F95"/>
    <w:rsid w:val="7D942460"/>
    <w:rsid w:val="7DDD5D1F"/>
    <w:rsid w:val="7E0B3754"/>
    <w:rsid w:val="7E3C4D54"/>
    <w:rsid w:val="7E563F68"/>
    <w:rsid w:val="7EC40A24"/>
    <w:rsid w:val="7F3006EE"/>
    <w:rsid w:val="7F5F072D"/>
    <w:rsid w:val="7F711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8"/>
    <w:qFormat/>
    <w:uiPriority w:val="0"/>
    <w:pPr>
      <w:keepNext/>
      <w:jc w:val="center"/>
      <w:outlineLvl w:val="0"/>
    </w:pPr>
    <w:rPr>
      <w:rFonts w:eastAsia="黑体"/>
      <w:b/>
      <w:sz w:val="32"/>
      <w:szCs w:val="20"/>
    </w:rPr>
  </w:style>
  <w:style w:type="paragraph" w:styleId="4">
    <w:name w:val="heading 2"/>
    <w:basedOn w:val="1"/>
    <w:next w:val="1"/>
    <w:link w:val="66"/>
    <w:qFormat/>
    <w:uiPriority w:val="0"/>
    <w:pPr>
      <w:keepNext/>
      <w:outlineLvl w:val="1"/>
    </w:pPr>
    <w:rPr>
      <w:rFonts w:ascii="仿宋_GB2312"/>
      <w:b/>
      <w:sz w:val="28"/>
      <w:szCs w:val="32"/>
    </w:rPr>
  </w:style>
  <w:style w:type="paragraph" w:styleId="5">
    <w:name w:val="heading 3"/>
    <w:basedOn w:val="1"/>
    <w:next w:val="1"/>
    <w:link w:val="151"/>
    <w:qFormat/>
    <w:uiPriority w:val="0"/>
    <w:pPr>
      <w:keepNext/>
      <w:keepLines/>
      <w:spacing w:line="540" w:lineRule="atLeast"/>
      <w:outlineLvl w:val="2"/>
    </w:pPr>
    <w:rPr>
      <w:rFonts w:eastAsia="黑体"/>
      <w:b/>
      <w:sz w:val="28"/>
      <w:szCs w:val="20"/>
    </w:rPr>
  </w:style>
  <w:style w:type="paragraph" w:styleId="6">
    <w:name w:val="heading 4"/>
    <w:basedOn w:val="1"/>
    <w:next w:val="1"/>
    <w:link w:val="148"/>
    <w:qFormat/>
    <w:uiPriority w:val="0"/>
    <w:pPr>
      <w:keepNext/>
      <w:keepLines/>
      <w:spacing w:line="540" w:lineRule="atLeast"/>
      <w:outlineLvl w:val="3"/>
    </w:pPr>
    <w:rPr>
      <w:sz w:val="28"/>
      <w:szCs w:val="28"/>
    </w:rPr>
  </w:style>
  <w:style w:type="paragraph" w:styleId="7">
    <w:name w:val="heading 5"/>
    <w:basedOn w:val="1"/>
    <w:next w:val="1"/>
    <w:link w:val="131"/>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72"/>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69"/>
    <w:qFormat/>
    <w:uiPriority w:val="0"/>
    <w:pPr>
      <w:keepNext/>
      <w:keepLines/>
      <w:spacing w:before="240" w:after="64" w:line="317" w:lineRule="auto"/>
      <w:outlineLvl w:val="6"/>
    </w:pPr>
    <w:rPr>
      <w:b/>
      <w:sz w:val="24"/>
      <w:szCs w:val="20"/>
    </w:rPr>
  </w:style>
  <w:style w:type="paragraph" w:styleId="11">
    <w:name w:val="heading 8"/>
    <w:basedOn w:val="1"/>
    <w:next w:val="9"/>
    <w:link w:val="175"/>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62"/>
    <w:qFormat/>
    <w:uiPriority w:val="0"/>
    <w:pPr>
      <w:keepNext/>
      <w:keepLines/>
      <w:spacing w:before="240" w:after="64" w:line="317" w:lineRule="auto"/>
      <w:outlineLvl w:val="8"/>
    </w:pPr>
    <w:rPr>
      <w:rFonts w:ascii="Arial" w:hAnsi="Arial" w:eastAsia="黑体"/>
      <w:szCs w:val="20"/>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2">
    <w:name w:val="macro"/>
    <w:link w:val="117"/>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04"/>
    <w:qFormat/>
    <w:uiPriority w:val="0"/>
    <w:pPr>
      <w:adjustRightInd w:val="0"/>
      <w:spacing w:line="312" w:lineRule="atLeast"/>
      <w:ind w:firstLine="420"/>
      <w:textAlignment w:val="baseline"/>
    </w:pPr>
    <w:rPr>
      <w:rFonts w:ascii="仿宋_GB2312"/>
      <w:b/>
      <w:kern w:val="0"/>
      <w:szCs w:val="32"/>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List Number"/>
    <w:basedOn w:val="1"/>
    <w:qFormat/>
    <w:uiPriority w:val="0"/>
    <w:pPr>
      <w:tabs>
        <w:tab w:val="left" w:pos="360"/>
      </w:tabs>
      <w:ind w:left="360" w:hanging="360" w:hangingChars="200"/>
    </w:pPr>
  </w:style>
  <w:style w:type="paragraph" w:styleId="15">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qFormat/>
    <w:uiPriority w:val="0"/>
    <w:pPr>
      <w:tabs>
        <w:tab w:val="left" w:pos="360"/>
      </w:tabs>
    </w:pPr>
    <w:rPr>
      <w:rFonts w:ascii="Calibri" w:hAnsi="Calibri"/>
      <w:szCs w:val="22"/>
    </w:rPr>
  </w:style>
  <w:style w:type="paragraph" w:styleId="17">
    <w:name w:val="Document Map"/>
    <w:basedOn w:val="1"/>
    <w:link w:val="130"/>
    <w:qFormat/>
    <w:uiPriority w:val="0"/>
    <w:pPr>
      <w:shd w:val="clear" w:color="auto" w:fill="000080"/>
    </w:pPr>
  </w:style>
  <w:style w:type="paragraph" w:styleId="18">
    <w:name w:val="annotation text"/>
    <w:basedOn w:val="1"/>
    <w:link w:val="90"/>
    <w:qFormat/>
    <w:uiPriority w:val="0"/>
    <w:pPr>
      <w:jc w:val="left"/>
    </w:pPr>
  </w:style>
  <w:style w:type="paragraph" w:styleId="19">
    <w:name w:val="Salutation"/>
    <w:basedOn w:val="1"/>
    <w:next w:val="1"/>
    <w:link w:val="78"/>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0">
    <w:name w:val="Body Text 3"/>
    <w:basedOn w:val="1"/>
    <w:link w:val="94"/>
    <w:qFormat/>
    <w:uiPriority w:val="0"/>
    <w:pPr>
      <w:autoSpaceDE w:val="0"/>
      <w:autoSpaceDN w:val="0"/>
      <w:adjustRightInd w:val="0"/>
      <w:jc w:val="center"/>
    </w:pPr>
  </w:style>
  <w:style w:type="paragraph" w:styleId="21">
    <w:name w:val="Body Text"/>
    <w:basedOn w:val="1"/>
    <w:next w:val="22"/>
    <w:link w:val="163"/>
    <w:qFormat/>
    <w:uiPriority w:val="0"/>
    <w:pPr>
      <w:spacing w:after="120"/>
    </w:pPr>
    <w:rPr>
      <w:rFonts w:ascii="仿宋_GB2312"/>
      <w:b/>
    </w:rPr>
  </w:style>
  <w:style w:type="paragraph" w:styleId="22">
    <w:name w:val="Body Text First Indent"/>
    <w:basedOn w:val="21"/>
    <w:next w:val="23"/>
    <w:link w:val="195"/>
    <w:qFormat/>
    <w:uiPriority w:val="0"/>
    <w:pPr>
      <w:autoSpaceDE w:val="0"/>
      <w:autoSpaceDN w:val="0"/>
      <w:adjustRightInd w:val="0"/>
      <w:ind w:firstLine="420" w:firstLineChars="100"/>
      <w:jc w:val="left"/>
    </w:pPr>
    <w:rPr>
      <w:rFonts w:ascii="Times New Roman"/>
      <w:b w:val="0"/>
      <w:kern w:val="0"/>
      <w:sz w:val="20"/>
      <w:szCs w:val="20"/>
    </w:rPr>
  </w:style>
  <w:style w:type="paragraph" w:styleId="23">
    <w:name w:val="toc 6"/>
    <w:basedOn w:val="1"/>
    <w:next w:val="1"/>
    <w:qFormat/>
    <w:uiPriority w:val="0"/>
    <w:pPr>
      <w:autoSpaceDE w:val="0"/>
      <w:autoSpaceDN w:val="0"/>
      <w:adjustRightInd w:val="0"/>
      <w:ind w:left="2100" w:leftChars="1000"/>
      <w:jc w:val="left"/>
    </w:pPr>
    <w:rPr>
      <w:kern w:val="0"/>
      <w:sz w:val="20"/>
      <w:szCs w:val="20"/>
    </w:rPr>
  </w:style>
  <w:style w:type="paragraph" w:styleId="24">
    <w:name w:val="Body Text Indent"/>
    <w:basedOn w:val="1"/>
    <w:next w:val="25"/>
    <w:link w:val="143"/>
    <w:qFormat/>
    <w:uiPriority w:val="0"/>
    <w:pPr>
      <w:ind w:left="480" w:hanging="480" w:hangingChars="200"/>
    </w:pPr>
    <w:rPr>
      <w:sz w:val="24"/>
    </w:rPr>
  </w:style>
  <w:style w:type="paragraph" w:styleId="25">
    <w:name w:val="Body Text First Indent 2"/>
    <w:basedOn w:val="24"/>
    <w:qFormat/>
    <w:uiPriority w:val="0"/>
    <w:pPr>
      <w:spacing w:after="120"/>
      <w:ind w:left="420" w:leftChars="200" w:firstLine="420"/>
    </w:pPr>
    <w:rPr>
      <w:rFonts w:cs="宋体"/>
      <w:sz w:val="21"/>
      <w:szCs w:val="21"/>
    </w:rPr>
  </w:style>
  <w:style w:type="paragraph" w:styleId="26">
    <w:name w:val="List Number 3"/>
    <w:basedOn w:val="1"/>
    <w:qFormat/>
    <w:uiPriority w:val="0"/>
    <w:pPr>
      <w:tabs>
        <w:tab w:val="left" w:pos="1200"/>
      </w:tabs>
      <w:ind w:left="1200" w:leftChars="400" w:hanging="360" w:hangingChars="200"/>
    </w:pPr>
  </w:style>
  <w:style w:type="paragraph" w:styleId="27">
    <w:name w:val="Block Text"/>
    <w:basedOn w:val="1"/>
    <w:qFormat/>
    <w:uiPriority w:val="0"/>
    <w:pPr>
      <w:spacing w:line="520" w:lineRule="exact"/>
      <w:ind w:left="540" w:leftChars="257" w:right="-514"/>
    </w:pPr>
    <w:rPr>
      <w:rFonts w:ascii="宋体" w:hAnsi="宋体"/>
      <w:sz w:val="24"/>
    </w:rPr>
  </w:style>
  <w:style w:type="paragraph" w:styleId="28">
    <w:name w:val="List Bullet 2"/>
    <w:basedOn w:val="1"/>
    <w:qFormat/>
    <w:uiPriority w:val="0"/>
    <w:pPr>
      <w:tabs>
        <w:tab w:val="left" w:pos="780"/>
      </w:tabs>
      <w:spacing w:line="360" w:lineRule="auto"/>
      <w:ind w:left="780" w:leftChars="200" w:hanging="360" w:hangingChars="200"/>
    </w:pPr>
  </w:style>
  <w:style w:type="paragraph" w:styleId="29">
    <w:name w:val="toc 5"/>
    <w:basedOn w:val="1"/>
    <w:next w:val="1"/>
    <w:qFormat/>
    <w:uiPriority w:val="0"/>
    <w:pPr>
      <w:autoSpaceDE w:val="0"/>
      <w:autoSpaceDN w:val="0"/>
      <w:adjustRightInd w:val="0"/>
      <w:ind w:left="1680" w:leftChars="800"/>
      <w:jc w:val="left"/>
    </w:pPr>
    <w:rPr>
      <w:kern w:val="0"/>
      <w:sz w:val="20"/>
      <w:szCs w:val="20"/>
    </w:rPr>
  </w:style>
  <w:style w:type="paragraph" w:styleId="30">
    <w:name w:val="toc 3"/>
    <w:basedOn w:val="1"/>
    <w:next w:val="1"/>
    <w:qFormat/>
    <w:uiPriority w:val="0"/>
    <w:pPr>
      <w:ind w:left="840" w:leftChars="400"/>
    </w:pPr>
  </w:style>
  <w:style w:type="paragraph" w:styleId="31">
    <w:name w:val="Plain Text"/>
    <w:basedOn w:val="1"/>
    <w:next w:val="1"/>
    <w:link w:val="191"/>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2">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3">
    <w:name w:val="toc 8"/>
    <w:basedOn w:val="1"/>
    <w:next w:val="1"/>
    <w:qFormat/>
    <w:uiPriority w:val="0"/>
    <w:pPr>
      <w:autoSpaceDE w:val="0"/>
      <w:autoSpaceDN w:val="0"/>
      <w:adjustRightInd w:val="0"/>
      <w:ind w:left="2940" w:leftChars="1400"/>
      <w:jc w:val="left"/>
    </w:pPr>
    <w:rPr>
      <w:kern w:val="0"/>
      <w:sz w:val="20"/>
      <w:szCs w:val="20"/>
    </w:rPr>
  </w:style>
  <w:style w:type="paragraph" w:styleId="34">
    <w:name w:val="Date"/>
    <w:basedOn w:val="1"/>
    <w:next w:val="1"/>
    <w:link w:val="132"/>
    <w:qFormat/>
    <w:uiPriority w:val="0"/>
    <w:pPr>
      <w:ind w:left="100" w:leftChars="2500"/>
    </w:pPr>
  </w:style>
  <w:style w:type="paragraph" w:styleId="35">
    <w:name w:val="Body Text Indent 2"/>
    <w:basedOn w:val="1"/>
    <w:link w:val="177"/>
    <w:qFormat/>
    <w:uiPriority w:val="0"/>
    <w:pPr>
      <w:spacing w:line="500" w:lineRule="exact"/>
      <w:ind w:firstLine="511" w:firstLineChars="213"/>
    </w:pPr>
    <w:rPr>
      <w:sz w:val="24"/>
    </w:rPr>
  </w:style>
  <w:style w:type="paragraph" w:styleId="36">
    <w:name w:val="Balloon Text"/>
    <w:basedOn w:val="1"/>
    <w:link w:val="150"/>
    <w:qFormat/>
    <w:uiPriority w:val="0"/>
    <w:rPr>
      <w:sz w:val="18"/>
      <w:szCs w:val="18"/>
    </w:rPr>
  </w:style>
  <w:style w:type="paragraph" w:styleId="37">
    <w:name w:val="footer"/>
    <w:basedOn w:val="1"/>
    <w:link w:val="119"/>
    <w:qFormat/>
    <w:uiPriority w:val="0"/>
    <w:pPr>
      <w:tabs>
        <w:tab w:val="center" w:pos="4153"/>
        <w:tab w:val="right" w:pos="8306"/>
      </w:tabs>
      <w:snapToGrid w:val="0"/>
      <w:jc w:val="left"/>
    </w:pPr>
    <w:rPr>
      <w:sz w:val="18"/>
      <w:szCs w:val="18"/>
    </w:rPr>
  </w:style>
  <w:style w:type="paragraph" w:styleId="38">
    <w:name w:val="header"/>
    <w:basedOn w:val="1"/>
    <w:link w:val="134"/>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53"/>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40">
    <w:name w:val="toc 1"/>
    <w:basedOn w:val="1"/>
    <w:next w:val="1"/>
    <w:qFormat/>
    <w:uiPriority w:val="0"/>
  </w:style>
  <w:style w:type="paragraph" w:styleId="41">
    <w:name w:val="toc 4"/>
    <w:basedOn w:val="1"/>
    <w:next w:val="1"/>
    <w:qFormat/>
    <w:uiPriority w:val="0"/>
    <w:pPr>
      <w:autoSpaceDE w:val="0"/>
      <w:autoSpaceDN w:val="0"/>
      <w:adjustRightInd w:val="0"/>
      <w:ind w:left="1260" w:leftChars="600"/>
      <w:jc w:val="left"/>
    </w:pPr>
    <w:rPr>
      <w:kern w:val="0"/>
      <w:sz w:val="20"/>
      <w:szCs w:val="20"/>
    </w:rPr>
  </w:style>
  <w:style w:type="paragraph" w:styleId="42">
    <w:name w:val="Subtitle"/>
    <w:basedOn w:val="1"/>
    <w:next w:val="1"/>
    <w:link w:val="133"/>
    <w:qFormat/>
    <w:uiPriority w:val="0"/>
    <w:pPr>
      <w:spacing w:before="240" w:after="60" w:line="312" w:lineRule="auto"/>
      <w:jc w:val="center"/>
      <w:outlineLvl w:val="1"/>
    </w:pPr>
    <w:rPr>
      <w:rFonts w:ascii="Cambria" w:hAnsi="Cambria"/>
      <w:b/>
      <w:bCs/>
      <w:kern w:val="28"/>
      <w:sz w:val="32"/>
      <w:szCs w:val="32"/>
    </w:rPr>
  </w:style>
  <w:style w:type="paragraph" w:styleId="43">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4">
    <w:name w:val="List"/>
    <w:basedOn w:val="1"/>
    <w:qFormat/>
    <w:uiPriority w:val="0"/>
    <w:pPr>
      <w:ind w:left="200" w:hanging="200" w:hangingChars="200"/>
    </w:pPr>
  </w:style>
  <w:style w:type="paragraph" w:styleId="45">
    <w:name w:val="Body Text Indent 3"/>
    <w:basedOn w:val="1"/>
    <w:link w:val="145"/>
    <w:qFormat/>
    <w:uiPriority w:val="0"/>
    <w:pPr>
      <w:spacing w:line="500" w:lineRule="exact"/>
      <w:ind w:left="511" w:hanging="511" w:hangingChars="213"/>
    </w:pPr>
    <w:rPr>
      <w:sz w:val="24"/>
    </w:rPr>
  </w:style>
  <w:style w:type="paragraph" w:styleId="46">
    <w:name w:val="toc 2"/>
    <w:basedOn w:val="1"/>
    <w:next w:val="1"/>
    <w:qFormat/>
    <w:uiPriority w:val="0"/>
    <w:pPr>
      <w:ind w:left="420" w:leftChars="200"/>
    </w:pPr>
  </w:style>
  <w:style w:type="paragraph" w:styleId="47">
    <w:name w:val="toc 9"/>
    <w:basedOn w:val="1"/>
    <w:next w:val="1"/>
    <w:qFormat/>
    <w:uiPriority w:val="0"/>
    <w:pPr>
      <w:autoSpaceDE w:val="0"/>
      <w:autoSpaceDN w:val="0"/>
      <w:adjustRightInd w:val="0"/>
      <w:ind w:left="3360" w:leftChars="1600"/>
      <w:jc w:val="left"/>
    </w:pPr>
    <w:rPr>
      <w:kern w:val="0"/>
      <w:sz w:val="20"/>
      <w:szCs w:val="20"/>
    </w:rPr>
  </w:style>
  <w:style w:type="paragraph" w:styleId="48">
    <w:name w:val="Body Text 2"/>
    <w:basedOn w:val="1"/>
    <w:link w:val="197"/>
    <w:qFormat/>
    <w:uiPriority w:val="0"/>
    <w:pPr>
      <w:autoSpaceDE w:val="0"/>
      <w:autoSpaceDN w:val="0"/>
      <w:adjustRightInd w:val="0"/>
      <w:spacing w:after="120" w:line="480" w:lineRule="auto"/>
      <w:jc w:val="left"/>
    </w:pPr>
  </w:style>
  <w:style w:type="paragraph" w:styleId="4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0">
    <w:name w:val="Title"/>
    <w:basedOn w:val="1"/>
    <w:next w:val="1"/>
    <w:link w:val="110"/>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95"/>
    <w:qFormat/>
    <w:uiPriority w:val="0"/>
    <w:rPr>
      <w:b/>
      <w:bCs/>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basedOn w:val="54"/>
    <w:qFormat/>
    <w:uiPriority w:val="0"/>
    <w:rPr>
      <w:rFonts w:ascii="仿宋_GB2312" w:eastAsia="仿宋_GB2312"/>
      <w:bCs/>
      <w:sz w:val="32"/>
      <w:szCs w:val="32"/>
    </w:rPr>
  </w:style>
  <w:style w:type="character" w:styleId="56">
    <w:name w:val="page number"/>
    <w:basedOn w:val="54"/>
    <w:qFormat/>
    <w:uiPriority w:val="0"/>
  </w:style>
  <w:style w:type="character" w:styleId="57">
    <w:name w:val="FollowedHyperlink"/>
    <w:qFormat/>
    <w:uiPriority w:val="0"/>
    <w:rPr>
      <w:rFonts w:ascii="仿宋_GB2312" w:eastAsia="仿宋_GB2312"/>
      <w:b/>
      <w:color w:val="800080"/>
      <w:sz w:val="32"/>
      <w:szCs w:val="32"/>
      <w:u w:val="none"/>
    </w:rPr>
  </w:style>
  <w:style w:type="character" w:styleId="58">
    <w:name w:val="Emphasis"/>
    <w:qFormat/>
    <w:uiPriority w:val="0"/>
    <w:rPr>
      <w:i/>
      <w:iCs/>
    </w:rPr>
  </w:style>
  <w:style w:type="character" w:styleId="59">
    <w:name w:val="line number"/>
    <w:basedOn w:val="54"/>
    <w:qFormat/>
    <w:uiPriority w:val="0"/>
  </w:style>
  <w:style w:type="character" w:styleId="60">
    <w:name w:val="Hyperlink"/>
    <w:qFormat/>
    <w:uiPriority w:val="0"/>
    <w:rPr>
      <w:rFonts w:ascii="仿宋_GB2312" w:eastAsia="仿宋_GB2312"/>
      <w:b/>
      <w:color w:val="0000FF"/>
      <w:sz w:val="32"/>
      <w:szCs w:val="32"/>
      <w:u w:val="none"/>
    </w:rPr>
  </w:style>
  <w:style w:type="character" w:styleId="61">
    <w:name w:val="annotation reference"/>
    <w:qFormat/>
    <w:uiPriority w:val="0"/>
    <w:rPr>
      <w:sz w:val="21"/>
      <w:szCs w:val="21"/>
    </w:rPr>
  </w:style>
  <w:style w:type="character" w:styleId="62">
    <w:name w:val="HTML Cite"/>
    <w:qFormat/>
    <w:uiPriority w:val="0"/>
    <w:rPr>
      <w:color w:val="008000"/>
    </w:rPr>
  </w:style>
  <w:style w:type="paragraph" w:customStyle="1" w:styleId="63">
    <w:name w:val="Char3 Char Char Char"/>
    <w:basedOn w:val="1"/>
    <w:qFormat/>
    <w:uiPriority w:val="0"/>
  </w:style>
  <w:style w:type="character" w:customStyle="1" w:styleId="64">
    <w:name w:val="不明显参考1"/>
    <w:qFormat/>
    <w:uiPriority w:val="0"/>
    <w:rPr>
      <w:smallCaps/>
      <w:color w:val="C0504D"/>
      <w:u w:val="single"/>
    </w:rPr>
  </w:style>
  <w:style w:type="character" w:customStyle="1" w:styleId="65">
    <w:name w:val="PI Char1"/>
    <w:qFormat/>
    <w:uiPriority w:val="0"/>
    <w:rPr>
      <w:rFonts w:eastAsia="宋体"/>
      <w:kern w:val="2"/>
      <w:sz w:val="24"/>
      <w:szCs w:val="24"/>
      <w:lang w:val="en-US" w:eastAsia="zh-CN" w:bidi="ar-SA"/>
    </w:rPr>
  </w:style>
  <w:style w:type="character" w:customStyle="1" w:styleId="66">
    <w:name w:val="标题 2 Char"/>
    <w:link w:val="4"/>
    <w:qFormat/>
    <w:uiPriority w:val="0"/>
    <w:rPr>
      <w:rFonts w:ascii="仿宋_GB2312" w:eastAsia="宋体"/>
      <w:b/>
      <w:kern w:val="2"/>
      <w:sz w:val="28"/>
      <w:szCs w:val="32"/>
      <w:lang w:val="en-US" w:eastAsia="zh-CN" w:bidi="ar-SA"/>
    </w:rPr>
  </w:style>
  <w:style w:type="character" w:customStyle="1" w:styleId="67">
    <w:name w:val="pt141"/>
    <w:qFormat/>
    <w:uiPriority w:val="0"/>
    <w:rPr>
      <w:color w:val="330066"/>
      <w:spacing w:val="450"/>
      <w:sz w:val="22"/>
      <w:szCs w:val="22"/>
    </w:rPr>
  </w:style>
  <w:style w:type="character" w:customStyle="1" w:styleId="68">
    <w:name w:val="Char Char27"/>
    <w:qFormat/>
    <w:uiPriority w:val="0"/>
    <w:rPr>
      <w:rFonts w:eastAsia="宋体"/>
      <w:kern w:val="2"/>
      <w:sz w:val="28"/>
      <w:lang w:val="en-US" w:eastAsia="zh-CN" w:bidi="ar-SA"/>
    </w:rPr>
  </w:style>
  <w:style w:type="character" w:customStyle="1" w:styleId="69">
    <w:name w:val="标题 7 Char"/>
    <w:link w:val="10"/>
    <w:qFormat/>
    <w:uiPriority w:val="0"/>
    <w:rPr>
      <w:rFonts w:eastAsia="宋体"/>
      <w:b/>
      <w:kern w:val="2"/>
      <w:sz w:val="24"/>
      <w:lang w:val="en-US" w:eastAsia="zh-CN" w:bidi="ar-SA"/>
    </w:rPr>
  </w:style>
  <w:style w:type="character" w:customStyle="1" w:styleId="70">
    <w:name w:val="明显参考1"/>
    <w:qFormat/>
    <w:uiPriority w:val="0"/>
    <w:rPr>
      <w:b/>
      <w:bCs/>
      <w:smallCaps/>
      <w:color w:val="C0504D"/>
      <w:spacing w:val="5"/>
      <w:u w:val="single"/>
    </w:rPr>
  </w:style>
  <w:style w:type="character" w:customStyle="1" w:styleId="71">
    <w:name w:val="书籍标题1"/>
    <w:qFormat/>
    <w:uiPriority w:val="0"/>
    <w:rPr>
      <w:b/>
      <w:bCs/>
      <w:smallCaps/>
      <w:spacing w:val="5"/>
    </w:rPr>
  </w:style>
  <w:style w:type="character" w:customStyle="1" w:styleId="72">
    <w:name w:val="Char Char61"/>
    <w:qFormat/>
    <w:uiPriority w:val="0"/>
    <w:rPr>
      <w:rFonts w:ascii="Times New Roman" w:hAnsi="Times New Roman" w:eastAsia="宋体" w:cs="Times New Roman"/>
      <w:szCs w:val="24"/>
    </w:rPr>
  </w:style>
  <w:style w:type="character" w:customStyle="1" w:styleId="73">
    <w:name w:val="Char Char24"/>
    <w:qFormat/>
    <w:uiPriority w:val="0"/>
    <w:rPr>
      <w:rFonts w:eastAsia="宋体"/>
      <w:b/>
      <w:kern w:val="2"/>
      <w:sz w:val="28"/>
      <w:lang w:val="en-US" w:eastAsia="zh-CN" w:bidi="ar-SA"/>
    </w:rPr>
  </w:style>
  <w:style w:type="character" w:customStyle="1" w:styleId="74">
    <w:name w:val="Style4"/>
    <w:qFormat/>
    <w:uiPriority w:val="0"/>
    <w:rPr>
      <w:rFonts w:ascii="Calibri" w:hAnsi="宋体" w:eastAsia="宋体" w:cs="Times New Roman"/>
      <w:szCs w:val="22"/>
      <w:lang w:eastAsia="zh-CN"/>
    </w:rPr>
  </w:style>
  <w:style w:type="character" w:customStyle="1" w:styleId="75">
    <w:name w:val="Style1"/>
    <w:qFormat/>
    <w:uiPriority w:val="0"/>
    <w:rPr>
      <w:rFonts w:ascii="Calibri" w:hAnsi="宋体" w:eastAsia="宋体" w:cs="Times New Roman"/>
      <w:sz w:val="22"/>
      <w:szCs w:val="22"/>
      <w:lang w:eastAsia="zh-CN"/>
    </w:rPr>
  </w:style>
  <w:style w:type="character" w:customStyle="1" w:styleId="76">
    <w:name w:val="heading 1 Char1"/>
    <w:qFormat/>
    <w:uiPriority w:val="0"/>
    <w:rPr>
      <w:rFonts w:eastAsia="宋体"/>
      <w:b/>
      <w:bCs/>
      <w:kern w:val="44"/>
      <w:sz w:val="44"/>
      <w:szCs w:val="44"/>
      <w:lang w:val="en-US" w:eastAsia="zh-CN" w:bidi="ar-SA"/>
    </w:rPr>
  </w:style>
  <w:style w:type="character" w:customStyle="1" w:styleId="77">
    <w:name w:val="Style5"/>
    <w:qFormat/>
    <w:uiPriority w:val="0"/>
    <w:rPr>
      <w:rFonts w:ascii="Calibri" w:hAnsi="宋体" w:eastAsia="宋体" w:cs="Times New Roman"/>
      <w:sz w:val="22"/>
      <w:szCs w:val="22"/>
      <w:lang w:eastAsia="zh-CN"/>
    </w:rPr>
  </w:style>
  <w:style w:type="character" w:customStyle="1" w:styleId="78">
    <w:name w:val="称呼 Char"/>
    <w:link w:val="19"/>
    <w:qFormat/>
    <w:uiPriority w:val="0"/>
    <w:rPr>
      <w:rFonts w:ascii="仿宋_GB2312" w:eastAsia="仿宋_GB2312"/>
      <w:b/>
      <w:sz w:val="24"/>
      <w:szCs w:val="32"/>
    </w:rPr>
  </w:style>
  <w:style w:type="character" w:customStyle="1" w:styleId="79">
    <w:name w:val="Ò³Ã¼ Char Char2"/>
    <w:qFormat/>
    <w:uiPriority w:val="0"/>
    <w:rPr>
      <w:kern w:val="2"/>
      <w:sz w:val="18"/>
      <w:szCs w:val="18"/>
    </w:rPr>
  </w:style>
  <w:style w:type="character" w:customStyle="1" w:styleId="80">
    <w:name w:val="明显强调1"/>
    <w:qFormat/>
    <w:uiPriority w:val="0"/>
    <w:rPr>
      <w:b/>
      <w:bCs/>
      <w:i/>
      <w:iCs/>
      <w:color w:val="4F81BD"/>
    </w:rPr>
  </w:style>
  <w:style w:type="character" w:customStyle="1" w:styleId="81">
    <w:name w:val="样式 标题 3 + 黑体 小四 Char Char"/>
    <w:link w:val="82"/>
    <w:qFormat/>
    <w:uiPriority w:val="0"/>
    <w:rPr>
      <w:rFonts w:ascii="黑体" w:hAnsi="Arial" w:eastAsia="黑体"/>
      <w:bCs/>
      <w:sz w:val="24"/>
      <w:szCs w:val="24"/>
      <w:lang w:bidi="ar-SA"/>
    </w:rPr>
  </w:style>
  <w:style w:type="paragraph" w:customStyle="1" w:styleId="82">
    <w:name w:val="样式 标题 3 + 黑体 小四"/>
    <w:basedOn w:val="5"/>
    <w:link w:val="81"/>
    <w:qFormat/>
    <w:uiPriority w:val="0"/>
    <w:pPr>
      <w:spacing w:before="260" w:after="260" w:line="413" w:lineRule="auto"/>
    </w:pPr>
    <w:rPr>
      <w:rFonts w:ascii="黑体" w:hAnsi="Arial"/>
      <w:b w:val="0"/>
      <w:bCs/>
      <w:kern w:val="0"/>
      <w:sz w:val="24"/>
      <w:szCs w:val="24"/>
    </w:rPr>
  </w:style>
  <w:style w:type="character" w:customStyle="1" w:styleId="83">
    <w:name w:val="heading 7 Char1"/>
    <w:qFormat/>
    <w:uiPriority w:val="0"/>
    <w:rPr>
      <w:rFonts w:ascii="Arial" w:hAnsi="Arial" w:eastAsia="黑体"/>
      <w:sz w:val="21"/>
      <w:szCs w:val="21"/>
      <w:lang w:val="en-US" w:eastAsia="zh-CN" w:bidi="ar-SA"/>
    </w:rPr>
  </w:style>
  <w:style w:type="character" w:customStyle="1" w:styleId="84">
    <w:name w:val="Char Char1"/>
    <w:qFormat/>
    <w:uiPriority w:val="0"/>
    <w:rPr>
      <w:rFonts w:eastAsia="宋体"/>
      <w:sz w:val="21"/>
      <w:lang w:val="en-US" w:eastAsia="zh-CN" w:bidi="ar-SA"/>
    </w:rPr>
  </w:style>
  <w:style w:type="character" w:customStyle="1" w:styleId="85">
    <w:name w:val="Char Char12"/>
    <w:qFormat/>
    <w:uiPriority w:val="0"/>
    <w:rPr>
      <w:rFonts w:eastAsia="宋体"/>
      <w:kern w:val="2"/>
      <w:sz w:val="21"/>
      <w:szCs w:val="24"/>
      <w:lang w:val="en-US" w:eastAsia="zh-CN" w:bidi="ar-SA"/>
    </w:rPr>
  </w:style>
  <w:style w:type="character" w:customStyle="1" w:styleId="86">
    <w:name w:val="Char Char18"/>
    <w:qFormat/>
    <w:uiPriority w:val="0"/>
    <w:rPr>
      <w:b/>
      <w:bCs/>
      <w:kern w:val="2"/>
      <w:sz w:val="32"/>
      <w:szCs w:val="32"/>
    </w:rPr>
  </w:style>
  <w:style w:type="character" w:customStyle="1" w:styleId="87">
    <w:name w:val="Char Char4"/>
    <w:qFormat/>
    <w:uiPriority w:val="0"/>
    <w:rPr>
      <w:rFonts w:ascii="Cambria" w:hAnsi="Cambria" w:eastAsia="宋体"/>
      <w:b/>
      <w:bCs/>
      <w:sz w:val="32"/>
      <w:szCs w:val="32"/>
      <w:lang w:bidi="ar-SA"/>
    </w:rPr>
  </w:style>
  <w:style w:type="character" w:customStyle="1" w:styleId="88">
    <w:name w:val="PI Char"/>
    <w:qFormat/>
    <w:uiPriority w:val="0"/>
    <w:rPr>
      <w:rFonts w:ascii="宋体" w:hAnsi="宋体"/>
      <w:sz w:val="24"/>
    </w:rPr>
  </w:style>
  <w:style w:type="character" w:customStyle="1" w:styleId="89">
    <w:name w:val="明显参考2"/>
    <w:qFormat/>
    <w:uiPriority w:val="0"/>
    <w:rPr>
      <w:b/>
      <w:bCs/>
      <w:smallCaps/>
      <w:color w:val="C0504D"/>
      <w:spacing w:val="5"/>
      <w:u w:val="single"/>
    </w:rPr>
  </w:style>
  <w:style w:type="character" w:customStyle="1" w:styleId="90">
    <w:name w:val="批注文字 Char"/>
    <w:link w:val="18"/>
    <w:qFormat/>
    <w:uiPriority w:val="0"/>
    <w:rPr>
      <w:rFonts w:eastAsia="宋体"/>
      <w:kern w:val="2"/>
      <w:sz w:val="21"/>
      <w:szCs w:val="24"/>
      <w:lang w:val="en-US" w:eastAsia="zh-CN" w:bidi="ar-SA"/>
    </w:rPr>
  </w:style>
  <w:style w:type="character" w:customStyle="1" w:styleId="91">
    <w:name w:val="Style2"/>
    <w:qFormat/>
    <w:uiPriority w:val="0"/>
    <w:rPr>
      <w:rFonts w:ascii="Calibri" w:hAnsi="宋体" w:eastAsia="宋体" w:cs="Times New Roman"/>
      <w:sz w:val="22"/>
      <w:szCs w:val="22"/>
      <w:lang w:eastAsia="zh-CN"/>
    </w:rPr>
  </w:style>
  <w:style w:type="character" w:customStyle="1" w:styleId="92">
    <w:name w:val="Footer-Even Char1"/>
    <w:qFormat/>
    <w:uiPriority w:val="0"/>
    <w:rPr>
      <w:rFonts w:eastAsia="宋体"/>
      <w:kern w:val="2"/>
      <w:sz w:val="18"/>
      <w:szCs w:val="18"/>
      <w:lang w:val="en-US" w:eastAsia="zh-CN" w:bidi="ar-SA"/>
    </w:rPr>
  </w:style>
  <w:style w:type="character" w:customStyle="1" w:styleId="93">
    <w:name w:val="heading 4 Char1"/>
    <w:qFormat/>
    <w:uiPriority w:val="0"/>
    <w:rPr>
      <w:rFonts w:ascii="Cambria" w:hAnsi="Cambria" w:eastAsia="宋体"/>
      <w:b/>
      <w:bCs/>
      <w:kern w:val="2"/>
      <w:sz w:val="28"/>
      <w:szCs w:val="28"/>
      <w:lang w:val="en-US" w:eastAsia="zh-CN" w:bidi="ar-SA"/>
    </w:rPr>
  </w:style>
  <w:style w:type="character" w:customStyle="1" w:styleId="94">
    <w:name w:val="正文文本 3 Char"/>
    <w:basedOn w:val="54"/>
    <w:link w:val="20"/>
    <w:qFormat/>
    <w:uiPriority w:val="0"/>
  </w:style>
  <w:style w:type="character" w:customStyle="1" w:styleId="95">
    <w:name w:val="批注主题 Char"/>
    <w:link w:val="51"/>
    <w:qFormat/>
    <w:uiPriority w:val="0"/>
    <w:rPr>
      <w:rFonts w:eastAsia="宋体"/>
      <w:b/>
      <w:bCs/>
      <w:kern w:val="2"/>
      <w:sz w:val="21"/>
      <w:szCs w:val="24"/>
      <w:lang w:val="en-US" w:eastAsia="zh-CN" w:bidi="ar-SA"/>
    </w:rPr>
  </w:style>
  <w:style w:type="character" w:customStyle="1" w:styleId="96">
    <w:name w:val="不明显参考11"/>
    <w:qFormat/>
    <w:uiPriority w:val="0"/>
    <w:rPr>
      <w:smallCaps/>
      <w:color w:val="C0504D"/>
      <w:u w:val="single"/>
    </w:rPr>
  </w:style>
  <w:style w:type="character" w:customStyle="1" w:styleId="97">
    <w:name w:val="Plain Text Char"/>
    <w:qFormat/>
    <w:uiPriority w:val="0"/>
    <w:rPr>
      <w:rFonts w:ascii="宋体" w:hAnsi="Courier New" w:eastAsia="宋体" w:cs="Times New Roman"/>
      <w:sz w:val="21"/>
      <w:szCs w:val="21"/>
    </w:rPr>
  </w:style>
  <w:style w:type="character" w:customStyle="1" w:styleId="98">
    <w:name w:val="Char Char111"/>
    <w:qFormat/>
    <w:uiPriority w:val="0"/>
    <w:rPr>
      <w:rFonts w:ascii="Times New Roman" w:hAnsi="Times New Roman" w:eastAsia="宋体" w:cs="Times New Roman"/>
      <w:sz w:val="18"/>
      <w:szCs w:val="18"/>
    </w:rPr>
  </w:style>
  <w:style w:type="character" w:customStyle="1" w:styleId="99">
    <w:name w:val="无间距字符"/>
    <w:link w:val="100"/>
    <w:qFormat/>
    <w:uiPriority w:val="0"/>
    <w:rPr>
      <w:rFonts w:eastAsia="Times New Roman"/>
      <w:sz w:val="22"/>
      <w:szCs w:val="22"/>
      <w:lang w:val="en-US" w:eastAsia="zh-CN" w:bidi="ar-SA"/>
    </w:rPr>
  </w:style>
  <w:style w:type="paragraph" w:customStyle="1" w:styleId="100">
    <w:name w:val="无间距"/>
    <w:link w:val="99"/>
    <w:qFormat/>
    <w:uiPriority w:val="0"/>
    <w:rPr>
      <w:rFonts w:ascii="Times New Roman" w:hAnsi="Times New Roman" w:eastAsia="Times New Roman" w:cs="Times New Roman"/>
      <w:sz w:val="22"/>
      <w:szCs w:val="22"/>
      <w:lang w:val="en-US" w:eastAsia="zh-CN" w:bidi="ar-SA"/>
    </w:rPr>
  </w:style>
  <w:style w:type="character" w:customStyle="1" w:styleId="101">
    <w:name w:val="heading 5 Char2"/>
    <w:qFormat/>
    <w:uiPriority w:val="0"/>
    <w:rPr>
      <w:b/>
      <w:bCs/>
      <w:kern w:val="2"/>
      <w:sz w:val="28"/>
      <w:szCs w:val="28"/>
    </w:rPr>
  </w:style>
  <w:style w:type="character" w:customStyle="1" w:styleId="102">
    <w:name w:val="样式2 Char Char"/>
    <w:link w:val="103"/>
    <w:qFormat/>
    <w:uiPriority w:val="0"/>
    <w:rPr>
      <w:rFonts w:ascii="宋体" w:hAnsi="宋体" w:eastAsia="宋体"/>
      <w:bCs/>
      <w:kern w:val="2"/>
      <w:sz w:val="28"/>
      <w:szCs w:val="28"/>
      <w:lang w:val="en-US" w:eastAsia="zh-CN" w:bidi="ar-SA"/>
    </w:rPr>
  </w:style>
  <w:style w:type="paragraph" w:customStyle="1" w:styleId="103">
    <w:name w:val="样式2"/>
    <w:basedOn w:val="4"/>
    <w:link w:val="102"/>
    <w:qFormat/>
    <w:uiPriority w:val="0"/>
    <w:pPr>
      <w:keepLines/>
      <w:snapToGrid w:val="0"/>
      <w:spacing w:before="260" w:afterLines="50" w:line="480" w:lineRule="exact"/>
      <w:ind w:firstLine="556"/>
    </w:pPr>
    <w:rPr>
      <w:rFonts w:ascii="宋体" w:hAnsi="宋体"/>
      <w:b w:val="0"/>
      <w:bCs/>
      <w:szCs w:val="28"/>
    </w:rPr>
  </w:style>
  <w:style w:type="character" w:customStyle="1" w:styleId="104">
    <w:name w:val="正文缩进 Char"/>
    <w:link w:val="9"/>
    <w:qFormat/>
    <w:uiPriority w:val="0"/>
    <w:rPr>
      <w:rFonts w:ascii="仿宋_GB2312" w:eastAsia="宋体"/>
      <w:b/>
      <w:sz w:val="21"/>
      <w:szCs w:val="32"/>
      <w:lang w:val="en-US" w:eastAsia="zh-CN" w:bidi="ar-SA"/>
    </w:rPr>
  </w:style>
  <w:style w:type="character" w:customStyle="1" w:styleId="105">
    <w:name w:val="heading 2 Char1"/>
    <w:qFormat/>
    <w:uiPriority w:val="0"/>
    <w:rPr>
      <w:rFonts w:ascii="Cambria" w:hAnsi="Cambria" w:eastAsia="宋体"/>
      <w:b/>
      <w:bCs/>
      <w:kern w:val="2"/>
      <w:sz w:val="32"/>
      <w:szCs w:val="32"/>
      <w:lang w:val="en-US" w:eastAsia="zh-CN" w:bidi="ar-SA"/>
    </w:rPr>
  </w:style>
  <w:style w:type="character" w:customStyle="1" w:styleId="106">
    <w:name w:val="heading 3 Char1"/>
    <w:qFormat/>
    <w:uiPriority w:val="0"/>
    <w:rPr>
      <w:rFonts w:eastAsia="宋体"/>
      <w:b/>
      <w:bCs/>
      <w:kern w:val="2"/>
      <w:sz w:val="32"/>
      <w:szCs w:val="32"/>
      <w:lang w:val="en-US" w:eastAsia="zh-CN" w:bidi="ar-SA"/>
    </w:rPr>
  </w:style>
  <w:style w:type="character" w:customStyle="1" w:styleId="107">
    <w:name w:val="Char Char15"/>
    <w:qFormat/>
    <w:uiPriority w:val="0"/>
    <w:rPr>
      <w:rFonts w:ascii="Arial" w:hAnsi="Arial" w:eastAsia="黑体"/>
      <w:sz w:val="24"/>
      <w:szCs w:val="24"/>
    </w:rPr>
  </w:style>
  <w:style w:type="character" w:customStyle="1" w:styleId="108">
    <w:name w:val="heading 1 Char"/>
    <w:qFormat/>
    <w:uiPriority w:val="0"/>
    <w:rPr>
      <w:rFonts w:ascii="Arial" w:hAnsi="Arial" w:eastAsia="黑体"/>
      <w:b/>
      <w:sz w:val="36"/>
      <w:szCs w:val="36"/>
    </w:rPr>
  </w:style>
  <w:style w:type="character" w:customStyle="1" w:styleId="109">
    <w:name w:val="ändrad Char"/>
    <w:qFormat/>
    <w:uiPriority w:val="0"/>
    <w:rPr>
      <w:rFonts w:eastAsia="宋体"/>
      <w:kern w:val="2"/>
      <w:sz w:val="21"/>
      <w:szCs w:val="24"/>
      <w:lang w:val="en-US" w:eastAsia="zh-CN" w:bidi="ar-SA"/>
    </w:rPr>
  </w:style>
  <w:style w:type="character" w:customStyle="1" w:styleId="110">
    <w:name w:val="标题 Char"/>
    <w:link w:val="50"/>
    <w:qFormat/>
    <w:uiPriority w:val="0"/>
    <w:rPr>
      <w:rFonts w:ascii="Cambria" w:hAnsi="Cambria" w:eastAsia="宋体"/>
      <w:b/>
      <w:bCs/>
      <w:kern w:val="2"/>
      <w:sz w:val="32"/>
      <w:szCs w:val="32"/>
      <w:lang w:val="en-US" w:eastAsia="zh-CN" w:bidi="ar-SA"/>
    </w:rPr>
  </w:style>
  <w:style w:type="character" w:customStyle="1" w:styleId="111">
    <w:name w:val="Char Char22"/>
    <w:qFormat/>
    <w:uiPriority w:val="0"/>
    <w:rPr>
      <w:rFonts w:ascii="Arial" w:hAnsi="Arial" w:eastAsia="黑体"/>
      <w:b/>
      <w:bCs/>
      <w:kern w:val="44"/>
      <w:sz w:val="30"/>
      <w:szCs w:val="44"/>
      <w:lang w:val="en-US" w:eastAsia="zh-CN" w:bidi="ar-SA"/>
    </w:rPr>
  </w:style>
  <w:style w:type="character" w:customStyle="1" w:styleId="112">
    <w:name w:val="blue1"/>
    <w:basedOn w:val="54"/>
    <w:qFormat/>
    <w:uiPriority w:val="0"/>
  </w:style>
  <w:style w:type="character" w:customStyle="1" w:styleId="113">
    <w:name w:val="样式 宋体"/>
    <w:qFormat/>
    <w:uiPriority w:val="0"/>
    <w:rPr>
      <w:rFonts w:ascii="宋体" w:hAnsi="宋体" w:eastAsia="宋体"/>
      <w:sz w:val="24"/>
      <w:szCs w:val="24"/>
    </w:rPr>
  </w:style>
  <w:style w:type="character" w:customStyle="1" w:styleId="114">
    <w:name w:val="dandyren_title1"/>
    <w:qFormat/>
    <w:uiPriority w:val="0"/>
    <w:rPr>
      <w:b/>
      <w:bCs/>
      <w:color w:val="FF6633"/>
      <w:sz w:val="18"/>
      <w:szCs w:val="18"/>
    </w:rPr>
  </w:style>
  <w:style w:type="character" w:customStyle="1" w:styleId="115">
    <w:name w:val="font21"/>
    <w:basedOn w:val="54"/>
    <w:qFormat/>
    <w:uiPriority w:val="0"/>
    <w:rPr>
      <w:rFonts w:ascii="Wingdings 2" w:hAnsi="Wingdings 2" w:eastAsia="Wingdings 2" w:cs="Wingdings 2"/>
      <w:b/>
      <w:color w:val="000000"/>
      <w:sz w:val="20"/>
      <w:szCs w:val="20"/>
      <w:u w:val="none"/>
    </w:rPr>
  </w:style>
  <w:style w:type="character" w:customStyle="1" w:styleId="116">
    <w:name w:val="Ò³Ã¼ Char Char1"/>
    <w:qFormat/>
    <w:uiPriority w:val="0"/>
    <w:rPr>
      <w:rFonts w:eastAsia="宋体"/>
      <w:kern w:val="2"/>
      <w:sz w:val="18"/>
      <w:szCs w:val="18"/>
      <w:lang w:val="en-US" w:eastAsia="zh-CN" w:bidi="ar-SA"/>
    </w:rPr>
  </w:style>
  <w:style w:type="character" w:customStyle="1" w:styleId="117">
    <w:name w:val="宏文本 Char"/>
    <w:link w:val="2"/>
    <w:qFormat/>
    <w:uiPriority w:val="0"/>
    <w:rPr>
      <w:rFonts w:ascii="Courier New" w:hAnsi="Courier New" w:eastAsia="Times New Roman"/>
      <w:kern w:val="2"/>
      <w:sz w:val="24"/>
      <w:szCs w:val="24"/>
      <w:lang w:val="en-US" w:eastAsia="zh-CN" w:bidi="ar-SA"/>
    </w:rPr>
  </w:style>
  <w:style w:type="character" w:customStyle="1" w:styleId="118">
    <w:name w:val="Footer-Even Char"/>
    <w:qFormat/>
    <w:uiPriority w:val="0"/>
    <w:rPr>
      <w:sz w:val="18"/>
      <w:szCs w:val="18"/>
    </w:rPr>
  </w:style>
  <w:style w:type="character" w:customStyle="1" w:styleId="119">
    <w:name w:val="页脚 Char"/>
    <w:link w:val="37"/>
    <w:qFormat/>
    <w:uiPriority w:val="0"/>
    <w:rPr>
      <w:rFonts w:eastAsia="宋体"/>
      <w:kern w:val="2"/>
      <w:sz w:val="18"/>
      <w:szCs w:val="18"/>
      <w:lang w:val="en-US" w:eastAsia="zh-CN" w:bidi="ar-SA"/>
    </w:rPr>
  </w:style>
  <w:style w:type="character" w:customStyle="1" w:styleId="120">
    <w:name w:val="style111"/>
    <w:qFormat/>
    <w:uiPriority w:val="0"/>
    <w:rPr>
      <w:sz w:val="27"/>
      <w:szCs w:val="27"/>
    </w:rPr>
  </w:style>
  <w:style w:type="character" w:customStyle="1" w:styleId="121">
    <w:name w:val="PI Char2"/>
    <w:qFormat/>
    <w:uiPriority w:val="0"/>
    <w:rPr>
      <w:kern w:val="2"/>
      <w:sz w:val="24"/>
      <w:szCs w:val="24"/>
    </w:rPr>
  </w:style>
  <w:style w:type="character" w:customStyle="1" w:styleId="122">
    <w:name w:val="gray6"/>
    <w:basedOn w:val="54"/>
    <w:qFormat/>
    <w:uiPriority w:val="0"/>
  </w:style>
  <w:style w:type="character" w:customStyle="1" w:styleId="123">
    <w:name w:val="Char Char Char1"/>
    <w:qFormat/>
    <w:uiPriority w:val="0"/>
    <w:rPr>
      <w:rFonts w:ascii="宋体" w:hAnsi="Courier New"/>
      <w:sz w:val="21"/>
      <w:szCs w:val="21"/>
    </w:rPr>
  </w:style>
  <w:style w:type="character" w:customStyle="1" w:styleId="124">
    <w:name w:val="Char Char121"/>
    <w:qFormat/>
    <w:uiPriority w:val="0"/>
    <w:rPr>
      <w:rFonts w:eastAsia="宋体"/>
      <w:kern w:val="2"/>
      <w:sz w:val="21"/>
      <w:szCs w:val="24"/>
      <w:lang w:val="en-US" w:eastAsia="zh-CN" w:bidi="ar-SA"/>
    </w:rPr>
  </w:style>
  <w:style w:type="character" w:customStyle="1" w:styleId="125">
    <w:name w:val="Char Char Char Char Char Char Char Char Char"/>
    <w:qFormat/>
    <w:uiPriority w:val="0"/>
    <w:rPr>
      <w:rFonts w:ascii="宋体" w:hAnsi="Courier New" w:eastAsia="宋体"/>
      <w:sz w:val="21"/>
      <w:szCs w:val="21"/>
      <w:lang w:val="en-US" w:eastAsia="zh-CN" w:bidi="ar-SA"/>
    </w:rPr>
  </w:style>
  <w:style w:type="character" w:customStyle="1" w:styleId="126">
    <w:name w:val="heading 4 Char2"/>
    <w:qFormat/>
    <w:uiPriority w:val="0"/>
    <w:rPr>
      <w:rFonts w:ascii="Cambria" w:hAnsi="Cambria"/>
      <w:b/>
      <w:bCs/>
      <w:kern w:val="2"/>
      <w:sz w:val="28"/>
      <w:szCs w:val="28"/>
    </w:rPr>
  </w:style>
  <w:style w:type="character" w:customStyle="1" w:styleId="127">
    <w:name w:val="heading 3 Char"/>
    <w:qFormat/>
    <w:uiPriority w:val="0"/>
    <w:rPr>
      <w:rFonts w:ascii="Arial" w:hAnsi="Arial" w:eastAsia="黑体"/>
      <w:sz w:val="28"/>
      <w:szCs w:val="24"/>
    </w:rPr>
  </w:style>
  <w:style w:type="character" w:customStyle="1" w:styleId="128">
    <w:name w:val="标题 1 Char"/>
    <w:link w:val="3"/>
    <w:qFormat/>
    <w:uiPriority w:val="0"/>
    <w:rPr>
      <w:rFonts w:eastAsia="黑体"/>
      <w:b/>
      <w:kern w:val="2"/>
      <w:sz w:val="32"/>
      <w:lang w:val="en-US" w:eastAsia="zh-CN" w:bidi="ar-SA"/>
    </w:rPr>
  </w:style>
  <w:style w:type="character" w:customStyle="1" w:styleId="129">
    <w:name w:val="Char Char16"/>
    <w:qFormat/>
    <w:uiPriority w:val="0"/>
    <w:rPr>
      <w:b/>
      <w:bCs/>
      <w:kern w:val="2"/>
      <w:sz w:val="28"/>
      <w:szCs w:val="28"/>
    </w:rPr>
  </w:style>
  <w:style w:type="character" w:customStyle="1" w:styleId="130">
    <w:name w:val="文档结构图 Char"/>
    <w:link w:val="17"/>
    <w:qFormat/>
    <w:uiPriority w:val="0"/>
    <w:rPr>
      <w:rFonts w:eastAsia="宋体"/>
      <w:kern w:val="2"/>
      <w:sz w:val="21"/>
      <w:szCs w:val="24"/>
      <w:lang w:val="en-US" w:eastAsia="zh-CN" w:bidi="ar-SA"/>
    </w:rPr>
  </w:style>
  <w:style w:type="character" w:customStyle="1" w:styleId="131">
    <w:name w:val="标题 5 Char"/>
    <w:link w:val="7"/>
    <w:qFormat/>
    <w:uiPriority w:val="0"/>
    <w:rPr>
      <w:rFonts w:eastAsia="宋体"/>
      <w:b/>
      <w:bCs/>
      <w:sz w:val="28"/>
      <w:szCs w:val="28"/>
      <w:lang w:bidi="ar-SA"/>
    </w:rPr>
  </w:style>
  <w:style w:type="character" w:customStyle="1" w:styleId="132">
    <w:name w:val="日期 Char"/>
    <w:link w:val="34"/>
    <w:qFormat/>
    <w:uiPriority w:val="0"/>
    <w:rPr>
      <w:rFonts w:eastAsia="宋体"/>
      <w:kern w:val="2"/>
      <w:sz w:val="21"/>
      <w:szCs w:val="24"/>
      <w:lang w:val="en-US" w:eastAsia="zh-CN" w:bidi="ar-SA"/>
    </w:rPr>
  </w:style>
  <w:style w:type="character" w:customStyle="1" w:styleId="133">
    <w:name w:val="副标题 Char"/>
    <w:link w:val="42"/>
    <w:qFormat/>
    <w:uiPriority w:val="0"/>
    <w:rPr>
      <w:rFonts w:ascii="Cambria" w:hAnsi="Cambria" w:eastAsia="宋体"/>
      <w:b/>
      <w:bCs/>
      <w:kern w:val="28"/>
      <w:sz w:val="32"/>
      <w:szCs w:val="32"/>
      <w:lang w:val="en-US" w:eastAsia="zh-CN" w:bidi="ar-SA"/>
    </w:rPr>
  </w:style>
  <w:style w:type="character" w:customStyle="1" w:styleId="134">
    <w:name w:val="页眉 Char"/>
    <w:link w:val="38"/>
    <w:qFormat/>
    <w:uiPriority w:val="0"/>
    <w:rPr>
      <w:rFonts w:eastAsia="宋体"/>
      <w:kern w:val="2"/>
      <w:sz w:val="18"/>
      <w:szCs w:val="18"/>
      <w:lang w:val="en-US" w:eastAsia="zh-CN" w:bidi="ar-SA"/>
    </w:rPr>
  </w:style>
  <w:style w:type="character" w:customStyle="1" w:styleId="135">
    <w:name w:val="style13"/>
    <w:basedOn w:val="54"/>
    <w:qFormat/>
    <w:uiPriority w:val="0"/>
  </w:style>
  <w:style w:type="character" w:customStyle="1" w:styleId="136">
    <w:name w:val="textcolor1"/>
    <w:qFormat/>
    <w:uiPriority w:val="0"/>
    <w:rPr>
      <w:rFonts w:ascii="仿宋_GB2312" w:eastAsia="仿宋_GB2312"/>
      <w:b/>
      <w:color w:val="FF6600"/>
      <w:sz w:val="32"/>
      <w:szCs w:val="32"/>
    </w:rPr>
  </w:style>
  <w:style w:type="character" w:customStyle="1" w:styleId="137">
    <w:name w:val="Table Text Char Char"/>
    <w:link w:val="138"/>
    <w:qFormat/>
    <w:uiPriority w:val="0"/>
    <w:rPr>
      <w:sz w:val="21"/>
      <w:lang w:val="en-US" w:eastAsia="en-US" w:bidi="ar-SA"/>
    </w:rPr>
  </w:style>
  <w:style w:type="paragraph" w:customStyle="1" w:styleId="138">
    <w:name w:val="Table Text"/>
    <w:basedOn w:val="1"/>
    <w:link w:val="137"/>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39">
    <w:name w:val="Ò³Ã¼ Char Char"/>
    <w:qFormat/>
    <w:uiPriority w:val="0"/>
    <w:rPr>
      <w:sz w:val="18"/>
      <w:szCs w:val="18"/>
    </w:rPr>
  </w:style>
  <w:style w:type="character" w:customStyle="1" w:styleId="140">
    <w:name w:val="heading 2 Char2"/>
    <w:qFormat/>
    <w:uiPriority w:val="0"/>
    <w:rPr>
      <w:rFonts w:ascii="Cambria" w:hAnsi="Cambria"/>
      <w:b/>
      <w:bCs/>
      <w:kern w:val="2"/>
      <w:sz w:val="32"/>
      <w:szCs w:val="32"/>
    </w:rPr>
  </w:style>
  <w:style w:type="character" w:customStyle="1" w:styleId="141">
    <w:name w:val="书籍标题11"/>
    <w:qFormat/>
    <w:uiPriority w:val="0"/>
    <w:rPr>
      <w:b/>
      <w:bCs/>
      <w:smallCaps/>
      <w:spacing w:val="5"/>
    </w:rPr>
  </w:style>
  <w:style w:type="character" w:customStyle="1" w:styleId="142">
    <w:name w:val="Char Char21"/>
    <w:qFormat/>
    <w:uiPriority w:val="0"/>
    <w:rPr>
      <w:rFonts w:ascii="Times New Roman" w:hAnsi="Times New Roman" w:eastAsia="宋体" w:cs="Times New Roman"/>
      <w:b/>
      <w:bCs/>
      <w:kern w:val="44"/>
      <w:sz w:val="44"/>
      <w:szCs w:val="44"/>
    </w:rPr>
  </w:style>
  <w:style w:type="character" w:customStyle="1" w:styleId="143">
    <w:name w:val="正文文本缩进 Char"/>
    <w:link w:val="24"/>
    <w:qFormat/>
    <w:uiPriority w:val="0"/>
    <w:rPr>
      <w:rFonts w:eastAsia="宋体"/>
      <w:kern w:val="2"/>
      <w:sz w:val="24"/>
      <w:szCs w:val="24"/>
      <w:lang w:val="en-US" w:eastAsia="zh-CN" w:bidi="ar-SA"/>
    </w:rPr>
  </w:style>
  <w:style w:type="character" w:customStyle="1" w:styleId="144">
    <w:name w:val="不明显强调1"/>
    <w:qFormat/>
    <w:uiPriority w:val="0"/>
    <w:rPr>
      <w:i/>
      <w:iCs/>
      <w:color w:val="808080"/>
    </w:rPr>
  </w:style>
  <w:style w:type="character" w:customStyle="1" w:styleId="145">
    <w:name w:val="正文文本缩进 3 Char"/>
    <w:link w:val="45"/>
    <w:qFormat/>
    <w:uiPriority w:val="0"/>
    <w:rPr>
      <w:rFonts w:eastAsia="宋体"/>
      <w:kern w:val="2"/>
      <w:sz w:val="24"/>
      <w:szCs w:val="24"/>
      <w:lang w:val="en-US" w:eastAsia="zh-CN" w:bidi="ar-SA"/>
    </w:rPr>
  </w:style>
  <w:style w:type="character" w:customStyle="1" w:styleId="146">
    <w:name w:val="heading 5 Char"/>
    <w:qFormat/>
    <w:uiPriority w:val="0"/>
    <w:rPr>
      <w:rFonts w:ascii="Arial" w:hAnsi="Arial" w:eastAsia="黑体"/>
      <w:sz w:val="21"/>
      <w:szCs w:val="21"/>
    </w:rPr>
  </w:style>
  <w:style w:type="character" w:customStyle="1" w:styleId="147">
    <w:name w:val="Style3"/>
    <w:qFormat/>
    <w:uiPriority w:val="0"/>
    <w:rPr>
      <w:rFonts w:ascii="Calibri" w:hAnsi="宋体" w:eastAsia="宋体" w:cs="Times New Roman"/>
      <w:szCs w:val="22"/>
      <w:lang w:eastAsia="zh-CN"/>
    </w:rPr>
  </w:style>
  <w:style w:type="character" w:customStyle="1" w:styleId="148">
    <w:name w:val="标题 4 Char"/>
    <w:link w:val="6"/>
    <w:qFormat/>
    <w:uiPriority w:val="0"/>
    <w:rPr>
      <w:rFonts w:eastAsia="宋体"/>
      <w:kern w:val="2"/>
      <w:sz w:val="28"/>
      <w:szCs w:val="28"/>
      <w:lang w:val="en-US" w:eastAsia="zh-CN" w:bidi="ar-SA"/>
    </w:rPr>
  </w:style>
  <w:style w:type="character" w:customStyle="1" w:styleId="149">
    <w:name w:val="Char Char241"/>
    <w:qFormat/>
    <w:uiPriority w:val="0"/>
    <w:rPr>
      <w:rFonts w:eastAsia="宋体"/>
      <w:b/>
      <w:kern w:val="2"/>
      <w:sz w:val="28"/>
      <w:lang w:val="en-US" w:eastAsia="zh-CN" w:bidi="ar-SA"/>
    </w:rPr>
  </w:style>
  <w:style w:type="character" w:customStyle="1" w:styleId="150">
    <w:name w:val="批注框文本 Char"/>
    <w:link w:val="36"/>
    <w:qFormat/>
    <w:uiPriority w:val="0"/>
    <w:rPr>
      <w:rFonts w:eastAsia="宋体"/>
      <w:kern w:val="2"/>
      <w:sz w:val="18"/>
      <w:szCs w:val="18"/>
      <w:lang w:val="en-US" w:eastAsia="zh-CN" w:bidi="ar-SA"/>
    </w:rPr>
  </w:style>
  <w:style w:type="character" w:customStyle="1" w:styleId="151">
    <w:name w:val="标题 3 Char"/>
    <w:link w:val="5"/>
    <w:qFormat/>
    <w:uiPriority w:val="0"/>
    <w:rPr>
      <w:rFonts w:eastAsia="黑体"/>
      <w:b/>
      <w:kern w:val="2"/>
      <w:sz w:val="28"/>
      <w:lang w:val="en-US" w:eastAsia="zh-CN" w:bidi="ar-SA"/>
    </w:rPr>
  </w:style>
  <w:style w:type="character" w:customStyle="1" w:styleId="152">
    <w:name w:val="明显强调11"/>
    <w:qFormat/>
    <w:uiPriority w:val="0"/>
    <w:rPr>
      <w:b/>
      <w:bCs/>
      <w:i/>
      <w:iCs/>
      <w:color w:val="4F81BD"/>
    </w:rPr>
  </w:style>
  <w:style w:type="character" w:customStyle="1" w:styleId="153">
    <w:name w:val="签名 Char"/>
    <w:link w:val="39"/>
    <w:qFormat/>
    <w:uiPriority w:val="0"/>
    <w:rPr>
      <w:rFonts w:ascii="仿宋_GB2312" w:eastAsia="仿宋_GB2312"/>
      <w:b/>
      <w:sz w:val="24"/>
      <w:szCs w:val="32"/>
    </w:rPr>
  </w:style>
  <w:style w:type="character" w:customStyle="1" w:styleId="154">
    <w:name w:val="heading 3 Char2"/>
    <w:qFormat/>
    <w:uiPriority w:val="0"/>
    <w:rPr>
      <w:b/>
      <w:bCs/>
      <w:kern w:val="2"/>
      <w:sz w:val="32"/>
      <w:szCs w:val="32"/>
    </w:rPr>
  </w:style>
  <w:style w:type="character" w:customStyle="1" w:styleId="155">
    <w:name w:val="style21"/>
    <w:qFormat/>
    <w:uiPriority w:val="0"/>
    <w:rPr>
      <w:sz w:val="15"/>
      <w:szCs w:val="15"/>
    </w:rPr>
  </w:style>
  <w:style w:type="character" w:customStyle="1" w:styleId="156">
    <w:name w:val="Char Char271"/>
    <w:qFormat/>
    <w:uiPriority w:val="0"/>
    <w:rPr>
      <w:rFonts w:eastAsia="宋体"/>
      <w:kern w:val="2"/>
      <w:sz w:val="28"/>
      <w:lang w:val="en-US" w:eastAsia="zh-CN" w:bidi="ar-SA"/>
    </w:rPr>
  </w:style>
  <w:style w:type="character" w:customStyle="1" w:styleId="157">
    <w:name w:val="表格 Char Char"/>
    <w:link w:val="158"/>
    <w:qFormat/>
    <w:uiPriority w:val="0"/>
    <w:rPr>
      <w:rFonts w:ascii="宋体" w:hAnsi="宋体" w:eastAsia="宋体"/>
      <w:lang w:val="en-US" w:eastAsia="zh-CN" w:bidi="ar-SA"/>
    </w:rPr>
  </w:style>
  <w:style w:type="paragraph" w:customStyle="1" w:styleId="158">
    <w:name w:val="表格"/>
    <w:basedOn w:val="1"/>
    <w:link w:val="157"/>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59">
    <w:name w:val="heading 6 Char1"/>
    <w:qFormat/>
    <w:uiPriority w:val="0"/>
    <w:rPr>
      <w:rFonts w:ascii="Arial" w:hAnsi="Arial" w:eastAsia="黑体"/>
      <w:kern w:val="2"/>
      <w:sz w:val="24"/>
      <w:szCs w:val="24"/>
      <w:lang w:val="en-US" w:eastAsia="zh-CN" w:bidi="ar-SA"/>
    </w:rPr>
  </w:style>
  <w:style w:type="character" w:customStyle="1" w:styleId="160">
    <w:name w:val="Char Char211"/>
    <w:qFormat/>
    <w:uiPriority w:val="0"/>
    <w:rPr>
      <w:rFonts w:ascii="Times New Roman" w:hAnsi="Times New Roman" w:eastAsia="宋体" w:cs="Times New Roman"/>
      <w:b/>
      <w:bCs/>
      <w:kern w:val="44"/>
      <w:sz w:val="44"/>
      <w:szCs w:val="44"/>
    </w:rPr>
  </w:style>
  <w:style w:type="character" w:customStyle="1" w:styleId="161">
    <w:name w:val="不明显强调11"/>
    <w:qFormat/>
    <w:uiPriority w:val="0"/>
    <w:rPr>
      <w:i/>
      <w:iCs/>
      <w:color w:val="808080"/>
    </w:rPr>
  </w:style>
  <w:style w:type="character" w:customStyle="1" w:styleId="162">
    <w:name w:val="标题 9 Char"/>
    <w:link w:val="12"/>
    <w:qFormat/>
    <w:uiPriority w:val="0"/>
    <w:rPr>
      <w:rFonts w:ascii="Arial" w:hAnsi="Arial" w:eastAsia="黑体"/>
      <w:kern w:val="2"/>
      <w:sz w:val="21"/>
      <w:lang w:val="en-US" w:eastAsia="zh-CN" w:bidi="ar-SA"/>
    </w:rPr>
  </w:style>
  <w:style w:type="character" w:customStyle="1" w:styleId="163">
    <w:name w:val="正文文本 Char"/>
    <w:link w:val="21"/>
    <w:qFormat/>
    <w:uiPriority w:val="0"/>
    <w:rPr>
      <w:rFonts w:ascii="仿宋_GB2312" w:eastAsia="宋体"/>
      <w:b/>
      <w:kern w:val="2"/>
      <w:sz w:val="21"/>
      <w:szCs w:val="24"/>
      <w:lang w:val="en-US" w:eastAsia="zh-CN" w:bidi="ar-SA"/>
    </w:rPr>
  </w:style>
  <w:style w:type="character" w:customStyle="1" w:styleId="164">
    <w:name w:val="明显引用 Char"/>
    <w:link w:val="165"/>
    <w:qFormat/>
    <w:uiPriority w:val="0"/>
    <w:rPr>
      <w:rFonts w:ascii="Calibri" w:hAnsi="Calibri" w:eastAsia="宋体"/>
      <w:b/>
      <w:bCs/>
      <w:i/>
      <w:iCs/>
      <w:color w:val="4F81BD"/>
      <w:lang w:val="en-US" w:eastAsia="zh-CN" w:bidi="ar-SA"/>
    </w:rPr>
  </w:style>
  <w:style w:type="paragraph" w:styleId="165">
    <w:name w:val="Intense Quote"/>
    <w:basedOn w:val="1"/>
    <w:next w:val="1"/>
    <w:link w:val="164"/>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6">
    <w:name w:val="heading 5 Char1"/>
    <w:qFormat/>
    <w:uiPriority w:val="0"/>
    <w:rPr>
      <w:rFonts w:eastAsia="宋体"/>
      <w:b/>
      <w:bCs/>
      <w:kern w:val="2"/>
      <w:sz w:val="28"/>
      <w:szCs w:val="28"/>
      <w:lang w:val="en-US" w:eastAsia="zh-CN" w:bidi="ar-SA"/>
    </w:rPr>
  </w:style>
  <w:style w:type="character" w:customStyle="1" w:styleId="167">
    <w:name w:val="Texte Char Char"/>
    <w:qFormat/>
    <w:uiPriority w:val="0"/>
    <w:rPr>
      <w:rFonts w:ascii="宋体" w:hAnsi="Courier New" w:eastAsia="宋体"/>
      <w:sz w:val="21"/>
      <w:szCs w:val="21"/>
      <w:lang w:val="en-US" w:eastAsia="zh-CN" w:bidi="ar-SA"/>
    </w:rPr>
  </w:style>
  <w:style w:type="character" w:customStyle="1" w:styleId="168">
    <w:name w:val="正文1 Char Char"/>
    <w:link w:val="169"/>
    <w:qFormat/>
    <w:uiPriority w:val="0"/>
    <w:rPr>
      <w:rFonts w:ascii="宋体" w:hAnsi="宋体" w:eastAsia="宋体" w:cs="宋体"/>
      <w:sz w:val="21"/>
      <w:lang w:val="en-US" w:eastAsia="zh-CN" w:bidi="ar-SA"/>
    </w:rPr>
  </w:style>
  <w:style w:type="paragraph" w:customStyle="1" w:styleId="169">
    <w:name w:val="正文1"/>
    <w:basedOn w:val="1"/>
    <w:link w:val="168"/>
    <w:qFormat/>
    <w:uiPriority w:val="0"/>
    <w:pPr>
      <w:widowControl/>
      <w:spacing w:line="360" w:lineRule="auto"/>
      <w:ind w:left="360" w:firstLine="420"/>
      <w:jc w:val="left"/>
    </w:pPr>
    <w:rPr>
      <w:rFonts w:ascii="宋体" w:hAnsi="宋体" w:cs="宋体"/>
      <w:kern w:val="0"/>
      <w:szCs w:val="20"/>
    </w:rPr>
  </w:style>
  <w:style w:type="character" w:customStyle="1" w:styleId="170">
    <w:name w:val="heading 8 Char1"/>
    <w:qFormat/>
    <w:uiPriority w:val="0"/>
    <w:rPr>
      <w:rFonts w:ascii="Arial" w:hAnsi="Arial" w:eastAsia="黑体"/>
      <w:sz w:val="24"/>
      <w:lang w:val="en-US" w:eastAsia="zh-CN" w:bidi="ar-SA"/>
    </w:rPr>
  </w:style>
  <w:style w:type="character" w:customStyle="1" w:styleId="171">
    <w:name w:val="heading 9 Char1"/>
    <w:qFormat/>
    <w:uiPriority w:val="0"/>
    <w:rPr>
      <w:rFonts w:ascii="Arial" w:hAnsi="Arial" w:eastAsia="黑体"/>
      <w:sz w:val="21"/>
      <w:lang w:val="en-US" w:eastAsia="zh-CN" w:bidi="ar-SA"/>
    </w:rPr>
  </w:style>
  <w:style w:type="character" w:customStyle="1" w:styleId="172">
    <w:name w:val="标题 6 Char"/>
    <w:link w:val="8"/>
    <w:qFormat/>
    <w:uiPriority w:val="0"/>
    <w:rPr>
      <w:rFonts w:ascii="Arial" w:hAnsi="Arial" w:eastAsia="黑体"/>
      <w:b/>
      <w:kern w:val="2"/>
      <w:sz w:val="24"/>
      <w:lang w:val="en-US" w:eastAsia="zh-CN" w:bidi="ar-SA"/>
    </w:rPr>
  </w:style>
  <w:style w:type="character" w:customStyle="1" w:styleId="173">
    <w:name w:val="ändrad Char1"/>
    <w:qFormat/>
    <w:uiPriority w:val="0"/>
    <w:rPr>
      <w:rFonts w:ascii="仿宋_GB2312" w:eastAsia="宋体"/>
      <w:b/>
      <w:kern w:val="2"/>
      <w:sz w:val="21"/>
      <w:szCs w:val="24"/>
      <w:lang w:val="en-US" w:eastAsia="zh-CN" w:bidi="ar-SA"/>
    </w:rPr>
  </w:style>
  <w:style w:type="character" w:customStyle="1" w:styleId="174">
    <w:name w:val="Char Char41"/>
    <w:qFormat/>
    <w:uiPriority w:val="0"/>
    <w:rPr>
      <w:rFonts w:ascii="Cambria" w:hAnsi="Cambria" w:eastAsia="宋体"/>
      <w:b/>
      <w:bCs/>
      <w:sz w:val="32"/>
      <w:szCs w:val="32"/>
      <w:lang w:bidi="ar-SA"/>
    </w:rPr>
  </w:style>
  <w:style w:type="character" w:customStyle="1" w:styleId="175">
    <w:name w:val="标题 8 Char"/>
    <w:link w:val="11"/>
    <w:qFormat/>
    <w:uiPriority w:val="0"/>
    <w:rPr>
      <w:rFonts w:ascii="Arial" w:hAnsi="Arial" w:eastAsia="黑体"/>
      <w:kern w:val="2"/>
      <w:sz w:val="24"/>
      <w:lang w:val="en-US" w:eastAsia="zh-CN" w:bidi="ar-SA"/>
    </w:rPr>
  </w:style>
  <w:style w:type="character" w:customStyle="1" w:styleId="176">
    <w:name w:val="Char Char11"/>
    <w:qFormat/>
    <w:uiPriority w:val="0"/>
    <w:rPr>
      <w:rFonts w:ascii="Times New Roman" w:hAnsi="Times New Roman" w:eastAsia="宋体" w:cs="Times New Roman"/>
      <w:sz w:val="18"/>
      <w:szCs w:val="18"/>
    </w:rPr>
  </w:style>
  <w:style w:type="character" w:customStyle="1" w:styleId="177">
    <w:name w:val="正文文本缩进 2 Char"/>
    <w:link w:val="35"/>
    <w:qFormat/>
    <w:uiPriority w:val="0"/>
    <w:rPr>
      <w:rFonts w:eastAsia="宋体"/>
      <w:kern w:val="2"/>
      <w:sz w:val="24"/>
      <w:szCs w:val="24"/>
      <w:lang w:val="en-US" w:eastAsia="zh-CN" w:bidi="ar-SA"/>
    </w:rPr>
  </w:style>
  <w:style w:type="character" w:customStyle="1" w:styleId="178">
    <w:name w:val="Char Char6"/>
    <w:qFormat/>
    <w:uiPriority w:val="0"/>
    <w:rPr>
      <w:rFonts w:ascii="Times New Roman" w:hAnsi="Times New Roman" w:eastAsia="宋体" w:cs="Times New Roman"/>
      <w:szCs w:val="24"/>
    </w:rPr>
  </w:style>
  <w:style w:type="character" w:customStyle="1" w:styleId="179">
    <w:name w:val="Char Char Char"/>
    <w:qFormat/>
    <w:uiPriority w:val="0"/>
    <w:rPr>
      <w:rFonts w:ascii="宋体" w:hAnsi="Courier New" w:eastAsia="宋体"/>
      <w:b/>
      <w:sz w:val="21"/>
      <w:szCs w:val="21"/>
      <w:lang w:val="en-US" w:eastAsia="zh-CN" w:bidi="ar-SA"/>
    </w:rPr>
  </w:style>
  <w:style w:type="character" w:customStyle="1" w:styleId="180">
    <w:name w:val="heading 2 Char"/>
    <w:qFormat/>
    <w:uiPriority w:val="0"/>
    <w:rPr>
      <w:rFonts w:ascii="Arial" w:hAnsi="Arial" w:eastAsia="黑体" w:cs="Times New Roman"/>
      <w:sz w:val="30"/>
      <w:szCs w:val="24"/>
    </w:rPr>
  </w:style>
  <w:style w:type="character" w:customStyle="1" w:styleId="181">
    <w:name w:val="Char Char2"/>
    <w:qFormat/>
    <w:uiPriority w:val="0"/>
    <w:rPr>
      <w:rFonts w:ascii="Arial" w:hAnsi="Arial" w:eastAsia="黑体"/>
      <w:b/>
      <w:bCs/>
      <w:kern w:val="44"/>
      <w:sz w:val="30"/>
      <w:szCs w:val="44"/>
      <w:lang w:val="en-US" w:eastAsia="zh-CN" w:bidi="ar-SA"/>
    </w:rPr>
  </w:style>
  <w:style w:type="character" w:customStyle="1" w:styleId="182">
    <w:name w:val="Footer-Even Char2"/>
    <w:qFormat/>
    <w:uiPriority w:val="0"/>
    <w:rPr>
      <w:kern w:val="2"/>
      <w:sz w:val="18"/>
      <w:szCs w:val="18"/>
    </w:rPr>
  </w:style>
  <w:style w:type="character" w:customStyle="1" w:styleId="183">
    <w:name w:val="Char Char17"/>
    <w:qFormat/>
    <w:uiPriority w:val="0"/>
    <w:rPr>
      <w:rFonts w:ascii="Cambria" w:hAnsi="Cambria"/>
      <w:b/>
      <w:bCs/>
      <w:kern w:val="2"/>
      <w:sz w:val="28"/>
      <w:szCs w:val="28"/>
    </w:rPr>
  </w:style>
  <w:style w:type="character" w:customStyle="1" w:styleId="184">
    <w:name w:val="heading 4 Char"/>
    <w:qFormat/>
    <w:uiPriority w:val="0"/>
    <w:rPr>
      <w:rFonts w:ascii="Arial" w:hAnsi="Arial" w:eastAsia="黑体" w:cs="Times New Roman"/>
      <w:sz w:val="21"/>
      <w:szCs w:val="21"/>
    </w:rPr>
  </w:style>
  <w:style w:type="character" w:customStyle="1" w:styleId="185">
    <w:name w:val="Char Char20"/>
    <w:qFormat/>
    <w:uiPriority w:val="0"/>
    <w:rPr>
      <w:b/>
      <w:bCs/>
      <w:kern w:val="44"/>
      <w:sz w:val="44"/>
      <w:szCs w:val="44"/>
    </w:rPr>
  </w:style>
  <w:style w:type="character" w:customStyle="1" w:styleId="186">
    <w:name w:val="heading 1 Char2"/>
    <w:qFormat/>
    <w:uiPriority w:val="0"/>
    <w:rPr>
      <w:b/>
      <w:bCs/>
      <w:kern w:val="44"/>
      <w:sz w:val="44"/>
      <w:szCs w:val="44"/>
    </w:rPr>
  </w:style>
  <w:style w:type="character" w:customStyle="1" w:styleId="187">
    <w:name w:val="font11"/>
    <w:qFormat/>
    <w:uiPriority w:val="0"/>
    <w:rPr>
      <w:rFonts w:hint="eastAsia" w:ascii="宋体" w:hAnsi="宋体" w:eastAsia="宋体" w:cs="宋体"/>
      <w:b/>
      <w:color w:val="000000"/>
      <w:sz w:val="20"/>
      <w:szCs w:val="20"/>
      <w:u w:val="none"/>
    </w:rPr>
  </w:style>
  <w:style w:type="character" w:customStyle="1" w:styleId="188">
    <w:name w:val="表正文 Char2"/>
    <w:qFormat/>
    <w:uiPriority w:val="0"/>
    <w:rPr>
      <w:rFonts w:ascii="Times New Roman" w:hAnsi="Times New Roman" w:eastAsia="宋体" w:cs="Times New Roman"/>
      <w:szCs w:val="24"/>
    </w:rPr>
  </w:style>
  <w:style w:type="character" w:customStyle="1" w:styleId="189">
    <w:name w:val="引用 Char"/>
    <w:link w:val="190"/>
    <w:qFormat/>
    <w:uiPriority w:val="0"/>
    <w:rPr>
      <w:rFonts w:ascii="Calibri" w:hAnsi="Calibri" w:eastAsia="宋体"/>
      <w:i/>
      <w:iCs/>
      <w:color w:val="000000"/>
      <w:lang w:val="en-US" w:eastAsia="zh-CN" w:bidi="ar-SA"/>
    </w:rPr>
  </w:style>
  <w:style w:type="paragraph" w:styleId="190">
    <w:name w:val="Quote"/>
    <w:basedOn w:val="1"/>
    <w:next w:val="1"/>
    <w:link w:val="189"/>
    <w:qFormat/>
    <w:uiPriority w:val="0"/>
    <w:rPr>
      <w:rFonts w:ascii="Calibri" w:hAnsi="Calibri"/>
      <w:i/>
      <w:iCs/>
      <w:color w:val="000000"/>
      <w:kern w:val="0"/>
      <w:sz w:val="20"/>
      <w:szCs w:val="20"/>
    </w:rPr>
  </w:style>
  <w:style w:type="character" w:customStyle="1" w:styleId="191">
    <w:name w:val="纯文本 Char"/>
    <w:link w:val="31"/>
    <w:qFormat/>
    <w:uiPriority w:val="0"/>
    <w:rPr>
      <w:rFonts w:ascii="宋体" w:hAnsi="Courier New" w:eastAsia="宋体"/>
      <w:b/>
      <w:sz w:val="21"/>
      <w:szCs w:val="21"/>
      <w:lang w:val="en-US" w:eastAsia="zh-CN" w:bidi="ar-SA"/>
    </w:rPr>
  </w:style>
  <w:style w:type="character" w:customStyle="1" w:styleId="192">
    <w:name w:val="Char Char19"/>
    <w:qFormat/>
    <w:uiPriority w:val="0"/>
    <w:rPr>
      <w:rFonts w:ascii="Cambria" w:hAnsi="Cambria"/>
      <w:b/>
      <w:bCs/>
      <w:kern w:val="2"/>
      <w:sz w:val="32"/>
      <w:szCs w:val="32"/>
    </w:rPr>
  </w:style>
  <w:style w:type="character" w:customStyle="1" w:styleId="193">
    <w:name w:val="style41"/>
    <w:qFormat/>
    <w:uiPriority w:val="0"/>
    <w:rPr>
      <w:color w:val="auto"/>
    </w:rPr>
  </w:style>
  <w:style w:type="character" w:customStyle="1" w:styleId="194">
    <w:name w:val="Char Char201"/>
    <w:qFormat/>
    <w:uiPriority w:val="0"/>
    <w:rPr>
      <w:rFonts w:ascii="Cambria" w:hAnsi="Cambria" w:eastAsia="宋体" w:cs="Times New Roman"/>
      <w:b/>
      <w:bCs/>
      <w:sz w:val="32"/>
      <w:szCs w:val="32"/>
    </w:rPr>
  </w:style>
  <w:style w:type="character" w:customStyle="1" w:styleId="195">
    <w:name w:val="正文首行缩进 Char"/>
    <w:link w:val="22"/>
    <w:qFormat/>
    <w:uiPriority w:val="0"/>
    <w:rPr>
      <w:rFonts w:eastAsia="宋体"/>
      <w:lang w:val="en-US" w:eastAsia="zh-CN" w:bidi="ar-SA"/>
    </w:rPr>
  </w:style>
  <w:style w:type="character" w:customStyle="1" w:styleId="196">
    <w:name w:val="smalltxt1"/>
    <w:qFormat/>
    <w:uiPriority w:val="0"/>
    <w:rPr>
      <w:rFonts w:hint="default" w:ascii="ˎ̥" w:hAnsi="ˎ̥"/>
      <w:sz w:val="24"/>
      <w:szCs w:val="24"/>
    </w:rPr>
  </w:style>
  <w:style w:type="character" w:customStyle="1" w:styleId="197">
    <w:name w:val="正文文本 2 Char"/>
    <w:basedOn w:val="54"/>
    <w:link w:val="48"/>
    <w:qFormat/>
    <w:uiPriority w:val="0"/>
  </w:style>
  <w:style w:type="paragraph" w:customStyle="1" w:styleId="19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99">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200">
    <w:name w:val="表内文字"/>
    <w:basedOn w:val="1"/>
    <w:qFormat/>
    <w:uiPriority w:val="0"/>
    <w:pPr>
      <w:spacing w:line="240" w:lineRule="atLeast"/>
      <w:jc w:val="center"/>
    </w:pPr>
    <w:rPr>
      <w:rFonts w:ascii="Arial" w:hAnsi="Arial" w:cs="Arial"/>
      <w:b/>
      <w:bCs/>
    </w:rPr>
  </w:style>
  <w:style w:type="paragraph" w:customStyle="1" w:styleId="201">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2">
    <w:name w:val="Char Char Char Char Char Char Char"/>
    <w:basedOn w:val="1"/>
    <w:qFormat/>
    <w:uiPriority w:val="0"/>
    <w:rPr>
      <w:rFonts w:ascii="仿宋_GB2312" w:eastAsia="仿宋_GB2312"/>
      <w:b/>
      <w:sz w:val="32"/>
      <w:szCs w:val="32"/>
    </w:rPr>
  </w:style>
  <w:style w:type="paragraph" w:customStyle="1" w:styleId="20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4">
    <w:name w:val="列出段落1"/>
    <w:basedOn w:val="1"/>
    <w:qFormat/>
    <w:uiPriority w:val="0"/>
    <w:pPr>
      <w:ind w:firstLine="420" w:firstLineChars="200"/>
    </w:pPr>
    <w:rPr>
      <w:szCs w:val="20"/>
    </w:rPr>
  </w:style>
  <w:style w:type="paragraph" w:customStyle="1" w:styleId="205">
    <w:name w:val="一级条标题"/>
    <w:next w:val="1"/>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7">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08">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0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1">
    <w:name w:val="NICMAN Body Text"/>
    <w:basedOn w:val="1"/>
    <w:next w:val="21"/>
    <w:qFormat/>
    <w:uiPriority w:val="0"/>
    <w:pPr>
      <w:autoSpaceDE w:val="0"/>
      <w:autoSpaceDN w:val="0"/>
      <w:adjustRightInd w:val="0"/>
      <w:spacing w:after="120"/>
      <w:jc w:val="left"/>
    </w:pPr>
    <w:rPr>
      <w:kern w:val="0"/>
      <w:sz w:val="20"/>
      <w:szCs w:val="20"/>
    </w:rPr>
  </w:style>
  <w:style w:type="paragraph" w:customStyle="1" w:styleId="212">
    <w:name w:val="Char Char Char Char Char Char Char Char Char Char Char Char Char"/>
    <w:basedOn w:val="1"/>
    <w:qFormat/>
    <w:uiPriority w:val="0"/>
    <w:rPr>
      <w:rFonts w:ascii="Tahoma" w:hAnsi="Tahoma"/>
      <w:sz w:val="24"/>
      <w:szCs w:val="20"/>
    </w:rPr>
  </w:style>
  <w:style w:type="paragraph" w:customStyle="1" w:styleId="213">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4">
    <w:name w:val="正文缩进1"/>
    <w:basedOn w:val="1"/>
    <w:next w:val="24"/>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5">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6">
    <w:name w:val="Char Char Char Char1"/>
    <w:basedOn w:val="17"/>
    <w:qFormat/>
    <w:uiPriority w:val="0"/>
    <w:rPr>
      <w:rFonts w:ascii="Tahoma" w:hAnsi="Tahoma"/>
      <w:sz w:val="24"/>
    </w:rPr>
  </w:style>
  <w:style w:type="paragraph" w:customStyle="1" w:styleId="217">
    <w:name w:val="正文 首行缩进:  2 字符 Char"/>
    <w:basedOn w:val="1"/>
    <w:qFormat/>
    <w:uiPriority w:val="0"/>
    <w:pPr>
      <w:spacing w:line="360" w:lineRule="auto"/>
      <w:ind w:firstLine="480"/>
    </w:pPr>
    <w:rPr>
      <w:rFonts w:cs="宋体"/>
      <w:sz w:val="24"/>
      <w:szCs w:val="20"/>
    </w:rPr>
  </w:style>
  <w:style w:type="paragraph" w:customStyle="1" w:styleId="218">
    <w:name w:val="样式1"/>
    <w:basedOn w:val="1"/>
    <w:qFormat/>
    <w:uiPriority w:val="0"/>
    <w:pPr>
      <w:autoSpaceDE w:val="0"/>
      <w:autoSpaceDN w:val="0"/>
      <w:adjustRightInd w:val="0"/>
      <w:spacing w:line="400" w:lineRule="exact"/>
    </w:pPr>
    <w:rPr>
      <w:rFonts w:ascii="宋体" w:cs="宋体"/>
      <w:kern w:val="0"/>
    </w:rPr>
  </w:style>
  <w:style w:type="paragraph" w:customStyle="1" w:styleId="2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0">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2">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23">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4">
    <w:name w:val="二级条标题"/>
    <w:basedOn w:val="205"/>
    <w:next w:val="1"/>
    <w:qFormat/>
    <w:uiPriority w:val="0"/>
    <w:pPr>
      <w:tabs>
        <w:tab w:val="left" w:pos="4309"/>
        <w:tab w:val="clear" w:pos="3889"/>
      </w:tabs>
      <w:ind w:left="4309"/>
      <w:outlineLvl w:val="3"/>
    </w:pPr>
  </w:style>
  <w:style w:type="paragraph" w:customStyle="1" w:styleId="225">
    <w:name w:val="正文－恩普"/>
    <w:basedOn w:val="9"/>
    <w:qFormat/>
    <w:uiPriority w:val="0"/>
    <w:pPr>
      <w:adjustRightInd/>
      <w:spacing w:line="360" w:lineRule="auto"/>
      <w:ind w:firstLine="200" w:firstLineChars="200"/>
      <w:textAlignment w:val="auto"/>
    </w:pPr>
    <w:rPr>
      <w:kern w:val="2"/>
      <w:sz w:val="24"/>
      <w:szCs w:val="24"/>
    </w:rPr>
  </w:style>
  <w:style w:type="paragraph" w:customStyle="1" w:styleId="226">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7">
    <w:name w:val="正文（首行缩进）"/>
    <w:basedOn w:val="24"/>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28">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29">
    <w:name w:val="文字"/>
    <w:basedOn w:val="1"/>
    <w:qFormat/>
    <w:uiPriority w:val="0"/>
    <w:pPr>
      <w:tabs>
        <w:tab w:val="left" w:pos="8520"/>
      </w:tabs>
      <w:spacing w:line="312" w:lineRule="auto"/>
      <w:ind w:right="-210" w:firstLine="556"/>
    </w:pPr>
    <w:rPr>
      <w:rFonts w:ascii="宋体"/>
      <w:sz w:val="28"/>
      <w:szCs w:val="20"/>
    </w:rPr>
  </w:style>
  <w:style w:type="paragraph" w:customStyle="1" w:styleId="23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1">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2">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33">
    <w:name w:val="三级条标题"/>
    <w:basedOn w:val="224"/>
    <w:next w:val="1"/>
    <w:qFormat/>
    <w:uiPriority w:val="0"/>
    <w:pPr>
      <w:tabs>
        <w:tab w:val="left" w:pos="4729"/>
        <w:tab w:val="clear" w:pos="4309"/>
      </w:tabs>
      <w:ind w:left="4729"/>
      <w:outlineLvl w:val="4"/>
    </w:pPr>
  </w:style>
  <w:style w:type="paragraph" w:customStyle="1" w:styleId="234">
    <w:name w:val="Test2"/>
    <w:basedOn w:val="4"/>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5">
    <w:name w:val="默认段落字体 Para Char Char Char Char Char Char Char"/>
    <w:basedOn w:val="1"/>
    <w:qFormat/>
    <w:uiPriority w:val="0"/>
  </w:style>
  <w:style w:type="paragraph" w:customStyle="1" w:styleId="236">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8">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3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0">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1">
    <w:name w:val="列表段落"/>
    <w:basedOn w:val="1"/>
    <w:qFormat/>
    <w:uiPriority w:val="0"/>
    <w:pPr>
      <w:ind w:firstLine="420" w:firstLineChars="200"/>
    </w:pPr>
    <w:rPr>
      <w:rFonts w:ascii="Calibri" w:hAnsi="Calibri"/>
      <w:szCs w:val="22"/>
    </w:rPr>
  </w:style>
  <w:style w:type="paragraph" w:customStyle="1" w:styleId="242">
    <w:name w:val="五级条标题"/>
    <w:basedOn w:val="243"/>
    <w:next w:val="1"/>
    <w:qFormat/>
    <w:uiPriority w:val="0"/>
    <w:pPr>
      <w:tabs>
        <w:tab w:val="left" w:pos="5149"/>
        <w:tab w:val="left" w:pos="5569"/>
      </w:tabs>
      <w:ind w:left="5569"/>
      <w:outlineLvl w:val="6"/>
    </w:pPr>
  </w:style>
  <w:style w:type="paragraph" w:customStyle="1" w:styleId="243">
    <w:name w:val="四级条标题"/>
    <w:basedOn w:val="233"/>
    <w:next w:val="1"/>
    <w:qFormat/>
    <w:uiPriority w:val="0"/>
    <w:pPr>
      <w:tabs>
        <w:tab w:val="left" w:pos="5149"/>
        <w:tab w:val="clear" w:pos="4729"/>
      </w:tabs>
      <w:ind w:left="5149"/>
      <w:outlineLvl w:val="5"/>
    </w:pPr>
  </w:style>
  <w:style w:type="paragraph" w:customStyle="1" w:styleId="244">
    <w:name w:val="正文-宋体四号"/>
    <w:basedOn w:val="1"/>
    <w:qFormat/>
    <w:uiPriority w:val="0"/>
    <w:pPr>
      <w:spacing w:line="360" w:lineRule="auto"/>
      <w:ind w:firstLine="560" w:firstLineChars="200"/>
    </w:pPr>
    <w:rPr>
      <w:rFonts w:cs="宋体"/>
      <w:sz w:val="28"/>
      <w:szCs w:val="20"/>
    </w:rPr>
  </w:style>
  <w:style w:type="paragraph" w:customStyle="1" w:styleId="245">
    <w:name w:val="纯文本1"/>
    <w:basedOn w:val="1"/>
    <w:qFormat/>
    <w:uiPriority w:val="0"/>
    <w:pPr>
      <w:adjustRightInd w:val="0"/>
      <w:textAlignment w:val="baseline"/>
    </w:pPr>
    <w:rPr>
      <w:rFonts w:ascii="宋体" w:hAnsi="Courier New" w:eastAsia="楷体_GB2312"/>
      <w:sz w:val="28"/>
      <w:szCs w:val="20"/>
    </w:rPr>
  </w:style>
  <w:style w:type="paragraph" w:customStyle="1" w:styleId="246">
    <w:name w:val="Char2"/>
    <w:basedOn w:val="1"/>
    <w:qFormat/>
    <w:uiPriority w:val="0"/>
  </w:style>
  <w:style w:type="paragraph" w:customStyle="1" w:styleId="247">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48">
    <w:name w:val="样式5"/>
    <w:basedOn w:val="9"/>
    <w:qFormat/>
    <w:uiPriority w:val="0"/>
    <w:pPr>
      <w:adjustRightInd/>
      <w:spacing w:line="360" w:lineRule="auto"/>
      <w:ind w:firstLine="200" w:firstLineChars="200"/>
      <w:textAlignment w:val="auto"/>
    </w:pPr>
    <w:rPr>
      <w:sz w:val="28"/>
      <w:szCs w:val="21"/>
    </w:rPr>
  </w:style>
  <w:style w:type="paragraph" w:customStyle="1" w:styleId="249">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0">
    <w:name w:val="Char Char Char Char Char Char Char Char Char Char Char Char Char1"/>
    <w:basedOn w:val="1"/>
    <w:qFormat/>
    <w:uiPriority w:val="0"/>
  </w:style>
  <w:style w:type="paragraph" w:customStyle="1" w:styleId="251">
    <w:name w:val="样式 标题 1Level 1Level 11h1II+IHeading1H1-Heading 1Header 1..."/>
    <w:basedOn w:val="3"/>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2">
    <w:name w:val="样式 标题 3 + 黑色 段前: 5 磅 段后: 5 磅 行距: 1.5 倍行距"/>
    <w:basedOn w:val="1"/>
    <w:qFormat/>
    <w:uiPriority w:val="0"/>
    <w:pPr>
      <w:ind w:left="855" w:hanging="855"/>
    </w:pPr>
    <w:rPr>
      <w:sz w:val="24"/>
      <w:szCs w:val="20"/>
    </w:rPr>
  </w:style>
  <w:style w:type="paragraph" w:customStyle="1" w:styleId="253">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4">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6">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7">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8">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59">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0">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26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4">
    <w:name w:val="tabletext"/>
    <w:basedOn w:val="1"/>
    <w:qFormat/>
    <w:uiPriority w:val="0"/>
    <w:pPr>
      <w:widowControl/>
      <w:spacing w:line="300" w:lineRule="atLeast"/>
      <w:jc w:val="left"/>
    </w:pPr>
    <w:rPr>
      <w:rFonts w:ascii="宋体" w:hAnsi="宋体" w:cs="宋体"/>
      <w:kern w:val="0"/>
      <w:sz w:val="18"/>
      <w:szCs w:val="18"/>
    </w:rPr>
  </w:style>
  <w:style w:type="paragraph" w:customStyle="1" w:styleId="265">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6">
    <w:name w:val="TOC 标题1"/>
    <w:basedOn w:val="3"/>
    <w:next w:val="1"/>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7">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68">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69">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70">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1">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2">
    <w:name w:val="简单回函地址"/>
    <w:basedOn w:val="1"/>
    <w:qFormat/>
    <w:uiPriority w:val="0"/>
  </w:style>
  <w:style w:type="paragraph" w:customStyle="1" w:styleId="273">
    <w:name w:val="前言、引言标题"/>
    <w:next w:val="1"/>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4">
    <w:name w:val="正文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5">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6">
    <w:name w:val="1 Char"/>
    <w:basedOn w:val="9"/>
    <w:qFormat/>
    <w:uiPriority w:val="0"/>
    <w:pPr>
      <w:adjustRightInd/>
      <w:spacing w:line="360" w:lineRule="auto"/>
      <w:ind w:firstLine="200" w:firstLineChars="200"/>
      <w:textAlignment w:val="auto"/>
    </w:pPr>
    <w:rPr>
      <w:kern w:val="2"/>
    </w:rPr>
  </w:style>
  <w:style w:type="paragraph" w:customStyle="1" w:styleId="277">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8">
    <w:name w:val="TOC 标题2"/>
    <w:basedOn w:val="3"/>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79">
    <w:name w:val="Char Char"/>
    <w:basedOn w:val="1"/>
    <w:qFormat/>
    <w:uiPriority w:val="0"/>
    <w:rPr>
      <w:rFonts w:ascii="仿宋_GB2312" w:eastAsia="仿宋_GB2312"/>
      <w:b/>
      <w:sz w:val="32"/>
      <w:szCs w:val="32"/>
    </w:rPr>
  </w:style>
  <w:style w:type="paragraph" w:customStyle="1" w:styleId="280">
    <w:name w:val="l正文"/>
    <w:basedOn w:val="1"/>
    <w:qFormat/>
    <w:uiPriority w:val="0"/>
    <w:pPr>
      <w:spacing w:line="360" w:lineRule="auto"/>
      <w:ind w:firstLine="200" w:firstLineChars="200"/>
    </w:pPr>
    <w:rPr>
      <w:rFonts w:ascii="宋体" w:hAnsi="宋体"/>
      <w:sz w:val="24"/>
    </w:rPr>
  </w:style>
  <w:style w:type="paragraph" w:customStyle="1" w:styleId="281">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3">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4">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85">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6">
    <w:name w:val="Char Char Char Char Char Char Char1"/>
    <w:basedOn w:val="1"/>
    <w:qFormat/>
    <w:uiPriority w:val="0"/>
    <w:rPr>
      <w:rFonts w:ascii="仿宋_GB2312" w:eastAsia="仿宋_GB2312"/>
      <w:b/>
      <w:sz w:val="32"/>
      <w:szCs w:val="32"/>
    </w:rPr>
  </w:style>
  <w:style w:type="paragraph" w:customStyle="1" w:styleId="28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8">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89">
    <w:name w:val="标题2"/>
    <w:basedOn w:val="4"/>
    <w:qFormat/>
    <w:uiPriority w:val="0"/>
    <w:pPr>
      <w:tabs>
        <w:tab w:val="left" w:pos="709"/>
      </w:tabs>
    </w:pPr>
    <w:rPr>
      <w:rFonts w:ascii="宋体" w:hAnsi="宋体"/>
      <w:sz w:val="36"/>
      <w:szCs w:val="36"/>
    </w:rPr>
  </w:style>
  <w:style w:type="paragraph" w:customStyle="1" w:styleId="290">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2">
    <w:name w:val="Char1"/>
    <w:basedOn w:val="1"/>
    <w:qFormat/>
    <w:uiPriority w:val="0"/>
    <w:rPr>
      <w:rFonts w:ascii="仿宋_GB2312" w:eastAsia="仿宋_GB2312"/>
      <w:b/>
      <w:sz w:val="32"/>
      <w:szCs w:val="32"/>
    </w:rPr>
  </w:style>
  <w:style w:type="paragraph" w:customStyle="1" w:styleId="293">
    <w:name w:val="正文字缩2字"/>
    <w:basedOn w:val="1"/>
    <w:qFormat/>
    <w:uiPriority w:val="0"/>
    <w:pPr>
      <w:spacing w:before="60" w:after="60" w:line="360" w:lineRule="auto"/>
      <w:ind w:left="200" w:leftChars="200" w:firstLine="200" w:firstLineChars="200"/>
    </w:pPr>
    <w:rPr>
      <w:sz w:val="24"/>
    </w:rPr>
  </w:style>
  <w:style w:type="paragraph" w:customStyle="1" w:styleId="294">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5">
    <w:name w:val="保留正文"/>
    <w:basedOn w:val="21"/>
    <w:qFormat/>
    <w:uiPriority w:val="0"/>
    <w:pPr>
      <w:keepNext/>
      <w:spacing w:after="160"/>
    </w:pPr>
    <w:rPr>
      <w:szCs w:val="20"/>
    </w:rPr>
  </w:style>
  <w:style w:type="paragraph" w:customStyle="1" w:styleId="296">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9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9">
    <w:name w:val="Char"/>
    <w:basedOn w:val="1"/>
    <w:qFormat/>
    <w:uiPriority w:val="0"/>
    <w:rPr>
      <w:rFonts w:ascii="仿宋_GB2312" w:eastAsia="仿宋_GB2312"/>
      <w:b/>
      <w:sz w:val="32"/>
      <w:szCs w:val="32"/>
    </w:rPr>
  </w:style>
  <w:style w:type="paragraph" w:customStyle="1" w:styleId="300">
    <w:name w:val="Char2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1">
    <w:name w:val="正文文字表格居中"/>
    <w:basedOn w:val="1"/>
    <w:next w:val="48"/>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2">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3">
    <w:name w:val="Char1 Char Char Char Char Char Char"/>
    <w:basedOn w:val="1"/>
    <w:qFormat/>
    <w:uiPriority w:val="0"/>
    <w:rPr>
      <w:rFonts w:ascii="宋体" w:hAnsi="宋体"/>
      <w:color w:val="000000"/>
      <w:sz w:val="24"/>
    </w:rPr>
  </w:style>
  <w:style w:type="paragraph" w:customStyle="1" w:styleId="304">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5">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7">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08">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09">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0">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2">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3">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4">
    <w:name w:val="章标题"/>
    <w:next w:val="1"/>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5">
    <w:name w:val="样式 标题 3 + 黑体 小四 非加粗"/>
    <w:basedOn w:val="5"/>
    <w:qFormat/>
    <w:uiPriority w:val="0"/>
    <w:pPr>
      <w:spacing w:before="260" w:after="260" w:line="413" w:lineRule="auto"/>
    </w:pPr>
    <w:rPr>
      <w:rFonts w:ascii="黑体" w:hAnsi="黑体"/>
      <w:b w:val="0"/>
      <w:kern w:val="0"/>
      <w:sz w:val="24"/>
      <w:szCs w:val="32"/>
    </w:rPr>
  </w:style>
  <w:style w:type="paragraph" w:customStyle="1" w:styleId="316">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8">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1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0">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1">
    <w:name w:val="文档正文"/>
    <w:basedOn w:val="1"/>
    <w:qFormat/>
    <w:uiPriority w:val="0"/>
    <w:pPr>
      <w:adjustRightInd w:val="0"/>
      <w:spacing w:line="300" w:lineRule="auto"/>
      <w:ind w:firstLine="567"/>
      <w:textAlignment w:val="baseline"/>
    </w:pPr>
    <w:rPr>
      <w:kern w:val="0"/>
      <w:sz w:val="24"/>
      <w:szCs w:val="20"/>
    </w:rPr>
  </w:style>
  <w:style w:type="paragraph" w:customStyle="1" w:styleId="322">
    <w:name w:val="列出段落2"/>
    <w:basedOn w:val="1"/>
    <w:qFormat/>
    <w:uiPriority w:val="0"/>
    <w:pPr>
      <w:ind w:firstLine="420" w:firstLineChars="200"/>
    </w:pPr>
  </w:style>
  <w:style w:type="paragraph" w:customStyle="1" w:styleId="323">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4">
    <w:name w:val="È±Ê¡ÎÄ±¾ Char"/>
    <w:basedOn w:val="1"/>
    <w:qFormat/>
    <w:uiPriority w:val="0"/>
    <w:pPr>
      <w:widowControl/>
      <w:overflowPunct w:val="0"/>
      <w:autoSpaceDE w:val="0"/>
      <w:autoSpaceDN w:val="0"/>
      <w:adjustRightInd w:val="0"/>
      <w:textAlignment w:val="baseline"/>
    </w:pPr>
    <w:rPr>
      <w:szCs w:val="21"/>
      <w:lang w:val="zh-CN"/>
    </w:rPr>
  </w:style>
  <w:style w:type="paragraph" w:customStyle="1" w:styleId="325">
    <w:name w:val="p0"/>
    <w:basedOn w:val="1"/>
    <w:qFormat/>
    <w:uiPriority w:val="0"/>
    <w:pPr>
      <w:widowControl/>
    </w:pPr>
    <w:rPr>
      <w:kern w:val="0"/>
      <w:szCs w:val="21"/>
    </w:rPr>
  </w:style>
  <w:style w:type="paragraph" w:customStyle="1" w:styleId="326">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7">
    <w:name w:val="TableGrid"/>
    <w:qFormat/>
    <w:uiPriority w:val="0"/>
    <w:tblPr>
      <w:tblCellMar>
        <w:top w:w="0" w:type="dxa"/>
        <w:left w:w="0" w:type="dxa"/>
        <w:bottom w:w="0" w:type="dxa"/>
        <w:right w:w="0" w:type="dxa"/>
      </w:tblCellMar>
    </w:tblPr>
  </w:style>
  <w:style w:type="paragraph" w:styleId="328">
    <w:name w:val="List Paragraph"/>
    <w:basedOn w:val="1"/>
    <w:qFormat/>
    <w:uiPriority w:val="99"/>
    <w:pPr>
      <w:ind w:firstLine="420" w:firstLineChars="200"/>
    </w:pPr>
  </w:style>
  <w:style w:type="paragraph" w:customStyle="1" w:styleId="329">
    <w:name w:val="正文段"/>
    <w:basedOn w:val="1"/>
    <w:qFormat/>
    <w:uiPriority w:val="0"/>
    <w:pPr>
      <w:widowControl/>
      <w:snapToGrid w:val="0"/>
      <w:spacing w:afterLines="50"/>
      <w:ind w:firstLine="200" w:firstLineChars="200"/>
    </w:pPr>
    <w:rPr>
      <w:sz w:val="24"/>
      <w:szCs w:val="20"/>
    </w:rPr>
  </w:style>
  <w:style w:type="paragraph" w:customStyle="1" w:styleId="330">
    <w:name w:val="_Style 3"/>
    <w:basedOn w:val="1"/>
    <w:next w:val="1"/>
    <w:qFormat/>
    <w:uiPriority w:val="34"/>
    <w:pPr>
      <w:spacing w:line="360" w:lineRule="auto"/>
      <w:ind w:firstLine="420" w:firstLineChars="200"/>
    </w:pPr>
  </w:style>
  <w:style w:type="paragraph" w:customStyle="1" w:styleId="331">
    <w:name w:val="_Style 2"/>
    <w:basedOn w:val="1"/>
    <w:next w:val="1"/>
    <w:qFormat/>
    <w:uiPriority w:val="0"/>
    <w:pPr>
      <w:pBdr>
        <w:bottom w:val="single" w:color="auto" w:sz="6" w:space="1"/>
      </w:pBdr>
      <w:jc w:val="center"/>
    </w:pPr>
    <w:rPr>
      <w:rFonts w:ascii="Arial"/>
      <w:vanish/>
      <w:sz w:val="16"/>
    </w:rPr>
  </w:style>
  <w:style w:type="character" w:customStyle="1" w:styleId="332">
    <w:name w:val="font31"/>
    <w:basedOn w:val="54"/>
    <w:qFormat/>
    <w:uiPriority w:val="0"/>
    <w:rPr>
      <w:rFonts w:hint="eastAsia" w:ascii="宋体" w:hAnsi="宋体" w:eastAsia="宋体" w:cs="宋体"/>
      <w:color w:val="000000"/>
      <w:sz w:val="24"/>
      <w:szCs w:val="24"/>
      <w:u w:val="single"/>
    </w:rPr>
  </w:style>
  <w:style w:type="paragraph" w:customStyle="1" w:styleId="333">
    <w:name w:val="表格文字"/>
    <w:basedOn w:val="1"/>
    <w:next w:val="21"/>
    <w:qFormat/>
    <w:uiPriority w:val="0"/>
    <w:pPr>
      <w:adjustRightInd w:val="0"/>
      <w:spacing w:line="420" w:lineRule="atLeast"/>
      <w:jc w:val="left"/>
      <w:textAlignment w:val="baseline"/>
    </w:pPr>
    <w:rPr>
      <w:kern w:val="0"/>
    </w:rPr>
  </w:style>
  <w:style w:type="character" w:customStyle="1" w:styleId="334">
    <w:name w:val="font01"/>
    <w:basedOn w:val="54"/>
    <w:qFormat/>
    <w:uiPriority w:val="0"/>
    <w:rPr>
      <w:rFonts w:ascii="Arial" w:hAnsi="Arial" w:cs="Arial"/>
      <w:color w:val="000000"/>
      <w:sz w:val="18"/>
      <w:szCs w:val="18"/>
      <w:u w:val="none"/>
    </w:rPr>
  </w:style>
  <w:style w:type="paragraph" w:customStyle="1" w:styleId="335">
    <w:name w:val="列出段落3"/>
    <w:basedOn w:val="1"/>
    <w:qFormat/>
    <w:uiPriority w:val="34"/>
    <w:pPr>
      <w:adjustRightInd w:val="0"/>
      <w:snapToGrid w:val="0"/>
      <w:spacing w:after="200"/>
      <w:ind w:firstLine="420" w:firstLineChars="200"/>
    </w:pPr>
    <w:rPr>
      <w:rFonts w:ascii="Tahoma" w:hAnsi="Tahoma" w:eastAsia="微软雅黑"/>
      <w:sz w:val="22"/>
    </w:rPr>
  </w:style>
  <w:style w:type="paragraph" w:customStyle="1" w:styleId="336">
    <w:name w:val="标题3 附件1"/>
    <w:basedOn w:val="1"/>
    <w:qFormat/>
    <w:uiPriority w:val="0"/>
    <w:pPr>
      <w:keepNext/>
      <w:keepLines/>
      <w:spacing w:before="340" w:after="330" w:line="360" w:lineRule="exact"/>
      <w:jc w:val="left"/>
      <w:outlineLvl w:val="2"/>
    </w:pPr>
    <w:rPr>
      <w:b/>
      <w:bCs/>
      <w:kern w:val="44"/>
      <w:szCs w:val="21"/>
    </w:rPr>
  </w:style>
  <w:style w:type="character" w:customStyle="1" w:styleId="337">
    <w:name w:val="font61"/>
    <w:basedOn w:val="54"/>
    <w:qFormat/>
    <w:uiPriority w:val="0"/>
    <w:rPr>
      <w:rFonts w:hint="eastAsia" w:ascii="宋体" w:hAnsi="宋体" w:eastAsia="宋体" w:cs="宋体"/>
      <w:color w:val="000000"/>
      <w:sz w:val="20"/>
      <w:szCs w:val="20"/>
      <w:u w:val="none"/>
    </w:rPr>
  </w:style>
  <w:style w:type="character" w:customStyle="1" w:styleId="338">
    <w:name w:val="font81"/>
    <w:basedOn w:val="54"/>
    <w:qFormat/>
    <w:uiPriority w:val="0"/>
    <w:rPr>
      <w:rFonts w:ascii="Calibri" w:hAnsi="Calibri" w:cs="Calibri"/>
      <w:color w:val="000000"/>
      <w:sz w:val="20"/>
      <w:szCs w:val="20"/>
      <w:u w:val="none"/>
    </w:rPr>
  </w:style>
  <w:style w:type="character" w:customStyle="1" w:styleId="339">
    <w:name w:val="font71"/>
    <w:basedOn w:val="54"/>
    <w:qFormat/>
    <w:uiPriority w:val="0"/>
    <w:rPr>
      <w:rFonts w:hint="eastAsia" w:ascii="宋体" w:hAnsi="宋体" w:eastAsia="宋体" w:cs="宋体"/>
      <w:color w:val="000000"/>
      <w:sz w:val="22"/>
      <w:szCs w:val="22"/>
      <w:u w:val="none"/>
    </w:rPr>
  </w:style>
  <w:style w:type="paragraph" w:customStyle="1" w:styleId="340">
    <w:name w:val="01 正文-首行缩进2字符"/>
    <w:basedOn w:val="1"/>
    <w:qFormat/>
    <w:uiPriority w:val="0"/>
    <w:pPr>
      <w:spacing w:before="50" w:beforeLines="50" w:after="50" w:afterLines="50"/>
      <w:ind w:firstLine="200" w:firstLineChars="200"/>
    </w:pPr>
    <w:rPr>
      <w:rFonts w:ascii="Arial" w:hAnsi="Arial"/>
      <w:color w:val="000000"/>
    </w:rPr>
  </w:style>
  <w:style w:type="character" w:customStyle="1" w:styleId="341">
    <w:name w:val="font111"/>
    <w:basedOn w:val="54"/>
    <w:qFormat/>
    <w:uiPriority w:val="0"/>
    <w:rPr>
      <w:rFonts w:hint="eastAsia" w:ascii="宋体" w:hAnsi="宋体" w:eastAsia="宋体" w:cs="宋体"/>
      <w:color w:val="000000"/>
      <w:sz w:val="16"/>
      <w:szCs w:val="16"/>
      <w:u w:val="none"/>
    </w:rPr>
  </w:style>
  <w:style w:type="paragraph" w:customStyle="1" w:styleId="342">
    <w:name w:val="投标正文"/>
    <w:qFormat/>
    <w:uiPriority w:val="0"/>
    <w:pPr>
      <w:widowControl w:val="0"/>
      <w:spacing w:line="360" w:lineRule="auto"/>
      <w:ind w:left="102" w:firstLine="200" w:firstLineChars="200"/>
      <w:jc w:val="both"/>
    </w:pPr>
    <w:rPr>
      <w:rFonts w:ascii="Calibri" w:hAnsi="Calibri" w:eastAsia="宋体" w:cs="Times New Roman"/>
      <w:kern w:val="2"/>
      <w:sz w:val="24"/>
      <w:szCs w:val="24"/>
      <w:lang w:val="en-US" w:eastAsia="zh-CN" w:bidi="ar-SA"/>
    </w:rPr>
  </w:style>
  <w:style w:type="character" w:customStyle="1" w:styleId="343">
    <w:name w:val="font41"/>
    <w:basedOn w:val="54"/>
    <w:qFormat/>
    <w:uiPriority w:val="0"/>
    <w:rPr>
      <w:rFonts w:hint="eastAsia" w:ascii="新宋体" w:hAnsi="新宋体" w:eastAsia="新宋体" w:cs="新宋体"/>
      <w:color w:val="000000"/>
      <w:sz w:val="16"/>
      <w:szCs w:val="16"/>
      <w:u w:val="none"/>
    </w:rPr>
  </w:style>
  <w:style w:type="character" w:customStyle="1" w:styleId="344">
    <w:name w:val="font51"/>
    <w:basedOn w:val="54"/>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66</Pages>
  <Words>25254</Words>
  <Characters>26742</Characters>
  <Lines>322</Lines>
  <Paragraphs>90</Paragraphs>
  <TotalTime>0</TotalTime>
  <ScaleCrop>false</ScaleCrop>
  <LinksUpToDate>false</LinksUpToDate>
  <CharactersWithSpaces>29428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2020-10-13T06:50:00Z</dcterms:created>
  <dc:creator>zyq</dc:creator>
  <cp:lastModifiedBy>乐圣天</cp:lastModifiedBy>
  <cp:lastPrinted>2025-03-21T04:52:00Z</cp:lastPrinted>
  <dcterms:modified xsi:type="dcterms:W3CDTF">2025-07-08T09:12:07Z</dcterms:modified>
  <dc:title>招标文件目录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06D2A3BC76014716ADC87FEFB5CC450B</vt:lpwstr>
  </property>
  <property fmtid="{D5CDD505-2E9C-101B-9397-08002B2CF9AE}" pid="4" name="KSOTemplateDocerSaveRecord">
    <vt:lpwstr>eyJoZGlkIjoiZWM4MTY1MmFmZmM0YzFmYjliMTVjYzA0ZTI1YzRmZjUiLCJ1c2VySWQiOiIxMzg0MTA1MjE1In0=</vt:lpwstr>
  </property>
</Properties>
</file>