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9BFEE">
      <w:pPr>
        <w:rPr>
          <w:color w:val="auto"/>
          <w:highlight w:val="none"/>
        </w:rPr>
      </w:pPr>
    </w:p>
    <w:p w14:paraId="73400262">
      <w:pPr>
        <w:jc w:val="distribute"/>
        <w:rPr>
          <w:rFonts w:ascii="宋体" w:hAnsi="宋体" w:cs="宋体"/>
          <w:b/>
          <w:bCs/>
          <w:color w:val="auto"/>
          <w:sz w:val="52"/>
          <w:szCs w:val="52"/>
          <w:highlight w:val="none"/>
        </w:rPr>
      </w:pPr>
      <w:r>
        <w:rPr>
          <w:rFonts w:hint="eastAsia" w:ascii="宋体" w:hAnsi="宋体" w:cs="宋体"/>
          <w:color w:val="auto"/>
          <w:spacing w:val="20"/>
          <w:sz w:val="84"/>
          <w:highlight w:val="none"/>
        </w:rPr>
        <w:t>温州市人民医院</w:t>
      </w:r>
    </w:p>
    <w:p w14:paraId="563AAB7F">
      <w:pPr>
        <w:jc w:val="center"/>
        <w:rPr>
          <w:rFonts w:ascii="宋体" w:hAnsi="宋体" w:cs="宋体"/>
          <w:b/>
          <w:bCs/>
          <w:color w:val="auto"/>
          <w:spacing w:val="26"/>
          <w:sz w:val="52"/>
          <w:highlight w:val="none"/>
        </w:rPr>
      </w:pPr>
    </w:p>
    <w:p w14:paraId="44949E59">
      <w:pPr>
        <w:ind w:firstLine="2357" w:firstLineChars="235"/>
        <w:rPr>
          <w:rFonts w:ascii="宋体" w:hAnsi="宋体" w:cs="宋体"/>
          <w:b/>
          <w:bCs/>
          <w:color w:val="auto"/>
          <w:spacing w:val="140"/>
          <w:sz w:val="72"/>
          <w:highlight w:val="none"/>
        </w:rPr>
      </w:pPr>
    </w:p>
    <w:p w14:paraId="765B54BE">
      <w:pPr>
        <w:adjustRightInd w:val="0"/>
        <w:snapToGrid w:val="0"/>
        <w:spacing w:line="480" w:lineRule="auto"/>
        <w:ind w:right="361"/>
        <w:jc w:val="center"/>
        <w:rPr>
          <w:rFonts w:ascii="宋体" w:hAnsi="宋体" w:cs="宋体"/>
          <w:color w:val="auto"/>
          <w:sz w:val="72"/>
          <w:szCs w:val="72"/>
          <w:highlight w:val="none"/>
        </w:rPr>
      </w:pPr>
      <w:r>
        <w:rPr>
          <w:rFonts w:hint="eastAsia" w:ascii="宋体" w:hAnsi="宋体" w:cs="宋体"/>
          <w:color w:val="auto"/>
          <w:sz w:val="72"/>
          <w:szCs w:val="72"/>
          <w:highlight w:val="none"/>
        </w:rPr>
        <w:t>招 标 文 件</w:t>
      </w:r>
    </w:p>
    <w:tbl>
      <w:tblPr>
        <w:tblStyle w:val="25"/>
        <w:tblW w:w="8957" w:type="dxa"/>
        <w:tblInd w:w="6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77"/>
        <w:gridCol w:w="5780"/>
      </w:tblGrid>
      <w:tr w14:paraId="2B8DF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77" w:type="dxa"/>
            <w:vAlign w:val="center"/>
          </w:tcPr>
          <w:p w14:paraId="256BD237">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项 目 编 号</w:t>
            </w:r>
            <w:r>
              <w:rPr>
                <w:rFonts w:hint="eastAsia" w:ascii="宋体" w:hAnsi="宋体" w:cs="宋体"/>
                <w:color w:val="auto"/>
                <w:spacing w:val="40"/>
                <w:sz w:val="28"/>
                <w:highlight w:val="none"/>
              </w:rPr>
              <w:t>：</w:t>
            </w:r>
          </w:p>
        </w:tc>
        <w:tc>
          <w:tcPr>
            <w:tcW w:w="5780" w:type="dxa"/>
            <w:vAlign w:val="center"/>
          </w:tcPr>
          <w:p w14:paraId="067CA735">
            <w:pPr>
              <w:spacing w:line="700" w:lineRule="exact"/>
              <w:jc w:val="center"/>
              <w:rPr>
                <w:rFonts w:hint="eastAsia" w:ascii="宋体" w:hAnsi="宋体" w:eastAsia="宋体" w:cs="宋体"/>
                <w:color w:val="auto"/>
                <w:sz w:val="24"/>
                <w:highlight w:val="none"/>
                <w:lang w:eastAsia="zh-CN"/>
              </w:rPr>
            </w:pPr>
            <w:r>
              <w:rPr>
                <w:rFonts w:hint="eastAsia" w:ascii="宋体" w:hAnsi="宋体" w:cs="宋体"/>
                <w:color w:val="auto"/>
                <w:spacing w:val="40"/>
                <w:sz w:val="28"/>
                <w:highlight w:val="none"/>
                <w:lang w:eastAsia="zh-CN"/>
              </w:rPr>
              <w:t>WZLCZB（Z）-2025-05002</w:t>
            </w:r>
          </w:p>
        </w:tc>
      </w:tr>
      <w:tr w14:paraId="079BC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77" w:type="dxa"/>
            <w:vAlign w:val="center"/>
          </w:tcPr>
          <w:p w14:paraId="44631217">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项 目 名 称：</w:t>
            </w:r>
          </w:p>
        </w:tc>
        <w:tc>
          <w:tcPr>
            <w:tcW w:w="5780" w:type="dxa"/>
            <w:vAlign w:val="center"/>
          </w:tcPr>
          <w:p w14:paraId="3145F9E2">
            <w:pPr>
              <w:spacing w:line="700" w:lineRule="exact"/>
              <w:jc w:val="center"/>
              <w:rPr>
                <w:rFonts w:ascii="宋体" w:hAnsi="宋体" w:cs="宋体"/>
                <w:color w:val="auto"/>
                <w:sz w:val="24"/>
                <w:highlight w:val="none"/>
              </w:rPr>
            </w:pPr>
            <w:r>
              <w:rPr>
                <w:rFonts w:hint="eastAsia" w:ascii="宋体" w:hAnsi="宋体" w:cs="宋体"/>
                <w:color w:val="auto"/>
                <w:sz w:val="30"/>
                <w:szCs w:val="30"/>
                <w:highlight w:val="none"/>
              </w:rPr>
              <w:t>远程胎心监护</w:t>
            </w:r>
          </w:p>
        </w:tc>
      </w:tr>
      <w:tr w14:paraId="569F8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77" w:type="dxa"/>
            <w:vAlign w:val="center"/>
          </w:tcPr>
          <w:p w14:paraId="7E9FF4F4">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采 购 方 式：</w:t>
            </w:r>
          </w:p>
        </w:tc>
        <w:tc>
          <w:tcPr>
            <w:tcW w:w="5780" w:type="dxa"/>
            <w:vAlign w:val="center"/>
          </w:tcPr>
          <w:p w14:paraId="43DDDB2C">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公开招标</w:t>
            </w:r>
          </w:p>
        </w:tc>
      </w:tr>
      <w:tr w14:paraId="5C24A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77" w:type="dxa"/>
            <w:vAlign w:val="center"/>
          </w:tcPr>
          <w:p w14:paraId="3F0F2719">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评 审 方 式：</w:t>
            </w:r>
          </w:p>
        </w:tc>
        <w:tc>
          <w:tcPr>
            <w:tcW w:w="5780" w:type="dxa"/>
            <w:vAlign w:val="center"/>
          </w:tcPr>
          <w:p w14:paraId="4878A38E">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线上电子招投标</w:t>
            </w:r>
          </w:p>
        </w:tc>
      </w:tr>
    </w:tbl>
    <w:p w14:paraId="307CA21C">
      <w:pPr>
        <w:spacing w:line="700" w:lineRule="exact"/>
        <w:ind w:firstLine="723" w:firstLineChars="300"/>
        <w:jc w:val="left"/>
        <w:rPr>
          <w:rFonts w:ascii="宋体" w:hAnsi="宋体" w:cs="宋体"/>
          <w:b/>
          <w:bCs/>
          <w:color w:val="auto"/>
          <w:sz w:val="24"/>
          <w:highlight w:val="none"/>
        </w:rPr>
      </w:pPr>
    </w:p>
    <w:p w14:paraId="4C74A478">
      <w:pPr>
        <w:spacing w:line="700" w:lineRule="exact"/>
        <w:ind w:firstLine="904" w:firstLineChars="300"/>
        <w:jc w:val="left"/>
        <w:rPr>
          <w:rFonts w:ascii="宋体" w:hAnsi="宋体" w:cs="宋体"/>
          <w:b/>
          <w:color w:val="auto"/>
          <w:spacing w:val="40"/>
          <w:sz w:val="30"/>
          <w:szCs w:val="30"/>
          <w:highlight w:val="none"/>
        </w:rPr>
      </w:pPr>
      <w:r>
        <w:rPr>
          <w:rFonts w:hint="eastAsia" w:ascii="宋体" w:hAnsi="宋体" w:cs="宋体"/>
          <w:b/>
          <w:bCs/>
          <w:color w:val="auto"/>
          <w:sz w:val="30"/>
          <w:szCs w:val="30"/>
          <w:highlight w:val="none"/>
        </w:rPr>
        <w:t xml:space="preserve">     </w:t>
      </w:r>
    </w:p>
    <w:p w14:paraId="47194E2A">
      <w:pPr>
        <w:spacing w:line="700" w:lineRule="exact"/>
        <w:ind w:left="3802" w:leftChars="540" w:hanging="2668" w:hangingChars="700"/>
        <w:rPr>
          <w:rFonts w:ascii="宋体" w:hAnsi="宋体" w:cs="宋体"/>
          <w:b/>
          <w:color w:val="auto"/>
          <w:spacing w:val="40"/>
          <w:sz w:val="30"/>
          <w:szCs w:val="30"/>
          <w:highlight w:val="none"/>
        </w:rPr>
      </w:pPr>
    </w:p>
    <w:p w14:paraId="2B621326">
      <w:pPr>
        <w:keepNext/>
        <w:spacing w:line="700" w:lineRule="exact"/>
        <w:rPr>
          <w:rFonts w:ascii="宋体" w:hAnsi="宋体" w:cs="宋体"/>
          <w:b/>
          <w:color w:val="auto"/>
          <w:spacing w:val="40"/>
          <w:sz w:val="30"/>
          <w:szCs w:val="30"/>
          <w:highlight w:val="none"/>
        </w:rPr>
      </w:pPr>
      <w:r>
        <w:rPr>
          <w:rFonts w:hint="eastAsia" w:ascii="宋体" w:hAnsi="宋体" w:cs="宋体"/>
          <w:b/>
          <w:color w:val="auto"/>
          <w:spacing w:val="40"/>
          <w:sz w:val="30"/>
          <w:szCs w:val="30"/>
          <w:highlight w:val="none"/>
        </w:rPr>
        <w:t xml:space="preserve">    </w:t>
      </w:r>
    </w:p>
    <w:p w14:paraId="340D529C">
      <w:pPr>
        <w:rPr>
          <w:color w:val="auto"/>
          <w:highlight w:val="none"/>
        </w:rPr>
      </w:pPr>
    </w:p>
    <w:p w14:paraId="34B59EFA">
      <w:pPr>
        <w:spacing w:line="600" w:lineRule="exact"/>
        <w:jc w:val="center"/>
        <w:rPr>
          <w:rFonts w:ascii="宋体" w:hAnsi="宋体" w:cs="宋体"/>
          <w:color w:val="auto"/>
          <w:spacing w:val="30"/>
          <w:sz w:val="30"/>
          <w:highlight w:val="none"/>
        </w:rPr>
      </w:pPr>
      <w:r>
        <w:rPr>
          <w:rFonts w:hint="eastAsia" w:ascii="宋体" w:hAnsi="宋体" w:cs="宋体"/>
          <w:color w:val="auto"/>
          <w:spacing w:val="30"/>
          <w:sz w:val="30"/>
          <w:highlight w:val="none"/>
        </w:rPr>
        <w:t>招 标 人:温州市人民医院</w:t>
      </w:r>
    </w:p>
    <w:p w14:paraId="08A1D496">
      <w:pPr>
        <w:spacing w:line="600" w:lineRule="exact"/>
        <w:jc w:val="center"/>
        <w:rPr>
          <w:rFonts w:ascii="宋体" w:hAnsi="宋体" w:cs="宋体"/>
          <w:color w:val="auto"/>
          <w:spacing w:val="30"/>
          <w:sz w:val="30"/>
          <w:highlight w:val="none"/>
        </w:rPr>
      </w:pPr>
      <w:r>
        <w:rPr>
          <w:rFonts w:hint="eastAsia" w:ascii="宋体" w:hAnsi="宋体" w:cs="宋体"/>
          <w:color w:val="auto"/>
          <w:spacing w:val="30"/>
          <w:sz w:val="30"/>
          <w:highlight w:val="none"/>
        </w:rPr>
        <w:t>招标代理机构：温州历程招标有限公司</w:t>
      </w:r>
    </w:p>
    <w:p w14:paraId="5E5A9406">
      <w:pPr>
        <w:spacing w:line="600" w:lineRule="exact"/>
        <w:jc w:val="center"/>
        <w:rPr>
          <w:rFonts w:ascii="宋体" w:hAnsi="宋体" w:cs="宋体"/>
          <w:color w:val="auto"/>
          <w:spacing w:val="30"/>
          <w:sz w:val="30"/>
          <w:highlight w:val="none"/>
        </w:rPr>
      </w:pPr>
      <w:r>
        <w:rPr>
          <w:rFonts w:hint="eastAsia" w:ascii="宋体" w:hAnsi="宋体" w:cs="宋体"/>
          <w:color w:val="auto"/>
          <w:spacing w:val="30"/>
          <w:sz w:val="30"/>
          <w:highlight w:val="none"/>
        </w:rPr>
        <w:t>二0二</w:t>
      </w:r>
      <w:r>
        <w:rPr>
          <w:rFonts w:hint="eastAsia" w:ascii="宋体" w:hAnsi="宋体" w:cs="宋体"/>
          <w:color w:val="auto"/>
          <w:spacing w:val="30"/>
          <w:sz w:val="30"/>
          <w:highlight w:val="none"/>
          <w:lang w:val="en-US" w:eastAsia="zh-CN"/>
        </w:rPr>
        <w:t>五</w:t>
      </w:r>
      <w:r>
        <w:rPr>
          <w:rFonts w:hint="eastAsia" w:ascii="宋体" w:hAnsi="宋体" w:cs="宋体"/>
          <w:color w:val="auto"/>
          <w:spacing w:val="30"/>
          <w:sz w:val="30"/>
          <w:highlight w:val="none"/>
        </w:rPr>
        <w:t>年</w:t>
      </w:r>
    </w:p>
    <w:p w14:paraId="4ECDA240">
      <w:pPr>
        <w:rPr>
          <w:color w:val="auto"/>
          <w:highlight w:val="none"/>
        </w:rPr>
      </w:pPr>
      <w:r>
        <w:rPr>
          <w:rFonts w:hint="eastAsia" w:ascii="宋体" w:hAnsi="宋体" w:cs="宋体"/>
          <w:b/>
          <w:color w:val="auto"/>
          <w:sz w:val="36"/>
          <w:szCs w:val="36"/>
          <w:highlight w:val="none"/>
        </w:rPr>
        <w:br w:type="page"/>
      </w:r>
    </w:p>
    <w:sdt>
      <w:sdtPr>
        <w:rPr>
          <w:rFonts w:hint="eastAsia" w:ascii="宋体" w:hAnsi="宋体" w:cs="宋体"/>
          <w:color w:val="auto"/>
          <w:highlight w:val="none"/>
        </w:rPr>
        <w:id w:val="147459729"/>
        <w:docPartObj>
          <w:docPartGallery w:val="Table of Contents"/>
          <w:docPartUnique/>
        </w:docPartObj>
      </w:sdtPr>
      <w:sdtEndPr>
        <w:rPr>
          <w:rFonts w:hint="eastAsia" w:ascii="宋体" w:hAnsi="宋体" w:cs="宋体"/>
          <w:color w:val="auto"/>
          <w:szCs w:val="36"/>
          <w:highlight w:val="none"/>
        </w:rPr>
      </w:sdtEndPr>
      <w:sdtContent>
        <w:p w14:paraId="4FFE4993">
          <w:pPr>
            <w:jc w:val="center"/>
            <w:rPr>
              <w:rFonts w:ascii="宋体" w:hAnsi="宋体" w:cs="宋体"/>
              <w:color w:val="auto"/>
              <w:highlight w:val="none"/>
            </w:rPr>
          </w:pPr>
        </w:p>
        <w:p w14:paraId="48F3A191">
          <w:pPr>
            <w:pStyle w:val="18"/>
            <w:tabs>
              <w:tab w:val="right" w:leader="dot" w:pos="9638"/>
            </w:tabs>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目  录</w:t>
          </w:r>
        </w:p>
        <w:p w14:paraId="358AE9B4">
          <w:pPr>
            <w:pStyle w:val="18"/>
            <w:tabs>
              <w:tab w:val="right" w:leader="dot" w:pos="9638"/>
            </w:tabs>
            <w:spacing w:line="360" w:lineRule="auto"/>
            <w:rPr>
              <w:color w:val="auto"/>
              <w:sz w:val="22"/>
              <w:szCs w:val="28"/>
              <w:highlight w:val="none"/>
            </w:rPr>
          </w:pPr>
          <w:r>
            <w:rPr>
              <w:rFonts w:hint="eastAsia" w:ascii="宋体" w:hAnsi="宋体" w:cs="宋体"/>
              <w:b/>
              <w:color w:val="auto"/>
              <w:sz w:val="40"/>
              <w:szCs w:val="40"/>
              <w:highlight w:val="none"/>
            </w:rPr>
            <w:fldChar w:fldCharType="begin"/>
          </w:r>
          <w:r>
            <w:rPr>
              <w:rFonts w:hint="eastAsia" w:ascii="宋体" w:hAnsi="宋体" w:cs="宋体"/>
              <w:b/>
              <w:color w:val="auto"/>
              <w:sz w:val="40"/>
              <w:szCs w:val="40"/>
              <w:highlight w:val="none"/>
            </w:rPr>
            <w:instrText xml:space="preserve">TOC \o "1-3" \h \u </w:instrText>
          </w:r>
          <w:r>
            <w:rPr>
              <w:rFonts w:hint="eastAsia" w:ascii="宋体" w:hAnsi="宋体" w:cs="宋体"/>
              <w:b/>
              <w:color w:val="auto"/>
              <w:sz w:val="40"/>
              <w:szCs w:val="40"/>
              <w:highlight w:val="none"/>
            </w:rPr>
            <w:fldChar w:fldCharType="separate"/>
          </w:r>
          <w:r>
            <w:rPr>
              <w:color w:val="auto"/>
              <w:highlight w:val="none"/>
            </w:rPr>
            <w:fldChar w:fldCharType="begin"/>
          </w:r>
          <w:r>
            <w:rPr>
              <w:color w:val="auto"/>
              <w:highlight w:val="none"/>
            </w:rPr>
            <w:instrText xml:space="preserve"> HYPERLINK \l "_Toc6599" </w:instrText>
          </w:r>
          <w:r>
            <w:rPr>
              <w:color w:val="auto"/>
              <w:highlight w:val="none"/>
            </w:rPr>
            <w:fldChar w:fldCharType="separate"/>
          </w:r>
          <w:r>
            <w:rPr>
              <w:rFonts w:hint="eastAsia" w:ascii="宋体" w:hAnsi="宋体" w:cs="宋体"/>
              <w:color w:val="auto"/>
              <w:sz w:val="22"/>
              <w:szCs w:val="28"/>
              <w:highlight w:val="none"/>
            </w:rPr>
            <w:t>招 标 公 告</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_Toc6599 \h </w:instrText>
          </w:r>
          <w:r>
            <w:rPr>
              <w:color w:val="auto"/>
              <w:sz w:val="22"/>
              <w:szCs w:val="28"/>
              <w:highlight w:val="none"/>
            </w:rPr>
            <w:fldChar w:fldCharType="separate"/>
          </w:r>
          <w:r>
            <w:rPr>
              <w:color w:val="auto"/>
              <w:sz w:val="22"/>
              <w:szCs w:val="28"/>
              <w:highlight w:val="none"/>
            </w:rPr>
            <w:t>3</w:t>
          </w:r>
          <w:r>
            <w:rPr>
              <w:color w:val="auto"/>
              <w:sz w:val="22"/>
              <w:szCs w:val="28"/>
              <w:highlight w:val="none"/>
            </w:rPr>
            <w:fldChar w:fldCharType="end"/>
          </w:r>
          <w:r>
            <w:rPr>
              <w:color w:val="auto"/>
              <w:sz w:val="22"/>
              <w:szCs w:val="28"/>
              <w:highlight w:val="none"/>
            </w:rPr>
            <w:fldChar w:fldCharType="end"/>
          </w:r>
        </w:p>
        <w:p w14:paraId="2EFAF622">
          <w:pPr>
            <w:pStyle w:val="18"/>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"_Toc10401" </w:instrText>
          </w:r>
          <w:r>
            <w:rPr>
              <w:color w:val="auto"/>
              <w:highlight w:val="none"/>
            </w:rPr>
            <w:fldChar w:fldCharType="separate"/>
          </w:r>
          <w:r>
            <w:rPr>
              <w:rFonts w:hint="eastAsia" w:ascii="宋体" w:hAnsi="宋体" w:cs="宋体"/>
              <w:color w:val="auto"/>
              <w:sz w:val="22"/>
              <w:szCs w:val="28"/>
              <w:highlight w:val="none"/>
            </w:rPr>
            <w:t>第一部分    投标人须知</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_Toc10401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color w:val="auto"/>
              <w:sz w:val="22"/>
              <w:szCs w:val="28"/>
              <w:highlight w:val="none"/>
            </w:rPr>
            <w:fldChar w:fldCharType="end"/>
          </w:r>
        </w:p>
        <w:p w14:paraId="48B446B3">
          <w:pPr>
            <w:pStyle w:val="2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"_Toc6224" </w:instrText>
          </w:r>
          <w:r>
            <w:rPr>
              <w:color w:val="auto"/>
              <w:highlight w:val="none"/>
            </w:rPr>
            <w:fldChar w:fldCharType="separate"/>
          </w:r>
          <w:r>
            <w:rPr>
              <w:rFonts w:hint="eastAsia" w:ascii="宋体" w:hAnsi="宋体" w:cs="宋体"/>
              <w:bCs/>
              <w:color w:val="auto"/>
              <w:sz w:val="22"/>
              <w:szCs w:val="28"/>
              <w:highlight w:val="none"/>
            </w:rPr>
            <w:t>前 附 表</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_Toc6224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color w:val="auto"/>
              <w:sz w:val="22"/>
              <w:szCs w:val="28"/>
              <w:highlight w:val="none"/>
            </w:rPr>
            <w:fldChar w:fldCharType="end"/>
          </w:r>
        </w:p>
        <w:p w14:paraId="3ED9A147">
          <w:pPr>
            <w:pStyle w:val="2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"_Toc19070" </w:instrText>
          </w:r>
          <w:r>
            <w:rPr>
              <w:color w:val="auto"/>
              <w:highlight w:val="none"/>
            </w:rPr>
            <w:fldChar w:fldCharType="separate"/>
          </w:r>
          <w:r>
            <w:rPr>
              <w:rFonts w:hint="eastAsia" w:ascii="宋体" w:hAnsi="宋体" w:cs="宋体"/>
              <w:bCs/>
              <w:color w:val="auto"/>
              <w:sz w:val="22"/>
              <w:szCs w:val="28"/>
              <w:highlight w:val="none"/>
            </w:rPr>
            <w:t>一、 说   明</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_Toc19070 \h </w:instrText>
          </w:r>
          <w:r>
            <w:rPr>
              <w:color w:val="auto"/>
              <w:sz w:val="22"/>
              <w:szCs w:val="28"/>
              <w:highlight w:val="none"/>
            </w:rPr>
            <w:fldChar w:fldCharType="separate"/>
          </w:r>
          <w:r>
            <w:rPr>
              <w:color w:val="auto"/>
              <w:sz w:val="22"/>
              <w:szCs w:val="28"/>
              <w:highlight w:val="none"/>
            </w:rPr>
            <w:t>9</w:t>
          </w:r>
          <w:r>
            <w:rPr>
              <w:color w:val="auto"/>
              <w:sz w:val="22"/>
              <w:szCs w:val="28"/>
              <w:highlight w:val="none"/>
            </w:rPr>
            <w:fldChar w:fldCharType="end"/>
          </w:r>
          <w:r>
            <w:rPr>
              <w:color w:val="auto"/>
              <w:sz w:val="22"/>
              <w:szCs w:val="28"/>
              <w:highlight w:val="none"/>
            </w:rPr>
            <w:fldChar w:fldCharType="end"/>
          </w:r>
        </w:p>
        <w:p w14:paraId="5D76A868">
          <w:pPr>
            <w:pStyle w:val="2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"_Toc28278" </w:instrText>
          </w:r>
          <w:r>
            <w:rPr>
              <w:color w:val="auto"/>
              <w:highlight w:val="none"/>
            </w:rPr>
            <w:fldChar w:fldCharType="separate"/>
          </w:r>
          <w:r>
            <w:rPr>
              <w:rFonts w:hint="eastAsia" w:ascii="宋体" w:hAnsi="宋体" w:cs="宋体"/>
              <w:bCs/>
              <w:color w:val="auto"/>
              <w:sz w:val="22"/>
              <w:szCs w:val="28"/>
              <w:highlight w:val="none"/>
            </w:rPr>
            <w:t>二、 招标文件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_Toc28278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color w:val="auto"/>
              <w:sz w:val="22"/>
              <w:szCs w:val="28"/>
              <w:highlight w:val="none"/>
            </w:rPr>
            <w:fldChar w:fldCharType="end"/>
          </w:r>
        </w:p>
        <w:p w14:paraId="5D2F8A1A">
          <w:pPr>
            <w:pStyle w:val="2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"_Toc22646" </w:instrText>
          </w:r>
          <w:r>
            <w:rPr>
              <w:color w:val="auto"/>
              <w:highlight w:val="none"/>
            </w:rPr>
            <w:fldChar w:fldCharType="separate"/>
          </w:r>
          <w:r>
            <w:rPr>
              <w:rFonts w:hint="eastAsia" w:ascii="宋体" w:hAnsi="宋体" w:cs="宋体"/>
              <w:bCs/>
              <w:color w:val="auto"/>
              <w:sz w:val="22"/>
              <w:szCs w:val="28"/>
              <w:highlight w:val="none"/>
            </w:rPr>
            <w:t>三、 投标文件的编制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_Toc22646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color w:val="auto"/>
              <w:sz w:val="22"/>
              <w:szCs w:val="28"/>
              <w:highlight w:val="none"/>
            </w:rPr>
            <w:fldChar w:fldCharType="end"/>
          </w:r>
        </w:p>
        <w:p w14:paraId="26252EF2">
          <w:pPr>
            <w:pStyle w:val="2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"_Toc18542" </w:instrText>
          </w:r>
          <w:r>
            <w:rPr>
              <w:color w:val="auto"/>
              <w:highlight w:val="none"/>
            </w:rPr>
            <w:fldChar w:fldCharType="separate"/>
          </w:r>
          <w:r>
            <w:rPr>
              <w:rFonts w:hint="eastAsia" w:ascii="宋体" w:hAnsi="宋体" w:cs="宋体"/>
              <w:bCs/>
              <w:color w:val="auto"/>
              <w:sz w:val="22"/>
              <w:highlight w:val="none"/>
            </w:rPr>
            <w:t>四、 投标文件的递交</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_Toc18542 \h </w:instrText>
          </w:r>
          <w:r>
            <w:rPr>
              <w:color w:val="auto"/>
              <w:sz w:val="22"/>
              <w:szCs w:val="28"/>
              <w:highlight w:val="none"/>
            </w:rPr>
            <w:fldChar w:fldCharType="separate"/>
          </w:r>
          <w:r>
            <w:rPr>
              <w:color w:val="auto"/>
              <w:sz w:val="22"/>
              <w:szCs w:val="28"/>
              <w:highlight w:val="none"/>
            </w:rPr>
            <w:t>13</w:t>
          </w:r>
          <w:r>
            <w:rPr>
              <w:color w:val="auto"/>
              <w:sz w:val="22"/>
              <w:szCs w:val="28"/>
              <w:highlight w:val="none"/>
            </w:rPr>
            <w:fldChar w:fldCharType="end"/>
          </w:r>
          <w:r>
            <w:rPr>
              <w:color w:val="auto"/>
              <w:sz w:val="22"/>
              <w:szCs w:val="28"/>
              <w:highlight w:val="none"/>
            </w:rPr>
            <w:fldChar w:fldCharType="end"/>
          </w:r>
        </w:p>
        <w:p w14:paraId="28453D8F">
          <w:pPr>
            <w:pStyle w:val="2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"_Toc8079" </w:instrText>
          </w:r>
          <w:r>
            <w:rPr>
              <w:color w:val="auto"/>
              <w:highlight w:val="none"/>
            </w:rPr>
            <w:fldChar w:fldCharType="separate"/>
          </w:r>
          <w:r>
            <w:rPr>
              <w:rFonts w:hint="eastAsia" w:ascii="宋体" w:hAnsi="宋体" w:cs="宋体"/>
              <w:bCs/>
              <w:color w:val="auto"/>
              <w:sz w:val="22"/>
              <w:highlight w:val="none"/>
            </w:rPr>
            <w:t>五、 开标和评标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_Toc8079 \h </w:instrText>
          </w:r>
          <w:r>
            <w:rPr>
              <w:color w:val="auto"/>
              <w:sz w:val="22"/>
              <w:szCs w:val="28"/>
              <w:highlight w:val="none"/>
            </w:rPr>
            <w:fldChar w:fldCharType="separate"/>
          </w:r>
          <w:r>
            <w:rPr>
              <w:color w:val="auto"/>
              <w:sz w:val="22"/>
              <w:szCs w:val="28"/>
              <w:highlight w:val="none"/>
            </w:rPr>
            <w:t>14</w:t>
          </w:r>
          <w:r>
            <w:rPr>
              <w:color w:val="auto"/>
              <w:sz w:val="22"/>
              <w:szCs w:val="28"/>
              <w:highlight w:val="none"/>
            </w:rPr>
            <w:fldChar w:fldCharType="end"/>
          </w:r>
          <w:r>
            <w:rPr>
              <w:color w:val="auto"/>
              <w:sz w:val="22"/>
              <w:szCs w:val="28"/>
              <w:highlight w:val="none"/>
            </w:rPr>
            <w:fldChar w:fldCharType="end"/>
          </w:r>
        </w:p>
        <w:p w14:paraId="687CB066">
          <w:pPr>
            <w:pStyle w:val="2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"_Toc21056" </w:instrText>
          </w:r>
          <w:r>
            <w:rPr>
              <w:color w:val="auto"/>
              <w:highlight w:val="none"/>
            </w:rPr>
            <w:fldChar w:fldCharType="separate"/>
          </w:r>
          <w:r>
            <w:rPr>
              <w:rFonts w:hint="eastAsia" w:ascii="宋体" w:hAnsi="宋体" w:cs="宋体"/>
              <w:bCs/>
              <w:color w:val="auto"/>
              <w:sz w:val="22"/>
              <w:szCs w:val="28"/>
              <w:highlight w:val="none"/>
            </w:rPr>
            <w:t>六、 授予合同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_Toc21056 \h </w:instrText>
          </w:r>
          <w:r>
            <w:rPr>
              <w:color w:val="auto"/>
              <w:sz w:val="22"/>
              <w:szCs w:val="28"/>
              <w:highlight w:val="none"/>
            </w:rPr>
            <w:fldChar w:fldCharType="separate"/>
          </w:r>
          <w:r>
            <w:rPr>
              <w:color w:val="auto"/>
              <w:sz w:val="22"/>
              <w:szCs w:val="28"/>
              <w:highlight w:val="none"/>
            </w:rPr>
            <w:t>18</w:t>
          </w:r>
          <w:r>
            <w:rPr>
              <w:color w:val="auto"/>
              <w:sz w:val="22"/>
              <w:szCs w:val="28"/>
              <w:highlight w:val="none"/>
            </w:rPr>
            <w:fldChar w:fldCharType="end"/>
          </w:r>
          <w:r>
            <w:rPr>
              <w:color w:val="auto"/>
              <w:sz w:val="22"/>
              <w:szCs w:val="28"/>
              <w:highlight w:val="none"/>
            </w:rPr>
            <w:fldChar w:fldCharType="end"/>
          </w:r>
        </w:p>
        <w:p w14:paraId="170BBB79">
          <w:pPr>
            <w:pStyle w:val="18"/>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"_Toc19043" </w:instrText>
          </w:r>
          <w:r>
            <w:rPr>
              <w:color w:val="auto"/>
              <w:highlight w:val="none"/>
            </w:rPr>
            <w:fldChar w:fldCharType="separate"/>
          </w:r>
          <w:r>
            <w:rPr>
              <w:rFonts w:hint="eastAsia" w:ascii="宋体" w:hAnsi="宋体" w:cs="宋体"/>
              <w:color w:val="auto"/>
              <w:sz w:val="22"/>
              <w:szCs w:val="28"/>
              <w:highlight w:val="none"/>
            </w:rPr>
            <w:t>第二部分    合同主要条款</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_Toc19043 \h </w:instrText>
          </w:r>
          <w:r>
            <w:rPr>
              <w:color w:val="auto"/>
              <w:sz w:val="22"/>
              <w:szCs w:val="28"/>
              <w:highlight w:val="none"/>
            </w:rPr>
            <w:fldChar w:fldCharType="separate"/>
          </w:r>
          <w:r>
            <w:rPr>
              <w:color w:val="auto"/>
              <w:sz w:val="22"/>
              <w:szCs w:val="28"/>
              <w:highlight w:val="none"/>
            </w:rPr>
            <w:t>19</w:t>
          </w:r>
          <w:r>
            <w:rPr>
              <w:color w:val="auto"/>
              <w:sz w:val="22"/>
              <w:szCs w:val="28"/>
              <w:highlight w:val="none"/>
            </w:rPr>
            <w:fldChar w:fldCharType="end"/>
          </w:r>
          <w:r>
            <w:rPr>
              <w:color w:val="auto"/>
              <w:sz w:val="22"/>
              <w:szCs w:val="28"/>
              <w:highlight w:val="none"/>
            </w:rPr>
            <w:fldChar w:fldCharType="end"/>
          </w:r>
        </w:p>
        <w:p w14:paraId="3FE7A148">
          <w:pPr>
            <w:pStyle w:val="18"/>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"_Toc18439" </w:instrText>
          </w:r>
          <w:r>
            <w:rPr>
              <w:color w:val="auto"/>
              <w:highlight w:val="none"/>
            </w:rPr>
            <w:fldChar w:fldCharType="separate"/>
          </w:r>
          <w:r>
            <w:rPr>
              <w:rFonts w:hint="eastAsia" w:ascii="宋体" w:hAnsi="宋体" w:cs="宋体"/>
              <w:color w:val="auto"/>
              <w:sz w:val="22"/>
              <w:szCs w:val="28"/>
              <w:highlight w:val="none"/>
            </w:rPr>
            <w:t>第三部分    附件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_Toc18439 \h </w:instrText>
          </w:r>
          <w:r>
            <w:rPr>
              <w:color w:val="auto"/>
              <w:sz w:val="22"/>
              <w:szCs w:val="28"/>
              <w:highlight w:val="none"/>
            </w:rPr>
            <w:fldChar w:fldCharType="separate"/>
          </w:r>
          <w:r>
            <w:rPr>
              <w:color w:val="auto"/>
              <w:sz w:val="22"/>
              <w:szCs w:val="28"/>
              <w:highlight w:val="none"/>
            </w:rPr>
            <w:t>19</w:t>
          </w:r>
          <w:r>
            <w:rPr>
              <w:color w:val="auto"/>
              <w:sz w:val="22"/>
              <w:szCs w:val="28"/>
              <w:highlight w:val="none"/>
            </w:rPr>
            <w:fldChar w:fldCharType="end"/>
          </w:r>
          <w:r>
            <w:rPr>
              <w:color w:val="auto"/>
              <w:sz w:val="22"/>
              <w:szCs w:val="28"/>
              <w:highlight w:val="none"/>
            </w:rPr>
            <w:fldChar w:fldCharType="end"/>
          </w:r>
        </w:p>
        <w:p w14:paraId="26874BD3">
          <w:pPr>
            <w:pStyle w:val="2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"_Toc6368" </w:instrText>
          </w:r>
          <w:r>
            <w:rPr>
              <w:color w:val="auto"/>
              <w:highlight w:val="none"/>
            </w:rPr>
            <w:fldChar w:fldCharType="separate"/>
          </w:r>
          <w:r>
            <w:rPr>
              <w:rFonts w:hint="eastAsia" w:ascii="宋体" w:hAnsi="宋体" w:cs="宋体"/>
              <w:color w:val="auto"/>
              <w:sz w:val="22"/>
              <w:szCs w:val="28"/>
              <w:highlight w:val="none"/>
            </w:rPr>
            <w:t>附件一</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_Toc6368 \h </w:instrText>
          </w:r>
          <w:r>
            <w:rPr>
              <w:color w:val="auto"/>
              <w:sz w:val="22"/>
              <w:szCs w:val="28"/>
              <w:highlight w:val="none"/>
            </w:rPr>
            <w:fldChar w:fldCharType="separate"/>
          </w:r>
          <w:r>
            <w:rPr>
              <w:color w:val="auto"/>
              <w:sz w:val="22"/>
              <w:szCs w:val="28"/>
              <w:highlight w:val="none"/>
            </w:rPr>
            <w:t>22</w:t>
          </w:r>
          <w:r>
            <w:rPr>
              <w:color w:val="auto"/>
              <w:sz w:val="22"/>
              <w:szCs w:val="28"/>
              <w:highlight w:val="none"/>
            </w:rPr>
            <w:fldChar w:fldCharType="end"/>
          </w:r>
          <w:r>
            <w:rPr>
              <w:color w:val="auto"/>
              <w:sz w:val="22"/>
              <w:szCs w:val="28"/>
              <w:highlight w:val="none"/>
            </w:rPr>
            <w:fldChar w:fldCharType="end"/>
          </w:r>
        </w:p>
        <w:p w14:paraId="34F70C8B">
          <w:pPr>
            <w:pStyle w:val="13"/>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"_Toc5430" </w:instrText>
          </w:r>
          <w:r>
            <w:rPr>
              <w:color w:val="auto"/>
              <w:highlight w:val="none"/>
            </w:rPr>
            <w:fldChar w:fldCharType="separate"/>
          </w:r>
          <w:r>
            <w:rPr>
              <w:rFonts w:hint="eastAsia" w:ascii="宋体" w:hAnsi="宋体" w:cs="宋体"/>
              <w:bCs/>
              <w:color w:val="auto"/>
              <w:sz w:val="22"/>
              <w:szCs w:val="32"/>
              <w:highlight w:val="none"/>
            </w:rPr>
            <w:t>报价文件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_Toc5430 \h </w:instrText>
          </w:r>
          <w:r>
            <w:rPr>
              <w:color w:val="auto"/>
              <w:sz w:val="22"/>
              <w:szCs w:val="28"/>
              <w:highlight w:val="none"/>
            </w:rPr>
            <w:fldChar w:fldCharType="separate"/>
          </w:r>
          <w:r>
            <w:rPr>
              <w:color w:val="auto"/>
              <w:sz w:val="22"/>
              <w:szCs w:val="28"/>
              <w:highlight w:val="none"/>
            </w:rPr>
            <w:t>22</w:t>
          </w:r>
          <w:r>
            <w:rPr>
              <w:color w:val="auto"/>
              <w:sz w:val="22"/>
              <w:szCs w:val="28"/>
              <w:highlight w:val="none"/>
            </w:rPr>
            <w:fldChar w:fldCharType="end"/>
          </w:r>
          <w:r>
            <w:rPr>
              <w:color w:val="auto"/>
              <w:sz w:val="22"/>
              <w:szCs w:val="28"/>
              <w:highlight w:val="none"/>
            </w:rPr>
            <w:fldChar w:fldCharType="end"/>
          </w:r>
        </w:p>
        <w:p w14:paraId="3C123008">
          <w:pPr>
            <w:pStyle w:val="2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"_Toc12035" </w:instrText>
          </w:r>
          <w:r>
            <w:rPr>
              <w:color w:val="auto"/>
              <w:highlight w:val="none"/>
            </w:rPr>
            <w:fldChar w:fldCharType="separate"/>
          </w:r>
          <w:r>
            <w:rPr>
              <w:rFonts w:hint="eastAsia" w:ascii="宋体" w:hAnsi="宋体" w:cs="宋体"/>
              <w:color w:val="auto"/>
              <w:sz w:val="22"/>
              <w:highlight w:val="none"/>
            </w:rPr>
            <w:t>附件二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_Toc12035 \h </w:instrText>
          </w:r>
          <w:r>
            <w:rPr>
              <w:color w:val="auto"/>
              <w:sz w:val="22"/>
              <w:szCs w:val="28"/>
              <w:highlight w:val="none"/>
            </w:rPr>
            <w:fldChar w:fldCharType="separate"/>
          </w:r>
          <w:r>
            <w:rPr>
              <w:color w:val="auto"/>
              <w:sz w:val="22"/>
              <w:szCs w:val="28"/>
              <w:highlight w:val="none"/>
            </w:rPr>
            <w:t>28</w:t>
          </w:r>
          <w:r>
            <w:rPr>
              <w:color w:val="auto"/>
              <w:sz w:val="22"/>
              <w:szCs w:val="28"/>
              <w:highlight w:val="none"/>
            </w:rPr>
            <w:fldChar w:fldCharType="end"/>
          </w:r>
          <w:r>
            <w:rPr>
              <w:color w:val="auto"/>
              <w:sz w:val="22"/>
              <w:szCs w:val="28"/>
              <w:highlight w:val="none"/>
            </w:rPr>
            <w:fldChar w:fldCharType="end"/>
          </w:r>
        </w:p>
        <w:p w14:paraId="30000E30">
          <w:pPr>
            <w:pStyle w:val="13"/>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"_Toc25309" </w:instrText>
          </w:r>
          <w:r>
            <w:rPr>
              <w:color w:val="auto"/>
              <w:highlight w:val="none"/>
            </w:rPr>
            <w:fldChar w:fldCharType="separate"/>
          </w:r>
          <w:r>
            <w:rPr>
              <w:rFonts w:hint="eastAsia" w:ascii="宋体" w:hAnsi="宋体" w:cs="宋体"/>
              <w:bCs/>
              <w:color w:val="auto"/>
              <w:sz w:val="22"/>
              <w:szCs w:val="32"/>
              <w:highlight w:val="none"/>
            </w:rPr>
            <w:t>资格证明文件</w:t>
          </w:r>
          <w:r>
            <w:rPr>
              <w:color w:val="auto"/>
              <w:sz w:val="22"/>
              <w:szCs w:val="28"/>
              <w:highlight w:val="none"/>
            </w:rPr>
            <w:tab/>
          </w:r>
          <w:r>
            <w:rPr>
              <w:rFonts w:hint="eastAsia"/>
              <w:color w:val="auto"/>
              <w:sz w:val="22"/>
              <w:szCs w:val="28"/>
              <w:highlight w:val="none"/>
            </w:rPr>
            <w:t>2</w:t>
          </w:r>
          <w:r>
            <w:rPr>
              <w:rFonts w:hint="eastAsia"/>
              <w:color w:val="auto"/>
              <w:sz w:val="22"/>
              <w:szCs w:val="28"/>
              <w:highlight w:val="none"/>
            </w:rPr>
            <w:fldChar w:fldCharType="end"/>
          </w:r>
          <w:r>
            <w:rPr>
              <w:rFonts w:hint="eastAsia"/>
              <w:color w:val="auto"/>
              <w:sz w:val="22"/>
              <w:szCs w:val="28"/>
              <w:highlight w:val="none"/>
            </w:rPr>
            <w:t>8</w:t>
          </w:r>
        </w:p>
        <w:p w14:paraId="0CA4E995">
          <w:pPr>
            <w:pStyle w:val="2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"_Toc31356" </w:instrText>
          </w:r>
          <w:r>
            <w:rPr>
              <w:color w:val="auto"/>
              <w:highlight w:val="none"/>
            </w:rPr>
            <w:fldChar w:fldCharType="separate"/>
          </w:r>
          <w:r>
            <w:rPr>
              <w:rFonts w:hint="eastAsia" w:ascii="宋体" w:hAnsi="宋体" w:cs="宋体"/>
              <w:bCs/>
              <w:color w:val="auto"/>
              <w:sz w:val="22"/>
              <w:highlight w:val="none"/>
            </w:rPr>
            <w:t>附件三</w:t>
          </w:r>
          <w:r>
            <w:rPr>
              <w:color w:val="auto"/>
              <w:sz w:val="22"/>
              <w:szCs w:val="28"/>
              <w:highlight w:val="none"/>
            </w:rPr>
            <w:tab/>
          </w:r>
          <w:r>
            <w:rPr>
              <w:rFonts w:hint="eastAsia"/>
              <w:color w:val="auto"/>
              <w:sz w:val="22"/>
              <w:szCs w:val="28"/>
              <w:highlight w:val="none"/>
            </w:rPr>
            <w:t>3</w:t>
          </w:r>
          <w:r>
            <w:rPr>
              <w:rFonts w:hint="eastAsia"/>
              <w:color w:val="auto"/>
              <w:sz w:val="22"/>
              <w:szCs w:val="28"/>
              <w:highlight w:val="none"/>
            </w:rPr>
            <w:fldChar w:fldCharType="end"/>
          </w:r>
          <w:r>
            <w:rPr>
              <w:rFonts w:hint="eastAsia"/>
              <w:color w:val="auto"/>
              <w:sz w:val="22"/>
              <w:szCs w:val="28"/>
              <w:highlight w:val="none"/>
            </w:rPr>
            <w:t>3</w:t>
          </w:r>
        </w:p>
        <w:p w14:paraId="0033F293">
          <w:pPr>
            <w:pStyle w:val="13"/>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"_Toc13639" </w:instrText>
          </w:r>
          <w:r>
            <w:rPr>
              <w:color w:val="auto"/>
              <w:highlight w:val="none"/>
            </w:rPr>
            <w:fldChar w:fldCharType="separate"/>
          </w:r>
          <w:r>
            <w:rPr>
              <w:rFonts w:hint="eastAsia" w:ascii="宋体" w:hAnsi="宋体" w:cs="宋体"/>
              <w:bCs/>
              <w:color w:val="auto"/>
              <w:sz w:val="22"/>
              <w:szCs w:val="32"/>
              <w:highlight w:val="none"/>
              <w:lang w:val="zh-CN"/>
            </w:rPr>
            <w:t>商务技术文件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_Toc13639 \h </w:instrText>
          </w:r>
          <w:r>
            <w:rPr>
              <w:color w:val="auto"/>
              <w:sz w:val="22"/>
              <w:szCs w:val="28"/>
              <w:highlight w:val="none"/>
            </w:rPr>
            <w:fldChar w:fldCharType="separate"/>
          </w:r>
          <w:r>
            <w:rPr>
              <w:color w:val="auto"/>
              <w:sz w:val="22"/>
              <w:szCs w:val="28"/>
              <w:highlight w:val="none"/>
            </w:rPr>
            <w:t>33</w:t>
          </w:r>
          <w:r>
            <w:rPr>
              <w:color w:val="auto"/>
              <w:sz w:val="22"/>
              <w:szCs w:val="28"/>
              <w:highlight w:val="none"/>
            </w:rPr>
            <w:fldChar w:fldCharType="end"/>
          </w:r>
          <w:r>
            <w:rPr>
              <w:color w:val="auto"/>
              <w:sz w:val="22"/>
              <w:szCs w:val="28"/>
              <w:highlight w:val="none"/>
            </w:rPr>
            <w:fldChar w:fldCharType="end"/>
          </w:r>
        </w:p>
        <w:p w14:paraId="0AF50B21">
          <w:pPr>
            <w:pStyle w:val="18"/>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"_Toc3381" </w:instrText>
          </w:r>
          <w:r>
            <w:rPr>
              <w:color w:val="auto"/>
              <w:highlight w:val="none"/>
            </w:rPr>
            <w:fldChar w:fldCharType="separate"/>
          </w:r>
          <w:r>
            <w:rPr>
              <w:rFonts w:hint="eastAsia" w:ascii="宋体" w:hAnsi="宋体" w:cs="宋体"/>
              <w:color w:val="auto"/>
              <w:sz w:val="22"/>
              <w:szCs w:val="28"/>
              <w:highlight w:val="none"/>
            </w:rPr>
            <w:t>第四部分 项目技术规范和服务要求</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_Toc3381 \h </w:instrText>
          </w:r>
          <w:r>
            <w:rPr>
              <w:color w:val="auto"/>
              <w:sz w:val="22"/>
              <w:szCs w:val="28"/>
              <w:highlight w:val="none"/>
            </w:rPr>
            <w:fldChar w:fldCharType="separate"/>
          </w:r>
          <w:r>
            <w:rPr>
              <w:color w:val="auto"/>
              <w:sz w:val="22"/>
              <w:szCs w:val="28"/>
              <w:highlight w:val="none"/>
            </w:rPr>
            <w:t>45</w:t>
          </w:r>
          <w:r>
            <w:rPr>
              <w:color w:val="auto"/>
              <w:sz w:val="22"/>
              <w:szCs w:val="28"/>
              <w:highlight w:val="none"/>
            </w:rPr>
            <w:fldChar w:fldCharType="end"/>
          </w:r>
          <w:r>
            <w:rPr>
              <w:color w:val="auto"/>
              <w:sz w:val="22"/>
              <w:szCs w:val="28"/>
              <w:highlight w:val="none"/>
            </w:rPr>
            <w:fldChar w:fldCharType="end"/>
          </w:r>
        </w:p>
        <w:p w14:paraId="4FF090C6">
          <w:pPr>
            <w:pStyle w:val="18"/>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"_Toc18194" </w:instrText>
          </w:r>
          <w:r>
            <w:rPr>
              <w:color w:val="auto"/>
              <w:highlight w:val="none"/>
            </w:rPr>
            <w:fldChar w:fldCharType="separate"/>
          </w:r>
          <w:r>
            <w:rPr>
              <w:rFonts w:hint="eastAsia" w:ascii="宋体" w:hAnsi="宋体" w:cs="宋体"/>
              <w:color w:val="auto"/>
              <w:sz w:val="22"/>
              <w:szCs w:val="28"/>
              <w:highlight w:val="none"/>
            </w:rPr>
            <w:t>第五部分   评标原则及方法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_Toc18194 \h </w:instrText>
          </w:r>
          <w:r>
            <w:rPr>
              <w:color w:val="auto"/>
              <w:sz w:val="22"/>
              <w:szCs w:val="28"/>
              <w:highlight w:val="none"/>
            </w:rPr>
            <w:fldChar w:fldCharType="separate"/>
          </w:r>
          <w:r>
            <w:rPr>
              <w:color w:val="auto"/>
              <w:sz w:val="22"/>
              <w:szCs w:val="28"/>
              <w:highlight w:val="none"/>
            </w:rPr>
            <w:t>45</w:t>
          </w:r>
          <w:r>
            <w:rPr>
              <w:color w:val="auto"/>
              <w:sz w:val="22"/>
              <w:szCs w:val="28"/>
              <w:highlight w:val="none"/>
            </w:rPr>
            <w:fldChar w:fldCharType="end"/>
          </w:r>
          <w:r>
            <w:rPr>
              <w:color w:val="auto"/>
              <w:sz w:val="22"/>
              <w:szCs w:val="28"/>
              <w:highlight w:val="none"/>
            </w:rPr>
            <w:fldChar w:fldCharType="end"/>
          </w:r>
        </w:p>
        <w:p w14:paraId="3CAA73C0">
          <w:pPr>
            <w:pStyle w:val="2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"_Toc15713" </w:instrText>
          </w:r>
          <w:r>
            <w:rPr>
              <w:color w:val="auto"/>
              <w:highlight w:val="none"/>
            </w:rPr>
            <w:fldChar w:fldCharType="separate"/>
          </w:r>
          <w:r>
            <w:rPr>
              <w:rFonts w:hint="eastAsia" w:ascii="宋体" w:hAnsi="宋体" w:cs="宋体"/>
              <w:color w:val="auto"/>
              <w:sz w:val="22"/>
              <w:highlight w:val="none"/>
            </w:rPr>
            <w:t>一、总 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_Toc15713 \h </w:instrText>
          </w:r>
          <w:r>
            <w:rPr>
              <w:color w:val="auto"/>
              <w:sz w:val="22"/>
              <w:szCs w:val="28"/>
              <w:highlight w:val="none"/>
            </w:rPr>
            <w:fldChar w:fldCharType="separate"/>
          </w:r>
          <w:r>
            <w:rPr>
              <w:color w:val="auto"/>
              <w:sz w:val="22"/>
              <w:szCs w:val="28"/>
              <w:highlight w:val="none"/>
            </w:rPr>
            <w:t>48</w:t>
          </w:r>
          <w:r>
            <w:rPr>
              <w:color w:val="auto"/>
              <w:sz w:val="22"/>
              <w:szCs w:val="28"/>
              <w:highlight w:val="none"/>
            </w:rPr>
            <w:fldChar w:fldCharType="end"/>
          </w:r>
          <w:r>
            <w:rPr>
              <w:color w:val="auto"/>
              <w:sz w:val="22"/>
              <w:szCs w:val="28"/>
              <w:highlight w:val="none"/>
            </w:rPr>
            <w:fldChar w:fldCharType="end"/>
          </w:r>
        </w:p>
        <w:p w14:paraId="36C5EE72">
          <w:pPr>
            <w:pStyle w:val="2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"_Toc23152" </w:instrText>
          </w:r>
          <w:r>
            <w:rPr>
              <w:color w:val="auto"/>
              <w:highlight w:val="none"/>
            </w:rPr>
            <w:fldChar w:fldCharType="separate"/>
          </w:r>
          <w:r>
            <w:rPr>
              <w:rFonts w:hint="eastAsia" w:ascii="宋体" w:hAnsi="宋体" w:cs="宋体"/>
              <w:color w:val="auto"/>
              <w:sz w:val="22"/>
              <w:highlight w:val="none"/>
            </w:rPr>
            <w:t>二、评标组织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_Toc23152 \h </w:instrText>
          </w:r>
          <w:r>
            <w:rPr>
              <w:color w:val="auto"/>
              <w:sz w:val="22"/>
              <w:szCs w:val="28"/>
              <w:highlight w:val="none"/>
            </w:rPr>
            <w:fldChar w:fldCharType="separate"/>
          </w:r>
          <w:r>
            <w:rPr>
              <w:color w:val="auto"/>
              <w:sz w:val="22"/>
              <w:szCs w:val="28"/>
              <w:highlight w:val="none"/>
            </w:rPr>
            <w:t>48</w:t>
          </w:r>
          <w:r>
            <w:rPr>
              <w:color w:val="auto"/>
              <w:sz w:val="22"/>
              <w:szCs w:val="28"/>
              <w:highlight w:val="none"/>
            </w:rPr>
            <w:fldChar w:fldCharType="end"/>
          </w:r>
          <w:r>
            <w:rPr>
              <w:color w:val="auto"/>
              <w:sz w:val="22"/>
              <w:szCs w:val="28"/>
              <w:highlight w:val="none"/>
            </w:rPr>
            <w:fldChar w:fldCharType="end"/>
          </w:r>
        </w:p>
        <w:p w14:paraId="5A6C8C26">
          <w:pPr>
            <w:pStyle w:val="2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"_Toc67" </w:instrText>
          </w:r>
          <w:r>
            <w:rPr>
              <w:color w:val="auto"/>
              <w:highlight w:val="none"/>
            </w:rPr>
            <w:fldChar w:fldCharType="separate"/>
          </w:r>
          <w:r>
            <w:rPr>
              <w:rFonts w:hint="eastAsia" w:ascii="宋体" w:hAnsi="宋体" w:cs="宋体"/>
              <w:color w:val="auto"/>
              <w:sz w:val="22"/>
              <w:highlight w:val="none"/>
            </w:rPr>
            <w:t>三、评标程序</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_Toc67 \h </w:instrText>
          </w:r>
          <w:r>
            <w:rPr>
              <w:color w:val="auto"/>
              <w:sz w:val="22"/>
              <w:szCs w:val="28"/>
              <w:highlight w:val="none"/>
            </w:rPr>
            <w:fldChar w:fldCharType="separate"/>
          </w:r>
          <w:r>
            <w:rPr>
              <w:color w:val="auto"/>
              <w:sz w:val="22"/>
              <w:szCs w:val="28"/>
              <w:highlight w:val="none"/>
            </w:rPr>
            <w:t>48</w:t>
          </w:r>
          <w:r>
            <w:rPr>
              <w:color w:val="auto"/>
              <w:sz w:val="22"/>
              <w:szCs w:val="28"/>
              <w:highlight w:val="none"/>
            </w:rPr>
            <w:fldChar w:fldCharType="end"/>
          </w:r>
          <w:r>
            <w:rPr>
              <w:color w:val="auto"/>
              <w:sz w:val="22"/>
              <w:szCs w:val="28"/>
              <w:highlight w:val="none"/>
            </w:rPr>
            <w:fldChar w:fldCharType="end"/>
          </w:r>
        </w:p>
        <w:p w14:paraId="0954A1F0">
          <w:pPr>
            <w:pStyle w:val="2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"_Toc24825" </w:instrText>
          </w:r>
          <w:r>
            <w:rPr>
              <w:color w:val="auto"/>
              <w:highlight w:val="none"/>
            </w:rPr>
            <w:fldChar w:fldCharType="separate"/>
          </w:r>
          <w:r>
            <w:rPr>
              <w:rFonts w:hint="eastAsia" w:ascii="宋体" w:hAnsi="宋体" w:cs="宋体"/>
              <w:color w:val="auto"/>
              <w:sz w:val="22"/>
              <w:highlight w:val="none"/>
            </w:rPr>
            <w:t>四、评标办法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_Toc24825 \h </w:instrText>
          </w:r>
          <w:r>
            <w:rPr>
              <w:color w:val="auto"/>
              <w:sz w:val="22"/>
              <w:szCs w:val="28"/>
              <w:highlight w:val="none"/>
            </w:rPr>
            <w:fldChar w:fldCharType="separate"/>
          </w:r>
          <w:r>
            <w:rPr>
              <w:color w:val="auto"/>
              <w:sz w:val="22"/>
              <w:szCs w:val="28"/>
              <w:highlight w:val="none"/>
            </w:rPr>
            <w:t>48</w:t>
          </w:r>
          <w:r>
            <w:rPr>
              <w:color w:val="auto"/>
              <w:sz w:val="22"/>
              <w:szCs w:val="28"/>
              <w:highlight w:val="none"/>
            </w:rPr>
            <w:fldChar w:fldCharType="end"/>
          </w:r>
          <w:r>
            <w:rPr>
              <w:color w:val="auto"/>
              <w:sz w:val="22"/>
              <w:szCs w:val="28"/>
              <w:highlight w:val="none"/>
            </w:rPr>
            <w:fldChar w:fldCharType="end"/>
          </w:r>
        </w:p>
        <w:p w14:paraId="60A5ED86">
          <w:pPr>
            <w:pStyle w:val="2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"_Toc11450" </w:instrText>
          </w:r>
          <w:r>
            <w:rPr>
              <w:color w:val="auto"/>
              <w:highlight w:val="none"/>
            </w:rPr>
            <w:fldChar w:fldCharType="separate"/>
          </w:r>
          <w:r>
            <w:rPr>
              <w:rFonts w:hint="eastAsia" w:ascii="宋体" w:hAnsi="宋体" w:cs="宋体"/>
              <w:color w:val="auto"/>
              <w:sz w:val="22"/>
              <w:highlight w:val="none"/>
            </w:rPr>
            <w:t>五、 评分细则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_Toc11450 \h </w:instrText>
          </w:r>
          <w:r>
            <w:rPr>
              <w:color w:val="auto"/>
              <w:sz w:val="22"/>
              <w:szCs w:val="28"/>
              <w:highlight w:val="none"/>
            </w:rPr>
            <w:fldChar w:fldCharType="separate"/>
          </w:r>
          <w:r>
            <w:rPr>
              <w:color w:val="auto"/>
              <w:sz w:val="22"/>
              <w:szCs w:val="28"/>
              <w:highlight w:val="none"/>
            </w:rPr>
            <w:t>48</w:t>
          </w:r>
          <w:r>
            <w:rPr>
              <w:color w:val="auto"/>
              <w:sz w:val="22"/>
              <w:szCs w:val="28"/>
              <w:highlight w:val="none"/>
            </w:rPr>
            <w:fldChar w:fldCharType="end"/>
          </w:r>
          <w:r>
            <w:rPr>
              <w:color w:val="auto"/>
              <w:sz w:val="22"/>
              <w:szCs w:val="28"/>
              <w:highlight w:val="none"/>
            </w:rPr>
            <w:fldChar w:fldCharType="end"/>
          </w:r>
        </w:p>
        <w:p w14:paraId="565FA4E1">
          <w:pPr>
            <w:pStyle w:val="2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"_Toc4727" </w:instrText>
          </w:r>
          <w:r>
            <w:rPr>
              <w:color w:val="auto"/>
              <w:highlight w:val="none"/>
            </w:rPr>
            <w:fldChar w:fldCharType="separate"/>
          </w:r>
          <w:r>
            <w:rPr>
              <w:rFonts w:hint="eastAsia" w:ascii="宋体" w:hAnsi="宋体" w:cs="宋体"/>
              <w:bCs/>
              <w:color w:val="auto"/>
              <w:sz w:val="22"/>
              <w:highlight w:val="none"/>
            </w:rPr>
            <w:t>六、定标办法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_Toc4727 \h </w:instrText>
          </w:r>
          <w:r>
            <w:rPr>
              <w:color w:val="auto"/>
              <w:sz w:val="22"/>
              <w:szCs w:val="28"/>
              <w:highlight w:val="none"/>
            </w:rPr>
            <w:fldChar w:fldCharType="separate"/>
          </w:r>
          <w:r>
            <w:rPr>
              <w:color w:val="auto"/>
              <w:sz w:val="22"/>
              <w:szCs w:val="28"/>
              <w:highlight w:val="none"/>
            </w:rPr>
            <w:t>50</w:t>
          </w:r>
          <w:r>
            <w:rPr>
              <w:color w:val="auto"/>
              <w:sz w:val="22"/>
              <w:szCs w:val="28"/>
              <w:highlight w:val="none"/>
            </w:rPr>
            <w:fldChar w:fldCharType="end"/>
          </w:r>
          <w:r>
            <w:rPr>
              <w:color w:val="auto"/>
              <w:sz w:val="22"/>
              <w:szCs w:val="28"/>
              <w:highlight w:val="none"/>
            </w:rPr>
            <w:fldChar w:fldCharType="end"/>
          </w:r>
        </w:p>
        <w:p w14:paraId="1FD13660">
          <w:pPr>
            <w:pStyle w:val="2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"_Toc3629" </w:instrText>
          </w:r>
          <w:r>
            <w:rPr>
              <w:color w:val="auto"/>
              <w:highlight w:val="none"/>
            </w:rPr>
            <w:fldChar w:fldCharType="separate"/>
          </w:r>
          <w:r>
            <w:rPr>
              <w:rFonts w:hint="eastAsia" w:ascii="宋体" w:hAnsi="宋体" w:cs="宋体"/>
              <w:color w:val="auto"/>
              <w:sz w:val="22"/>
              <w:highlight w:val="none"/>
            </w:rPr>
            <w:t>七、投标人义务</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_Toc3629 \h </w:instrText>
          </w:r>
          <w:r>
            <w:rPr>
              <w:color w:val="auto"/>
              <w:sz w:val="22"/>
              <w:szCs w:val="28"/>
              <w:highlight w:val="none"/>
            </w:rPr>
            <w:fldChar w:fldCharType="separate"/>
          </w:r>
          <w:r>
            <w:rPr>
              <w:color w:val="auto"/>
              <w:sz w:val="22"/>
              <w:szCs w:val="28"/>
              <w:highlight w:val="none"/>
            </w:rPr>
            <w:t>51</w:t>
          </w:r>
          <w:r>
            <w:rPr>
              <w:color w:val="auto"/>
              <w:sz w:val="22"/>
              <w:szCs w:val="28"/>
              <w:highlight w:val="none"/>
            </w:rPr>
            <w:fldChar w:fldCharType="end"/>
          </w:r>
          <w:r>
            <w:rPr>
              <w:color w:val="auto"/>
              <w:sz w:val="22"/>
              <w:szCs w:val="28"/>
              <w:highlight w:val="none"/>
            </w:rPr>
            <w:fldChar w:fldCharType="end"/>
          </w:r>
        </w:p>
        <w:p w14:paraId="311456E8">
          <w:pPr>
            <w:spacing w:line="360" w:lineRule="auto"/>
            <w:ind w:firstLine="1870" w:firstLineChars="850"/>
            <w:rPr>
              <w:rFonts w:ascii="宋体" w:hAnsi="宋体" w:cs="宋体"/>
              <w:b/>
              <w:color w:val="auto"/>
              <w:sz w:val="36"/>
              <w:szCs w:val="36"/>
              <w:highlight w:val="none"/>
            </w:rPr>
          </w:pPr>
          <w:r>
            <w:rPr>
              <w:rFonts w:hint="eastAsia" w:ascii="宋体" w:hAnsi="宋体" w:cs="宋体"/>
              <w:color w:val="auto"/>
              <w:sz w:val="22"/>
              <w:szCs w:val="40"/>
              <w:highlight w:val="none"/>
            </w:rPr>
            <w:fldChar w:fldCharType="end"/>
          </w:r>
        </w:p>
      </w:sdtContent>
    </w:sdt>
    <w:p w14:paraId="2097B0C0">
      <w:pPr>
        <w:spacing w:line="360" w:lineRule="auto"/>
        <w:jc w:val="center"/>
        <w:rPr>
          <w:rFonts w:ascii="宋体" w:hAnsi="宋体" w:cs="宋体"/>
          <w:b/>
          <w:color w:val="auto"/>
          <w:sz w:val="22"/>
          <w:szCs w:val="22"/>
          <w:highlight w:val="none"/>
        </w:rPr>
      </w:pPr>
    </w:p>
    <w:p w14:paraId="70CB3DCF">
      <w:pPr>
        <w:pStyle w:val="2"/>
        <w:jc w:val="center"/>
        <w:rPr>
          <w:color w:val="auto"/>
          <w:highlight w:val="none"/>
        </w:rPr>
      </w:pPr>
      <w:bookmarkStart w:id="0" w:name="_Toc32649"/>
      <w:bookmarkStart w:id="1" w:name="_Toc6599"/>
      <w:r>
        <w:rPr>
          <w:rFonts w:hint="eastAsia"/>
          <w:color w:val="auto"/>
          <w:highlight w:val="none"/>
        </w:rPr>
        <w:t>招 标 公 告</w:t>
      </w:r>
      <w:bookmarkEnd w:id="0"/>
      <w:bookmarkEnd w:id="1"/>
    </w:p>
    <w:p w14:paraId="31E52B66">
      <w:pPr>
        <w:tabs>
          <w:tab w:val="left" w:pos="360"/>
        </w:tabs>
        <w:spacing w:line="460" w:lineRule="exact"/>
        <w:ind w:firstLine="552" w:firstLineChars="250"/>
        <w:rPr>
          <w:rFonts w:ascii="宋体" w:hAnsi="宋体" w:cs="宋体"/>
          <w:b/>
          <w:bCs/>
          <w:color w:val="auto"/>
          <w:sz w:val="22"/>
          <w:highlight w:val="none"/>
        </w:rPr>
      </w:pPr>
      <w:r>
        <w:rPr>
          <w:rFonts w:hint="eastAsia" w:ascii="宋体" w:hAnsi="宋体" w:cs="宋体"/>
          <w:b/>
          <w:bCs/>
          <w:color w:val="auto"/>
          <w:sz w:val="22"/>
          <w:highlight w:val="none"/>
        </w:rPr>
        <w:t>项目概况</w:t>
      </w:r>
    </w:p>
    <w:p w14:paraId="036C8ED2">
      <w:pPr>
        <w:tabs>
          <w:tab w:val="left" w:pos="360"/>
        </w:tabs>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远程胎心监护招标项目的潜在投标人应在浙江政府采购网获取（下载）招标文件，并于</w:t>
      </w:r>
      <w:r>
        <w:rPr>
          <w:rFonts w:hint="eastAsia" w:ascii="宋体" w:hAnsi="宋体" w:cs="宋体"/>
          <w:color w:val="auto"/>
          <w:sz w:val="22"/>
          <w:highlight w:val="none"/>
          <w:lang w:eastAsia="zh-CN"/>
        </w:rPr>
        <w:t>2025年5月28日09:30</w:t>
      </w:r>
      <w:r>
        <w:rPr>
          <w:rFonts w:hint="eastAsia" w:ascii="宋体" w:hAnsi="宋体" w:cs="宋体"/>
          <w:color w:val="auto"/>
          <w:sz w:val="22"/>
          <w:highlight w:val="none"/>
        </w:rPr>
        <w:t>（北京时间）前递交（上传）投标文件。</w:t>
      </w:r>
    </w:p>
    <w:p w14:paraId="5C681EE0">
      <w:pPr>
        <w:tabs>
          <w:tab w:val="left" w:pos="360"/>
        </w:tabs>
        <w:spacing w:line="460" w:lineRule="exact"/>
        <w:ind w:firstLine="552" w:firstLineChars="250"/>
        <w:rPr>
          <w:rFonts w:ascii="宋体" w:hAnsi="宋体" w:cs="宋体"/>
          <w:b/>
          <w:bCs/>
          <w:color w:val="auto"/>
          <w:sz w:val="22"/>
          <w:highlight w:val="none"/>
        </w:rPr>
      </w:pPr>
      <w:r>
        <w:rPr>
          <w:rFonts w:hint="eastAsia" w:ascii="宋体" w:hAnsi="宋体" w:cs="宋体"/>
          <w:b/>
          <w:bCs/>
          <w:color w:val="auto"/>
          <w:sz w:val="22"/>
          <w:highlight w:val="none"/>
        </w:rPr>
        <w:t>一、项目基本情况</w:t>
      </w:r>
    </w:p>
    <w:p w14:paraId="666128F7">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项目编号：</w:t>
      </w:r>
      <w:r>
        <w:rPr>
          <w:rFonts w:hint="eastAsia" w:ascii="宋体" w:hAnsi="宋体" w:cs="宋体"/>
          <w:color w:val="auto"/>
          <w:sz w:val="22"/>
          <w:highlight w:val="none"/>
          <w:lang w:eastAsia="zh-CN"/>
        </w:rPr>
        <w:t>WZLCZB（Z）-2025-05002</w:t>
      </w:r>
      <w:r>
        <w:rPr>
          <w:rFonts w:hint="eastAsia" w:ascii="宋体" w:hAnsi="宋体" w:cs="宋体"/>
          <w:color w:val="auto"/>
          <w:sz w:val="22"/>
          <w:highlight w:val="none"/>
        </w:rPr>
        <w:t xml:space="preserve"> </w:t>
      </w:r>
    </w:p>
    <w:p w14:paraId="78402A5D">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项目名称：远程胎心监护</w:t>
      </w:r>
    </w:p>
    <w:tbl>
      <w:tblPr>
        <w:tblStyle w:val="24"/>
        <w:tblW w:w="95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4"/>
        <w:gridCol w:w="1975"/>
        <w:gridCol w:w="1100"/>
        <w:gridCol w:w="1921"/>
        <w:gridCol w:w="3729"/>
      </w:tblGrid>
      <w:tr w14:paraId="14D87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5045CF7">
            <w:pPr>
              <w:tabs>
                <w:tab w:val="left" w:pos="360"/>
              </w:tabs>
              <w:spacing w:line="460" w:lineRule="exact"/>
              <w:jc w:val="center"/>
              <w:rPr>
                <w:rFonts w:ascii="宋体" w:hAnsi="宋体" w:cs="宋体"/>
                <w:b/>
                <w:bCs/>
                <w:color w:val="auto"/>
                <w:sz w:val="22"/>
                <w:szCs w:val="22"/>
                <w:highlight w:val="none"/>
                <w:shd w:val="clear" w:color="auto" w:fill="FFFFFF"/>
              </w:rPr>
            </w:pPr>
            <w:r>
              <w:rPr>
                <w:rFonts w:hint="eastAsia" w:ascii="宋体" w:hAnsi="宋体" w:cs="宋体"/>
                <w:b/>
                <w:bCs/>
                <w:color w:val="auto"/>
                <w:sz w:val="22"/>
                <w:szCs w:val="22"/>
                <w:highlight w:val="none"/>
                <w:shd w:val="clear" w:color="auto" w:fill="FFFFFF"/>
              </w:rPr>
              <w:t>序号</w:t>
            </w:r>
          </w:p>
        </w:tc>
        <w:tc>
          <w:tcPr>
            <w:tcW w:w="1975" w:type="dxa"/>
            <w:tcBorders>
              <w:top w:val="single" w:color="auto" w:sz="4" w:space="0"/>
              <w:left w:val="single" w:color="auto" w:sz="4" w:space="0"/>
              <w:bottom w:val="single" w:color="auto" w:sz="4" w:space="0"/>
              <w:right w:val="single" w:color="auto" w:sz="4" w:space="0"/>
            </w:tcBorders>
            <w:vAlign w:val="center"/>
          </w:tcPr>
          <w:p w14:paraId="4DAB2FCD">
            <w:pPr>
              <w:tabs>
                <w:tab w:val="left" w:pos="360"/>
              </w:tabs>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名称</w:t>
            </w:r>
          </w:p>
        </w:tc>
        <w:tc>
          <w:tcPr>
            <w:tcW w:w="1100" w:type="dxa"/>
            <w:tcBorders>
              <w:top w:val="single" w:color="auto" w:sz="4" w:space="0"/>
              <w:left w:val="single" w:color="auto" w:sz="4" w:space="0"/>
              <w:bottom w:val="single" w:color="auto" w:sz="4" w:space="0"/>
              <w:right w:val="single" w:color="auto" w:sz="4" w:space="0"/>
            </w:tcBorders>
            <w:vAlign w:val="center"/>
          </w:tcPr>
          <w:p w14:paraId="376656AB">
            <w:pPr>
              <w:tabs>
                <w:tab w:val="left" w:pos="360"/>
              </w:tabs>
              <w:spacing w:line="460" w:lineRule="exact"/>
              <w:jc w:val="center"/>
              <w:rPr>
                <w:rFonts w:ascii="宋体" w:hAnsi="宋体" w:cs="宋体"/>
                <w:b/>
                <w:bCs/>
                <w:color w:val="auto"/>
                <w:sz w:val="22"/>
                <w:szCs w:val="22"/>
                <w:highlight w:val="none"/>
                <w:shd w:val="clear" w:color="auto" w:fill="FFFFFF"/>
              </w:rPr>
            </w:pPr>
            <w:r>
              <w:rPr>
                <w:rFonts w:hint="eastAsia" w:ascii="宋体" w:hAnsi="宋体" w:cs="宋体"/>
                <w:b/>
                <w:bCs/>
                <w:color w:val="auto"/>
                <w:sz w:val="22"/>
                <w:szCs w:val="22"/>
                <w:highlight w:val="none"/>
              </w:rPr>
              <w:t>单位</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14:paraId="3DFC41DA">
            <w:pPr>
              <w:tabs>
                <w:tab w:val="left" w:pos="360"/>
              </w:tabs>
              <w:spacing w:line="460" w:lineRule="exact"/>
              <w:jc w:val="center"/>
              <w:rPr>
                <w:rFonts w:ascii="宋体" w:hAnsi="宋体" w:cs="宋体"/>
                <w:b/>
                <w:bCs/>
                <w:color w:val="auto"/>
                <w:sz w:val="22"/>
                <w:szCs w:val="22"/>
                <w:highlight w:val="none"/>
              </w:rPr>
            </w:pPr>
            <w:r>
              <w:rPr>
                <w:rFonts w:hint="eastAsia" w:ascii="宋体" w:hAnsi="宋体" w:cs="宋体"/>
                <w:b/>
                <w:bCs/>
                <w:color w:val="auto"/>
                <w:sz w:val="22"/>
                <w:highlight w:val="none"/>
              </w:rPr>
              <w:t>预算金额（万元）</w:t>
            </w:r>
          </w:p>
        </w:tc>
        <w:tc>
          <w:tcPr>
            <w:tcW w:w="3729" w:type="dxa"/>
            <w:tcBorders>
              <w:top w:val="single" w:color="auto" w:sz="4" w:space="0"/>
              <w:left w:val="single" w:color="auto" w:sz="4" w:space="0"/>
              <w:bottom w:val="single" w:color="auto" w:sz="4" w:space="0"/>
              <w:right w:val="single" w:color="auto" w:sz="4" w:space="0"/>
            </w:tcBorders>
            <w:vAlign w:val="center"/>
          </w:tcPr>
          <w:p w14:paraId="2060FA6B">
            <w:pPr>
              <w:widowControl/>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简要技术要求、用途</w:t>
            </w:r>
          </w:p>
        </w:tc>
      </w:tr>
      <w:tr w14:paraId="282E7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8EED826">
            <w:pPr>
              <w:tabs>
                <w:tab w:val="left" w:pos="360"/>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975" w:type="dxa"/>
            <w:tcBorders>
              <w:top w:val="single" w:color="auto" w:sz="4" w:space="0"/>
              <w:left w:val="single" w:color="auto" w:sz="4" w:space="0"/>
              <w:bottom w:val="single" w:color="auto" w:sz="4" w:space="0"/>
              <w:right w:val="single" w:color="auto" w:sz="4" w:space="0"/>
            </w:tcBorders>
            <w:vAlign w:val="center"/>
          </w:tcPr>
          <w:p w14:paraId="2DDB5A65">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远程胎心监护</w:t>
            </w:r>
          </w:p>
        </w:tc>
        <w:tc>
          <w:tcPr>
            <w:tcW w:w="1100" w:type="dxa"/>
            <w:tcBorders>
              <w:top w:val="single" w:color="auto" w:sz="4" w:space="0"/>
              <w:left w:val="single" w:color="auto" w:sz="4" w:space="0"/>
              <w:bottom w:val="single" w:color="auto" w:sz="4" w:space="0"/>
              <w:right w:val="single" w:color="auto" w:sz="4" w:space="0"/>
            </w:tcBorders>
            <w:vAlign w:val="center"/>
          </w:tcPr>
          <w:p w14:paraId="3ACE1D92">
            <w:pPr>
              <w:tabs>
                <w:tab w:val="left" w:pos="360"/>
              </w:tabs>
              <w:spacing w:line="460" w:lineRule="exact"/>
              <w:jc w:val="center"/>
              <w:rPr>
                <w:rFonts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1项</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14:paraId="65F80999">
            <w:pPr>
              <w:tabs>
                <w:tab w:val="left" w:pos="360"/>
              </w:tabs>
              <w:spacing w:line="460" w:lineRule="exact"/>
              <w:jc w:val="center"/>
              <w:rPr>
                <w:rFonts w:hint="eastAsia" w:ascii="宋体" w:hAnsi="宋体" w:eastAsia="宋体" w:cs="宋体"/>
                <w:color w:val="auto"/>
                <w:sz w:val="22"/>
                <w:szCs w:val="22"/>
                <w:highlight w:val="none"/>
                <w:shd w:val="clear" w:color="auto" w:fill="FFFFFF"/>
                <w:lang w:eastAsia="zh-CN"/>
              </w:rPr>
            </w:pPr>
            <w:r>
              <w:rPr>
                <w:rFonts w:hint="eastAsia" w:ascii="宋体" w:hAnsi="宋体" w:cs="宋体"/>
                <w:color w:val="auto"/>
                <w:sz w:val="22"/>
                <w:szCs w:val="22"/>
                <w:highlight w:val="none"/>
                <w:shd w:val="clear" w:color="auto" w:fill="FFFFFF"/>
                <w:lang w:eastAsia="zh-CN"/>
              </w:rPr>
              <w:t>100</w:t>
            </w:r>
          </w:p>
        </w:tc>
        <w:tc>
          <w:tcPr>
            <w:tcW w:w="3729" w:type="dxa"/>
            <w:tcBorders>
              <w:top w:val="single" w:color="auto" w:sz="4" w:space="0"/>
              <w:left w:val="single" w:color="auto" w:sz="4" w:space="0"/>
              <w:right w:val="single" w:color="auto" w:sz="4" w:space="0"/>
            </w:tcBorders>
            <w:vAlign w:val="center"/>
          </w:tcPr>
          <w:p w14:paraId="6AF10EAE">
            <w:pPr>
              <w:shd w:val="clear" w:color="auto" w:fill="FFFFFF"/>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详见招标文件第四部分“项目技术规范和服务要求”</w:t>
            </w:r>
          </w:p>
        </w:tc>
      </w:tr>
    </w:tbl>
    <w:p w14:paraId="52D5C20F">
      <w:pPr>
        <w:tabs>
          <w:tab w:val="left" w:pos="360"/>
        </w:tabs>
        <w:spacing w:line="460" w:lineRule="exact"/>
        <w:ind w:firstLine="442" w:firstLineChars="200"/>
        <w:rPr>
          <w:rFonts w:ascii="宋体" w:hAnsi="宋体" w:cs="宋体"/>
          <w:b/>
          <w:bCs/>
          <w:color w:val="auto"/>
          <w:sz w:val="22"/>
          <w:highlight w:val="none"/>
        </w:rPr>
      </w:pPr>
      <w:r>
        <w:rPr>
          <w:rFonts w:hint="eastAsia" w:ascii="宋体" w:hAnsi="宋体" w:cs="宋体"/>
          <w:b/>
          <w:bCs/>
          <w:color w:val="auto"/>
          <w:sz w:val="22"/>
          <w:szCs w:val="22"/>
          <w:highlight w:val="none"/>
        </w:rPr>
        <w:t>▲服务费用最高限价为26元/天/人（台），</w:t>
      </w:r>
      <w:r>
        <w:rPr>
          <w:rFonts w:hint="eastAsia" w:ascii="宋体" w:hAnsi="宋体" w:cs="宋体"/>
          <w:b/>
          <w:color w:val="auto"/>
          <w:sz w:val="22"/>
          <w:szCs w:val="22"/>
          <w:highlight w:val="none"/>
        </w:rPr>
        <w:t>如投标人报价超过最高限价按无效标处理。</w:t>
      </w:r>
    </w:p>
    <w:p w14:paraId="78B72C29">
      <w:pPr>
        <w:tabs>
          <w:tab w:val="left" w:pos="360"/>
        </w:tabs>
        <w:spacing w:line="460" w:lineRule="exact"/>
        <w:ind w:firstLine="552" w:firstLineChars="250"/>
        <w:rPr>
          <w:rFonts w:ascii="宋体" w:hAnsi="宋体" w:cs="宋体"/>
          <w:b/>
          <w:bCs/>
          <w:color w:val="auto"/>
          <w:sz w:val="22"/>
          <w:highlight w:val="none"/>
        </w:rPr>
      </w:pPr>
      <w:r>
        <w:rPr>
          <w:rFonts w:hint="eastAsia" w:ascii="宋体" w:hAnsi="宋体" w:cs="宋体"/>
          <w:b/>
          <w:bCs/>
          <w:color w:val="auto"/>
          <w:sz w:val="22"/>
          <w:highlight w:val="none"/>
        </w:rPr>
        <w:t>二、申请人的资格要求：</w:t>
      </w:r>
    </w:p>
    <w:p w14:paraId="2E0AF94D">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1、符合《中华人民共和国政府采购法》第二十二条的规定：</w:t>
      </w:r>
    </w:p>
    <w:p w14:paraId="19592C46">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（1）具有独立承担民事责任的能力；</w:t>
      </w:r>
    </w:p>
    <w:p w14:paraId="7F734BB6">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（2）具有良好的商业信誉和健全的财务会计制度；</w:t>
      </w:r>
    </w:p>
    <w:p w14:paraId="71934284">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（3）具有履行合同所必需的场地、设备和专业技术能力；</w:t>
      </w:r>
    </w:p>
    <w:p w14:paraId="181BA4EA">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（4）有依法缴纳税收和社会保障资金的良好记录；</w:t>
      </w:r>
    </w:p>
    <w:p w14:paraId="7066962E">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（5）参加采购活动前三年内，在经营活动中没有重大违法记录；</w:t>
      </w:r>
    </w:p>
    <w:p w14:paraId="24A1107F">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2、投标人特定资格条件：</w:t>
      </w:r>
    </w:p>
    <w:p w14:paraId="65459DCD">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（1）未被“信用中国”（www.creditchina.gov.cn）、中国政府采购网（www.ccgp.gov.cn）列入失信被执行人、重大税收违法案件当事人名单、政府采购严重违法失信行为记录名单；</w:t>
      </w:r>
    </w:p>
    <w:p w14:paraId="0C595D18">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（2）单位负责人为同一人或者存在直接控股、管理关系的不同供应商，不得参加同一合同项下的采购活动。违反该款规定的，相关投标均无效；</w:t>
      </w:r>
    </w:p>
    <w:p w14:paraId="10D5FA01">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（3）不允许联合体投标。</w:t>
      </w:r>
    </w:p>
    <w:p w14:paraId="4714AA78">
      <w:pPr>
        <w:tabs>
          <w:tab w:val="left" w:pos="360"/>
        </w:tabs>
        <w:spacing w:line="460" w:lineRule="exact"/>
        <w:ind w:firstLine="552" w:firstLineChars="250"/>
        <w:rPr>
          <w:rFonts w:ascii="宋体" w:hAnsi="宋体" w:cs="宋体"/>
          <w:b/>
          <w:bCs/>
          <w:color w:val="auto"/>
          <w:sz w:val="22"/>
          <w:highlight w:val="none"/>
        </w:rPr>
      </w:pPr>
      <w:r>
        <w:rPr>
          <w:rFonts w:hint="eastAsia" w:ascii="宋体" w:hAnsi="宋体" w:cs="宋体"/>
          <w:b/>
          <w:bCs/>
          <w:color w:val="auto"/>
          <w:sz w:val="22"/>
          <w:highlight w:val="none"/>
        </w:rPr>
        <w:t>三、获取招标文件</w:t>
      </w:r>
    </w:p>
    <w:p w14:paraId="22E72909">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时间：</w:t>
      </w:r>
      <w:r>
        <w:rPr>
          <w:rFonts w:hint="eastAsia" w:ascii="宋体" w:hAnsi="宋体" w:cs="宋体"/>
          <w:color w:val="auto"/>
          <w:sz w:val="22"/>
          <w:highlight w:val="none"/>
          <w:lang w:val="en-US" w:eastAsia="zh-CN"/>
        </w:rPr>
        <w:t>即日起</w:t>
      </w:r>
      <w:r>
        <w:rPr>
          <w:rFonts w:hint="eastAsia" w:ascii="宋体" w:hAnsi="宋体" w:cs="宋体"/>
          <w:color w:val="auto"/>
          <w:sz w:val="22"/>
          <w:highlight w:val="none"/>
        </w:rPr>
        <w:t>至</w:t>
      </w:r>
      <w:r>
        <w:rPr>
          <w:rFonts w:hint="eastAsia" w:ascii="宋体" w:hAnsi="宋体" w:cs="宋体"/>
          <w:color w:val="auto"/>
          <w:sz w:val="22"/>
          <w:highlight w:val="none"/>
          <w:lang w:eastAsia="zh-CN"/>
        </w:rPr>
        <w:t>2025年</w:t>
      </w:r>
      <w:r>
        <w:rPr>
          <w:rFonts w:hint="eastAsia" w:ascii="宋体" w:hAnsi="宋体" w:cs="宋体"/>
          <w:color w:val="auto"/>
          <w:sz w:val="22"/>
          <w:highlight w:val="none"/>
          <w:lang w:val="en-US" w:eastAsia="zh-CN"/>
        </w:rPr>
        <w:t>5</w:t>
      </w:r>
      <w:r>
        <w:rPr>
          <w:rFonts w:hint="eastAsia" w:ascii="宋体" w:hAnsi="宋体" w:cs="宋体"/>
          <w:color w:val="auto"/>
          <w:sz w:val="22"/>
          <w:highlight w:val="none"/>
          <w:lang w:eastAsia="zh-CN"/>
        </w:rPr>
        <w:t>月</w:t>
      </w:r>
      <w:r>
        <w:rPr>
          <w:rFonts w:hint="eastAsia" w:ascii="宋体" w:hAnsi="宋体" w:cs="宋体"/>
          <w:color w:val="auto"/>
          <w:sz w:val="22"/>
          <w:highlight w:val="none"/>
          <w:lang w:val="en-US" w:eastAsia="zh-CN"/>
        </w:rPr>
        <w:t>28</w:t>
      </w:r>
      <w:r>
        <w:rPr>
          <w:rFonts w:hint="eastAsia" w:ascii="宋体" w:hAnsi="宋体" w:cs="宋体"/>
          <w:color w:val="auto"/>
          <w:sz w:val="22"/>
          <w:highlight w:val="none"/>
          <w:lang w:eastAsia="zh-CN"/>
        </w:rPr>
        <w:t>日</w:t>
      </w:r>
      <w:r>
        <w:rPr>
          <w:rFonts w:hint="eastAsia" w:ascii="宋体" w:hAnsi="宋体" w:cs="宋体"/>
          <w:color w:val="auto"/>
          <w:sz w:val="22"/>
          <w:highlight w:val="none"/>
        </w:rPr>
        <w:t>，每天上午08:30至11:30，下午14:00至17:30（北京时间，线上获取法定节假日均可，线下获取文件法定节假日除外）</w:t>
      </w:r>
    </w:p>
    <w:p w14:paraId="7FA09CEE">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地点（网址）：</w:t>
      </w:r>
      <w:r>
        <w:rPr>
          <w:rFonts w:hint="eastAsia" w:ascii="宋体" w:hAnsi="宋体" w:cs="宋体"/>
          <w:color w:val="auto"/>
          <w:sz w:val="22"/>
          <w:highlight w:val="none"/>
          <w:lang w:eastAsia="zh-CN"/>
        </w:rPr>
        <w:t>政采云</w:t>
      </w:r>
      <w:r>
        <w:rPr>
          <w:rFonts w:hint="eastAsia" w:ascii="宋体" w:hAnsi="宋体" w:cs="宋体"/>
          <w:color w:val="auto"/>
          <w:sz w:val="22"/>
          <w:highlight w:val="none"/>
        </w:rPr>
        <w:t>（</w:t>
      </w:r>
      <w:r>
        <w:rPr>
          <w:rFonts w:hint="eastAsia" w:ascii="宋体" w:hAnsi="宋体" w:cs="宋体"/>
          <w:color w:val="auto"/>
          <w:sz w:val="22"/>
          <w:highlight w:val="none"/>
          <w:lang w:eastAsia="zh-CN"/>
        </w:rPr>
        <w:t>https://zfcg.</w:t>
      </w:r>
      <w:bookmarkStart w:id="88" w:name="_GoBack"/>
      <w:bookmarkEnd w:id="88"/>
      <w:r>
        <w:rPr>
          <w:rFonts w:hint="eastAsia" w:ascii="宋体" w:hAnsi="宋体" w:cs="宋体"/>
          <w:color w:val="auto"/>
          <w:sz w:val="22"/>
          <w:highlight w:val="none"/>
          <w:lang w:eastAsia="zh-CN"/>
        </w:rPr>
        <w:t>czt.zj.gov.cn/</w:t>
      </w:r>
      <w:r>
        <w:rPr>
          <w:rFonts w:hint="eastAsia" w:ascii="宋体" w:hAnsi="宋体" w:cs="宋体"/>
          <w:color w:val="auto"/>
          <w:sz w:val="22"/>
          <w:highlight w:val="none"/>
        </w:rPr>
        <w:t>） </w:t>
      </w:r>
    </w:p>
    <w:p w14:paraId="4FC5C4F0">
      <w:pPr>
        <w:tabs>
          <w:tab w:val="left" w:pos="360"/>
        </w:tabs>
        <w:spacing w:line="460" w:lineRule="exact"/>
        <w:ind w:firstLine="552" w:firstLineChars="250"/>
        <w:rPr>
          <w:rFonts w:ascii="宋体" w:hAnsi="宋体" w:cs="宋体"/>
          <w:b/>
          <w:bCs/>
          <w:color w:val="auto"/>
          <w:sz w:val="22"/>
          <w:highlight w:val="none"/>
        </w:rPr>
      </w:pPr>
      <w:r>
        <w:rPr>
          <w:rFonts w:hint="eastAsia" w:ascii="宋体" w:hAnsi="宋体" w:cs="宋体"/>
          <w:b/>
          <w:bCs/>
          <w:color w:val="auto"/>
          <w:sz w:val="22"/>
          <w:highlight w:val="none"/>
        </w:rPr>
        <w:t>获取方式：</w:t>
      </w:r>
    </w:p>
    <w:p w14:paraId="30998859">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1、本项目招标文件实行“</w:t>
      </w:r>
      <w:r>
        <w:rPr>
          <w:rFonts w:hint="eastAsia" w:ascii="宋体" w:hAnsi="宋体" w:cs="宋体"/>
          <w:color w:val="auto"/>
          <w:sz w:val="22"/>
          <w:highlight w:val="none"/>
          <w:lang w:eastAsia="zh-CN"/>
        </w:rPr>
        <w:t>政采云平台</w:t>
      </w:r>
      <w:r>
        <w:rPr>
          <w:rFonts w:hint="eastAsia" w:ascii="宋体" w:hAnsi="宋体" w:cs="宋体"/>
          <w:color w:val="auto"/>
          <w:sz w:val="22"/>
          <w:highlight w:val="none"/>
        </w:rPr>
        <w:t>”在线获取，不提供招标文件纸质版。供应商获取招标文件前应先完成“</w:t>
      </w:r>
      <w:r>
        <w:rPr>
          <w:rFonts w:hint="eastAsia" w:ascii="宋体" w:hAnsi="宋体" w:cs="宋体"/>
          <w:color w:val="auto"/>
          <w:sz w:val="22"/>
          <w:highlight w:val="none"/>
          <w:lang w:eastAsia="zh-CN"/>
        </w:rPr>
        <w:t>政采云平台</w:t>
      </w:r>
      <w:r>
        <w:rPr>
          <w:rFonts w:hint="eastAsia" w:ascii="宋体" w:hAnsi="宋体" w:cs="宋体"/>
          <w:color w:val="auto"/>
          <w:sz w:val="22"/>
          <w:highlight w:val="none"/>
        </w:rPr>
        <w:t>”的账号注册；</w:t>
      </w:r>
    </w:p>
    <w:p w14:paraId="6A6EB293">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2、方式：潜在供应商登陆</w:t>
      </w:r>
      <w:r>
        <w:rPr>
          <w:rFonts w:hint="eastAsia" w:ascii="宋体" w:hAnsi="宋体" w:cs="宋体"/>
          <w:color w:val="auto"/>
          <w:sz w:val="22"/>
          <w:highlight w:val="none"/>
          <w:lang w:eastAsia="zh-CN"/>
        </w:rPr>
        <w:t>政采云</w:t>
      </w:r>
      <w:r>
        <w:rPr>
          <w:rFonts w:hint="eastAsia" w:ascii="宋体" w:hAnsi="宋体" w:cs="宋体"/>
          <w:color w:val="auto"/>
          <w:sz w:val="22"/>
          <w:highlight w:val="none"/>
        </w:rPr>
        <w:t>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404D06E0">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3、供应商获取招标文件时须提交的文件资料：无；</w:t>
      </w:r>
    </w:p>
    <w:p w14:paraId="71F10EEE">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4、提示：招标公告附件内的招标文件（或采购需求）仅供阅览使用，供应商只有在“</w:t>
      </w:r>
      <w:r>
        <w:rPr>
          <w:rFonts w:hint="eastAsia" w:ascii="宋体" w:hAnsi="宋体" w:cs="宋体"/>
          <w:color w:val="auto"/>
          <w:sz w:val="22"/>
          <w:highlight w:val="none"/>
          <w:lang w:eastAsia="zh-CN"/>
        </w:rPr>
        <w:t>政采云平台</w:t>
      </w:r>
      <w:r>
        <w:rPr>
          <w:rFonts w:hint="eastAsia" w:ascii="宋体" w:hAnsi="宋体" w:cs="宋体"/>
          <w:color w:val="auto"/>
          <w:sz w:val="22"/>
          <w:highlight w:val="none"/>
        </w:rPr>
        <w:t>”完成获取招标文件申请并下载了招标文件后才视作依法获取招标文件（法律法规所指的供应商获取招标文件时间以供应商完成获取招标文件申请后下载招标文件的时间为准）。</w:t>
      </w:r>
    </w:p>
    <w:p w14:paraId="6C4125A4">
      <w:pPr>
        <w:tabs>
          <w:tab w:val="left" w:pos="360"/>
        </w:tabs>
        <w:spacing w:line="460" w:lineRule="exact"/>
        <w:ind w:firstLine="552" w:firstLineChars="250"/>
        <w:rPr>
          <w:rFonts w:ascii="宋体" w:hAnsi="宋体" w:cs="宋体"/>
          <w:b/>
          <w:bCs/>
          <w:color w:val="auto"/>
          <w:sz w:val="22"/>
          <w:highlight w:val="none"/>
        </w:rPr>
      </w:pPr>
      <w:r>
        <w:rPr>
          <w:rFonts w:hint="eastAsia" w:ascii="宋体" w:hAnsi="宋体" w:cs="宋体"/>
          <w:b/>
          <w:bCs/>
          <w:color w:val="auto"/>
          <w:sz w:val="22"/>
          <w:highlight w:val="none"/>
        </w:rPr>
        <w:t>注：请供应商按上述要求获取招标文件，如未在“</w:t>
      </w:r>
      <w:r>
        <w:rPr>
          <w:rFonts w:hint="eastAsia" w:ascii="宋体" w:hAnsi="宋体" w:cs="宋体"/>
          <w:b/>
          <w:bCs/>
          <w:color w:val="auto"/>
          <w:sz w:val="22"/>
          <w:highlight w:val="none"/>
          <w:lang w:eastAsia="zh-CN"/>
        </w:rPr>
        <w:t>政采云</w:t>
      </w:r>
      <w:r>
        <w:rPr>
          <w:rFonts w:hint="eastAsia" w:ascii="宋体" w:hAnsi="宋体" w:cs="宋体"/>
          <w:b/>
          <w:bCs/>
          <w:color w:val="auto"/>
          <w:sz w:val="22"/>
          <w:highlight w:val="none"/>
        </w:rPr>
        <w:t>”系统内完成相关流程，引起的投标无效责任自负。</w:t>
      </w:r>
    </w:p>
    <w:p w14:paraId="7D5AF101">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售价（元）：0 </w:t>
      </w:r>
    </w:p>
    <w:p w14:paraId="0FF94793">
      <w:pPr>
        <w:tabs>
          <w:tab w:val="left" w:pos="360"/>
        </w:tabs>
        <w:spacing w:line="460" w:lineRule="exact"/>
        <w:ind w:firstLine="552" w:firstLineChars="250"/>
        <w:rPr>
          <w:rFonts w:ascii="宋体" w:hAnsi="宋体" w:cs="宋体"/>
          <w:b/>
          <w:bCs/>
          <w:color w:val="auto"/>
          <w:sz w:val="22"/>
          <w:highlight w:val="none"/>
        </w:rPr>
      </w:pPr>
      <w:r>
        <w:rPr>
          <w:rFonts w:hint="eastAsia" w:ascii="宋体" w:hAnsi="宋体" w:cs="宋体"/>
          <w:b/>
          <w:bCs/>
          <w:color w:val="auto"/>
          <w:sz w:val="22"/>
          <w:highlight w:val="none"/>
        </w:rPr>
        <w:t>四、提交投标文件截止时间、开标时间和地点</w:t>
      </w:r>
    </w:p>
    <w:p w14:paraId="40019F87">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提交投标文件截止时间：</w:t>
      </w:r>
      <w:r>
        <w:rPr>
          <w:rFonts w:hint="eastAsia" w:ascii="宋体" w:hAnsi="宋体" w:cs="宋体"/>
          <w:color w:val="auto"/>
          <w:sz w:val="22"/>
          <w:highlight w:val="none"/>
          <w:lang w:eastAsia="zh-CN"/>
        </w:rPr>
        <w:t>2025年5月28日09:30</w:t>
      </w:r>
      <w:r>
        <w:rPr>
          <w:rFonts w:hint="eastAsia" w:ascii="宋体" w:hAnsi="宋体" w:cs="宋体"/>
          <w:color w:val="auto"/>
          <w:sz w:val="22"/>
          <w:highlight w:val="none"/>
        </w:rPr>
        <w:t>  </w:t>
      </w:r>
    </w:p>
    <w:p w14:paraId="6105BCEB">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投标地点（网址）：</w:t>
      </w:r>
      <w:r>
        <w:rPr>
          <w:rFonts w:hint="eastAsia" w:ascii="宋体" w:hAnsi="宋体" w:cs="宋体"/>
          <w:color w:val="auto"/>
          <w:kern w:val="0"/>
          <w:sz w:val="24"/>
          <w:highlight w:val="none"/>
        </w:rPr>
        <w:t>温州市政务服务管理中心（温州市鹿城区会展路</w:t>
      </w:r>
      <w:r>
        <w:rPr>
          <w:rFonts w:ascii="宋体" w:hAnsi="宋体" w:cs="宋体"/>
          <w:color w:val="auto"/>
          <w:kern w:val="0"/>
          <w:sz w:val="24"/>
          <w:highlight w:val="none"/>
        </w:rPr>
        <w:t>1268</w:t>
      </w:r>
      <w:r>
        <w:rPr>
          <w:rFonts w:hint="eastAsia" w:ascii="宋体" w:hAnsi="宋体" w:cs="宋体"/>
          <w:color w:val="auto"/>
          <w:kern w:val="0"/>
          <w:sz w:val="24"/>
          <w:highlight w:val="none"/>
        </w:rPr>
        <w:t>号温州市民中心</w:t>
      </w:r>
      <w:r>
        <w:rPr>
          <w:rFonts w:ascii="宋体" w:hAnsi="宋体" w:cs="宋体"/>
          <w:color w:val="auto"/>
          <w:kern w:val="0"/>
          <w:sz w:val="24"/>
          <w:highlight w:val="none"/>
        </w:rPr>
        <w:t>A</w:t>
      </w:r>
      <w:r>
        <w:rPr>
          <w:rFonts w:hint="eastAsia" w:ascii="宋体" w:hAnsi="宋体" w:cs="宋体"/>
          <w:color w:val="auto"/>
          <w:kern w:val="0"/>
          <w:sz w:val="24"/>
          <w:highlight w:val="none"/>
        </w:rPr>
        <w:t>座</w:t>
      </w:r>
      <w:r>
        <w:rPr>
          <w:rFonts w:ascii="宋体" w:hAnsi="宋体" w:cs="宋体"/>
          <w:color w:val="auto"/>
          <w:kern w:val="0"/>
          <w:sz w:val="24"/>
          <w:highlight w:val="none"/>
        </w:rPr>
        <w:t>3</w:t>
      </w:r>
      <w:r>
        <w:rPr>
          <w:rFonts w:hint="eastAsia" w:ascii="宋体" w:hAnsi="宋体" w:cs="宋体"/>
          <w:color w:val="auto"/>
          <w:kern w:val="0"/>
          <w:sz w:val="24"/>
          <w:highlight w:val="none"/>
        </w:rPr>
        <w:t>楼）</w:t>
      </w:r>
      <w:r>
        <w:rPr>
          <w:rFonts w:hint="eastAsia" w:ascii="宋体" w:hAnsi="宋体" w:cs="宋体"/>
          <w:color w:val="auto"/>
          <w:sz w:val="22"/>
          <w:highlight w:val="none"/>
        </w:rPr>
        <w:t> </w:t>
      </w:r>
    </w:p>
    <w:p w14:paraId="70B26050">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开标时间：</w:t>
      </w:r>
      <w:r>
        <w:rPr>
          <w:rFonts w:hint="eastAsia" w:ascii="宋体" w:hAnsi="宋体" w:cs="宋体"/>
          <w:color w:val="auto"/>
          <w:sz w:val="22"/>
          <w:highlight w:val="none"/>
          <w:lang w:eastAsia="zh-CN"/>
        </w:rPr>
        <w:t>2025年5月28日09:30</w:t>
      </w:r>
      <w:r>
        <w:rPr>
          <w:rFonts w:hint="eastAsia" w:ascii="宋体" w:hAnsi="宋体" w:cs="宋体"/>
          <w:color w:val="auto"/>
          <w:sz w:val="22"/>
          <w:highlight w:val="none"/>
        </w:rPr>
        <w:t> </w:t>
      </w:r>
    </w:p>
    <w:p w14:paraId="0FD559A7">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开标地点（网址）：</w:t>
      </w:r>
      <w:r>
        <w:rPr>
          <w:rFonts w:hint="eastAsia" w:ascii="宋体" w:hAnsi="宋体" w:cs="宋体"/>
          <w:color w:val="auto"/>
          <w:kern w:val="0"/>
          <w:sz w:val="24"/>
          <w:highlight w:val="none"/>
        </w:rPr>
        <w:t>温州市政务服务管理中心（温州市鹿城区会展路</w:t>
      </w:r>
      <w:r>
        <w:rPr>
          <w:rFonts w:ascii="宋体" w:hAnsi="宋体" w:cs="宋体"/>
          <w:color w:val="auto"/>
          <w:kern w:val="0"/>
          <w:sz w:val="24"/>
          <w:highlight w:val="none"/>
        </w:rPr>
        <w:t>1268</w:t>
      </w:r>
      <w:r>
        <w:rPr>
          <w:rFonts w:hint="eastAsia" w:ascii="宋体" w:hAnsi="宋体" w:cs="宋体"/>
          <w:color w:val="auto"/>
          <w:kern w:val="0"/>
          <w:sz w:val="24"/>
          <w:highlight w:val="none"/>
        </w:rPr>
        <w:t>号温州市民中心</w:t>
      </w:r>
      <w:r>
        <w:rPr>
          <w:rFonts w:ascii="宋体" w:hAnsi="宋体" w:cs="宋体"/>
          <w:color w:val="auto"/>
          <w:kern w:val="0"/>
          <w:sz w:val="24"/>
          <w:highlight w:val="none"/>
        </w:rPr>
        <w:t>A</w:t>
      </w:r>
      <w:r>
        <w:rPr>
          <w:rFonts w:hint="eastAsia" w:ascii="宋体" w:hAnsi="宋体" w:cs="宋体"/>
          <w:color w:val="auto"/>
          <w:kern w:val="0"/>
          <w:sz w:val="24"/>
          <w:highlight w:val="none"/>
        </w:rPr>
        <w:t>座</w:t>
      </w:r>
      <w:r>
        <w:rPr>
          <w:rFonts w:ascii="宋体" w:hAnsi="宋体" w:cs="宋体"/>
          <w:color w:val="auto"/>
          <w:kern w:val="0"/>
          <w:sz w:val="24"/>
          <w:highlight w:val="none"/>
        </w:rPr>
        <w:t>3</w:t>
      </w:r>
      <w:r>
        <w:rPr>
          <w:rFonts w:hint="eastAsia" w:ascii="宋体" w:hAnsi="宋体" w:cs="宋体"/>
          <w:color w:val="auto"/>
          <w:kern w:val="0"/>
          <w:sz w:val="24"/>
          <w:highlight w:val="none"/>
        </w:rPr>
        <w:t>楼）</w:t>
      </w:r>
      <w:r>
        <w:rPr>
          <w:rFonts w:hint="eastAsia" w:ascii="宋体" w:hAnsi="宋体" w:cs="宋体"/>
          <w:color w:val="auto"/>
          <w:sz w:val="22"/>
          <w:highlight w:val="none"/>
        </w:rPr>
        <w:t> </w:t>
      </w:r>
    </w:p>
    <w:p w14:paraId="0B1409E1">
      <w:pPr>
        <w:tabs>
          <w:tab w:val="left" w:pos="360"/>
        </w:tabs>
        <w:spacing w:line="460" w:lineRule="exact"/>
        <w:ind w:firstLine="552" w:firstLineChars="250"/>
        <w:rPr>
          <w:rFonts w:ascii="宋体" w:hAnsi="宋体" w:cs="宋体"/>
          <w:b/>
          <w:bCs/>
          <w:color w:val="auto"/>
          <w:sz w:val="22"/>
          <w:highlight w:val="none"/>
        </w:rPr>
      </w:pPr>
      <w:r>
        <w:rPr>
          <w:rFonts w:hint="eastAsia" w:ascii="宋体" w:hAnsi="宋体" w:cs="宋体"/>
          <w:b/>
          <w:bCs/>
          <w:color w:val="auto"/>
          <w:sz w:val="22"/>
          <w:highlight w:val="none"/>
        </w:rPr>
        <w:t>五、公告期限</w:t>
      </w:r>
    </w:p>
    <w:p w14:paraId="1BE44768">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自本公告发布之日起5个工作日。</w:t>
      </w:r>
    </w:p>
    <w:p w14:paraId="165E46E1">
      <w:pPr>
        <w:tabs>
          <w:tab w:val="left" w:pos="360"/>
        </w:tabs>
        <w:spacing w:line="460" w:lineRule="exact"/>
        <w:ind w:firstLine="552" w:firstLineChars="250"/>
        <w:rPr>
          <w:rFonts w:ascii="宋体" w:hAnsi="宋体" w:cs="宋体"/>
          <w:b/>
          <w:bCs/>
          <w:color w:val="auto"/>
          <w:sz w:val="22"/>
          <w:highlight w:val="none"/>
        </w:rPr>
      </w:pPr>
      <w:r>
        <w:rPr>
          <w:rFonts w:hint="eastAsia" w:ascii="宋体" w:hAnsi="宋体" w:cs="宋体"/>
          <w:b/>
          <w:bCs/>
          <w:color w:val="auto"/>
          <w:sz w:val="22"/>
          <w:highlight w:val="none"/>
        </w:rPr>
        <w:t>六、其他补充事宜</w:t>
      </w:r>
    </w:p>
    <w:p w14:paraId="598AE283">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1、供应商认为招标文件使自己的权益受到损害的，可以自获取到招标文件之日（公告期限截止日之后获取到招标文件的，以公告期限截止日起算）起7个工作日内，</w:t>
      </w:r>
      <w:r>
        <w:rPr>
          <w:rFonts w:hint="eastAsia" w:ascii="宋体" w:hAnsi="宋体" w:cs="宋体"/>
          <w:color w:val="auto"/>
          <w:sz w:val="22"/>
          <w:szCs w:val="22"/>
          <w:highlight w:val="none"/>
        </w:rPr>
        <w:t>且应当在投标截止时间之前</w:t>
      </w:r>
      <w:r>
        <w:rPr>
          <w:rFonts w:hint="eastAsia" w:ascii="宋体" w:hAnsi="宋体" w:cs="宋体"/>
          <w:color w:val="auto"/>
          <w:sz w:val="22"/>
          <w:highlight w:val="none"/>
        </w:rPr>
        <w:t>以书面形式向招标人和招标代理机构提出质疑。质疑供应商对招标人、招标代理机构的答复不满意或者招标人、招标代理机构未在规定的时间内作出答复的，可以在答复期满后十五个工作日内向采购监督管理部门投诉。</w:t>
      </w:r>
    </w:p>
    <w:p w14:paraId="4A83F084">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2、本项目对符合财政扶持政策的中小企业（小型、微型）、监狱企业、残疾人福利性单位给予价格优惠扶持，执行节能产品政府强制采购和优先采购政策，执行环境标志产品政府优先采购政策。</w:t>
      </w:r>
    </w:p>
    <w:p w14:paraId="4807E2F7">
      <w:pPr>
        <w:tabs>
          <w:tab w:val="left" w:pos="360"/>
        </w:tabs>
        <w:spacing w:line="46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七、对本次招标提出询问，请按以下方式联系。　　　　　　　　　　　　</w:t>
      </w:r>
    </w:p>
    <w:p w14:paraId="675152BA">
      <w:pPr>
        <w:pStyle w:val="21"/>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1.采购人信息</w:t>
      </w:r>
    </w:p>
    <w:p w14:paraId="5887D361">
      <w:pPr>
        <w:pStyle w:val="21"/>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名  称：温州市人民医院　</w:t>
      </w:r>
    </w:p>
    <w:p w14:paraId="6485E8BD">
      <w:pPr>
        <w:pStyle w:val="21"/>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项目联系人：张先生 </w:t>
      </w:r>
    </w:p>
    <w:p w14:paraId="7EF27E2E">
      <w:pPr>
        <w:pStyle w:val="21"/>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项目联系方式：0577-88306694　</w:t>
      </w:r>
    </w:p>
    <w:p w14:paraId="75E78DCF">
      <w:pPr>
        <w:pStyle w:val="21"/>
        <w:spacing w:before="0" w:beforeAutospacing="0" w:after="0" w:afterAutospacing="0" w:line="460" w:lineRule="exact"/>
        <w:rPr>
          <w:color w:val="auto"/>
          <w:sz w:val="22"/>
          <w:szCs w:val="22"/>
          <w:highlight w:val="none"/>
        </w:rPr>
      </w:pPr>
      <w:r>
        <w:rPr>
          <w:rFonts w:hint="eastAsia"/>
          <w:color w:val="auto"/>
          <w:sz w:val="22"/>
          <w:szCs w:val="22"/>
          <w:highlight w:val="none"/>
        </w:rPr>
        <w:t>  2.采购代理机构信息</w:t>
      </w:r>
    </w:p>
    <w:p w14:paraId="57CF6A4C">
      <w:pPr>
        <w:pStyle w:val="21"/>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名  称：温州历程招标有限公司 </w:t>
      </w:r>
    </w:p>
    <w:p w14:paraId="7D96D7DE">
      <w:pPr>
        <w:pStyle w:val="21"/>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地  址：温州市鹿城区南汇街道勤民路鹿城壹号18幢803室</w:t>
      </w:r>
    </w:p>
    <w:p w14:paraId="6405E89E">
      <w:pPr>
        <w:pStyle w:val="21"/>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 xml:space="preserve">传  真：0577-89887255   </w:t>
      </w:r>
    </w:p>
    <w:p w14:paraId="7FEFBB09">
      <w:pPr>
        <w:pStyle w:val="21"/>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项目联系人：张斌、郑永强</w:t>
      </w:r>
    </w:p>
    <w:p w14:paraId="332B7329">
      <w:pPr>
        <w:pStyle w:val="21"/>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项目联系方式：</w:t>
      </w:r>
      <w:r>
        <w:rPr>
          <w:rFonts w:hint="eastAsia"/>
          <w:color w:val="auto"/>
          <w:sz w:val="22"/>
          <w:highlight w:val="none"/>
        </w:rPr>
        <w:t>0577-89887322、13757727199</w:t>
      </w:r>
    </w:p>
    <w:p w14:paraId="6BABD183">
      <w:pPr>
        <w:pStyle w:val="21"/>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质疑联系人：肖忠文</w:t>
      </w:r>
    </w:p>
    <w:p w14:paraId="152BB5FB">
      <w:pPr>
        <w:pStyle w:val="21"/>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质疑联系方式：13757727199 </w:t>
      </w:r>
    </w:p>
    <w:p w14:paraId="3BCD72AC">
      <w:pPr>
        <w:pStyle w:val="21"/>
        <w:spacing w:before="0" w:beforeAutospacing="0" w:after="0" w:afterAutospacing="0" w:line="460" w:lineRule="exact"/>
        <w:ind w:firstLine="440" w:firstLineChars="200"/>
        <w:rPr>
          <w:rFonts w:hint="eastAsia"/>
          <w:color w:val="auto"/>
          <w:sz w:val="22"/>
          <w:highlight w:val="none"/>
        </w:rPr>
      </w:pPr>
      <w:r>
        <w:rPr>
          <w:rFonts w:hint="eastAsia" w:ascii="宋体" w:hAnsi="宋体" w:eastAsia="宋体" w:cs="宋体"/>
          <w:i w:val="0"/>
          <w:iCs w:val="0"/>
          <w:caps w:val="0"/>
          <w:color w:val="232323"/>
          <w:spacing w:val="0"/>
          <w:sz w:val="22"/>
          <w:szCs w:val="22"/>
          <w:shd w:val="clear" w:fill="FFFFFF"/>
        </w:rPr>
        <w:t>3.</w:t>
      </w:r>
      <w:r>
        <w:rPr>
          <w:rFonts w:hint="eastAsia"/>
          <w:color w:val="auto"/>
          <w:sz w:val="22"/>
          <w:highlight w:val="none"/>
        </w:rPr>
        <w:t>同级政府采购监督管理部门</w:t>
      </w:r>
    </w:p>
    <w:p w14:paraId="2B59701D">
      <w:pPr>
        <w:pStyle w:val="21"/>
        <w:spacing w:before="0" w:beforeAutospacing="0" w:after="0" w:afterAutospacing="0" w:line="460" w:lineRule="exact"/>
        <w:ind w:firstLine="440" w:firstLineChars="200"/>
        <w:rPr>
          <w:rFonts w:hint="eastAsia"/>
          <w:color w:val="auto"/>
          <w:sz w:val="22"/>
          <w:highlight w:val="none"/>
        </w:rPr>
      </w:pPr>
      <w:r>
        <w:rPr>
          <w:rFonts w:hint="eastAsia"/>
          <w:color w:val="auto"/>
          <w:sz w:val="22"/>
          <w:highlight w:val="none"/>
        </w:rPr>
        <w:t>名称：温州市财政局（浙江省政府采购行政裁决服务中心（温州））</w:t>
      </w:r>
    </w:p>
    <w:p w14:paraId="73044302">
      <w:pPr>
        <w:pStyle w:val="21"/>
        <w:spacing w:before="0" w:beforeAutospacing="0" w:after="0" w:afterAutospacing="0" w:line="460" w:lineRule="exact"/>
        <w:ind w:firstLine="440" w:firstLineChars="200"/>
        <w:rPr>
          <w:rFonts w:hint="eastAsia"/>
          <w:color w:val="auto"/>
          <w:sz w:val="22"/>
          <w:highlight w:val="none"/>
        </w:rPr>
      </w:pPr>
      <w:r>
        <w:rPr>
          <w:rFonts w:hint="eastAsia"/>
          <w:color w:val="auto"/>
          <w:sz w:val="22"/>
          <w:highlight w:val="none"/>
        </w:rPr>
        <w:t>地址：温州市鹿城区滨江街道瓯江路展银大厦1606室</w:t>
      </w:r>
    </w:p>
    <w:p w14:paraId="71C109AB">
      <w:pPr>
        <w:pStyle w:val="21"/>
        <w:spacing w:before="0" w:beforeAutospacing="0" w:after="0" w:afterAutospacing="0" w:line="460" w:lineRule="exact"/>
        <w:ind w:firstLine="440" w:firstLineChars="200"/>
        <w:rPr>
          <w:rFonts w:hint="eastAsia"/>
          <w:color w:val="auto"/>
          <w:sz w:val="22"/>
          <w:highlight w:val="none"/>
        </w:rPr>
      </w:pPr>
      <w:r>
        <w:rPr>
          <w:rFonts w:hint="eastAsia"/>
          <w:color w:val="auto"/>
          <w:sz w:val="22"/>
          <w:highlight w:val="none"/>
        </w:rPr>
        <w:t>传真：</w:t>
      </w:r>
    </w:p>
    <w:p w14:paraId="558B5358">
      <w:pPr>
        <w:pStyle w:val="21"/>
        <w:spacing w:before="0" w:beforeAutospacing="0" w:after="0" w:afterAutospacing="0" w:line="460" w:lineRule="exact"/>
        <w:ind w:firstLine="440" w:firstLineChars="200"/>
        <w:rPr>
          <w:rFonts w:hint="eastAsia"/>
          <w:color w:val="auto"/>
          <w:sz w:val="22"/>
          <w:highlight w:val="none"/>
        </w:rPr>
      </w:pPr>
      <w:r>
        <w:rPr>
          <w:rFonts w:hint="eastAsia"/>
          <w:color w:val="auto"/>
          <w:sz w:val="22"/>
          <w:highlight w:val="none"/>
        </w:rPr>
        <w:t>联系人：李老师、王老师</w:t>
      </w:r>
    </w:p>
    <w:p w14:paraId="2F935426">
      <w:pPr>
        <w:pStyle w:val="21"/>
        <w:spacing w:before="0" w:beforeAutospacing="0" w:after="0" w:afterAutospacing="0" w:line="460" w:lineRule="exact"/>
        <w:ind w:firstLine="440" w:firstLineChars="200"/>
        <w:rPr>
          <w:rFonts w:hint="eastAsia" w:ascii="微软雅黑" w:hAnsi="微软雅黑" w:eastAsia="微软雅黑" w:cs="微软雅黑"/>
          <w:i w:val="0"/>
          <w:iCs w:val="0"/>
          <w:caps w:val="0"/>
          <w:color w:val="000000"/>
          <w:spacing w:val="0"/>
          <w:sz w:val="24"/>
          <w:szCs w:val="24"/>
        </w:rPr>
      </w:pPr>
      <w:r>
        <w:rPr>
          <w:rFonts w:hint="eastAsia"/>
          <w:color w:val="auto"/>
          <w:sz w:val="22"/>
          <w:highlight w:val="none"/>
        </w:rPr>
        <w:t>监督投诉电话：0577-85501561，0577-85501562</w:t>
      </w:r>
    </w:p>
    <w:p w14:paraId="71A69AC3">
      <w:pPr>
        <w:pStyle w:val="21"/>
        <w:shd w:val="clear" w:color="auto" w:fill="FFFFFF"/>
        <w:spacing w:before="0" w:beforeAutospacing="0" w:after="0" w:afterAutospacing="0" w:line="465" w:lineRule="atLeast"/>
        <w:ind w:firstLine="435"/>
        <w:rPr>
          <w:color w:val="auto"/>
          <w:sz w:val="22"/>
          <w:szCs w:val="22"/>
          <w:highlight w:val="none"/>
        </w:rPr>
      </w:pPr>
    </w:p>
    <w:p w14:paraId="130D92D2">
      <w:pPr>
        <w:spacing w:line="440" w:lineRule="exact"/>
        <w:jc w:val="right"/>
        <w:rPr>
          <w:rFonts w:ascii="宋体" w:hAnsi="宋体" w:cs="宋体"/>
          <w:color w:val="auto"/>
          <w:sz w:val="22"/>
          <w:highlight w:val="none"/>
        </w:rPr>
      </w:pPr>
    </w:p>
    <w:p w14:paraId="1631B755">
      <w:pPr>
        <w:spacing w:line="440" w:lineRule="exact"/>
        <w:jc w:val="right"/>
        <w:rPr>
          <w:rFonts w:ascii="宋体" w:hAnsi="宋体" w:cs="宋体"/>
          <w:color w:val="auto"/>
          <w:kern w:val="0"/>
          <w:sz w:val="22"/>
          <w:highlight w:val="none"/>
        </w:rPr>
      </w:pPr>
      <w:r>
        <w:rPr>
          <w:rFonts w:hint="eastAsia" w:ascii="宋体" w:hAnsi="宋体" w:cs="宋体"/>
          <w:color w:val="auto"/>
          <w:sz w:val="22"/>
          <w:highlight w:val="none"/>
        </w:rPr>
        <w:t>温州市人民医院</w:t>
      </w:r>
    </w:p>
    <w:p w14:paraId="671B6A95">
      <w:pPr>
        <w:spacing w:line="440" w:lineRule="exact"/>
        <w:jc w:val="right"/>
        <w:rPr>
          <w:rFonts w:ascii="宋体" w:hAnsi="宋体" w:cs="宋体"/>
          <w:color w:val="auto"/>
          <w:sz w:val="22"/>
          <w:highlight w:val="none"/>
        </w:rPr>
      </w:pPr>
      <w:r>
        <w:rPr>
          <w:rFonts w:hint="eastAsia" w:ascii="宋体" w:hAnsi="宋体" w:cs="宋体"/>
          <w:color w:val="auto"/>
          <w:sz w:val="22"/>
          <w:highlight w:val="none"/>
        </w:rPr>
        <w:t>温州历程招标有限公司</w:t>
      </w:r>
    </w:p>
    <w:p w14:paraId="60729E50">
      <w:pPr>
        <w:spacing w:line="440" w:lineRule="exact"/>
        <w:jc w:val="right"/>
        <w:rPr>
          <w:rFonts w:ascii="宋体" w:hAnsi="宋体" w:cs="宋体"/>
          <w:color w:val="auto"/>
          <w:sz w:val="22"/>
          <w:highlight w:val="none"/>
        </w:rPr>
      </w:pPr>
      <w:r>
        <w:rPr>
          <w:rFonts w:hint="eastAsia" w:ascii="宋体" w:hAnsi="宋体" w:cs="宋体"/>
          <w:color w:val="auto"/>
          <w:sz w:val="22"/>
          <w:highlight w:val="none"/>
        </w:rPr>
        <w:t>202</w:t>
      </w:r>
      <w:r>
        <w:rPr>
          <w:rFonts w:hint="eastAsia" w:ascii="宋体" w:hAnsi="宋体" w:cs="宋体"/>
          <w:color w:val="auto"/>
          <w:sz w:val="22"/>
          <w:highlight w:val="none"/>
          <w:lang w:val="en-US" w:eastAsia="zh-CN"/>
        </w:rPr>
        <w:t>5</w:t>
      </w:r>
      <w:r>
        <w:rPr>
          <w:rFonts w:hint="eastAsia" w:ascii="宋体" w:hAnsi="宋体" w:cs="宋体"/>
          <w:color w:val="auto"/>
          <w:sz w:val="22"/>
          <w:highlight w:val="none"/>
        </w:rPr>
        <w:t>年</w:t>
      </w:r>
      <w:r>
        <w:rPr>
          <w:rFonts w:hint="eastAsia" w:ascii="宋体" w:hAnsi="宋体" w:cs="宋体"/>
          <w:color w:val="auto"/>
          <w:sz w:val="22"/>
          <w:highlight w:val="none"/>
          <w:lang w:val="en-US" w:eastAsia="zh-CN"/>
        </w:rPr>
        <w:t>5</w:t>
      </w:r>
      <w:r>
        <w:rPr>
          <w:rFonts w:hint="eastAsia" w:ascii="宋体" w:hAnsi="宋体" w:cs="宋体"/>
          <w:color w:val="auto"/>
          <w:sz w:val="22"/>
          <w:highlight w:val="none"/>
        </w:rPr>
        <w:t>月</w:t>
      </w:r>
    </w:p>
    <w:p w14:paraId="172EF367">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 </w:t>
      </w:r>
    </w:p>
    <w:p w14:paraId="61CA34C5">
      <w:pPr>
        <w:rPr>
          <w:rFonts w:ascii="宋体" w:hAnsi="宋体" w:cs="宋体"/>
          <w:color w:val="auto"/>
          <w:highlight w:val="none"/>
        </w:rPr>
      </w:pPr>
    </w:p>
    <w:p w14:paraId="05ACE344">
      <w:pPr>
        <w:pStyle w:val="11"/>
        <w:spacing w:line="460" w:lineRule="exact"/>
        <w:ind w:left="602" w:hanging="602"/>
        <w:jc w:val="center"/>
        <w:rPr>
          <w:rFonts w:ascii="宋体" w:hAnsi="宋体" w:cs="宋体"/>
          <w:b/>
          <w:color w:val="auto"/>
          <w:sz w:val="30"/>
          <w:highlight w:val="none"/>
        </w:rPr>
      </w:pPr>
    </w:p>
    <w:p w14:paraId="2EE2E572">
      <w:pPr>
        <w:pStyle w:val="11"/>
        <w:spacing w:line="460" w:lineRule="exact"/>
        <w:ind w:left="602" w:hanging="602"/>
        <w:jc w:val="center"/>
        <w:rPr>
          <w:rFonts w:ascii="宋体" w:hAnsi="宋体" w:cs="宋体"/>
          <w:b/>
          <w:color w:val="auto"/>
          <w:sz w:val="30"/>
          <w:highlight w:val="none"/>
        </w:rPr>
      </w:pPr>
    </w:p>
    <w:p w14:paraId="4BAB5A4D">
      <w:pPr>
        <w:pStyle w:val="11"/>
        <w:spacing w:line="460" w:lineRule="exact"/>
        <w:ind w:left="602" w:hanging="602"/>
        <w:jc w:val="center"/>
        <w:rPr>
          <w:rFonts w:ascii="宋体" w:hAnsi="宋体" w:cs="宋体"/>
          <w:b/>
          <w:color w:val="auto"/>
          <w:sz w:val="30"/>
          <w:highlight w:val="none"/>
        </w:rPr>
      </w:pPr>
    </w:p>
    <w:p w14:paraId="516AA23C">
      <w:pPr>
        <w:spacing w:line="440" w:lineRule="exact"/>
        <w:jc w:val="center"/>
        <w:rPr>
          <w:rFonts w:ascii="宋体" w:hAnsi="宋体" w:cs="宋体"/>
          <w:color w:val="auto"/>
          <w:sz w:val="22"/>
          <w:highlight w:val="none"/>
        </w:rPr>
      </w:pPr>
    </w:p>
    <w:p w14:paraId="7B2EA415">
      <w:pPr>
        <w:pStyle w:val="7"/>
        <w:rPr>
          <w:rFonts w:ascii="宋体" w:hAnsi="宋体" w:cs="宋体"/>
          <w:color w:val="auto"/>
          <w:sz w:val="22"/>
          <w:highlight w:val="none"/>
        </w:rPr>
      </w:pPr>
    </w:p>
    <w:p w14:paraId="729BC91C">
      <w:pPr>
        <w:rPr>
          <w:rFonts w:ascii="宋体" w:hAnsi="宋体" w:cs="宋体"/>
          <w:color w:val="auto"/>
          <w:sz w:val="22"/>
          <w:highlight w:val="none"/>
        </w:rPr>
      </w:pPr>
    </w:p>
    <w:p w14:paraId="76006E2C">
      <w:pPr>
        <w:pStyle w:val="7"/>
        <w:rPr>
          <w:rFonts w:ascii="宋体" w:hAnsi="宋体" w:cs="宋体"/>
          <w:color w:val="auto"/>
          <w:sz w:val="22"/>
          <w:highlight w:val="none"/>
        </w:rPr>
      </w:pPr>
    </w:p>
    <w:p w14:paraId="5259CA8B">
      <w:pPr>
        <w:rPr>
          <w:rFonts w:ascii="宋体" w:hAnsi="宋体" w:cs="宋体"/>
          <w:color w:val="auto"/>
          <w:sz w:val="22"/>
          <w:highlight w:val="none"/>
        </w:rPr>
      </w:pPr>
    </w:p>
    <w:p w14:paraId="431353B3">
      <w:pPr>
        <w:pStyle w:val="7"/>
        <w:rPr>
          <w:rFonts w:ascii="宋体" w:hAnsi="宋体" w:cs="宋体"/>
          <w:color w:val="auto"/>
          <w:sz w:val="22"/>
          <w:highlight w:val="none"/>
        </w:rPr>
      </w:pPr>
    </w:p>
    <w:p w14:paraId="3FFA55BD">
      <w:pPr>
        <w:rPr>
          <w:rFonts w:ascii="宋体" w:hAnsi="宋体" w:cs="宋体"/>
          <w:b/>
          <w:color w:val="auto"/>
          <w:sz w:val="30"/>
          <w:highlight w:val="none"/>
        </w:rPr>
      </w:pPr>
      <w:r>
        <w:rPr>
          <w:rFonts w:hint="eastAsia" w:ascii="宋体" w:hAnsi="宋体" w:cs="宋体"/>
          <w:b/>
          <w:color w:val="auto"/>
          <w:sz w:val="30"/>
          <w:highlight w:val="none"/>
        </w:rPr>
        <w:br w:type="page"/>
      </w:r>
    </w:p>
    <w:p w14:paraId="456B034F">
      <w:pPr>
        <w:pStyle w:val="2"/>
        <w:jc w:val="center"/>
        <w:rPr>
          <w:rFonts w:hint="eastAsia" w:ascii="宋体" w:hAnsi="宋体" w:eastAsia="宋体" w:cs="宋体"/>
          <w:color w:val="auto"/>
          <w:highlight w:val="none"/>
        </w:rPr>
      </w:pPr>
      <w:bookmarkStart w:id="2" w:name="_Toc5772"/>
      <w:bookmarkStart w:id="3" w:name="_Toc10401"/>
      <w:r>
        <w:rPr>
          <w:rFonts w:hint="eastAsia" w:ascii="宋体" w:hAnsi="宋体" w:eastAsia="宋体" w:cs="宋体"/>
          <w:color w:val="auto"/>
          <w:highlight w:val="none"/>
        </w:rPr>
        <w:t>第一部分    投标人须知</w:t>
      </w:r>
      <w:bookmarkEnd w:id="2"/>
      <w:bookmarkEnd w:id="3"/>
    </w:p>
    <w:p w14:paraId="5E0149BA">
      <w:pPr>
        <w:keepNext/>
        <w:keepLines/>
        <w:shd w:val="clear" w:color="auto" w:fill="FFFFFF"/>
        <w:tabs>
          <w:tab w:val="left" w:pos="706"/>
        </w:tabs>
        <w:snapToGrid w:val="0"/>
        <w:spacing w:line="360" w:lineRule="auto"/>
        <w:jc w:val="center"/>
        <w:outlineLvl w:val="1"/>
        <w:rPr>
          <w:rFonts w:ascii="宋体" w:hAnsi="宋体" w:cs="宋体"/>
          <w:b/>
          <w:bCs/>
          <w:color w:val="auto"/>
          <w:sz w:val="24"/>
          <w:highlight w:val="none"/>
        </w:rPr>
      </w:pPr>
      <w:bookmarkStart w:id="4" w:name="_Toc233618971"/>
      <w:bookmarkStart w:id="5" w:name="_Toc33194387"/>
      <w:bookmarkStart w:id="6" w:name="_Toc6224"/>
      <w:bookmarkStart w:id="7" w:name="_Toc354996695"/>
      <w:bookmarkStart w:id="8" w:name="_Toc1839"/>
      <w:r>
        <w:rPr>
          <w:rFonts w:hint="eastAsia" w:ascii="宋体" w:hAnsi="宋体" w:cs="宋体"/>
          <w:b/>
          <w:bCs/>
          <w:color w:val="auto"/>
          <w:sz w:val="24"/>
          <w:highlight w:val="none"/>
        </w:rPr>
        <w:t>前 附 表</w:t>
      </w:r>
      <w:bookmarkEnd w:id="4"/>
      <w:bookmarkEnd w:id="5"/>
      <w:bookmarkEnd w:id="6"/>
      <w:bookmarkEnd w:id="7"/>
      <w:bookmarkEnd w:id="8"/>
    </w:p>
    <w:tbl>
      <w:tblPr>
        <w:tblStyle w:val="24"/>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14:paraId="6DE47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14:paraId="78AA48E1">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14:paraId="02ACEBFD">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内容规定</w:t>
            </w:r>
          </w:p>
        </w:tc>
      </w:tr>
      <w:tr w14:paraId="2C2BE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6253264">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14:paraId="24B1F1E3">
            <w:pPr>
              <w:tabs>
                <w:tab w:val="left" w:pos="3780"/>
              </w:tabs>
              <w:snapToGrid w:val="0"/>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一、项目名称</w:t>
            </w:r>
            <w:r>
              <w:rPr>
                <w:rFonts w:hint="eastAsia" w:ascii="宋体" w:hAnsi="宋体" w:cs="宋体"/>
                <w:color w:val="auto"/>
                <w:sz w:val="22"/>
                <w:szCs w:val="22"/>
                <w:highlight w:val="none"/>
              </w:rPr>
              <w:t>：远程胎心监护</w:t>
            </w:r>
          </w:p>
          <w:p w14:paraId="509B2477">
            <w:pPr>
              <w:spacing w:line="460" w:lineRule="exact"/>
              <w:rPr>
                <w:rFonts w:ascii="宋体" w:hAnsi="宋体" w:cs="宋体"/>
                <w:b/>
                <w:bCs/>
                <w:color w:val="auto"/>
                <w:sz w:val="22"/>
                <w:szCs w:val="22"/>
                <w:highlight w:val="none"/>
              </w:rPr>
            </w:pPr>
            <w:bookmarkStart w:id="9" w:name="_Hlt75139851"/>
            <w:bookmarkEnd w:id="9"/>
            <w:r>
              <w:rPr>
                <w:rFonts w:hint="eastAsia" w:ascii="宋体" w:hAnsi="宋体" w:cs="宋体"/>
                <w:b/>
                <w:bCs/>
                <w:color w:val="auto"/>
                <w:sz w:val="22"/>
                <w:szCs w:val="22"/>
                <w:highlight w:val="none"/>
              </w:rPr>
              <w:t>二、采购内容：</w:t>
            </w:r>
          </w:p>
          <w:tbl>
            <w:tblPr>
              <w:tblStyle w:val="24"/>
              <w:tblW w:w="95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4"/>
              <w:gridCol w:w="1975"/>
              <w:gridCol w:w="1100"/>
              <w:gridCol w:w="2195"/>
              <w:gridCol w:w="3455"/>
            </w:tblGrid>
            <w:tr w14:paraId="4302B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E195CAE">
                  <w:pPr>
                    <w:tabs>
                      <w:tab w:val="left" w:pos="360"/>
                    </w:tabs>
                    <w:spacing w:line="460" w:lineRule="exact"/>
                    <w:jc w:val="center"/>
                    <w:rPr>
                      <w:rFonts w:ascii="宋体" w:hAnsi="宋体" w:cs="宋体"/>
                      <w:b/>
                      <w:bCs/>
                      <w:color w:val="auto"/>
                      <w:sz w:val="22"/>
                      <w:szCs w:val="22"/>
                      <w:highlight w:val="none"/>
                      <w:shd w:val="clear" w:color="auto" w:fill="FFFFFF"/>
                    </w:rPr>
                  </w:pPr>
                  <w:r>
                    <w:rPr>
                      <w:rFonts w:hint="eastAsia" w:ascii="宋体" w:hAnsi="宋体" w:cs="宋体"/>
                      <w:b/>
                      <w:bCs/>
                      <w:color w:val="auto"/>
                      <w:sz w:val="22"/>
                      <w:szCs w:val="22"/>
                      <w:highlight w:val="none"/>
                      <w:shd w:val="clear" w:color="auto" w:fill="FFFFFF"/>
                    </w:rPr>
                    <w:t>序号</w:t>
                  </w:r>
                </w:p>
              </w:tc>
              <w:tc>
                <w:tcPr>
                  <w:tcW w:w="1975" w:type="dxa"/>
                  <w:tcBorders>
                    <w:top w:val="single" w:color="auto" w:sz="4" w:space="0"/>
                    <w:left w:val="single" w:color="auto" w:sz="4" w:space="0"/>
                    <w:bottom w:val="single" w:color="auto" w:sz="4" w:space="0"/>
                    <w:right w:val="single" w:color="auto" w:sz="4" w:space="0"/>
                  </w:tcBorders>
                  <w:vAlign w:val="center"/>
                </w:tcPr>
                <w:p w14:paraId="28900EAC">
                  <w:pPr>
                    <w:tabs>
                      <w:tab w:val="left" w:pos="360"/>
                    </w:tabs>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名称</w:t>
                  </w:r>
                </w:p>
              </w:tc>
              <w:tc>
                <w:tcPr>
                  <w:tcW w:w="1100" w:type="dxa"/>
                  <w:tcBorders>
                    <w:top w:val="single" w:color="auto" w:sz="4" w:space="0"/>
                    <w:left w:val="single" w:color="auto" w:sz="4" w:space="0"/>
                    <w:bottom w:val="single" w:color="auto" w:sz="4" w:space="0"/>
                    <w:right w:val="single" w:color="auto" w:sz="4" w:space="0"/>
                  </w:tcBorders>
                  <w:vAlign w:val="center"/>
                </w:tcPr>
                <w:p w14:paraId="0B922C9F">
                  <w:pPr>
                    <w:tabs>
                      <w:tab w:val="left" w:pos="360"/>
                    </w:tabs>
                    <w:spacing w:line="460" w:lineRule="exact"/>
                    <w:jc w:val="center"/>
                    <w:rPr>
                      <w:rFonts w:ascii="宋体" w:hAnsi="宋体" w:cs="宋体"/>
                      <w:b/>
                      <w:bCs/>
                      <w:color w:val="auto"/>
                      <w:sz w:val="22"/>
                      <w:szCs w:val="22"/>
                      <w:highlight w:val="none"/>
                      <w:shd w:val="clear" w:color="auto" w:fill="FFFFFF"/>
                    </w:rPr>
                  </w:pPr>
                  <w:r>
                    <w:rPr>
                      <w:rFonts w:hint="eastAsia" w:ascii="宋体" w:hAnsi="宋体" w:cs="宋体"/>
                      <w:b/>
                      <w:bCs/>
                      <w:color w:val="auto"/>
                      <w:sz w:val="22"/>
                      <w:szCs w:val="22"/>
                      <w:highlight w:val="none"/>
                    </w:rPr>
                    <w:t>单位</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39ECDB3B">
                  <w:pPr>
                    <w:tabs>
                      <w:tab w:val="left" w:pos="360"/>
                    </w:tabs>
                    <w:spacing w:line="460" w:lineRule="exact"/>
                    <w:jc w:val="center"/>
                    <w:rPr>
                      <w:rFonts w:ascii="宋体" w:hAnsi="宋体" w:cs="宋体"/>
                      <w:b/>
                      <w:bCs/>
                      <w:color w:val="auto"/>
                      <w:sz w:val="22"/>
                      <w:szCs w:val="22"/>
                      <w:highlight w:val="none"/>
                    </w:rPr>
                  </w:pPr>
                  <w:r>
                    <w:rPr>
                      <w:rFonts w:hint="eastAsia" w:ascii="宋体" w:hAnsi="宋体" w:cs="宋体"/>
                      <w:b/>
                      <w:bCs/>
                      <w:color w:val="auto"/>
                      <w:sz w:val="22"/>
                      <w:highlight w:val="none"/>
                    </w:rPr>
                    <w:t>预算金额（万元）</w:t>
                  </w:r>
                </w:p>
              </w:tc>
              <w:tc>
                <w:tcPr>
                  <w:tcW w:w="3455" w:type="dxa"/>
                  <w:tcBorders>
                    <w:top w:val="single" w:color="auto" w:sz="4" w:space="0"/>
                    <w:left w:val="single" w:color="auto" w:sz="4" w:space="0"/>
                    <w:bottom w:val="single" w:color="auto" w:sz="4" w:space="0"/>
                    <w:right w:val="single" w:color="auto" w:sz="4" w:space="0"/>
                  </w:tcBorders>
                  <w:vAlign w:val="center"/>
                </w:tcPr>
                <w:p w14:paraId="66120200">
                  <w:pPr>
                    <w:widowControl/>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简要技术要求、用途</w:t>
                  </w:r>
                </w:p>
              </w:tc>
            </w:tr>
            <w:tr w14:paraId="7D2C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FE38FDC">
                  <w:pPr>
                    <w:tabs>
                      <w:tab w:val="left" w:pos="360"/>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975" w:type="dxa"/>
                  <w:tcBorders>
                    <w:top w:val="single" w:color="auto" w:sz="4" w:space="0"/>
                    <w:left w:val="single" w:color="auto" w:sz="4" w:space="0"/>
                    <w:bottom w:val="single" w:color="auto" w:sz="4" w:space="0"/>
                    <w:right w:val="single" w:color="auto" w:sz="4" w:space="0"/>
                  </w:tcBorders>
                  <w:vAlign w:val="center"/>
                </w:tcPr>
                <w:p w14:paraId="48D0D8A8">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远程胎心监护</w:t>
                  </w:r>
                </w:p>
              </w:tc>
              <w:tc>
                <w:tcPr>
                  <w:tcW w:w="1100" w:type="dxa"/>
                  <w:tcBorders>
                    <w:top w:val="single" w:color="auto" w:sz="4" w:space="0"/>
                    <w:left w:val="single" w:color="auto" w:sz="4" w:space="0"/>
                    <w:bottom w:val="single" w:color="auto" w:sz="4" w:space="0"/>
                    <w:right w:val="single" w:color="auto" w:sz="4" w:space="0"/>
                  </w:tcBorders>
                  <w:vAlign w:val="center"/>
                </w:tcPr>
                <w:p w14:paraId="4107B5F2">
                  <w:pPr>
                    <w:tabs>
                      <w:tab w:val="left" w:pos="360"/>
                    </w:tabs>
                    <w:spacing w:line="460" w:lineRule="exact"/>
                    <w:jc w:val="center"/>
                    <w:rPr>
                      <w:rFonts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1项</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0260384D">
                  <w:pPr>
                    <w:tabs>
                      <w:tab w:val="left" w:pos="360"/>
                    </w:tabs>
                    <w:spacing w:line="460" w:lineRule="exact"/>
                    <w:jc w:val="center"/>
                    <w:rPr>
                      <w:rFonts w:hint="eastAsia" w:ascii="宋体" w:hAnsi="宋体" w:eastAsia="宋体" w:cs="宋体"/>
                      <w:color w:val="auto"/>
                      <w:sz w:val="22"/>
                      <w:szCs w:val="22"/>
                      <w:highlight w:val="none"/>
                      <w:shd w:val="clear" w:color="auto" w:fill="FFFFFF"/>
                      <w:lang w:eastAsia="zh-CN"/>
                    </w:rPr>
                  </w:pPr>
                  <w:r>
                    <w:rPr>
                      <w:rFonts w:hint="eastAsia" w:ascii="宋体" w:hAnsi="宋体" w:cs="宋体"/>
                      <w:color w:val="auto"/>
                      <w:sz w:val="22"/>
                      <w:szCs w:val="22"/>
                      <w:highlight w:val="none"/>
                      <w:shd w:val="clear" w:color="auto" w:fill="FFFFFF"/>
                      <w:lang w:eastAsia="zh-CN"/>
                    </w:rPr>
                    <w:t>100</w:t>
                  </w:r>
                </w:p>
              </w:tc>
              <w:tc>
                <w:tcPr>
                  <w:tcW w:w="3455" w:type="dxa"/>
                  <w:tcBorders>
                    <w:top w:val="single" w:color="auto" w:sz="4" w:space="0"/>
                    <w:left w:val="single" w:color="auto" w:sz="4" w:space="0"/>
                    <w:right w:val="single" w:color="auto" w:sz="4" w:space="0"/>
                  </w:tcBorders>
                  <w:vAlign w:val="center"/>
                </w:tcPr>
                <w:p w14:paraId="53AAD664">
                  <w:pPr>
                    <w:shd w:val="clear" w:color="auto" w:fill="FFFFFF"/>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详见招标文件第四部分“项目技术规范和服务要求”</w:t>
                  </w:r>
                </w:p>
              </w:tc>
            </w:tr>
          </w:tbl>
          <w:p w14:paraId="1D38881F">
            <w:pPr>
              <w:rPr>
                <w:rFonts w:ascii="宋体" w:hAnsi="宋体" w:cs="宋体"/>
                <w:color w:val="auto"/>
                <w:highlight w:val="none"/>
              </w:rPr>
            </w:pPr>
            <w:r>
              <w:rPr>
                <w:rFonts w:hint="eastAsia" w:ascii="宋体" w:hAnsi="宋体" w:cs="宋体"/>
                <w:b/>
                <w:bCs/>
                <w:color w:val="auto"/>
                <w:sz w:val="22"/>
                <w:szCs w:val="22"/>
                <w:highlight w:val="none"/>
                <w:lang w:val="en-US" w:eastAsia="zh-CN"/>
              </w:rPr>
              <w:t>★</w:t>
            </w:r>
            <w:r>
              <w:rPr>
                <w:rFonts w:hint="eastAsia" w:ascii="宋体" w:hAnsi="宋体" w:cs="宋体"/>
                <w:b/>
                <w:bCs/>
                <w:color w:val="auto"/>
                <w:sz w:val="22"/>
                <w:szCs w:val="22"/>
                <w:highlight w:val="none"/>
              </w:rPr>
              <w:t>服务费用最高限价为26元/天/人（台），</w:t>
            </w:r>
            <w:r>
              <w:rPr>
                <w:rFonts w:hint="eastAsia" w:ascii="宋体" w:hAnsi="宋体" w:cs="宋体"/>
                <w:b/>
                <w:color w:val="auto"/>
                <w:sz w:val="22"/>
                <w:szCs w:val="22"/>
                <w:highlight w:val="none"/>
              </w:rPr>
              <w:t>如投标人报价超过最高限价按无效标处理。</w:t>
            </w:r>
          </w:p>
        </w:tc>
      </w:tr>
      <w:tr w14:paraId="71A9B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58D2D84">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029874F4">
            <w:pPr>
              <w:snapToGrid w:val="0"/>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lang w:val="zh-CN"/>
              </w:rPr>
              <w:t>投标</w:t>
            </w:r>
            <w:r>
              <w:rPr>
                <w:rFonts w:hint="eastAsia" w:ascii="宋体" w:hAnsi="宋体" w:cs="宋体"/>
                <w:b/>
                <w:bCs/>
                <w:color w:val="auto"/>
                <w:sz w:val="22"/>
                <w:szCs w:val="22"/>
                <w:highlight w:val="none"/>
              </w:rPr>
              <w:t>有效期：</w:t>
            </w:r>
            <w:r>
              <w:rPr>
                <w:rFonts w:hint="eastAsia" w:ascii="宋体" w:hAnsi="宋体" w:cs="宋体"/>
                <w:color w:val="auto"/>
                <w:sz w:val="22"/>
                <w:szCs w:val="22"/>
                <w:highlight w:val="none"/>
              </w:rPr>
              <w:t>自投标截止日起120天。</w:t>
            </w:r>
          </w:p>
        </w:tc>
      </w:tr>
      <w:tr w14:paraId="0A1F7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DDC05A3">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394596BA">
            <w:pPr>
              <w:snapToGrid w:val="0"/>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投标保证金数额：无</w:t>
            </w:r>
            <w:r>
              <w:rPr>
                <w:rFonts w:hint="eastAsia" w:ascii="宋体" w:hAnsi="宋体" w:cs="宋体"/>
                <w:color w:val="auto"/>
                <w:sz w:val="22"/>
                <w:szCs w:val="22"/>
                <w:highlight w:val="none"/>
              </w:rPr>
              <w:t>。</w:t>
            </w:r>
          </w:p>
        </w:tc>
      </w:tr>
      <w:tr w14:paraId="3D79A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3C0ED7C">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4</w:t>
            </w:r>
          </w:p>
        </w:tc>
        <w:tc>
          <w:tcPr>
            <w:tcW w:w="9590" w:type="dxa"/>
            <w:tcBorders>
              <w:top w:val="single" w:color="000000" w:sz="2" w:space="0"/>
              <w:left w:val="single" w:color="000000" w:sz="2" w:space="0"/>
              <w:bottom w:val="single" w:color="000000" w:sz="2" w:space="0"/>
              <w:right w:val="single" w:color="000000" w:sz="8" w:space="0"/>
            </w:tcBorders>
            <w:vAlign w:val="center"/>
          </w:tcPr>
          <w:p w14:paraId="481A0EF4">
            <w:pPr>
              <w:snapToGrid w:val="0"/>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招标服务费：</w:t>
            </w:r>
            <w:r>
              <w:rPr>
                <w:rFonts w:hint="eastAsia" w:ascii="宋体" w:hAnsi="宋体" w:cs="宋体"/>
                <w:b/>
                <w:bCs/>
                <w:color w:val="auto"/>
                <w:sz w:val="22"/>
                <w:highlight w:val="none"/>
              </w:rPr>
              <w:t>根据国家计委计价格【2002】1980号《招标代理服务收费管理暂行办法》规定计算后下浮</w:t>
            </w:r>
            <w:r>
              <w:rPr>
                <w:rFonts w:hint="eastAsia" w:ascii="宋体" w:hAnsi="宋体" w:cs="宋体"/>
                <w:b/>
                <w:bCs/>
                <w:color w:val="auto"/>
                <w:sz w:val="22"/>
                <w:highlight w:val="none"/>
                <w:lang w:val="en-US" w:eastAsia="zh-CN"/>
              </w:rPr>
              <w:t>18</w:t>
            </w:r>
            <w:r>
              <w:rPr>
                <w:rFonts w:hint="eastAsia" w:ascii="宋体" w:hAnsi="宋体" w:cs="宋体"/>
                <w:b/>
                <w:bCs/>
                <w:color w:val="auto"/>
                <w:sz w:val="22"/>
                <w:highlight w:val="none"/>
              </w:rPr>
              <w:t>%收取，由中标人领取中标通知前支付。</w:t>
            </w:r>
          </w:p>
          <w:p w14:paraId="32F44D12">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户   名：温州历程招标有限公司</w:t>
            </w:r>
          </w:p>
          <w:p w14:paraId="244F5B1A">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账   号：33050162870409101001</w:t>
            </w:r>
          </w:p>
          <w:p w14:paraId="590DE871">
            <w:pPr>
              <w:spacing w:line="460" w:lineRule="exact"/>
              <w:ind w:firstLine="539" w:firstLineChars="245"/>
              <w:rPr>
                <w:rFonts w:ascii="宋体" w:hAnsi="宋体" w:cs="宋体"/>
                <w:color w:val="auto"/>
                <w:highlight w:val="none"/>
              </w:rPr>
            </w:pPr>
            <w:r>
              <w:rPr>
                <w:rFonts w:hint="eastAsia" w:ascii="宋体" w:hAnsi="宋体" w:cs="宋体"/>
                <w:color w:val="auto"/>
                <w:sz w:val="22"/>
                <w:szCs w:val="22"/>
                <w:highlight w:val="none"/>
              </w:rPr>
              <w:t>开户银行：中国建设银行股份有限公司温州新城支行</w:t>
            </w:r>
          </w:p>
        </w:tc>
      </w:tr>
      <w:tr w14:paraId="3C15B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D251E59">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4EB613D5">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投标文件的组成：</w:t>
            </w:r>
            <w:r>
              <w:rPr>
                <w:rFonts w:hint="eastAsia" w:ascii="宋体" w:hAnsi="宋体" w:cs="宋体"/>
                <w:color w:val="auto"/>
                <w:sz w:val="22"/>
                <w:szCs w:val="22"/>
                <w:highlight w:val="none"/>
              </w:rPr>
              <w:t>完整的《投标文件》由“资格文件”、“报价文件”和“商务技术文件”三个部分组成。</w:t>
            </w:r>
          </w:p>
        </w:tc>
      </w:tr>
      <w:tr w14:paraId="35B55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D10A539">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7D03B375">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投标文件的编制：</w:t>
            </w:r>
            <w:r>
              <w:rPr>
                <w:rFonts w:hint="eastAsia" w:ascii="宋体" w:hAnsi="宋体" w:cs="宋体"/>
                <w:color w:val="auto"/>
                <w:sz w:val="22"/>
                <w:szCs w:val="22"/>
                <w:highlight w:val="none"/>
              </w:rPr>
              <w:t>供应商应先安装“</w:t>
            </w:r>
            <w:r>
              <w:rPr>
                <w:rFonts w:hint="eastAsia" w:ascii="宋体" w:hAnsi="宋体" w:cs="宋体"/>
                <w:color w:val="auto"/>
                <w:sz w:val="22"/>
                <w:szCs w:val="22"/>
                <w:highlight w:val="none"/>
                <w:lang w:eastAsia="zh-CN"/>
              </w:rPr>
              <w:t>政采云</w:t>
            </w:r>
            <w:r>
              <w:rPr>
                <w:rFonts w:hint="eastAsia" w:ascii="宋体" w:hAnsi="宋体" w:cs="宋体"/>
                <w:color w:val="auto"/>
                <w:sz w:val="22"/>
                <w:szCs w:val="22"/>
                <w:highlight w:val="none"/>
              </w:rPr>
              <w:t>电子交易客户端”，并按照本招标文件和“</w:t>
            </w:r>
            <w:r>
              <w:rPr>
                <w:rFonts w:hint="eastAsia" w:ascii="宋体" w:hAnsi="宋体" w:cs="宋体"/>
                <w:color w:val="auto"/>
                <w:sz w:val="22"/>
                <w:szCs w:val="22"/>
                <w:highlight w:val="none"/>
                <w:lang w:eastAsia="zh-CN"/>
              </w:rPr>
              <w:t>政采云平台</w:t>
            </w:r>
            <w:r>
              <w:rPr>
                <w:rFonts w:hint="eastAsia" w:ascii="宋体" w:hAnsi="宋体" w:cs="宋体"/>
                <w:color w:val="auto"/>
                <w:sz w:val="22"/>
                <w:szCs w:val="22"/>
                <w:highlight w:val="none"/>
              </w:rPr>
              <w:t>”的要求，通过“</w:t>
            </w:r>
            <w:r>
              <w:rPr>
                <w:rFonts w:hint="eastAsia" w:ascii="宋体" w:hAnsi="宋体" w:cs="宋体"/>
                <w:color w:val="auto"/>
                <w:sz w:val="22"/>
                <w:szCs w:val="22"/>
                <w:highlight w:val="none"/>
                <w:lang w:eastAsia="zh-CN"/>
              </w:rPr>
              <w:t>政采云</w:t>
            </w:r>
            <w:r>
              <w:rPr>
                <w:rFonts w:hint="eastAsia" w:ascii="宋体" w:hAnsi="宋体" w:cs="宋体"/>
                <w:color w:val="auto"/>
                <w:sz w:val="22"/>
                <w:szCs w:val="22"/>
                <w:highlight w:val="none"/>
              </w:rPr>
              <w:t>电子交易客户端”编制并加密投标文件。</w:t>
            </w:r>
          </w:p>
        </w:tc>
      </w:tr>
      <w:tr w14:paraId="3F7C0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8DDD0F9">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36058E22">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投标文件的签章：</w:t>
            </w:r>
            <w:r>
              <w:rPr>
                <w:rFonts w:hint="eastAsia" w:ascii="宋体" w:hAnsi="宋体" w:cs="宋体"/>
                <w:color w:val="auto"/>
                <w:sz w:val="22"/>
                <w:szCs w:val="22"/>
                <w:highlight w:val="none"/>
              </w:rPr>
              <w:t>电子签章。</w:t>
            </w:r>
          </w:p>
        </w:tc>
      </w:tr>
      <w:tr w14:paraId="71B2CE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1E78C6D">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6D93BE69">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投标文件的形式：</w:t>
            </w:r>
            <w:r>
              <w:rPr>
                <w:rFonts w:hint="eastAsia" w:ascii="宋体" w:hAnsi="宋体" w:cs="宋体"/>
                <w:color w:val="auto"/>
                <w:sz w:val="22"/>
                <w:szCs w:val="22"/>
                <w:highlight w:val="none"/>
              </w:rPr>
              <w:t>☑电子投标文件（包括“电子加密投标文件”和“备份投标文件”，在投标文件编制完成后同时生成）；</w:t>
            </w:r>
          </w:p>
          <w:p w14:paraId="6FDC7EA3">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（1）“电子加密投标文件”是指通过“</w:t>
            </w:r>
            <w:r>
              <w:rPr>
                <w:rFonts w:hint="eastAsia" w:ascii="宋体" w:hAnsi="宋体" w:cs="宋体"/>
                <w:color w:val="auto"/>
                <w:sz w:val="22"/>
                <w:szCs w:val="22"/>
                <w:highlight w:val="none"/>
                <w:lang w:eastAsia="zh-CN"/>
              </w:rPr>
              <w:t>政采云</w:t>
            </w:r>
            <w:r>
              <w:rPr>
                <w:rFonts w:hint="eastAsia" w:ascii="宋体" w:hAnsi="宋体" w:cs="宋体"/>
                <w:color w:val="auto"/>
                <w:sz w:val="22"/>
                <w:szCs w:val="22"/>
                <w:highlight w:val="none"/>
              </w:rPr>
              <w:t>电子交易客户端”完成投标文件编制后生成并加密的数据电文形式的投标文件。</w:t>
            </w:r>
          </w:p>
          <w:p w14:paraId="156A3CA4">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66828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7729DC9">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09C8C5E1">
            <w:pPr>
              <w:spacing w:line="460" w:lineRule="exact"/>
              <w:rPr>
                <w:color w:val="auto"/>
                <w:sz w:val="22"/>
                <w:szCs w:val="28"/>
                <w:highlight w:val="none"/>
              </w:rPr>
            </w:pPr>
            <w:r>
              <w:rPr>
                <w:rFonts w:hint="eastAsia"/>
                <w:color w:val="auto"/>
                <w:sz w:val="22"/>
                <w:szCs w:val="28"/>
                <w:highlight w:val="none"/>
              </w:rPr>
              <w:t>投标文件份数：</w:t>
            </w:r>
          </w:p>
          <w:p w14:paraId="5B8E06C0">
            <w:pPr>
              <w:numPr>
                <w:ilvl w:val="0"/>
                <w:numId w:val="1"/>
              </w:numPr>
              <w:spacing w:line="460" w:lineRule="exact"/>
              <w:rPr>
                <w:color w:val="auto"/>
                <w:sz w:val="22"/>
                <w:szCs w:val="28"/>
                <w:highlight w:val="none"/>
              </w:rPr>
            </w:pPr>
            <w:r>
              <w:rPr>
                <w:rFonts w:hint="eastAsia"/>
                <w:color w:val="auto"/>
                <w:sz w:val="22"/>
                <w:szCs w:val="28"/>
                <w:highlight w:val="none"/>
              </w:rPr>
              <w:t>“电子加密投标文件”：在线上传递交、一份。</w:t>
            </w:r>
          </w:p>
          <w:p w14:paraId="206BE88A">
            <w:pPr>
              <w:numPr>
                <w:ilvl w:val="0"/>
                <w:numId w:val="1"/>
              </w:numPr>
              <w:spacing w:line="460" w:lineRule="exact"/>
              <w:rPr>
                <w:color w:val="auto"/>
                <w:sz w:val="22"/>
                <w:szCs w:val="28"/>
                <w:highlight w:val="none"/>
              </w:rPr>
            </w:pPr>
            <w:r>
              <w:rPr>
                <w:rFonts w:hint="eastAsia"/>
                <w:color w:val="auto"/>
                <w:sz w:val="22"/>
                <w:szCs w:val="28"/>
                <w:highlight w:val="none"/>
              </w:rPr>
              <w:t>“备份投标文件”：密封包装后投标截止时间前递交、一份</w:t>
            </w:r>
          </w:p>
          <w:p w14:paraId="10045DE6">
            <w:pPr>
              <w:spacing w:line="460" w:lineRule="exact"/>
              <w:rPr>
                <w:color w:val="auto"/>
                <w:sz w:val="22"/>
                <w:szCs w:val="28"/>
                <w:highlight w:val="none"/>
              </w:rPr>
            </w:pPr>
            <w:r>
              <w:rPr>
                <w:rFonts w:hint="eastAsia"/>
                <w:color w:val="auto"/>
                <w:sz w:val="22"/>
                <w:szCs w:val="28"/>
                <w:highlight w:val="none"/>
              </w:rPr>
              <w:t>（若不提供备份投标文件，开标当天电子加密投标文件解密失败，投标人自行负责。）</w:t>
            </w:r>
          </w:p>
          <w:p w14:paraId="141F106F">
            <w:pPr>
              <w:tabs>
                <w:tab w:val="left" w:pos="360"/>
              </w:tabs>
              <w:spacing w:line="460" w:lineRule="exact"/>
              <w:rPr>
                <w:color w:val="auto"/>
                <w:sz w:val="22"/>
                <w:szCs w:val="28"/>
                <w:highlight w:val="none"/>
              </w:rPr>
            </w:pPr>
            <w:r>
              <w:rPr>
                <w:rFonts w:hint="eastAsia"/>
                <w:color w:val="auto"/>
                <w:sz w:val="22"/>
                <w:szCs w:val="28"/>
                <w:highlight w:val="none"/>
              </w:rPr>
              <w:t>可以（邮寄形式，建议顺丰）在投标截止时间前递交，并需采购代理机构确认是否收到，</w:t>
            </w:r>
          </w:p>
          <w:p w14:paraId="0DF547B6">
            <w:pPr>
              <w:spacing w:line="460" w:lineRule="exact"/>
              <w:rPr>
                <w:color w:val="auto"/>
                <w:sz w:val="22"/>
                <w:szCs w:val="28"/>
                <w:highlight w:val="none"/>
              </w:rPr>
            </w:pPr>
            <w:r>
              <w:rPr>
                <w:rFonts w:hint="eastAsia"/>
                <w:color w:val="auto"/>
                <w:sz w:val="22"/>
                <w:szCs w:val="28"/>
                <w:highlight w:val="none"/>
              </w:rPr>
              <w:t>邮寄地址：温州市鹿城区南汇街道勤民路鹿城壹号18幢803室</w:t>
            </w:r>
          </w:p>
          <w:p w14:paraId="24165ED7">
            <w:pPr>
              <w:spacing w:line="460" w:lineRule="exact"/>
              <w:rPr>
                <w:color w:val="auto"/>
                <w:highlight w:val="none"/>
              </w:rPr>
            </w:pPr>
            <w:r>
              <w:rPr>
                <w:rFonts w:hint="eastAsia"/>
                <w:color w:val="auto"/>
                <w:sz w:val="22"/>
                <w:szCs w:val="28"/>
                <w:highlight w:val="none"/>
              </w:rPr>
              <w:t>联系人：肖忠文    联系电话：13757727199</w:t>
            </w:r>
          </w:p>
        </w:tc>
      </w:tr>
      <w:tr w14:paraId="0C590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235AFFE">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rPr>
              <w:t>1</w:t>
            </w:r>
            <w:r>
              <w:rPr>
                <w:rFonts w:hint="eastAsia" w:ascii="宋体" w:hAnsi="宋体" w:cs="宋体"/>
                <w:b/>
                <w:bCs/>
                <w:color w:val="auto"/>
                <w:sz w:val="22"/>
                <w:szCs w:val="22"/>
                <w:highlight w:val="none"/>
                <w:lang w:val="en-US" w:eastAsia="zh-CN"/>
              </w:rPr>
              <w:t>0</w:t>
            </w:r>
          </w:p>
        </w:tc>
        <w:tc>
          <w:tcPr>
            <w:tcW w:w="9590" w:type="dxa"/>
            <w:tcBorders>
              <w:top w:val="single" w:color="000000" w:sz="2" w:space="0"/>
              <w:left w:val="single" w:color="000000" w:sz="2" w:space="0"/>
              <w:bottom w:val="single" w:color="000000" w:sz="2" w:space="0"/>
              <w:right w:val="single" w:color="000000" w:sz="8" w:space="0"/>
            </w:tcBorders>
            <w:vAlign w:val="center"/>
          </w:tcPr>
          <w:p w14:paraId="74AD0AFD">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投标文件的上传和递交：</w:t>
            </w:r>
          </w:p>
          <w:p w14:paraId="2EA83A9E">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（1）“电子加密投标文件”的上传、递交：</w:t>
            </w:r>
          </w:p>
          <w:p w14:paraId="68080177">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a.投标人应在投标截止时间前将“电子加密投标文件”成功上传递交至“</w:t>
            </w:r>
            <w:r>
              <w:rPr>
                <w:rFonts w:hint="eastAsia" w:ascii="宋体" w:hAnsi="宋体" w:cs="宋体"/>
                <w:color w:val="auto"/>
                <w:sz w:val="22"/>
                <w:szCs w:val="22"/>
                <w:highlight w:val="none"/>
                <w:lang w:eastAsia="zh-CN"/>
              </w:rPr>
              <w:t>政采云平台</w:t>
            </w:r>
            <w:r>
              <w:rPr>
                <w:rFonts w:hint="eastAsia" w:ascii="宋体" w:hAnsi="宋体" w:cs="宋体"/>
                <w:color w:val="auto"/>
                <w:sz w:val="22"/>
                <w:szCs w:val="22"/>
                <w:highlight w:val="none"/>
              </w:rPr>
              <w:t>”，否则投标无效。</w:t>
            </w:r>
          </w:p>
          <w:p w14:paraId="19CBDB63">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b.“电子加密投标文件”成功上传递交后，供应商可自行打印投标文件接收回执。</w:t>
            </w:r>
          </w:p>
          <w:p w14:paraId="3254851F">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（2）“备份投标文件”的密封包装、递交：</w:t>
            </w:r>
          </w:p>
          <w:p w14:paraId="5A8242F3">
            <w:pPr>
              <w:tabs>
                <w:tab w:val="left" w:pos="360"/>
              </w:tabs>
              <w:spacing w:line="460" w:lineRule="exact"/>
              <w:rPr>
                <w:rFonts w:ascii="宋体" w:hAnsi="宋体" w:cs="宋体"/>
                <w:b/>
                <w:bCs/>
                <w:color w:val="auto"/>
                <w:sz w:val="22"/>
                <w:szCs w:val="22"/>
                <w:highlight w:val="none"/>
              </w:rPr>
            </w:pPr>
            <w:r>
              <w:rPr>
                <w:rFonts w:hint="eastAsia" w:ascii="宋体" w:hAnsi="宋体" w:cs="宋体"/>
                <w:color w:val="auto"/>
                <w:sz w:val="22"/>
                <w:szCs w:val="22"/>
                <w:highlight w:val="none"/>
              </w:rPr>
              <w:t>a.投标人在“</w:t>
            </w:r>
            <w:r>
              <w:rPr>
                <w:rFonts w:hint="eastAsia" w:ascii="宋体" w:hAnsi="宋体" w:cs="宋体"/>
                <w:color w:val="auto"/>
                <w:sz w:val="22"/>
                <w:szCs w:val="22"/>
                <w:highlight w:val="none"/>
                <w:lang w:eastAsia="zh-CN"/>
              </w:rPr>
              <w:t>政采云平台</w:t>
            </w:r>
            <w:r>
              <w:rPr>
                <w:rFonts w:hint="eastAsia" w:ascii="宋体" w:hAnsi="宋体" w:cs="宋体"/>
                <w:color w:val="auto"/>
                <w:sz w:val="22"/>
                <w:szCs w:val="22"/>
                <w:highlight w:val="none"/>
              </w:rPr>
              <w:t>”完成“电子加密投标文件”的上传递交后，</w:t>
            </w:r>
            <w:r>
              <w:rPr>
                <w:rFonts w:hint="eastAsia" w:ascii="宋体" w:hAnsi="宋体" w:cs="宋体"/>
                <w:b/>
                <w:bCs/>
                <w:color w:val="auto"/>
                <w:sz w:val="22"/>
                <w:szCs w:val="22"/>
                <w:highlight w:val="none"/>
              </w:rPr>
              <w:t>还可以在投标截止时间前递交以介质（U盘）存储的数据电文形式的“备份投标文件”，（可以</w:t>
            </w:r>
            <w:r>
              <w:rPr>
                <w:rFonts w:hint="eastAsia" w:ascii="宋体" w:hAnsi="宋体" w:cs="宋体"/>
                <w:b/>
                <w:color w:val="auto"/>
                <w:sz w:val="22"/>
                <w:szCs w:val="22"/>
                <w:highlight w:val="none"/>
                <w:u w:val="single"/>
              </w:rPr>
              <w:t>（邮寄形式，建议顺丰）在投标截止时间前递交，并需采购代理机构确认是否收到</w:t>
            </w:r>
            <w:r>
              <w:rPr>
                <w:rFonts w:hint="eastAsia" w:ascii="宋体" w:hAnsi="宋体" w:cs="宋体"/>
                <w:b/>
                <w:bCs/>
                <w:color w:val="auto"/>
                <w:sz w:val="22"/>
                <w:szCs w:val="22"/>
                <w:highlight w:val="none"/>
              </w:rPr>
              <w:t>）</w:t>
            </w:r>
          </w:p>
          <w:p w14:paraId="5D53F009">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14:paraId="3A7FC80D">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c.通过“</w:t>
            </w:r>
            <w:r>
              <w:rPr>
                <w:rFonts w:hint="eastAsia" w:ascii="宋体" w:hAnsi="宋体" w:cs="宋体"/>
                <w:color w:val="auto"/>
                <w:sz w:val="22"/>
                <w:szCs w:val="22"/>
                <w:highlight w:val="none"/>
                <w:lang w:eastAsia="zh-CN"/>
              </w:rPr>
              <w:t>政采云平台</w:t>
            </w:r>
            <w:r>
              <w:rPr>
                <w:rFonts w:hint="eastAsia" w:ascii="宋体" w:hAnsi="宋体" w:cs="宋体"/>
                <w:color w:val="auto"/>
                <w:sz w:val="22"/>
                <w:szCs w:val="22"/>
                <w:highlight w:val="none"/>
              </w:rPr>
              <w:t>”成功上传递交的“电子加密投标文件”已按时解密的，“备份投标文件”自动失效。投标截止时间前，投标人仅递交了“备份投标文件”而未将“电子加密投标文件”成功上传至“</w:t>
            </w:r>
            <w:r>
              <w:rPr>
                <w:rFonts w:hint="eastAsia" w:ascii="宋体" w:hAnsi="宋体" w:cs="宋体"/>
                <w:color w:val="auto"/>
                <w:sz w:val="22"/>
                <w:szCs w:val="22"/>
                <w:highlight w:val="none"/>
                <w:lang w:eastAsia="zh-CN"/>
              </w:rPr>
              <w:t>政采云平台</w:t>
            </w:r>
            <w:r>
              <w:rPr>
                <w:rFonts w:hint="eastAsia" w:ascii="宋体" w:hAnsi="宋体" w:cs="宋体"/>
                <w:color w:val="auto"/>
                <w:sz w:val="22"/>
                <w:szCs w:val="22"/>
                <w:highlight w:val="none"/>
              </w:rPr>
              <w:t>”的，投标无效。</w:t>
            </w:r>
          </w:p>
        </w:tc>
      </w:tr>
      <w:tr w14:paraId="4E441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A119C48">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rPr>
              <w:t>1</w:t>
            </w:r>
            <w:r>
              <w:rPr>
                <w:rFonts w:hint="eastAsia" w:ascii="宋体" w:hAnsi="宋体" w:cs="宋体"/>
                <w:b/>
                <w:bCs/>
                <w:color w:val="auto"/>
                <w:sz w:val="22"/>
                <w:szCs w:val="22"/>
                <w:highlight w:val="none"/>
                <w:lang w:val="en-US" w:eastAsia="zh-CN"/>
              </w:rPr>
              <w:t>1</w:t>
            </w:r>
          </w:p>
        </w:tc>
        <w:tc>
          <w:tcPr>
            <w:tcW w:w="9590" w:type="dxa"/>
            <w:tcBorders>
              <w:top w:val="single" w:color="000000" w:sz="2" w:space="0"/>
              <w:left w:val="single" w:color="000000" w:sz="2" w:space="0"/>
              <w:bottom w:val="single" w:color="000000" w:sz="2" w:space="0"/>
              <w:right w:val="single" w:color="000000" w:sz="8" w:space="0"/>
            </w:tcBorders>
            <w:vAlign w:val="center"/>
          </w:tcPr>
          <w:p w14:paraId="6ACAB07A">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电子加密投标文件的解密和异常情况处理：</w:t>
            </w:r>
          </w:p>
          <w:p w14:paraId="7C27BDE8">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14:paraId="05982510">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（2）通过“</w:t>
            </w:r>
            <w:r>
              <w:rPr>
                <w:rFonts w:hint="eastAsia" w:ascii="宋体" w:hAnsi="宋体" w:cs="宋体"/>
                <w:color w:val="auto"/>
                <w:sz w:val="22"/>
                <w:szCs w:val="22"/>
                <w:highlight w:val="none"/>
                <w:lang w:eastAsia="zh-CN"/>
              </w:rPr>
              <w:t>政采云平台</w:t>
            </w:r>
            <w:r>
              <w:rPr>
                <w:rFonts w:hint="eastAsia" w:ascii="宋体" w:hAnsi="宋体" w:cs="宋体"/>
                <w:color w:val="auto"/>
                <w:sz w:val="22"/>
                <w:szCs w:val="22"/>
                <w:highlight w:val="none"/>
              </w:rPr>
              <w:t>”成功上传递交的“电子加密投标文件”无法按时解密，投标人如按规定递交了“备份投标文件”的，以“备份投标文件”为依据（由采购组织机构按“</w:t>
            </w:r>
            <w:r>
              <w:rPr>
                <w:rFonts w:hint="eastAsia" w:ascii="宋体" w:hAnsi="宋体" w:cs="宋体"/>
                <w:color w:val="auto"/>
                <w:sz w:val="22"/>
                <w:szCs w:val="22"/>
                <w:highlight w:val="none"/>
                <w:lang w:eastAsia="zh-CN"/>
              </w:rPr>
              <w:t>政采云平台</w:t>
            </w:r>
            <w:r>
              <w:rPr>
                <w:rFonts w:hint="eastAsia" w:ascii="宋体" w:hAnsi="宋体" w:cs="宋体"/>
                <w:color w:val="auto"/>
                <w:sz w:val="22"/>
                <w:szCs w:val="22"/>
                <w:highlight w:val="none"/>
              </w:rPr>
              <w:t>”操作规范将“备份投标文件”上传至“</w:t>
            </w:r>
            <w:r>
              <w:rPr>
                <w:rFonts w:hint="eastAsia" w:ascii="宋体" w:hAnsi="宋体" w:cs="宋体"/>
                <w:color w:val="auto"/>
                <w:sz w:val="22"/>
                <w:szCs w:val="22"/>
                <w:highlight w:val="none"/>
                <w:lang w:eastAsia="zh-CN"/>
              </w:rPr>
              <w:t>政采云平台</w:t>
            </w:r>
            <w:r>
              <w:rPr>
                <w:rFonts w:hint="eastAsia" w:ascii="宋体" w:hAnsi="宋体" w:cs="宋体"/>
                <w:color w:val="auto"/>
                <w:sz w:val="22"/>
                <w:szCs w:val="22"/>
                <w:highlight w:val="none"/>
              </w:rPr>
              <w:t>”，上传成功后，“电子加密投标文件”自动失效），否则视为投标文件撤回。</w:t>
            </w:r>
          </w:p>
          <w:p w14:paraId="01A824D9">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（3）投标截止时间前，投标人仅递交了“备份投标文件”而未将电子加密投标文件上传至“</w:t>
            </w:r>
            <w:r>
              <w:rPr>
                <w:rFonts w:hint="eastAsia" w:ascii="宋体" w:hAnsi="宋体" w:cs="宋体"/>
                <w:color w:val="auto"/>
                <w:sz w:val="22"/>
                <w:szCs w:val="22"/>
                <w:highlight w:val="none"/>
                <w:lang w:eastAsia="zh-CN"/>
              </w:rPr>
              <w:t>政采云平台</w:t>
            </w:r>
            <w:r>
              <w:rPr>
                <w:rFonts w:hint="eastAsia" w:ascii="宋体" w:hAnsi="宋体" w:cs="宋体"/>
                <w:color w:val="auto"/>
                <w:sz w:val="22"/>
                <w:szCs w:val="22"/>
                <w:highlight w:val="none"/>
              </w:rPr>
              <w:t>”的，投标无效。</w:t>
            </w:r>
          </w:p>
        </w:tc>
      </w:tr>
      <w:tr w14:paraId="2A335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5054CB5">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rPr>
              <w:t>1</w:t>
            </w:r>
            <w:r>
              <w:rPr>
                <w:rFonts w:hint="eastAsia" w:ascii="宋体" w:hAnsi="宋体" w:cs="宋体"/>
                <w:b/>
                <w:bCs/>
                <w:color w:val="auto"/>
                <w:sz w:val="22"/>
                <w:szCs w:val="22"/>
                <w:highlight w:val="none"/>
                <w:lang w:val="en-US" w:eastAsia="zh-CN"/>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529676E3">
            <w:pPr>
              <w:widowControl/>
              <w:snapToGrid w:val="0"/>
              <w:spacing w:line="460" w:lineRule="exact"/>
              <w:jc w:val="left"/>
              <w:rPr>
                <w:rFonts w:ascii="宋体" w:hAnsi="宋体" w:cs="宋体"/>
                <w:color w:val="auto"/>
                <w:sz w:val="22"/>
                <w:szCs w:val="22"/>
                <w:highlight w:val="none"/>
              </w:rPr>
            </w:pPr>
            <w:r>
              <w:rPr>
                <w:rFonts w:hint="eastAsia" w:ascii="宋体" w:hAnsi="宋体" w:cs="宋体"/>
                <w:b/>
                <w:bCs/>
                <w:color w:val="auto"/>
                <w:sz w:val="22"/>
                <w:szCs w:val="22"/>
                <w:highlight w:val="none"/>
              </w:rPr>
              <w:t>提交投标文件截止时间：</w:t>
            </w:r>
            <w:r>
              <w:rPr>
                <w:rFonts w:hint="eastAsia" w:ascii="宋体" w:hAnsi="宋体" w:cs="宋体"/>
                <w:color w:val="auto"/>
                <w:sz w:val="22"/>
                <w:highlight w:val="none"/>
                <w:lang w:eastAsia="zh-CN"/>
              </w:rPr>
              <w:t>2025年5月28日09:30</w:t>
            </w:r>
            <w:r>
              <w:rPr>
                <w:rFonts w:hint="eastAsia" w:ascii="宋体" w:hAnsi="宋体" w:cs="宋体"/>
                <w:color w:val="auto"/>
                <w:sz w:val="22"/>
                <w:szCs w:val="22"/>
                <w:highlight w:val="none"/>
              </w:rPr>
              <w:t>  </w:t>
            </w:r>
          </w:p>
          <w:p w14:paraId="0C0D0A52">
            <w:pPr>
              <w:widowControl/>
              <w:snapToGrid w:val="0"/>
              <w:spacing w:line="460" w:lineRule="exact"/>
              <w:jc w:val="left"/>
              <w:rPr>
                <w:color w:val="auto"/>
                <w:highlight w:val="none"/>
              </w:rPr>
            </w:pPr>
            <w:r>
              <w:rPr>
                <w:rFonts w:hint="eastAsia" w:ascii="宋体" w:hAnsi="宋体" w:cs="宋体"/>
                <w:b/>
                <w:bCs/>
                <w:color w:val="auto"/>
                <w:sz w:val="22"/>
                <w:szCs w:val="22"/>
                <w:highlight w:val="none"/>
              </w:rPr>
              <w:t>投标地点（网址）：</w:t>
            </w:r>
            <w:r>
              <w:rPr>
                <w:rFonts w:hint="eastAsia" w:ascii="宋体" w:hAnsi="宋体" w:cs="宋体"/>
                <w:color w:val="auto"/>
                <w:sz w:val="22"/>
                <w:szCs w:val="22"/>
                <w:highlight w:val="none"/>
              </w:rPr>
              <w:t>温州市政务服务管理中心（温州市鹿城区会展路1268号温州市民中心A座3楼）  </w:t>
            </w:r>
          </w:p>
        </w:tc>
      </w:tr>
      <w:tr w14:paraId="5FD7D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14:paraId="06ADB861">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rPr>
              <w:t>1</w:t>
            </w:r>
            <w:r>
              <w:rPr>
                <w:rFonts w:hint="eastAsia" w:ascii="宋体" w:hAnsi="宋体" w:cs="宋体"/>
                <w:b/>
                <w:bCs/>
                <w:color w:val="auto"/>
                <w:sz w:val="22"/>
                <w:szCs w:val="22"/>
                <w:highlight w:val="none"/>
                <w:lang w:val="en-US" w:eastAsia="zh-CN"/>
              </w:rPr>
              <w:t>3</w:t>
            </w:r>
          </w:p>
        </w:tc>
        <w:tc>
          <w:tcPr>
            <w:tcW w:w="9590" w:type="dxa"/>
            <w:tcBorders>
              <w:top w:val="single" w:color="000000" w:sz="2" w:space="0"/>
              <w:left w:val="single" w:color="000000" w:sz="2" w:space="0"/>
              <w:bottom w:val="single" w:color="auto" w:sz="4" w:space="0"/>
              <w:right w:val="single" w:color="000000" w:sz="8" w:space="0"/>
            </w:tcBorders>
            <w:vAlign w:val="center"/>
          </w:tcPr>
          <w:p w14:paraId="020847A0">
            <w:pPr>
              <w:widowControl/>
              <w:snapToGrid w:val="0"/>
              <w:spacing w:line="460" w:lineRule="exact"/>
              <w:jc w:val="left"/>
              <w:rPr>
                <w:rFonts w:ascii="宋体" w:hAnsi="宋体" w:cs="宋体"/>
                <w:color w:val="auto"/>
                <w:sz w:val="22"/>
                <w:szCs w:val="22"/>
                <w:highlight w:val="none"/>
              </w:rPr>
            </w:pPr>
            <w:r>
              <w:rPr>
                <w:rFonts w:hint="eastAsia" w:ascii="宋体" w:hAnsi="宋体" w:cs="宋体"/>
                <w:b/>
                <w:bCs/>
                <w:color w:val="auto"/>
                <w:sz w:val="22"/>
                <w:szCs w:val="22"/>
                <w:highlight w:val="none"/>
              </w:rPr>
              <w:t>开标时间：</w:t>
            </w:r>
            <w:r>
              <w:rPr>
                <w:rFonts w:hint="eastAsia" w:ascii="宋体" w:hAnsi="宋体" w:cs="宋体"/>
                <w:color w:val="auto"/>
                <w:sz w:val="22"/>
                <w:highlight w:val="none"/>
                <w:lang w:eastAsia="zh-CN"/>
              </w:rPr>
              <w:t>2025年5月28日09:30</w:t>
            </w:r>
          </w:p>
          <w:p w14:paraId="2675FA02">
            <w:pPr>
              <w:widowControl/>
              <w:snapToGrid w:val="0"/>
              <w:spacing w:line="460" w:lineRule="exact"/>
              <w:jc w:val="left"/>
              <w:rPr>
                <w:rFonts w:ascii="宋体" w:hAnsi="宋体" w:cs="宋体"/>
                <w:color w:val="auto"/>
                <w:sz w:val="22"/>
                <w:szCs w:val="22"/>
                <w:highlight w:val="none"/>
              </w:rPr>
            </w:pPr>
            <w:r>
              <w:rPr>
                <w:rFonts w:hint="eastAsia" w:ascii="宋体" w:hAnsi="宋体" w:cs="宋体"/>
                <w:b/>
                <w:bCs/>
                <w:color w:val="auto"/>
                <w:sz w:val="22"/>
                <w:szCs w:val="22"/>
                <w:highlight w:val="none"/>
              </w:rPr>
              <w:t>开标地点（网址）：</w:t>
            </w:r>
            <w:r>
              <w:rPr>
                <w:rFonts w:hint="eastAsia" w:ascii="宋体" w:hAnsi="宋体" w:cs="宋体"/>
                <w:color w:val="auto"/>
                <w:sz w:val="22"/>
                <w:szCs w:val="22"/>
                <w:highlight w:val="none"/>
              </w:rPr>
              <w:t>温州市政务服务管理中心（温州市鹿城区会展路1268号温州市民中心A座3楼） </w:t>
            </w:r>
          </w:p>
        </w:tc>
      </w:tr>
      <w:tr w14:paraId="39E31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1347D557">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rPr>
              <w:t>1</w:t>
            </w:r>
            <w:r>
              <w:rPr>
                <w:rFonts w:hint="eastAsia" w:ascii="宋体" w:hAnsi="宋体" w:cs="宋体"/>
                <w:b/>
                <w:bCs/>
                <w:color w:val="auto"/>
                <w:sz w:val="22"/>
                <w:szCs w:val="22"/>
                <w:highlight w:val="none"/>
                <w:lang w:val="en-US" w:eastAsia="zh-CN"/>
              </w:rPr>
              <w:t>4</w:t>
            </w:r>
          </w:p>
        </w:tc>
        <w:tc>
          <w:tcPr>
            <w:tcW w:w="9590" w:type="dxa"/>
            <w:tcBorders>
              <w:top w:val="single" w:color="auto" w:sz="4" w:space="0"/>
              <w:left w:val="single" w:color="000000" w:sz="2" w:space="0"/>
              <w:bottom w:val="single" w:color="auto" w:sz="4" w:space="0"/>
              <w:right w:val="single" w:color="000000" w:sz="8" w:space="0"/>
            </w:tcBorders>
            <w:vAlign w:val="center"/>
          </w:tcPr>
          <w:p w14:paraId="6C84393A">
            <w:pPr>
              <w:snapToGrid w:val="0"/>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带“★”条款系指实质性要求条款。“▲”是关键技术参数及要求。</w:t>
            </w:r>
          </w:p>
        </w:tc>
      </w:tr>
      <w:tr w14:paraId="11008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E02C692">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17B47AE2">
            <w:pPr>
              <w:snapToGrid w:val="0"/>
              <w:spacing w:line="460" w:lineRule="exact"/>
              <w:rPr>
                <w:rFonts w:ascii="宋体" w:hAnsi="宋体" w:cs="宋体"/>
                <w:color w:val="auto"/>
                <w:sz w:val="22"/>
                <w:szCs w:val="22"/>
                <w:highlight w:val="none"/>
              </w:rPr>
            </w:pPr>
            <w:r>
              <w:rPr>
                <w:rFonts w:hint="eastAsia" w:ascii="宋体" w:hAnsi="宋体" w:cs="宋体"/>
                <w:b/>
                <w:color w:val="auto"/>
                <w:kern w:val="10"/>
                <w:sz w:val="22"/>
                <w:szCs w:val="22"/>
                <w:highlight w:val="none"/>
              </w:rPr>
              <w:t>潜在供应商需在浙江政府采购网http://zfcg.czt.zj.gov.cn/进行免费注册，具体详见浙江政府采购网供应商注册要求。</w:t>
            </w:r>
          </w:p>
        </w:tc>
      </w:tr>
      <w:tr w14:paraId="35C5D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85B869A">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kern w:val="0"/>
                <w:sz w:val="22"/>
                <w:szCs w:val="22"/>
                <w:highlight w:val="none"/>
              </w:rPr>
              <w:t>16</w:t>
            </w:r>
          </w:p>
        </w:tc>
        <w:tc>
          <w:tcPr>
            <w:tcW w:w="9590" w:type="dxa"/>
            <w:tcBorders>
              <w:top w:val="single" w:color="000000" w:sz="2" w:space="0"/>
              <w:left w:val="single" w:color="000000" w:sz="2" w:space="0"/>
              <w:bottom w:val="single" w:color="000000" w:sz="2" w:space="0"/>
              <w:right w:val="single" w:color="000000" w:sz="8" w:space="0"/>
            </w:tcBorders>
            <w:vAlign w:val="center"/>
          </w:tcPr>
          <w:p w14:paraId="77FABCDE">
            <w:pPr>
              <w:shd w:val="clear"/>
              <w:adjustRightInd w:val="0"/>
              <w:snapToGrid w:val="0"/>
              <w:spacing w:line="460" w:lineRule="exact"/>
              <w:ind w:firstLine="442" w:firstLineChars="200"/>
              <w:rPr>
                <w:rFonts w:hint="eastAsia"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1、扶持中小企业（监狱企业、残疾人福利性单位）：</w:t>
            </w:r>
          </w:p>
          <w:p w14:paraId="6F6DE178">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0C00BB10">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1</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项目预算：</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100</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万元</w:t>
            </w:r>
          </w:p>
          <w:p w14:paraId="16EFE587">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2</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项目属性：</w:t>
            </w:r>
            <w:r>
              <w:rPr>
                <w:rFonts w:hint="eastAsia" w:ascii="新宋体" w:hAnsi="新宋体" w:eastAsia="新宋体" w:cs="新宋体"/>
                <w:color w:val="auto"/>
                <w:sz w:val="22"/>
                <w:szCs w:val="28"/>
                <w:highlight w:val="none"/>
                <w:u w:val="single"/>
              </w:rPr>
              <w:t xml:space="preserve"> ②服务类 </w:t>
            </w:r>
            <w:r>
              <w:rPr>
                <w:rFonts w:hint="eastAsia" w:ascii="新宋体" w:hAnsi="新宋体" w:eastAsia="新宋体" w:cs="新宋体"/>
                <w:color w:val="auto"/>
                <w:sz w:val="22"/>
                <w:szCs w:val="28"/>
                <w:highlight w:val="none"/>
              </w:rPr>
              <w:t>（①货物类/②服务类/③工程类）</w:t>
            </w:r>
          </w:p>
          <w:p w14:paraId="68DB7BFF">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3</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项目对应的中小企业划分标准所属行业：</w:t>
            </w:r>
            <w:r>
              <w:rPr>
                <w:rFonts w:hint="eastAsia" w:ascii="新宋体" w:hAnsi="新宋体" w:eastAsia="新宋体" w:cs="新宋体"/>
                <w:color w:val="auto"/>
                <w:sz w:val="22"/>
                <w:szCs w:val="28"/>
                <w:highlight w:val="none"/>
                <w:u w:val="single"/>
              </w:rPr>
              <w:t xml:space="preserve"> 其他未列明行业 </w:t>
            </w:r>
            <w:r>
              <w:rPr>
                <w:rFonts w:hint="eastAsia" w:ascii="新宋体" w:hAnsi="新宋体" w:eastAsia="新宋体" w:cs="新宋体"/>
                <w:color w:val="auto"/>
                <w:sz w:val="22"/>
                <w:szCs w:val="28"/>
                <w:highlight w:val="none"/>
              </w:rPr>
              <w:t>（具体根据《中小企业划型标准规定》执行）</w:t>
            </w:r>
          </w:p>
          <w:p w14:paraId="72801B66">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47D42FBC">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4</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本项目</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否</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rPr>
              <w:t>属于预留份额专门面向中小企业采购的项目。</w:t>
            </w:r>
          </w:p>
          <w:p w14:paraId="2D423EFD">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5</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上述第4项中确定为“是”的采购项目，预留份额通过（</w:t>
            </w:r>
            <w:r>
              <w:rPr>
                <w:rFonts w:hint="eastAsia" w:ascii="新宋体" w:hAnsi="新宋体" w:eastAsia="新宋体" w:cs="新宋体"/>
                <w:color w:val="auto"/>
                <w:sz w:val="22"/>
                <w:szCs w:val="28"/>
                <w:highlight w:val="none"/>
                <w:lang w:val="en-US" w:eastAsia="zh-CN"/>
              </w:rPr>
              <w:t>/</w:t>
            </w:r>
            <w:r>
              <w:rPr>
                <w:rFonts w:hint="eastAsia" w:ascii="新宋体" w:hAnsi="新宋体" w:eastAsia="新宋体" w:cs="新宋体"/>
                <w:color w:val="auto"/>
                <w:sz w:val="22"/>
                <w:szCs w:val="28"/>
                <w:highlight w:val="none"/>
              </w:rPr>
              <w:t>）措施进行：</w:t>
            </w:r>
          </w:p>
          <w:p w14:paraId="0F866E42">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①将采购项目整体或者设置采购包专门面向中小企业采购； </w:t>
            </w:r>
          </w:p>
          <w:p w14:paraId="636A1046">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②要求供应商以联合体形式参加采购活动，且联合体中中小企业承担的部分达到</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 (比例)； </w:t>
            </w:r>
          </w:p>
          <w:p w14:paraId="753D5B78">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③要求获得采购合同的供应商将采购项目中的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(比例)分包给一家或者多家中小企业。</w:t>
            </w:r>
          </w:p>
          <w:p w14:paraId="262536C4">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6</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10%</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（工程项目为5%）的扣除，用扣除后的价格参加评审。 </w:t>
            </w:r>
          </w:p>
          <w:p w14:paraId="014077A0">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4%</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（工程项目为 2%）的扣除，用扣除后的价格参加评审。</w:t>
            </w:r>
          </w:p>
          <w:p w14:paraId="0ABD32BD">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专门面向中小企业采购的项目或者标项，不再执行价格评审优惠的扶持政策。</w:t>
            </w:r>
          </w:p>
          <w:p w14:paraId="5A991792">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、节能产品、环境标志产品的强制采购政策</w:t>
            </w:r>
          </w:p>
          <w:p w14:paraId="0ECC5370">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368507A0">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、节能产品、环境标志产品的优先采购政策</w:t>
            </w:r>
          </w:p>
          <w:p w14:paraId="5D59F191">
            <w:pPr>
              <w:widowControl/>
              <w:snapToGrid w:val="0"/>
              <w:spacing w:line="460" w:lineRule="exact"/>
              <w:ind w:firstLine="440" w:firstLineChars="200"/>
              <w:jc w:val="left"/>
              <w:rPr>
                <w:rFonts w:ascii="宋体" w:hAnsi="宋体" w:cs="宋体"/>
                <w:b/>
                <w:color w:val="auto"/>
                <w:kern w:val="1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（注：本项目执行最新政府采购节能产品、环境标志产品品目清单。）</w:t>
            </w:r>
          </w:p>
        </w:tc>
      </w:tr>
      <w:tr w14:paraId="5F2DD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149D3E2">
            <w:pPr>
              <w:widowControl/>
              <w:snapToGrid w:val="0"/>
              <w:spacing w:line="460" w:lineRule="exact"/>
              <w:jc w:val="center"/>
              <w:textAlignment w:val="center"/>
              <w:rPr>
                <w:rFonts w:hint="eastAsia" w:ascii="宋体" w:hAnsi="宋体" w:eastAsia="宋体" w:cs="宋体"/>
                <w:b/>
                <w:bCs/>
                <w:color w:val="auto"/>
                <w:sz w:val="22"/>
                <w:szCs w:val="22"/>
                <w:highlight w:val="none"/>
                <w:lang w:val="en-US" w:eastAsia="zh-CN"/>
              </w:rPr>
            </w:pPr>
            <w:r>
              <w:rPr>
                <w:rFonts w:hint="eastAsia" w:ascii="宋体" w:hAnsi="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3AA2E74E">
            <w:pPr>
              <w:snapToGrid w:val="0"/>
              <w:spacing w:line="460" w:lineRule="exact"/>
              <w:ind w:left="105" w:leftChars="50"/>
              <w:rPr>
                <w:rFonts w:ascii="宋体" w:hAnsi="宋体" w:cs="宋体"/>
                <w:color w:val="auto"/>
                <w:sz w:val="22"/>
                <w:szCs w:val="22"/>
                <w:highlight w:val="none"/>
              </w:rPr>
            </w:pPr>
            <w:r>
              <w:rPr>
                <w:rFonts w:hint="eastAsia" w:ascii="宋体" w:hAnsi="宋体" w:cs="宋体"/>
                <w:color w:val="auto"/>
                <w:sz w:val="22"/>
                <w:szCs w:val="22"/>
                <w:highlight w:val="none"/>
              </w:rPr>
              <w:t>根据《关于在政府采购活动中查询及使用信用记录有关问题的通知》财库[2016]125号的规定：</w:t>
            </w:r>
          </w:p>
          <w:p w14:paraId="2F40014B">
            <w:pPr>
              <w:snapToGrid w:val="0"/>
              <w:spacing w:line="460" w:lineRule="exact"/>
              <w:ind w:left="105" w:leftChars="50"/>
              <w:rPr>
                <w:rFonts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1）招标人或采购代理机构将对本项目供应商的信用记录进行查询。查询渠道为信用中国网站（www.creditchina.gov.cn）、中国政府采购网（www.ccgp.gov.cn）；</w:t>
            </w:r>
          </w:p>
          <w:p w14:paraId="0B357428">
            <w:pPr>
              <w:snapToGrid w:val="0"/>
              <w:spacing w:line="460" w:lineRule="exact"/>
              <w:ind w:firstLine="110" w:firstLineChars="50"/>
              <w:rPr>
                <w:rFonts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2）截止时点：</w:t>
            </w:r>
            <w:r>
              <w:rPr>
                <w:rFonts w:hint="eastAsia" w:ascii="宋体" w:hAnsi="宋体" w:cs="宋体"/>
                <w:color w:val="auto"/>
                <w:sz w:val="22"/>
                <w:highlight w:val="none"/>
              </w:rPr>
              <w:t>招标公告发布之日至投标截止时间前</w:t>
            </w:r>
            <w:r>
              <w:rPr>
                <w:rFonts w:hint="eastAsia" w:ascii="宋体" w:hAnsi="宋体" w:cs="宋体"/>
                <w:color w:val="auto"/>
                <w:sz w:val="22"/>
                <w:szCs w:val="22"/>
                <w:highlight w:val="none"/>
              </w:rPr>
              <w:t>；</w:t>
            </w:r>
          </w:p>
          <w:p w14:paraId="3CA483AD">
            <w:pPr>
              <w:snapToGrid w:val="0"/>
              <w:spacing w:line="460" w:lineRule="exact"/>
              <w:ind w:left="105" w:leftChars="50"/>
              <w:rPr>
                <w:rFonts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3）查询记录和证据的留存：信用信息查询记录和证据以网页截图等方式留存。</w:t>
            </w:r>
          </w:p>
          <w:p w14:paraId="5A3F4519">
            <w:pPr>
              <w:snapToGrid w:val="0"/>
              <w:spacing w:line="460" w:lineRule="exact"/>
              <w:ind w:left="105" w:leftChars="50"/>
              <w:rPr>
                <w:rFonts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3248A047">
            <w:pPr>
              <w:snapToGrid w:val="0"/>
              <w:spacing w:line="460" w:lineRule="exact"/>
              <w:rPr>
                <w:rFonts w:ascii="宋体" w:hAnsi="宋体" w:cs="宋体"/>
                <w:b/>
                <w:color w:val="auto"/>
                <w:kern w:val="10"/>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5）联合体成员任意一方存在不良信用记录的，视同联合体存在不良信用记录。</w:t>
            </w:r>
          </w:p>
        </w:tc>
      </w:tr>
    </w:tbl>
    <w:p w14:paraId="6E99FBCC">
      <w:pPr>
        <w:spacing w:before="100" w:beforeAutospacing="1" w:after="100" w:afterAutospacing="1" w:line="460" w:lineRule="exact"/>
        <w:jc w:val="center"/>
        <w:outlineLvl w:val="1"/>
        <w:rPr>
          <w:rFonts w:ascii="宋体" w:hAnsi="宋体" w:cs="宋体"/>
          <w:b/>
          <w:bCs/>
          <w:color w:val="auto"/>
          <w:sz w:val="32"/>
          <w:szCs w:val="32"/>
          <w:highlight w:val="none"/>
        </w:rPr>
      </w:pPr>
      <w:bookmarkStart w:id="10" w:name="_Toc19070"/>
      <w:bookmarkStart w:id="11" w:name="_Toc20846"/>
      <w:r>
        <w:rPr>
          <w:rFonts w:hint="eastAsia" w:ascii="宋体" w:hAnsi="宋体" w:cs="宋体"/>
          <w:b/>
          <w:bCs/>
          <w:color w:val="auto"/>
          <w:sz w:val="26"/>
          <w:szCs w:val="26"/>
          <w:highlight w:val="none"/>
        </w:rPr>
        <w:t xml:space="preserve">一、 </w:t>
      </w:r>
      <w:r>
        <w:rPr>
          <w:rFonts w:hint="eastAsia" w:ascii="宋体" w:hAnsi="宋体" w:eastAsia="宋体" w:cs="宋体"/>
          <w:b/>
          <w:bCs/>
          <w:color w:val="auto"/>
          <w:sz w:val="26"/>
          <w:szCs w:val="26"/>
          <w:highlight w:val="none"/>
        </w:rPr>
        <w:t>说   明</w:t>
      </w:r>
      <w:bookmarkEnd w:id="10"/>
      <w:bookmarkEnd w:id="11"/>
    </w:p>
    <w:p w14:paraId="053005B6">
      <w:pPr>
        <w:spacing w:line="46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0F8122C5">
      <w:pPr>
        <w:spacing w:line="4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2、定义</w:t>
      </w:r>
    </w:p>
    <w:p w14:paraId="59722D7A">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招标人：是指依法进行政府采购的国家机关、事业单位、团体组织</w:t>
      </w:r>
    </w:p>
    <w:p w14:paraId="208EDDEF">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招标代理机构：受招标人委托，在委托的范围内办理政府采购事宜的机构；</w:t>
      </w:r>
    </w:p>
    <w:p w14:paraId="48CD3E2F">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投标人：是指参加本政府采购项目投标的供应商；</w:t>
      </w:r>
    </w:p>
    <w:p w14:paraId="005D9913">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投标人代表：是指参加本项目投标活动的供应商法定代表人或法定代表人授权代表；</w:t>
      </w:r>
    </w:p>
    <w:p w14:paraId="734765C9">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投标联合体：是指两个以上供应商组成联合体，以一个供应商的身份参加投标；</w:t>
      </w:r>
    </w:p>
    <w:p w14:paraId="57C983CD">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甲方：是指合同签订的一方，一般与招标人、用户相同；</w:t>
      </w:r>
    </w:p>
    <w:p w14:paraId="032799D0">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乙方：是指合同签订的另一方，与中标人相同；</w:t>
      </w:r>
    </w:p>
    <w:p w14:paraId="6708E7E2">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制造商：是指拥有投标产品自主知识产权的单位；</w:t>
      </w:r>
    </w:p>
    <w:p w14:paraId="37D5CFDD">
      <w:pPr>
        <w:spacing w:line="460" w:lineRule="exact"/>
        <w:ind w:firstLine="440" w:firstLineChars="200"/>
        <w:rPr>
          <w:rFonts w:ascii="宋体" w:hAnsi="宋体" w:cs="宋体"/>
          <w:color w:val="auto"/>
          <w:sz w:val="22"/>
          <w:szCs w:val="22"/>
          <w:highlight w:val="none"/>
        </w:rPr>
      </w:pPr>
      <w:r>
        <w:rPr>
          <w:rFonts w:hint="eastAsia" w:ascii="宋体" w:hAnsi="宋体" w:eastAsia="宋体" w:cs="宋体"/>
          <w:b w:val="0"/>
          <w:bCs/>
          <w:color w:val="auto"/>
          <w:sz w:val="22"/>
          <w:szCs w:val="22"/>
          <w:highlight w:val="none"/>
        </w:rPr>
        <w:t>原件</w:t>
      </w:r>
      <w:r>
        <w:rPr>
          <w:rFonts w:hint="eastAsia" w:ascii="宋体" w:hAnsi="宋体" w:cs="宋体"/>
          <w:color w:val="auto"/>
          <w:sz w:val="22"/>
          <w:szCs w:val="22"/>
          <w:highlight w:val="none"/>
        </w:rPr>
        <w:t>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14:paraId="4193F20B">
      <w:pPr>
        <w:spacing w:line="4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带“★”条款系指实质性要求条款。“▲”是关键技术参数及要求。</w:t>
      </w:r>
    </w:p>
    <w:p w14:paraId="21398BC0">
      <w:pPr>
        <w:spacing w:line="460" w:lineRule="exact"/>
        <w:ind w:firstLine="442" w:firstLineChars="200"/>
        <w:rPr>
          <w:rFonts w:ascii="宋体" w:hAnsi="宋体" w:cs="宋体"/>
          <w:color w:val="auto"/>
          <w:sz w:val="22"/>
          <w:szCs w:val="22"/>
          <w:highlight w:val="none"/>
        </w:rPr>
      </w:pPr>
      <w:r>
        <w:rPr>
          <w:rFonts w:hint="eastAsia" w:ascii="宋体" w:hAnsi="宋体" w:cs="宋体"/>
          <w:b/>
          <w:color w:val="auto"/>
          <w:sz w:val="22"/>
          <w:szCs w:val="22"/>
          <w:highlight w:val="none"/>
        </w:rPr>
        <w:t>3、投标人代表</w:t>
      </w:r>
    </w:p>
    <w:p w14:paraId="1CFEDD13">
      <w:pPr>
        <w:spacing w:line="460" w:lineRule="exact"/>
        <w:ind w:firstLine="442" w:firstLineChars="200"/>
        <w:rPr>
          <w:rFonts w:ascii="宋体" w:hAnsi="宋体" w:cs="宋体"/>
          <w:b/>
          <w:color w:val="auto"/>
          <w:sz w:val="22"/>
          <w:highlight w:val="none"/>
        </w:rPr>
      </w:pPr>
      <w:r>
        <w:rPr>
          <w:rFonts w:hint="eastAsia" w:ascii="宋体" w:hAnsi="宋体" w:cs="宋体"/>
          <w:b/>
          <w:color w:val="auto"/>
          <w:sz w:val="22"/>
          <w:szCs w:val="22"/>
          <w:highlight w:val="none"/>
        </w:rPr>
        <w:t>3.1</w:t>
      </w:r>
      <w:r>
        <w:rPr>
          <w:rFonts w:hint="eastAsia" w:ascii="宋体" w:hAnsi="宋体" w:cs="宋体"/>
          <w:b/>
          <w:color w:val="auto"/>
          <w:sz w:val="22"/>
          <w:highlight w:val="none"/>
        </w:rPr>
        <w:t>指全权代表投标人参加投标活动并签署投标文件的人。如果投标人代表不是法定代表人，须持有《法定代表人授权书》（见附件）</w:t>
      </w:r>
    </w:p>
    <w:p w14:paraId="3948972C">
      <w:pPr>
        <w:spacing w:line="460" w:lineRule="exact"/>
        <w:ind w:firstLine="440" w:firstLineChars="200"/>
        <w:rPr>
          <w:rFonts w:ascii="宋体" w:hAnsi="宋体" w:cs="宋体"/>
          <w:b/>
          <w:color w:val="auto"/>
          <w:sz w:val="22"/>
          <w:szCs w:val="22"/>
          <w:highlight w:val="none"/>
        </w:rPr>
      </w:pPr>
      <w:r>
        <w:rPr>
          <w:rFonts w:hint="eastAsia" w:ascii="宋体" w:hAnsi="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cs="宋体"/>
          <w:b/>
          <w:color w:val="auto"/>
          <w:sz w:val="22"/>
          <w:szCs w:val="22"/>
          <w:highlight w:val="none"/>
        </w:rPr>
        <w:t>。</w:t>
      </w:r>
    </w:p>
    <w:p w14:paraId="0B3B8709">
      <w:pPr>
        <w:spacing w:line="46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4、投标费用</w:t>
      </w:r>
    </w:p>
    <w:p w14:paraId="4AF51799">
      <w:pPr>
        <w:spacing w:line="460" w:lineRule="exact"/>
        <w:ind w:firstLine="442" w:firstLineChars="200"/>
        <w:rPr>
          <w:rFonts w:ascii="宋体" w:hAnsi="宋体" w:cs="宋体"/>
          <w:color w:val="auto"/>
          <w:sz w:val="22"/>
          <w:szCs w:val="22"/>
          <w:highlight w:val="none"/>
        </w:rPr>
      </w:pPr>
      <w:r>
        <w:rPr>
          <w:rFonts w:hint="eastAsia" w:ascii="宋体" w:hAnsi="宋体" w:cs="宋体"/>
          <w:b/>
          <w:color w:val="auto"/>
          <w:sz w:val="22"/>
          <w:szCs w:val="22"/>
          <w:highlight w:val="none"/>
        </w:rPr>
        <w:t>4.1</w:t>
      </w:r>
      <w:r>
        <w:rPr>
          <w:rFonts w:hint="eastAsia" w:ascii="宋体" w:hAnsi="宋体" w:cs="宋体"/>
          <w:color w:val="auto"/>
          <w:sz w:val="22"/>
          <w:szCs w:val="22"/>
          <w:highlight w:val="none"/>
        </w:rPr>
        <w:t>投标人应承担所有与准备和参加投标有关费用，不论投标的结果如何，招标人或招标代理机构均无义务和责任承担这些费用。</w:t>
      </w:r>
    </w:p>
    <w:p w14:paraId="1387EAB1">
      <w:pPr>
        <w:spacing w:before="100" w:beforeAutospacing="1" w:after="100" w:afterAutospacing="1" w:line="460" w:lineRule="exact"/>
        <w:jc w:val="center"/>
        <w:outlineLvl w:val="1"/>
        <w:rPr>
          <w:rFonts w:ascii="宋体" w:hAnsi="宋体" w:cs="宋体"/>
          <w:b/>
          <w:bCs/>
          <w:color w:val="auto"/>
          <w:sz w:val="26"/>
          <w:szCs w:val="26"/>
          <w:highlight w:val="none"/>
        </w:rPr>
      </w:pPr>
      <w:bookmarkStart w:id="12" w:name="_Toc28278"/>
      <w:bookmarkStart w:id="13" w:name="_Toc9899"/>
      <w:r>
        <w:rPr>
          <w:rFonts w:hint="eastAsia" w:ascii="宋体" w:hAnsi="宋体" w:cs="宋体"/>
          <w:b/>
          <w:bCs/>
          <w:color w:val="auto"/>
          <w:sz w:val="26"/>
          <w:szCs w:val="26"/>
          <w:highlight w:val="none"/>
        </w:rPr>
        <w:t>二、 招标文件</w:t>
      </w:r>
      <w:bookmarkEnd w:id="12"/>
      <w:bookmarkEnd w:id="13"/>
    </w:p>
    <w:p w14:paraId="2D73F7C4">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1、招标文件由招标文件目录所列内容及相关资料组成。</w:t>
      </w:r>
    </w:p>
    <w:p w14:paraId="70EA8539">
      <w:pPr>
        <w:spacing w:line="4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2、招标文件的澄清</w:t>
      </w:r>
    </w:p>
    <w:p w14:paraId="143161DD">
      <w:pPr>
        <w:spacing w:line="460" w:lineRule="exact"/>
        <w:ind w:firstLine="440" w:firstLineChars="200"/>
        <w:rPr>
          <w:rFonts w:ascii="宋体" w:hAnsi="宋体" w:cs="宋体"/>
          <w:color w:val="auto"/>
          <w:sz w:val="22"/>
          <w:highlight w:val="none"/>
        </w:rPr>
      </w:pPr>
      <w:r>
        <w:rPr>
          <w:rFonts w:hint="eastAsia" w:ascii="宋体" w:hAnsi="宋体" w:eastAsia="宋体" w:cs="宋体"/>
          <w:b w:val="0"/>
          <w:bCs/>
          <w:color w:val="auto"/>
          <w:sz w:val="22"/>
          <w:szCs w:val="22"/>
          <w:highlight w:val="none"/>
        </w:rPr>
        <w:t>2.1 任何要求对招标文件进行澄清的投标人，均应以书面形式（信函、传真，下同）通知，但该通知在知道或应知道其权益受到损害之日起七个工作日内以使招标人或招标代理机构收到，招标人或招标代</w:t>
      </w:r>
      <w:r>
        <w:rPr>
          <w:rFonts w:hint="eastAsia" w:ascii="宋体" w:hAnsi="宋体" w:cs="宋体"/>
          <w:color w:val="auto"/>
          <w:sz w:val="22"/>
          <w:highlight w:val="none"/>
        </w:rPr>
        <w:t>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14:paraId="6AA1FBC4">
      <w:pPr>
        <w:spacing w:line="4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3、招标文件的修改</w:t>
      </w:r>
    </w:p>
    <w:p w14:paraId="6949810C">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14:paraId="4E3F96CE">
      <w:pPr>
        <w:spacing w:line="460" w:lineRule="exact"/>
        <w:ind w:firstLine="440" w:firstLineChars="200"/>
        <w:rPr>
          <w:rFonts w:ascii="宋体" w:hAnsi="宋体" w:cs="宋体"/>
          <w:b/>
          <w:color w:val="auto"/>
          <w:sz w:val="22"/>
          <w:szCs w:val="22"/>
          <w:highlight w:val="none"/>
        </w:rPr>
      </w:pPr>
      <w:r>
        <w:rPr>
          <w:rFonts w:hint="eastAsia" w:ascii="宋体" w:hAnsi="宋体" w:cs="宋体"/>
          <w:color w:val="auto"/>
          <w:sz w:val="22"/>
          <w:highlight w:val="none"/>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cs="宋体"/>
          <w:color w:val="auto"/>
          <w:sz w:val="22"/>
          <w:szCs w:val="22"/>
          <w:highlight w:val="none"/>
        </w:rPr>
        <w:t>。</w:t>
      </w:r>
    </w:p>
    <w:p w14:paraId="582462A8">
      <w:pPr>
        <w:spacing w:before="100" w:beforeAutospacing="1" w:after="100" w:afterAutospacing="1" w:line="460" w:lineRule="exact"/>
        <w:jc w:val="center"/>
        <w:outlineLvl w:val="1"/>
        <w:rPr>
          <w:rFonts w:ascii="宋体" w:hAnsi="宋体" w:cs="宋体"/>
          <w:b/>
          <w:bCs/>
          <w:color w:val="auto"/>
          <w:sz w:val="26"/>
          <w:szCs w:val="26"/>
          <w:highlight w:val="none"/>
        </w:rPr>
      </w:pPr>
      <w:bookmarkStart w:id="14" w:name="_Toc12726"/>
      <w:bookmarkStart w:id="15" w:name="_Toc22646"/>
      <w:r>
        <w:rPr>
          <w:rFonts w:hint="eastAsia" w:ascii="宋体" w:hAnsi="宋体" w:cs="宋体"/>
          <w:b/>
          <w:bCs/>
          <w:color w:val="auto"/>
          <w:sz w:val="26"/>
          <w:szCs w:val="26"/>
          <w:highlight w:val="none"/>
        </w:rPr>
        <w:t>三、 投标文件的编制</w:t>
      </w:r>
      <w:bookmarkEnd w:id="14"/>
      <w:bookmarkEnd w:id="15"/>
    </w:p>
    <w:p w14:paraId="7AE7A4C8">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1、投标人应认真阅读招标文件中所有事项、格式、条款和技术规范等。</w:t>
      </w:r>
      <w:r>
        <w:rPr>
          <w:rFonts w:hint="eastAsia" w:ascii="宋体" w:hAnsi="宋体" w:cs="宋体"/>
          <w:b/>
          <w:color w:val="auto"/>
          <w:sz w:val="22"/>
          <w:highlight w:val="none"/>
        </w:rPr>
        <w:t>投标人没有按照招标文件要求提交全部资料，或者没有对招标文件各个方面做出实质性响应，导致投标被否决的风险由投标人自行承担。</w:t>
      </w:r>
    </w:p>
    <w:p w14:paraId="2F8AC39C">
      <w:pPr>
        <w:spacing w:line="460" w:lineRule="exact"/>
        <w:ind w:firstLine="442" w:firstLineChars="200"/>
        <w:rPr>
          <w:rFonts w:ascii="宋体" w:hAnsi="宋体" w:cs="宋体"/>
          <w:b/>
          <w:color w:val="auto"/>
          <w:sz w:val="22"/>
          <w:szCs w:val="22"/>
          <w:highlight w:val="none"/>
        </w:rPr>
      </w:pPr>
      <w:r>
        <w:rPr>
          <w:rFonts w:hint="eastAsia" w:ascii="宋体" w:hAnsi="宋体" w:cs="宋体"/>
          <w:b/>
          <w:color w:val="auto"/>
          <w:sz w:val="22"/>
          <w:highlight w:val="none"/>
        </w:rPr>
        <w:t>2、投标人应保证所提供文件资料的真实性，所有文件资料必须是针对本次投标的。如发现投标人提供了虚假文件资料，其投标将被否决，并自行承担相应的法律责任。</w:t>
      </w:r>
    </w:p>
    <w:p w14:paraId="7AD4D759">
      <w:pPr>
        <w:spacing w:line="46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3、</w:t>
      </w:r>
      <w:r>
        <w:rPr>
          <w:rFonts w:hint="eastAsia" w:ascii="宋体" w:hAnsi="宋体" w:cs="宋体"/>
          <w:b/>
          <w:bCs/>
          <w:color w:val="auto"/>
          <w:sz w:val="22"/>
          <w:szCs w:val="22"/>
          <w:highlight w:val="none"/>
        </w:rPr>
        <w:t>投标文件的构成：</w:t>
      </w:r>
    </w:p>
    <w:p w14:paraId="7215A546">
      <w:pPr>
        <w:spacing w:line="460" w:lineRule="exact"/>
        <w:ind w:firstLine="442" w:firstLineChars="200"/>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投标</w:t>
      </w:r>
      <w:r>
        <w:rPr>
          <w:rFonts w:hint="eastAsia" w:ascii="宋体" w:hAnsi="宋体" w:cs="宋体"/>
          <w:b/>
          <w:bCs/>
          <w:color w:val="auto"/>
          <w:kern w:val="0"/>
          <w:sz w:val="22"/>
          <w:szCs w:val="22"/>
          <w:highlight w:val="none"/>
          <w:lang w:val="zh-CN"/>
        </w:rPr>
        <w:t>文件应当包括以下主要内容：资格文件、报价文件、商务技术文件。</w:t>
      </w:r>
    </w:p>
    <w:p w14:paraId="44F57FC7">
      <w:pPr>
        <w:spacing w:line="460" w:lineRule="exact"/>
        <w:ind w:firstLine="442" w:firstLineChars="200"/>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rPr>
        <w:t>3.1</w:t>
      </w:r>
      <w:r>
        <w:rPr>
          <w:rFonts w:hint="eastAsia" w:ascii="宋体" w:hAnsi="宋体" w:cs="宋体"/>
          <w:b/>
          <w:bCs/>
          <w:color w:val="auto"/>
          <w:kern w:val="0"/>
          <w:sz w:val="22"/>
          <w:szCs w:val="22"/>
          <w:highlight w:val="none"/>
          <w:lang w:val="zh-CN"/>
        </w:rPr>
        <w:t xml:space="preserve">投标人的资格文件至少应包括以下内容： </w:t>
      </w:r>
    </w:p>
    <w:p w14:paraId="647D8629">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zh-CN"/>
        </w:rPr>
        <w:t>基本资格条件审查材料：</w:t>
      </w:r>
      <w:r>
        <w:rPr>
          <w:rFonts w:hint="eastAsia" w:ascii="宋体" w:hAnsi="宋体" w:eastAsia="宋体" w:cs="宋体"/>
          <w:b w:val="0"/>
          <w:bCs/>
          <w:color w:val="auto"/>
          <w:sz w:val="22"/>
          <w:szCs w:val="22"/>
          <w:highlight w:val="none"/>
        </w:rPr>
        <w:t>即证明供应商</w:t>
      </w:r>
      <w:r>
        <w:rPr>
          <w:rFonts w:hint="eastAsia" w:ascii="宋体" w:hAnsi="宋体" w:eastAsia="宋体" w:cs="宋体"/>
          <w:b w:val="0"/>
          <w:bCs/>
          <w:color w:val="auto"/>
          <w:sz w:val="22"/>
          <w:szCs w:val="22"/>
          <w:highlight w:val="none"/>
          <w:lang w:val="zh-CN"/>
        </w:rPr>
        <w:t>参加本次政府采购活动前3年内</w:t>
      </w:r>
      <w:r>
        <w:rPr>
          <w:rFonts w:hint="eastAsia" w:ascii="宋体" w:hAnsi="宋体" w:eastAsia="宋体" w:cs="宋体"/>
          <w:b w:val="0"/>
          <w:bCs/>
          <w:color w:val="auto"/>
          <w:sz w:val="22"/>
          <w:szCs w:val="22"/>
          <w:highlight w:val="none"/>
        </w:rPr>
        <w:t>满足《中华人民共和国政府采购法》</w:t>
      </w:r>
      <w:r>
        <w:rPr>
          <w:rFonts w:hint="eastAsia" w:ascii="宋体" w:hAnsi="宋体" w:eastAsia="宋体" w:cs="宋体"/>
          <w:b w:val="0"/>
          <w:bCs/>
          <w:color w:val="auto"/>
          <w:sz w:val="22"/>
          <w:szCs w:val="22"/>
          <w:highlight w:val="none"/>
          <w:lang w:val="zh-CN"/>
        </w:rPr>
        <w:t>的有关资格证明文件。</w:t>
      </w:r>
      <w:r>
        <w:rPr>
          <w:rFonts w:hint="eastAsia" w:ascii="宋体" w:hAnsi="宋体" w:eastAsia="宋体" w:cs="宋体"/>
          <w:b w:val="0"/>
          <w:bCs/>
          <w:color w:val="auto"/>
          <w:sz w:val="22"/>
          <w:szCs w:val="22"/>
          <w:highlight w:val="none"/>
        </w:rPr>
        <w:t>包括：</w:t>
      </w:r>
    </w:p>
    <w:p w14:paraId="7A891584">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（1）资格条件承诺函；</w:t>
      </w:r>
    </w:p>
    <w:p w14:paraId="058DBDB8">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（2）营业执照(或事业法人登记证书或其它工商等登记证明材料；自然人参与政府采购，提供身份证)复印件； </w:t>
      </w:r>
    </w:p>
    <w:p w14:paraId="6D3208EA">
      <w:pPr>
        <w:spacing w:line="460" w:lineRule="exact"/>
        <w:ind w:firstLine="440" w:firstLineChars="200"/>
        <w:rPr>
          <w:rFonts w:ascii="宋体" w:hAnsi="宋体" w:cs="宋体"/>
          <w:color w:val="auto"/>
          <w:sz w:val="22"/>
          <w:szCs w:val="22"/>
          <w:highlight w:val="none"/>
        </w:rPr>
      </w:pPr>
      <w:r>
        <w:rPr>
          <w:rFonts w:hint="eastAsia" w:ascii="宋体" w:hAnsi="宋体" w:eastAsia="宋体" w:cs="宋体"/>
          <w:b w:val="0"/>
          <w:bCs/>
          <w:color w:val="auto"/>
          <w:sz w:val="22"/>
          <w:szCs w:val="22"/>
          <w:highlight w:val="none"/>
        </w:rPr>
        <w:t>金融、保险</w:t>
      </w:r>
      <w:r>
        <w:rPr>
          <w:rFonts w:hint="eastAsia" w:ascii="宋体" w:hAnsi="宋体" w:cs="宋体"/>
          <w:color w:val="auto"/>
          <w:sz w:val="22"/>
          <w:szCs w:val="22"/>
          <w:highlight w:val="none"/>
        </w:rPr>
        <w:t>、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615818E">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（3）投标人信用查询；</w:t>
      </w:r>
    </w:p>
    <w:p w14:paraId="621A952F">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（4）采购活动现场确认声明书；</w:t>
      </w:r>
    </w:p>
    <w:p w14:paraId="3668A98D">
      <w:pPr>
        <w:spacing w:line="460" w:lineRule="exact"/>
        <w:ind w:firstLine="440" w:firstLineChars="200"/>
        <w:rPr>
          <w:rFonts w:ascii="宋体" w:hAnsi="宋体" w:cs="宋体"/>
          <w:color w:val="auto"/>
          <w:sz w:val="22"/>
          <w:szCs w:val="22"/>
          <w:highlight w:val="none"/>
        </w:rPr>
      </w:pPr>
      <w:r>
        <w:rPr>
          <w:rFonts w:hint="eastAsia" w:ascii="宋体" w:hAnsi="宋体" w:eastAsia="宋体" w:cs="宋体"/>
          <w:b w:val="0"/>
          <w:bCs/>
          <w:color w:val="auto"/>
          <w:sz w:val="22"/>
          <w:szCs w:val="22"/>
          <w:highlight w:val="none"/>
        </w:rPr>
        <w:t>上述资格</w:t>
      </w:r>
      <w:r>
        <w:rPr>
          <w:rFonts w:hint="eastAsia" w:ascii="宋体" w:hAnsi="宋体" w:cs="宋体"/>
          <w:color w:val="auto"/>
          <w:sz w:val="22"/>
          <w:szCs w:val="22"/>
          <w:highlight w:val="none"/>
        </w:rPr>
        <w:t>条件审查材料有一项不提供的，视为资格审查不通过。</w:t>
      </w:r>
    </w:p>
    <w:p w14:paraId="13C9EB20">
      <w:pPr>
        <w:spacing w:line="460" w:lineRule="exact"/>
        <w:ind w:firstLine="442" w:firstLineChars="200"/>
        <w:rPr>
          <w:rFonts w:ascii="宋体" w:hAnsi="宋体" w:cs="宋体"/>
          <w:color w:val="auto"/>
          <w:sz w:val="22"/>
          <w:szCs w:val="22"/>
          <w:highlight w:val="none"/>
          <w:u w:val="single"/>
          <w:lang w:val="zh-CN"/>
        </w:rPr>
      </w:pPr>
      <w:r>
        <w:rPr>
          <w:rFonts w:hint="eastAsia" w:ascii="宋体" w:hAnsi="宋体" w:cs="宋体"/>
          <w:b/>
          <w:bCs/>
          <w:color w:val="auto"/>
          <w:sz w:val="22"/>
          <w:szCs w:val="22"/>
          <w:highlight w:val="none"/>
        </w:rPr>
        <w:t xml:space="preserve">3.2投标人的报价文件至少应包括以下内容： </w:t>
      </w:r>
    </w:p>
    <w:p w14:paraId="4D297876">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（1）投标函；</w:t>
      </w:r>
    </w:p>
    <w:p w14:paraId="4BB59595">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（2）投标报价一览表；</w:t>
      </w:r>
    </w:p>
    <w:p w14:paraId="528BB1AF">
      <w:pPr>
        <w:spacing w:line="460" w:lineRule="exact"/>
        <w:ind w:firstLine="440" w:firstLineChars="200"/>
        <w:rPr>
          <w:rFonts w:ascii="宋体" w:hAnsi="宋体" w:cs="宋体"/>
          <w:color w:val="auto"/>
          <w:sz w:val="22"/>
          <w:szCs w:val="22"/>
          <w:highlight w:val="none"/>
        </w:rPr>
      </w:pPr>
      <w:r>
        <w:rPr>
          <w:rFonts w:hint="eastAsia" w:ascii="宋体" w:hAnsi="宋体" w:eastAsia="宋体" w:cs="宋体"/>
          <w:b w:val="0"/>
          <w:bCs/>
          <w:color w:val="auto"/>
          <w:sz w:val="22"/>
          <w:szCs w:val="22"/>
          <w:highlight w:val="none"/>
        </w:rPr>
        <w:t>（3）中</w:t>
      </w:r>
      <w:r>
        <w:rPr>
          <w:rFonts w:hint="eastAsia" w:ascii="宋体" w:hAnsi="宋体" w:cs="宋体"/>
          <w:color w:val="auto"/>
          <w:sz w:val="22"/>
          <w:szCs w:val="22"/>
          <w:highlight w:val="none"/>
        </w:rPr>
        <w:t xml:space="preserve">小企业声明函、监狱企业、残疾人福利性单位及其他相关的充分的证明材料。（如有） </w:t>
      </w:r>
    </w:p>
    <w:p w14:paraId="715384BE">
      <w:pPr>
        <w:spacing w:line="460" w:lineRule="exact"/>
        <w:ind w:firstLine="440" w:firstLineChars="200"/>
        <w:rPr>
          <w:rFonts w:ascii="宋体" w:hAnsi="宋体" w:cs="宋体"/>
          <w:color w:val="auto"/>
          <w:sz w:val="22"/>
          <w:szCs w:val="22"/>
          <w:highlight w:val="none"/>
        </w:rPr>
      </w:pPr>
      <w:r>
        <w:rPr>
          <w:rFonts w:hint="eastAsia" w:ascii="宋体" w:hAnsi="宋体" w:cs="宋体"/>
          <w:color w:val="auto"/>
          <w:kern w:val="0"/>
          <w:sz w:val="22"/>
          <w:szCs w:val="22"/>
          <w:highlight w:val="none"/>
        </w:rPr>
        <w:t>3.3</w:t>
      </w:r>
      <w:r>
        <w:rPr>
          <w:rFonts w:hint="eastAsia" w:ascii="宋体" w:hAnsi="宋体" w:cs="宋体"/>
          <w:color w:val="auto"/>
          <w:kern w:val="0"/>
          <w:sz w:val="22"/>
          <w:szCs w:val="22"/>
          <w:highlight w:val="none"/>
          <w:lang w:val="zh-CN"/>
        </w:rPr>
        <w:t>投标人的</w:t>
      </w:r>
      <w:r>
        <w:rPr>
          <w:rFonts w:hint="eastAsia" w:ascii="宋体" w:hAnsi="宋体" w:cs="宋体"/>
          <w:b/>
          <w:bCs/>
          <w:color w:val="auto"/>
          <w:kern w:val="0"/>
          <w:sz w:val="22"/>
          <w:szCs w:val="22"/>
          <w:highlight w:val="none"/>
          <w:lang w:val="zh-CN"/>
        </w:rPr>
        <w:t>商务技术文件</w:t>
      </w:r>
      <w:r>
        <w:rPr>
          <w:rFonts w:hint="eastAsia" w:ascii="宋体" w:hAnsi="宋体" w:cs="宋体"/>
          <w:color w:val="auto"/>
          <w:kern w:val="0"/>
          <w:sz w:val="22"/>
          <w:szCs w:val="22"/>
          <w:highlight w:val="none"/>
          <w:lang w:val="zh-CN"/>
        </w:rPr>
        <w:t xml:space="preserve">应包括以下内容： </w:t>
      </w:r>
    </w:p>
    <w:p w14:paraId="7F6F3E33">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（1）法定代表人授权委托书（需提供法定代表人及授权委托人的身份证复印件加盖公章）；</w:t>
      </w:r>
    </w:p>
    <w:p w14:paraId="11C1D31C">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（2）投标人情况表</w:t>
      </w:r>
    </w:p>
    <w:p w14:paraId="584DC8F6">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（3）廉政承诺书</w:t>
      </w:r>
    </w:p>
    <w:p w14:paraId="64B3D01E">
      <w:pPr>
        <w:snapToGrid w:val="0"/>
        <w:spacing w:line="46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rPr>
        <w:t>（4）</w:t>
      </w:r>
      <w:r>
        <w:rPr>
          <w:rFonts w:hint="eastAsia" w:ascii="宋体" w:hAnsi="宋体" w:cs="宋体"/>
          <w:color w:val="auto"/>
          <w:sz w:val="22"/>
          <w:szCs w:val="22"/>
          <w:highlight w:val="none"/>
          <w:lang w:val="zh-CN"/>
        </w:rPr>
        <w:t>偏离表（</w:t>
      </w:r>
      <w:r>
        <w:rPr>
          <w:rFonts w:hint="eastAsia" w:ascii="宋体" w:hAnsi="宋体" w:cs="宋体"/>
          <w:color w:val="auto"/>
          <w:sz w:val="22"/>
          <w:szCs w:val="22"/>
          <w:highlight w:val="none"/>
        </w:rPr>
        <w:t>商务、技术偏离</w:t>
      </w:r>
      <w:r>
        <w:rPr>
          <w:rFonts w:hint="eastAsia" w:ascii="宋体" w:hAnsi="宋体" w:cs="宋体"/>
          <w:color w:val="auto"/>
          <w:sz w:val="22"/>
          <w:szCs w:val="22"/>
          <w:highlight w:val="none"/>
          <w:lang w:val="zh-CN"/>
        </w:rPr>
        <w:t>）</w:t>
      </w:r>
    </w:p>
    <w:p w14:paraId="51A35D39">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（5）对项目的了解程度及重点、难点解决方案</w:t>
      </w:r>
    </w:p>
    <w:p w14:paraId="74DEFFF0">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（6）实施方案</w:t>
      </w:r>
    </w:p>
    <w:p w14:paraId="4BE94E48">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（7）应急预案</w:t>
      </w:r>
    </w:p>
    <w:p w14:paraId="22142EE6">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（8）设备投入情况</w:t>
      </w:r>
    </w:p>
    <w:p w14:paraId="7652E4AC">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（9）备品备件投入情况</w:t>
      </w:r>
    </w:p>
    <w:p w14:paraId="6CA34D76">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（10）服务需求满足程度</w:t>
      </w:r>
    </w:p>
    <w:p w14:paraId="03035F3D">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（11）业绩</w:t>
      </w:r>
    </w:p>
    <w:p w14:paraId="2BF73FE1">
      <w:pPr>
        <w:spacing w:line="460" w:lineRule="exact"/>
        <w:ind w:firstLine="440" w:firstLineChars="200"/>
        <w:rPr>
          <w:color w:val="auto"/>
          <w:highlight w:val="none"/>
        </w:rPr>
      </w:pPr>
      <w:r>
        <w:rPr>
          <w:rFonts w:hint="eastAsia" w:ascii="宋体" w:hAnsi="宋体" w:eastAsia="宋体" w:cs="宋体"/>
          <w:b w:val="0"/>
          <w:bCs/>
          <w:color w:val="auto"/>
          <w:sz w:val="22"/>
          <w:szCs w:val="22"/>
          <w:highlight w:val="none"/>
        </w:rPr>
        <w:t>（12）其他必</w:t>
      </w:r>
      <w:r>
        <w:rPr>
          <w:rFonts w:hint="eastAsia" w:ascii="宋体" w:hAnsi="宋体" w:cs="宋体"/>
          <w:color w:val="auto"/>
          <w:sz w:val="22"/>
          <w:szCs w:val="22"/>
          <w:highlight w:val="none"/>
        </w:rPr>
        <w:t>要提供的资料</w:t>
      </w:r>
    </w:p>
    <w:p w14:paraId="296C9D16">
      <w:pPr>
        <w:spacing w:line="460" w:lineRule="exact"/>
        <w:ind w:firstLine="442" w:firstLineChars="200"/>
        <w:rPr>
          <w:rFonts w:ascii="宋体" w:hAnsi="宋体" w:cs="宋体"/>
          <w:b/>
          <w:color w:val="auto"/>
          <w:sz w:val="22"/>
          <w:szCs w:val="22"/>
          <w:highlight w:val="none"/>
          <w:lang w:val="zh-CN"/>
        </w:rPr>
      </w:pPr>
      <w:r>
        <w:rPr>
          <w:rFonts w:hint="eastAsia" w:ascii="宋体" w:hAnsi="宋体" w:cs="宋体"/>
          <w:b/>
          <w:color w:val="auto"/>
          <w:sz w:val="22"/>
          <w:szCs w:val="22"/>
          <w:highlight w:val="none"/>
          <w:lang w:val="zh-CN"/>
        </w:rPr>
        <w:t>投标文件中所需的各种证书、证件、证明资料如是复印件，须在复印件上加盖有效公章。</w:t>
      </w:r>
    </w:p>
    <w:p w14:paraId="793F9C71">
      <w:pPr>
        <w:spacing w:line="460" w:lineRule="exact"/>
        <w:ind w:firstLine="442" w:firstLineChars="200"/>
        <w:rPr>
          <w:rFonts w:hAnsi="宋体" w:cs="宋体"/>
          <w:bCs/>
          <w:color w:val="auto"/>
          <w:sz w:val="22"/>
          <w:szCs w:val="22"/>
          <w:highlight w:val="none"/>
        </w:rPr>
      </w:pPr>
      <w:r>
        <w:rPr>
          <w:rFonts w:hint="eastAsia" w:ascii="宋体" w:hAnsi="宋体" w:eastAsia="宋体" w:cs="宋体"/>
          <w:b/>
          <w:bCs w:val="0"/>
          <w:color w:val="auto"/>
          <w:sz w:val="22"/>
          <w:szCs w:val="22"/>
          <w:highlight w:val="none"/>
          <w:lang w:val="zh-CN"/>
        </w:rPr>
        <w:t>投标人的</w:t>
      </w:r>
      <w:r>
        <w:rPr>
          <w:rFonts w:hint="eastAsia" w:ascii="宋体" w:hAnsi="宋体" w:eastAsia="宋体" w:cs="宋体"/>
          <w:b/>
          <w:bCs w:val="0"/>
          <w:color w:val="auto"/>
          <w:sz w:val="22"/>
          <w:szCs w:val="22"/>
          <w:highlight w:val="none"/>
        </w:rPr>
        <w:t>投标文件必须按照招标文件要求制作。</w:t>
      </w:r>
    </w:p>
    <w:p w14:paraId="67BA3FDC">
      <w:pPr>
        <w:spacing w:line="460" w:lineRule="exact"/>
        <w:ind w:firstLine="442" w:firstLineChars="200"/>
        <w:rPr>
          <w:rFonts w:ascii="宋体" w:hAnsi="宋体" w:cs="宋体"/>
          <w:b/>
          <w:color w:val="auto"/>
          <w:sz w:val="22"/>
          <w:szCs w:val="22"/>
          <w:highlight w:val="none"/>
        </w:rPr>
      </w:pPr>
      <w:r>
        <w:rPr>
          <w:rFonts w:hint="eastAsia" w:ascii="宋体" w:hAnsi="宋体" w:cs="宋体"/>
          <w:b/>
          <w:bCs/>
          <w:color w:val="auto"/>
          <w:sz w:val="22"/>
          <w:szCs w:val="22"/>
          <w:highlight w:val="none"/>
        </w:rPr>
        <w:t>4、投标报价</w:t>
      </w:r>
    </w:p>
    <w:p w14:paraId="4B532E8B">
      <w:pPr>
        <w:spacing w:line="460" w:lineRule="exact"/>
        <w:ind w:firstLine="442" w:firstLineChars="200"/>
        <w:rPr>
          <w:rFonts w:ascii="新宋体" w:hAnsi="新宋体" w:eastAsia="新宋体"/>
          <w:b/>
          <w:color w:val="auto"/>
          <w:sz w:val="22"/>
          <w:szCs w:val="22"/>
          <w:highlight w:val="none"/>
        </w:rPr>
      </w:pPr>
      <w:r>
        <w:rPr>
          <w:rFonts w:hint="eastAsia" w:ascii="宋体" w:hAnsi="宋体" w:cs="宋体"/>
          <w:b/>
          <w:color w:val="auto"/>
          <w:sz w:val="22"/>
          <w:highlight w:val="none"/>
        </w:rPr>
        <w:t>4.1</w:t>
      </w:r>
      <w:r>
        <w:rPr>
          <w:rFonts w:hint="eastAsia" w:ascii="新宋体" w:hAnsi="新宋体" w:eastAsia="新宋体"/>
          <w:b/>
          <w:color w:val="auto"/>
          <w:sz w:val="22"/>
          <w:szCs w:val="22"/>
          <w:highlight w:val="none"/>
        </w:rPr>
        <w:t>投标报价是指合同期内项目的全部费用，包括但不限于投标人各项成本支出、合理的利润、应交纳的税金及采购代理费用等，完成合同所需的一切本身和不可或缺的所有工作开支、政策性文件规定及合同包含的所有风险、责任等各项全部费用，投标人应根据上述因素自行考虑含入投标报价。</w:t>
      </w:r>
    </w:p>
    <w:p w14:paraId="5CE158D2">
      <w:pPr>
        <w:spacing w:line="46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4.2投标人必须按附件中的投标报价一览表、投标分项报价表内容填写价格，并由投标人代表签署。</w:t>
      </w:r>
    </w:p>
    <w:p w14:paraId="6E7DE7F0">
      <w:pPr>
        <w:spacing w:line="46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4.3</w:t>
      </w:r>
      <w:r>
        <w:rPr>
          <w:rFonts w:hint="eastAsia" w:ascii="宋体" w:hAnsi="宋体" w:cs="宋体"/>
          <w:b/>
          <w:color w:val="auto"/>
          <w:sz w:val="22"/>
          <w:highlight w:val="none"/>
        </w:rPr>
        <w:t>投标货币以人民币进行投标</w:t>
      </w:r>
      <w:r>
        <w:rPr>
          <w:rFonts w:hint="eastAsia" w:ascii="宋体" w:hAnsi="宋体" w:cs="宋体"/>
          <w:b/>
          <w:color w:val="auto"/>
          <w:sz w:val="22"/>
          <w:szCs w:val="22"/>
          <w:highlight w:val="none"/>
        </w:rPr>
        <w:t>。</w:t>
      </w:r>
    </w:p>
    <w:p w14:paraId="79ABF490">
      <w:pPr>
        <w:spacing w:line="46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4.4</w:t>
      </w:r>
      <w:r>
        <w:rPr>
          <w:rFonts w:hint="eastAsia" w:ascii="宋体" w:hAnsi="宋体" w:cs="宋体"/>
          <w:b/>
          <w:color w:val="auto"/>
          <w:sz w:val="22"/>
          <w:highlight w:val="none"/>
        </w:rPr>
        <w:t>招标人和招标代理机构不接受任何选择投标，对任何服务只允许一个价格。</w:t>
      </w:r>
    </w:p>
    <w:p w14:paraId="34D9846A">
      <w:pPr>
        <w:spacing w:line="46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4.5招标人和</w:t>
      </w:r>
      <w:r>
        <w:rPr>
          <w:rFonts w:hint="eastAsia" w:ascii="宋体" w:hAnsi="宋体" w:cs="宋体"/>
          <w:color w:val="auto"/>
          <w:sz w:val="22"/>
          <w:highlight w:val="none"/>
        </w:rPr>
        <w:t>招标代理机构</w:t>
      </w:r>
      <w:r>
        <w:rPr>
          <w:rFonts w:hint="eastAsia" w:ascii="宋体" w:hAnsi="宋体" w:cs="宋体"/>
          <w:color w:val="auto"/>
          <w:sz w:val="22"/>
          <w:szCs w:val="22"/>
          <w:highlight w:val="none"/>
        </w:rPr>
        <w:t>要求分类报价是为了方便评标，但在任何情况下不限制招标人以其认为最合适的条款、条件签订合同的权利。</w:t>
      </w:r>
    </w:p>
    <w:p w14:paraId="4F388F0A">
      <w:pPr>
        <w:spacing w:line="46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4.6投标报价报出后，投标人不得以任何理由予以变更。任何包含价格调整的要求，将被认为是非实质性响应投标而予以否决。</w:t>
      </w:r>
    </w:p>
    <w:p w14:paraId="39CD285B">
      <w:pPr>
        <w:spacing w:line="46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4.7最低报价不能作为中标的保证。</w:t>
      </w:r>
    </w:p>
    <w:p w14:paraId="55E2CBDD">
      <w:pPr>
        <w:spacing w:line="460" w:lineRule="exact"/>
        <w:ind w:firstLine="442" w:firstLineChars="200"/>
        <w:rPr>
          <w:rFonts w:ascii="宋体" w:hAnsi="宋体" w:cs="宋体"/>
          <w:b/>
          <w:color w:val="auto"/>
          <w:sz w:val="22"/>
          <w:szCs w:val="22"/>
          <w:highlight w:val="none"/>
        </w:rPr>
      </w:pPr>
      <w:r>
        <w:rPr>
          <w:rFonts w:hint="eastAsia" w:ascii="宋体" w:hAnsi="宋体" w:cs="宋体"/>
          <w:b/>
          <w:bCs/>
          <w:color w:val="auto"/>
          <w:sz w:val="22"/>
          <w:szCs w:val="22"/>
          <w:highlight w:val="none"/>
        </w:rPr>
        <w:t>5、投标有效期</w:t>
      </w:r>
    </w:p>
    <w:p w14:paraId="7625F9D7">
      <w:pPr>
        <w:spacing w:line="46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5.1自开标之日起</w:t>
      </w:r>
      <w:r>
        <w:rPr>
          <w:rFonts w:hint="eastAsia" w:ascii="宋体" w:hAnsi="宋体" w:cs="宋体"/>
          <w:b/>
          <w:bCs/>
          <w:color w:val="auto"/>
          <w:sz w:val="22"/>
          <w:szCs w:val="22"/>
          <w:highlight w:val="none"/>
        </w:rPr>
        <w:t xml:space="preserve"> 120 </w:t>
      </w:r>
      <w:r>
        <w:rPr>
          <w:rFonts w:hint="eastAsia" w:ascii="宋体" w:hAnsi="宋体" w:cs="宋体"/>
          <w:b/>
          <w:color w:val="auto"/>
          <w:sz w:val="22"/>
          <w:szCs w:val="22"/>
          <w:highlight w:val="none"/>
        </w:rPr>
        <w:t>天内投标应保持有效。</w:t>
      </w:r>
    </w:p>
    <w:p w14:paraId="4572B902">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345A3D3D">
      <w:pPr>
        <w:spacing w:line="4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6、投标保证金</w:t>
      </w:r>
    </w:p>
    <w:p w14:paraId="32C38693">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无。</w:t>
      </w:r>
    </w:p>
    <w:p w14:paraId="520D085E">
      <w:pPr>
        <w:spacing w:line="4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7、投标文件编制</w:t>
      </w:r>
    </w:p>
    <w:p w14:paraId="1F35757D">
      <w:pPr>
        <w:spacing w:line="4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7.1本项目通过“</w:t>
      </w:r>
      <w:r>
        <w:rPr>
          <w:rFonts w:hint="eastAsia" w:ascii="宋体" w:hAnsi="宋体" w:cs="宋体"/>
          <w:b/>
          <w:bCs/>
          <w:color w:val="auto"/>
          <w:sz w:val="22"/>
          <w:szCs w:val="22"/>
          <w:highlight w:val="none"/>
          <w:lang w:eastAsia="zh-CN"/>
        </w:rPr>
        <w:t>政采云平台</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eastAsia="zh-CN"/>
        </w:rPr>
        <w:t>https://zfcg.czt.zj.gov.cn/</w:t>
      </w:r>
      <w:r>
        <w:rPr>
          <w:rFonts w:hint="eastAsia" w:ascii="宋体" w:hAnsi="宋体" w:cs="宋体"/>
          <w:b/>
          <w:bCs/>
          <w:color w:val="auto"/>
          <w:sz w:val="22"/>
          <w:szCs w:val="22"/>
          <w:highlight w:val="none"/>
        </w:rPr>
        <w:t>）”实行在线投标响应（电子投标）。供应商应通过“</w:t>
      </w:r>
      <w:r>
        <w:rPr>
          <w:rFonts w:hint="eastAsia" w:ascii="宋体" w:hAnsi="宋体" w:cs="宋体"/>
          <w:b/>
          <w:bCs/>
          <w:color w:val="auto"/>
          <w:sz w:val="22"/>
          <w:szCs w:val="22"/>
          <w:highlight w:val="none"/>
          <w:lang w:eastAsia="zh-CN"/>
        </w:rPr>
        <w:t>政采云</w:t>
      </w:r>
      <w:r>
        <w:rPr>
          <w:rFonts w:hint="eastAsia" w:ascii="宋体" w:hAnsi="宋体" w:cs="宋体"/>
          <w:b/>
          <w:bCs/>
          <w:color w:val="auto"/>
          <w:sz w:val="22"/>
          <w:szCs w:val="22"/>
          <w:highlight w:val="none"/>
        </w:rPr>
        <w:t>电子交易客户端”，并按照本招标文件和“</w:t>
      </w:r>
      <w:r>
        <w:rPr>
          <w:rFonts w:hint="eastAsia" w:ascii="宋体" w:hAnsi="宋体" w:cs="宋体"/>
          <w:b/>
          <w:bCs/>
          <w:color w:val="auto"/>
          <w:sz w:val="22"/>
          <w:szCs w:val="22"/>
          <w:highlight w:val="none"/>
          <w:lang w:eastAsia="zh-CN"/>
        </w:rPr>
        <w:t>政采云平台</w:t>
      </w:r>
      <w:r>
        <w:rPr>
          <w:rFonts w:hint="eastAsia" w:ascii="宋体" w:hAnsi="宋体" w:cs="宋体"/>
          <w:b/>
          <w:bCs/>
          <w:color w:val="auto"/>
          <w:sz w:val="22"/>
          <w:szCs w:val="22"/>
          <w:highlight w:val="none"/>
        </w:rPr>
        <w:t>”的要求编制并加密投标文件。</w:t>
      </w:r>
    </w:p>
    <w:p w14:paraId="66B0A50D">
      <w:pPr>
        <w:spacing w:line="4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7.2投标人应当按照本章节 “投标文件的构成”规定的内容及顺序在“</w:t>
      </w:r>
      <w:r>
        <w:rPr>
          <w:rFonts w:hint="eastAsia" w:ascii="宋体" w:hAnsi="宋体" w:cs="宋体"/>
          <w:b/>
          <w:bCs/>
          <w:color w:val="auto"/>
          <w:sz w:val="22"/>
          <w:szCs w:val="22"/>
          <w:highlight w:val="none"/>
          <w:lang w:eastAsia="zh-CN"/>
        </w:rPr>
        <w:t>政采云</w:t>
      </w:r>
      <w:r>
        <w:rPr>
          <w:rFonts w:hint="eastAsia" w:ascii="宋体" w:hAnsi="宋体" w:cs="宋体"/>
          <w:b/>
          <w:bCs/>
          <w:color w:val="auto"/>
          <w:sz w:val="22"/>
          <w:szCs w:val="22"/>
          <w:highlight w:val="none"/>
        </w:rPr>
        <w:t>电子交易客户端”编制投标文件。其中《资格文件》和《商务技术文件》中不得出现本项目投标报价。</w:t>
      </w:r>
    </w:p>
    <w:p w14:paraId="38549DC9">
      <w:pPr>
        <w:spacing w:line="4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14:paraId="0BACCBDC">
      <w:pPr>
        <w:spacing w:line="4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7.4《投标文件》内容不完整、编排混乱导致《投标文件》被误读、漏读或者查找不到相关内容的，投标人自行负责。</w:t>
      </w:r>
    </w:p>
    <w:p w14:paraId="4D186E77">
      <w:pPr>
        <w:spacing w:line="4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7.5《投标文件》因字迹潦草或表达不清所引起的后果由投标人负责。</w:t>
      </w:r>
    </w:p>
    <w:p w14:paraId="035952C3">
      <w:pPr>
        <w:spacing w:line="4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205C5DE6">
      <w:pPr>
        <w:spacing w:line="4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8、投标文件的签章</w:t>
      </w:r>
    </w:p>
    <w:p w14:paraId="2539EE40">
      <w:pPr>
        <w:spacing w:line="4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8.1《投标文件》的签章：见《前附表》；</w:t>
      </w:r>
    </w:p>
    <w:p w14:paraId="40AD0C3C">
      <w:pPr>
        <w:spacing w:line="4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8.2《投标文件》应由投标人法定代表人或其授权代表签字（或盖章），并时加盖投标人公章。</w:t>
      </w:r>
    </w:p>
    <w:p w14:paraId="346260B9">
      <w:pPr>
        <w:spacing w:line="4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8.3电子签章操作指南详见采购公告附件《供应商项目采购-电子招投标操作指南》。</w:t>
      </w:r>
    </w:p>
    <w:p w14:paraId="4A7B09C0">
      <w:pPr>
        <w:spacing w:line="4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9、投标文件的形式</w:t>
      </w:r>
    </w:p>
    <w:p w14:paraId="6FD642E6">
      <w:pPr>
        <w:spacing w:line="4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9.1投标文件的形式：见《前附表》；</w:t>
      </w:r>
    </w:p>
    <w:p w14:paraId="6810066B">
      <w:pPr>
        <w:spacing w:line="4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9.2“电子加密投标文件”：“电子加密投标文件”是指通过“</w:t>
      </w:r>
      <w:r>
        <w:rPr>
          <w:rFonts w:hint="eastAsia" w:ascii="宋体" w:hAnsi="宋体" w:cs="宋体"/>
          <w:b/>
          <w:bCs/>
          <w:color w:val="auto"/>
          <w:sz w:val="22"/>
          <w:szCs w:val="22"/>
          <w:highlight w:val="none"/>
          <w:lang w:eastAsia="zh-CN"/>
        </w:rPr>
        <w:t>政采云</w:t>
      </w:r>
      <w:r>
        <w:rPr>
          <w:rFonts w:hint="eastAsia" w:ascii="宋体" w:hAnsi="宋体" w:cs="宋体"/>
          <w:b/>
          <w:bCs/>
          <w:color w:val="auto"/>
          <w:sz w:val="22"/>
          <w:szCs w:val="22"/>
          <w:highlight w:val="none"/>
        </w:rPr>
        <w:t>电子交易客户端”完成投标文件编制后生成并加密的数据电文形式的投标文件。</w:t>
      </w:r>
    </w:p>
    <w:p w14:paraId="0EE61A8A">
      <w:pPr>
        <w:spacing w:line="4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591CD5FF">
      <w:pPr>
        <w:spacing w:line="4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10、投标文件的份数</w:t>
      </w:r>
    </w:p>
    <w:p w14:paraId="6C3F4069">
      <w:pPr>
        <w:spacing w:line="4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10.1投标文件的份数：见《前附表》。</w:t>
      </w:r>
    </w:p>
    <w:p w14:paraId="14D72D9F">
      <w:pPr>
        <w:spacing w:before="100" w:beforeAutospacing="1" w:after="100" w:afterAutospacing="1" w:line="440" w:lineRule="exact"/>
        <w:jc w:val="center"/>
        <w:outlineLvl w:val="1"/>
        <w:rPr>
          <w:rFonts w:ascii="宋体" w:hAnsi="宋体" w:cs="宋体"/>
          <w:b/>
          <w:bCs/>
          <w:color w:val="auto"/>
          <w:sz w:val="22"/>
          <w:szCs w:val="22"/>
          <w:highlight w:val="none"/>
        </w:rPr>
      </w:pPr>
      <w:bookmarkStart w:id="16" w:name="_Toc18542"/>
      <w:bookmarkStart w:id="17" w:name="_Toc15422"/>
      <w:r>
        <w:rPr>
          <w:rFonts w:hint="eastAsia" w:ascii="宋体" w:hAnsi="宋体" w:cs="宋体"/>
          <w:b/>
          <w:bCs/>
          <w:color w:val="auto"/>
          <w:sz w:val="22"/>
          <w:szCs w:val="22"/>
          <w:highlight w:val="none"/>
        </w:rPr>
        <w:t>四、 投标文件的递交</w:t>
      </w:r>
      <w:bookmarkEnd w:id="16"/>
      <w:bookmarkEnd w:id="17"/>
    </w:p>
    <w:p w14:paraId="1FCCB938">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1、投标文件的上传和递交</w:t>
      </w:r>
    </w:p>
    <w:p w14:paraId="474DCD7C">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1.1“投标文件”的上传、递交：见《前附表》。</w:t>
      </w:r>
    </w:p>
    <w:p w14:paraId="6E667BA5">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2、“电子加密投标文件”解密和异常情况处理</w:t>
      </w:r>
    </w:p>
    <w:p w14:paraId="25FA22E3">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2.1“电子加密投标文件”解密：见《前附表》。</w:t>
      </w:r>
    </w:p>
    <w:p w14:paraId="5EE6D423">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3、投标文件的补充、修改或撤回</w:t>
      </w:r>
    </w:p>
    <w:p w14:paraId="3F091D91">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ascii="宋体" w:hAnsi="宋体" w:cs="宋体"/>
          <w:b w:val="0"/>
          <w:bCs/>
          <w:color w:val="auto"/>
          <w:sz w:val="22"/>
          <w:szCs w:val="22"/>
          <w:highlight w:val="none"/>
          <w:lang w:eastAsia="zh-CN"/>
        </w:rPr>
        <w:t>政采云</w:t>
      </w:r>
      <w:r>
        <w:rPr>
          <w:rFonts w:hint="eastAsia" w:ascii="宋体" w:hAnsi="宋体" w:eastAsia="宋体" w:cs="宋体"/>
          <w:b w:val="0"/>
          <w:bCs/>
          <w:color w:val="auto"/>
          <w:sz w:val="22"/>
          <w:szCs w:val="22"/>
          <w:highlight w:val="none"/>
          <w:lang w:eastAsia="zh-CN"/>
        </w:rPr>
        <w:t>平台</w:t>
      </w:r>
      <w:r>
        <w:rPr>
          <w:rFonts w:hint="eastAsia" w:ascii="宋体" w:hAnsi="宋体" w:eastAsia="宋体" w:cs="宋体"/>
          <w:b w:val="0"/>
          <w:bCs/>
          <w:color w:val="auto"/>
          <w:sz w:val="22"/>
          <w:szCs w:val="22"/>
          <w:highlight w:val="none"/>
        </w:rPr>
        <w:t>”将予以拒收。</w:t>
      </w:r>
    </w:p>
    <w:p w14:paraId="4388FC23">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3.2投标截止时间后，投标人不得撤回、修改《投标文件》。</w:t>
      </w:r>
    </w:p>
    <w:p w14:paraId="6F311525">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4、投标文件的备选方案</w:t>
      </w:r>
    </w:p>
    <w:p w14:paraId="1159DA90">
      <w:pPr>
        <w:spacing w:line="460" w:lineRule="exact"/>
        <w:ind w:firstLine="440" w:firstLineChars="200"/>
        <w:rPr>
          <w:rFonts w:ascii="宋体" w:hAnsi="宋体" w:cs="宋体"/>
          <w:b/>
          <w:bCs/>
          <w:color w:val="auto"/>
          <w:sz w:val="22"/>
          <w:szCs w:val="22"/>
          <w:highlight w:val="none"/>
        </w:rPr>
      </w:pPr>
      <w:r>
        <w:rPr>
          <w:rFonts w:hint="eastAsia" w:ascii="宋体" w:hAnsi="宋体" w:eastAsia="宋体" w:cs="宋体"/>
          <w:b w:val="0"/>
          <w:bCs/>
          <w:color w:val="auto"/>
          <w:sz w:val="22"/>
          <w:szCs w:val="22"/>
          <w:highlight w:val="none"/>
        </w:rPr>
        <w:t>4.1投标人不得</w:t>
      </w:r>
      <w:r>
        <w:rPr>
          <w:rFonts w:hint="eastAsia" w:ascii="宋体" w:hAnsi="宋体" w:cs="宋体"/>
          <w:color w:val="auto"/>
          <w:sz w:val="22"/>
          <w:szCs w:val="22"/>
          <w:highlight w:val="none"/>
        </w:rPr>
        <w:t>递交任何的投标备选（替代）方案，否则其投标文件将作无效标处理。与“电子加密投标文件”同时生成的“备份投标文件”不是投标备选（替代）方案。</w:t>
      </w:r>
    </w:p>
    <w:p w14:paraId="7E4A04B0">
      <w:pPr>
        <w:spacing w:before="100" w:beforeAutospacing="1" w:after="100" w:afterAutospacing="1" w:line="460" w:lineRule="exact"/>
        <w:jc w:val="center"/>
        <w:outlineLvl w:val="1"/>
        <w:rPr>
          <w:rFonts w:ascii="宋体" w:hAnsi="宋体" w:cs="宋体"/>
          <w:b/>
          <w:bCs/>
          <w:color w:val="auto"/>
          <w:sz w:val="22"/>
          <w:szCs w:val="22"/>
          <w:highlight w:val="none"/>
        </w:rPr>
      </w:pPr>
      <w:bookmarkStart w:id="18" w:name="_Toc30172"/>
      <w:bookmarkStart w:id="19" w:name="_Toc8079"/>
      <w:r>
        <w:rPr>
          <w:rFonts w:hint="eastAsia" w:ascii="宋体" w:hAnsi="宋体" w:cs="宋体"/>
          <w:b/>
          <w:bCs/>
          <w:color w:val="auto"/>
          <w:sz w:val="22"/>
          <w:szCs w:val="22"/>
          <w:highlight w:val="none"/>
        </w:rPr>
        <w:t>五、 开标和评标</w:t>
      </w:r>
      <w:bookmarkEnd w:id="18"/>
      <w:bookmarkEnd w:id="19"/>
    </w:p>
    <w:p w14:paraId="6A481FFC">
      <w:pPr>
        <w:spacing w:line="460" w:lineRule="exact"/>
        <w:ind w:firstLine="442" w:firstLineChars="200"/>
        <w:rPr>
          <w:rFonts w:ascii="宋体" w:hAnsi="宋体" w:cs="宋体"/>
          <w:b/>
          <w:color w:val="auto"/>
          <w:sz w:val="22"/>
          <w:szCs w:val="22"/>
          <w:highlight w:val="none"/>
        </w:rPr>
      </w:pPr>
      <w:r>
        <w:rPr>
          <w:rFonts w:hint="eastAsia" w:ascii="宋体" w:hAnsi="宋体" w:cs="宋体"/>
          <w:b/>
          <w:bCs/>
          <w:color w:val="auto"/>
          <w:sz w:val="22"/>
          <w:szCs w:val="22"/>
          <w:highlight w:val="none"/>
        </w:rPr>
        <w:t>1、评标委员会</w:t>
      </w:r>
    </w:p>
    <w:p w14:paraId="162D6060">
      <w:pPr>
        <w:spacing w:line="460" w:lineRule="exact"/>
        <w:ind w:firstLine="440" w:firstLineChars="200"/>
        <w:rPr>
          <w:rFonts w:ascii="宋体" w:hAnsi="宋体" w:cs="宋体"/>
          <w:b/>
          <w:color w:val="auto"/>
          <w:sz w:val="22"/>
          <w:szCs w:val="22"/>
          <w:highlight w:val="none"/>
        </w:rPr>
      </w:pPr>
      <w:r>
        <w:rPr>
          <w:rFonts w:hint="eastAsia" w:ascii="宋体" w:hAnsi="宋体" w:cs="宋体"/>
          <w:bCs/>
          <w:color w:val="auto"/>
          <w:sz w:val="22"/>
          <w:szCs w:val="22"/>
          <w:highlight w:val="none"/>
        </w:rPr>
        <w:t>招标人和招标代理机构组建评标委员会。评标委员会的成员在评标过程中必须严格遵守《政府采购法》等有关法律、法规的规定。</w:t>
      </w:r>
    </w:p>
    <w:p w14:paraId="3C6D729A">
      <w:pPr>
        <w:spacing w:line="46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2、评标过程的保密性</w:t>
      </w:r>
    </w:p>
    <w:p w14:paraId="7FD46B19">
      <w:pPr>
        <w:spacing w:line="460" w:lineRule="exact"/>
        <w:ind w:firstLine="440" w:firstLineChars="200"/>
        <w:rPr>
          <w:rFonts w:ascii="宋体" w:hAnsi="宋体" w:cs="宋体"/>
          <w:color w:val="auto"/>
          <w:sz w:val="22"/>
          <w:szCs w:val="22"/>
          <w:highlight w:val="none"/>
        </w:rPr>
      </w:pPr>
      <w:r>
        <w:rPr>
          <w:rFonts w:hint="eastAsia" w:ascii="宋体" w:hAnsi="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14:paraId="2C842FD8">
      <w:pPr>
        <w:spacing w:line="46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3、开标形式</w:t>
      </w:r>
    </w:p>
    <w:p w14:paraId="09081BC7">
      <w:pPr>
        <w:spacing w:line="46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采购组织机构将按照招标文件规定的时间通过“</w:t>
      </w:r>
      <w:r>
        <w:rPr>
          <w:rFonts w:hint="eastAsia" w:ascii="宋体" w:hAnsi="宋体" w:cs="宋体"/>
          <w:b/>
          <w:color w:val="auto"/>
          <w:sz w:val="22"/>
          <w:szCs w:val="22"/>
          <w:highlight w:val="none"/>
          <w:lang w:eastAsia="zh-CN"/>
        </w:rPr>
        <w:t>政采云平台</w:t>
      </w:r>
      <w:r>
        <w:rPr>
          <w:rFonts w:hint="eastAsia" w:ascii="宋体" w:hAnsi="宋体" w:cs="宋体"/>
          <w:b/>
          <w:color w:val="auto"/>
          <w:sz w:val="22"/>
          <w:szCs w:val="22"/>
          <w:highlight w:val="none"/>
        </w:rPr>
        <w:t>”组织开标、开启投标文件，所有供应商均应当准时(在线)参加。</w:t>
      </w:r>
    </w:p>
    <w:p w14:paraId="017ED814">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4、开标准备</w:t>
      </w:r>
    </w:p>
    <w:p w14:paraId="74375769">
      <w:pPr>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4.1开标的准备工作由采购组织机构负责落实；</w:t>
      </w:r>
    </w:p>
    <w:p w14:paraId="1E1BA000">
      <w:pPr>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4.2</w:t>
      </w:r>
      <w:r>
        <w:rPr>
          <w:rFonts w:hint="eastAsia" w:ascii="宋体" w:hAnsi="宋体" w:cs="宋体"/>
          <w:b/>
          <w:color w:val="auto"/>
          <w:sz w:val="22"/>
          <w:szCs w:val="22"/>
          <w:highlight w:val="none"/>
        </w:rPr>
        <w:t>采购组织机构将按照招标文件规定的时间通过“</w:t>
      </w:r>
      <w:r>
        <w:rPr>
          <w:rFonts w:hint="eastAsia" w:ascii="宋体" w:hAnsi="宋体" w:cs="宋体"/>
          <w:b/>
          <w:color w:val="auto"/>
          <w:sz w:val="22"/>
          <w:szCs w:val="22"/>
          <w:highlight w:val="none"/>
          <w:lang w:eastAsia="zh-CN"/>
        </w:rPr>
        <w:t>政采云平台</w:t>
      </w:r>
      <w:r>
        <w:rPr>
          <w:rFonts w:hint="eastAsia" w:ascii="宋体" w:hAnsi="宋体" w:cs="宋体"/>
          <w:b/>
          <w:color w:val="auto"/>
          <w:sz w:val="22"/>
          <w:szCs w:val="22"/>
          <w:highlight w:val="none"/>
        </w:rPr>
        <w:t>”组织开标、开启投标文件，所有供应商均应当准时(在线)参加。</w:t>
      </w:r>
      <w:r>
        <w:rPr>
          <w:rFonts w:hint="eastAsia" w:ascii="宋体" w:hAnsi="宋体" w:cs="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0996530D">
      <w:pPr>
        <w:spacing w:line="4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5、开标流程</w:t>
      </w:r>
    </w:p>
    <w:p w14:paraId="7DFB7BAF">
      <w:pPr>
        <w:spacing w:line="460" w:lineRule="exact"/>
        <w:ind w:firstLine="442" w:firstLineChars="200"/>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5.1开标、评标</w:t>
      </w:r>
    </w:p>
    <w:p w14:paraId="4BBB502E">
      <w:pPr>
        <w:spacing w:line="460" w:lineRule="exact"/>
        <w:ind w:firstLine="440" w:firstLineChars="200"/>
        <w:rPr>
          <w:rFonts w:ascii="宋体" w:hAnsi="宋体" w:cs="宋体"/>
          <w:color w:val="auto"/>
          <w:sz w:val="22"/>
          <w:szCs w:val="22"/>
          <w:highlight w:val="none"/>
        </w:rPr>
      </w:pPr>
      <w:r>
        <w:rPr>
          <w:rFonts w:hint="eastAsia" w:ascii="宋体" w:hAnsi="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w:t>
      </w:r>
      <w:r>
        <w:rPr>
          <w:rFonts w:hint="eastAsia" w:ascii="宋体" w:hAnsi="宋体" w:cs="宋体"/>
          <w:color w:val="auto"/>
          <w:kern w:val="0"/>
          <w:sz w:val="22"/>
          <w:szCs w:val="22"/>
          <w:highlight w:val="none"/>
          <w:lang w:eastAsia="zh-CN"/>
        </w:rPr>
        <w:t>政采云平台</w:t>
      </w:r>
      <w:r>
        <w:rPr>
          <w:rFonts w:hint="eastAsia" w:ascii="宋体" w:hAnsi="宋体" w:cs="宋体"/>
          <w:color w:val="auto"/>
          <w:kern w:val="0"/>
          <w:sz w:val="22"/>
          <w:szCs w:val="22"/>
          <w:highlight w:val="none"/>
        </w:rPr>
        <w:t>”操作规范将备份投标文件上传至“</w:t>
      </w:r>
      <w:r>
        <w:rPr>
          <w:rFonts w:hint="eastAsia" w:ascii="宋体" w:hAnsi="宋体" w:cs="宋体"/>
          <w:color w:val="auto"/>
          <w:kern w:val="0"/>
          <w:sz w:val="22"/>
          <w:szCs w:val="22"/>
          <w:highlight w:val="none"/>
          <w:lang w:eastAsia="zh-CN"/>
        </w:rPr>
        <w:t>政采云平台</w:t>
      </w:r>
      <w:r>
        <w:rPr>
          <w:rFonts w:hint="eastAsia" w:ascii="宋体" w:hAnsi="宋体" w:cs="宋体"/>
          <w:color w:val="auto"/>
          <w:kern w:val="0"/>
          <w:sz w:val="22"/>
          <w:szCs w:val="22"/>
          <w:highlight w:val="none"/>
        </w:rPr>
        <w:t>”，上传成功后，“电子加密投标文件”自动失效；</w:t>
      </w:r>
    </w:p>
    <w:p w14:paraId="0B0A7E2C">
      <w:pPr>
        <w:spacing w:line="460" w:lineRule="exact"/>
        <w:ind w:firstLine="440" w:firstLineChars="200"/>
        <w:rPr>
          <w:rFonts w:ascii="宋体" w:hAnsi="宋体" w:cs="宋体"/>
          <w:color w:val="auto"/>
          <w:highlight w:val="none"/>
        </w:rPr>
      </w:pPr>
      <w:r>
        <w:rPr>
          <w:rFonts w:hint="eastAsia" w:ascii="宋体" w:hAnsi="宋体" w:cs="宋体"/>
          <w:bCs/>
          <w:color w:val="auto"/>
          <w:sz w:val="22"/>
          <w:szCs w:val="22"/>
          <w:highlight w:val="none"/>
        </w:rPr>
        <w:t>投标人不足3家的，不得开标。</w:t>
      </w:r>
    </w:p>
    <w:p w14:paraId="2C314A0D">
      <w:pPr>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（2）解密成功后，开启投标人的《报价文件》，由供应商对自己报价文件相关内容进行签字确认，（不予确认的应说明理由，否则视为无异议）。</w:t>
      </w:r>
    </w:p>
    <w:p w14:paraId="1D1F37D5">
      <w:pPr>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（3）开启《投标文件》，进入资格审查；</w:t>
      </w:r>
      <w:r>
        <w:rPr>
          <w:rFonts w:hint="eastAsia" w:ascii="宋体" w:hAnsi="宋体" w:cs="宋体"/>
          <w:bCs/>
          <w:color w:val="auto"/>
          <w:sz w:val="22"/>
          <w:szCs w:val="22"/>
          <w:highlight w:val="none"/>
        </w:rPr>
        <w:t>合格投标人不足3家的，不得评标。</w:t>
      </w:r>
    </w:p>
    <w:p w14:paraId="1222AE35">
      <w:pPr>
        <w:spacing w:line="460" w:lineRule="exact"/>
        <w:ind w:firstLine="442" w:firstLineChars="200"/>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14:paraId="2A547F08">
      <w:pPr>
        <w:spacing w:line="460" w:lineRule="exact"/>
        <w:ind w:firstLine="440" w:firstLineChars="200"/>
        <w:rPr>
          <w:rFonts w:ascii="宋体" w:hAnsi="宋体" w:cs="宋体"/>
          <w:bCs/>
          <w:color w:val="auto"/>
          <w:sz w:val="22"/>
          <w:szCs w:val="22"/>
          <w:highlight w:val="none"/>
        </w:rPr>
      </w:pPr>
      <w:r>
        <w:rPr>
          <w:rFonts w:hint="eastAsia" w:ascii="宋体" w:hAnsi="宋体" w:cs="宋体"/>
          <w:color w:val="auto"/>
          <w:kern w:val="0"/>
          <w:sz w:val="22"/>
          <w:szCs w:val="22"/>
          <w:highlight w:val="none"/>
        </w:rPr>
        <w:t>（4）开启资格审查通过的投标人的商务技术文件进入符合性审查，</w:t>
      </w:r>
      <w:r>
        <w:rPr>
          <w:rFonts w:hint="eastAsia" w:ascii="宋体" w:hAnsi="宋体" w:cs="宋体"/>
          <w:bCs/>
          <w:color w:val="auto"/>
          <w:sz w:val="22"/>
          <w:szCs w:val="22"/>
          <w:highlight w:val="none"/>
        </w:rPr>
        <w:t>以确定其是否满足招标文件的实质性要求，合格投标人不足3家的，不得评标。</w:t>
      </w:r>
    </w:p>
    <w:p w14:paraId="04248A21">
      <w:pPr>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7F4D1B19">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（5）对通过资格审查、符合性审查的合格供应商进行商务技术部分的评审。</w:t>
      </w:r>
    </w:p>
    <w:p w14:paraId="55FEAFF8">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（6）评标委员会对报价的合理性、准确性等进行审查核实。</w:t>
      </w:r>
    </w:p>
    <w:p w14:paraId="660D0DFE">
      <w:pPr>
        <w:spacing w:line="460" w:lineRule="exact"/>
        <w:ind w:firstLine="440" w:firstLineChars="200"/>
        <w:rPr>
          <w:rFonts w:ascii="宋体" w:hAnsi="宋体" w:cs="宋体"/>
          <w:color w:val="auto"/>
          <w:kern w:val="0"/>
          <w:sz w:val="22"/>
          <w:szCs w:val="22"/>
          <w:highlight w:val="none"/>
        </w:rPr>
      </w:pPr>
      <w:r>
        <w:rPr>
          <w:rFonts w:hint="eastAsia" w:ascii="宋体" w:hAnsi="宋体" w:eastAsia="宋体" w:cs="宋体"/>
          <w:b w:val="0"/>
          <w:bCs/>
          <w:color w:val="auto"/>
          <w:sz w:val="22"/>
          <w:szCs w:val="22"/>
          <w:highlight w:val="none"/>
        </w:rPr>
        <w:t>（7）</w:t>
      </w:r>
      <w:r>
        <w:rPr>
          <w:rFonts w:hint="eastAsia" w:ascii="宋体" w:hAnsi="宋体" w:cs="宋体"/>
          <w:color w:val="auto"/>
          <w:kern w:val="0"/>
          <w:sz w:val="22"/>
          <w:szCs w:val="22"/>
          <w:highlight w:val="none"/>
        </w:rPr>
        <w:t>评审结束后，公布中标（成交）候选供应商名单及招标人最终确定中标或成交供应商名单的时间和公告方式等，未在场的投标人通过发送邮件形式通知。</w:t>
      </w:r>
    </w:p>
    <w:p w14:paraId="6B54D436">
      <w:pPr>
        <w:spacing w:line="460" w:lineRule="exact"/>
        <w:ind w:firstLine="442" w:firstLineChars="200"/>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特别说明：如遇“</w:t>
      </w:r>
      <w:r>
        <w:rPr>
          <w:rFonts w:hint="eastAsia" w:ascii="宋体" w:hAnsi="宋体" w:cs="宋体"/>
          <w:b/>
          <w:color w:val="auto"/>
          <w:kern w:val="0"/>
          <w:sz w:val="22"/>
          <w:szCs w:val="22"/>
          <w:highlight w:val="none"/>
          <w:lang w:eastAsia="zh-CN"/>
        </w:rPr>
        <w:t>政采云平台</w:t>
      </w:r>
      <w:r>
        <w:rPr>
          <w:rFonts w:hint="eastAsia" w:ascii="宋体" w:hAnsi="宋体" w:cs="宋体"/>
          <w:b/>
          <w:color w:val="auto"/>
          <w:kern w:val="0"/>
          <w:sz w:val="22"/>
          <w:szCs w:val="22"/>
          <w:highlight w:val="none"/>
        </w:rPr>
        <w:t>”电子化开标或评审程序调整的，按调整后程序执行。</w:t>
      </w:r>
    </w:p>
    <w:p w14:paraId="4F11E058">
      <w:pPr>
        <w:spacing w:line="460" w:lineRule="exact"/>
        <w:ind w:firstLine="440" w:firstLineChars="200"/>
        <w:rPr>
          <w:rFonts w:ascii="宋体" w:hAnsi="宋体" w:cs="宋体"/>
          <w:color w:val="auto"/>
          <w:sz w:val="22"/>
          <w:szCs w:val="22"/>
          <w:highlight w:val="none"/>
        </w:rPr>
      </w:pPr>
      <w:bookmarkStart w:id="20" w:name="_Toc33194393"/>
      <w:bookmarkStart w:id="21" w:name="_Toc24550037"/>
      <w:r>
        <w:rPr>
          <w:rFonts w:hint="eastAsia" w:ascii="宋体" w:hAnsi="宋体" w:cs="宋体"/>
          <w:color w:val="auto"/>
          <w:sz w:val="22"/>
          <w:szCs w:val="22"/>
          <w:highlight w:val="none"/>
        </w:rPr>
        <w:t>6、投标人资格审查</w:t>
      </w:r>
      <w:bookmarkEnd w:id="20"/>
      <w:bookmarkEnd w:id="21"/>
    </w:p>
    <w:p w14:paraId="165F4DBC">
      <w:pPr>
        <w:spacing w:line="460" w:lineRule="exact"/>
        <w:ind w:firstLine="442" w:firstLineChars="200"/>
        <w:rPr>
          <w:rFonts w:ascii="宋体" w:hAnsi="宋体" w:cs="宋体"/>
          <w:color w:val="auto"/>
          <w:sz w:val="22"/>
          <w:szCs w:val="22"/>
          <w:highlight w:val="none"/>
        </w:rPr>
      </w:pPr>
      <w:r>
        <w:rPr>
          <w:rFonts w:hint="eastAsia" w:ascii="宋体" w:hAnsi="宋体" w:cs="宋体"/>
          <w:b/>
          <w:color w:val="auto"/>
          <w:sz w:val="22"/>
          <w:szCs w:val="22"/>
          <w:highlight w:val="none"/>
        </w:rPr>
        <w:t>6.1开标大会结束后，招标人或采购代理机构首先依法对各投标人的资格进行审查，审查各投标人的资格是否满足招标文件的要求。</w:t>
      </w:r>
      <w:r>
        <w:rPr>
          <w:rFonts w:hint="eastAsia" w:ascii="宋体" w:hAnsi="宋体" w:cs="宋体"/>
          <w:color w:val="auto"/>
          <w:sz w:val="22"/>
          <w:szCs w:val="22"/>
          <w:highlight w:val="none"/>
        </w:rPr>
        <w:t>招标人或采购代理机构对投标人所提交的资格证明材料仅负审核的责任。如发现投标人所提交的资格证明材料不合法或与事实不符，招标人可取消其中标资格并追究投标人的法律责任。</w:t>
      </w:r>
    </w:p>
    <w:p w14:paraId="1C04C5E6">
      <w:pPr>
        <w:spacing w:line="460" w:lineRule="exact"/>
        <w:ind w:firstLine="442" w:firstLineChars="200"/>
        <w:rPr>
          <w:rFonts w:ascii="宋体" w:hAnsi="宋体" w:cs="宋体"/>
          <w:b/>
          <w:color w:val="auto"/>
          <w:kern w:val="0"/>
          <w:sz w:val="22"/>
          <w:szCs w:val="22"/>
          <w:highlight w:val="none"/>
        </w:rPr>
      </w:pPr>
      <w:r>
        <w:rPr>
          <w:rFonts w:hint="eastAsia" w:ascii="宋体" w:hAnsi="宋体" w:cs="宋体"/>
          <w:b/>
          <w:color w:val="auto"/>
          <w:sz w:val="22"/>
          <w:szCs w:val="22"/>
          <w:highlight w:val="none"/>
        </w:rPr>
        <w:t>6.2投标人提交的资格证明材料无法证明其符合招标文件规定的“投标人资格要求”的，招标人或采购代理机构</w:t>
      </w:r>
      <w:r>
        <w:rPr>
          <w:rFonts w:hint="eastAsia" w:ascii="宋体" w:hAnsi="宋体" w:cs="宋体"/>
          <w:b/>
          <w:color w:val="auto"/>
          <w:kern w:val="0"/>
          <w:sz w:val="22"/>
          <w:szCs w:val="22"/>
          <w:highlight w:val="none"/>
        </w:rPr>
        <w:t>将对其作资格审查不通过处理（无效投标），并不再将其投标提交评标委员会进行后续评审。</w:t>
      </w:r>
    </w:p>
    <w:p w14:paraId="64120AB9">
      <w:pPr>
        <w:spacing w:line="460" w:lineRule="exact"/>
        <w:ind w:firstLine="442" w:firstLineChars="200"/>
        <w:rPr>
          <w:rFonts w:ascii="宋体" w:hAnsi="宋体" w:cs="宋体"/>
          <w:b/>
          <w:bCs/>
          <w:color w:val="auto"/>
          <w:sz w:val="22"/>
          <w:szCs w:val="22"/>
          <w:highlight w:val="none"/>
        </w:rPr>
      </w:pPr>
      <w:r>
        <w:rPr>
          <w:rFonts w:hint="eastAsia" w:ascii="宋体" w:hAnsi="宋体" w:cs="宋体"/>
          <w:b/>
          <w:color w:val="auto"/>
          <w:sz w:val="22"/>
          <w:szCs w:val="22"/>
          <w:highlight w:val="none"/>
        </w:rPr>
        <w:t>6</w:t>
      </w:r>
      <w:r>
        <w:rPr>
          <w:rFonts w:hint="eastAsia" w:ascii="宋体" w:hAnsi="宋体" w:cs="宋体"/>
          <w:b/>
          <w:color w:val="auto"/>
          <w:kern w:val="0"/>
          <w:sz w:val="22"/>
          <w:szCs w:val="22"/>
          <w:highlight w:val="none"/>
        </w:rPr>
        <w:t>.3单位负责人为同一人或者存在直接控股、管理关系的不同供应商参加同一合同项下的政府采购活动的，相关投标人均作资格无效处理。</w:t>
      </w:r>
    </w:p>
    <w:p w14:paraId="3CD76434">
      <w:pPr>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7、评标委员按照招标文件中规定的评标方法和标准，对投标文件进行商务和技术评估，综合比较与评价。</w:t>
      </w:r>
    </w:p>
    <w:p w14:paraId="2C50BD25">
      <w:pPr>
        <w:spacing w:line="460" w:lineRule="exact"/>
        <w:ind w:firstLine="442" w:firstLineChars="200"/>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8、投标人存在下列情况之一的，投标无效：</w:t>
      </w:r>
    </w:p>
    <w:p w14:paraId="0B891BBB">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（1）投标文件未按招标文件要求签署、盖章的；</w:t>
      </w:r>
    </w:p>
    <w:p w14:paraId="1E666BB1">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（2）不具备招标文件中规定的资格要求的； </w:t>
      </w:r>
    </w:p>
    <w:p w14:paraId="63507B4C">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（3）明显不符合招标文件中主要技术规格、技术标准的；</w:t>
      </w:r>
    </w:p>
    <w:p w14:paraId="332C4D6D">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（4）投标文件内容不全或关键字迹模糊无法辨认的；</w:t>
      </w:r>
    </w:p>
    <w:p w14:paraId="14F822A4">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（5）报价超过招标文件中规定的预算金额的；</w:t>
      </w:r>
    </w:p>
    <w:p w14:paraId="05D0C4C9">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（6）投标人代表没有法定代表人合法、有效委托的；</w:t>
      </w:r>
    </w:p>
    <w:p w14:paraId="1CBFD7F4">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（7）投标文件存在一个或一个以上备选（替代）投标方案的；</w:t>
      </w:r>
    </w:p>
    <w:p w14:paraId="3850C0A4">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（8）仅提交“备份投标文件”的；</w:t>
      </w:r>
    </w:p>
    <w:p w14:paraId="5286D3DB">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（9）投标文件含有招标人不能接受的附加条件的；</w:t>
      </w:r>
    </w:p>
    <w:p w14:paraId="1C4C3E79">
      <w:pPr>
        <w:spacing w:line="460" w:lineRule="exact"/>
        <w:ind w:firstLine="440" w:firstLineChars="200"/>
        <w:rPr>
          <w:rFonts w:ascii="宋体" w:hAnsi="宋体" w:cs="宋体"/>
          <w:bCs/>
          <w:color w:val="auto"/>
          <w:sz w:val="22"/>
          <w:szCs w:val="22"/>
          <w:highlight w:val="none"/>
        </w:rPr>
      </w:pPr>
      <w:r>
        <w:rPr>
          <w:rFonts w:hint="eastAsia" w:ascii="宋体" w:hAnsi="宋体" w:eastAsia="宋体" w:cs="宋体"/>
          <w:b w:val="0"/>
          <w:bCs/>
          <w:color w:val="auto"/>
          <w:sz w:val="22"/>
          <w:szCs w:val="22"/>
          <w:highlight w:val="none"/>
        </w:rPr>
        <w:t>（10）法</w:t>
      </w:r>
      <w:r>
        <w:rPr>
          <w:rFonts w:hint="eastAsia" w:ascii="宋体" w:hAnsi="宋体" w:cs="宋体"/>
          <w:bCs/>
          <w:color w:val="auto"/>
          <w:sz w:val="22"/>
          <w:szCs w:val="22"/>
          <w:highlight w:val="none"/>
        </w:rPr>
        <w:t>律、法规和招标文件规定的其他无效情形。</w:t>
      </w:r>
    </w:p>
    <w:p w14:paraId="27F0E3DA">
      <w:pPr>
        <w:spacing w:line="460" w:lineRule="exact"/>
        <w:ind w:firstLine="442" w:firstLineChars="20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9、有下列情形之一的，视为投标人串通投标，其投标无效</w:t>
      </w:r>
    </w:p>
    <w:p w14:paraId="22784E46">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（1）不同投标人的投标文件由同一单位或者个人编制；</w:t>
      </w:r>
    </w:p>
    <w:p w14:paraId="34ABEE01">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（2）不同投标人委托同一单位或者个人办理投标事宜；</w:t>
      </w:r>
    </w:p>
    <w:p w14:paraId="794CDFAE">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（3）不同投标人的投标文件载明的项目管理成员或者联系人员为同一人；</w:t>
      </w:r>
    </w:p>
    <w:p w14:paraId="109580D6">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（4）不同投标人的投标文件异常一致或者投标报价呈规律性差异；</w:t>
      </w:r>
    </w:p>
    <w:p w14:paraId="5723160B">
      <w:pPr>
        <w:spacing w:line="460" w:lineRule="exact"/>
        <w:ind w:firstLine="440" w:firstLineChars="200"/>
        <w:rPr>
          <w:rFonts w:ascii="宋体" w:hAnsi="宋体" w:cs="宋体"/>
          <w:color w:val="auto"/>
          <w:sz w:val="22"/>
          <w:szCs w:val="22"/>
          <w:highlight w:val="none"/>
        </w:rPr>
      </w:pPr>
      <w:r>
        <w:rPr>
          <w:rFonts w:hint="eastAsia" w:ascii="宋体" w:hAnsi="宋体" w:eastAsia="宋体" w:cs="宋体"/>
          <w:b w:val="0"/>
          <w:bCs/>
          <w:color w:val="auto"/>
          <w:sz w:val="22"/>
          <w:szCs w:val="22"/>
          <w:highlight w:val="none"/>
        </w:rPr>
        <w:t>（5）不同</w:t>
      </w:r>
      <w:r>
        <w:rPr>
          <w:rFonts w:hint="eastAsia" w:ascii="宋体" w:hAnsi="宋体" w:cs="宋体"/>
          <w:color w:val="auto"/>
          <w:sz w:val="22"/>
          <w:szCs w:val="22"/>
          <w:highlight w:val="none"/>
        </w:rPr>
        <w:t>投标人的投标文件相互混装。</w:t>
      </w:r>
    </w:p>
    <w:p w14:paraId="27EAF9A3">
      <w:pPr>
        <w:spacing w:line="460" w:lineRule="exact"/>
        <w:ind w:firstLine="442" w:firstLineChars="20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10、投标文件报价出现前后不一致的，按照下列规定修正：</w:t>
      </w:r>
    </w:p>
    <w:p w14:paraId="130FD68E">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（1）系统上传的投标文件中开标一览表（报价表）（加盖公章）内容与投标文件中相应内容不一致的，以系统上传的投标文件中开标一览表（报价表）（加盖公章）为准；</w:t>
      </w:r>
    </w:p>
    <w:p w14:paraId="05F8FE71">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（2）大写金额和小写金额不一致的，以大写金额为准；</w:t>
      </w:r>
    </w:p>
    <w:p w14:paraId="1EDBF2B3">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（3）单价金额小数点或者百分比有明显错位的，以开标一览表的总价为准，并修改单价；</w:t>
      </w:r>
    </w:p>
    <w:p w14:paraId="4B91FCC3">
      <w:pPr>
        <w:spacing w:line="460" w:lineRule="exact"/>
        <w:ind w:firstLine="440" w:firstLineChars="200"/>
        <w:rPr>
          <w:rFonts w:ascii="宋体" w:hAnsi="宋体" w:cs="宋体"/>
          <w:color w:val="auto"/>
          <w:sz w:val="22"/>
          <w:szCs w:val="22"/>
          <w:highlight w:val="none"/>
        </w:rPr>
      </w:pPr>
      <w:r>
        <w:rPr>
          <w:rFonts w:hint="eastAsia" w:ascii="宋体" w:hAnsi="宋体" w:eastAsia="宋体" w:cs="宋体"/>
          <w:b w:val="0"/>
          <w:bCs/>
          <w:color w:val="auto"/>
          <w:sz w:val="22"/>
          <w:szCs w:val="22"/>
          <w:highlight w:val="none"/>
        </w:rPr>
        <w:t>（4）总价</w:t>
      </w:r>
      <w:r>
        <w:rPr>
          <w:rFonts w:hint="eastAsia" w:ascii="宋体" w:hAnsi="宋体" w:cs="宋体"/>
          <w:color w:val="auto"/>
          <w:sz w:val="22"/>
          <w:szCs w:val="22"/>
          <w:highlight w:val="none"/>
        </w:rPr>
        <w:t>金额与按单价汇总金额不一致的，以单价金额计算结果为准。</w:t>
      </w:r>
    </w:p>
    <w:p w14:paraId="0C1F4777">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212D642C">
      <w:pPr>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09518430">
      <w:pPr>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12、投标文件的澄清</w:t>
      </w:r>
    </w:p>
    <w:p w14:paraId="75822EE7">
      <w:pPr>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w:t>
      </w:r>
      <w:r>
        <w:rPr>
          <w:rFonts w:hint="eastAsia" w:ascii="宋体" w:hAnsi="宋体" w:cs="宋体"/>
          <w:bCs/>
          <w:color w:val="auto"/>
          <w:sz w:val="22"/>
          <w:szCs w:val="22"/>
          <w:highlight w:val="none"/>
          <w:lang w:eastAsia="zh-CN"/>
        </w:rPr>
        <w:t>政采云平台</w:t>
      </w:r>
      <w:r>
        <w:rPr>
          <w:rFonts w:hint="eastAsia" w:ascii="宋体" w:hAnsi="宋体" w:cs="宋体"/>
          <w:bCs/>
          <w:color w:val="auto"/>
          <w:sz w:val="22"/>
          <w:szCs w:val="22"/>
          <w:highlight w:val="none"/>
        </w:rPr>
        <w:t>”在线询标）要求投标人在规定的时间内作出必要的澄清、说明或者补正。投标人澄清、说明或补正时间为30分钟。</w:t>
      </w:r>
    </w:p>
    <w:p w14:paraId="38576019">
      <w:pPr>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12.2投标人的澄清、说明或者补正应当采用书面形式（或通过“</w:t>
      </w:r>
      <w:r>
        <w:rPr>
          <w:rFonts w:hint="eastAsia" w:ascii="宋体" w:hAnsi="宋体" w:cs="宋体"/>
          <w:bCs/>
          <w:color w:val="auto"/>
          <w:sz w:val="22"/>
          <w:szCs w:val="22"/>
          <w:highlight w:val="none"/>
          <w:lang w:eastAsia="zh-CN"/>
        </w:rPr>
        <w:t>政采云平台</w:t>
      </w:r>
      <w:r>
        <w:rPr>
          <w:rFonts w:hint="eastAsia" w:ascii="宋体" w:hAnsi="宋体" w:cs="宋体"/>
          <w:bCs/>
          <w:color w:val="auto"/>
          <w:sz w:val="22"/>
          <w:szCs w:val="22"/>
          <w:highlight w:val="none"/>
        </w:rPr>
        <w:t>”在线答复），并加盖公章，或者由法定代表人或其授权的代表签字。投标人的澄清、说明或者补正不得超出投标文件的范围或者改变投标文件的实质性内容。</w:t>
      </w:r>
    </w:p>
    <w:p w14:paraId="5C554274">
      <w:pPr>
        <w:spacing w:line="46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拒不按要求对其投标文件进行澄清，说明或补正的投标人，评标委员会可以否决其投标。</w:t>
      </w:r>
    </w:p>
    <w:p w14:paraId="29E18F8F">
      <w:pPr>
        <w:spacing w:line="46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12.2</w:t>
      </w:r>
      <w:r>
        <w:rPr>
          <w:rFonts w:hint="eastAsia" w:ascii="宋体" w:hAnsi="宋体" w:cs="宋体"/>
          <w:b/>
          <w:color w:val="auto"/>
          <w:sz w:val="22"/>
          <w:szCs w:val="22"/>
          <w:highlight w:val="none"/>
        </w:rPr>
        <w:t>经澄清后，若偏差仍存在，且不可接受，投标人则被认为是“没有实质性响应招标文件要求”，其投标将被拒绝。</w:t>
      </w:r>
    </w:p>
    <w:p w14:paraId="7CF9B39F">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13、评审结果的修改</w:t>
      </w:r>
    </w:p>
    <w:p w14:paraId="56EA321E">
      <w:pPr>
        <w:spacing w:line="46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13.1评标结果汇总完成后，除下列情形外，任何人不得修改评标结果：</w:t>
      </w:r>
    </w:p>
    <w:p w14:paraId="5FD1E01E">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（1）分值汇总计算错误的；</w:t>
      </w:r>
    </w:p>
    <w:p w14:paraId="76FB2AE2">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（2）分项评分超出评分标准范围的；</w:t>
      </w:r>
    </w:p>
    <w:p w14:paraId="505AB4DA">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（3）评标委员会成员对客观评审因素评分不一致的；</w:t>
      </w:r>
    </w:p>
    <w:p w14:paraId="5F7D6FF5">
      <w:pPr>
        <w:spacing w:line="460" w:lineRule="exact"/>
        <w:ind w:firstLine="440" w:firstLineChars="200"/>
        <w:rPr>
          <w:rFonts w:ascii="宋体" w:hAnsi="宋体" w:cs="宋体"/>
          <w:color w:val="auto"/>
          <w:sz w:val="22"/>
          <w:szCs w:val="22"/>
          <w:highlight w:val="none"/>
        </w:rPr>
      </w:pPr>
      <w:r>
        <w:rPr>
          <w:rFonts w:hint="eastAsia" w:ascii="宋体" w:hAnsi="宋体" w:eastAsia="宋体" w:cs="宋体"/>
          <w:b w:val="0"/>
          <w:bCs/>
          <w:color w:val="auto"/>
          <w:sz w:val="22"/>
          <w:szCs w:val="22"/>
          <w:highlight w:val="none"/>
        </w:rPr>
        <w:t>（4）经评</w:t>
      </w:r>
      <w:r>
        <w:rPr>
          <w:rFonts w:hint="eastAsia" w:ascii="宋体" w:hAnsi="宋体" w:cs="宋体"/>
          <w:color w:val="auto"/>
          <w:sz w:val="22"/>
          <w:szCs w:val="22"/>
          <w:highlight w:val="none"/>
        </w:rPr>
        <w:t>标委员会认定评分畸高、畸低的。</w:t>
      </w:r>
    </w:p>
    <w:p w14:paraId="24CD30DD">
      <w:pPr>
        <w:spacing w:line="460" w:lineRule="exact"/>
        <w:ind w:firstLine="440" w:firstLineChars="200"/>
        <w:rPr>
          <w:rFonts w:ascii="宋体" w:hAnsi="宋体" w:cs="宋体"/>
          <w:color w:val="auto"/>
          <w:highlight w:val="none"/>
        </w:rPr>
      </w:pPr>
      <w:r>
        <w:rPr>
          <w:rFonts w:hint="eastAsia" w:ascii="宋体" w:hAnsi="宋体" w:cs="宋体"/>
          <w:bCs/>
          <w:color w:val="auto"/>
          <w:sz w:val="22"/>
          <w:szCs w:val="22"/>
          <w:highlight w:val="none"/>
        </w:rPr>
        <w:t>13.2书面评标报告签署前，经复核发现存在以上情形之一的，评标委员会将当场修改评标结果，并在</w:t>
      </w:r>
      <w:r>
        <w:rPr>
          <w:rFonts w:hint="eastAsia" w:ascii="宋体" w:hAnsi="宋体" w:cs="宋体"/>
          <w:b/>
          <w:color w:val="auto"/>
          <w:sz w:val="22"/>
          <w:szCs w:val="22"/>
          <w:highlight w:val="none"/>
        </w:rPr>
        <w:t>评标报告中记载。</w:t>
      </w:r>
    </w:p>
    <w:p w14:paraId="4B16D329">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14、确定中标候选人</w:t>
      </w:r>
    </w:p>
    <w:p w14:paraId="0B828575">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14.1由评标委员会确定中标候选人。</w:t>
      </w:r>
    </w:p>
    <w:p w14:paraId="1EF2ECD2">
      <w:pPr>
        <w:spacing w:line="460" w:lineRule="exact"/>
        <w:ind w:firstLine="440" w:firstLineChars="200"/>
        <w:rPr>
          <w:rFonts w:ascii="宋体" w:hAnsi="宋体" w:cs="宋体"/>
          <w:color w:val="auto"/>
          <w:sz w:val="22"/>
          <w:szCs w:val="22"/>
          <w:highlight w:val="none"/>
        </w:rPr>
      </w:pPr>
      <w:r>
        <w:rPr>
          <w:rFonts w:hint="eastAsia" w:ascii="宋体" w:hAnsi="宋体" w:eastAsia="宋体" w:cs="宋体"/>
          <w:b w:val="0"/>
          <w:bCs/>
          <w:color w:val="auto"/>
          <w:sz w:val="22"/>
          <w:szCs w:val="22"/>
          <w:highlight w:val="none"/>
        </w:rPr>
        <w:t>14.2评标</w:t>
      </w:r>
      <w:r>
        <w:rPr>
          <w:rFonts w:hint="eastAsia" w:ascii="宋体" w:hAnsi="宋体" w:cs="宋体"/>
          <w:color w:val="auto"/>
          <w:sz w:val="22"/>
          <w:szCs w:val="22"/>
          <w:highlight w:val="none"/>
        </w:rPr>
        <w:t>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5417A5F1">
      <w:pPr>
        <w:spacing w:line="460" w:lineRule="exact"/>
        <w:ind w:firstLine="442" w:firstLineChars="200"/>
        <w:rPr>
          <w:rFonts w:ascii="宋体" w:hAnsi="宋体" w:cs="宋体"/>
          <w:bCs/>
          <w:color w:val="auto"/>
          <w:sz w:val="22"/>
          <w:szCs w:val="22"/>
          <w:highlight w:val="none"/>
        </w:rPr>
      </w:pPr>
      <w:r>
        <w:rPr>
          <w:rFonts w:hint="eastAsia" w:ascii="宋体" w:hAnsi="宋体" w:cs="宋体"/>
          <w:b/>
          <w:bCs/>
          <w:color w:val="auto"/>
          <w:sz w:val="22"/>
          <w:szCs w:val="22"/>
          <w:highlight w:val="none"/>
        </w:rPr>
        <w:t>15、确定中标人</w:t>
      </w:r>
    </w:p>
    <w:p w14:paraId="662689C8">
      <w:pPr>
        <w:spacing w:line="460" w:lineRule="exact"/>
        <w:ind w:firstLine="442" w:firstLineChars="200"/>
        <w:rPr>
          <w:rFonts w:ascii="宋体" w:hAnsi="宋体" w:cs="宋体"/>
          <w:b/>
          <w:bCs/>
          <w:color w:val="auto"/>
          <w:sz w:val="22"/>
          <w:szCs w:val="22"/>
          <w:highlight w:val="none"/>
        </w:rPr>
      </w:pPr>
      <w:r>
        <w:rPr>
          <w:rFonts w:hint="eastAsia" w:ascii="宋体" w:hAnsi="宋体" w:cs="宋体"/>
          <w:b/>
          <w:color w:val="auto"/>
          <w:sz w:val="22"/>
          <w:szCs w:val="22"/>
          <w:highlight w:val="none"/>
        </w:rPr>
        <w:t>15</w:t>
      </w:r>
      <w:r>
        <w:rPr>
          <w:rFonts w:hint="eastAsia" w:ascii="宋体" w:hAnsi="宋体" w:cs="宋体"/>
          <w:b/>
          <w:bCs/>
          <w:color w:val="auto"/>
          <w:sz w:val="22"/>
          <w:szCs w:val="22"/>
          <w:highlight w:val="none"/>
        </w:rPr>
        <w:t>.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1CD7B5EB">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14:paraId="1C7CDA58">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16、起草、签署评审报告</w:t>
      </w:r>
    </w:p>
    <w:p w14:paraId="4C52874B">
      <w:pPr>
        <w:spacing w:line="460" w:lineRule="exact"/>
        <w:ind w:firstLine="440" w:firstLineChars="200"/>
        <w:rPr>
          <w:rFonts w:ascii="宋体" w:hAnsi="宋体" w:cs="宋体"/>
          <w:b/>
          <w:bCs/>
          <w:color w:val="auto"/>
          <w:sz w:val="22"/>
          <w:szCs w:val="22"/>
          <w:highlight w:val="none"/>
        </w:rPr>
      </w:pPr>
      <w:r>
        <w:rPr>
          <w:rFonts w:hint="eastAsia" w:ascii="宋体" w:hAnsi="宋体" w:cs="宋体"/>
          <w:color w:val="auto"/>
          <w:sz w:val="22"/>
          <w:szCs w:val="22"/>
          <w:highlight w:val="none"/>
        </w:rPr>
        <w:t>评审结束后，评标委员会将通过“</w:t>
      </w:r>
      <w:r>
        <w:rPr>
          <w:rFonts w:hint="eastAsia" w:ascii="宋体" w:hAnsi="宋体" w:cs="宋体"/>
          <w:color w:val="auto"/>
          <w:sz w:val="22"/>
          <w:szCs w:val="22"/>
          <w:highlight w:val="none"/>
          <w:lang w:eastAsia="zh-CN"/>
        </w:rPr>
        <w:t>政采云平台</w:t>
      </w:r>
      <w:r>
        <w:rPr>
          <w:rFonts w:hint="eastAsia" w:ascii="宋体" w:hAnsi="宋体" w:cs="宋体"/>
          <w:color w:val="auto"/>
          <w:sz w:val="22"/>
          <w:szCs w:val="22"/>
          <w:highlight w:val="none"/>
        </w:rPr>
        <w:t>”起草评审报告，评标委员会成员应当在评审报告上签字，对自己的评审意见承担法律责任。对评审报告有异议的，应当在评审报告上签署不同意见，并说明理由，否则视为同意评审报告。</w:t>
      </w:r>
    </w:p>
    <w:p w14:paraId="0D303C40">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17</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中标人确定后，招标人将在政府指定媒体公告中标结果，招标人向中标人发出中标通知书。</w:t>
      </w:r>
    </w:p>
    <w:p w14:paraId="0BC0B75E">
      <w:pPr>
        <w:spacing w:line="46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18、</w:t>
      </w:r>
      <w:r>
        <w:rPr>
          <w:rFonts w:hint="eastAsia" w:ascii="宋体" w:hAnsi="宋体" w:cs="宋体"/>
          <w:b/>
          <w:color w:val="auto"/>
          <w:sz w:val="22"/>
          <w:szCs w:val="22"/>
          <w:highlight w:val="none"/>
        </w:rPr>
        <w:t>招标人对决标结果不做任何解释，也不保证最低价中标。</w:t>
      </w:r>
    </w:p>
    <w:p w14:paraId="3D2DBB46">
      <w:pPr>
        <w:spacing w:line="46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19、评标细则详见“评标原则及方法”。</w:t>
      </w:r>
    </w:p>
    <w:p w14:paraId="35B73B79">
      <w:pPr>
        <w:spacing w:before="100" w:beforeAutospacing="1" w:after="100" w:afterAutospacing="1" w:line="440" w:lineRule="exact"/>
        <w:jc w:val="center"/>
        <w:outlineLvl w:val="1"/>
        <w:rPr>
          <w:rFonts w:ascii="宋体" w:hAnsi="宋体" w:cs="宋体"/>
          <w:b/>
          <w:bCs/>
          <w:color w:val="auto"/>
          <w:sz w:val="26"/>
          <w:szCs w:val="26"/>
          <w:highlight w:val="none"/>
        </w:rPr>
      </w:pPr>
      <w:bookmarkStart w:id="22" w:name="_Toc26836"/>
      <w:bookmarkStart w:id="23" w:name="_Toc21056"/>
      <w:r>
        <w:rPr>
          <w:rFonts w:hint="eastAsia" w:ascii="宋体" w:hAnsi="宋体" w:cs="宋体"/>
          <w:b/>
          <w:bCs/>
          <w:color w:val="auto"/>
          <w:sz w:val="26"/>
          <w:szCs w:val="26"/>
          <w:highlight w:val="none"/>
        </w:rPr>
        <w:t>六、 授予合同</w:t>
      </w:r>
      <w:bookmarkEnd w:id="22"/>
      <w:bookmarkEnd w:id="23"/>
    </w:p>
    <w:p w14:paraId="4E66550D">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1、中标通知书</w:t>
      </w:r>
    </w:p>
    <w:p w14:paraId="1665E51B">
      <w:pPr>
        <w:spacing w:line="460" w:lineRule="exact"/>
        <w:ind w:firstLine="442" w:firstLineChars="200"/>
        <w:rPr>
          <w:rFonts w:ascii="宋体" w:hAnsi="宋体" w:cs="宋体"/>
          <w:b/>
          <w:color w:val="auto"/>
          <w:sz w:val="22"/>
          <w:szCs w:val="22"/>
          <w:highlight w:val="none"/>
        </w:rPr>
      </w:pPr>
      <w:r>
        <w:rPr>
          <w:rFonts w:hint="eastAsia" w:ascii="宋体" w:hAnsi="宋体" w:cs="宋体"/>
          <w:b/>
          <w:bCs/>
          <w:color w:val="auto"/>
          <w:sz w:val="22"/>
          <w:szCs w:val="22"/>
          <w:highlight w:val="none"/>
        </w:rPr>
        <w:t>1.1</w:t>
      </w:r>
      <w:r>
        <w:rPr>
          <w:rFonts w:hint="eastAsia" w:ascii="宋体" w:hAnsi="宋体" w:cs="宋体"/>
          <w:color w:val="auto"/>
          <w:sz w:val="22"/>
          <w:szCs w:val="22"/>
          <w:highlight w:val="none"/>
        </w:rPr>
        <w:t xml:space="preserve">中标人确定后，招标人将向中标人发出中标通知书。 </w:t>
      </w:r>
    </w:p>
    <w:p w14:paraId="449E4E75">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1.2中标通知书是合同的一个组成部分,对招标人和中标人均具有同等法律效力。</w:t>
      </w:r>
    </w:p>
    <w:p w14:paraId="7C92880F">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2、授标时更改采购货物数量的权力</w:t>
      </w:r>
    </w:p>
    <w:p w14:paraId="70D56332">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2.1招标人在授予合同时有权对采购货物的数量和服务在一定幅度范围内予以增加或减少,但不得对单价和其他的条款和条件作任何改变。</w:t>
      </w:r>
    </w:p>
    <w:p w14:paraId="7285E60F">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3、签订合同</w:t>
      </w:r>
    </w:p>
    <w:p w14:paraId="42366F8E">
      <w:pPr>
        <w:spacing w:line="460" w:lineRule="exact"/>
        <w:ind w:firstLine="440" w:firstLineChars="200"/>
        <w:rPr>
          <w:rFonts w:ascii="宋体" w:hAnsi="宋体" w:cs="宋体"/>
          <w:b/>
          <w:color w:val="auto"/>
          <w:sz w:val="22"/>
          <w:szCs w:val="22"/>
          <w:highlight w:val="none"/>
        </w:rPr>
      </w:pPr>
      <w:r>
        <w:rPr>
          <w:rFonts w:hint="eastAsia" w:ascii="宋体" w:hAnsi="宋体" w:eastAsia="宋体" w:cs="宋体"/>
          <w:b w:val="0"/>
          <w:bCs/>
          <w:color w:val="auto"/>
          <w:sz w:val="22"/>
          <w:szCs w:val="22"/>
          <w:highlight w:val="none"/>
        </w:rPr>
        <w:t>3.1中标</w:t>
      </w:r>
      <w:r>
        <w:rPr>
          <w:rFonts w:hint="eastAsia" w:ascii="宋体" w:hAnsi="宋体" w:cs="宋体"/>
          <w:bCs/>
          <w:color w:val="auto"/>
          <w:sz w:val="22"/>
          <w:szCs w:val="22"/>
          <w:highlight w:val="none"/>
        </w:rPr>
        <w:t>人应按中标通知书规定的时间、地点与招标人签订合同。</w:t>
      </w:r>
    </w:p>
    <w:p w14:paraId="2938948C">
      <w:pPr>
        <w:spacing w:line="46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3.2</w:t>
      </w:r>
      <w:r>
        <w:rPr>
          <w:rFonts w:hint="eastAsia" w:ascii="宋体" w:hAnsi="宋体" w:cs="宋体"/>
          <w:b/>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14:paraId="4D17D170">
      <w:pPr>
        <w:spacing w:line="46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3.3招标文件、中标人的投标文件、投标修改文件、评标过程中有关澄清文件及经投标人和评委双方签字的询标纪要和中标通知书均作为合同附件。</w:t>
      </w:r>
    </w:p>
    <w:p w14:paraId="6FE06CFD">
      <w:pPr>
        <w:spacing w:line="46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3.4拒签合同的违约责任</w:t>
      </w:r>
    </w:p>
    <w:p w14:paraId="79198EC1">
      <w:pPr>
        <w:spacing w:line="460" w:lineRule="exact"/>
        <w:ind w:firstLine="466" w:firstLineChars="200"/>
        <w:rPr>
          <w:rFonts w:ascii="宋体" w:hAnsi="宋体" w:cs="宋体"/>
          <w:b/>
          <w:color w:val="auto"/>
          <w:spacing w:val="6"/>
          <w:sz w:val="22"/>
          <w:szCs w:val="22"/>
          <w:highlight w:val="none"/>
        </w:rPr>
      </w:pPr>
      <w:r>
        <w:rPr>
          <w:rFonts w:hint="eastAsia" w:ascii="宋体" w:hAnsi="宋体" w:cs="宋体"/>
          <w:b/>
          <w:color w:val="auto"/>
          <w:spacing w:val="6"/>
          <w:sz w:val="22"/>
          <w:szCs w:val="22"/>
          <w:highlight w:val="none"/>
        </w:rPr>
        <w:t>中标人接到中标通知书后，在规定时间内借故否认已经承诺的条件而拒签合同的，以违约处理。</w:t>
      </w:r>
    </w:p>
    <w:p w14:paraId="590A47D6">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4、质疑与投诉</w:t>
      </w:r>
    </w:p>
    <w:p w14:paraId="2DAA1F36">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4.1</w:t>
      </w:r>
      <w:r>
        <w:rPr>
          <w:rFonts w:hint="eastAsia" w:ascii="宋体" w:hAnsi="宋体" w:cs="宋体"/>
          <w:b/>
          <w:color w:val="auto"/>
          <w:sz w:val="22"/>
          <w:highlight w:val="none"/>
        </w:rPr>
        <w:t>特别提醒：</w:t>
      </w:r>
      <w:r>
        <w:rPr>
          <w:rFonts w:hint="eastAsia" w:ascii="宋体" w:hAnsi="宋体" w:cs="宋体"/>
          <w:color w:val="auto"/>
          <w:sz w:val="22"/>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宋体" w:hAnsi="宋体" w:cs="宋体"/>
          <w:bCs/>
          <w:color w:val="auto"/>
          <w:sz w:val="22"/>
          <w:highlight w:val="none"/>
        </w:rPr>
        <w:t>，供应商在法定质疑期内应一次性提出针对同一采购程序环节的质疑，否则</w:t>
      </w:r>
      <w:r>
        <w:rPr>
          <w:rFonts w:hint="eastAsia" w:ascii="新宋体" w:hAnsi="新宋体" w:eastAsia="新宋体" w:cs="新宋体"/>
          <w:color w:val="auto"/>
          <w:sz w:val="22"/>
          <w:szCs w:val="22"/>
          <w:highlight w:val="none"/>
        </w:rPr>
        <w:t>不予受理、答复</w:t>
      </w:r>
      <w:r>
        <w:rPr>
          <w:rFonts w:hint="eastAsia" w:ascii="宋体" w:hAnsi="宋体" w:cs="宋体"/>
          <w:bCs/>
          <w:color w:val="auto"/>
          <w:sz w:val="22"/>
          <w:highlight w:val="none"/>
        </w:rPr>
        <w:t>。</w:t>
      </w:r>
    </w:p>
    <w:p w14:paraId="4257981A">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4.2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14:paraId="2EB8AA72">
      <w:pPr>
        <w:spacing w:line="460" w:lineRule="exact"/>
        <w:ind w:firstLine="440" w:firstLineChars="200"/>
        <w:rPr>
          <w:rFonts w:ascii="宋体" w:hAnsi="宋体" w:cs="宋体"/>
          <w:color w:val="auto"/>
          <w:sz w:val="22"/>
          <w:highlight w:val="none"/>
        </w:rPr>
      </w:pPr>
      <w:r>
        <w:rPr>
          <w:rFonts w:hint="eastAsia" w:ascii="宋体" w:hAnsi="宋体" w:cs="宋体"/>
          <w:bCs/>
          <w:color w:val="auto"/>
          <w:sz w:val="22"/>
          <w:highlight w:val="none"/>
        </w:rPr>
        <w:t>4.3投诉人投诉时，应提交投诉书，投诉书应当由本人并由法定代表人签字盖公章，投诉书应说明具体的投诉事项及事实依据。投诉人对投诉书的真实性负责，恶意投诉将承当相应的法律和民事责任。</w:t>
      </w:r>
    </w:p>
    <w:p w14:paraId="0520CE4E">
      <w:pPr>
        <w:rPr>
          <w:rFonts w:ascii="宋体" w:hAnsi="宋体" w:cs="宋体"/>
          <w:color w:val="auto"/>
          <w:sz w:val="22"/>
          <w:highlight w:val="none"/>
        </w:rPr>
      </w:pPr>
      <w:r>
        <w:rPr>
          <w:rFonts w:hint="eastAsia" w:ascii="宋体" w:hAnsi="宋体" w:cs="宋体"/>
          <w:color w:val="auto"/>
          <w:sz w:val="22"/>
          <w:highlight w:val="none"/>
        </w:rPr>
        <w:br w:type="page"/>
      </w:r>
    </w:p>
    <w:p w14:paraId="555AA834">
      <w:pPr>
        <w:pStyle w:val="2"/>
        <w:jc w:val="center"/>
        <w:rPr>
          <w:rFonts w:hint="eastAsia" w:ascii="宋体" w:hAnsi="宋体" w:eastAsia="宋体" w:cs="宋体"/>
          <w:color w:val="auto"/>
          <w:highlight w:val="none"/>
        </w:rPr>
      </w:pPr>
      <w:bookmarkStart w:id="24" w:name="_Toc28194"/>
      <w:bookmarkStart w:id="25" w:name="_Toc19043"/>
      <w:r>
        <w:rPr>
          <w:rFonts w:hint="eastAsia" w:ascii="宋体" w:hAnsi="宋体" w:eastAsia="宋体" w:cs="宋体"/>
          <w:color w:val="auto"/>
          <w:highlight w:val="none"/>
        </w:rPr>
        <w:t>第二部分    合同主要条款</w:t>
      </w:r>
      <w:bookmarkEnd w:id="24"/>
      <w:bookmarkEnd w:id="25"/>
    </w:p>
    <w:p w14:paraId="36656A05">
      <w:pPr>
        <w:spacing w:line="460" w:lineRule="exact"/>
        <w:ind w:firstLine="541" w:firstLineChars="245"/>
        <w:rPr>
          <w:rFonts w:ascii="新宋体" w:hAnsi="新宋体" w:eastAsia="新宋体"/>
          <w:color w:val="auto"/>
          <w:sz w:val="22"/>
          <w:highlight w:val="none"/>
        </w:rPr>
      </w:pPr>
      <w:bookmarkStart w:id="26" w:name="_Toc195502495"/>
      <w:bookmarkStart w:id="27" w:name="_Toc195502585"/>
      <w:bookmarkStart w:id="28" w:name="_Toc202085295"/>
      <w:bookmarkStart w:id="29" w:name="_Toc18439"/>
      <w:bookmarkStart w:id="30" w:name="_Toc19081"/>
      <w:r>
        <w:rPr>
          <w:rFonts w:hint="eastAsia" w:ascii="新宋体" w:hAnsi="新宋体" w:eastAsia="新宋体" w:cs="新宋体"/>
          <w:b/>
          <w:color w:val="auto"/>
          <w:sz w:val="22"/>
          <w:szCs w:val="22"/>
          <w:highlight w:val="none"/>
        </w:rPr>
        <w:t>注：如甲、乙双方同意，合同格式也可以按照其他形式, 具体条款以买方为主协商确定。但合同条款的基本内容应与以下要求的内容相一致。</w:t>
      </w:r>
      <w:bookmarkEnd w:id="26"/>
      <w:bookmarkEnd w:id="27"/>
      <w:bookmarkEnd w:id="28"/>
    </w:p>
    <w:p w14:paraId="283874D2">
      <w:pPr>
        <w:spacing w:line="480" w:lineRule="exact"/>
        <w:ind w:firstLine="482" w:firstLineChars="201"/>
        <w:rPr>
          <w:rFonts w:hint="eastAsia" w:ascii="宋体" w:hAnsi="宋体"/>
          <w:color w:val="auto"/>
          <w:sz w:val="24"/>
          <w:szCs w:val="24"/>
          <w:highlight w:val="none"/>
        </w:rPr>
      </w:pPr>
      <w:r>
        <w:rPr>
          <w:rFonts w:hint="eastAsia" w:ascii="宋体" w:hAnsi="宋体"/>
          <w:color w:val="auto"/>
          <w:sz w:val="24"/>
          <w:szCs w:val="24"/>
          <w:highlight w:val="none"/>
        </w:rPr>
        <w:t xml:space="preserve">甲方：温州市人民医院 </w:t>
      </w:r>
    </w:p>
    <w:p w14:paraId="2B7D3D35">
      <w:pPr>
        <w:spacing w:line="480" w:lineRule="exact"/>
        <w:ind w:firstLine="482" w:firstLineChars="201"/>
        <w:rPr>
          <w:rFonts w:hint="eastAsia" w:ascii="宋体" w:hAnsi="宋体"/>
          <w:color w:val="auto"/>
          <w:sz w:val="24"/>
          <w:szCs w:val="24"/>
          <w:highlight w:val="none"/>
        </w:rPr>
      </w:pPr>
      <w:r>
        <w:rPr>
          <w:rFonts w:hint="eastAsia" w:ascii="宋体" w:hAnsi="宋体"/>
          <w:color w:val="auto"/>
          <w:sz w:val="24"/>
          <w:szCs w:val="24"/>
          <w:highlight w:val="none"/>
        </w:rPr>
        <w:t xml:space="preserve">乙方： </w:t>
      </w:r>
    </w:p>
    <w:p w14:paraId="7EEF6EAD">
      <w:pPr>
        <w:spacing w:line="480" w:lineRule="exact"/>
        <w:ind w:firstLine="482" w:firstLineChars="201"/>
        <w:rPr>
          <w:rFonts w:hint="eastAsia" w:ascii="宋体" w:hAnsi="宋体"/>
          <w:color w:val="auto"/>
          <w:sz w:val="24"/>
          <w:szCs w:val="24"/>
          <w:highlight w:val="none"/>
        </w:rPr>
      </w:pPr>
      <w:r>
        <w:rPr>
          <w:rFonts w:hint="eastAsia" w:ascii="宋体" w:hAnsi="宋体"/>
          <w:color w:val="auto"/>
          <w:sz w:val="24"/>
          <w:szCs w:val="24"/>
          <w:highlight w:val="none"/>
        </w:rPr>
        <w:t xml:space="preserve">甲乙双方根据（项目编号：             ）的招标结果和《中华人民共和国民法典》，经友好协商， 签订本合同。 </w:t>
      </w:r>
    </w:p>
    <w:p w14:paraId="0F8C65EC">
      <w:pPr>
        <w:spacing w:line="480" w:lineRule="exact"/>
        <w:ind w:firstLine="484" w:firstLineChars="201"/>
        <w:rPr>
          <w:rFonts w:ascii="宋体"/>
          <w:b/>
          <w:color w:val="auto"/>
          <w:sz w:val="24"/>
          <w:szCs w:val="24"/>
          <w:highlight w:val="none"/>
        </w:rPr>
      </w:pPr>
      <w:r>
        <w:rPr>
          <w:rFonts w:hint="eastAsia" w:ascii="宋体" w:hAnsi="宋体"/>
          <w:b/>
          <w:color w:val="auto"/>
          <w:sz w:val="24"/>
          <w:szCs w:val="24"/>
          <w:highlight w:val="none"/>
        </w:rPr>
        <w:t>一、信息服务内容：</w:t>
      </w:r>
    </w:p>
    <w:p w14:paraId="1B84CD1A">
      <w:pPr>
        <w:spacing w:line="480" w:lineRule="exact"/>
        <w:ind w:firstLine="482" w:firstLineChars="201"/>
        <w:rPr>
          <w:rFonts w:ascii="宋体" w:hAnsi="宋体"/>
          <w:color w:val="auto"/>
          <w:sz w:val="24"/>
          <w:szCs w:val="24"/>
          <w:highlight w:val="none"/>
        </w:rPr>
      </w:pPr>
      <w:r>
        <w:rPr>
          <w:rFonts w:hint="eastAsia" w:ascii="宋体" w:hAnsi="宋体"/>
          <w:color w:val="auto"/>
          <w:sz w:val="24"/>
          <w:szCs w:val="24"/>
          <w:highlight w:val="none"/>
        </w:rPr>
        <w:t>项目名称：远程胎心监护服务</w:t>
      </w:r>
    </w:p>
    <w:p w14:paraId="120EF5E6">
      <w:pPr>
        <w:spacing w:line="480" w:lineRule="exact"/>
        <w:ind w:firstLine="482" w:firstLineChars="201"/>
        <w:rPr>
          <w:rFonts w:ascii="宋体"/>
          <w:color w:val="auto"/>
          <w:sz w:val="24"/>
          <w:szCs w:val="24"/>
          <w:highlight w:val="none"/>
        </w:rPr>
      </w:pPr>
      <w:r>
        <w:rPr>
          <w:rFonts w:hint="eastAsia" w:ascii="宋体" w:hAnsi="宋体"/>
          <w:color w:val="auto"/>
          <w:sz w:val="24"/>
          <w:szCs w:val="24"/>
          <w:highlight w:val="none"/>
        </w:rPr>
        <w:t>服务内容主要包含：服务所需要的硬件设备（远程胎心仪）与设备配套的软件、数据的保存和提供、判读服务（数据图形的分析）和保健咨询等服务。</w:t>
      </w:r>
    </w:p>
    <w:p w14:paraId="4702E5F6">
      <w:pPr>
        <w:spacing w:line="480" w:lineRule="exact"/>
        <w:ind w:firstLine="484" w:firstLineChars="201"/>
        <w:rPr>
          <w:rFonts w:ascii="宋体"/>
          <w:b/>
          <w:color w:val="auto"/>
          <w:sz w:val="24"/>
          <w:szCs w:val="24"/>
          <w:highlight w:val="none"/>
        </w:rPr>
      </w:pPr>
      <w:r>
        <w:rPr>
          <w:rFonts w:hint="eastAsia" w:ascii="宋体" w:hAnsi="宋体"/>
          <w:b/>
          <w:color w:val="auto"/>
          <w:sz w:val="24"/>
          <w:szCs w:val="24"/>
          <w:highlight w:val="none"/>
        </w:rPr>
        <w:t>二、服务期间</w:t>
      </w:r>
    </w:p>
    <w:p w14:paraId="1D307885">
      <w:pPr>
        <w:spacing w:line="480" w:lineRule="exact"/>
        <w:ind w:firstLine="482" w:firstLineChars="201"/>
        <w:rPr>
          <w:rFonts w:ascii="宋体" w:hAnsi="宋体"/>
          <w:color w:val="auto"/>
          <w:sz w:val="24"/>
          <w:szCs w:val="24"/>
          <w:highlight w:val="none"/>
        </w:rPr>
      </w:pPr>
      <w:r>
        <w:rPr>
          <w:rFonts w:hint="eastAsia" w:ascii="宋体" w:hAnsi="宋体"/>
          <w:color w:val="auto"/>
          <w:sz w:val="24"/>
          <w:szCs w:val="24"/>
          <w:highlight w:val="none"/>
        </w:rPr>
        <w:t>本合同期限为自</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日起至</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日止或服务金额达到预算金额1</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0万元，任一条件达到即视为合作期结束。信息服务时间为每天（含节假日）早上</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:00—</w:t>
      </w:r>
      <w:r>
        <w:rPr>
          <w:rFonts w:hint="eastAsia" w:ascii="宋体" w:hAnsi="宋体"/>
          <w:color w:val="auto"/>
          <w:sz w:val="24"/>
          <w:szCs w:val="24"/>
          <w:highlight w:val="none"/>
        </w:rPr>
        <w:t>晚上</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:00</w:t>
      </w:r>
      <w:r>
        <w:rPr>
          <w:rFonts w:hint="eastAsia" w:ascii="宋体" w:hAnsi="宋体"/>
          <w:color w:val="auto"/>
          <w:sz w:val="24"/>
          <w:szCs w:val="24"/>
          <w:highlight w:val="none"/>
        </w:rPr>
        <w:t>。</w:t>
      </w:r>
    </w:p>
    <w:p w14:paraId="231B87FF">
      <w:pPr>
        <w:spacing w:line="480" w:lineRule="exact"/>
        <w:ind w:firstLine="482" w:firstLineChars="200"/>
        <w:rPr>
          <w:rFonts w:ascii="宋体"/>
          <w:b/>
          <w:color w:val="auto"/>
          <w:sz w:val="24"/>
          <w:szCs w:val="24"/>
          <w:highlight w:val="none"/>
        </w:rPr>
      </w:pPr>
      <w:r>
        <w:rPr>
          <w:rFonts w:hint="eastAsia" w:ascii="宋体" w:hAnsi="宋体"/>
          <w:b/>
          <w:color w:val="auto"/>
          <w:sz w:val="24"/>
          <w:szCs w:val="24"/>
          <w:highlight w:val="none"/>
        </w:rPr>
        <w:t>三、甲方权利义务</w:t>
      </w:r>
    </w:p>
    <w:p w14:paraId="1C64ED78">
      <w:pPr>
        <w:spacing w:line="480" w:lineRule="exact"/>
        <w:ind w:firstLine="240" w:firstLineChars="100"/>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、甲方负责向甲方的客户收取服务费；</w:t>
      </w:r>
    </w:p>
    <w:p w14:paraId="70E3CDF3">
      <w:pPr>
        <w:spacing w:line="480" w:lineRule="exact"/>
        <w:ind w:firstLine="240" w:firstLineChars="100"/>
        <w:rPr>
          <w:rFonts w:asci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、甲方负责提供并与用户签订知情同意书；</w:t>
      </w:r>
    </w:p>
    <w:p w14:paraId="08020E18">
      <w:pPr>
        <w:spacing w:line="480" w:lineRule="exact"/>
        <w:ind w:firstLine="240" w:firstLineChars="100"/>
        <w:rPr>
          <w:rFonts w:asci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、甲方负责硬件设备的发放、回收和保管工作，合同终止时应将设备在一个月内及时归还乙方。</w:t>
      </w:r>
    </w:p>
    <w:p w14:paraId="36CD2402">
      <w:pPr>
        <w:spacing w:line="480" w:lineRule="exact"/>
        <w:ind w:firstLine="240" w:firstLineChars="100"/>
        <w:rPr>
          <w:rFonts w:asci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、甲方如需要信息数据，负责做好信息数据调取系统的接口。</w:t>
      </w:r>
    </w:p>
    <w:p w14:paraId="3EC51BE8">
      <w:pPr>
        <w:spacing w:line="480" w:lineRule="exact"/>
        <w:ind w:firstLine="240" w:firstLineChars="100"/>
        <w:rPr>
          <w:rFonts w:ascii="宋体" w:hAns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、甲方应当按照本合同的约定向乙方及时支付信息服务费；</w:t>
      </w:r>
    </w:p>
    <w:p w14:paraId="1FF51CDD">
      <w:pPr>
        <w:spacing w:line="480" w:lineRule="exact"/>
        <w:ind w:firstLine="240" w:firstLineChars="100"/>
        <w:rPr>
          <w:rFonts w:ascii="宋体"/>
          <w:color w:val="auto"/>
          <w:sz w:val="24"/>
          <w:szCs w:val="24"/>
          <w:highlight w:val="none"/>
        </w:rPr>
      </w:pPr>
      <w:r>
        <w:rPr>
          <w:rFonts w:hint="eastAsia" w:ascii="宋体" w:hAnsi="宋体"/>
          <w:color w:val="auto"/>
          <w:sz w:val="24"/>
          <w:szCs w:val="24"/>
          <w:highlight w:val="none"/>
        </w:rPr>
        <w:t>6、甲方同意乙方委托浙江省远程胎心监护判读中心负责对甲方用户上传的远程胎心监护图形进行判读并出具报告。</w:t>
      </w:r>
    </w:p>
    <w:p w14:paraId="17196F44">
      <w:pPr>
        <w:spacing w:line="480" w:lineRule="exact"/>
        <w:rPr>
          <w:rFonts w:ascii="宋体"/>
          <w:b/>
          <w:color w:val="auto"/>
          <w:sz w:val="24"/>
          <w:szCs w:val="24"/>
          <w:highlight w:val="none"/>
        </w:rPr>
      </w:pPr>
      <w:r>
        <w:rPr>
          <w:rFonts w:hint="eastAsia" w:ascii="宋体" w:hAnsi="宋体"/>
          <w:color w:val="auto"/>
          <w:sz w:val="24"/>
          <w:szCs w:val="24"/>
          <w:highlight w:val="none"/>
        </w:rPr>
        <w:t xml:space="preserve">   </w:t>
      </w:r>
      <w:r>
        <w:rPr>
          <w:rFonts w:hint="eastAsia" w:ascii="宋体" w:hAnsi="宋体"/>
          <w:b/>
          <w:color w:val="auto"/>
          <w:sz w:val="24"/>
          <w:szCs w:val="24"/>
          <w:highlight w:val="none"/>
        </w:rPr>
        <w:t>四、乙方权利义务</w:t>
      </w:r>
    </w:p>
    <w:p w14:paraId="159A321F">
      <w:pPr>
        <w:spacing w:line="480" w:lineRule="exact"/>
        <w:ind w:firstLine="240" w:firstLineChars="1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、乙方负责提供满足甲方医疗服务所需的硬件设备及配套软件，并保障设备及软件合法合规且正常使用。</w:t>
      </w:r>
    </w:p>
    <w:p w14:paraId="4FEC45B9">
      <w:pPr>
        <w:spacing w:line="480" w:lineRule="exact"/>
        <w:ind w:firstLine="240" w:firstLineChars="100"/>
        <w:rPr>
          <w:rFonts w:ascii="宋体" w:hAnsi="宋体"/>
          <w:color w:val="auto"/>
          <w:sz w:val="24"/>
          <w:szCs w:val="24"/>
          <w:highlight w:val="none"/>
        </w:rPr>
      </w:pPr>
      <w:r>
        <w:rPr>
          <w:rFonts w:hint="eastAsia" w:ascii="宋体" w:hAnsi="宋体"/>
          <w:color w:val="auto"/>
          <w:sz w:val="24"/>
          <w:szCs w:val="24"/>
          <w:highlight w:val="none"/>
        </w:rPr>
        <w:t>2、乙方委托浙江省远程胎心监护判读中心负责对甲方用户上传的远程胎心监护图形进行判读和在30分钟内出具报告。如使用远程胎心监护出现问题，经专业机构鉴定后，确认为判读方责任，则由浙江省远程胎心监护判读中心承担责任。乙方应在合同签订一周内，向甲方提供浙江省远程胎心监护判读中心对此合同服务的承诺书或证明，未提供则此合同无效。</w:t>
      </w:r>
    </w:p>
    <w:p w14:paraId="2ECCEDBD">
      <w:pPr>
        <w:spacing w:line="480" w:lineRule="exact"/>
        <w:ind w:firstLine="482" w:firstLineChars="201"/>
        <w:rPr>
          <w:rFonts w:ascii="宋体" w:hAnsi="宋体"/>
          <w:color w:val="auto"/>
          <w:sz w:val="24"/>
          <w:szCs w:val="24"/>
          <w:highlight w:val="none"/>
        </w:rPr>
      </w:pPr>
      <w:r>
        <w:rPr>
          <w:rFonts w:hint="eastAsia" w:ascii="宋体" w:hAnsi="宋体"/>
          <w:color w:val="auto"/>
          <w:sz w:val="24"/>
          <w:szCs w:val="24"/>
          <w:highlight w:val="none"/>
        </w:rPr>
        <w:t>3、乙方负责做好信息数据输出接口。如甲方有要求提供甲方用户的相关数据，乙方应向甲方及时提供相关数据。双方理解并确认，因系统存储空间的限制，乙方统一对其提供信息服务所采集的数据保存【</w:t>
      </w:r>
      <w:r>
        <w:rPr>
          <w:rFonts w:ascii="宋体" w:hAnsi="宋体"/>
          <w:color w:val="auto"/>
          <w:sz w:val="24"/>
          <w:szCs w:val="24"/>
          <w:highlight w:val="none"/>
        </w:rPr>
        <w:t>90</w:t>
      </w:r>
      <w:r>
        <w:rPr>
          <w:rFonts w:hint="eastAsia" w:ascii="宋体" w:hAnsi="宋体"/>
          <w:color w:val="auto"/>
          <w:sz w:val="24"/>
          <w:szCs w:val="24"/>
          <w:highlight w:val="none"/>
        </w:rPr>
        <w:t>】天（以下简称“保存期”），保存期届满后，乙方有权选择自行删除该等数据（以下简称“到期数据”）并无须对甲方或第三方承担任何责任。</w:t>
      </w:r>
    </w:p>
    <w:p w14:paraId="365EEA41">
      <w:pPr>
        <w:spacing w:line="480" w:lineRule="exact"/>
        <w:ind w:firstLine="482" w:firstLineChars="201"/>
        <w:rPr>
          <w:rFonts w:ascii="宋体"/>
          <w:color w:val="auto"/>
          <w:sz w:val="24"/>
          <w:szCs w:val="24"/>
          <w:highlight w:val="none"/>
        </w:rPr>
      </w:pPr>
      <w:r>
        <w:rPr>
          <w:rFonts w:hint="eastAsia" w:ascii="宋体"/>
          <w:color w:val="auto"/>
          <w:sz w:val="24"/>
          <w:szCs w:val="24"/>
          <w:highlight w:val="none"/>
        </w:rPr>
        <w:t>4、乙方提供的相关数据应包括甲方客户监护测量数据、报告数据。</w:t>
      </w:r>
    </w:p>
    <w:p w14:paraId="1E0F63D9">
      <w:pPr>
        <w:spacing w:line="480" w:lineRule="exact"/>
        <w:ind w:firstLine="482" w:firstLineChars="201"/>
        <w:rPr>
          <w:rFonts w:ascii="宋体"/>
          <w:color w:val="auto"/>
          <w:sz w:val="24"/>
          <w:szCs w:val="24"/>
          <w:highlight w:val="none"/>
        </w:rPr>
      </w:pPr>
      <w:r>
        <w:rPr>
          <w:rFonts w:hint="eastAsia" w:ascii="宋体" w:hAnsi="宋体"/>
          <w:color w:val="auto"/>
          <w:sz w:val="24"/>
          <w:szCs w:val="24"/>
          <w:highlight w:val="none"/>
        </w:rPr>
        <w:t>5、乙方有权按照本合同的约定向甲方收取信息服务费。</w:t>
      </w:r>
    </w:p>
    <w:p w14:paraId="17D2E0A8">
      <w:pPr>
        <w:spacing w:line="480" w:lineRule="exact"/>
        <w:ind w:firstLine="482" w:firstLineChars="201"/>
        <w:rPr>
          <w:rFonts w:ascii="宋体"/>
          <w:color w:val="auto"/>
          <w:sz w:val="24"/>
          <w:szCs w:val="24"/>
          <w:highlight w:val="none"/>
        </w:rPr>
      </w:pPr>
      <w:r>
        <w:rPr>
          <w:rFonts w:hint="eastAsia" w:ascii="宋体" w:hAnsi="宋体"/>
          <w:color w:val="auto"/>
          <w:sz w:val="24"/>
          <w:szCs w:val="24"/>
          <w:highlight w:val="none"/>
        </w:rPr>
        <w:t>6、乙方给甲方提供的硬件的数量由甲乙双方协商而定。</w:t>
      </w:r>
    </w:p>
    <w:p w14:paraId="1A08E0BB">
      <w:pPr>
        <w:spacing w:line="480" w:lineRule="exact"/>
        <w:ind w:firstLine="484" w:firstLineChars="201"/>
        <w:rPr>
          <w:rFonts w:ascii="宋体"/>
          <w:b/>
          <w:color w:val="auto"/>
          <w:sz w:val="24"/>
          <w:szCs w:val="24"/>
          <w:highlight w:val="none"/>
        </w:rPr>
      </w:pPr>
      <w:r>
        <w:rPr>
          <w:rFonts w:hint="eastAsia" w:ascii="宋体" w:hAnsi="宋体"/>
          <w:b/>
          <w:color w:val="auto"/>
          <w:sz w:val="24"/>
          <w:szCs w:val="24"/>
          <w:highlight w:val="none"/>
        </w:rPr>
        <w:t>五、信息服务费</w:t>
      </w:r>
    </w:p>
    <w:p w14:paraId="2170F6EA">
      <w:pPr>
        <w:spacing w:line="480" w:lineRule="exact"/>
        <w:ind w:firstLine="482" w:firstLineChars="201"/>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、乙方向甲方收取的信息服务费标准为：</w:t>
      </w:r>
    </w:p>
    <w:p w14:paraId="558E5846">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乙方向甲方收取的信息服务费标准为：院内外孕妇使用费</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元</w:t>
      </w:r>
      <w:r>
        <w:rPr>
          <w:rFonts w:ascii="宋体" w:hAnsi="宋体"/>
          <w:color w:val="auto"/>
          <w:sz w:val="24"/>
          <w:szCs w:val="24"/>
          <w:highlight w:val="none"/>
        </w:rPr>
        <w:t>/</w:t>
      </w:r>
      <w:r>
        <w:rPr>
          <w:rFonts w:hint="eastAsia" w:ascii="宋体" w:hAnsi="宋体"/>
          <w:color w:val="auto"/>
          <w:sz w:val="24"/>
          <w:szCs w:val="24"/>
          <w:highlight w:val="none"/>
        </w:rPr>
        <w:t>天</w:t>
      </w:r>
      <w:r>
        <w:rPr>
          <w:rFonts w:ascii="宋体" w:hAnsi="宋体"/>
          <w:color w:val="auto"/>
          <w:sz w:val="24"/>
          <w:szCs w:val="24"/>
          <w:highlight w:val="none"/>
        </w:rPr>
        <w:t>/</w:t>
      </w:r>
      <w:r>
        <w:rPr>
          <w:rFonts w:hint="eastAsia" w:ascii="宋体" w:hAnsi="宋体"/>
          <w:color w:val="auto"/>
          <w:sz w:val="24"/>
          <w:szCs w:val="24"/>
          <w:highlight w:val="none"/>
        </w:rPr>
        <w:t>人。乙方承诺该价格为浙江省内最低，如甲方发现省内其他医院低于此价格，则甲方有权按该低的价格与乙方进行结算，乙方应无条件接受。</w:t>
      </w:r>
    </w:p>
    <w:p w14:paraId="3A3BDC78">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如甲方给孕妇连续使用达到30天及以上，乙方不再向医院收取额外服务费，甲方统一按750元/人(台) 支付乙方该孕妇服务费。</w:t>
      </w:r>
    </w:p>
    <w:p w14:paraId="6186959D">
      <w:pPr>
        <w:spacing w:line="480" w:lineRule="exact"/>
        <w:ind w:firstLine="482" w:firstLineChars="201"/>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甲方按照以下第__种方式支付乙方合同价款</w:t>
      </w:r>
    </w:p>
    <w:p w14:paraId="0439E40E">
      <w:pPr>
        <w:spacing w:line="480" w:lineRule="exact"/>
        <w:ind w:firstLine="482" w:firstLineChars="201"/>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乙方</w:t>
      </w:r>
      <w:r>
        <w:rPr>
          <w:rFonts w:hint="eastAsia" w:ascii="宋体" w:hAnsi="宋体"/>
          <w:color w:val="auto"/>
          <w:sz w:val="24"/>
          <w:szCs w:val="24"/>
          <w:highlight w:val="none"/>
        </w:rPr>
        <w:t>为中小企业:合同预付款为合同总金额的40%。在合同签订生效以及具备实施条件后，</w:t>
      </w:r>
      <w:r>
        <w:rPr>
          <w:rFonts w:hint="eastAsia" w:ascii="宋体" w:hAnsi="宋体"/>
          <w:color w:val="auto"/>
          <w:sz w:val="24"/>
          <w:szCs w:val="24"/>
          <w:highlight w:val="none"/>
          <w:lang w:val="en-US" w:eastAsia="zh-CN"/>
        </w:rPr>
        <w:t>乙方</w:t>
      </w:r>
      <w:r>
        <w:rPr>
          <w:rFonts w:hint="eastAsia" w:ascii="宋体" w:hAnsi="宋体"/>
          <w:color w:val="auto"/>
          <w:sz w:val="24"/>
          <w:szCs w:val="24"/>
          <w:highlight w:val="none"/>
        </w:rPr>
        <w:t>须向</w:t>
      </w:r>
      <w:r>
        <w:rPr>
          <w:rFonts w:hint="eastAsia" w:ascii="宋体" w:hAnsi="宋体"/>
          <w:color w:val="auto"/>
          <w:sz w:val="24"/>
          <w:szCs w:val="24"/>
          <w:highlight w:val="none"/>
          <w:lang w:val="en-US" w:eastAsia="zh-CN"/>
        </w:rPr>
        <w:t>甲方</w:t>
      </w:r>
      <w:r>
        <w:rPr>
          <w:rFonts w:hint="eastAsia" w:ascii="宋体" w:hAnsi="宋体"/>
          <w:color w:val="auto"/>
          <w:sz w:val="24"/>
          <w:szCs w:val="24"/>
          <w:highlight w:val="none"/>
        </w:rPr>
        <w:t>提交与预付款等额的“预付款保函”。</w:t>
      </w:r>
      <w:r>
        <w:rPr>
          <w:rFonts w:hint="eastAsia" w:ascii="宋体" w:hAnsi="宋体"/>
          <w:color w:val="auto"/>
          <w:sz w:val="24"/>
          <w:szCs w:val="24"/>
          <w:highlight w:val="none"/>
          <w:lang w:val="en-US" w:eastAsia="zh-CN"/>
        </w:rPr>
        <w:t>甲方</w:t>
      </w:r>
      <w:r>
        <w:rPr>
          <w:rFonts w:hint="eastAsia" w:ascii="宋体" w:hAnsi="宋体"/>
          <w:color w:val="auto"/>
          <w:sz w:val="24"/>
          <w:szCs w:val="24"/>
          <w:highlight w:val="none"/>
        </w:rPr>
        <w:t>在收到“预付款保函”后7个工作日内支付预付款</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服务费</w:t>
      </w:r>
      <w:r>
        <w:rPr>
          <w:rFonts w:hint="eastAsia" w:ascii="宋体" w:hAnsi="宋体"/>
          <w:color w:val="auto"/>
          <w:sz w:val="24"/>
          <w:szCs w:val="24"/>
          <w:highlight w:val="none"/>
        </w:rPr>
        <w:t>按月支付，</w:t>
      </w:r>
      <w:r>
        <w:rPr>
          <w:rFonts w:hint="eastAsia" w:ascii="宋体" w:hAnsi="宋体"/>
          <w:color w:val="auto"/>
          <w:sz w:val="24"/>
          <w:szCs w:val="24"/>
          <w:highlight w:val="none"/>
          <w:lang w:val="en-US" w:eastAsia="zh-CN"/>
        </w:rPr>
        <w:t>乙方根据服务数量</w:t>
      </w:r>
      <w:r>
        <w:rPr>
          <w:rFonts w:hint="eastAsia" w:ascii="宋体" w:hAnsi="宋体"/>
          <w:color w:val="auto"/>
          <w:sz w:val="24"/>
          <w:szCs w:val="24"/>
          <w:highlight w:val="none"/>
        </w:rPr>
        <w:t>开具发票，</w:t>
      </w:r>
      <w:r>
        <w:rPr>
          <w:rFonts w:hint="eastAsia" w:ascii="宋体" w:hAnsi="宋体"/>
          <w:color w:val="auto"/>
          <w:sz w:val="24"/>
          <w:szCs w:val="24"/>
          <w:highlight w:val="none"/>
          <w:lang w:val="en-US" w:eastAsia="zh-CN"/>
        </w:rPr>
        <w:t>甲方</w:t>
      </w:r>
      <w:r>
        <w:rPr>
          <w:rFonts w:hint="eastAsia" w:ascii="宋体" w:hAnsi="宋体"/>
          <w:color w:val="auto"/>
          <w:sz w:val="24"/>
          <w:szCs w:val="24"/>
          <w:highlight w:val="none"/>
        </w:rPr>
        <w:t>自收到发票之日起</w:t>
      </w:r>
      <w:r>
        <w:rPr>
          <w:rFonts w:hint="eastAsia" w:ascii="宋体" w:hAnsi="宋体"/>
          <w:color w:val="auto"/>
          <w:sz w:val="24"/>
          <w:szCs w:val="24"/>
          <w:highlight w:val="none"/>
          <w:lang w:val="en-US" w:eastAsia="zh-CN"/>
        </w:rPr>
        <w:t>7个工作日内</w:t>
      </w:r>
      <w:r>
        <w:rPr>
          <w:rFonts w:hint="eastAsia" w:ascii="宋体" w:hAnsi="宋体"/>
          <w:color w:val="auto"/>
          <w:sz w:val="24"/>
          <w:szCs w:val="24"/>
          <w:highlight w:val="none"/>
        </w:rPr>
        <w:t>付款(每月结算款项优先从预付款中扣回)。</w:t>
      </w:r>
    </w:p>
    <w:p w14:paraId="70D1179F">
      <w:pPr>
        <w:spacing w:line="480" w:lineRule="exact"/>
        <w:ind w:firstLine="482" w:firstLineChars="201"/>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lang w:eastAsia="zh-CN"/>
        </w:rPr>
        <w:t>）</w:t>
      </w:r>
      <w:r>
        <w:rPr>
          <w:rFonts w:hint="eastAsia" w:ascii="宋体" w:hAnsi="宋体"/>
          <w:color w:val="auto"/>
          <w:sz w:val="24"/>
          <w:szCs w:val="24"/>
          <w:highlight w:val="none"/>
        </w:rPr>
        <w:t>普通方式:本合同项目信息服务费按月结算。每月25日之前（如碰到节假日顺延）甲方应向乙方支付上月信息服务费。</w:t>
      </w:r>
    </w:p>
    <w:p w14:paraId="3EB3A98C">
      <w:pPr>
        <w:spacing w:line="480" w:lineRule="exact"/>
        <w:ind w:firstLine="482" w:firstLineChars="201"/>
        <w:rPr>
          <w:rFonts w:asci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甲乙双方应对服务数量进行核对，核对的时间标准为到上月的月末止，如有用户退款，甲方应当向乙方提供凭证，经乙方核对确认后，方可支付。</w:t>
      </w:r>
    </w:p>
    <w:p w14:paraId="1637F390">
      <w:pPr>
        <w:spacing w:line="480" w:lineRule="exact"/>
        <w:ind w:firstLine="482" w:firstLineChars="201"/>
        <w:rPr>
          <w:rFonts w:asci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、乙方的收款账户信息</w:t>
      </w:r>
    </w:p>
    <w:p w14:paraId="40995243">
      <w:pPr>
        <w:spacing w:line="480" w:lineRule="exact"/>
        <w:ind w:firstLine="482" w:firstLineChars="201"/>
        <w:rPr>
          <w:rFonts w:ascii="宋体" w:hAnsi="宋体"/>
          <w:color w:val="auto"/>
          <w:sz w:val="24"/>
          <w:szCs w:val="24"/>
          <w:highlight w:val="none"/>
        </w:rPr>
      </w:pPr>
      <w:r>
        <w:rPr>
          <w:rFonts w:hint="eastAsia" w:ascii="宋体" w:hAnsi="宋体"/>
          <w:color w:val="auto"/>
          <w:sz w:val="24"/>
          <w:szCs w:val="24"/>
          <w:highlight w:val="none"/>
        </w:rPr>
        <w:t>账户名：</w:t>
      </w:r>
      <w:r>
        <w:rPr>
          <w:rFonts w:ascii="宋体" w:hAnsi="宋体"/>
          <w:color w:val="auto"/>
          <w:sz w:val="24"/>
          <w:szCs w:val="24"/>
          <w:highlight w:val="none"/>
        </w:rPr>
        <w:t xml:space="preserve"> </w:t>
      </w:r>
    </w:p>
    <w:p w14:paraId="30F0E23D">
      <w:pPr>
        <w:spacing w:line="480" w:lineRule="exact"/>
        <w:ind w:firstLine="482" w:firstLineChars="201"/>
        <w:rPr>
          <w:rFonts w:ascii="宋体"/>
          <w:color w:val="auto"/>
          <w:sz w:val="24"/>
          <w:szCs w:val="24"/>
          <w:highlight w:val="none"/>
        </w:rPr>
      </w:pPr>
      <w:r>
        <w:rPr>
          <w:rFonts w:hint="eastAsia" w:ascii="宋体" w:hAnsi="宋体"/>
          <w:color w:val="auto"/>
          <w:sz w:val="24"/>
          <w:szCs w:val="24"/>
          <w:highlight w:val="none"/>
        </w:rPr>
        <w:t>开户银行：</w:t>
      </w:r>
    </w:p>
    <w:p w14:paraId="336AC415">
      <w:pPr>
        <w:spacing w:line="480" w:lineRule="exact"/>
        <w:ind w:firstLine="482" w:firstLineChars="201"/>
        <w:rPr>
          <w:rFonts w:ascii="宋体"/>
          <w:color w:val="auto"/>
          <w:sz w:val="24"/>
          <w:szCs w:val="24"/>
          <w:highlight w:val="none"/>
        </w:rPr>
      </w:pPr>
      <w:r>
        <w:rPr>
          <w:rFonts w:hint="eastAsia" w:ascii="宋体" w:hAnsi="宋体"/>
          <w:color w:val="auto"/>
          <w:sz w:val="24"/>
          <w:szCs w:val="24"/>
          <w:highlight w:val="none"/>
        </w:rPr>
        <w:t>银行账户：</w:t>
      </w:r>
    </w:p>
    <w:p w14:paraId="4504E935">
      <w:pPr>
        <w:spacing w:line="480" w:lineRule="exact"/>
        <w:ind w:firstLine="484" w:firstLineChars="201"/>
        <w:rPr>
          <w:rFonts w:ascii="宋体"/>
          <w:b/>
          <w:color w:val="auto"/>
          <w:sz w:val="24"/>
          <w:szCs w:val="24"/>
          <w:highlight w:val="none"/>
        </w:rPr>
      </w:pPr>
      <w:r>
        <w:rPr>
          <w:rFonts w:hint="eastAsia" w:ascii="宋体" w:hAnsi="宋体"/>
          <w:b/>
          <w:color w:val="auto"/>
          <w:sz w:val="24"/>
          <w:szCs w:val="24"/>
          <w:highlight w:val="none"/>
        </w:rPr>
        <w:t>六、知识产权及信息保密</w:t>
      </w:r>
    </w:p>
    <w:p w14:paraId="481B442A">
      <w:pPr>
        <w:spacing w:line="480" w:lineRule="exact"/>
        <w:ind w:firstLine="482" w:firstLineChars="201"/>
        <w:rPr>
          <w:rFonts w:ascii="宋体"/>
          <w:b/>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、双方对在本合同签订和履行的过程中披露的非公知信息有保密义务，禁止在本合同规定外向任何其他方泄漏或公开。</w:t>
      </w:r>
    </w:p>
    <w:p w14:paraId="7F38A6A5">
      <w:pPr>
        <w:spacing w:line="480" w:lineRule="exact"/>
        <w:ind w:firstLine="482" w:firstLineChars="201"/>
        <w:rPr>
          <w:rFonts w:asci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本条规定的保密义务不受本合同期限的限制，在本合同终止后仍然有效，甲乙双方仍需遵守本合同之保密条款，履行其所承诺的保密义务，直到对方同意其解除此项义务，或事实上不会因违反本合同的保密条款而给对方造成任何形式的损害时为止。</w:t>
      </w:r>
    </w:p>
    <w:p w14:paraId="501F6912">
      <w:pPr>
        <w:spacing w:line="480" w:lineRule="exact"/>
        <w:ind w:firstLine="482" w:firstLineChars="201"/>
        <w:rPr>
          <w:rFonts w:asci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、该项目的所有软件及硬件的知识产权归乙方所有。</w:t>
      </w:r>
    </w:p>
    <w:p w14:paraId="55678F17">
      <w:pPr>
        <w:spacing w:line="480" w:lineRule="exact"/>
        <w:ind w:firstLine="484" w:firstLineChars="201"/>
        <w:rPr>
          <w:rFonts w:ascii="宋体"/>
          <w:b/>
          <w:color w:val="auto"/>
          <w:sz w:val="24"/>
          <w:szCs w:val="24"/>
          <w:highlight w:val="none"/>
        </w:rPr>
      </w:pPr>
      <w:r>
        <w:rPr>
          <w:rFonts w:hint="eastAsia" w:ascii="宋体" w:hAnsi="宋体"/>
          <w:b/>
          <w:color w:val="auto"/>
          <w:sz w:val="24"/>
          <w:szCs w:val="24"/>
          <w:highlight w:val="none"/>
        </w:rPr>
        <w:t>七、违约责任</w:t>
      </w:r>
    </w:p>
    <w:p w14:paraId="6166A135">
      <w:pPr>
        <w:spacing w:line="480" w:lineRule="exact"/>
        <w:ind w:firstLine="482" w:firstLineChars="201"/>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、甲方逾期支付服务费的，应自逾期之日起每日向乙方支付应付服务费千分之一的违约金。逾期超过【</w:t>
      </w:r>
      <w:r>
        <w:rPr>
          <w:rFonts w:ascii="宋体" w:hAnsi="宋体"/>
          <w:color w:val="auto"/>
          <w:sz w:val="24"/>
          <w:szCs w:val="24"/>
          <w:highlight w:val="none"/>
        </w:rPr>
        <w:t>30</w:t>
      </w:r>
      <w:r>
        <w:rPr>
          <w:rFonts w:hint="eastAsia" w:ascii="宋体" w:hAnsi="宋体"/>
          <w:color w:val="auto"/>
          <w:sz w:val="24"/>
          <w:szCs w:val="24"/>
          <w:highlight w:val="none"/>
        </w:rPr>
        <w:t>】日的，乙方有权暂停服务直至提前解除本合同。由此导致的孕妇投诉或纠纷的，由甲方负责处理并承担责任。</w:t>
      </w:r>
    </w:p>
    <w:p w14:paraId="6986BC61">
      <w:pPr>
        <w:spacing w:line="480" w:lineRule="exact"/>
        <w:ind w:firstLine="482" w:firstLineChars="201"/>
        <w:rPr>
          <w:rFonts w:asci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、甲方违反本合同约定，导致乙方无法提供服务或无法完全提供服务，且经乙方合理催告后仍未纠正的，乙方有权暂停信息服务直至提前解除本合同。给乙方造成的损失由甲方赔偿。</w:t>
      </w:r>
    </w:p>
    <w:p w14:paraId="2DA1ECCC">
      <w:pPr>
        <w:spacing w:line="480" w:lineRule="exact"/>
        <w:ind w:firstLine="482" w:firstLineChars="201"/>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、乙方未按要求进行信息服务或服务质量未达到甲方要求，甲方有权要求乙方进行整改，如果整改后还未达到甲方要求，甲方有权提前解除本合同。给甲方造成的损失由乙方赔偿。</w:t>
      </w:r>
    </w:p>
    <w:p w14:paraId="2C623BE2">
      <w:pPr>
        <w:spacing w:line="480" w:lineRule="exact"/>
        <w:ind w:firstLine="482" w:firstLineChars="201"/>
        <w:rPr>
          <w:rFonts w:ascii="宋体" w:hAnsi="宋体"/>
          <w:color w:val="auto"/>
          <w:sz w:val="24"/>
          <w:szCs w:val="24"/>
          <w:highlight w:val="none"/>
        </w:rPr>
      </w:pPr>
      <w:r>
        <w:rPr>
          <w:rFonts w:hint="eastAsia" w:ascii="宋体" w:hAnsi="宋体"/>
          <w:color w:val="auto"/>
          <w:sz w:val="24"/>
          <w:szCs w:val="24"/>
          <w:highlight w:val="none"/>
        </w:rPr>
        <w:t>4、如使用远程胎心监护出现问题，经专业机构鉴定后，确认为判读方责任，则由“浙江省远程胎心监护判读中心”承担责任。</w:t>
      </w:r>
    </w:p>
    <w:p w14:paraId="75A8B7EE">
      <w:pPr>
        <w:spacing w:line="480" w:lineRule="exact"/>
        <w:rPr>
          <w:rFonts w:ascii="宋体"/>
          <w:b/>
          <w:color w:val="auto"/>
          <w:sz w:val="24"/>
          <w:szCs w:val="24"/>
          <w:highlight w:val="none"/>
        </w:rPr>
      </w:pPr>
      <w:r>
        <w:rPr>
          <w:rFonts w:hint="eastAsia" w:ascii="宋体" w:hAnsi="宋体"/>
          <w:color w:val="auto"/>
          <w:sz w:val="24"/>
          <w:szCs w:val="24"/>
          <w:highlight w:val="none"/>
        </w:rPr>
        <w:t xml:space="preserve">   </w:t>
      </w:r>
      <w:r>
        <w:rPr>
          <w:rFonts w:hint="eastAsia" w:ascii="宋体" w:hAnsi="宋体"/>
          <w:b/>
          <w:color w:val="auto"/>
          <w:sz w:val="24"/>
          <w:szCs w:val="24"/>
          <w:highlight w:val="none"/>
        </w:rPr>
        <w:t>八、适用法律及争议解决</w:t>
      </w:r>
    </w:p>
    <w:p w14:paraId="4C806604">
      <w:pPr>
        <w:spacing w:line="480" w:lineRule="exact"/>
        <w:ind w:firstLine="482" w:firstLineChars="201"/>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、本合同根据中华人民共和国（不含香港、澳门特别行政区和台湾地区）法律。</w:t>
      </w:r>
    </w:p>
    <w:p w14:paraId="7D2044E6">
      <w:pPr>
        <w:spacing w:line="480" w:lineRule="exact"/>
        <w:ind w:firstLine="482" w:firstLineChars="201"/>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、因本合同产生的任何争议，甲、乙双方应当首先寻求协商解决，协商不成，任何一方均可将与本合同有关的争议事项提交甲方所在地法院裁决。本合同签约地在温州市</w:t>
      </w:r>
      <w:r>
        <w:rPr>
          <w:rFonts w:ascii="宋体" w:hAnsi="宋体"/>
          <w:color w:val="auto"/>
          <w:sz w:val="24"/>
          <w:szCs w:val="24"/>
          <w:highlight w:val="none"/>
        </w:rPr>
        <w:t>瓯海区古岸路299号</w:t>
      </w:r>
      <w:r>
        <w:rPr>
          <w:rFonts w:hint="eastAsia" w:ascii="宋体" w:hAnsi="宋体"/>
          <w:color w:val="auto"/>
          <w:sz w:val="24"/>
          <w:szCs w:val="24"/>
          <w:highlight w:val="none"/>
        </w:rPr>
        <w:t>。</w:t>
      </w:r>
    </w:p>
    <w:p w14:paraId="2EB7C80F">
      <w:pPr>
        <w:spacing w:line="480" w:lineRule="exact"/>
        <w:ind w:firstLine="484" w:firstLineChars="201"/>
        <w:rPr>
          <w:rFonts w:ascii="宋体"/>
          <w:b/>
          <w:color w:val="auto"/>
          <w:sz w:val="24"/>
          <w:szCs w:val="24"/>
          <w:highlight w:val="none"/>
        </w:rPr>
      </w:pPr>
      <w:r>
        <w:rPr>
          <w:rFonts w:hint="eastAsia" w:ascii="宋体" w:hAnsi="宋体"/>
          <w:b/>
          <w:color w:val="auto"/>
          <w:sz w:val="24"/>
          <w:szCs w:val="24"/>
          <w:highlight w:val="none"/>
        </w:rPr>
        <w:t>九、其他约定</w:t>
      </w:r>
    </w:p>
    <w:p w14:paraId="1443B488">
      <w:pPr>
        <w:spacing w:line="480" w:lineRule="exact"/>
        <w:ind w:firstLine="482" w:firstLineChars="201"/>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、如果使用远程胎心监护出现问题，经专业机构鉴定后，确认为判读方责任则由浙江省远程胎心监护判读中心承担责任。</w:t>
      </w:r>
    </w:p>
    <w:p w14:paraId="13E62C0D">
      <w:pPr>
        <w:spacing w:line="480" w:lineRule="exact"/>
        <w:ind w:firstLine="482" w:firstLineChars="201"/>
        <w:rPr>
          <w:rFonts w:asci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、乙方提供的硬件设备如因甲方保管疏忽丢失，甲方按照</w:t>
      </w:r>
      <w:r>
        <w:rPr>
          <w:rFonts w:ascii="宋体" w:hAnsi="宋体"/>
          <w:color w:val="auto"/>
          <w:sz w:val="24"/>
          <w:szCs w:val="24"/>
          <w:highlight w:val="none"/>
        </w:rPr>
        <w:t>1000</w:t>
      </w:r>
      <w:r>
        <w:rPr>
          <w:rFonts w:hint="eastAsia" w:ascii="宋体" w:hAnsi="宋体"/>
          <w:color w:val="auto"/>
          <w:sz w:val="24"/>
          <w:szCs w:val="24"/>
          <w:highlight w:val="none"/>
        </w:rPr>
        <w:t>元（人民币）</w:t>
      </w:r>
      <w:r>
        <w:rPr>
          <w:rFonts w:ascii="宋体" w:hAnsi="宋体"/>
          <w:color w:val="auto"/>
          <w:sz w:val="24"/>
          <w:szCs w:val="24"/>
          <w:highlight w:val="none"/>
        </w:rPr>
        <w:t>/</w:t>
      </w:r>
      <w:r>
        <w:rPr>
          <w:rFonts w:hint="eastAsia" w:ascii="宋体" w:hAnsi="宋体"/>
          <w:color w:val="auto"/>
          <w:sz w:val="24"/>
          <w:szCs w:val="24"/>
          <w:highlight w:val="none"/>
        </w:rPr>
        <w:t>台价格赔偿给乙方，如因孕妇保管、使用导致丢失或损坏的，由甲方向孕妇收取此费用并转乙方。</w:t>
      </w:r>
    </w:p>
    <w:p w14:paraId="730F22BD">
      <w:pPr>
        <w:spacing w:line="480" w:lineRule="exact"/>
        <w:ind w:firstLine="482" w:firstLineChars="201"/>
        <w:rPr>
          <w:rFonts w:asci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、本合同的任何修改、变更应经甲乙双方另行协商，并就修改、变更事项共同签署书面合同后方可生效。</w:t>
      </w:r>
    </w:p>
    <w:p w14:paraId="3014F1A8">
      <w:pPr>
        <w:spacing w:line="480" w:lineRule="exact"/>
        <w:ind w:firstLine="482" w:firstLineChars="201"/>
        <w:rPr>
          <w:rFonts w:asci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、本合同自双方代表签字并盖章后生效。</w:t>
      </w:r>
    </w:p>
    <w:p w14:paraId="55745F87">
      <w:pPr>
        <w:widowControl/>
        <w:spacing w:line="460" w:lineRule="exact"/>
        <w:ind w:firstLine="480" w:firstLineChars="200"/>
        <w:jc w:val="left"/>
        <w:rPr>
          <w:rFonts w:ascii="新宋体" w:hAnsi="新宋体" w:eastAsia="新宋体" w:cs="新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、本合同一式肆份，甲乙双方各执两份，具有同等效力。</w:t>
      </w:r>
    </w:p>
    <w:p w14:paraId="1E2AE646">
      <w:pPr>
        <w:spacing w:line="480" w:lineRule="exact"/>
        <w:rPr>
          <w:rFonts w:ascii="宋体"/>
          <w:b/>
          <w:color w:val="auto"/>
          <w:sz w:val="24"/>
          <w:szCs w:val="24"/>
          <w:highlight w:val="none"/>
        </w:rPr>
      </w:pPr>
      <w:r>
        <w:rPr>
          <w:rFonts w:hint="eastAsia" w:ascii="宋体" w:hAnsi="宋体"/>
          <w:b/>
          <w:color w:val="auto"/>
          <w:sz w:val="24"/>
          <w:szCs w:val="24"/>
          <w:highlight w:val="none"/>
        </w:rPr>
        <w:t>甲方（盖章）　</w:t>
      </w:r>
      <w:r>
        <w:rPr>
          <w:rFonts w:ascii="宋体" w:hAnsi="宋体"/>
          <w:b/>
          <w:color w:val="auto"/>
          <w:sz w:val="24"/>
          <w:szCs w:val="24"/>
          <w:highlight w:val="none"/>
        </w:rPr>
        <w:t xml:space="preserve">                       </w:t>
      </w:r>
      <w:r>
        <w:rPr>
          <w:rFonts w:hint="eastAsia" w:ascii="宋体" w:hAnsi="宋体"/>
          <w:b/>
          <w:color w:val="auto"/>
          <w:sz w:val="24"/>
          <w:szCs w:val="24"/>
          <w:highlight w:val="none"/>
        </w:rPr>
        <w:t>乙方（盖章）</w:t>
      </w:r>
    </w:p>
    <w:p w14:paraId="74B375B5">
      <w:pPr>
        <w:spacing w:line="480" w:lineRule="exact"/>
        <w:rPr>
          <w:rFonts w:ascii="宋体"/>
          <w:b/>
          <w:color w:val="auto"/>
          <w:sz w:val="24"/>
          <w:szCs w:val="24"/>
          <w:highlight w:val="none"/>
        </w:rPr>
      </w:pPr>
    </w:p>
    <w:p w14:paraId="0F30FCBF">
      <w:pPr>
        <w:spacing w:line="480" w:lineRule="exact"/>
        <w:rPr>
          <w:rFonts w:ascii="宋体" w:hAnsi="宋体"/>
          <w:b/>
          <w:color w:val="auto"/>
          <w:sz w:val="24"/>
          <w:szCs w:val="24"/>
          <w:highlight w:val="none"/>
        </w:rPr>
      </w:pPr>
    </w:p>
    <w:p w14:paraId="71A0C022">
      <w:pPr>
        <w:spacing w:line="480" w:lineRule="exact"/>
        <w:rPr>
          <w:rFonts w:ascii="宋体"/>
          <w:b/>
          <w:color w:val="auto"/>
          <w:sz w:val="24"/>
          <w:szCs w:val="24"/>
          <w:highlight w:val="none"/>
        </w:rPr>
      </w:pPr>
      <w:r>
        <w:rPr>
          <w:rFonts w:hint="eastAsia" w:ascii="宋体" w:hAnsi="宋体"/>
          <w:b/>
          <w:color w:val="auto"/>
          <w:sz w:val="24"/>
          <w:szCs w:val="24"/>
          <w:highlight w:val="none"/>
        </w:rPr>
        <w:t>代表（签字）　　　　　　　　　</w:t>
      </w:r>
      <w:r>
        <w:rPr>
          <w:rFonts w:ascii="宋体" w:hAnsi="宋体"/>
          <w:b/>
          <w:color w:val="auto"/>
          <w:sz w:val="24"/>
          <w:szCs w:val="24"/>
          <w:highlight w:val="none"/>
        </w:rPr>
        <w:t xml:space="preserve">  </w:t>
      </w:r>
      <w:r>
        <w:rPr>
          <w:rFonts w:hint="eastAsia" w:ascii="宋体" w:hAnsi="宋体"/>
          <w:b/>
          <w:color w:val="auto"/>
          <w:sz w:val="24"/>
          <w:szCs w:val="24"/>
          <w:highlight w:val="none"/>
        </w:rPr>
        <w:t>　</w:t>
      </w:r>
      <w:r>
        <w:rPr>
          <w:rFonts w:ascii="宋体" w:hAnsi="宋体"/>
          <w:b/>
          <w:color w:val="auto"/>
          <w:sz w:val="24"/>
          <w:szCs w:val="24"/>
          <w:highlight w:val="none"/>
        </w:rPr>
        <w:t xml:space="preserve">  </w:t>
      </w:r>
      <w:r>
        <w:rPr>
          <w:rFonts w:hint="eastAsia" w:ascii="宋体" w:hAnsi="宋体"/>
          <w:b/>
          <w:color w:val="auto"/>
          <w:sz w:val="24"/>
          <w:szCs w:val="24"/>
          <w:highlight w:val="none"/>
        </w:rPr>
        <w:t>代表（签字）</w:t>
      </w:r>
    </w:p>
    <w:p w14:paraId="542B3412">
      <w:pPr>
        <w:spacing w:line="480" w:lineRule="exact"/>
        <w:rPr>
          <w:rFonts w:ascii="宋体"/>
          <w:b/>
          <w:color w:val="auto"/>
          <w:sz w:val="24"/>
          <w:szCs w:val="24"/>
          <w:highlight w:val="none"/>
        </w:rPr>
      </w:pPr>
    </w:p>
    <w:p w14:paraId="54CEF9D1">
      <w:pPr>
        <w:spacing w:line="480" w:lineRule="exact"/>
        <w:rPr>
          <w:rFonts w:ascii="宋体"/>
          <w:color w:val="auto"/>
          <w:sz w:val="24"/>
          <w:szCs w:val="24"/>
          <w:highlight w:val="none"/>
        </w:rPr>
      </w:pPr>
      <w:r>
        <w:rPr>
          <w:rFonts w:hint="eastAsia" w:ascii="宋体" w:hAnsi="宋体"/>
          <w:color w:val="auto"/>
          <w:sz w:val="24"/>
          <w:szCs w:val="24"/>
          <w:highlight w:val="none"/>
        </w:rPr>
        <w:t>签约日期：</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年</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r>
        <w:rPr>
          <w:rFonts w:hint="eastAsia" w:ascii="宋体" w:hAnsi="宋体"/>
          <w:color w:val="auto"/>
          <w:sz w:val="24"/>
          <w:szCs w:val="24"/>
          <w:highlight w:val="none"/>
        </w:rPr>
        <w:t>签约日期：</w:t>
      </w:r>
      <w:r>
        <w:rPr>
          <w:rFonts w:ascii="宋体" w:hAnsi="宋体"/>
          <w:color w:val="auto"/>
          <w:sz w:val="24"/>
          <w:szCs w:val="24"/>
          <w:highlight w:val="none"/>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p>
    <w:p w14:paraId="4D6D0426">
      <w:pPr>
        <w:widowControl/>
        <w:jc w:val="center"/>
        <w:rPr>
          <w:rFonts w:ascii="宋体" w:hAnsi="宋体" w:cs="宋体"/>
          <w:color w:val="auto"/>
          <w:highlight w:val="none"/>
        </w:rPr>
      </w:pPr>
      <w:r>
        <w:rPr>
          <w:rFonts w:hint="eastAsia" w:ascii="宋体" w:hAnsi="宋体" w:cs="宋体"/>
          <w:b/>
          <w:bCs/>
          <w:color w:val="auto"/>
          <w:kern w:val="0"/>
          <w:sz w:val="24"/>
          <w:highlight w:val="none"/>
        </w:rPr>
        <w:br w:type="page"/>
      </w:r>
    </w:p>
    <w:p w14:paraId="4943880E">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t>第三部分    附件</w:t>
      </w:r>
      <w:bookmarkEnd w:id="29"/>
      <w:bookmarkEnd w:id="30"/>
    </w:p>
    <w:p w14:paraId="232A41BA">
      <w:pPr>
        <w:pStyle w:val="11"/>
        <w:spacing w:line="460" w:lineRule="exact"/>
        <w:ind w:left="433" w:hanging="433" w:hangingChars="196"/>
        <w:outlineLvl w:val="1"/>
        <w:rPr>
          <w:rFonts w:ascii="宋体" w:hAnsi="宋体" w:cs="宋体"/>
          <w:b/>
          <w:color w:val="auto"/>
          <w:sz w:val="22"/>
          <w:highlight w:val="none"/>
        </w:rPr>
      </w:pPr>
      <w:bookmarkStart w:id="31" w:name="_Toc6368"/>
      <w:bookmarkStart w:id="32" w:name="_Toc7056"/>
      <w:r>
        <w:rPr>
          <w:rFonts w:hint="eastAsia" w:ascii="宋体" w:hAnsi="宋体" w:cs="宋体"/>
          <w:b/>
          <w:color w:val="auto"/>
          <w:sz w:val="22"/>
          <w:highlight w:val="none"/>
        </w:rPr>
        <w:t>附件一</w:t>
      </w:r>
      <w:bookmarkEnd w:id="31"/>
      <w:bookmarkEnd w:id="32"/>
    </w:p>
    <w:p w14:paraId="14F4779D">
      <w:pPr>
        <w:spacing w:line="400" w:lineRule="exact"/>
        <w:jc w:val="center"/>
        <w:outlineLvl w:val="2"/>
        <w:rPr>
          <w:rFonts w:ascii="宋体" w:hAnsi="宋体" w:cs="宋体"/>
          <w:b/>
          <w:bCs/>
          <w:color w:val="auto"/>
          <w:sz w:val="28"/>
          <w:szCs w:val="28"/>
          <w:highlight w:val="none"/>
        </w:rPr>
      </w:pPr>
      <w:bookmarkStart w:id="33" w:name="_Toc13365"/>
      <w:bookmarkStart w:id="34" w:name="_Toc5430"/>
      <w:r>
        <w:rPr>
          <w:rFonts w:hint="eastAsia" w:ascii="宋体" w:hAnsi="宋体" w:cs="宋体"/>
          <w:b/>
          <w:bCs/>
          <w:color w:val="auto"/>
          <w:sz w:val="28"/>
          <w:szCs w:val="28"/>
          <w:highlight w:val="none"/>
        </w:rPr>
        <w:t>报价文件</w:t>
      </w:r>
      <w:bookmarkEnd w:id="33"/>
      <w:bookmarkEnd w:id="34"/>
    </w:p>
    <w:p w14:paraId="54D84AEC">
      <w:pPr>
        <w:spacing w:line="400" w:lineRule="exact"/>
        <w:jc w:val="center"/>
        <w:outlineLvl w:val="3"/>
        <w:rPr>
          <w:rFonts w:ascii="宋体" w:hAnsi="宋体" w:cs="宋体"/>
          <w:b/>
          <w:color w:val="auto"/>
          <w:sz w:val="22"/>
          <w:szCs w:val="22"/>
          <w:highlight w:val="none"/>
          <w:lang w:val="zh-CN"/>
        </w:rPr>
      </w:pPr>
      <w:r>
        <w:rPr>
          <w:rFonts w:hint="eastAsia" w:ascii="宋体" w:hAnsi="宋体" w:cs="宋体"/>
          <w:b/>
          <w:color w:val="auto"/>
          <w:sz w:val="22"/>
          <w:szCs w:val="22"/>
          <w:highlight w:val="none"/>
        </w:rPr>
        <w:t>1、</w:t>
      </w:r>
      <w:r>
        <w:rPr>
          <w:rFonts w:hint="eastAsia" w:ascii="宋体" w:hAnsi="宋体" w:cs="宋体"/>
          <w:b/>
          <w:color w:val="auto"/>
          <w:sz w:val="22"/>
          <w:szCs w:val="22"/>
          <w:highlight w:val="none"/>
          <w:lang w:val="zh-CN"/>
        </w:rPr>
        <w:t>投标函</w:t>
      </w:r>
    </w:p>
    <w:p w14:paraId="69967ABA">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致：温州市人民医院</w:t>
      </w:r>
    </w:p>
    <w:p w14:paraId="44BC2957">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项目（招标编号：</w:t>
      </w:r>
      <w:r>
        <w:rPr>
          <w:rFonts w:hint="eastAsia" w:ascii="宋体" w:hAnsi="宋体" w:cs="宋体"/>
          <w:b/>
          <w:color w:val="auto"/>
          <w:sz w:val="22"/>
          <w:szCs w:val="22"/>
          <w:highlight w:val="none"/>
          <w:u w:val="single"/>
        </w:rPr>
        <w:t xml:space="preserve">        </w:t>
      </w:r>
      <w:r>
        <w:rPr>
          <w:rFonts w:hint="eastAsia" w:ascii="宋体" w:hAnsi="宋体" w:cs="宋体"/>
          <w:b/>
          <w:color w:val="auto"/>
          <w:sz w:val="22"/>
          <w:szCs w:val="22"/>
          <w:highlight w:val="none"/>
        </w:rPr>
        <w:t xml:space="preserve"> </w:t>
      </w:r>
      <w:r>
        <w:rPr>
          <w:rFonts w:hint="eastAsia" w:ascii="宋体" w:hAnsi="宋体" w:cs="宋体"/>
          <w:color w:val="auto"/>
          <w:sz w:val="22"/>
          <w:szCs w:val="22"/>
          <w:highlight w:val="none"/>
        </w:rPr>
        <w:t>）的投标邀请，我方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（投标人名称）作为投标人正式授权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（授权代表全名，职务）代表我方处理有关本投标的一切事宜。为此：</w:t>
      </w:r>
    </w:p>
    <w:p w14:paraId="616D5F7F">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1、我方同意在投标人</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规定的开标日期起遵守本投标书中的承诺且在投标有效期满之前均具有约束力。</w:t>
      </w:r>
    </w:p>
    <w:p w14:paraId="2D954C58">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2、我方承诺已经具备《中华人民共和国政府采购法》中规定的参加政府采购活动的供应商应当具备的条件：</w:t>
      </w:r>
    </w:p>
    <w:p w14:paraId="5D9E7FE7">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(1)具有独立承担民事责任的能力；</w:t>
      </w:r>
    </w:p>
    <w:p w14:paraId="3E3E5DEA">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(2)遵守国家法律、行政法规，具有良好的信誉和商业道德；</w:t>
      </w:r>
    </w:p>
    <w:p w14:paraId="3042DC2C">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(3)具有履行合同的能力和良好的履行合同记录；</w:t>
      </w:r>
    </w:p>
    <w:p w14:paraId="1C475BE3">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(4)良好的资金、财务状况；</w:t>
      </w:r>
    </w:p>
    <w:p w14:paraId="4E816285">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(5)提供的产品和服务符合中国政府规定的相应标准和环保标准；</w:t>
      </w:r>
    </w:p>
    <w:p w14:paraId="1652E591">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(6)没有违反政府采购法规、政策的记录；</w:t>
      </w:r>
    </w:p>
    <w:p w14:paraId="4A37C16E">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(7)没有发生重大经济纠纷和走私犯罪记录。</w:t>
      </w:r>
    </w:p>
    <w:p w14:paraId="3E127284">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3、提供</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规定的全部投标文件，包括资格文件、报价文件、商务技术文件。具体内容为：</w:t>
      </w:r>
    </w:p>
    <w:p w14:paraId="19BE9BAD">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(1)资格文件</w:t>
      </w:r>
    </w:p>
    <w:p w14:paraId="1F3812EC">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(2)报价文件；</w:t>
      </w:r>
    </w:p>
    <w:p w14:paraId="25726965">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商务</w:t>
      </w:r>
      <w:r>
        <w:rPr>
          <w:rFonts w:hint="eastAsia" w:ascii="宋体" w:hAnsi="宋体" w:cs="宋体"/>
          <w:color w:val="auto"/>
          <w:kern w:val="0"/>
          <w:sz w:val="22"/>
          <w:szCs w:val="22"/>
          <w:highlight w:val="none"/>
          <w:lang w:val="zh-CN"/>
        </w:rPr>
        <w:t>技术文件</w:t>
      </w:r>
      <w:r>
        <w:rPr>
          <w:rFonts w:hint="eastAsia" w:ascii="宋体" w:hAnsi="宋体" w:cs="宋体"/>
          <w:color w:val="auto"/>
          <w:sz w:val="22"/>
          <w:szCs w:val="22"/>
          <w:highlight w:val="none"/>
        </w:rPr>
        <w:t>；</w:t>
      </w:r>
    </w:p>
    <w:p w14:paraId="40685F45">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要求投标人提交的全部文件；</w:t>
      </w:r>
    </w:p>
    <w:p w14:paraId="67B8597C">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(5)按招标文件要求提供和交付的货物和服务的投标报价详见开标一览表；</w:t>
      </w:r>
    </w:p>
    <w:p w14:paraId="7DB6F312">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(6)保证忠实地执行双方所签订的合同，并承担合同规定的责任和义务；</w:t>
      </w:r>
    </w:p>
    <w:p w14:paraId="11CF5619">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(7)保证遵守招标文件中的其他有关规定。</w:t>
      </w:r>
    </w:p>
    <w:p w14:paraId="783281D9">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4、投标有效期内不撤销投标文件，如中标，有效期将延至合同终止日为止。</w:t>
      </w:r>
    </w:p>
    <w:p w14:paraId="5EB2B96B">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5、我方完全理解贵方不一定要接受最低价的投标。</w:t>
      </w:r>
    </w:p>
    <w:p w14:paraId="46F7AC6E">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206E0F5B">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7、如中标，按招标文件规定的招标代理服务费标准，在领取中标通知书时向招标代理机构支付招标代理服务费。</w:t>
      </w:r>
    </w:p>
    <w:p w14:paraId="6CF19BAE">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8、我方愿意向贵方提供任何与该项投标有关的数据、情况和服务资料。若贵方需要，我方愿意提供我方作出的一切承诺的证明材料。</w:t>
      </w:r>
    </w:p>
    <w:p w14:paraId="3EA3939A">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648BFAF0">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F350B74">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(1)提供虚假材料谋取中标、成交的；</w:t>
      </w:r>
    </w:p>
    <w:p w14:paraId="26ADD306">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(2)采取不正当手段诋毁、排挤其他供应商的；</w:t>
      </w:r>
    </w:p>
    <w:p w14:paraId="195D0F13">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(3)与招标人、其它供应商或者招标代理机构恶意串通的；</w:t>
      </w:r>
    </w:p>
    <w:p w14:paraId="3CC19731">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(4)向招标人、招标代理机构行贿或者提供其他不正当利益的；</w:t>
      </w:r>
    </w:p>
    <w:p w14:paraId="0192CC17">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(5)在招标采购过程中与招标人进行协商谈判的；</w:t>
      </w:r>
    </w:p>
    <w:p w14:paraId="0D54E513">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(6)拒绝有关部门监督检查或提供虚假情况的。</w:t>
      </w:r>
    </w:p>
    <w:p w14:paraId="2387D7F1">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供应商有前款第(1)至(</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)项情形之一的，中标、成交无效。</w:t>
      </w:r>
    </w:p>
    <w:p w14:paraId="167690F8">
      <w:pPr>
        <w:shd w:val="clear" w:color="auto" w:fill="FFFFFF"/>
        <w:snapToGrid w:val="0"/>
        <w:spacing w:line="360" w:lineRule="auto"/>
        <w:rPr>
          <w:rFonts w:ascii="宋体" w:hAnsi="宋体" w:cs="宋体"/>
          <w:color w:val="auto"/>
          <w:kern w:val="0"/>
          <w:sz w:val="22"/>
          <w:szCs w:val="22"/>
          <w:highlight w:val="none"/>
          <w:lang w:val="zh-CN"/>
        </w:rPr>
      </w:pPr>
    </w:p>
    <w:p w14:paraId="4E6908E5">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法定（授权）代表人（签字）：</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rPr>
        <w:tab/>
      </w:r>
    </w:p>
    <w:p w14:paraId="2D6FF5F8">
      <w:pPr>
        <w:shd w:val="clear" w:color="auto" w:fill="FFFFFF"/>
        <w:snapToGrid w:val="0"/>
        <w:spacing w:line="360" w:lineRule="auto"/>
        <w:ind w:firstLine="440" w:firstLineChars="200"/>
        <w:rPr>
          <w:rFonts w:ascii="宋体" w:hAnsi="宋体" w:cs="宋体"/>
          <w:color w:val="auto"/>
          <w:kern w:val="0"/>
          <w:sz w:val="22"/>
          <w:szCs w:val="22"/>
          <w:highlight w:val="none"/>
          <w:u w:val="single"/>
          <w:lang w:val="zh-CN"/>
        </w:rPr>
      </w:pPr>
      <w:r>
        <w:rPr>
          <w:rFonts w:hint="eastAsia" w:ascii="宋体" w:hAnsi="宋体" w:cs="宋体"/>
          <w:color w:val="auto"/>
          <w:kern w:val="0"/>
          <w:sz w:val="22"/>
          <w:szCs w:val="22"/>
          <w:highlight w:val="none"/>
          <w:lang w:val="zh-CN"/>
        </w:rPr>
        <w:t>投标人盖 章：</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rPr>
        <w:tab/>
      </w:r>
      <w:r>
        <w:rPr>
          <w:rFonts w:hint="eastAsia" w:ascii="宋体" w:hAnsi="宋体" w:cs="宋体"/>
          <w:color w:val="auto"/>
          <w:kern w:val="0"/>
          <w:sz w:val="22"/>
          <w:szCs w:val="22"/>
          <w:highlight w:val="none"/>
          <w:u w:val="single"/>
          <w:lang w:val="zh-CN"/>
        </w:rPr>
        <w:t xml:space="preserve">                      </w:t>
      </w:r>
    </w:p>
    <w:p w14:paraId="5B9C0E8F">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 xml:space="preserve">联系电话： </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 xml:space="preserve">传真：  </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 xml:space="preserve">电子邮件：  </w:t>
      </w:r>
      <w:r>
        <w:rPr>
          <w:rFonts w:hint="eastAsia" w:ascii="宋体" w:hAnsi="宋体" w:cs="宋体"/>
          <w:color w:val="auto"/>
          <w:kern w:val="0"/>
          <w:sz w:val="22"/>
          <w:szCs w:val="22"/>
          <w:highlight w:val="none"/>
          <w:u w:val="single"/>
          <w:lang w:val="zh-CN"/>
        </w:rPr>
        <w:t xml:space="preserve">              </w:t>
      </w:r>
    </w:p>
    <w:p w14:paraId="14834512">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联系地址：</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rPr>
        <w:tab/>
      </w:r>
      <w:r>
        <w:rPr>
          <w:rFonts w:hint="eastAsia" w:ascii="宋体" w:hAnsi="宋体" w:cs="宋体"/>
          <w:color w:val="auto"/>
          <w:kern w:val="0"/>
          <w:sz w:val="22"/>
          <w:szCs w:val="22"/>
          <w:highlight w:val="none"/>
          <w:u w:val="single"/>
          <w:lang w:val="zh-CN"/>
        </w:rPr>
        <w:t xml:space="preserve">                                                    </w:t>
      </w:r>
    </w:p>
    <w:p w14:paraId="37A68410">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邮政编码：</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传真号码：</w:t>
      </w:r>
      <w:r>
        <w:rPr>
          <w:rFonts w:hint="eastAsia" w:ascii="宋体" w:hAnsi="宋体" w:cs="宋体"/>
          <w:color w:val="auto"/>
          <w:kern w:val="0"/>
          <w:sz w:val="22"/>
          <w:szCs w:val="22"/>
          <w:highlight w:val="none"/>
          <w:u w:val="single"/>
          <w:lang w:val="zh-CN"/>
        </w:rPr>
        <w:t xml:space="preserve">                     </w:t>
      </w:r>
    </w:p>
    <w:p w14:paraId="39014B39">
      <w:pPr>
        <w:shd w:val="clear" w:color="auto" w:fill="FFFFFF"/>
        <w:snapToGrid w:val="0"/>
        <w:spacing w:line="360" w:lineRule="auto"/>
        <w:ind w:firstLine="440" w:firstLineChars="20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lang w:val="zh-CN"/>
        </w:rPr>
        <w:t>日</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zh-CN"/>
        </w:rPr>
        <w:t>期</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lang w:val="zh-CN"/>
        </w:rPr>
        <w:t>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rPr>
        <w:tab/>
      </w:r>
      <w:r>
        <w:rPr>
          <w:rFonts w:hint="eastAsia" w:ascii="宋体" w:hAnsi="宋体" w:cs="宋体"/>
          <w:color w:val="auto"/>
          <w:kern w:val="0"/>
          <w:sz w:val="22"/>
          <w:szCs w:val="22"/>
          <w:highlight w:val="none"/>
          <w:lang w:val="zh-CN"/>
        </w:rPr>
        <w:t>月</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日</w:t>
      </w:r>
    </w:p>
    <w:p w14:paraId="34806538">
      <w:pPr>
        <w:shd w:val="clear" w:color="auto" w:fill="FFFFFF"/>
        <w:snapToGrid w:val="0"/>
        <w:spacing w:line="360" w:lineRule="auto"/>
        <w:ind w:firstLine="442" w:firstLineChars="200"/>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val="zh-CN"/>
        </w:rPr>
        <w:t>注：未按照本投标响应函要求填报的将被视为非实质性响应，从而可能导致该投标文件被拒绝。</w:t>
      </w:r>
    </w:p>
    <w:p w14:paraId="4887C004">
      <w:pPr>
        <w:pStyle w:val="11"/>
        <w:ind w:left="442" w:hanging="442"/>
        <w:rPr>
          <w:rFonts w:ascii="宋体" w:hAnsi="宋体" w:cs="宋体"/>
          <w:b/>
          <w:bCs/>
          <w:color w:val="auto"/>
          <w:sz w:val="22"/>
          <w:szCs w:val="22"/>
          <w:highlight w:val="none"/>
        </w:rPr>
      </w:pPr>
    </w:p>
    <w:p w14:paraId="33DD8F32">
      <w:pPr>
        <w:pStyle w:val="11"/>
        <w:ind w:left="442" w:hanging="442"/>
        <w:rPr>
          <w:rFonts w:ascii="宋体" w:hAnsi="宋体" w:cs="宋体"/>
          <w:b/>
          <w:bCs/>
          <w:color w:val="auto"/>
          <w:sz w:val="22"/>
          <w:szCs w:val="22"/>
          <w:highlight w:val="none"/>
        </w:rPr>
      </w:pPr>
    </w:p>
    <w:p w14:paraId="659823A7">
      <w:pPr>
        <w:pStyle w:val="11"/>
        <w:ind w:left="442" w:hanging="442"/>
        <w:rPr>
          <w:rFonts w:ascii="宋体" w:hAnsi="宋体" w:cs="宋体"/>
          <w:b/>
          <w:bCs/>
          <w:color w:val="auto"/>
          <w:sz w:val="22"/>
          <w:szCs w:val="22"/>
          <w:highlight w:val="none"/>
        </w:rPr>
      </w:pPr>
    </w:p>
    <w:p w14:paraId="000CD0CD">
      <w:pPr>
        <w:pStyle w:val="11"/>
        <w:ind w:left="442" w:hanging="442"/>
        <w:rPr>
          <w:rFonts w:ascii="宋体" w:hAnsi="宋体" w:cs="宋体"/>
          <w:b/>
          <w:bCs/>
          <w:color w:val="auto"/>
          <w:sz w:val="22"/>
          <w:szCs w:val="22"/>
          <w:highlight w:val="none"/>
        </w:rPr>
      </w:pPr>
    </w:p>
    <w:p w14:paraId="73C0C639">
      <w:pPr>
        <w:pStyle w:val="11"/>
        <w:ind w:left="442" w:hanging="442"/>
        <w:rPr>
          <w:rFonts w:ascii="宋体" w:hAnsi="宋体" w:cs="宋体"/>
          <w:b/>
          <w:bCs/>
          <w:color w:val="auto"/>
          <w:sz w:val="22"/>
          <w:szCs w:val="22"/>
          <w:highlight w:val="none"/>
        </w:rPr>
      </w:pPr>
    </w:p>
    <w:p w14:paraId="4F0BD4A3">
      <w:pPr>
        <w:pStyle w:val="11"/>
        <w:ind w:left="442" w:hanging="442"/>
        <w:rPr>
          <w:rFonts w:ascii="宋体" w:hAnsi="宋体" w:cs="宋体"/>
          <w:b/>
          <w:bCs/>
          <w:color w:val="auto"/>
          <w:sz w:val="22"/>
          <w:szCs w:val="22"/>
          <w:highlight w:val="none"/>
        </w:rPr>
      </w:pPr>
    </w:p>
    <w:p w14:paraId="22FA4F16">
      <w:pPr>
        <w:pStyle w:val="11"/>
        <w:ind w:left="442" w:hanging="442"/>
        <w:rPr>
          <w:rFonts w:ascii="宋体" w:hAnsi="宋体" w:cs="宋体"/>
          <w:b/>
          <w:bCs/>
          <w:color w:val="auto"/>
          <w:sz w:val="22"/>
          <w:szCs w:val="22"/>
          <w:highlight w:val="none"/>
        </w:rPr>
      </w:pPr>
    </w:p>
    <w:p w14:paraId="5EDD8851">
      <w:pPr>
        <w:pStyle w:val="11"/>
        <w:ind w:left="442" w:hanging="442"/>
        <w:rPr>
          <w:rFonts w:ascii="宋体" w:hAnsi="宋体" w:cs="宋体"/>
          <w:b/>
          <w:bCs/>
          <w:color w:val="auto"/>
          <w:sz w:val="22"/>
          <w:szCs w:val="22"/>
          <w:highlight w:val="none"/>
        </w:rPr>
      </w:pPr>
    </w:p>
    <w:p w14:paraId="5018C9F3">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 xml:space="preserve">  </w:t>
      </w:r>
    </w:p>
    <w:p w14:paraId="21ED437A">
      <w:pPr>
        <w:pStyle w:val="11"/>
        <w:ind w:left="0" w:firstLine="0" w:firstLineChars="0"/>
        <w:rPr>
          <w:rFonts w:ascii="宋体" w:hAnsi="宋体" w:cs="宋体"/>
          <w:b/>
          <w:bCs/>
          <w:color w:val="auto"/>
          <w:sz w:val="22"/>
          <w:szCs w:val="22"/>
          <w:highlight w:val="none"/>
        </w:rPr>
      </w:pPr>
    </w:p>
    <w:p w14:paraId="2219A433">
      <w:pPr>
        <w:pStyle w:val="11"/>
        <w:ind w:left="0" w:firstLine="0" w:firstLineChars="0"/>
        <w:rPr>
          <w:rFonts w:ascii="宋体" w:hAnsi="宋体" w:cs="宋体"/>
          <w:b/>
          <w:bCs/>
          <w:color w:val="auto"/>
          <w:sz w:val="22"/>
          <w:szCs w:val="22"/>
          <w:highlight w:val="none"/>
        </w:rPr>
      </w:pPr>
    </w:p>
    <w:p w14:paraId="3DBFD3EA">
      <w:pPr>
        <w:rPr>
          <w:rFonts w:ascii="宋体" w:hAnsi="宋体" w:cs="宋体"/>
          <w:b/>
          <w:color w:val="auto"/>
          <w:sz w:val="22"/>
          <w:szCs w:val="22"/>
          <w:highlight w:val="none"/>
        </w:rPr>
      </w:pPr>
      <w:r>
        <w:rPr>
          <w:rFonts w:hint="eastAsia" w:ascii="宋体" w:hAnsi="宋体" w:cs="宋体"/>
          <w:b/>
          <w:color w:val="auto"/>
          <w:sz w:val="22"/>
          <w:szCs w:val="22"/>
          <w:highlight w:val="none"/>
        </w:rPr>
        <w:br w:type="page"/>
      </w:r>
    </w:p>
    <w:p w14:paraId="5959C12E">
      <w:pPr>
        <w:spacing w:line="400" w:lineRule="exact"/>
        <w:jc w:val="center"/>
        <w:outlineLvl w:val="3"/>
        <w:rPr>
          <w:rFonts w:ascii="宋体" w:hAnsi="宋体" w:cs="宋体"/>
          <w:b/>
          <w:color w:val="auto"/>
          <w:sz w:val="22"/>
          <w:szCs w:val="22"/>
          <w:highlight w:val="none"/>
          <w:lang w:val="zh-CN"/>
        </w:rPr>
      </w:pPr>
      <w:r>
        <w:rPr>
          <w:rFonts w:hint="eastAsia" w:ascii="宋体" w:hAnsi="宋体" w:cs="宋体"/>
          <w:b/>
          <w:color w:val="auto"/>
          <w:sz w:val="22"/>
          <w:szCs w:val="22"/>
          <w:highlight w:val="none"/>
        </w:rPr>
        <w:t>2、</w:t>
      </w:r>
      <w:r>
        <w:rPr>
          <w:rFonts w:hint="eastAsia" w:ascii="宋体" w:hAnsi="宋体" w:cs="宋体"/>
          <w:b/>
          <w:color w:val="auto"/>
          <w:sz w:val="22"/>
          <w:szCs w:val="22"/>
          <w:highlight w:val="none"/>
          <w:lang w:val="zh-CN"/>
        </w:rPr>
        <w:t>投标报价一览表</w:t>
      </w:r>
    </w:p>
    <w:p w14:paraId="4ADB9CA4">
      <w:pPr>
        <w:spacing w:line="380" w:lineRule="exact"/>
        <w:rPr>
          <w:rFonts w:ascii="宋体" w:hAnsi="宋体" w:cs="宋体"/>
          <w:b/>
          <w:color w:val="auto"/>
          <w:sz w:val="22"/>
          <w:highlight w:val="none"/>
        </w:rPr>
      </w:pPr>
      <w:r>
        <w:rPr>
          <w:rFonts w:hint="eastAsia" w:ascii="宋体" w:hAnsi="宋体" w:cs="宋体"/>
          <w:b/>
          <w:bCs/>
          <w:color w:val="auto"/>
          <w:sz w:val="22"/>
          <w:szCs w:val="22"/>
          <w:highlight w:val="none"/>
        </w:rPr>
        <w:t>项目名称：                                         项目编号：</w:t>
      </w:r>
    </w:p>
    <w:tbl>
      <w:tblPr>
        <w:tblStyle w:val="24"/>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033"/>
        <w:gridCol w:w="4245"/>
        <w:gridCol w:w="1604"/>
        <w:gridCol w:w="738"/>
      </w:tblGrid>
      <w:tr w14:paraId="5A1B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877" w:type="dxa"/>
            <w:vAlign w:val="center"/>
          </w:tcPr>
          <w:p w14:paraId="5DBC064C">
            <w:pPr>
              <w:jc w:val="center"/>
              <w:rPr>
                <w:rFonts w:ascii="新宋体" w:hAnsi="新宋体" w:eastAsia="新宋体"/>
                <w:b/>
                <w:color w:val="auto"/>
                <w:sz w:val="24"/>
                <w:highlight w:val="none"/>
              </w:rPr>
            </w:pPr>
            <w:r>
              <w:rPr>
                <w:rFonts w:hint="eastAsia" w:ascii="新宋体" w:hAnsi="新宋体" w:eastAsia="新宋体"/>
                <w:b/>
                <w:color w:val="auto"/>
                <w:sz w:val="24"/>
                <w:highlight w:val="none"/>
              </w:rPr>
              <w:t>序号</w:t>
            </w:r>
          </w:p>
        </w:tc>
        <w:tc>
          <w:tcPr>
            <w:tcW w:w="2033" w:type="dxa"/>
            <w:vAlign w:val="center"/>
          </w:tcPr>
          <w:p w14:paraId="3ED016A7">
            <w:pPr>
              <w:jc w:val="center"/>
              <w:rPr>
                <w:rFonts w:ascii="新宋体" w:hAnsi="新宋体" w:eastAsia="新宋体"/>
                <w:b/>
                <w:color w:val="auto"/>
                <w:sz w:val="24"/>
                <w:highlight w:val="none"/>
              </w:rPr>
            </w:pPr>
            <w:r>
              <w:rPr>
                <w:rFonts w:hint="eastAsia" w:ascii="新宋体" w:hAnsi="新宋体" w:eastAsia="新宋体"/>
                <w:b/>
                <w:color w:val="auto"/>
                <w:sz w:val="24"/>
                <w:highlight w:val="none"/>
              </w:rPr>
              <w:t>项目名称</w:t>
            </w:r>
          </w:p>
        </w:tc>
        <w:tc>
          <w:tcPr>
            <w:tcW w:w="4245" w:type="dxa"/>
            <w:vAlign w:val="center"/>
          </w:tcPr>
          <w:p w14:paraId="6923CE09">
            <w:pPr>
              <w:jc w:val="center"/>
              <w:rPr>
                <w:rFonts w:ascii="新宋体" w:hAnsi="新宋体" w:eastAsia="新宋体"/>
                <w:b/>
                <w:color w:val="auto"/>
                <w:sz w:val="24"/>
                <w:highlight w:val="none"/>
              </w:rPr>
            </w:pPr>
            <w:r>
              <w:rPr>
                <w:rFonts w:hint="eastAsia" w:ascii="新宋体" w:hAnsi="新宋体" w:eastAsia="新宋体"/>
                <w:b/>
                <w:color w:val="auto"/>
                <w:sz w:val="24"/>
                <w:highlight w:val="none"/>
              </w:rPr>
              <w:t>服务费用报价（元/天/人（台））</w:t>
            </w:r>
          </w:p>
        </w:tc>
        <w:tc>
          <w:tcPr>
            <w:tcW w:w="1604" w:type="dxa"/>
            <w:vAlign w:val="center"/>
          </w:tcPr>
          <w:p w14:paraId="7A705AD1">
            <w:pPr>
              <w:jc w:val="center"/>
              <w:rPr>
                <w:rFonts w:ascii="新宋体" w:hAnsi="新宋体" w:eastAsia="新宋体"/>
                <w:b/>
                <w:color w:val="auto"/>
                <w:sz w:val="24"/>
                <w:highlight w:val="none"/>
              </w:rPr>
            </w:pPr>
            <w:r>
              <w:rPr>
                <w:rFonts w:hint="eastAsia" w:ascii="新宋体" w:hAnsi="新宋体" w:eastAsia="新宋体"/>
                <w:b/>
                <w:color w:val="auto"/>
                <w:sz w:val="24"/>
                <w:highlight w:val="none"/>
              </w:rPr>
              <w:t>服务承包期</w:t>
            </w:r>
          </w:p>
        </w:tc>
        <w:tc>
          <w:tcPr>
            <w:tcW w:w="738" w:type="dxa"/>
            <w:vAlign w:val="center"/>
          </w:tcPr>
          <w:p w14:paraId="581ED7D5">
            <w:pPr>
              <w:jc w:val="center"/>
              <w:rPr>
                <w:rFonts w:ascii="新宋体" w:hAnsi="新宋体" w:eastAsia="新宋体"/>
                <w:b/>
                <w:color w:val="auto"/>
                <w:sz w:val="24"/>
                <w:highlight w:val="none"/>
              </w:rPr>
            </w:pPr>
            <w:r>
              <w:rPr>
                <w:rFonts w:hint="eastAsia" w:ascii="新宋体" w:hAnsi="新宋体" w:eastAsia="新宋体"/>
                <w:b/>
                <w:color w:val="auto"/>
                <w:sz w:val="24"/>
                <w:highlight w:val="none"/>
              </w:rPr>
              <w:t>备注</w:t>
            </w:r>
          </w:p>
        </w:tc>
      </w:tr>
      <w:tr w14:paraId="10FF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exact"/>
        </w:trPr>
        <w:tc>
          <w:tcPr>
            <w:tcW w:w="877" w:type="dxa"/>
            <w:vAlign w:val="center"/>
          </w:tcPr>
          <w:p w14:paraId="2D033780">
            <w:pPr>
              <w:jc w:val="center"/>
              <w:rPr>
                <w:rFonts w:ascii="新宋体" w:hAnsi="新宋体" w:eastAsia="新宋体"/>
                <w:b/>
                <w:color w:val="auto"/>
                <w:sz w:val="24"/>
                <w:highlight w:val="none"/>
              </w:rPr>
            </w:pPr>
            <w:r>
              <w:rPr>
                <w:rFonts w:hint="eastAsia" w:ascii="新宋体" w:hAnsi="新宋体" w:eastAsia="新宋体"/>
                <w:b/>
                <w:color w:val="auto"/>
                <w:sz w:val="24"/>
                <w:highlight w:val="none"/>
              </w:rPr>
              <w:t>1</w:t>
            </w:r>
          </w:p>
        </w:tc>
        <w:tc>
          <w:tcPr>
            <w:tcW w:w="2033" w:type="dxa"/>
            <w:vAlign w:val="center"/>
          </w:tcPr>
          <w:p w14:paraId="7C94CCD6">
            <w:pPr>
              <w:jc w:val="center"/>
              <w:rPr>
                <w:rFonts w:ascii="新宋体" w:hAnsi="新宋体" w:eastAsia="新宋体"/>
                <w:b/>
                <w:color w:val="auto"/>
                <w:sz w:val="24"/>
                <w:highlight w:val="none"/>
              </w:rPr>
            </w:pPr>
          </w:p>
        </w:tc>
        <w:tc>
          <w:tcPr>
            <w:tcW w:w="4245" w:type="dxa"/>
            <w:vAlign w:val="center"/>
          </w:tcPr>
          <w:p w14:paraId="76CC399F">
            <w:pPr>
              <w:rPr>
                <w:b/>
                <w:bCs/>
                <w:color w:val="auto"/>
                <w:highlight w:val="none"/>
              </w:rPr>
            </w:pPr>
            <w:r>
              <w:rPr>
                <w:rFonts w:hint="eastAsia"/>
                <w:b/>
                <w:bCs/>
                <w:color w:val="auto"/>
                <w:highlight w:val="none"/>
              </w:rPr>
              <w:t>大写：</w:t>
            </w:r>
          </w:p>
          <w:p w14:paraId="6BD522BC">
            <w:pPr>
              <w:pStyle w:val="10"/>
              <w:rPr>
                <w:color w:val="auto"/>
                <w:highlight w:val="none"/>
              </w:rPr>
            </w:pPr>
            <w:r>
              <w:rPr>
                <w:rFonts w:hint="eastAsia"/>
                <w:b/>
                <w:bCs/>
                <w:color w:val="auto"/>
                <w:highlight w:val="none"/>
              </w:rPr>
              <w:t>小写：</w:t>
            </w:r>
          </w:p>
        </w:tc>
        <w:tc>
          <w:tcPr>
            <w:tcW w:w="1604" w:type="dxa"/>
            <w:vAlign w:val="center"/>
          </w:tcPr>
          <w:p w14:paraId="5B84046F">
            <w:pPr>
              <w:jc w:val="center"/>
              <w:rPr>
                <w:rFonts w:ascii="新宋体" w:hAnsi="新宋体" w:eastAsia="新宋体"/>
                <w:color w:val="auto"/>
                <w:sz w:val="24"/>
                <w:highlight w:val="none"/>
              </w:rPr>
            </w:pPr>
            <w:r>
              <w:rPr>
                <w:rFonts w:hint="eastAsia" w:ascii="新宋体" w:hAnsi="新宋体" w:eastAsia="新宋体"/>
                <w:color w:val="auto"/>
                <w:sz w:val="24"/>
                <w:highlight w:val="none"/>
              </w:rPr>
              <w:t>1年</w:t>
            </w:r>
          </w:p>
        </w:tc>
        <w:tc>
          <w:tcPr>
            <w:tcW w:w="738" w:type="dxa"/>
            <w:vAlign w:val="center"/>
          </w:tcPr>
          <w:p w14:paraId="078E3E35">
            <w:pPr>
              <w:jc w:val="center"/>
              <w:rPr>
                <w:rFonts w:ascii="新宋体" w:hAnsi="新宋体" w:eastAsia="新宋体"/>
                <w:color w:val="auto"/>
                <w:sz w:val="24"/>
                <w:highlight w:val="none"/>
              </w:rPr>
            </w:pPr>
          </w:p>
        </w:tc>
      </w:tr>
    </w:tbl>
    <w:p w14:paraId="17E762B4">
      <w:pPr>
        <w:spacing w:line="400" w:lineRule="exact"/>
        <w:ind w:firstLine="541" w:firstLineChars="245"/>
        <w:rPr>
          <w:rFonts w:ascii="宋体" w:hAnsi="宋体" w:cs="宋体"/>
          <w:b/>
          <w:color w:val="auto"/>
          <w:sz w:val="22"/>
          <w:highlight w:val="none"/>
        </w:rPr>
      </w:pPr>
      <w:r>
        <w:rPr>
          <w:rFonts w:hint="eastAsia" w:ascii="宋体" w:hAnsi="宋体" w:cs="宋体"/>
          <w:b/>
          <w:color w:val="auto"/>
          <w:sz w:val="22"/>
          <w:highlight w:val="none"/>
        </w:rPr>
        <w:t>说明：</w:t>
      </w:r>
    </w:p>
    <w:p w14:paraId="000D3958">
      <w:pPr>
        <w:pStyle w:val="31"/>
        <w:numPr>
          <w:ilvl w:val="0"/>
          <w:numId w:val="2"/>
        </w:numPr>
        <w:spacing w:line="450" w:lineRule="exact"/>
        <w:ind w:firstLineChars="0"/>
        <w:rPr>
          <w:rFonts w:ascii="宋体" w:hAnsi="宋体" w:cs="宋体"/>
          <w:b/>
          <w:color w:val="auto"/>
          <w:sz w:val="22"/>
          <w:highlight w:val="none"/>
        </w:rPr>
      </w:pPr>
      <w:r>
        <w:rPr>
          <w:rFonts w:hint="eastAsia" w:ascii="宋体" w:hAnsi="宋体" w:cs="宋体"/>
          <w:b/>
          <w:bCs/>
          <w:color w:val="auto"/>
          <w:sz w:val="22"/>
          <w:highlight w:val="none"/>
          <w:u w:val="single"/>
        </w:rPr>
        <w:t>服务费用最高限价为26元/天/人（台），</w:t>
      </w:r>
      <w:r>
        <w:rPr>
          <w:rFonts w:hint="eastAsia" w:ascii="宋体" w:hAnsi="宋体" w:cs="宋体"/>
          <w:b/>
          <w:color w:val="auto"/>
          <w:sz w:val="22"/>
          <w:highlight w:val="none"/>
        </w:rPr>
        <w:t>如投标人报价超过限价按无效标处理</w:t>
      </w:r>
      <w:r>
        <w:rPr>
          <w:rFonts w:hint="eastAsia" w:ascii="宋体" w:hAnsi="宋体" w:cs="宋体"/>
          <w:b/>
          <w:color w:val="auto"/>
          <w:sz w:val="22"/>
          <w:highlight w:val="none"/>
          <w:lang w:eastAsia="zh-CN"/>
        </w:rPr>
        <w:t>。</w:t>
      </w:r>
    </w:p>
    <w:p w14:paraId="5E8550E3">
      <w:pPr>
        <w:spacing w:line="450" w:lineRule="exact"/>
        <w:ind w:firstLine="552" w:firstLineChars="250"/>
        <w:rPr>
          <w:rFonts w:hint="eastAsia" w:ascii="宋体" w:hAnsi="宋体" w:eastAsia="宋体" w:cs="宋体"/>
          <w:b/>
          <w:color w:val="auto"/>
          <w:sz w:val="22"/>
          <w:highlight w:val="none"/>
          <w:lang w:eastAsia="zh-CN"/>
        </w:rPr>
      </w:pPr>
      <w:r>
        <w:rPr>
          <w:rFonts w:hint="eastAsia" w:ascii="宋体" w:hAnsi="宋体" w:cs="宋体"/>
          <w:b/>
          <w:color w:val="auto"/>
          <w:sz w:val="22"/>
          <w:highlight w:val="none"/>
        </w:rPr>
        <w:t>2、不提供此表格将被视为没有实质性响应招标文件</w:t>
      </w:r>
      <w:r>
        <w:rPr>
          <w:rFonts w:hint="eastAsia" w:ascii="宋体" w:hAnsi="宋体" w:cs="宋体"/>
          <w:b/>
          <w:color w:val="auto"/>
          <w:sz w:val="22"/>
          <w:highlight w:val="none"/>
          <w:lang w:eastAsia="zh-CN"/>
        </w:rPr>
        <w:t>。</w:t>
      </w:r>
    </w:p>
    <w:p w14:paraId="2006B2D6">
      <w:pPr>
        <w:spacing w:line="400" w:lineRule="exact"/>
        <w:jc w:val="center"/>
        <w:rPr>
          <w:rFonts w:ascii="宋体" w:hAnsi="宋体" w:cs="宋体"/>
          <w:color w:val="auto"/>
          <w:sz w:val="22"/>
          <w:szCs w:val="22"/>
          <w:highlight w:val="none"/>
        </w:rPr>
      </w:pPr>
    </w:p>
    <w:p w14:paraId="1C3D7912">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3D7615C3">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14:paraId="7297B1C1">
      <w:pPr>
        <w:spacing w:line="38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 xml:space="preserve">                                日    期：</w:t>
      </w:r>
    </w:p>
    <w:p w14:paraId="0A8BBCAF">
      <w:pPr>
        <w:rPr>
          <w:rFonts w:ascii="宋体" w:hAnsi="宋体" w:cs="宋体"/>
          <w:b/>
          <w:bCs/>
          <w:color w:val="auto"/>
          <w:sz w:val="28"/>
          <w:szCs w:val="28"/>
          <w:highlight w:val="none"/>
        </w:rPr>
      </w:pPr>
    </w:p>
    <w:p w14:paraId="08E3D7BA">
      <w:pPr>
        <w:spacing w:line="460"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9352752">
      <w:pPr>
        <w:spacing w:line="400" w:lineRule="exact"/>
        <w:jc w:val="left"/>
        <w:outlineLvl w:val="3"/>
        <w:rPr>
          <w:rFonts w:ascii="宋体" w:hAnsi="宋体" w:cs="宋体"/>
          <w:b/>
          <w:color w:val="auto"/>
          <w:sz w:val="22"/>
          <w:szCs w:val="22"/>
          <w:highlight w:val="none"/>
          <w:lang w:val="zh-CN"/>
        </w:rPr>
      </w:pPr>
      <w:r>
        <w:rPr>
          <w:rFonts w:hint="eastAsia" w:ascii="宋体" w:hAnsi="宋体" w:cs="宋体"/>
          <w:b/>
          <w:color w:val="auto"/>
          <w:sz w:val="22"/>
          <w:szCs w:val="22"/>
          <w:highlight w:val="none"/>
        </w:rPr>
        <w:t>3</w:t>
      </w:r>
      <w:r>
        <w:rPr>
          <w:rFonts w:hint="eastAsia" w:ascii="宋体" w:hAnsi="宋体" w:cs="宋体"/>
          <w:b/>
          <w:color w:val="auto"/>
          <w:sz w:val="22"/>
          <w:szCs w:val="22"/>
          <w:highlight w:val="none"/>
          <w:lang w:val="zh-CN"/>
        </w:rPr>
        <w:t>、监狱企业的相关证明材料</w:t>
      </w:r>
    </w:p>
    <w:p w14:paraId="1433B63D">
      <w:pPr>
        <w:spacing w:line="460" w:lineRule="exact"/>
        <w:ind w:firstLine="571" w:firstLineChars="245"/>
        <w:rPr>
          <w:rFonts w:ascii="宋体" w:hAnsi="宋体" w:cs="宋体"/>
          <w:b/>
          <w:bCs/>
          <w:color w:val="auto"/>
          <w:sz w:val="22"/>
          <w:szCs w:val="22"/>
          <w:highlight w:val="none"/>
          <w:u w:val="single"/>
          <w:lang w:val="zh-CN"/>
        </w:rPr>
      </w:pPr>
      <w:r>
        <w:rPr>
          <w:rFonts w:hint="eastAsia" w:ascii="宋体" w:hAnsi="宋体" w:cs="宋体"/>
          <w:b/>
          <w:color w:val="auto"/>
          <w:spacing w:val="6"/>
          <w:sz w:val="22"/>
          <w:szCs w:val="22"/>
          <w:highlight w:val="none"/>
        </w:rPr>
        <w:t>需提供相关证明材料，</w:t>
      </w:r>
      <w:r>
        <w:rPr>
          <w:rFonts w:hint="eastAsia" w:ascii="宋体" w:hAnsi="宋体" w:cs="宋体"/>
          <w:b/>
          <w:bCs/>
          <w:color w:val="auto"/>
          <w:sz w:val="22"/>
          <w:szCs w:val="22"/>
          <w:highlight w:val="none"/>
          <w:u w:val="single"/>
          <w:lang w:val="zh-CN"/>
        </w:rPr>
        <w:t>未提供证明材料或不能清楚辨析</w:t>
      </w:r>
      <w:r>
        <w:rPr>
          <w:rFonts w:hint="eastAsia" w:ascii="宋体" w:hAnsi="宋体" w:cs="宋体"/>
          <w:b/>
          <w:bCs/>
          <w:color w:val="auto"/>
          <w:sz w:val="22"/>
          <w:szCs w:val="22"/>
          <w:highlight w:val="none"/>
          <w:u w:val="single"/>
        </w:rPr>
        <w:t>是监狱企业的按非监狱企业处理，所提供的证明材料应为最新的最近的</w:t>
      </w:r>
      <w:r>
        <w:rPr>
          <w:rFonts w:hint="eastAsia" w:ascii="宋体" w:hAnsi="宋体" w:cs="宋体"/>
          <w:b/>
          <w:bCs/>
          <w:color w:val="auto"/>
          <w:sz w:val="22"/>
          <w:szCs w:val="22"/>
          <w:highlight w:val="none"/>
          <w:u w:val="single"/>
          <w:lang w:val="zh-CN"/>
        </w:rPr>
        <w:t>。</w:t>
      </w:r>
    </w:p>
    <w:p w14:paraId="563B84E1">
      <w:pPr>
        <w:adjustRightInd w:val="0"/>
        <w:snapToGrid w:val="0"/>
        <w:spacing w:line="300" w:lineRule="auto"/>
        <w:jc w:val="center"/>
        <w:rPr>
          <w:rFonts w:ascii="宋体" w:hAnsi="宋体" w:cs="宋体"/>
          <w:b/>
          <w:color w:val="auto"/>
          <w:spacing w:val="6"/>
          <w:sz w:val="22"/>
          <w:szCs w:val="22"/>
          <w:highlight w:val="none"/>
        </w:rPr>
      </w:pPr>
    </w:p>
    <w:p w14:paraId="68A63A49">
      <w:pPr>
        <w:adjustRightInd w:val="0"/>
        <w:snapToGrid w:val="0"/>
        <w:spacing w:line="300" w:lineRule="auto"/>
        <w:jc w:val="center"/>
        <w:rPr>
          <w:rFonts w:ascii="宋体" w:hAnsi="宋体" w:cs="宋体"/>
          <w:b/>
          <w:color w:val="auto"/>
          <w:spacing w:val="6"/>
          <w:sz w:val="22"/>
          <w:szCs w:val="22"/>
          <w:highlight w:val="none"/>
        </w:rPr>
      </w:pPr>
    </w:p>
    <w:p w14:paraId="1EE9E2A3">
      <w:pPr>
        <w:adjustRightInd w:val="0"/>
        <w:snapToGrid w:val="0"/>
        <w:spacing w:line="300" w:lineRule="auto"/>
        <w:jc w:val="center"/>
        <w:rPr>
          <w:rFonts w:ascii="宋体" w:hAnsi="宋体" w:cs="宋体"/>
          <w:b/>
          <w:color w:val="auto"/>
          <w:spacing w:val="6"/>
          <w:sz w:val="22"/>
          <w:szCs w:val="22"/>
          <w:highlight w:val="none"/>
        </w:rPr>
      </w:pPr>
    </w:p>
    <w:p w14:paraId="1ED95898">
      <w:pPr>
        <w:adjustRightInd w:val="0"/>
        <w:snapToGrid w:val="0"/>
        <w:spacing w:line="300" w:lineRule="auto"/>
        <w:jc w:val="center"/>
        <w:rPr>
          <w:rFonts w:ascii="宋体" w:hAnsi="宋体" w:cs="宋体"/>
          <w:color w:val="auto"/>
          <w:kern w:val="0"/>
          <w:sz w:val="22"/>
          <w:szCs w:val="22"/>
          <w:highlight w:val="none"/>
        </w:rPr>
      </w:pPr>
      <w:r>
        <w:rPr>
          <w:rFonts w:hint="eastAsia" w:ascii="宋体" w:hAnsi="宋体" w:cs="宋体"/>
          <w:b/>
          <w:color w:val="auto"/>
          <w:spacing w:val="6"/>
          <w:sz w:val="22"/>
          <w:szCs w:val="22"/>
          <w:highlight w:val="none"/>
        </w:rPr>
        <w:t>监狱企业声明函</w:t>
      </w:r>
    </w:p>
    <w:p w14:paraId="1F062E54">
      <w:pPr>
        <w:snapToGrid w:val="0"/>
        <w:spacing w:line="460" w:lineRule="exact"/>
        <w:ind w:firstLine="464" w:firstLineChars="200"/>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【非监狱企业不用提供】</w:t>
      </w:r>
    </w:p>
    <w:p w14:paraId="0B5FB890">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本企业郑重声明，根据《关于政府采购支持监狱企业发展有关问题的通知》（财库[2014]68号）的规定，本企业为监狱企业。 </w:t>
      </w:r>
    </w:p>
    <w:p w14:paraId="55650DBE">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根据上述标准，我企业属于监狱企业的理由为：</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 </w:t>
      </w:r>
    </w:p>
    <w:p w14:paraId="37379287">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本企业为参加（招标项目名称</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）（招标编号</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）采购活动并承担本工程。 </w:t>
      </w:r>
    </w:p>
    <w:p w14:paraId="2BE0ED18">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本企业对上述声明的真实性负责。如有虚假，将依法承担相应责任。  </w:t>
      </w:r>
    </w:p>
    <w:p w14:paraId="44328692">
      <w:pPr>
        <w:adjustRightInd w:val="0"/>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投标人全称（盖章）：</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48D75456">
      <w:pPr>
        <w:adjustRightInd w:val="0"/>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日期：    年    月   日 </w:t>
      </w:r>
    </w:p>
    <w:p w14:paraId="018CB25B">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26C342F3">
      <w:pPr>
        <w:adjustRightInd w:val="0"/>
        <w:snapToGrid w:val="0"/>
        <w:spacing w:line="460" w:lineRule="exact"/>
        <w:ind w:firstLine="464" w:firstLineChars="200"/>
        <w:rPr>
          <w:rFonts w:ascii="宋体" w:hAnsi="宋体" w:cs="宋体"/>
          <w:color w:val="auto"/>
          <w:kern w:val="0"/>
          <w:sz w:val="22"/>
          <w:szCs w:val="22"/>
          <w:highlight w:val="none"/>
        </w:rPr>
      </w:pPr>
      <w:r>
        <w:rPr>
          <w:rFonts w:hint="eastAsia" w:ascii="宋体" w:hAnsi="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B80FA46">
      <w:pPr>
        <w:spacing w:line="460" w:lineRule="exact"/>
        <w:rPr>
          <w:rFonts w:ascii="宋体" w:hAnsi="宋体" w:cs="宋体"/>
          <w:color w:val="auto"/>
          <w:spacing w:val="20"/>
          <w:sz w:val="22"/>
          <w:szCs w:val="22"/>
          <w:highlight w:val="none"/>
        </w:rPr>
      </w:pPr>
    </w:p>
    <w:p w14:paraId="5A5F103C">
      <w:pPr>
        <w:spacing w:line="460" w:lineRule="exact"/>
        <w:rPr>
          <w:rFonts w:ascii="宋体" w:hAnsi="宋体" w:cs="宋体"/>
          <w:color w:val="auto"/>
          <w:spacing w:val="20"/>
          <w:sz w:val="22"/>
          <w:szCs w:val="22"/>
          <w:highlight w:val="none"/>
        </w:rPr>
      </w:pPr>
    </w:p>
    <w:p w14:paraId="039165B1">
      <w:pPr>
        <w:spacing w:line="380" w:lineRule="exact"/>
        <w:rPr>
          <w:rFonts w:ascii="宋体" w:hAnsi="宋体" w:cs="宋体"/>
          <w:color w:val="auto"/>
          <w:sz w:val="22"/>
          <w:szCs w:val="22"/>
          <w:highlight w:val="none"/>
        </w:rPr>
      </w:pPr>
    </w:p>
    <w:p w14:paraId="7E9F0118">
      <w:pPr>
        <w:spacing w:line="380" w:lineRule="exact"/>
        <w:rPr>
          <w:rFonts w:ascii="宋体" w:hAnsi="宋体" w:cs="宋体"/>
          <w:color w:val="auto"/>
          <w:sz w:val="22"/>
          <w:szCs w:val="22"/>
          <w:highlight w:val="none"/>
        </w:rPr>
      </w:pPr>
    </w:p>
    <w:p w14:paraId="087B52E2">
      <w:pPr>
        <w:spacing w:line="380" w:lineRule="exact"/>
        <w:rPr>
          <w:rFonts w:ascii="宋体" w:hAnsi="宋体" w:cs="宋体"/>
          <w:color w:val="auto"/>
          <w:sz w:val="22"/>
          <w:szCs w:val="22"/>
          <w:highlight w:val="none"/>
        </w:rPr>
      </w:pPr>
    </w:p>
    <w:p w14:paraId="1BD3CCE0">
      <w:pPr>
        <w:spacing w:line="380" w:lineRule="exact"/>
        <w:rPr>
          <w:rFonts w:ascii="宋体" w:hAnsi="宋体" w:cs="宋体"/>
          <w:color w:val="auto"/>
          <w:sz w:val="22"/>
          <w:szCs w:val="22"/>
          <w:highlight w:val="none"/>
        </w:rPr>
      </w:pPr>
    </w:p>
    <w:p w14:paraId="4F0D9282">
      <w:pPr>
        <w:spacing w:line="380" w:lineRule="exact"/>
        <w:rPr>
          <w:rFonts w:ascii="宋体" w:hAnsi="宋体" w:cs="宋体"/>
          <w:color w:val="auto"/>
          <w:sz w:val="22"/>
          <w:szCs w:val="22"/>
          <w:highlight w:val="none"/>
        </w:rPr>
      </w:pPr>
    </w:p>
    <w:p w14:paraId="2C1B3D29">
      <w:pPr>
        <w:spacing w:line="380" w:lineRule="exact"/>
        <w:rPr>
          <w:rFonts w:ascii="宋体" w:hAnsi="宋体" w:cs="宋体"/>
          <w:color w:val="auto"/>
          <w:sz w:val="22"/>
          <w:szCs w:val="22"/>
          <w:highlight w:val="none"/>
        </w:rPr>
      </w:pPr>
    </w:p>
    <w:p w14:paraId="263EDB07">
      <w:pPr>
        <w:spacing w:line="380" w:lineRule="exact"/>
        <w:rPr>
          <w:rFonts w:ascii="宋体" w:hAnsi="宋体" w:cs="宋体"/>
          <w:color w:val="auto"/>
          <w:sz w:val="22"/>
          <w:szCs w:val="22"/>
          <w:highlight w:val="none"/>
        </w:rPr>
      </w:pPr>
    </w:p>
    <w:p w14:paraId="0FF741DD">
      <w:pPr>
        <w:spacing w:line="380" w:lineRule="exact"/>
        <w:rPr>
          <w:rFonts w:ascii="宋体" w:hAnsi="宋体" w:cs="宋体"/>
          <w:color w:val="auto"/>
          <w:sz w:val="22"/>
          <w:szCs w:val="22"/>
          <w:highlight w:val="none"/>
        </w:rPr>
      </w:pPr>
    </w:p>
    <w:p w14:paraId="56C7EDCF">
      <w:pPr>
        <w:pStyle w:val="11"/>
        <w:rPr>
          <w:rFonts w:ascii="宋体" w:hAnsi="宋体" w:cs="宋体"/>
          <w:color w:val="auto"/>
          <w:highlight w:val="none"/>
        </w:rPr>
      </w:pPr>
    </w:p>
    <w:p w14:paraId="70113798">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7965DB2B">
      <w:pPr>
        <w:spacing w:line="400" w:lineRule="exact"/>
        <w:jc w:val="left"/>
        <w:outlineLvl w:val="3"/>
        <w:rPr>
          <w:rFonts w:ascii="宋体" w:hAnsi="宋体" w:cs="宋体"/>
          <w:b/>
          <w:color w:val="auto"/>
          <w:sz w:val="22"/>
          <w:szCs w:val="22"/>
          <w:highlight w:val="none"/>
          <w:lang w:val="zh-CN"/>
        </w:rPr>
      </w:pPr>
      <w:r>
        <w:rPr>
          <w:rFonts w:hint="eastAsia" w:ascii="宋体" w:hAnsi="宋体" w:cs="宋体"/>
          <w:b/>
          <w:color w:val="auto"/>
          <w:sz w:val="22"/>
          <w:szCs w:val="22"/>
          <w:highlight w:val="none"/>
        </w:rPr>
        <w:t>4</w:t>
      </w:r>
      <w:r>
        <w:rPr>
          <w:rFonts w:hint="eastAsia" w:ascii="宋体" w:hAnsi="宋体" w:cs="宋体"/>
          <w:b/>
          <w:color w:val="auto"/>
          <w:sz w:val="22"/>
          <w:szCs w:val="22"/>
          <w:highlight w:val="none"/>
          <w:lang w:val="zh-CN"/>
        </w:rPr>
        <w:t>、中小企业的相关证明材料</w:t>
      </w:r>
    </w:p>
    <w:p w14:paraId="5D871BF8">
      <w:pPr>
        <w:snapToGrid w:val="0"/>
        <w:spacing w:line="460" w:lineRule="exact"/>
        <w:ind w:firstLine="464" w:firstLineChars="200"/>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【非</w:t>
      </w:r>
      <w:r>
        <w:rPr>
          <w:rFonts w:hint="eastAsia" w:ascii="宋体" w:hAnsi="宋体" w:cs="宋体"/>
          <w:color w:val="auto"/>
          <w:spacing w:val="6"/>
          <w:sz w:val="22"/>
          <w:szCs w:val="22"/>
          <w:highlight w:val="none"/>
          <w:lang w:val="zh-CN"/>
        </w:rPr>
        <w:t>小型、微型</w:t>
      </w:r>
      <w:r>
        <w:rPr>
          <w:rFonts w:hint="eastAsia" w:ascii="宋体" w:hAnsi="宋体" w:cs="宋体"/>
          <w:color w:val="auto"/>
          <w:spacing w:val="6"/>
          <w:sz w:val="22"/>
          <w:szCs w:val="22"/>
          <w:highlight w:val="none"/>
        </w:rPr>
        <w:t>企业不用提供】</w:t>
      </w:r>
    </w:p>
    <w:p w14:paraId="490C7040">
      <w:pPr>
        <w:spacing w:line="380" w:lineRule="exact"/>
        <w:rPr>
          <w:rFonts w:ascii="宋体" w:hAnsi="宋体" w:cs="宋体"/>
          <w:color w:val="auto"/>
          <w:sz w:val="22"/>
          <w:szCs w:val="22"/>
          <w:highlight w:val="none"/>
        </w:rPr>
      </w:pPr>
    </w:p>
    <w:p w14:paraId="546D9984">
      <w:pPr>
        <w:spacing w:line="460" w:lineRule="exact"/>
        <w:ind w:firstLine="539" w:firstLineChars="245"/>
        <w:rPr>
          <w:rFonts w:ascii="宋体" w:hAnsi="宋体" w:cs="宋体"/>
          <w:color w:val="auto"/>
          <w:sz w:val="22"/>
          <w:szCs w:val="22"/>
          <w:highlight w:val="none"/>
          <w:lang w:val="zh-CN"/>
        </w:rPr>
      </w:pPr>
      <w:r>
        <w:rPr>
          <w:rFonts w:hint="eastAsia" w:ascii="新宋体" w:hAnsi="新宋体" w:eastAsia="新宋体"/>
          <w:color w:val="auto"/>
          <w:sz w:val="22"/>
          <w:szCs w:val="22"/>
          <w:highlight w:val="none"/>
          <w:lang w:val="zh-CN"/>
        </w:rPr>
        <w:t>根据</w:t>
      </w:r>
      <w:r>
        <w:rPr>
          <w:rFonts w:hint="eastAsia" w:ascii="新宋体" w:hAnsi="新宋体" w:eastAsia="新宋体" w:cs="新宋体"/>
          <w:color w:val="auto"/>
          <w:kern w:val="0"/>
          <w:sz w:val="22"/>
          <w:szCs w:val="22"/>
          <w:highlight w:val="none"/>
        </w:rPr>
        <w:t>《政府采购促进中小企业发展管理办法》（财库〔2020〕46号）、《财政部关于进一步加大政府采购支持中小企业力度的通知》（财库〔2022〕19号）、《浙江省财政厅关于进一步加大政府采购支持中小企业力度助力扎实稳住经济的通知》（浙财采监〔2022〕8号）等有关规定</w:t>
      </w:r>
      <w:r>
        <w:rPr>
          <w:rFonts w:hint="eastAsia" w:ascii="新宋体" w:hAnsi="新宋体" w:eastAsia="新宋体"/>
          <w:color w:val="auto"/>
          <w:sz w:val="22"/>
          <w:szCs w:val="22"/>
          <w:highlight w:val="none"/>
          <w:lang w:val="zh-CN"/>
        </w:rPr>
        <w:t>，对</w:t>
      </w:r>
      <w:r>
        <w:rPr>
          <w:rFonts w:hint="eastAsia" w:ascii="新宋体" w:hAnsi="新宋体" w:eastAsia="新宋体"/>
          <w:color w:val="auto"/>
          <w:sz w:val="22"/>
          <w:szCs w:val="22"/>
          <w:highlight w:val="none"/>
        </w:rPr>
        <w:t>货物类项目</w:t>
      </w:r>
      <w:r>
        <w:rPr>
          <w:rFonts w:hint="eastAsia" w:ascii="新宋体" w:hAnsi="新宋体" w:eastAsia="新宋体"/>
          <w:color w:val="auto"/>
          <w:sz w:val="22"/>
          <w:szCs w:val="22"/>
          <w:highlight w:val="none"/>
          <w:lang w:val="zh-CN"/>
        </w:rPr>
        <w:t>投标产品为小型或微型企业生产的，</w:t>
      </w:r>
      <w:r>
        <w:rPr>
          <w:rFonts w:hint="eastAsia" w:ascii="新宋体" w:hAnsi="新宋体" w:eastAsia="新宋体"/>
          <w:color w:val="auto"/>
          <w:sz w:val="22"/>
          <w:szCs w:val="22"/>
          <w:highlight w:val="none"/>
        </w:rPr>
        <w:t>工程类、服务类项目由小型或微型企业承建、承接的</w:t>
      </w:r>
      <w:r>
        <w:rPr>
          <w:rFonts w:hint="eastAsia" w:ascii="新宋体" w:hAnsi="新宋体" w:eastAsia="新宋体"/>
          <w:color w:val="auto"/>
          <w:sz w:val="22"/>
          <w:szCs w:val="22"/>
          <w:highlight w:val="none"/>
          <w:lang w:val="zh-CN"/>
        </w:rPr>
        <w:t>，</w:t>
      </w:r>
      <w:r>
        <w:rPr>
          <w:rFonts w:hint="eastAsia" w:ascii="新宋体" w:hAnsi="新宋体" w:eastAsia="新宋体"/>
          <w:color w:val="auto"/>
          <w:sz w:val="22"/>
          <w:szCs w:val="22"/>
          <w:highlight w:val="none"/>
          <w:u w:val="single"/>
          <w:lang w:val="zh-CN"/>
        </w:rPr>
        <w:t>价格给予</w:t>
      </w:r>
      <w:r>
        <w:rPr>
          <w:rFonts w:hint="eastAsia" w:ascii="新宋体" w:hAnsi="新宋体" w:eastAsia="新宋体"/>
          <w:color w:val="auto"/>
          <w:sz w:val="22"/>
          <w:szCs w:val="22"/>
          <w:highlight w:val="none"/>
          <w:u w:val="single"/>
        </w:rPr>
        <w:t>10</w:t>
      </w:r>
      <w:r>
        <w:rPr>
          <w:rFonts w:hint="eastAsia" w:ascii="新宋体" w:hAnsi="新宋体" w:eastAsia="新宋体"/>
          <w:color w:val="auto"/>
          <w:sz w:val="22"/>
          <w:szCs w:val="22"/>
          <w:highlight w:val="none"/>
          <w:u w:val="single"/>
          <w:lang w:val="zh-CN"/>
        </w:rPr>
        <w:t>%的扣除</w:t>
      </w:r>
      <w:r>
        <w:rPr>
          <w:rFonts w:hint="eastAsia" w:ascii="新宋体" w:hAnsi="新宋体" w:eastAsia="新宋体"/>
          <w:color w:val="auto"/>
          <w:sz w:val="22"/>
          <w:szCs w:val="22"/>
          <w:highlight w:val="none"/>
          <w:lang w:val="zh-CN"/>
        </w:rPr>
        <w:t>，用扣除后的价格参与价格评分。</w:t>
      </w:r>
    </w:p>
    <w:p w14:paraId="7779DE80">
      <w:pPr>
        <w:spacing w:line="460" w:lineRule="exact"/>
        <w:ind w:firstLine="539" w:firstLineChars="245"/>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同时</w:t>
      </w:r>
      <w:r>
        <w:rPr>
          <w:rFonts w:hint="eastAsia" w:ascii="宋体" w:hAnsi="宋体" w:cs="宋体"/>
          <w:color w:val="auto"/>
          <w:sz w:val="22"/>
          <w:szCs w:val="22"/>
          <w:highlight w:val="none"/>
          <w:u w:val="single"/>
          <w:lang w:val="zh-CN"/>
        </w:rPr>
        <w:t>符合以下所有要求的投标人被认定为小型、微型企业：</w:t>
      </w:r>
    </w:p>
    <w:p w14:paraId="56CA0508">
      <w:pPr>
        <w:spacing w:line="460" w:lineRule="exact"/>
        <w:ind w:firstLine="539" w:firstLineChars="245"/>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①企业按照《关于印发中小企业划型标准规定的通知》（工信部联企业〔2011〕300号）的所属行业规定为小型、微型企业。</w:t>
      </w:r>
    </w:p>
    <w:p w14:paraId="57458F1E">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u w:val="single"/>
        </w:rPr>
        <w:t>②</w:t>
      </w:r>
      <w:r>
        <w:rPr>
          <w:rFonts w:hint="eastAsia" w:ascii="宋体" w:hAnsi="宋体" w:cs="宋体"/>
          <w:color w:val="auto"/>
          <w:sz w:val="22"/>
          <w:szCs w:val="22"/>
          <w:highlight w:val="none"/>
          <w:u w:val="single"/>
          <w:lang w:val="zh-CN"/>
        </w:rPr>
        <w:t>投标文件中必须提供《中小企业声明函》。</w:t>
      </w:r>
    </w:p>
    <w:p w14:paraId="0CDC8480">
      <w:pPr>
        <w:spacing w:line="460" w:lineRule="exact"/>
        <w:jc w:val="center"/>
        <w:rPr>
          <w:rFonts w:ascii="宋体" w:hAnsi="宋体" w:cs="宋体"/>
          <w:color w:val="auto"/>
          <w:sz w:val="24"/>
          <w:highlight w:val="none"/>
        </w:rPr>
      </w:pPr>
      <w:r>
        <w:rPr>
          <w:rFonts w:hint="eastAsia" w:ascii="宋体" w:hAnsi="宋体" w:cs="宋体"/>
          <w:b/>
          <w:bCs/>
          <w:color w:val="auto"/>
          <w:sz w:val="24"/>
          <w:highlight w:val="none"/>
        </w:rPr>
        <w:t>《中小企业声明函（工程、服务）》</w:t>
      </w:r>
    </w:p>
    <w:p w14:paraId="2BB36AEE">
      <w:pPr>
        <w:snapToGrid w:val="0"/>
        <w:spacing w:line="460" w:lineRule="exact"/>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【不属于中小企业单位的无需填写、递交】</w:t>
      </w:r>
    </w:p>
    <w:p w14:paraId="7D71300C">
      <w:pPr>
        <w:spacing w:line="460" w:lineRule="exact"/>
        <w:ind w:firstLine="637" w:firstLineChars="245"/>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cs="宋体"/>
          <w:color w:val="auto"/>
          <w:spacing w:val="20"/>
          <w:sz w:val="22"/>
          <w:szCs w:val="22"/>
          <w:highlight w:val="none"/>
          <w:u w:val="single"/>
        </w:rPr>
        <w:t>（单位名称）</w:t>
      </w:r>
      <w:r>
        <w:rPr>
          <w:rFonts w:hint="eastAsia" w:ascii="宋体" w:hAnsi="宋体" w:cs="宋体"/>
          <w:color w:val="auto"/>
          <w:spacing w:val="20"/>
          <w:sz w:val="22"/>
          <w:szCs w:val="22"/>
          <w:highlight w:val="none"/>
        </w:rPr>
        <w:t>的</w:t>
      </w:r>
      <w:r>
        <w:rPr>
          <w:rFonts w:hint="eastAsia" w:ascii="宋体" w:hAnsi="宋体" w:cs="宋体"/>
          <w:color w:val="auto"/>
          <w:spacing w:val="20"/>
          <w:sz w:val="22"/>
          <w:szCs w:val="22"/>
          <w:highlight w:val="none"/>
          <w:u w:val="single"/>
        </w:rPr>
        <w:t>（项目名称）</w:t>
      </w:r>
      <w:r>
        <w:rPr>
          <w:rFonts w:hint="eastAsia" w:ascii="宋体" w:hAnsi="宋体" w:cs="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64B1C60D">
      <w:pPr>
        <w:spacing w:line="460" w:lineRule="exact"/>
        <w:ind w:firstLine="637" w:firstLineChars="245"/>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1.</w:t>
      </w:r>
      <w:r>
        <w:rPr>
          <w:rFonts w:hint="eastAsia" w:ascii="宋体" w:hAnsi="宋体" w:cs="宋体"/>
          <w:color w:val="auto"/>
          <w:spacing w:val="20"/>
          <w:sz w:val="22"/>
          <w:szCs w:val="22"/>
          <w:highlight w:val="none"/>
          <w:u w:val="single"/>
        </w:rPr>
        <w:t>（标的名称）</w:t>
      </w:r>
      <w:r>
        <w:rPr>
          <w:rFonts w:hint="eastAsia" w:ascii="宋体" w:hAnsi="宋体" w:cs="宋体"/>
          <w:color w:val="auto"/>
          <w:spacing w:val="20"/>
          <w:sz w:val="22"/>
          <w:szCs w:val="22"/>
          <w:highlight w:val="none"/>
        </w:rPr>
        <w:t>，属于行业； 承建（承接）企业为</w:t>
      </w:r>
      <w:r>
        <w:rPr>
          <w:rFonts w:hint="eastAsia" w:ascii="宋体" w:hAnsi="宋体" w:cs="宋体"/>
          <w:color w:val="auto"/>
          <w:spacing w:val="20"/>
          <w:sz w:val="22"/>
          <w:szCs w:val="22"/>
          <w:highlight w:val="none"/>
          <w:u w:val="single"/>
        </w:rPr>
        <w:t>（企业名称）</w:t>
      </w:r>
      <w:r>
        <w:rPr>
          <w:rFonts w:hint="eastAsia" w:ascii="宋体" w:hAnsi="宋体" w:cs="宋体"/>
          <w:color w:val="auto"/>
          <w:spacing w:val="20"/>
          <w:sz w:val="22"/>
          <w:szCs w:val="22"/>
          <w:highlight w:val="none"/>
        </w:rPr>
        <w:t>，从业人员人，营业收入为万元，资产总额为万元，属于</w:t>
      </w:r>
      <w:r>
        <w:rPr>
          <w:rFonts w:hint="eastAsia" w:ascii="宋体" w:hAnsi="宋体" w:cs="宋体"/>
          <w:color w:val="auto"/>
          <w:spacing w:val="20"/>
          <w:sz w:val="22"/>
          <w:szCs w:val="22"/>
          <w:highlight w:val="none"/>
          <w:u w:val="single"/>
        </w:rPr>
        <w:t>（中型企业、 小型企业、微型企业）</w:t>
      </w:r>
      <w:r>
        <w:rPr>
          <w:rFonts w:hint="eastAsia" w:ascii="宋体" w:hAnsi="宋体" w:cs="宋体"/>
          <w:color w:val="auto"/>
          <w:spacing w:val="20"/>
          <w:sz w:val="22"/>
          <w:szCs w:val="22"/>
          <w:highlight w:val="none"/>
        </w:rPr>
        <w:t xml:space="preserve">； </w:t>
      </w:r>
    </w:p>
    <w:p w14:paraId="5052697B">
      <w:pPr>
        <w:spacing w:line="460" w:lineRule="exact"/>
        <w:ind w:firstLine="637" w:firstLineChars="245"/>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2.</w:t>
      </w:r>
      <w:r>
        <w:rPr>
          <w:rFonts w:hint="eastAsia" w:ascii="宋体" w:hAnsi="宋体" w:cs="宋体"/>
          <w:color w:val="auto"/>
          <w:spacing w:val="20"/>
          <w:sz w:val="22"/>
          <w:szCs w:val="22"/>
          <w:highlight w:val="none"/>
          <w:u w:val="single"/>
        </w:rPr>
        <w:t>（标的名称）</w:t>
      </w:r>
      <w:r>
        <w:rPr>
          <w:rFonts w:hint="eastAsia" w:ascii="宋体" w:hAnsi="宋体" w:cs="宋体"/>
          <w:color w:val="auto"/>
          <w:spacing w:val="20"/>
          <w:sz w:val="22"/>
          <w:szCs w:val="22"/>
          <w:highlight w:val="none"/>
        </w:rPr>
        <w:t>，属于行业；承建（承接）企业为</w:t>
      </w:r>
      <w:r>
        <w:rPr>
          <w:rFonts w:hint="eastAsia" w:ascii="宋体" w:hAnsi="宋体" w:cs="宋体"/>
          <w:color w:val="auto"/>
          <w:spacing w:val="20"/>
          <w:sz w:val="22"/>
          <w:szCs w:val="22"/>
          <w:highlight w:val="none"/>
          <w:u w:val="single"/>
        </w:rPr>
        <w:t>（企业名称）</w:t>
      </w:r>
      <w:r>
        <w:rPr>
          <w:rFonts w:hint="eastAsia" w:ascii="宋体" w:hAnsi="宋体" w:cs="宋体"/>
          <w:color w:val="auto"/>
          <w:spacing w:val="20"/>
          <w:sz w:val="22"/>
          <w:szCs w:val="22"/>
          <w:highlight w:val="none"/>
        </w:rPr>
        <w:t>，从业人员人，营业收入为万元，资产总额为万元，属于</w:t>
      </w:r>
      <w:r>
        <w:rPr>
          <w:rFonts w:hint="eastAsia" w:ascii="宋体" w:hAnsi="宋体" w:cs="宋体"/>
          <w:color w:val="auto"/>
          <w:spacing w:val="20"/>
          <w:sz w:val="22"/>
          <w:szCs w:val="22"/>
          <w:highlight w:val="none"/>
          <w:u w:val="single"/>
        </w:rPr>
        <w:t>（中型企业、 小型企业、微型企业）</w:t>
      </w:r>
      <w:r>
        <w:rPr>
          <w:rFonts w:hint="eastAsia" w:ascii="宋体" w:hAnsi="宋体" w:cs="宋体"/>
          <w:color w:val="auto"/>
          <w:spacing w:val="20"/>
          <w:sz w:val="22"/>
          <w:szCs w:val="22"/>
          <w:highlight w:val="none"/>
        </w:rPr>
        <w:t>；</w:t>
      </w:r>
    </w:p>
    <w:p w14:paraId="50B7FFCD">
      <w:pPr>
        <w:spacing w:line="460" w:lineRule="exact"/>
        <w:ind w:firstLine="639" w:firstLineChars="245"/>
        <w:rPr>
          <w:rFonts w:ascii="宋体" w:hAnsi="宋体" w:cs="宋体"/>
          <w:b/>
          <w:bCs/>
          <w:color w:val="auto"/>
          <w:spacing w:val="20"/>
          <w:sz w:val="22"/>
          <w:szCs w:val="22"/>
          <w:highlight w:val="none"/>
        </w:rPr>
      </w:pPr>
      <w:r>
        <w:rPr>
          <w:rFonts w:hint="eastAsia" w:ascii="宋体" w:hAnsi="宋体" w:cs="宋体"/>
          <w:b/>
          <w:bCs/>
          <w:color w:val="auto"/>
          <w:spacing w:val="20"/>
          <w:sz w:val="22"/>
          <w:szCs w:val="22"/>
          <w:highlight w:val="none"/>
        </w:rPr>
        <w:t>……</w:t>
      </w:r>
    </w:p>
    <w:p w14:paraId="2AA5F55E">
      <w:pPr>
        <w:spacing w:line="460" w:lineRule="exact"/>
        <w:ind w:firstLine="637" w:firstLineChars="245"/>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7F8DAF21">
      <w:pPr>
        <w:spacing w:line="460" w:lineRule="exact"/>
        <w:jc w:val="center"/>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 xml:space="preserve">           企业名称（盖章）：</w:t>
      </w:r>
    </w:p>
    <w:p w14:paraId="3941DE7A">
      <w:pPr>
        <w:spacing w:line="460" w:lineRule="exact"/>
        <w:jc w:val="center"/>
        <w:rPr>
          <w:rFonts w:ascii="宋体" w:hAnsi="宋体" w:cs="宋体"/>
          <w:b/>
          <w:bCs/>
          <w:color w:val="auto"/>
          <w:sz w:val="28"/>
          <w:szCs w:val="28"/>
          <w:highlight w:val="none"/>
        </w:rPr>
      </w:pPr>
      <w:r>
        <w:rPr>
          <w:rFonts w:hint="eastAsia" w:ascii="宋体" w:hAnsi="宋体" w:cs="宋体"/>
          <w:color w:val="auto"/>
          <w:spacing w:val="20"/>
          <w:sz w:val="22"/>
          <w:szCs w:val="22"/>
          <w:highlight w:val="none"/>
        </w:rPr>
        <w:t xml:space="preserve">  日 期：</w:t>
      </w:r>
    </w:p>
    <w:p w14:paraId="2B6DD754">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1EE17106">
      <w:pPr>
        <w:spacing w:line="400" w:lineRule="exact"/>
        <w:jc w:val="left"/>
        <w:outlineLvl w:val="3"/>
        <w:rPr>
          <w:rFonts w:ascii="宋体" w:hAnsi="宋体" w:cs="宋体"/>
          <w:b/>
          <w:color w:val="auto"/>
          <w:sz w:val="22"/>
          <w:szCs w:val="22"/>
          <w:highlight w:val="none"/>
          <w:lang w:val="zh-CN"/>
        </w:rPr>
      </w:pPr>
      <w:r>
        <w:rPr>
          <w:rFonts w:hint="eastAsia" w:ascii="宋体" w:hAnsi="宋体" w:cs="宋体"/>
          <w:b/>
          <w:color w:val="auto"/>
          <w:sz w:val="22"/>
          <w:szCs w:val="22"/>
          <w:highlight w:val="none"/>
        </w:rPr>
        <w:t>5</w:t>
      </w:r>
      <w:r>
        <w:rPr>
          <w:rFonts w:hint="eastAsia" w:ascii="宋体" w:hAnsi="宋体" w:cs="宋体"/>
          <w:b/>
          <w:color w:val="auto"/>
          <w:sz w:val="22"/>
          <w:szCs w:val="22"/>
          <w:highlight w:val="none"/>
          <w:lang w:val="zh-CN"/>
        </w:rPr>
        <w:t>、残疾人福利性单位的相关证明材料</w:t>
      </w:r>
    </w:p>
    <w:p w14:paraId="34EB810F">
      <w:pPr>
        <w:spacing w:line="460" w:lineRule="exact"/>
        <w:ind w:firstLine="466" w:firstLineChars="200"/>
        <w:rPr>
          <w:rFonts w:ascii="宋体" w:hAnsi="宋体" w:cs="宋体"/>
          <w:color w:val="auto"/>
          <w:spacing w:val="20"/>
          <w:sz w:val="22"/>
          <w:szCs w:val="22"/>
          <w:highlight w:val="none"/>
        </w:rPr>
      </w:pPr>
      <w:r>
        <w:rPr>
          <w:rFonts w:hint="eastAsia" w:ascii="宋体" w:hAnsi="宋体" w:cs="宋体"/>
          <w:b/>
          <w:color w:val="auto"/>
          <w:spacing w:val="6"/>
          <w:sz w:val="22"/>
          <w:szCs w:val="22"/>
          <w:highlight w:val="none"/>
        </w:rPr>
        <w:t>需提供相关证明材料，</w:t>
      </w:r>
      <w:r>
        <w:rPr>
          <w:rFonts w:hint="eastAsia" w:ascii="宋体" w:hAnsi="宋体" w:cs="宋体"/>
          <w:b/>
          <w:bCs/>
          <w:color w:val="auto"/>
          <w:sz w:val="22"/>
          <w:szCs w:val="22"/>
          <w:highlight w:val="none"/>
          <w:u w:val="single"/>
          <w:lang w:val="zh-CN"/>
        </w:rPr>
        <w:t>未提供证明材料或不能清楚辨析</w:t>
      </w:r>
      <w:r>
        <w:rPr>
          <w:rFonts w:hint="eastAsia" w:ascii="宋体" w:hAnsi="宋体" w:cs="宋体"/>
          <w:b/>
          <w:bCs/>
          <w:color w:val="auto"/>
          <w:sz w:val="22"/>
          <w:szCs w:val="22"/>
          <w:highlight w:val="none"/>
          <w:u w:val="single"/>
        </w:rPr>
        <w:t>是残疾人福利性单位的按非残疾人福利性单位处理，所提供的证明材料应为最新的最近的</w:t>
      </w:r>
      <w:r>
        <w:rPr>
          <w:rFonts w:hint="eastAsia" w:ascii="宋体" w:hAnsi="宋体" w:cs="宋体"/>
          <w:b/>
          <w:bCs/>
          <w:color w:val="auto"/>
          <w:sz w:val="22"/>
          <w:szCs w:val="22"/>
          <w:highlight w:val="none"/>
          <w:u w:val="single"/>
          <w:lang w:val="zh-CN"/>
        </w:rPr>
        <w:t>。</w:t>
      </w:r>
    </w:p>
    <w:p w14:paraId="3C3F5ED9">
      <w:pPr>
        <w:spacing w:line="460" w:lineRule="exact"/>
        <w:rPr>
          <w:rFonts w:ascii="宋体" w:hAnsi="宋体" w:cs="宋体"/>
          <w:color w:val="auto"/>
          <w:spacing w:val="20"/>
          <w:sz w:val="22"/>
          <w:szCs w:val="22"/>
          <w:highlight w:val="none"/>
        </w:rPr>
      </w:pPr>
    </w:p>
    <w:p w14:paraId="1C807760">
      <w:pPr>
        <w:spacing w:line="460" w:lineRule="exact"/>
        <w:rPr>
          <w:rFonts w:ascii="宋体" w:hAnsi="宋体" w:cs="宋体"/>
          <w:color w:val="auto"/>
          <w:spacing w:val="20"/>
          <w:sz w:val="22"/>
          <w:szCs w:val="22"/>
          <w:highlight w:val="none"/>
        </w:rPr>
      </w:pPr>
    </w:p>
    <w:p w14:paraId="66CF46DB">
      <w:pPr>
        <w:spacing w:line="460" w:lineRule="exact"/>
        <w:jc w:val="center"/>
        <w:rPr>
          <w:rFonts w:ascii="宋体" w:hAnsi="宋体" w:cs="宋体"/>
          <w:color w:val="auto"/>
          <w:spacing w:val="6"/>
          <w:sz w:val="22"/>
          <w:szCs w:val="22"/>
          <w:highlight w:val="none"/>
        </w:rPr>
      </w:pPr>
      <w:r>
        <w:rPr>
          <w:rFonts w:hint="eastAsia" w:ascii="宋体" w:hAnsi="宋体" w:cs="宋体"/>
          <w:b/>
          <w:color w:val="auto"/>
          <w:spacing w:val="6"/>
          <w:sz w:val="22"/>
          <w:szCs w:val="22"/>
          <w:highlight w:val="none"/>
        </w:rPr>
        <w:t>残疾人福利性单位声明函</w:t>
      </w:r>
    </w:p>
    <w:p w14:paraId="12503C61">
      <w:pPr>
        <w:widowControl/>
        <w:adjustRightInd w:val="0"/>
        <w:snapToGrid w:val="0"/>
        <w:spacing w:line="460" w:lineRule="exact"/>
        <w:ind w:firstLine="440" w:firstLineChars="20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【不属于残疾人福利性单位的无需填写、递交】</w:t>
      </w:r>
    </w:p>
    <w:p w14:paraId="706F2E5F">
      <w:pPr>
        <w:snapToGrid w:val="0"/>
        <w:spacing w:line="460" w:lineRule="exact"/>
        <w:jc w:val="center"/>
        <w:rPr>
          <w:rFonts w:ascii="宋体" w:hAnsi="宋体" w:cs="宋体"/>
          <w:b/>
          <w:bCs/>
          <w:color w:val="auto"/>
          <w:sz w:val="22"/>
          <w:szCs w:val="22"/>
          <w:highlight w:val="none"/>
        </w:rPr>
      </w:pPr>
    </w:p>
    <w:p w14:paraId="5904F352">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cs="宋体"/>
          <w:color w:val="auto"/>
          <w:sz w:val="22"/>
          <w:szCs w:val="22"/>
          <w:highlight w:val="none"/>
        </w:rPr>
        <w:t>〔2017〕141</w:t>
      </w:r>
      <w:r>
        <w:rPr>
          <w:rFonts w:hint="eastAsia" w:ascii="宋体" w:hAnsi="宋体" w:cs="宋体"/>
          <w:color w:val="auto"/>
          <w:spacing w:val="6"/>
          <w:sz w:val="22"/>
          <w:szCs w:val="22"/>
          <w:highlight w:val="none"/>
        </w:rPr>
        <w:t>号）的规定，本单位为符合条件的残疾人福利性单位，且本单位参加</w:t>
      </w:r>
      <w:r>
        <w:rPr>
          <w:rFonts w:hint="eastAsia" w:ascii="宋体" w:hAnsi="宋体" w:cs="宋体"/>
          <w:color w:val="auto"/>
          <w:spacing w:val="6"/>
          <w:sz w:val="22"/>
          <w:szCs w:val="22"/>
          <w:highlight w:val="none"/>
          <w:u w:val="single"/>
        </w:rPr>
        <w:t>（招标人名称）</w:t>
      </w:r>
      <w:r>
        <w:rPr>
          <w:rFonts w:hint="eastAsia" w:ascii="宋体" w:hAnsi="宋体" w:cs="宋体"/>
          <w:color w:val="auto"/>
          <w:spacing w:val="6"/>
          <w:sz w:val="22"/>
          <w:szCs w:val="22"/>
          <w:highlight w:val="none"/>
        </w:rPr>
        <w:t>单位的</w:t>
      </w:r>
      <w:r>
        <w:rPr>
          <w:rFonts w:hint="eastAsia" w:ascii="宋体" w:hAnsi="宋体" w:cs="宋体"/>
          <w:color w:val="auto"/>
          <w:spacing w:val="6"/>
          <w:sz w:val="22"/>
          <w:szCs w:val="22"/>
          <w:highlight w:val="none"/>
          <w:u w:val="single"/>
        </w:rPr>
        <w:t>（招标项目名称）</w:t>
      </w:r>
      <w:r>
        <w:rPr>
          <w:rFonts w:hint="eastAsia" w:ascii="宋体" w:hAnsi="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440C3C96">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44EE2E1C">
      <w:pPr>
        <w:snapToGrid w:val="0"/>
        <w:spacing w:line="460" w:lineRule="exact"/>
        <w:ind w:firstLine="464" w:firstLineChars="200"/>
        <w:rPr>
          <w:rFonts w:ascii="宋体" w:hAnsi="宋体" w:cs="宋体"/>
          <w:color w:val="auto"/>
          <w:spacing w:val="6"/>
          <w:sz w:val="22"/>
          <w:szCs w:val="22"/>
          <w:highlight w:val="none"/>
        </w:rPr>
      </w:pPr>
    </w:p>
    <w:p w14:paraId="52A86DEF">
      <w:pPr>
        <w:snapToGrid w:val="0"/>
        <w:spacing w:line="460" w:lineRule="exact"/>
        <w:ind w:firstLine="464" w:firstLineChars="200"/>
        <w:rPr>
          <w:rFonts w:ascii="宋体" w:hAnsi="宋体" w:cs="宋体"/>
          <w:color w:val="auto"/>
          <w:spacing w:val="6"/>
          <w:sz w:val="22"/>
          <w:szCs w:val="22"/>
          <w:highlight w:val="none"/>
        </w:rPr>
      </w:pPr>
    </w:p>
    <w:p w14:paraId="7168B31A">
      <w:pPr>
        <w:adjustRightInd w:val="0"/>
        <w:snapToGrid w:val="0"/>
        <w:spacing w:line="460" w:lineRule="exact"/>
        <w:ind w:firstLine="440" w:firstLineChars="20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投标人全称（盖章）：</w:t>
      </w:r>
      <w:r>
        <w:rPr>
          <w:rFonts w:hint="eastAsia" w:ascii="宋体" w:hAnsi="宋体" w:cs="宋体"/>
          <w:color w:val="auto"/>
          <w:kern w:val="0"/>
          <w:sz w:val="22"/>
          <w:szCs w:val="22"/>
          <w:highlight w:val="none"/>
          <w:u w:val="single"/>
        </w:rPr>
        <w:t xml:space="preserve">                    </w:t>
      </w:r>
    </w:p>
    <w:p w14:paraId="4EE9689D">
      <w:pPr>
        <w:pStyle w:val="11"/>
        <w:spacing w:line="460" w:lineRule="exact"/>
        <w:ind w:left="437" w:leftChars="208" w:firstLine="0" w:firstLineChars="0"/>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27DF08EA">
      <w:pPr>
        <w:pStyle w:val="11"/>
        <w:spacing w:line="460" w:lineRule="exact"/>
        <w:ind w:left="440" w:hanging="440"/>
        <w:rPr>
          <w:rFonts w:ascii="宋体" w:hAnsi="宋体" w:cs="宋体"/>
          <w:color w:val="auto"/>
          <w:kern w:val="0"/>
          <w:sz w:val="22"/>
          <w:szCs w:val="22"/>
          <w:highlight w:val="none"/>
        </w:rPr>
      </w:pPr>
    </w:p>
    <w:p w14:paraId="4C8D7C05">
      <w:pPr>
        <w:pStyle w:val="11"/>
        <w:ind w:left="440" w:hanging="440"/>
        <w:rPr>
          <w:rFonts w:ascii="宋体" w:hAnsi="宋体" w:cs="宋体"/>
          <w:color w:val="auto"/>
          <w:kern w:val="0"/>
          <w:sz w:val="22"/>
          <w:szCs w:val="22"/>
          <w:highlight w:val="none"/>
        </w:rPr>
      </w:pPr>
    </w:p>
    <w:p w14:paraId="68133857">
      <w:pPr>
        <w:pStyle w:val="11"/>
        <w:ind w:left="440" w:hanging="440"/>
        <w:rPr>
          <w:rFonts w:ascii="宋体" w:hAnsi="宋体" w:cs="宋体"/>
          <w:color w:val="auto"/>
          <w:kern w:val="0"/>
          <w:sz w:val="22"/>
          <w:szCs w:val="22"/>
          <w:highlight w:val="none"/>
        </w:rPr>
      </w:pPr>
    </w:p>
    <w:p w14:paraId="20B0F47C">
      <w:pPr>
        <w:pStyle w:val="11"/>
        <w:ind w:left="440" w:hanging="440"/>
        <w:rPr>
          <w:rFonts w:ascii="宋体" w:hAnsi="宋体" w:cs="宋体"/>
          <w:color w:val="auto"/>
          <w:kern w:val="0"/>
          <w:sz w:val="22"/>
          <w:szCs w:val="22"/>
          <w:highlight w:val="none"/>
        </w:rPr>
      </w:pPr>
    </w:p>
    <w:p w14:paraId="59FF0FD5">
      <w:pPr>
        <w:pStyle w:val="11"/>
        <w:ind w:left="440" w:hanging="440"/>
        <w:rPr>
          <w:rFonts w:ascii="宋体" w:hAnsi="宋体" w:cs="宋体"/>
          <w:color w:val="auto"/>
          <w:kern w:val="0"/>
          <w:sz w:val="22"/>
          <w:szCs w:val="22"/>
          <w:highlight w:val="none"/>
        </w:rPr>
      </w:pPr>
    </w:p>
    <w:p w14:paraId="2649F690">
      <w:pPr>
        <w:pStyle w:val="11"/>
        <w:ind w:left="440" w:hanging="440"/>
        <w:rPr>
          <w:rFonts w:ascii="宋体" w:hAnsi="宋体" w:cs="宋体"/>
          <w:color w:val="auto"/>
          <w:kern w:val="0"/>
          <w:sz w:val="22"/>
          <w:szCs w:val="22"/>
          <w:highlight w:val="none"/>
        </w:rPr>
      </w:pPr>
    </w:p>
    <w:p w14:paraId="5A768258">
      <w:pPr>
        <w:pStyle w:val="11"/>
        <w:ind w:left="440" w:hanging="440"/>
        <w:rPr>
          <w:rFonts w:ascii="宋体" w:hAnsi="宋体" w:cs="宋体"/>
          <w:color w:val="auto"/>
          <w:kern w:val="0"/>
          <w:sz w:val="22"/>
          <w:szCs w:val="22"/>
          <w:highlight w:val="none"/>
        </w:rPr>
      </w:pPr>
    </w:p>
    <w:p w14:paraId="09D42FFC">
      <w:pPr>
        <w:pStyle w:val="11"/>
        <w:ind w:left="440" w:hanging="440"/>
        <w:rPr>
          <w:rFonts w:ascii="宋体" w:hAnsi="宋体" w:cs="宋体"/>
          <w:color w:val="auto"/>
          <w:kern w:val="0"/>
          <w:sz w:val="22"/>
          <w:szCs w:val="22"/>
          <w:highlight w:val="none"/>
        </w:rPr>
      </w:pPr>
    </w:p>
    <w:p w14:paraId="0CF474F9">
      <w:pPr>
        <w:pStyle w:val="11"/>
        <w:ind w:left="440" w:hanging="440"/>
        <w:rPr>
          <w:rFonts w:ascii="宋体" w:hAnsi="宋体" w:cs="宋体"/>
          <w:color w:val="auto"/>
          <w:kern w:val="0"/>
          <w:sz w:val="22"/>
          <w:szCs w:val="22"/>
          <w:highlight w:val="none"/>
        </w:rPr>
      </w:pPr>
    </w:p>
    <w:p w14:paraId="498161D9">
      <w:pPr>
        <w:pStyle w:val="11"/>
        <w:ind w:left="440" w:hanging="440"/>
        <w:rPr>
          <w:rFonts w:ascii="宋体" w:hAnsi="宋体" w:cs="宋体"/>
          <w:color w:val="auto"/>
          <w:kern w:val="0"/>
          <w:sz w:val="22"/>
          <w:szCs w:val="22"/>
          <w:highlight w:val="none"/>
        </w:rPr>
      </w:pPr>
    </w:p>
    <w:p w14:paraId="5CC7F61D">
      <w:pPr>
        <w:pStyle w:val="11"/>
        <w:ind w:left="440" w:hanging="440"/>
        <w:rPr>
          <w:rFonts w:ascii="宋体" w:hAnsi="宋体" w:cs="宋体"/>
          <w:color w:val="auto"/>
          <w:kern w:val="0"/>
          <w:sz w:val="22"/>
          <w:szCs w:val="22"/>
          <w:highlight w:val="none"/>
        </w:rPr>
      </w:pPr>
    </w:p>
    <w:p w14:paraId="2F632374">
      <w:pPr>
        <w:pStyle w:val="11"/>
        <w:ind w:left="440" w:hanging="440"/>
        <w:rPr>
          <w:rFonts w:ascii="宋体" w:hAnsi="宋体" w:cs="宋体"/>
          <w:color w:val="auto"/>
          <w:kern w:val="0"/>
          <w:sz w:val="22"/>
          <w:szCs w:val="22"/>
          <w:highlight w:val="none"/>
        </w:rPr>
      </w:pPr>
    </w:p>
    <w:p w14:paraId="3A6394FB">
      <w:pPr>
        <w:pStyle w:val="11"/>
        <w:ind w:left="440" w:hanging="440"/>
        <w:rPr>
          <w:rFonts w:ascii="宋体" w:hAnsi="宋体" w:cs="宋体"/>
          <w:color w:val="auto"/>
          <w:kern w:val="0"/>
          <w:sz w:val="22"/>
          <w:szCs w:val="22"/>
          <w:highlight w:val="none"/>
        </w:rPr>
      </w:pPr>
    </w:p>
    <w:p w14:paraId="4A38083A">
      <w:pPr>
        <w:pStyle w:val="11"/>
        <w:ind w:left="440" w:hanging="440"/>
        <w:rPr>
          <w:rFonts w:ascii="宋体" w:hAnsi="宋体" w:cs="宋体"/>
          <w:color w:val="auto"/>
          <w:kern w:val="0"/>
          <w:sz w:val="22"/>
          <w:szCs w:val="22"/>
          <w:highlight w:val="none"/>
        </w:rPr>
      </w:pPr>
    </w:p>
    <w:p w14:paraId="75FBEFD7">
      <w:pPr>
        <w:pStyle w:val="11"/>
        <w:ind w:left="440" w:hanging="440"/>
        <w:rPr>
          <w:rFonts w:ascii="宋体" w:hAnsi="宋体" w:cs="宋体"/>
          <w:color w:val="auto"/>
          <w:kern w:val="0"/>
          <w:sz w:val="22"/>
          <w:szCs w:val="22"/>
          <w:highlight w:val="none"/>
        </w:rPr>
      </w:pPr>
    </w:p>
    <w:p w14:paraId="1F6174CE">
      <w:pPr>
        <w:pStyle w:val="11"/>
        <w:ind w:left="440" w:hanging="440"/>
        <w:rPr>
          <w:rFonts w:ascii="宋体" w:hAnsi="宋体" w:cs="宋体"/>
          <w:color w:val="auto"/>
          <w:kern w:val="0"/>
          <w:sz w:val="22"/>
          <w:szCs w:val="22"/>
          <w:highlight w:val="none"/>
        </w:rPr>
      </w:pPr>
    </w:p>
    <w:p w14:paraId="1D3DF004">
      <w:pPr>
        <w:rPr>
          <w:rFonts w:ascii="宋体" w:hAnsi="宋体" w:cs="宋体"/>
          <w:b/>
          <w:color w:val="auto"/>
          <w:sz w:val="22"/>
          <w:szCs w:val="22"/>
          <w:highlight w:val="none"/>
        </w:rPr>
      </w:pPr>
      <w:r>
        <w:rPr>
          <w:rFonts w:hint="eastAsia" w:ascii="宋体" w:hAnsi="宋体" w:cs="宋体"/>
          <w:b/>
          <w:color w:val="auto"/>
          <w:sz w:val="22"/>
          <w:szCs w:val="22"/>
          <w:highlight w:val="none"/>
        </w:rPr>
        <w:br w:type="page"/>
      </w:r>
    </w:p>
    <w:p w14:paraId="02F3A8AC">
      <w:pPr>
        <w:pStyle w:val="11"/>
        <w:spacing w:line="460" w:lineRule="exact"/>
        <w:ind w:left="433" w:hanging="433" w:hangingChars="196"/>
        <w:outlineLvl w:val="1"/>
        <w:rPr>
          <w:rFonts w:ascii="宋体" w:hAnsi="宋体" w:cs="宋体"/>
          <w:b/>
          <w:color w:val="auto"/>
          <w:sz w:val="22"/>
          <w:szCs w:val="22"/>
          <w:highlight w:val="none"/>
        </w:rPr>
      </w:pPr>
      <w:bookmarkStart w:id="35" w:name="_Toc12035"/>
      <w:bookmarkStart w:id="36" w:name="_Toc19402"/>
      <w:r>
        <w:rPr>
          <w:rFonts w:hint="eastAsia" w:ascii="宋体" w:hAnsi="宋体" w:cs="宋体"/>
          <w:b/>
          <w:color w:val="auto"/>
          <w:sz w:val="22"/>
          <w:szCs w:val="22"/>
          <w:highlight w:val="none"/>
        </w:rPr>
        <w:t>附件二</w:t>
      </w:r>
      <w:bookmarkEnd w:id="35"/>
      <w:bookmarkEnd w:id="36"/>
    </w:p>
    <w:p w14:paraId="41BD12C1">
      <w:pPr>
        <w:spacing w:line="460" w:lineRule="exact"/>
        <w:jc w:val="center"/>
        <w:outlineLvl w:val="2"/>
        <w:rPr>
          <w:rFonts w:ascii="新宋体" w:hAnsi="新宋体" w:eastAsia="新宋体"/>
          <w:color w:val="auto"/>
          <w:sz w:val="28"/>
          <w:szCs w:val="28"/>
          <w:highlight w:val="none"/>
        </w:rPr>
      </w:pPr>
      <w:bookmarkStart w:id="37" w:name="_Toc31356"/>
      <w:bookmarkStart w:id="38" w:name="_Toc16516"/>
      <w:r>
        <w:rPr>
          <w:rFonts w:hint="eastAsia" w:ascii="新宋体" w:hAnsi="新宋体" w:eastAsia="新宋体"/>
          <w:b/>
          <w:bCs/>
          <w:color w:val="auto"/>
          <w:sz w:val="28"/>
          <w:szCs w:val="28"/>
          <w:highlight w:val="none"/>
          <w:lang w:val="zh-CN"/>
        </w:rPr>
        <w:t>资格证明文件</w:t>
      </w:r>
      <w:r>
        <w:rPr>
          <w:rFonts w:hint="eastAsia" w:ascii="新宋体" w:hAnsi="新宋体" w:eastAsia="新宋体"/>
          <w:color w:val="auto"/>
          <w:sz w:val="28"/>
          <w:szCs w:val="28"/>
          <w:highlight w:val="none"/>
        </w:rPr>
        <w:t xml:space="preserve"> </w:t>
      </w:r>
    </w:p>
    <w:p w14:paraId="54F84B74">
      <w:pPr>
        <w:pStyle w:val="21"/>
        <w:tabs>
          <w:tab w:val="left" w:pos="630"/>
          <w:tab w:val="left" w:pos="840"/>
          <w:tab w:val="left" w:pos="1050"/>
        </w:tabs>
        <w:adjustRightInd w:val="0"/>
        <w:snapToGrid w:val="0"/>
        <w:spacing w:before="0" w:beforeAutospacing="0" w:after="0" w:afterAutospacing="0" w:line="360" w:lineRule="auto"/>
        <w:jc w:val="center"/>
        <w:outlineLvl w:val="3"/>
        <w:rPr>
          <w:color w:val="auto"/>
          <w:sz w:val="22"/>
          <w:szCs w:val="22"/>
          <w:highlight w:val="none"/>
        </w:rPr>
      </w:pPr>
      <w:r>
        <w:rPr>
          <w:rFonts w:hint="eastAsia"/>
          <w:b/>
          <w:color w:val="auto"/>
          <w:sz w:val="28"/>
          <w:szCs w:val="28"/>
          <w:highlight w:val="none"/>
        </w:rPr>
        <w:t>1、资格条件承诺函</w:t>
      </w:r>
    </w:p>
    <w:p w14:paraId="5A01B4C3">
      <w:pPr>
        <w:shd w:val="clear" w:color="auto" w:fill="FFFFFF"/>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温州市人民医院、温州历程招标有限公司：</w:t>
      </w:r>
    </w:p>
    <w:p w14:paraId="7B65C2A5">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我方参与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（采购项目名称、编号）投标，现郑重承诺，</w:t>
      </w:r>
      <w:r>
        <w:rPr>
          <w:rFonts w:hint="eastAsia" w:ascii="宋体" w:hAnsi="宋体" w:cs="宋体"/>
          <w:color w:val="auto"/>
          <w:kern w:val="0"/>
          <w:sz w:val="22"/>
          <w:szCs w:val="22"/>
          <w:highlight w:val="none"/>
        </w:rPr>
        <w:t>参加本次政府采购活动前3年内</w:t>
      </w:r>
      <w:r>
        <w:rPr>
          <w:rFonts w:hint="eastAsia" w:ascii="宋体" w:hAnsi="宋体" w:cs="宋体"/>
          <w:color w:val="auto"/>
          <w:sz w:val="22"/>
          <w:szCs w:val="22"/>
          <w:highlight w:val="none"/>
        </w:rPr>
        <w:t>：</w:t>
      </w:r>
    </w:p>
    <w:p w14:paraId="435E94C2">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1、我方符合《中华人民共和国政府采购法》第22条规定的资格条件，即</w:t>
      </w:r>
    </w:p>
    <w:p w14:paraId="145EF79D">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（1）我方具有独立承担民事责任的能力；</w:t>
      </w:r>
    </w:p>
    <w:p w14:paraId="371DEF04">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（2）我方具有良好的商业信誉和健全的财务会计制度；</w:t>
      </w:r>
    </w:p>
    <w:p w14:paraId="49D75DF4">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（3）我方具有履行合同所必需的设备和专业技术能力；</w:t>
      </w:r>
    </w:p>
    <w:p w14:paraId="66D0B249">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（4）我方有依法缴纳税收和社会保障资金的良好记录；</w:t>
      </w:r>
    </w:p>
    <w:p w14:paraId="5E2E850A">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2660E85B">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kern w:val="0"/>
          <w:sz w:val="22"/>
          <w:szCs w:val="22"/>
          <w:highlight w:val="none"/>
        </w:rPr>
        <w:t>www.creditchina.gov.cn）、</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39DFF8F6">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3、我方与参加本次项目同一合同项下政府采购活动的其他供应商不存在单位负责人为同一人或者直接控股、管理关系。</w:t>
      </w:r>
    </w:p>
    <w:p w14:paraId="5AE30F26">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4、我方不属于公益一类事业单位。</w:t>
      </w:r>
    </w:p>
    <w:p w14:paraId="4BD29C6A">
      <w:pPr>
        <w:widowControl/>
        <w:spacing w:line="440" w:lineRule="exact"/>
        <w:ind w:firstLine="440" w:firstLineChars="200"/>
        <w:rPr>
          <w:rFonts w:ascii="宋体" w:hAnsi="宋体" w:cs="宋体"/>
          <w:color w:val="auto"/>
          <w:kern w:val="0"/>
          <w:sz w:val="22"/>
          <w:szCs w:val="22"/>
          <w:highlight w:val="none"/>
        </w:rPr>
      </w:pPr>
    </w:p>
    <w:p w14:paraId="795B6A7B">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w:t>
      </w:r>
      <w:r>
        <w:rPr>
          <w:rFonts w:hint="eastAsia" w:ascii="宋体" w:hAnsi="宋体" w:cs="宋体"/>
          <w:color w:val="auto"/>
          <w:sz w:val="22"/>
          <w:szCs w:val="22"/>
          <w:highlight w:val="none"/>
        </w:rPr>
        <w:t>愿接受取消</w:t>
      </w:r>
      <w:r>
        <w:rPr>
          <w:rFonts w:hint="eastAsia" w:ascii="宋体" w:hAnsi="宋体" w:cs="宋体"/>
          <w:color w:val="auto"/>
          <w:kern w:val="0"/>
          <w:sz w:val="22"/>
          <w:szCs w:val="22"/>
          <w:highlight w:val="none"/>
        </w:rPr>
        <w:t>我方任何资格（投标/成交/签订合同）</w:t>
      </w:r>
      <w:r>
        <w:rPr>
          <w:rFonts w:hint="eastAsia" w:ascii="宋体" w:hAnsi="宋体" w:cs="宋体"/>
          <w:color w:val="auto"/>
          <w:sz w:val="22"/>
          <w:szCs w:val="22"/>
          <w:highlight w:val="none"/>
        </w:rPr>
        <w:t>及其他任何形式的处理。</w:t>
      </w:r>
    </w:p>
    <w:p w14:paraId="1EC24B38">
      <w:pPr>
        <w:widowControl/>
        <w:snapToGrid w:val="0"/>
        <w:spacing w:line="440" w:lineRule="exact"/>
        <w:ind w:firstLine="440" w:firstLineChars="200"/>
        <w:jc w:val="left"/>
        <w:rPr>
          <w:rFonts w:ascii="宋体" w:hAnsi="宋体" w:cs="宋体"/>
          <w:color w:val="auto"/>
          <w:kern w:val="0"/>
          <w:sz w:val="22"/>
          <w:szCs w:val="22"/>
          <w:highlight w:val="none"/>
        </w:rPr>
      </w:pPr>
    </w:p>
    <w:p w14:paraId="6D3CD490">
      <w:pPr>
        <w:snapToGrid w:val="0"/>
        <w:spacing w:line="360" w:lineRule="auto"/>
        <w:ind w:firstLine="5060" w:firstLineChars="2300"/>
        <w:rPr>
          <w:rFonts w:ascii="宋体" w:hAnsi="宋体" w:cs="宋体"/>
          <w:color w:val="auto"/>
          <w:kern w:val="0"/>
          <w:sz w:val="22"/>
          <w:szCs w:val="22"/>
          <w:highlight w:val="none"/>
          <w:lang w:val="zh-CN"/>
        </w:rPr>
      </w:pPr>
    </w:p>
    <w:p w14:paraId="0EFE2A93">
      <w:pPr>
        <w:widowControl/>
        <w:snapToGrid w:val="0"/>
        <w:spacing w:line="4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kern w:val="0"/>
          <w:sz w:val="22"/>
          <w:szCs w:val="22"/>
          <w:highlight w:val="none"/>
        </w:rPr>
        <w:t xml:space="preserve"> ：</w:t>
      </w:r>
    </w:p>
    <w:p w14:paraId="5FA0B03B">
      <w:pPr>
        <w:widowControl/>
        <w:snapToGrid w:val="0"/>
        <w:spacing w:line="4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法定代表人或其授权代表（签字或盖章）：</w:t>
      </w:r>
    </w:p>
    <w:p w14:paraId="4D634BE2">
      <w:pPr>
        <w:widowControl/>
        <w:snapToGrid w:val="0"/>
        <w:spacing w:line="460" w:lineRule="exact"/>
        <w:ind w:firstLine="440" w:firstLineChars="200"/>
        <w:jc w:val="left"/>
        <w:rPr>
          <w:rFonts w:ascii="宋体" w:hAnsi="宋体" w:cs="宋体"/>
          <w:color w:val="auto"/>
          <w:kern w:val="0"/>
          <w:sz w:val="22"/>
          <w:szCs w:val="22"/>
          <w:highlight w:val="none"/>
        </w:rPr>
      </w:pPr>
    </w:p>
    <w:p w14:paraId="4978ABD5">
      <w:pPr>
        <w:pStyle w:val="11"/>
        <w:spacing w:line="460" w:lineRule="exact"/>
        <w:ind w:left="479" w:leftChars="228" w:firstLine="5280" w:firstLineChars="24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7286FE77">
      <w:pPr>
        <w:rPr>
          <w:rFonts w:ascii="宋体" w:hAnsi="宋体" w:cs="宋体"/>
          <w:color w:val="auto"/>
          <w:highlight w:val="none"/>
        </w:rPr>
      </w:pPr>
    </w:p>
    <w:p w14:paraId="1B2585D7">
      <w:pPr>
        <w:pStyle w:val="21"/>
        <w:tabs>
          <w:tab w:val="left" w:pos="630"/>
          <w:tab w:val="left" w:pos="840"/>
          <w:tab w:val="left" w:pos="1050"/>
        </w:tabs>
        <w:adjustRightInd w:val="0"/>
        <w:snapToGrid w:val="0"/>
        <w:spacing w:before="0" w:beforeAutospacing="0" w:after="0" w:afterAutospacing="0" w:line="360" w:lineRule="auto"/>
        <w:jc w:val="both"/>
        <w:rPr>
          <w:b/>
          <w:color w:val="auto"/>
          <w:sz w:val="28"/>
          <w:szCs w:val="28"/>
          <w:highlight w:val="none"/>
        </w:rPr>
      </w:pPr>
    </w:p>
    <w:p w14:paraId="48951BF2">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6673A88">
      <w:pPr>
        <w:pStyle w:val="21"/>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r>
        <w:rPr>
          <w:rFonts w:hint="eastAsia"/>
          <w:b/>
          <w:color w:val="auto"/>
          <w:sz w:val="28"/>
          <w:szCs w:val="28"/>
          <w:highlight w:val="none"/>
        </w:rPr>
        <w:t>2、有效营业执照</w:t>
      </w:r>
    </w:p>
    <w:p w14:paraId="2721D244">
      <w:pPr>
        <w:pStyle w:val="21"/>
        <w:tabs>
          <w:tab w:val="left" w:pos="630"/>
          <w:tab w:val="left" w:pos="840"/>
          <w:tab w:val="left" w:pos="1050"/>
        </w:tabs>
        <w:adjustRightInd w:val="0"/>
        <w:snapToGrid w:val="0"/>
        <w:spacing w:before="0" w:beforeAutospacing="0" w:after="0" w:afterAutospacing="0" w:line="360" w:lineRule="auto"/>
        <w:ind w:left="420"/>
        <w:rPr>
          <w:bCs/>
          <w:color w:val="auto"/>
          <w:highlight w:val="none"/>
        </w:rPr>
      </w:pPr>
    </w:p>
    <w:p w14:paraId="033DA0B0">
      <w:pPr>
        <w:pStyle w:val="21"/>
        <w:tabs>
          <w:tab w:val="left" w:pos="630"/>
          <w:tab w:val="left" w:pos="840"/>
          <w:tab w:val="left" w:pos="1050"/>
        </w:tabs>
        <w:adjustRightInd w:val="0"/>
        <w:snapToGrid w:val="0"/>
        <w:spacing w:before="0" w:beforeAutospacing="0" w:after="0" w:afterAutospacing="0" w:line="360" w:lineRule="auto"/>
        <w:ind w:left="420"/>
        <w:rPr>
          <w:bCs/>
          <w:color w:val="auto"/>
          <w:sz w:val="22"/>
          <w:szCs w:val="22"/>
          <w:highlight w:val="none"/>
        </w:rPr>
      </w:pPr>
      <w:r>
        <w:rPr>
          <w:rFonts w:hint="eastAsia"/>
          <w:bCs/>
          <w:color w:val="auto"/>
          <w:sz w:val="22"/>
          <w:szCs w:val="22"/>
          <w:highlight w:val="none"/>
        </w:rPr>
        <w:t>投标人须在投标文件中出具符合以下情况的证明材料复印件（五选一）：</w:t>
      </w:r>
    </w:p>
    <w:p w14:paraId="155BD7B7">
      <w:pPr>
        <w:pStyle w:val="21"/>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①如投标人是企业（包括合伙企业），提供在工商部门注册的有效“企业法人营业执照”或“营业执照”；</w:t>
      </w:r>
    </w:p>
    <w:p w14:paraId="10B5E580">
      <w:pPr>
        <w:pStyle w:val="21"/>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②如投标人是事业单位，提供有效的“事业单位法人证书”；</w:t>
      </w:r>
    </w:p>
    <w:p w14:paraId="22904CC5">
      <w:pPr>
        <w:pStyle w:val="21"/>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③如投标人是非企业专业服务机构的，提供执业许可证等证明文件；</w:t>
      </w:r>
    </w:p>
    <w:p w14:paraId="5FFE0F72">
      <w:pPr>
        <w:pStyle w:val="21"/>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④如投标人是个体工商户，提供有效的“个体工商户营业执照”；</w:t>
      </w:r>
    </w:p>
    <w:p w14:paraId="793362B7">
      <w:pPr>
        <w:pStyle w:val="21"/>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⑤如投标人是自然人，提供有效的自然人身份证明（居民身份证正反面或公安机关出具的临时居民身份证正反面或港澳台胞证或护照）。</w:t>
      </w:r>
    </w:p>
    <w:p w14:paraId="230D2957">
      <w:pPr>
        <w:pStyle w:val="21"/>
        <w:tabs>
          <w:tab w:val="left" w:pos="312"/>
        </w:tabs>
        <w:adjustRightInd w:val="0"/>
        <w:snapToGrid w:val="0"/>
        <w:spacing w:before="0" w:beforeAutospacing="0" w:after="0" w:afterAutospacing="0" w:line="360" w:lineRule="auto"/>
        <w:rPr>
          <w:bCs/>
          <w:color w:val="auto"/>
          <w:sz w:val="22"/>
          <w:szCs w:val="22"/>
          <w:highlight w:val="none"/>
        </w:rPr>
      </w:pPr>
    </w:p>
    <w:p w14:paraId="6F1E6EBC">
      <w:pPr>
        <w:pStyle w:val="40"/>
        <w:tabs>
          <w:tab w:val="left" w:pos="1212"/>
          <w:tab w:val="left" w:pos="3888"/>
        </w:tabs>
        <w:snapToGrid w:val="0"/>
        <w:spacing w:line="360" w:lineRule="auto"/>
        <w:ind w:firstLine="420"/>
        <w:rPr>
          <w:rFonts w:hAnsi="宋体"/>
          <w:color w:val="auto"/>
          <w:sz w:val="22"/>
          <w:szCs w:val="22"/>
          <w:highlight w:val="none"/>
        </w:rPr>
      </w:pPr>
      <w:r>
        <w:rPr>
          <w:rFonts w:hint="eastAsia" w:hAnsi="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A8912D3">
      <w:pPr>
        <w:rPr>
          <w:rFonts w:ascii="宋体" w:hAnsi="宋体" w:cs="宋体"/>
          <w:color w:val="auto"/>
          <w:highlight w:val="none"/>
        </w:rPr>
      </w:pPr>
      <w:r>
        <w:rPr>
          <w:rFonts w:hint="eastAsia" w:ascii="宋体" w:hAnsi="宋体" w:cs="宋体"/>
          <w:b/>
          <w:bCs/>
          <w:color w:val="auto"/>
          <w:sz w:val="28"/>
          <w:szCs w:val="28"/>
          <w:highlight w:val="none"/>
        </w:rPr>
        <w:br w:type="page"/>
      </w:r>
    </w:p>
    <w:p w14:paraId="018E1E46">
      <w:pPr>
        <w:pStyle w:val="21"/>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r>
        <w:rPr>
          <w:rFonts w:hint="eastAsia"/>
          <w:b/>
          <w:color w:val="auto"/>
          <w:sz w:val="28"/>
          <w:szCs w:val="28"/>
          <w:highlight w:val="none"/>
        </w:rPr>
        <w:t>3、投标人信用查询</w:t>
      </w:r>
    </w:p>
    <w:p w14:paraId="3DFB942C">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1、投标人信用信息查询的查询渠道：“信用中国”(www.creditchina.gov.cn)；“中国政府采购网”（http://www.ccgp.gov.cn/）；</w:t>
      </w:r>
    </w:p>
    <w:p w14:paraId="3E66F79B">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2、投标人信用信息查询截止时点：招标公告发布之日至投标截止时间前。</w:t>
      </w:r>
    </w:p>
    <w:p w14:paraId="31DB506E">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3、投标人信用信息查询记录和证据留存的具体方式：</w:t>
      </w:r>
      <w:r>
        <w:rPr>
          <w:rFonts w:hint="eastAsia" w:ascii="宋体" w:hAnsi="宋体" w:cs="宋体"/>
          <w:b/>
          <w:bCs/>
          <w:color w:val="auto"/>
          <w:sz w:val="22"/>
          <w:highlight w:val="none"/>
        </w:rPr>
        <w:t>网页截图</w:t>
      </w:r>
      <w:r>
        <w:rPr>
          <w:rFonts w:hint="eastAsia" w:ascii="宋体" w:hAnsi="宋体" w:cs="宋体"/>
          <w:color w:val="auto"/>
          <w:sz w:val="22"/>
          <w:highlight w:val="none"/>
        </w:rPr>
        <w:t>；</w:t>
      </w:r>
    </w:p>
    <w:p w14:paraId="5D61819D">
      <w:pPr>
        <w:tabs>
          <w:tab w:val="left" w:pos="360"/>
        </w:tabs>
        <w:spacing w:line="460" w:lineRule="exact"/>
        <w:ind w:firstLine="550" w:firstLineChars="250"/>
        <w:rPr>
          <w:rFonts w:ascii="宋体" w:hAnsi="宋体" w:cs="宋体"/>
          <w:color w:val="auto"/>
          <w:sz w:val="22"/>
          <w:szCs w:val="22"/>
          <w:highlight w:val="none"/>
        </w:rPr>
      </w:pPr>
      <w:r>
        <w:rPr>
          <w:rFonts w:hint="eastAsia" w:ascii="宋体" w:hAnsi="宋体" w:cs="宋体"/>
          <w:color w:val="auto"/>
          <w:sz w:val="22"/>
          <w:highlight w:val="none"/>
        </w:rPr>
        <w:t>4、信用信息的使用规则：对列入失信被执行人、重大税收违法案件当事人名单、政府采购严重违法失信行为记录名单的投标人，其投标将作无效标处理。</w:t>
      </w:r>
    </w:p>
    <w:p w14:paraId="5EE2150C">
      <w:pPr>
        <w:rPr>
          <w:rFonts w:cs="宋体"/>
          <w:b/>
          <w:color w:val="auto"/>
          <w:kern w:val="0"/>
          <w:sz w:val="28"/>
          <w:szCs w:val="28"/>
          <w:highlight w:val="none"/>
        </w:rPr>
      </w:pPr>
    </w:p>
    <w:p w14:paraId="232F76EE">
      <w:pPr>
        <w:rPr>
          <w:rFonts w:cs="宋体"/>
          <w:b/>
          <w:color w:val="auto"/>
          <w:kern w:val="0"/>
          <w:sz w:val="28"/>
          <w:szCs w:val="28"/>
          <w:highlight w:val="none"/>
        </w:rPr>
      </w:pPr>
      <w:r>
        <w:rPr>
          <w:rFonts w:hint="eastAsia" w:cs="宋体"/>
          <w:b/>
          <w:color w:val="auto"/>
          <w:kern w:val="0"/>
          <w:sz w:val="28"/>
          <w:szCs w:val="28"/>
          <w:highlight w:val="none"/>
        </w:rPr>
        <w:br w:type="page"/>
      </w:r>
    </w:p>
    <w:p w14:paraId="481C9449">
      <w:pPr>
        <w:pStyle w:val="21"/>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r>
        <w:rPr>
          <w:rFonts w:hint="eastAsia"/>
          <w:b/>
          <w:color w:val="auto"/>
          <w:sz w:val="28"/>
          <w:szCs w:val="28"/>
          <w:highlight w:val="none"/>
        </w:rPr>
        <w:t>4、采购活动现场确认声明书</w:t>
      </w:r>
    </w:p>
    <w:p w14:paraId="133B0105">
      <w:pPr>
        <w:spacing w:line="460" w:lineRule="exact"/>
        <w:rPr>
          <w:rFonts w:ascii="宋体" w:hAnsi="宋体" w:cs="宋体"/>
          <w:b/>
          <w:bCs/>
          <w:color w:val="auto"/>
          <w:sz w:val="22"/>
          <w:szCs w:val="22"/>
          <w:highlight w:val="none"/>
        </w:rPr>
      </w:pPr>
    </w:p>
    <w:p w14:paraId="71E22EF5">
      <w:pPr>
        <w:spacing w:line="460" w:lineRule="exact"/>
        <w:rPr>
          <w:rFonts w:ascii="宋体" w:hAnsi="宋体" w:cs="宋体"/>
          <w:b/>
          <w:bCs/>
          <w:color w:val="auto"/>
          <w:sz w:val="22"/>
          <w:szCs w:val="22"/>
          <w:highlight w:val="none"/>
        </w:rPr>
      </w:pPr>
      <w:r>
        <w:rPr>
          <w:rFonts w:hint="eastAsia" w:ascii="宋体" w:hAnsi="宋体" w:cs="宋体"/>
          <w:color w:val="auto"/>
          <w:sz w:val="22"/>
          <w:szCs w:val="22"/>
          <w:highlight w:val="none"/>
        </w:rPr>
        <w:t>温州历程招标有限公司：</w:t>
      </w:r>
    </w:p>
    <w:p w14:paraId="4ED328C6">
      <w:pPr>
        <w:spacing w:line="460" w:lineRule="exact"/>
        <w:ind w:firstLine="440" w:firstLineChars="200"/>
        <w:rPr>
          <w:rFonts w:ascii="宋体" w:hAnsi="宋体" w:cs="宋体"/>
          <w:color w:val="auto"/>
          <w:sz w:val="22"/>
          <w:szCs w:val="22"/>
          <w:highlight w:val="none"/>
        </w:rPr>
      </w:pPr>
      <w:r>
        <w:rPr>
          <w:rFonts w:hint="eastAsia" w:ascii="宋体" w:hAnsi="宋体" w:cs="宋体"/>
          <w:color w:val="auto"/>
          <w:kern w:val="0"/>
          <w:sz w:val="22"/>
          <w:szCs w:val="22"/>
          <w:highlight w:val="none"/>
        </w:rPr>
        <w:t>本人经由</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（供应商名称）负责人</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（姓名）合法授权参加</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项目（编号：</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）采购活动，经与本单位法人代表（负责人）联系确认，现就有关公平竞争事项郑重声明如下：</w:t>
      </w:r>
    </w:p>
    <w:p w14:paraId="006E5B61">
      <w:pPr>
        <w:numPr>
          <w:ilvl w:val="0"/>
          <w:numId w:val="3"/>
        </w:num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本单位与招标人之间 □不存在利害关系 □存在下列利害关系：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A.投资关系    </w:t>
      </w:r>
    </w:p>
    <w:p w14:paraId="5C029669">
      <w:pPr>
        <w:spacing w:line="460" w:lineRule="exact"/>
        <w:ind w:firstLine="660" w:firstLineChars="3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B.行政隶属关系    </w:t>
      </w:r>
    </w:p>
    <w:p w14:paraId="26F40AB5">
      <w:pPr>
        <w:spacing w:line="460" w:lineRule="exact"/>
        <w:ind w:firstLine="660" w:firstLineChars="3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C.业务指导关系  </w:t>
      </w:r>
    </w:p>
    <w:p w14:paraId="1FA84B0C">
      <w:pPr>
        <w:spacing w:line="460" w:lineRule="exact"/>
        <w:ind w:firstLine="660" w:firstLineChars="300"/>
        <w:rPr>
          <w:rFonts w:ascii="宋体" w:hAnsi="宋体" w:cs="宋体"/>
          <w:color w:val="auto"/>
          <w:sz w:val="22"/>
          <w:szCs w:val="22"/>
          <w:highlight w:val="none"/>
        </w:rPr>
      </w:pPr>
      <w:r>
        <w:rPr>
          <w:rFonts w:hint="eastAsia" w:ascii="宋体" w:hAnsi="宋体" w:cs="宋体"/>
          <w:color w:val="auto"/>
          <w:kern w:val="0"/>
          <w:sz w:val="22"/>
          <w:szCs w:val="22"/>
          <w:highlight w:val="none"/>
        </w:rPr>
        <w:t>D.其他可能影响采购公正的利害关系</w:t>
      </w:r>
      <w:r>
        <w:rPr>
          <w:rStyle w:val="29"/>
          <w:rFonts w:hint="default"/>
          <w:color w:val="auto"/>
          <w:sz w:val="22"/>
          <w:szCs w:val="22"/>
          <w:highlight w:val="none"/>
        </w:rPr>
        <w:t xml:space="preserve">（如有，请如实说明）                 </w:t>
      </w:r>
      <w:r>
        <w:rPr>
          <w:rFonts w:hint="eastAsia" w:ascii="宋体" w:hAnsi="宋体" w:cs="宋体"/>
          <w:color w:val="auto"/>
          <w:kern w:val="0"/>
          <w:sz w:val="22"/>
          <w:szCs w:val="22"/>
          <w:highlight w:val="none"/>
        </w:rPr>
        <w:t>。</w:t>
      </w:r>
    </w:p>
    <w:p w14:paraId="5FD0FA73">
      <w:pPr>
        <w:numPr>
          <w:ilvl w:val="0"/>
          <w:numId w:val="3"/>
        </w:num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现已清楚知道参加本项目采购活动的其他所有供应商名称，本单位 </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□与其他所有供应商之间均不存在利害关系 </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□与</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供应商名称）之间存在下列利害关系</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A.法定代表人或负责人或实际控制人是同一人</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B.法定代表人或负责人或实际控制人是夫妻关系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C.法定代表人或负责人或实际控制人是直系血亲关系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D.法定代表人或负责人或实际控制人存在三代以内旁系血亲关系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E.法定代表人或负责人或实际控制人存在近姻亲关系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F.法定代表人或负责人或实际控制人存在股份控制或实际控制关系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G.存在共同直接或间接投资设立子公司、联营企业和合营企业情况</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I.其他利害关系情况</w:t>
      </w:r>
      <w:r>
        <w:rPr>
          <w:rFonts w:hint="eastAsia" w:ascii="宋体" w:hAnsi="宋体" w:cs="宋体"/>
          <w:color w:val="auto"/>
          <w:kern w:val="0"/>
          <w:sz w:val="22"/>
          <w:szCs w:val="22"/>
          <w:highlight w:val="none"/>
          <w:u w:val="single"/>
        </w:rPr>
        <w:t xml:space="preserve">                              。</w:t>
      </w:r>
    </w:p>
    <w:p w14:paraId="12093478">
      <w:pPr>
        <w:pStyle w:val="11"/>
        <w:spacing w:line="460" w:lineRule="exact"/>
        <w:ind w:left="0" w:firstLine="0" w:firstLineChars="0"/>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（三）现已清楚知道并严格遵守政府采购法律法规和现场纪律</w:t>
      </w:r>
    </w:p>
    <w:p w14:paraId="38847A91">
      <w:pPr>
        <w:pStyle w:val="11"/>
        <w:spacing w:line="460" w:lineRule="exact"/>
        <w:ind w:left="0" w:firstLine="0" w:firstLineChars="0"/>
        <w:rPr>
          <w:rFonts w:ascii="宋体" w:hAnsi="宋体" w:cs="宋体"/>
          <w:color w:val="auto"/>
          <w:kern w:val="0"/>
          <w:sz w:val="22"/>
          <w:szCs w:val="22"/>
          <w:highlight w:val="none"/>
        </w:rPr>
      </w:pPr>
      <w:r>
        <w:rPr>
          <w:rFonts w:hint="eastAsia" w:ascii="宋体" w:hAnsi="宋体" w:cs="宋体"/>
          <w:color w:val="auto"/>
          <w:kern w:val="0"/>
          <w:sz w:val="22"/>
          <w:szCs w:val="22"/>
          <w:highlight w:val="none"/>
        </w:rPr>
        <w:t>（四）我发现</w:t>
      </w:r>
      <w:r>
        <w:rPr>
          <w:rStyle w:val="29"/>
          <w:rFonts w:hint="default"/>
          <w:color w:val="auto"/>
          <w:sz w:val="22"/>
          <w:szCs w:val="22"/>
          <w:highlight w:val="none"/>
        </w:rPr>
        <w:t xml:space="preserve">                  与                  （供应商名称）</w:t>
      </w:r>
      <w:r>
        <w:rPr>
          <w:rFonts w:hint="eastAsia" w:ascii="宋体" w:hAnsi="宋体" w:cs="宋体"/>
          <w:color w:val="auto"/>
          <w:kern w:val="0"/>
          <w:sz w:val="22"/>
          <w:szCs w:val="22"/>
          <w:highlight w:val="none"/>
        </w:rPr>
        <w:t>之间存在或可能存在上述第二条第</w:t>
      </w:r>
      <w:r>
        <w:rPr>
          <w:rStyle w:val="29"/>
          <w:rFonts w:hint="default"/>
          <w:color w:val="auto"/>
          <w:sz w:val="22"/>
          <w:szCs w:val="22"/>
          <w:highlight w:val="none"/>
        </w:rPr>
        <w:t xml:space="preserve">        </w:t>
      </w:r>
      <w:r>
        <w:rPr>
          <w:rFonts w:hint="eastAsia" w:ascii="宋体" w:hAnsi="宋体" w:cs="宋体"/>
          <w:color w:val="auto"/>
          <w:kern w:val="0"/>
          <w:sz w:val="22"/>
          <w:szCs w:val="22"/>
          <w:highlight w:val="none"/>
        </w:rPr>
        <w:t>项利害关系。</w:t>
      </w:r>
    </w:p>
    <w:p w14:paraId="232BD76E">
      <w:pPr>
        <w:pStyle w:val="11"/>
        <w:spacing w:line="460" w:lineRule="exact"/>
        <w:ind w:left="0" w:firstLine="0" w:firstLineChars="0"/>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供应商代表签名:</w:t>
      </w:r>
    </w:p>
    <w:p w14:paraId="3593E374">
      <w:pPr>
        <w:pStyle w:val="11"/>
        <w:spacing w:line="460" w:lineRule="exact"/>
        <w:ind w:left="0" w:firstLine="0" w:firstLineChars="0"/>
        <w:jc w:val="right"/>
        <w:rPr>
          <w:rFonts w:ascii="宋体" w:hAnsi="宋体" w:cs="宋体"/>
          <w:b/>
          <w:bCs/>
          <w:color w:val="auto"/>
          <w:sz w:val="22"/>
          <w:szCs w:val="22"/>
          <w:highlight w:val="none"/>
        </w:rPr>
      </w:pPr>
      <w:r>
        <w:rPr>
          <w:rFonts w:hint="eastAsia" w:ascii="宋体" w:hAnsi="宋体" w:cs="宋体"/>
          <w:b/>
          <w:color w:val="auto"/>
          <w:kern w:val="0"/>
          <w:sz w:val="22"/>
          <w:szCs w:val="22"/>
          <w:highlight w:val="none"/>
        </w:rPr>
        <w:t>日期:202  年    月    日</w:t>
      </w:r>
    </w:p>
    <w:p w14:paraId="78C08F3F">
      <w:pPr>
        <w:rPr>
          <w:rFonts w:ascii="宋体" w:hAnsi="宋体" w:cs="宋体"/>
          <w:b/>
          <w:bCs/>
          <w:color w:val="auto"/>
          <w:sz w:val="22"/>
          <w:szCs w:val="22"/>
          <w:highlight w:val="none"/>
        </w:rPr>
      </w:pPr>
      <w:r>
        <w:rPr>
          <w:rFonts w:hint="eastAsia" w:ascii="宋体" w:hAnsi="宋体" w:cs="宋体"/>
          <w:b/>
          <w:bCs/>
          <w:color w:val="auto"/>
          <w:sz w:val="22"/>
          <w:szCs w:val="22"/>
          <w:highlight w:val="none"/>
        </w:rPr>
        <w:br w:type="page"/>
      </w:r>
    </w:p>
    <w:p w14:paraId="43473EC8">
      <w:pPr>
        <w:pStyle w:val="21"/>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r>
        <w:rPr>
          <w:rFonts w:hint="eastAsia"/>
          <w:b/>
          <w:color w:val="auto"/>
          <w:sz w:val="28"/>
          <w:szCs w:val="28"/>
          <w:highlight w:val="none"/>
        </w:rPr>
        <w:t>5、落实政府采购政策需满足的资格要求证明材料</w:t>
      </w:r>
    </w:p>
    <w:p w14:paraId="7AE1CE71">
      <w:pPr>
        <w:pStyle w:val="11"/>
        <w:spacing w:line="460" w:lineRule="exact"/>
        <w:ind w:left="0" w:firstLine="0" w:firstLineChars="0"/>
        <w:jc w:val="right"/>
        <w:rPr>
          <w:rFonts w:ascii="新宋体" w:hAnsi="新宋体" w:eastAsia="新宋体" w:cs="新宋体"/>
          <w:b/>
          <w:bCs/>
          <w:color w:val="auto"/>
          <w:sz w:val="22"/>
          <w:szCs w:val="22"/>
          <w:highlight w:val="none"/>
        </w:rPr>
      </w:pPr>
      <w:r>
        <w:rPr>
          <w:rFonts w:hint="eastAsia" w:ascii="宋体" w:hAnsi="宋体" w:cs="宋体"/>
          <w:color w:val="auto"/>
          <w:sz w:val="22"/>
          <w:szCs w:val="22"/>
          <w:highlight w:val="none"/>
        </w:rPr>
        <w:t>（根据招标公告落实政府采购政策需满足的资格要求选择提供相应的材料；未要求的，无需提供）</w:t>
      </w:r>
    </w:p>
    <w:p w14:paraId="340D1119">
      <w:pPr>
        <w:rPr>
          <w:rFonts w:ascii="新宋体" w:hAnsi="新宋体" w:eastAsia="新宋体" w:cs="新宋体"/>
          <w:b/>
          <w:bCs/>
          <w:color w:val="auto"/>
          <w:sz w:val="22"/>
          <w:szCs w:val="22"/>
          <w:highlight w:val="none"/>
        </w:rPr>
      </w:pPr>
    </w:p>
    <w:p w14:paraId="177BD06A">
      <w:pPr>
        <w:pStyle w:val="8"/>
        <w:rPr>
          <w:color w:val="auto"/>
          <w:highlight w:val="none"/>
        </w:rPr>
      </w:pPr>
    </w:p>
    <w:p w14:paraId="37A0088B">
      <w:pP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br w:type="page"/>
      </w:r>
    </w:p>
    <w:p w14:paraId="568AF7D9">
      <w:pPr>
        <w:outlineLvl w:val="1"/>
        <w:rPr>
          <w:rFonts w:ascii="宋体" w:hAnsi="宋体" w:cs="宋体"/>
          <w:b/>
          <w:bCs/>
          <w:color w:val="auto"/>
          <w:sz w:val="22"/>
          <w:szCs w:val="22"/>
          <w:highlight w:val="none"/>
        </w:rPr>
      </w:pPr>
      <w:r>
        <w:rPr>
          <w:rFonts w:hint="eastAsia" w:ascii="宋体" w:hAnsi="宋体" w:cs="宋体"/>
          <w:b/>
          <w:bCs/>
          <w:color w:val="auto"/>
          <w:sz w:val="22"/>
          <w:szCs w:val="22"/>
          <w:highlight w:val="none"/>
        </w:rPr>
        <w:t>附件三</w:t>
      </w:r>
      <w:bookmarkEnd w:id="37"/>
      <w:bookmarkEnd w:id="38"/>
    </w:p>
    <w:p w14:paraId="4D761561">
      <w:pPr>
        <w:spacing w:line="460" w:lineRule="exact"/>
        <w:jc w:val="center"/>
        <w:outlineLvl w:val="2"/>
        <w:rPr>
          <w:rFonts w:ascii="宋体" w:hAnsi="宋体" w:cs="宋体"/>
          <w:b/>
          <w:bCs/>
          <w:color w:val="auto"/>
          <w:sz w:val="28"/>
          <w:szCs w:val="28"/>
          <w:highlight w:val="none"/>
          <w:lang w:val="zh-CN"/>
        </w:rPr>
      </w:pPr>
      <w:bookmarkStart w:id="39" w:name="_Toc29102"/>
      <w:bookmarkStart w:id="40" w:name="_Toc13639"/>
      <w:r>
        <w:rPr>
          <w:rFonts w:hint="eastAsia" w:ascii="宋体" w:hAnsi="宋体" w:cs="宋体"/>
          <w:b/>
          <w:bCs/>
          <w:color w:val="auto"/>
          <w:sz w:val="28"/>
          <w:szCs w:val="28"/>
          <w:highlight w:val="none"/>
          <w:lang w:val="zh-CN"/>
        </w:rPr>
        <w:t>商务技术文件</w:t>
      </w:r>
      <w:bookmarkEnd w:id="39"/>
      <w:bookmarkEnd w:id="40"/>
    </w:p>
    <w:p w14:paraId="25C23005">
      <w:pPr>
        <w:spacing w:line="380" w:lineRule="exact"/>
        <w:jc w:val="center"/>
        <w:outlineLvl w:val="3"/>
        <w:rPr>
          <w:rFonts w:ascii="宋体" w:hAnsi="宋体" w:cs="宋体"/>
          <w:b/>
          <w:color w:val="auto"/>
          <w:sz w:val="22"/>
          <w:szCs w:val="22"/>
          <w:highlight w:val="none"/>
        </w:rPr>
      </w:pPr>
      <w:r>
        <w:rPr>
          <w:rFonts w:hint="eastAsia" w:ascii="宋体" w:hAnsi="宋体" w:cs="宋体"/>
          <w:b/>
          <w:color w:val="auto"/>
          <w:sz w:val="24"/>
          <w:highlight w:val="none"/>
        </w:rPr>
        <w:t>1、法定代表人授权书</w:t>
      </w:r>
    </w:p>
    <w:p w14:paraId="7851AAAB">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温州市人民医院：</w:t>
      </w:r>
    </w:p>
    <w:p w14:paraId="18D80F48">
      <w:pPr>
        <w:spacing w:line="460" w:lineRule="exact"/>
        <w:rPr>
          <w:rFonts w:ascii="宋体" w:hAnsi="宋体" w:cs="宋体"/>
          <w:color w:val="auto"/>
          <w:sz w:val="22"/>
          <w:szCs w:val="22"/>
          <w:highlight w:val="none"/>
          <w:u w:val="single"/>
        </w:rPr>
      </w:pPr>
    </w:p>
    <w:p w14:paraId="0DA86454">
      <w:pPr>
        <w:spacing w:line="46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（投标人全称）法定代表人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（全权代表姓名）为全权代表，参加贵处组织的（项目名称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）的招标活动，全权代表我方处理招标活动中的一切事宜。</w:t>
      </w:r>
    </w:p>
    <w:p w14:paraId="478C4650">
      <w:pPr>
        <w:spacing w:line="460" w:lineRule="exact"/>
        <w:ind w:firstLine="2955"/>
        <w:rPr>
          <w:rFonts w:ascii="宋体" w:hAnsi="宋体" w:cs="宋体"/>
          <w:color w:val="auto"/>
          <w:sz w:val="22"/>
          <w:szCs w:val="22"/>
          <w:highlight w:val="none"/>
        </w:rPr>
      </w:pPr>
    </w:p>
    <w:p w14:paraId="6590B820">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2A5A2117">
      <w:pPr>
        <w:spacing w:line="460" w:lineRule="exact"/>
        <w:ind w:firstLine="4081" w:firstLineChars="1855"/>
        <w:rPr>
          <w:rFonts w:ascii="宋体" w:hAnsi="宋体" w:cs="宋体"/>
          <w:color w:val="auto"/>
          <w:sz w:val="22"/>
          <w:szCs w:val="22"/>
          <w:highlight w:val="none"/>
        </w:rPr>
      </w:pPr>
      <w:r>
        <w:rPr>
          <w:rFonts w:hint="eastAsia" w:ascii="宋体" w:hAnsi="宋体" w:cs="宋体"/>
          <w:color w:val="auto"/>
          <w:sz w:val="22"/>
          <w:szCs w:val="22"/>
          <w:highlight w:val="none"/>
        </w:rPr>
        <w:t>法定代表人  (签字或盖章)：</w:t>
      </w:r>
    </w:p>
    <w:p w14:paraId="7AEB62CC">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投标人全称（公章）：</w:t>
      </w:r>
    </w:p>
    <w:p w14:paraId="20EBB5C1">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日   期：  </w:t>
      </w:r>
    </w:p>
    <w:p w14:paraId="13307C5D">
      <w:pPr>
        <w:spacing w:line="380" w:lineRule="exact"/>
        <w:rPr>
          <w:rFonts w:ascii="宋体" w:hAnsi="宋体" w:cs="宋体"/>
          <w:color w:val="auto"/>
          <w:sz w:val="22"/>
          <w:szCs w:val="22"/>
          <w:highlight w:val="none"/>
        </w:rPr>
      </w:pPr>
    </w:p>
    <w:p w14:paraId="6E444831">
      <w:pPr>
        <w:spacing w:line="380" w:lineRule="exact"/>
        <w:rPr>
          <w:rFonts w:ascii="宋体" w:hAnsi="宋体" w:cs="宋体"/>
          <w:color w:val="auto"/>
          <w:sz w:val="22"/>
          <w:szCs w:val="22"/>
          <w:highlight w:val="none"/>
        </w:rPr>
      </w:pPr>
    </w:p>
    <w:p w14:paraId="6B657953">
      <w:pPr>
        <w:spacing w:line="380" w:lineRule="exact"/>
        <w:rPr>
          <w:rFonts w:ascii="宋体" w:hAnsi="宋体" w:cs="宋体"/>
          <w:color w:val="auto"/>
          <w:sz w:val="22"/>
          <w:szCs w:val="22"/>
          <w:highlight w:val="none"/>
        </w:rPr>
      </w:pPr>
    </w:p>
    <w:p w14:paraId="7E6A20B8">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附：</w:t>
      </w:r>
    </w:p>
    <w:p w14:paraId="78366BBA">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 xml:space="preserve">授权代表姓名：                               </w:t>
      </w:r>
    </w:p>
    <w:p w14:paraId="2D260098">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职务：</w:t>
      </w:r>
    </w:p>
    <w:p w14:paraId="5FA4B796">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详细通讯地址：</w:t>
      </w:r>
    </w:p>
    <w:p w14:paraId="192E9A6A">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电话：</w:t>
      </w:r>
    </w:p>
    <w:p w14:paraId="5A23A006">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传真：</w:t>
      </w:r>
    </w:p>
    <w:p w14:paraId="6583A468">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邮政编码:</w:t>
      </w:r>
    </w:p>
    <w:p w14:paraId="49A4736C">
      <w:pPr>
        <w:spacing w:line="380" w:lineRule="exact"/>
        <w:rPr>
          <w:rFonts w:ascii="宋体" w:hAnsi="宋体" w:cs="宋体"/>
          <w:color w:val="auto"/>
          <w:sz w:val="22"/>
          <w:szCs w:val="22"/>
          <w:highlight w:val="none"/>
        </w:rPr>
      </w:pPr>
    </w:p>
    <w:p w14:paraId="276EC3D4">
      <w:pPr>
        <w:spacing w:line="460" w:lineRule="exact"/>
        <w:jc w:val="center"/>
        <w:rPr>
          <w:rFonts w:ascii="宋体" w:hAnsi="宋体" w:cs="宋体"/>
          <w:b/>
          <w:bCs/>
          <w:color w:val="auto"/>
          <w:sz w:val="28"/>
          <w:szCs w:val="28"/>
          <w:highlight w:val="none"/>
        </w:rPr>
      </w:pPr>
    </w:p>
    <w:p w14:paraId="1D0E79A4">
      <w:pPr>
        <w:spacing w:line="460" w:lineRule="exact"/>
        <w:jc w:val="center"/>
        <w:rPr>
          <w:rFonts w:ascii="宋体" w:hAnsi="宋体" w:cs="宋体"/>
          <w:b/>
          <w:bCs/>
          <w:color w:val="auto"/>
          <w:sz w:val="28"/>
          <w:szCs w:val="28"/>
          <w:highlight w:val="none"/>
        </w:rPr>
      </w:pPr>
    </w:p>
    <w:p w14:paraId="58D4476B">
      <w:pPr>
        <w:spacing w:line="460" w:lineRule="exact"/>
        <w:jc w:val="center"/>
        <w:rPr>
          <w:rFonts w:ascii="宋体" w:hAnsi="宋体" w:cs="宋体"/>
          <w:b/>
          <w:bCs/>
          <w:color w:val="auto"/>
          <w:sz w:val="28"/>
          <w:szCs w:val="28"/>
          <w:highlight w:val="none"/>
        </w:rPr>
      </w:pPr>
    </w:p>
    <w:p w14:paraId="592FB0B8">
      <w:pPr>
        <w:spacing w:line="460" w:lineRule="exact"/>
        <w:jc w:val="center"/>
        <w:rPr>
          <w:rFonts w:ascii="宋体" w:hAnsi="宋体" w:cs="宋体"/>
          <w:b/>
          <w:bCs/>
          <w:color w:val="auto"/>
          <w:sz w:val="28"/>
          <w:szCs w:val="28"/>
          <w:highlight w:val="none"/>
        </w:rPr>
      </w:pPr>
    </w:p>
    <w:p w14:paraId="022AB866">
      <w:pPr>
        <w:spacing w:line="460" w:lineRule="exact"/>
        <w:jc w:val="center"/>
        <w:rPr>
          <w:rFonts w:ascii="宋体" w:hAnsi="宋体" w:cs="宋体"/>
          <w:b/>
          <w:bCs/>
          <w:color w:val="auto"/>
          <w:sz w:val="28"/>
          <w:szCs w:val="28"/>
          <w:highlight w:val="none"/>
        </w:rPr>
      </w:pPr>
    </w:p>
    <w:p w14:paraId="5BC2969B">
      <w:pPr>
        <w:spacing w:line="460" w:lineRule="exact"/>
        <w:jc w:val="center"/>
        <w:rPr>
          <w:rFonts w:ascii="宋体" w:hAnsi="宋体" w:cs="宋体"/>
          <w:b/>
          <w:bCs/>
          <w:color w:val="auto"/>
          <w:sz w:val="28"/>
          <w:szCs w:val="28"/>
          <w:highlight w:val="none"/>
        </w:rPr>
      </w:pPr>
    </w:p>
    <w:p w14:paraId="06DCA4F8">
      <w:pPr>
        <w:spacing w:line="460" w:lineRule="exact"/>
        <w:jc w:val="center"/>
        <w:rPr>
          <w:rFonts w:ascii="宋体" w:hAnsi="宋体" w:cs="宋体"/>
          <w:b/>
          <w:bCs/>
          <w:color w:val="auto"/>
          <w:sz w:val="28"/>
          <w:szCs w:val="28"/>
          <w:highlight w:val="none"/>
        </w:rPr>
      </w:pPr>
    </w:p>
    <w:p w14:paraId="46869D4E">
      <w:pPr>
        <w:spacing w:line="460" w:lineRule="exact"/>
        <w:jc w:val="center"/>
        <w:rPr>
          <w:rFonts w:ascii="宋体" w:hAnsi="宋体" w:cs="宋体"/>
          <w:b/>
          <w:bCs/>
          <w:color w:val="auto"/>
          <w:sz w:val="28"/>
          <w:szCs w:val="28"/>
          <w:highlight w:val="none"/>
        </w:rPr>
      </w:pPr>
    </w:p>
    <w:p w14:paraId="1A5ACAEC">
      <w:pPr>
        <w:spacing w:line="460" w:lineRule="exact"/>
        <w:jc w:val="center"/>
        <w:rPr>
          <w:rFonts w:ascii="宋体" w:hAnsi="宋体" w:cs="宋体"/>
          <w:b/>
          <w:bCs/>
          <w:color w:val="auto"/>
          <w:sz w:val="28"/>
          <w:szCs w:val="28"/>
          <w:highlight w:val="none"/>
        </w:rPr>
      </w:pPr>
    </w:p>
    <w:p w14:paraId="27D7B96E">
      <w:pPr>
        <w:spacing w:line="460" w:lineRule="exact"/>
        <w:jc w:val="center"/>
        <w:rPr>
          <w:rFonts w:ascii="宋体" w:hAnsi="宋体" w:cs="宋体"/>
          <w:b/>
          <w:bCs/>
          <w:color w:val="auto"/>
          <w:sz w:val="28"/>
          <w:szCs w:val="28"/>
          <w:highlight w:val="none"/>
        </w:rPr>
      </w:pPr>
      <w:r>
        <w:rPr>
          <w:rFonts w:ascii="宋体" w:hAnsi="宋体" w:cs="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B32B600">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14:paraId="0B32B600">
                      <w:r>
                        <w:rPr>
                          <w:rFonts w:hint="eastAsia" w:ascii="新宋体" w:hAnsi="新宋体" w:eastAsia="新宋体"/>
                          <w:sz w:val="22"/>
                          <w:szCs w:val="22"/>
                        </w:rPr>
                        <w:t xml:space="preserve">  法定代表人身份证（正反面）：</w:t>
                      </w:r>
                    </w:p>
                  </w:txbxContent>
                </v:textbox>
              </v:shape>
            </w:pict>
          </mc:Fallback>
        </mc:AlternateContent>
      </w:r>
    </w:p>
    <w:p w14:paraId="74402AA9">
      <w:pPr>
        <w:spacing w:line="460" w:lineRule="exact"/>
        <w:jc w:val="center"/>
        <w:rPr>
          <w:rFonts w:ascii="宋体" w:hAnsi="宋体" w:cs="宋体"/>
          <w:b/>
          <w:bCs/>
          <w:color w:val="auto"/>
          <w:sz w:val="28"/>
          <w:szCs w:val="28"/>
          <w:highlight w:val="none"/>
        </w:rPr>
      </w:pPr>
    </w:p>
    <w:p w14:paraId="636FCF67">
      <w:pPr>
        <w:spacing w:line="460" w:lineRule="exact"/>
        <w:jc w:val="center"/>
        <w:rPr>
          <w:rFonts w:ascii="宋体" w:hAnsi="宋体" w:cs="宋体"/>
          <w:b/>
          <w:bCs/>
          <w:color w:val="auto"/>
          <w:sz w:val="28"/>
          <w:szCs w:val="28"/>
          <w:highlight w:val="none"/>
        </w:rPr>
      </w:pPr>
    </w:p>
    <w:p w14:paraId="11DEEF7F">
      <w:pPr>
        <w:spacing w:line="460" w:lineRule="exact"/>
        <w:jc w:val="center"/>
        <w:rPr>
          <w:rFonts w:ascii="宋体" w:hAnsi="宋体" w:cs="宋体"/>
          <w:b/>
          <w:bCs/>
          <w:color w:val="auto"/>
          <w:sz w:val="28"/>
          <w:szCs w:val="28"/>
          <w:highlight w:val="none"/>
        </w:rPr>
      </w:pPr>
    </w:p>
    <w:p w14:paraId="34416456">
      <w:pPr>
        <w:spacing w:line="460" w:lineRule="exact"/>
        <w:jc w:val="center"/>
        <w:rPr>
          <w:rFonts w:ascii="宋体" w:hAnsi="宋体" w:cs="宋体"/>
          <w:b/>
          <w:bCs/>
          <w:color w:val="auto"/>
          <w:sz w:val="28"/>
          <w:szCs w:val="28"/>
          <w:highlight w:val="none"/>
        </w:rPr>
      </w:pPr>
    </w:p>
    <w:p w14:paraId="1949BC70">
      <w:pPr>
        <w:spacing w:line="460" w:lineRule="exact"/>
        <w:jc w:val="center"/>
        <w:rPr>
          <w:rFonts w:ascii="宋体" w:hAnsi="宋体" w:cs="宋体"/>
          <w:b/>
          <w:bCs/>
          <w:color w:val="auto"/>
          <w:sz w:val="28"/>
          <w:szCs w:val="28"/>
          <w:highlight w:val="none"/>
        </w:rPr>
      </w:pPr>
    </w:p>
    <w:p w14:paraId="3ACC1CDC">
      <w:pPr>
        <w:spacing w:line="460" w:lineRule="exact"/>
        <w:jc w:val="center"/>
        <w:rPr>
          <w:rFonts w:ascii="宋体" w:hAnsi="宋体" w:cs="宋体"/>
          <w:b/>
          <w:bCs/>
          <w:color w:val="auto"/>
          <w:sz w:val="28"/>
          <w:szCs w:val="28"/>
          <w:highlight w:val="none"/>
        </w:rPr>
      </w:pPr>
    </w:p>
    <w:p w14:paraId="06872678">
      <w:pPr>
        <w:spacing w:line="460" w:lineRule="exact"/>
        <w:jc w:val="center"/>
        <w:rPr>
          <w:rFonts w:ascii="宋体" w:hAnsi="宋体" w:cs="宋体"/>
          <w:b/>
          <w:bCs/>
          <w:color w:val="auto"/>
          <w:sz w:val="28"/>
          <w:szCs w:val="28"/>
          <w:highlight w:val="none"/>
        </w:rPr>
      </w:pPr>
    </w:p>
    <w:p w14:paraId="74FFBA70">
      <w:pPr>
        <w:spacing w:line="460" w:lineRule="exact"/>
        <w:jc w:val="center"/>
        <w:rPr>
          <w:rFonts w:ascii="宋体" w:hAnsi="宋体" w:cs="宋体"/>
          <w:b/>
          <w:bCs/>
          <w:color w:val="auto"/>
          <w:sz w:val="28"/>
          <w:szCs w:val="28"/>
          <w:highlight w:val="none"/>
        </w:rPr>
      </w:pPr>
    </w:p>
    <w:p w14:paraId="1AB80302">
      <w:pPr>
        <w:spacing w:line="460" w:lineRule="exact"/>
        <w:jc w:val="center"/>
        <w:rPr>
          <w:rFonts w:ascii="宋体" w:hAnsi="宋体" w:cs="宋体"/>
          <w:b/>
          <w:bCs/>
          <w:color w:val="auto"/>
          <w:sz w:val="28"/>
          <w:szCs w:val="28"/>
          <w:highlight w:val="none"/>
        </w:rPr>
      </w:pPr>
    </w:p>
    <w:p w14:paraId="74141E22">
      <w:pPr>
        <w:spacing w:line="460" w:lineRule="exact"/>
        <w:jc w:val="center"/>
        <w:rPr>
          <w:rFonts w:ascii="宋体" w:hAnsi="宋体" w:cs="宋体"/>
          <w:b/>
          <w:bCs/>
          <w:color w:val="auto"/>
          <w:sz w:val="28"/>
          <w:szCs w:val="28"/>
          <w:highlight w:val="none"/>
        </w:rPr>
      </w:pPr>
    </w:p>
    <w:p w14:paraId="3EB7F3B3">
      <w:pPr>
        <w:spacing w:line="460" w:lineRule="exact"/>
        <w:jc w:val="center"/>
        <w:rPr>
          <w:rFonts w:ascii="宋体" w:hAnsi="宋体" w:cs="宋体"/>
          <w:b/>
          <w:bCs/>
          <w:color w:val="auto"/>
          <w:sz w:val="28"/>
          <w:szCs w:val="28"/>
          <w:highlight w:val="none"/>
        </w:rPr>
      </w:pPr>
    </w:p>
    <w:p w14:paraId="1243DCA8">
      <w:pPr>
        <w:spacing w:line="460" w:lineRule="exact"/>
        <w:jc w:val="center"/>
        <w:rPr>
          <w:rFonts w:ascii="宋体" w:hAnsi="宋体" w:cs="宋体"/>
          <w:b/>
          <w:bCs/>
          <w:color w:val="auto"/>
          <w:sz w:val="28"/>
          <w:szCs w:val="28"/>
          <w:highlight w:val="none"/>
        </w:rPr>
      </w:pPr>
    </w:p>
    <w:p w14:paraId="25C1D7BB">
      <w:pPr>
        <w:spacing w:line="460" w:lineRule="exact"/>
        <w:jc w:val="center"/>
        <w:rPr>
          <w:rFonts w:ascii="宋体" w:hAnsi="宋体" w:cs="宋体"/>
          <w:b/>
          <w:bCs/>
          <w:color w:val="auto"/>
          <w:sz w:val="28"/>
          <w:szCs w:val="28"/>
          <w:highlight w:val="none"/>
        </w:rPr>
      </w:pPr>
      <w:r>
        <w:rPr>
          <w:rFonts w:ascii="宋体" w:hAnsi="宋体" w:cs="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6690868">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14:paraId="46690868">
                      <w:r>
                        <w:rPr>
                          <w:rFonts w:hint="eastAsia" w:ascii="新宋体" w:hAnsi="新宋体" w:eastAsia="新宋体"/>
                          <w:sz w:val="22"/>
                          <w:szCs w:val="22"/>
                        </w:rPr>
                        <w:t xml:space="preserve">  授权代表身份证（正反面）：</w:t>
                      </w:r>
                    </w:p>
                  </w:txbxContent>
                </v:textbox>
              </v:shape>
            </w:pict>
          </mc:Fallback>
        </mc:AlternateContent>
      </w:r>
    </w:p>
    <w:p w14:paraId="2AFF81CA">
      <w:pPr>
        <w:spacing w:line="460" w:lineRule="exact"/>
        <w:jc w:val="center"/>
        <w:rPr>
          <w:rFonts w:ascii="宋体" w:hAnsi="宋体" w:cs="宋体"/>
          <w:b/>
          <w:bCs/>
          <w:color w:val="auto"/>
          <w:sz w:val="28"/>
          <w:szCs w:val="28"/>
          <w:highlight w:val="none"/>
        </w:rPr>
      </w:pPr>
    </w:p>
    <w:p w14:paraId="384962FC">
      <w:pPr>
        <w:spacing w:line="460" w:lineRule="exact"/>
        <w:jc w:val="center"/>
        <w:rPr>
          <w:rFonts w:ascii="宋体" w:hAnsi="宋体" w:cs="宋体"/>
          <w:b/>
          <w:bCs/>
          <w:color w:val="auto"/>
          <w:sz w:val="28"/>
          <w:szCs w:val="28"/>
          <w:highlight w:val="none"/>
        </w:rPr>
      </w:pPr>
    </w:p>
    <w:p w14:paraId="1BCF1701">
      <w:pPr>
        <w:spacing w:line="460" w:lineRule="exact"/>
        <w:jc w:val="center"/>
        <w:rPr>
          <w:rFonts w:ascii="宋体" w:hAnsi="宋体" w:cs="宋体"/>
          <w:b/>
          <w:bCs/>
          <w:color w:val="auto"/>
          <w:sz w:val="28"/>
          <w:szCs w:val="28"/>
          <w:highlight w:val="none"/>
        </w:rPr>
      </w:pPr>
    </w:p>
    <w:p w14:paraId="5330B0F6">
      <w:pPr>
        <w:spacing w:line="460" w:lineRule="exact"/>
        <w:jc w:val="center"/>
        <w:rPr>
          <w:rFonts w:ascii="宋体" w:hAnsi="宋体" w:cs="宋体"/>
          <w:b/>
          <w:bCs/>
          <w:color w:val="auto"/>
          <w:sz w:val="28"/>
          <w:szCs w:val="28"/>
          <w:highlight w:val="none"/>
        </w:rPr>
      </w:pPr>
    </w:p>
    <w:p w14:paraId="438096A8">
      <w:pPr>
        <w:spacing w:line="460" w:lineRule="exact"/>
        <w:jc w:val="center"/>
        <w:rPr>
          <w:rFonts w:ascii="宋体" w:hAnsi="宋体" w:cs="宋体"/>
          <w:b/>
          <w:bCs/>
          <w:color w:val="auto"/>
          <w:sz w:val="28"/>
          <w:szCs w:val="28"/>
          <w:highlight w:val="none"/>
        </w:rPr>
      </w:pPr>
    </w:p>
    <w:p w14:paraId="778CC998">
      <w:pPr>
        <w:spacing w:line="460" w:lineRule="exact"/>
        <w:jc w:val="center"/>
        <w:rPr>
          <w:rFonts w:ascii="宋体" w:hAnsi="宋体" w:cs="宋体"/>
          <w:b/>
          <w:bCs/>
          <w:color w:val="auto"/>
          <w:sz w:val="28"/>
          <w:szCs w:val="28"/>
          <w:highlight w:val="none"/>
        </w:rPr>
      </w:pPr>
    </w:p>
    <w:p w14:paraId="1548064D">
      <w:pPr>
        <w:spacing w:line="460" w:lineRule="exact"/>
        <w:jc w:val="center"/>
        <w:rPr>
          <w:rFonts w:ascii="宋体" w:hAnsi="宋体" w:cs="宋体"/>
          <w:b/>
          <w:bCs/>
          <w:color w:val="auto"/>
          <w:sz w:val="28"/>
          <w:szCs w:val="28"/>
          <w:highlight w:val="none"/>
        </w:rPr>
      </w:pPr>
    </w:p>
    <w:p w14:paraId="79F5CC74">
      <w:pPr>
        <w:spacing w:line="460" w:lineRule="exact"/>
        <w:jc w:val="center"/>
        <w:rPr>
          <w:rFonts w:ascii="宋体" w:hAnsi="宋体" w:cs="宋体"/>
          <w:b/>
          <w:bCs/>
          <w:color w:val="auto"/>
          <w:sz w:val="28"/>
          <w:szCs w:val="28"/>
          <w:highlight w:val="none"/>
        </w:rPr>
      </w:pPr>
    </w:p>
    <w:p w14:paraId="0A6E3534">
      <w:pPr>
        <w:spacing w:line="460" w:lineRule="exact"/>
        <w:jc w:val="center"/>
        <w:rPr>
          <w:rFonts w:ascii="宋体" w:hAnsi="宋体" w:cs="宋体"/>
          <w:b/>
          <w:bCs/>
          <w:color w:val="auto"/>
          <w:sz w:val="28"/>
          <w:szCs w:val="28"/>
          <w:highlight w:val="none"/>
        </w:rPr>
      </w:pPr>
    </w:p>
    <w:p w14:paraId="4E4C3BD1">
      <w:pPr>
        <w:spacing w:line="460" w:lineRule="exact"/>
        <w:jc w:val="center"/>
        <w:rPr>
          <w:rFonts w:ascii="宋体" w:hAnsi="宋体" w:cs="宋体"/>
          <w:b/>
          <w:bCs/>
          <w:color w:val="auto"/>
          <w:sz w:val="28"/>
          <w:szCs w:val="28"/>
          <w:highlight w:val="none"/>
        </w:rPr>
      </w:pPr>
    </w:p>
    <w:p w14:paraId="6EFBB5AE">
      <w:pPr>
        <w:spacing w:line="460" w:lineRule="exact"/>
        <w:jc w:val="center"/>
        <w:rPr>
          <w:rFonts w:ascii="宋体" w:hAnsi="宋体" w:cs="宋体"/>
          <w:b/>
          <w:bCs/>
          <w:color w:val="auto"/>
          <w:sz w:val="28"/>
          <w:szCs w:val="28"/>
          <w:highlight w:val="none"/>
        </w:rPr>
      </w:pPr>
    </w:p>
    <w:p w14:paraId="6F8F3C41">
      <w:pPr>
        <w:spacing w:line="460" w:lineRule="exact"/>
        <w:jc w:val="center"/>
        <w:rPr>
          <w:rFonts w:ascii="宋体" w:hAnsi="宋体" w:cs="宋体"/>
          <w:b/>
          <w:bCs/>
          <w:color w:val="auto"/>
          <w:sz w:val="28"/>
          <w:szCs w:val="28"/>
          <w:highlight w:val="none"/>
        </w:rPr>
      </w:pPr>
    </w:p>
    <w:p w14:paraId="491683ED">
      <w:pPr>
        <w:spacing w:line="460" w:lineRule="exact"/>
        <w:jc w:val="center"/>
        <w:rPr>
          <w:rFonts w:ascii="宋体" w:hAnsi="宋体" w:cs="宋体"/>
          <w:b/>
          <w:bCs/>
          <w:color w:val="auto"/>
          <w:sz w:val="28"/>
          <w:szCs w:val="28"/>
          <w:highlight w:val="none"/>
        </w:rPr>
      </w:pPr>
    </w:p>
    <w:p w14:paraId="044A0960">
      <w:pPr>
        <w:spacing w:line="460" w:lineRule="exact"/>
        <w:jc w:val="center"/>
        <w:rPr>
          <w:rFonts w:ascii="宋体" w:hAnsi="宋体" w:cs="宋体"/>
          <w:b/>
          <w:bCs/>
          <w:color w:val="auto"/>
          <w:sz w:val="28"/>
          <w:szCs w:val="28"/>
          <w:highlight w:val="none"/>
        </w:rPr>
      </w:pPr>
    </w:p>
    <w:p w14:paraId="5D5649B3">
      <w:pPr>
        <w:spacing w:line="460" w:lineRule="exact"/>
        <w:jc w:val="center"/>
        <w:rPr>
          <w:rFonts w:ascii="宋体" w:hAnsi="宋体" w:cs="宋体"/>
          <w:b/>
          <w:bCs/>
          <w:color w:val="auto"/>
          <w:sz w:val="28"/>
          <w:szCs w:val="28"/>
          <w:highlight w:val="none"/>
        </w:rPr>
      </w:pPr>
    </w:p>
    <w:p w14:paraId="60437100">
      <w:pPr>
        <w:spacing w:line="460" w:lineRule="exact"/>
        <w:jc w:val="center"/>
        <w:rPr>
          <w:rFonts w:ascii="宋体" w:hAnsi="宋体" w:cs="宋体"/>
          <w:b/>
          <w:bCs/>
          <w:color w:val="auto"/>
          <w:sz w:val="28"/>
          <w:szCs w:val="28"/>
          <w:highlight w:val="none"/>
        </w:rPr>
      </w:pPr>
    </w:p>
    <w:p w14:paraId="537D5845">
      <w:pPr>
        <w:spacing w:line="460" w:lineRule="exact"/>
        <w:jc w:val="center"/>
        <w:outlineLvl w:val="3"/>
        <w:rPr>
          <w:rFonts w:ascii="宋体" w:hAnsi="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14:paraId="78FBB9DB">
      <w:pPr>
        <w:spacing w:line="380" w:lineRule="exact"/>
        <w:jc w:val="center"/>
        <w:outlineLvl w:val="3"/>
        <w:rPr>
          <w:rFonts w:ascii="宋体" w:hAnsi="宋体" w:cs="宋体"/>
          <w:b/>
          <w:color w:val="auto"/>
          <w:sz w:val="24"/>
          <w:highlight w:val="none"/>
        </w:rPr>
      </w:pPr>
      <w:r>
        <w:rPr>
          <w:rFonts w:hint="eastAsia" w:ascii="宋体" w:hAnsi="宋体" w:cs="宋体"/>
          <w:b/>
          <w:color w:val="auto"/>
          <w:sz w:val="24"/>
          <w:highlight w:val="none"/>
        </w:rPr>
        <w:t>2、投标人情况表</w:t>
      </w:r>
    </w:p>
    <w:p w14:paraId="17CCE744">
      <w:pPr>
        <w:tabs>
          <w:tab w:val="left" w:pos="78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项目名称：                                                                       项目编号：</w:t>
      </w:r>
    </w:p>
    <w:tbl>
      <w:tblPr>
        <w:tblStyle w:val="24"/>
        <w:tblW w:w="14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66B6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34973D1E">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单位名称（盖章）</w:t>
            </w:r>
          </w:p>
        </w:tc>
        <w:tc>
          <w:tcPr>
            <w:tcW w:w="2804" w:type="dxa"/>
            <w:gridSpan w:val="2"/>
          </w:tcPr>
          <w:p w14:paraId="7D6104E5">
            <w:pPr>
              <w:spacing w:line="480" w:lineRule="exact"/>
              <w:rPr>
                <w:rFonts w:ascii="宋体" w:hAnsi="宋体" w:cs="宋体"/>
                <w:color w:val="auto"/>
                <w:sz w:val="22"/>
                <w:szCs w:val="22"/>
                <w:highlight w:val="none"/>
              </w:rPr>
            </w:pPr>
          </w:p>
        </w:tc>
        <w:tc>
          <w:tcPr>
            <w:tcW w:w="1115" w:type="dxa"/>
            <w:gridSpan w:val="2"/>
          </w:tcPr>
          <w:p w14:paraId="5A4212E6">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电 话</w:t>
            </w:r>
          </w:p>
        </w:tc>
        <w:tc>
          <w:tcPr>
            <w:tcW w:w="2588" w:type="dxa"/>
            <w:gridSpan w:val="2"/>
          </w:tcPr>
          <w:p w14:paraId="7A0D1742">
            <w:pPr>
              <w:spacing w:line="480" w:lineRule="exact"/>
              <w:rPr>
                <w:rFonts w:ascii="宋体" w:hAnsi="宋体" w:cs="宋体"/>
                <w:color w:val="auto"/>
                <w:sz w:val="22"/>
                <w:szCs w:val="22"/>
                <w:highlight w:val="none"/>
              </w:rPr>
            </w:pPr>
          </w:p>
        </w:tc>
        <w:tc>
          <w:tcPr>
            <w:tcW w:w="1488" w:type="dxa"/>
          </w:tcPr>
          <w:p w14:paraId="7B1B99D0">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主管部门</w:t>
            </w:r>
          </w:p>
        </w:tc>
        <w:tc>
          <w:tcPr>
            <w:tcW w:w="1502" w:type="dxa"/>
          </w:tcPr>
          <w:p w14:paraId="46227919">
            <w:pPr>
              <w:spacing w:line="480" w:lineRule="exact"/>
              <w:rPr>
                <w:rFonts w:ascii="宋体" w:hAnsi="宋体" w:cs="宋体"/>
                <w:color w:val="auto"/>
                <w:sz w:val="22"/>
                <w:szCs w:val="22"/>
                <w:highlight w:val="none"/>
              </w:rPr>
            </w:pPr>
          </w:p>
        </w:tc>
        <w:tc>
          <w:tcPr>
            <w:tcW w:w="1488" w:type="dxa"/>
          </w:tcPr>
          <w:p w14:paraId="71BE4A96">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企业负责人</w:t>
            </w:r>
          </w:p>
        </w:tc>
        <w:tc>
          <w:tcPr>
            <w:tcW w:w="1115" w:type="dxa"/>
          </w:tcPr>
          <w:p w14:paraId="5A35B54E">
            <w:pPr>
              <w:spacing w:line="480" w:lineRule="exact"/>
              <w:rPr>
                <w:rFonts w:ascii="宋体" w:hAnsi="宋体" w:cs="宋体"/>
                <w:color w:val="auto"/>
                <w:sz w:val="22"/>
                <w:szCs w:val="22"/>
                <w:highlight w:val="none"/>
              </w:rPr>
            </w:pPr>
          </w:p>
        </w:tc>
        <w:tc>
          <w:tcPr>
            <w:tcW w:w="1461" w:type="dxa"/>
            <w:gridSpan w:val="2"/>
          </w:tcPr>
          <w:p w14:paraId="788FBCEE">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职务</w:t>
            </w:r>
          </w:p>
        </w:tc>
      </w:tr>
      <w:tr w14:paraId="3F9E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37C0897C">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地    址</w:t>
            </w:r>
          </w:p>
        </w:tc>
        <w:tc>
          <w:tcPr>
            <w:tcW w:w="2804" w:type="dxa"/>
            <w:gridSpan w:val="2"/>
          </w:tcPr>
          <w:p w14:paraId="355CDDBA">
            <w:pPr>
              <w:spacing w:line="480" w:lineRule="exact"/>
              <w:rPr>
                <w:rFonts w:ascii="宋体" w:hAnsi="宋体" w:cs="宋体"/>
                <w:color w:val="auto"/>
                <w:sz w:val="22"/>
                <w:szCs w:val="22"/>
                <w:highlight w:val="none"/>
              </w:rPr>
            </w:pPr>
          </w:p>
        </w:tc>
        <w:tc>
          <w:tcPr>
            <w:tcW w:w="1115" w:type="dxa"/>
            <w:gridSpan w:val="2"/>
          </w:tcPr>
          <w:p w14:paraId="3933FAFE">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传 真</w:t>
            </w:r>
          </w:p>
        </w:tc>
        <w:tc>
          <w:tcPr>
            <w:tcW w:w="2588" w:type="dxa"/>
            <w:gridSpan w:val="2"/>
          </w:tcPr>
          <w:p w14:paraId="0F8CA8FB">
            <w:pPr>
              <w:spacing w:line="480" w:lineRule="exact"/>
              <w:rPr>
                <w:rFonts w:ascii="宋体" w:hAnsi="宋体" w:cs="宋体"/>
                <w:color w:val="auto"/>
                <w:sz w:val="22"/>
                <w:szCs w:val="22"/>
                <w:highlight w:val="none"/>
              </w:rPr>
            </w:pPr>
          </w:p>
        </w:tc>
        <w:tc>
          <w:tcPr>
            <w:tcW w:w="1488" w:type="dxa"/>
          </w:tcPr>
          <w:p w14:paraId="73DB74F5">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企业性质</w:t>
            </w:r>
          </w:p>
        </w:tc>
        <w:tc>
          <w:tcPr>
            <w:tcW w:w="1502" w:type="dxa"/>
          </w:tcPr>
          <w:p w14:paraId="76E5DB2E">
            <w:pPr>
              <w:spacing w:line="480" w:lineRule="exact"/>
              <w:rPr>
                <w:rFonts w:ascii="宋体" w:hAnsi="宋体" w:cs="宋体"/>
                <w:color w:val="auto"/>
                <w:sz w:val="22"/>
                <w:szCs w:val="22"/>
                <w:highlight w:val="none"/>
              </w:rPr>
            </w:pPr>
          </w:p>
        </w:tc>
        <w:tc>
          <w:tcPr>
            <w:tcW w:w="1488" w:type="dxa"/>
          </w:tcPr>
          <w:p w14:paraId="3BFA7C78">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授权代表</w:t>
            </w:r>
          </w:p>
        </w:tc>
        <w:tc>
          <w:tcPr>
            <w:tcW w:w="1115" w:type="dxa"/>
          </w:tcPr>
          <w:p w14:paraId="158DAFF6">
            <w:pPr>
              <w:spacing w:line="480" w:lineRule="exact"/>
              <w:rPr>
                <w:rFonts w:ascii="宋体" w:hAnsi="宋体" w:cs="宋体"/>
                <w:color w:val="auto"/>
                <w:sz w:val="22"/>
                <w:szCs w:val="22"/>
                <w:highlight w:val="none"/>
              </w:rPr>
            </w:pPr>
          </w:p>
        </w:tc>
        <w:tc>
          <w:tcPr>
            <w:tcW w:w="1461" w:type="dxa"/>
            <w:gridSpan w:val="2"/>
          </w:tcPr>
          <w:p w14:paraId="65582ABE">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职务</w:t>
            </w:r>
          </w:p>
        </w:tc>
      </w:tr>
      <w:tr w14:paraId="782C4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1DEF42CC">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单位简介</w:t>
            </w:r>
          </w:p>
          <w:p w14:paraId="24489093">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及机构</w:t>
            </w:r>
          </w:p>
        </w:tc>
        <w:tc>
          <w:tcPr>
            <w:tcW w:w="6507" w:type="dxa"/>
            <w:gridSpan w:val="6"/>
            <w:vAlign w:val="center"/>
          </w:tcPr>
          <w:p w14:paraId="4BFC6DB5">
            <w:pPr>
              <w:spacing w:line="480" w:lineRule="exact"/>
              <w:jc w:val="center"/>
              <w:rPr>
                <w:rFonts w:ascii="宋体" w:hAnsi="宋体" w:cs="宋体"/>
                <w:color w:val="auto"/>
                <w:sz w:val="22"/>
                <w:szCs w:val="22"/>
                <w:highlight w:val="none"/>
              </w:rPr>
            </w:pPr>
          </w:p>
        </w:tc>
        <w:tc>
          <w:tcPr>
            <w:tcW w:w="1488" w:type="dxa"/>
            <w:vAlign w:val="center"/>
          </w:tcPr>
          <w:p w14:paraId="3347A894">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单位优势</w:t>
            </w:r>
          </w:p>
          <w:p w14:paraId="0FD84C15">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及特长</w:t>
            </w:r>
          </w:p>
        </w:tc>
        <w:tc>
          <w:tcPr>
            <w:tcW w:w="5566" w:type="dxa"/>
            <w:gridSpan w:val="5"/>
          </w:tcPr>
          <w:p w14:paraId="787AEAE3">
            <w:pPr>
              <w:spacing w:line="480" w:lineRule="exact"/>
              <w:rPr>
                <w:rFonts w:ascii="宋体" w:hAnsi="宋体" w:cs="宋体"/>
                <w:color w:val="auto"/>
                <w:sz w:val="22"/>
                <w:szCs w:val="22"/>
                <w:highlight w:val="none"/>
              </w:rPr>
            </w:pPr>
          </w:p>
        </w:tc>
      </w:tr>
      <w:tr w14:paraId="435F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0380BD16">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单位概况</w:t>
            </w:r>
          </w:p>
        </w:tc>
        <w:tc>
          <w:tcPr>
            <w:tcW w:w="1115" w:type="dxa"/>
            <w:vMerge w:val="restart"/>
          </w:tcPr>
          <w:p w14:paraId="0AEB8A29">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职工总数</w:t>
            </w:r>
          </w:p>
        </w:tc>
        <w:tc>
          <w:tcPr>
            <w:tcW w:w="1689" w:type="dxa"/>
            <w:vMerge w:val="restart"/>
          </w:tcPr>
          <w:p w14:paraId="4D17694F">
            <w:pPr>
              <w:spacing w:line="480" w:lineRule="exact"/>
              <w:ind w:firstLine="1540" w:firstLineChars="700"/>
              <w:rPr>
                <w:rFonts w:ascii="宋体" w:hAnsi="宋体" w:cs="宋体"/>
                <w:color w:val="auto"/>
                <w:sz w:val="22"/>
                <w:szCs w:val="22"/>
                <w:highlight w:val="none"/>
              </w:rPr>
            </w:pPr>
          </w:p>
        </w:tc>
        <w:tc>
          <w:tcPr>
            <w:tcW w:w="3703" w:type="dxa"/>
            <w:gridSpan w:val="4"/>
            <w:vMerge w:val="restart"/>
          </w:tcPr>
          <w:p w14:paraId="7E2C4110">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各人员构成情况</w:t>
            </w:r>
          </w:p>
        </w:tc>
        <w:tc>
          <w:tcPr>
            <w:tcW w:w="1488" w:type="dxa"/>
            <w:vMerge w:val="restart"/>
            <w:vAlign w:val="center"/>
          </w:tcPr>
          <w:p w14:paraId="39FFF830">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上一年主要  经济指标</w:t>
            </w:r>
          </w:p>
        </w:tc>
        <w:tc>
          <w:tcPr>
            <w:tcW w:w="1502" w:type="dxa"/>
            <w:vAlign w:val="center"/>
          </w:tcPr>
          <w:p w14:paraId="0BFDF623">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指标名称</w:t>
            </w:r>
          </w:p>
        </w:tc>
        <w:tc>
          <w:tcPr>
            <w:tcW w:w="1488" w:type="dxa"/>
            <w:tcBorders>
              <w:tr2bl w:val="single" w:color="auto" w:sz="4" w:space="0"/>
            </w:tcBorders>
            <w:vAlign w:val="center"/>
          </w:tcPr>
          <w:p w14:paraId="684460E6">
            <w:pPr>
              <w:spacing w:line="480" w:lineRule="exact"/>
              <w:jc w:val="center"/>
              <w:rPr>
                <w:rFonts w:ascii="宋体" w:hAnsi="宋体" w:cs="宋体"/>
                <w:color w:val="auto"/>
                <w:sz w:val="22"/>
                <w:szCs w:val="22"/>
                <w:highlight w:val="none"/>
              </w:rPr>
            </w:pPr>
          </w:p>
        </w:tc>
        <w:tc>
          <w:tcPr>
            <w:tcW w:w="1470" w:type="dxa"/>
            <w:gridSpan w:val="2"/>
            <w:vAlign w:val="center"/>
          </w:tcPr>
          <w:p w14:paraId="489DB67F">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实际完成</w:t>
            </w:r>
          </w:p>
        </w:tc>
        <w:tc>
          <w:tcPr>
            <w:tcW w:w="1106" w:type="dxa"/>
            <w:tcBorders>
              <w:tr2bl w:val="single" w:color="auto" w:sz="4" w:space="0"/>
            </w:tcBorders>
            <w:vAlign w:val="center"/>
          </w:tcPr>
          <w:p w14:paraId="764FE4E6">
            <w:pPr>
              <w:spacing w:line="480" w:lineRule="exact"/>
              <w:jc w:val="center"/>
              <w:rPr>
                <w:rFonts w:ascii="宋体" w:hAnsi="宋体" w:cs="宋体"/>
                <w:color w:val="auto"/>
                <w:sz w:val="22"/>
                <w:szCs w:val="22"/>
                <w:highlight w:val="none"/>
              </w:rPr>
            </w:pPr>
          </w:p>
        </w:tc>
      </w:tr>
      <w:tr w14:paraId="534F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1C421785">
            <w:pPr>
              <w:spacing w:line="480" w:lineRule="exact"/>
              <w:rPr>
                <w:rFonts w:ascii="宋体" w:hAnsi="宋体" w:cs="宋体"/>
                <w:color w:val="auto"/>
                <w:sz w:val="22"/>
                <w:szCs w:val="22"/>
                <w:highlight w:val="none"/>
              </w:rPr>
            </w:pPr>
          </w:p>
        </w:tc>
        <w:tc>
          <w:tcPr>
            <w:tcW w:w="1115" w:type="dxa"/>
            <w:vMerge w:val="continue"/>
          </w:tcPr>
          <w:p w14:paraId="0734BAAA">
            <w:pPr>
              <w:spacing w:line="480" w:lineRule="exact"/>
              <w:rPr>
                <w:rFonts w:ascii="宋体" w:hAnsi="宋体" w:cs="宋体"/>
                <w:color w:val="auto"/>
                <w:sz w:val="22"/>
                <w:szCs w:val="22"/>
                <w:highlight w:val="none"/>
              </w:rPr>
            </w:pPr>
          </w:p>
        </w:tc>
        <w:tc>
          <w:tcPr>
            <w:tcW w:w="1689" w:type="dxa"/>
            <w:vMerge w:val="continue"/>
          </w:tcPr>
          <w:p w14:paraId="3C753D1B">
            <w:pPr>
              <w:spacing w:line="480" w:lineRule="exact"/>
              <w:rPr>
                <w:rFonts w:ascii="宋体" w:hAnsi="宋体" w:cs="宋体"/>
                <w:color w:val="auto"/>
                <w:sz w:val="22"/>
                <w:szCs w:val="22"/>
                <w:highlight w:val="none"/>
              </w:rPr>
            </w:pPr>
          </w:p>
        </w:tc>
        <w:tc>
          <w:tcPr>
            <w:tcW w:w="3703" w:type="dxa"/>
            <w:gridSpan w:val="4"/>
            <w:vMerge w:val="continue"/>
          </w:tcPr>
          <w:p w14:paraId="54C5D444">
            <w:pPr>
              <w:spacing w:line="480" w:lineRule="exact"/>
              <w:rPr>
                <w:rFonts w:ascii="宋体" w:hAnsi="宋体" w:cs="宋体"/>
                <w:color w:val="auto"/>
                <w:sz w:val="22"/>
                <w:szCs w:val="22"/>
                <w:highlight w:val="none"/>
              </w:rPr>
            </w:pPr>
          </w:p>
        </w:tc>
        <w:tc>
          <w:tcPr>
            <w:tcW w:w="1488" w:type="dxa"/>
            <w:vMerge w:val="continue"/>
          </w:tcPr>
          <w:p w14:paraId="63AC1F34">
            <w:pPr>
              <w:spacing w:line="480" w:lineRule="exact"/>
              <w:rPr>
                <w:rFonts w:ascii="宋体" w:hAnsi="宋体" w:cs="宋体"/>
                <w:color w:val="auto"/>
                <w:sz w:val="22"/>
                <w:szCs w:val="22"/>
                <w:highlight w:val="none"/>
              </w:rPr>
            </w:pPr>
          </w:p>
        </w:tc>
        <w:tc>
          <w:tcPr>
            <w:tcW w:w="1502" w:type="dxa"/>
            <w:vAlign w:val="center"/>
          </w:tcPr>
          <w:p w14:paraId="59F6FC1F">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总产值</w:t>
            </w:r>
          </w:p>
        </w:tc>
        <w:tc>
          <w:tcPr>
            <w:tcW w:w="1488" w:type="dxa"/>
            <w:vAlign w:val="center"/>
          </w:tcPr>
          <w:p w14:paraId="1A5DB4B1">
            <w:pPr>
              <w:spacing w:line="480" w:lineRule="exact"/>
              <w:ind w:firstLine="660" w:firstLineChars="300"/>
              <w:jc w:val="right"/>
              <w:rPr>
                <w:rFonts w:ascii="宋体" w:hAnsi="宋体" w:cs="宋体"/>
                <w:color w:val="auto"/>
                <w:sz w:val="22"/>
                <w:szCs w:val="22"/>
                <w:highlight w:val="none"/>
              </w:rPr>
            </w:pPr>
            <w:r>
              <w:rPr>
                <w:rFonts w:hint="eastAsia" w:ascii="宋体" w:hAnsi="宋体" w:cs="宋体"/>
                <w:color w:val="auto"/>
                <w:sz w:val="22"/>
                <w:szCs w:val="22"/>
                <w:highlight w:val="none"/>
              </w:rPr>
              <w:t>万元</w:t>
            </w:r>
          </w:p>
        </w:tc>
        <w:tc>
          <w:tcPr>
            <w:tcW w:w="1470" w:type="dxa"/>
            <w:gridSpan w:val="2"/>
            <w:vAlign w:val="center"/>
          </w:tcPr>
          <w:p w14:paraId="136F0714">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总产值</w:t>
            </w:r>
          </w:p>
        </w:tc>
        <w:tc>
          <w:tcPr>
            <w:tcW w:w="1106" w:type="dxa"/>
            <w:vAlign w:val="center"/>
          </w:tcPr>
          <w:p w14:paraId="3EDA5FE7">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r>
      <w:tr w14:paraId="64DF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1BBDD942">
            <w:pPr>
              <w:spacing w:line="480" w:lineRule="exact"/>
              <w:rPr>
                <w:rFonts w:ascii="宋体" w:hAnsi="宋体" w:cs="宋体"/>
                <w:color w:val="auto"/>
                <w:sz w:val="22"/>
                <w:szCs w:val="22"/>
                <w:highlight w:val="none"/>
              </w:rPr>
            </w:pPr>
          </w:p>
        </w:tc>
        <w:tc>
          <w:tcPr>
            <w:tcW w:w="1115" w:type="dxa"/>
            <w:vMerge w:val="restart"/>
          </w:tcPr>
          <w:p w14:paraId="0B87CD4D">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流动资金</w:t>
            </w:r>
          </w:p>
        </w:tc>
        <w:tc>
          <w:tcPr>
            <w:tcW w:w="1689" w:type="dxa"/>
            <w:vMerge w:val="restart"/>
          </w:tcPr>
          <w:p w14:paraId="5DDF1B35">
            <w:pPr>
              <w:spacing w:line="48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460F294A">
            <w:pPr>
              <w:spacing w:line="480" w:lineRule="exact"/>
              <w:ind w:firstLine="660" w:firstLineChars="300"/>
              <w:jc w:val="right"/>
              <w:rPr>
                <w:rFonts w:ascii="宋体" w:hAnsi="宋体" w:cs="宋体"/>
                <w:color w:val="auto"/>
                <w:sz w:val="22"/>
                <w:szCs w:val="22"/>
                <w:highlight w:val="none"/>
              </w:rPr>
            </w:pPr>
            <w:r>
              <w:rPr>
                <w:rFonts w:hint="eastAsia" w:ascii="宋体" w:hAnsi="宋体" w:cs="宋体"/>
                <w:color w:val="auto"/>
                <w:sz w:val="22"/>
                <w:szCs w:val="22"/>
                <w:highlight w:val="none"/>
              </w:rPr>
              <w:t xml:space="preserve">万元 </w:t>
            </w:r>
          </w:p>
        </w:tc>
        <w:tc>
          <w:tcPr>
            <w:tcW w:w="728" w:type="dxa"/>
            <w:vMerge w:val="restart"/>
          </w:tcPr>
          <w:p w14:paraId="270E1AC7">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资金来源</w:t>
            </w:r>
          </w:p>
        </w:tc>
        <w:tc>
          <w:tcPr>
            <w:tcW w:w="1487" w:type="dxa"/>
            <w:gridSpan w:val="2"/>
            <w:vAlign w:val="center"/>
          </w:tcPr>
          <w:p w14:paraId="220E7669">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自有资金</w:t>
            </w:r>
          </w:p>
        </w:tc>
        <w:tc>
          <w:tcPr>
            <w:tcW w:w="1488" w:type="dxa"/>
            <w:vAlign w:val="center"/>
          </w:tcPr>
          <w:p w14:paraId="56514DCC">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c>
          <w:tcPr>
            <w:tcW w:w="1488" w:type="dxa"/>
            <w:vMerge w:val="continue"/>
          </w:tcPr>
          <w:p w14:paraId="56360C2D">
            <w:pPr>
              <w:spacing w:line="480" w:lineRule="exact"/>
              <w:rPr>
                <w:rFonts w:ascii="宋体" w:hAnsi="宋体" w:cs="宋体"/>
                <w:color w:val="auto"/>
                <w:sz w:val="22"/>
                <w:szCs w:val="22"/>
                <w:highlight w:val="none"/>
              </w:rPr>
            </w:pPr>
          </w:p>
        </w:tc>
        <w:tc>
          <w:tcPr>
            <w:tcW w:w="1502" w:type="dxa"/>
            <w:vAlign w:val="center"/>
          </w:tcPr>
          <w:p w14:paraId="6399FF3D">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实现利润</w:t>
            </w:r>
          </w:p>
        </w:tc>
        <w:tc>
          <w:tcPr>
            <w:tcW w:w="1488" w:type="dxa"/>
            <w:vAlign w:val="center"/>
          </w:tcPr>
          <w:p w14:paraId="1586D3B9">
            <w:pPr>
              <w:spacing w:line="480" w:lineRule="exact"/>
              <w:ind w:firstLine="660" w:firstLineChars="300"/>
              <w:jc w:val="right"/>
              <w:rPr>
                <w:rFonts w:ascii="宋体" w:hAnsi="宋体" w:cs="宋体"/>
                <w:color w:val="auto"/>
                <w:sz w:val="22"/>
                <w:szCs w:val="22"/>
                <w:highlight w:val="none"/>
              </w:rPr>
            </w:pPr>
            <w:r>
              <w:rPr>
                <w:rFonts w:hint="eastAsia" w:ascii="宋体" w:hAnsi="宋体" w:cs="宋体"/>
                <w:color w:val="auto"/>
                <w:sz w:val="22"/>
                <w:szCs w:val="22"/>
                <w:highlight w:val="none"/>
              </w:rPr>
              <w:t>万元</w:t>
            </w:r>
          </w:p>
        </w:tc>
        <w:tc>
          <w:tcPr>
            <w:tcW w:w="1470" w:type="dxa"/>
            <w:gridSpan w:val="2"/>
            <w:vAlign w:val="center"/>
          </w:tcPr>
          <w:p w14:paraId="3D5BC5B2">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实现利润</w:t>
            </w:r>
          </w:p>
        </w:tc>
        <w:tc>
          <w:tcPr>
            <w:tcW w:w="1106" w:type="dxa"/>
            <w:vAlign w:val="center"/>
          </w:tcPr>
          <w:p w14:paraId="244A7DC3">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r>
      <w:tr w14:paraId="42DB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62CC960E">
            <w:pPr>
              <w:spacing w:line="480" w:lineRule="exact"/>
              <w:rPr>
                <w:rFonts w:ascii="宋体" w:hAnsi="宋体" w:cs="宋体"/>
                <w:color w:val="auto"/>
                <w:sz w:val="22"/>
                <w:szCs w:val="22"/>
                <w:highlight w:val="none"/>
              </w:rPr>
            </w:pPr>
          </w:p>
        </w:tc>
        <w:tc>
          <w:tcPr>
            <w:tcW w:w="1115" w:type="dxa"/>
            <w:vMerge w:val="continue"/>
            <w:tcBorders>
              <w:bottom w:val="single" w:color="auto" w:sz="4" w:space="0"/>
            </w:tcBorders>
          </w:tcPr>
          <w:p w14:paraId="52AC7863">
            <w:pPr>
              <w:spacing w:line="480" w:lineRule="exact"/>
              <w:rPr>
                <w:rFonts w:ascii="宋体" w:hAnsi="宋体" w:cs="宋体"/>
                <w:color w:val="auto"/>
                <w:sz w:val="22"/>
                <w:szCs w:val="22"/>
                <w:highlight w:val="none"/>
              </w:rPr>
            </w:pPr>
          </w:p>
        </w:tc>
        <w:tc>
          <w:tcPr>
            <w:tcW w:w="1689" w:type="dxa"/>
            <w:vMerge w:val="continue"/>
            <w:tcBorders>
              <w:bottom w:val="single" w:color="auto" w:sz="4" w:space="0"/>
            </w:tcBorders>
          </w:tcPr>
          <w:p w14:paraId="40B98CD2">
            <w:pPr>
              <w:spacing w:line="480" w:lineRule="exact"/>
              <w:rPr>
                <w:rFonts w:ascii="宋体" w:hAnsi="宋体" w:cs="宋体"/>
                <w:color w:val="auto"/>
                <w:sz w:val="22"/>
                <w:szCs w:val="22"/>
                <w:highlight w:val="none"/>
              </w:rPr>
            </w:pPr>
          </w:p>
        </w:tc>
        <w:tc>
          <w:tcPr>
            <w:tcW w:w="728" w:type="dxa"/>
            <w:vMerge w:val="continue"/>
            <w:tcBorders>
              <w:bottom w:val="single" w:color="auto" w:sz="4" w:space="0"/>
            </w:tcBorders>
          </w:tcPr>
          <w:p w14:paraId="3CED5351">
            <w:pPr>
              <w:spacing w:line="480" w:lineRule="exact"/>
              <w:rPr>
                <w:rFonts w:ascii="宋体" w:hAnsi="宋体" w:cs="宋体"/>
                <w:color w:val="auto"/>
                <w:sz w:val="22"/>
                <w:szCs w:val="22"/>
                <w:highlight w:val="none"/>
              </w:rPr>
            </w:pPr>
          </w:p>
        </w:tc>
        <w:tc>
          <w:tcPr>
            <w:tcW w:w="1487" w:type="dxa"/>
            <w:gridSpan w:val="2"/>
            <w:tcBorders>
              <w:bottom w:val="single" w:color="auto" w:sz="4" w:space="0"/>
            </w:tcBorders>
          </w:tcPr>
          <w:p w14:paraId="3B87E04C">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银行贷款</w:t>
            </w:r>
          </w:p>
        </w:tc>
        <w:tc>
          <w:tcPr>
            <w:tcW w:w="1488" w:type="dxa"/>
            <w:tcBorders>
              <w:bottom w:val="single" w:color="auto" w:sz="4" w:space="0"/>
            </w:tcBorders>
          </w:tcPr>
          <w:p w14:paraId="25E49CBF">
            <w:pPr>
              <w:spacing w:line="48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万元</w:t>
            </w:r>
          </w:p>
        </w:tc>
        <w:tc>
          <w:tcPr>
            <w:tcW w:w="1488" w:type="dxa"/>
            <w:vMerge w:val="continue"/>
            <w:tcBorders>
              <w:bottom w:val="single" w:color="auto" w:sz="4" w:space="0"/>
            </w:tcBorders>
          </w:tcPr>
          <w:p w14:paraId="395F8ADE">
            <w:pPr>
              <w:spacing w:line="480" w:lineRule="exact"/>
              <w:rPr>
                <w:rFonts w:ascii="宋体" w:hAnsi="宋体" w:cs="宋体"/>
                <w:color w:val="auto"/>
                <w:sz w:val="22"/>
                <w:szCs w:val="22"/>
                <w:highlight w:val="none"/>
              </w:rPr>
            </w:pPr>
          </w:p>
        </w:tc>
        <w:tc>
          <w:tcPr>
            <w:tcW w:w="1502" w:type="dxa"/>
            <w:vMerge w:val="restart"/>
            <w:tcBorders>
              <w:bottom w:val="single" w:color="auto" w:sz="4" w:space="0"/>
            </w:tcBorders>
            <w:vAlign w:val="center"/>
          </w:tcPr>
          <w:p w14:paraId="3E356DF5">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主要业绩</w:t>
            </w:r>
          </w:p>
        </w:tc>
        <w:tc>
          <w:tcPr>
            <w:tcW w:w="4064" w:type="dxa"/>
            <w:gridSpan w:val="4"/>
            <w:vMerge w:val="restart"/>
            <w:tcBorders>
              <w:bottom w:val="single" w:color="auto" w:sz="4" w:space="0"/>
            </w:tcBorders>
            <w:vAlign w:val="center"/>
          </w:tcPr>
          <w:p w14:paraId="73ABE07B">
            <w:pPr>
              <w:spacing w:line="480" w:lineRule="exact"/>
              <w:jc w:val="center"/>
              <w:rPr>
                <w:rFonts w:ascii="宋体" w:hAnsi="宋体" w:cs="宋体"/>
                <w:color w:val="auto"/>
                <w:sz w:val="22"/>
                <w:szCs w:val="22"/>
                <w:highlight w:val="none"/>
              </w:rPr>
            </w:pPr>
          </w:p>
        </w:tc>
      </w:tr>
      <w:tr w14:paraId="1187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1FA14EDF">
            <w:pPr>
              <w:spacing w:line="480" w:lineRule="exact"/>
              <w:rPr>
                <w:rFonts w:ascii="宋体" w:hAnsi="宋体" w:cs="宋体"/>
                <w:color w:val="auto"/>
                <w:sz w:val="22"/>
                <w:szCs w:val="22"/>
                <w:highlight w:val="none"/>
              </w:rPr>
            </w:pPr>
          </w:p>
        </w:tc>
        <w:tc>
          <w:tcPr>
            <w:tcW w:w="1115" w:type="dxa"/>
            <w:vMerge w:val="restart"/>
          </w:tcPr>
          <w:p w14:paraId="3A8D2B3A">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固定资产</w:t>
            </w:r>
          </w:p>
        </w:tc>
        <w:tc>
          <w:tcPr>
            <w:tcW w:w="1689" w:type="dxa"/>
            <w:vMerge w:val="restart"/>
          </w:tcPr>
          <w:p w14:paraId="266EC2A1">
            <w:pPr>
              <w:spacing w:line="48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原值   万元</w:t>
            </w:r>
          </w:p>
          <w:p w14:paraId="2640D459">
            <w:pPr>
              <w:spacing w:line="48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净值   万元</w:t>
            </w:r>
          </w:p>
        </w:tc>
        <w:tc>
          <w:tcPr>
            <w:tcW w:w="728" w:type="dxa"/>
            <w:vMerge w:val="restart"/>
          </w:tcPr>
          <w:p w14:paraId="707C2D46">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资金性质</w:t>
            </w:r>
          </w:p>
        </w:tc>
        <w:tc>
          <w:tcPr>
            <w:tcW w:w="1487" w:type="dxa"/>
            <w:gridSpan w:val="2"/>
          </w:tcPr>
          <w:p w14:paraId="31280D62">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生产性</w:t>
            </w:r>
          </w:p>
        </w:tc>
        <w:tc>
          <w:tcPr>
            <w:tcW w:w="1488" w:type="dxa"/>
          </w:tcPr>
          <w:p w14:paraId="5A1B6E6F">
            <w:pPr>
              <w:spacing w:line="480" w:lineRule="exact"/>
              <w:ind w:left="220" w:hanging="220" w:hangingChars="100"/>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c>
          <w:tcPr>
            <w:tcW w:w="1488" w:type="dxa"/>
            <w:vMerge w:val="continue"/>
          </w:tcPr>
          <w:p w14:paraId="3576CE5B">
            <w:pPr>
              <w:spacing w:line="480" w:lineRule="exact"/>
              <w:rPr>
                <w:rFonts w:ascii="宋体" w:hAnsi="宋体" w:cs="宋体"/>
                <w:color w:val="auto"/>
                <w:sz w:val="22"/>
                <w:szCs w:val="22"/>
                <w:highlight w:val="none"/>
              </w:rPr>
            </w:pPr>
          </w:p>
        </w:tc>
        <w:tc>
          <w:tcPr>
            <w:tcW w:w="1502" w:type="dxa"/>
            <w:vMerge w:val="continue"/>
          </w:tcPr>
          <w:p w14:paraId="0B94E7C8">
            <w:pPr>
              <w:spacing w:line="480" w:lineRule="exact"/>
              <w:rPr>
                <w:rFonts w:ascii="宋体" w:hAnsi="宋体" w:cs="宋体"/>
                <w:color w:val="auto"/>
                <w:sz w:val="22"/>
                <w:szCs w:val="22"/>
                <w:highlight w:val="none"/>
              </w:rPr>
            </w:pPr>
          </w:p>
        </w:tc>
        <w:tc>
          <w:tcPr>
            <w:tcW w:w="4064" w:type="dxa"/>
            <w:gridSpan w:val="4"/>
            <w:vMerge w:val="continue"/>
          </w:tcPr>
          <w:p w14:paraId="160C3DE8">
            <w:pPr>
              <w:spacing w:line="480" w:lineRule="exact"/>
              <w:rPr>
                <w:rFonts w:ascii="宋体" w:hAnsi="宋体" w:cs="宋体"/>
                <w:color w:val="auto"/>
                <w:sz w:val="22"/>
                <w:szCs w:val="22"/>
                <w:highlight w:val="none"/>
              </w:rPr>
            </w:pPr>
          </w:p>
        </w:tc>
      </w:tr>
      <w:tr w14:paraId="66C0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12E11811">
            <w:pPr>
              <w:spacing w:line="480" w:lineRule="exact"/>
              <w:rPr>
                <w:rFonts w:ascii="宋体" w:hAnsi="宋体" w:cs="宋体"/>
                <w:color w:val="auto"/>
                <w:sz w:val="22"/>
                <w:szCs w:val="22"/>
                <w:highlight w:val="none"/>
              </w:rPr>
            </w:pPr>
          </w:p>
        </w:tc>
        <w:tc>
          <w:tcPr>
            <w:tcW w:w="1115" w:type="dxa"/>
            <w:vMerge w:val="continue"/>
          </w:tcPr>
          <w:p w14:paraId="5036E52E">
            <w:pPr>
              <w:spacing w:line="480" w:lineRule="exact"/>
              <w:rPr>
                <w:rFonts w:ascii="宋体" w:hAnsi="宋体" w:cs="宋体"/>
                <w:color w:val="auto"/>
                <w:sz w:val="22"/>
                <w:szCs w:val="22"/>
                <w:highlight w:val="none"/>
              </w:rPr>
            </w:pPr>
          </w:p>
        </w:tc>
        <w:tc>
          <w:tcPr>
            <w:tcW w:w="1689" w:type="dxa"/>
            <w:vMerge w:val="continue"/>
          </w:tcPr>
          <w:p w14:paraId="36478BE5">
            <w:pPr>
              <w:spacing w:line="480" w:lineRule="exact"/>
              <w:rPr>
                <w:rFonts w:ascii="宋体" w:hAnsi="宋体" w:cs="宋体"/>
                <w:color w:val="auto"/>
                <w:sz w:val="22"/>
                <w:szCs w:val="22"/>
                <w:highlight w:val="none"/>
              </w:rPr>
            </w:pPr>
          </w:p>
        </w:tc>
        <w:tc>
          <w:tcPr>
            <w:tcW w:w="728" w:type="dxa"/>
            <w:vMerge w:val="continue"/>
          </w:tcPr>
          <w:p w14:paraId="7CD004DD">
            <w:pPr>
              <w:spacing w:line="480" w:lineRule="exact"/>
              <w:rPr>
                <w:rFonts w:ascii="宋体" w:hAnsi="宋体" w:cs="宋体"/>
                <w:color w:val="auto"/>
                <w:sz w:val="22"/>
                <w:szCs w:val="22"/>
                <w:highlight w:val="none"/>
              </w:rPr>
            </w:pPr>
          </w:p>
        </w:tc>
        <w:tc>
          <w:tcPr>
            <w:tcW w:w="1487" w:type="dxa"/>
            <w:gridSpan w:val="2"/>
          </w:tcPr>
          <w:p w14:paraId="68A79E22">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非生产性</w:t>
            </w:r>
          </w:p>
        </w:tc>
        <w:tc>
          <w:tcPr>
            <w:tcW w:w="1488" w:type="dxa"/>
          </w:tcPr>
          <w:p w14:paraId="126E1B3F">
            <w:pPr>
              <w:spacing w:line="480" w:lineRule="exact"/>
              <w:ind w:left="220" w:hanging="220" w:hangingChars="100"/>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c>
          <w:tcPr>
            <w:tcW w:w="1488" w:type="dxa"/>
            <w:vMerge w:val="continue"/>
          </w:tcPr>
          <w:p w14:paraId="3A3E9952">
            <w:pPr>
              <w:spacing w:line="480" w:lineRule="exact"/>
              <w:rPr>
                <w:rFonts w:ascii="宋体" w:hAnsi="宋体" w:cs="宋体"/>
                <w:color w:val="auto"/>
                <w:sz w:val="22"/>
                <w:szCs w:val="22"/>
                <w:highlight w:val="none"/>
              </w:rPr>
            </w:pPr>
          </w:p>
        </w:tc>
        <w:tc>
          <w:tcPr>
            <w:tcW w:w="1502" w:type="dxa"/>
            <w:vMerge w:val="continue"/>
          </w:tcPr>
          <w:p w14:paraId="7E3092CC">
            <w:pPr>
              <w:spacing w:line="480" w:lineRule="exact"/>
              <w:rPr>
                <w:rFonts w:ascii="宋体" w:hAnsi="宋体" w:cs="宋体"/>
                <w:color w:val="auto"/>
                <w:sz w:val="22"/>
                <w:szCs w:val="22"/>
                <w:highlight w:val="none"/>
              </w:rPr>
            </w:pPr>
          </w:p>
        </w:tc>
        <w:tc>
          <w:tcPr>
            <w:tcW w:w="4064" w:type="dxa"/>
            <w:gridSpan w:val="4"/>
            <w:vMerge w:val="continue"/>
          </w:tcPr>
          <w:p w14:paraId="5285606A">
            <w:pPr>
              <w:spacing w:line="480" w:lineRule="exact"/>
              <w:rPr>
                <w:rFonts w:ascii="宋体" w:hAnsi="宋体" w:cs="宋体"/>
                <w:color w:val="auto"/>
                <w:sz w:val="22"/>
                <w:szCs w:val="22"/>
                <w:highlight w:val="none"/>
              </w:rPr>
            </w:pPr>
          </w:p>
        </w:tc>
      </w:tr>
    </w:tbl>
    <w:p w14:paraId="6D0972C7">
      <w:pPr>
        <w:spacing w:line="460" w:lineRule="exact"/>
        <w:rPr>
          <w:rFonts w:ascii="宋体" w:hAnsi="宋体" w:cs="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14:paraId="01B0D421">
      <w:pPr>
        <w:spacing w:line="400" w:lineRule="exact"/>
        <w:jc w:val="center"/>
        <w:outlineLvl w:val="3"/>
        <w:rPr>
          <w:rFonts w:ascii="宋体" w:hAnsi="宋体" w:cs="宋体"/>
          <w:b/>
          <w:color w:val="auto"/>
          <w:sz w:val="24"/>
          <w:highlight w:val="none"/>
        </w:rPr>
      </w:pPr>
      <w:r>
        <w:rPr>
          <w:rFonts w:hint="eastAsia" w:ascii="宋体" w:hAnsi="宋体" w:cs="宋体"/>
          <w:b/>
          <w:color w:val="auto"/>
          <w:sz w:val="28"/>
          <w:szCs w:val="28"/>
          <w:highlight w:val="none"/>
        </w:rPr>
        <w:t>3、廉政承诺书</w:t>
      </w:r>
    </w:p>
    <w:p w14:paraId="4315F472">
      <w:pPr>
        <w:pStyle w:val="12"/>
        <w:spacing w:line="360" w:lineRule="auto"/>
        <w:ind w:left="514" w:leftChars="245" w:firstLine="0" w:firstLineChars="0"/>
        <w:rPr>
          <w:rFonts w:ascii="新宋体" w:hAnsi="新宋体" w:eastAsia="新宋体" w:cs="新宋体"/>
          <w:color w:val="auto"/>
          <w:sz w:val="22"/>
          <w:szCs w:val="22"/>
          <w:highlight w:val="none"/>
        </w:rPr>
      </w:pPr>
    </w:p>
    <w:p w14:paraId="595972B2">
      <w:pPr>
        <w:pStyle w:val="1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温州市人民医院、温州历程招标有限公司：</w:t>
      </w:r>
    </w:p>
    <w:p w14:paraId="6150813A">
      <w:pPr>
        <w:pStyle w:val="12"/>
        <w:keepNext w:val="0"/>
        <w:keepLines w:val="0"/>
        <w:pageBreakBefore w:val="0"/>
        <w:widowControl w:val="0"/>
        <w:kinsoku/>
        <w:wordWrap/>
        <w:overflowPunct/>
        <w:topLinePunct w:val="0"/>
        <w:autoSpaceDE/>
        <w:autoSpaceDN/>
        <w:bidi w:val="0"/>
        <w:adjustRightInd/>
        <w:snapToGrid/>
        <w:spacing w:line="460" w:lineRule="exact"/>
        <w:ind w:left="0" w:leftChars="0" w:firstLine="440" w:firstLineChars="200"/>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为加强采购活动中的廉政建设，防止发生违法违纪行为，体现公开、公平、公正的原则，根据国家有关法律、法规和廉政建设责任制的规定，本投标人特作如下承诺：</w:t>
      </w:r>
    </w:p>
    <w:p w14:paraId="16FFB7C6">
      <w:pPr>
        <w:pStyle w:val="12"/>
        <w:keepNext w:val="0"/>
        <w:keepLines w:val="0"/>
        <w:pageBreakBefore w:val="0"/>
        <w:widowControl w:val="0"/>
        <w:kinsoku/>
        <w:wordWrap/>
        <w:overflowPunct/>
        <w:topLinePunct w:val="0"/>
        <w:autoSpaceDE/>
        <w:autoSpaceDN/>
        <w:bidi w:val="0"/>
        <w:adjustRightInd/>
        <w:snapToGrid/>
        <w:spacing w:line="460" w:lineRule="exact"/>
        <w:ind w:left="0" w:leftChars="0" w:firstLine="440" w:firstLineChars="200"/>
        <w:textAlignment w:val="auto"/>
        <w:rPr>
          <w:rFonts w:ascii="新宋体" w:hAnsi="新宋体" w:eastAsia="新宋体" w:cs="新宋体"/>
          <w:color w:val="auto"/>
          <w:sz w:val="22"/>
          <w:szCs w:val="22"/>
          <w:highlight w:val="none"/>
        </w:rPr>
      </w:pPr>
      <w:r>
        <w:rPr>
          <w:rFonts w:ascii="新宋体" w:hAnsi="新宋体" w:eastAsia="新宋体" w:cs="新宋体"/>
          <w:color w:val="auto"/>
          <w:kern w:val="2"/>
          <w:sz w:val="22"/>
          <w:szCs w:val="22"/>
          <w:highlight w:val="none"/>
          <w:lang w:val="en-US" w:eastAsia="zh-CN" w:bidi="ar-SA"/>
        </w:rPr>
        <w:t>（1）</w:t>
      </w:r>
      <w:r>
        <w:rPr>
          <w:rFonts w:hint="eastAsia" w:ascii="新宋体" w:hAnsi="新宋体" w:eastAsia="新宋体" w:cs="新宋体"/>
          <w:color w:val="auto"/>
          <w:sz w:val="22"/>
          <w:szCs w:val="22"/>
          <w:highlight w:val="none"/>
        </w:rPr>
        <w:t>不与购人、采购代理机构及其他投标人私下串通协商，进行围标、串标、抬标，控制投标价格。</w:t>
      </w:r>
    </w:p>
    <w:p w14:paraId="37D67BCE">
      <w:pPr>
        <w:pStyle w:val="12"/>
        <w:keepNext w:val="0"/>
        <w:keepLines w:val="0"/>
        <w:pageBreakBefore w:val="0"/>
        <w:widowControl w:val="0"/>
        <w:kinsoku/>
        <w:wordWrap/>
        <w:overflowPunct/>
        <w:topLinePunct w:val="0"/>
        <w:autoSpaceDE/>
        <w:autoSpaceDN/>
        <w:bidi w:val="0"/>
        <w:adjustRightInd/>
        <w:snapToGrid/>
        <w:spacing w:line="460" w:lineRule="exact"/>
        <w:ind w:left="0" w:leftChars="0" w:firstLine="440" w:firstLineChars="200"/>
        <w:textAlignment w:val="auto"/>
        <w:rPr>
          <w:rFonts w:ascii="新宋体" w:hAnsi="新宋体" w:eastAsia="新宋体" w:cs="新宋体"/>
          <w:color w:val="auto"/>
          <w:sz w:val="22"/>
          <w:szCs w:val="22"/>
          <w:highlight w:val="none"/>
        </w:rPr>
      </w:pPr>
      <w:r>
        <w:rPr>
          <w:rFonts w:ascii="新宋体" w:hAnsi="新宋体" w:eastAsia="新宋体" w:cs="新宋体"/>
          <w:color w:val="auto"/>
          <w:kern w:val="2"/>
          <w:sz w:val="22"/>
          <w:szCs w:val="22"/>
          <w:highlight w:val="none"/>
          <w:lang w:val="en-US" w:eastAsia="zh-CN" w:bidi="ar-SA"/>
        </w:rPr>
        <w:t>（2）</w:t>
      </w:r>
      <w:r>
        <w:rPr>
          <w:rFonts w:hint="eastAsia" w:ascii="新宋体" w:hAnsi="新宋体" w:eastAsia="新宋体" w:cs="新宋体"/>
          <w:color w:val="auto"/>
          <w:sz w:val="22"/>
          <w:szCs w:val="22"/>
          <w:highlight w:val="none"/>
        </w:rPr>
        <w:t>不向采购人、采购代理机构、评标专家行贿，以不正手段谋取中标。</w:t>
      </w:r>
    </w:p>
    <w:p w14:paraId="0662BF9A">
      <w:pPr>
        <w:pStyle w:val="12"/>
        <w:keepNext w:val="0"/>
        <w:keepLines w:val="0"/>
        <w:pageBreakBefore w:val="0"/>
        <w:widowControl w:val="0"/>
        <w:kinsoku/>
        <w:wordWrap/>
        <w:overflowPunct/>
        <w:topLinePunct w:val="0"/>
        <w:autoSpaceDE/>
        <w:autoSpaceDN/>
        <w:bidi w:val="0"/>
        <w:adjustRightInd/>
        <w:snapToGrid/>
        <w:spacing w:line="460" w:lineRule="exact"/>
        <w:ind w:left="0" w:leftChars="0" w:firstLine="440" w:firstLineChars="200"/>
        <w:textAlignment w:val="auto"/>
        <w:rPr>
          <w:rFonts w:ascii="新宋体" w:hAnsi="新宋体" w:eastAsia="新宋体" w:cs="新宋体"/>
          <w:color w:val="auto"/>
          <w:sz w:val="22"/>
          <w:szCs w:val="22"/>
          <w:highlight w:val="none"/>
        </w:rPr>
      </w:pPr>
      <w:r>
        <w:rPr>
          <w:rFonts w:ascii="新宋体" w:hAnsi="新宋体" w:eastAsia="新宋体" w:cs="新宋体"/>
          <w:color w:val="auto"/>
          <w:kern w:val="2"/>
          <w:sz w:val="22"/>
          <w:szCs w:val="22"/>
          <w:highlight w:val="none"/>
          <w:lang w:val="en-US" w:eastAsia="zh-CN" w:bidi="ar-SA"/>
        </w:rPr>
        <w:t>（3）</w:t>
      </w:r>
      <w:r>
        <w:rPr>
          <w:rFonts w:hint="eastAsia" w:ascii="新宋体" w:hAnsi="新宋体" w:eastAsia="新宋体" w:cs="新宋体"/>
          <w:color w:val="auto"/>
          <w:sz w:val="22"/>
          <w:szCs w:val="22"/>
          <w:highlight w:val="none"/>
        </w:rPr>
        <w:t>不向监管人员请客、送礼及组织其它有可能影响客观公正监管的活动。</w:t>
      </w:r>
    </w:p>
    <w:p w14:paraId="42AFE768">
      <w:pPr>
        <w:pStyle w:val="12"/>
        <w:keepNext w:val="0"/>
        <w:keepLines w:val="0"/>
        <w:pageBreakBefore w:val="0"/>
        <w:widowControl w:val="0"/>
        <w:kinsoku/>
        <w:wordWrap/>
        <w:overflowPunct/>
        <w:topLinePunct w:val="0"/>
        <w:autoSpaceDE/>
        <w:autoSpaceDN/>
        <w:bidi w:val="0"/>
        <w:adjustRightInd/>
        <w:snapToGrid/>
        <w:spacing w:line="460" w:lineRule="exact"/>
        <w:ind w:left="0" w:leftChars="0" w:firstLine="440" w:firstLineChars="200"/>
        <w:textAlignment w:val="auto"/>
        <w:rPr>
          <w:rFonts w:ascii="新宋体" w:hAnsi="新宋体" w:eastAsia="新宋体" w:cs="新宋体"/>
          <w:color w:val="auto"/>
          <w:sz w:val="22"/>
          <w:szCs w:val="22"/>
          <w:highlight w:val="none"/>
        </w:rPr>
      </w:pPr>
      <w:r>
        <w:rPr>
          <w:rFonts w:ascii="新宋体" w:hAnsi="新宋体" w:eastAsia="新宋体" w:cs="新宋体"/>
          <w:color w:val="auto"/>
          <w:kern w:val="2"/>
          <w:sz w:val="22"/>
          <w:szCs w:val="22"/>
          <w:highlight w:val="none"/>
          <w:lang w:val="en-US" w:eastAsia="zh-CN" w:bidi="ar-SA"/>
        </w:rPr>
        <w:t>（4）</w:t>
      </w:r>
      <w:r>
        <w:rPr>
          <w:rFonts w:hint="eastAsia" w:ascii="新宋体" w:hAnsi="新宋体" w:eastAsia="新宋体" w:cs="新宋体"/>
          <w:color w:val="auto"/>
          <w:sz w:val="22"/>
          <w:szCs w:val="22"/>
          <w:highlight w:val="none"/>
        </w:rPr>
        <w:t>自觉遵守开标、评标现场工作纪律，不私下 接触评标专家，不干扰正常的开标评标秩序。</w:t>
      </w:r>
    </w:p>
    <w:p w14:paraId="5570086C">
      <w:pPr>
        <w:pStyle w:val="12"/>
        <w:keepNext w:val="0"/>
        <w:keepLines w:val="0"/>
        <w:pageBreakBefore w:val="0"/>
        <w:widowControl w:val="0"/>
        <w:kinsoku/>
        <w:wordWrap/>
        <w:overflowPunct/>
        <w:topLinePunct w:val="0"/>
        <w:autoSpaceDE/>
        <w:autoSpaceDN/>
        <w:bidi w:val="0"/>
        <w:adjustRightInd/>
        <w:snapToGrid/>
        <w:spacing w:line="460" w:lineRule="exact"/>
        <w:ind w:left="0" w:leftChars="0" w:firstLine="440" w:firstLineChars="200"/>
        <w:textAlignment w:val="auto"/>
        <w:rPr>
          <w:rFonts w:ascii="新宋体" w:hAnsi="新宋体" w:eastAsia="新宋体" w:cs="新宋体"/>
          <w:color w:val="auto"/>
          <w:sz w:val="22"/>
          <w:szCs w:val="22"/>
          <w:highlight w:val="none"/>
        </w:rPr>
      </w:pPr>
      <w:r>
        <w:rPr>
          <w:rFonts w:ascii="新宋体" w:hAnsi="新宋体" w:eastAsia="新宋体" w:cs="新宋体"/>
          <w:color w:val="auto"/>
          <w:kern w:val="2"/>
          <w:sz w:val="22"/>
          <w:szCs w:val="22"/>
          <w:highlight w:val="none"/>
          <w:lang w:val="en-US" w:eastAsia="zh-CN" w:bidi="ar-SA"/>
        </w:rPr>
        <w:t>（5）</w:t>
      </w:r>
      <w:r>
        <w:rPr>
          <w:rFonts w:hint="eastAsia" w:ascii="新宋体" w:hAnsi="新宋体" w:eastAsia="新宋体" w:cs="新宋体"/>
          <w:color w:val="auto"/>
          <w:sz w:val="22"/>
          <w:szCs w:val="22"/>
          <w:highlight w:val="none"/>
        </w:rPr>
        <w:t>不给责任人的违法违规行为说情、解脱。</w:t>
      </w:r>
    </w:p>
    <w:p w14:paraId="22FB79E4">
      <w:pPr>
        <w:pStyle w:val="12"/>
        <w:keepNext w:val="0"/>
        <w:keepLines w:val="0"/>
        <w:pageBreakBefore w:val="0"/>
        <w:widowControl w:val="0"/>
        <w:kinsoku/>
        <w:wordWrap/>
        <w:overflowPunct/>
        <w:topLinePunct w:val="0"/>
        <w:autoSpaceDE/>
        <w:autoSpaceDN/>
        <w:bidi w:val="0"/>
        <w:adjustRightInd/>
        <w:snapToGrid/>
        <w:spacing w:line="460" w:lineRule="exact"/>
        <w:ind w:left="0" w:leftChars="0" w:firstLine="440" w:firstLineChars="200"/>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如</w:t>
      </w:r>
      <w:r>
        <w:rPr>
          <w:rFonts w:hint="eastAsia" w:ascii="新宋体" w:hAnsi="新宋体" w:eastAsia="新宋体" w:cs="新宋体"/>
          <w:color w:val="auto"/>
          <w:kern w:val="2"/>
          <w:sz w:val="22"/>
          <w:szCs w:val="22"/>
          <w:highlight w:val="none"/>
          <w:lang w:val="en-US" w:eastAsia="zh-CN" w:bidi="ar-SA"/>
        </w:rPr>
        <w:t>违反</w:t>
      </w:r>
      <w:r>
        <w:rPr>
          <w:rFonts w:hint="eastAsia" w:ascii="新宋体" w:hAnsi="新宋体" w:eastAsia="新宋体" w:cs="新宋体"/>
          <w:color w:val="auto"/>
          <w:sz w:val="22"/>
          <w:szCs w:val="22"/>
          <w:highlight w:val="none"/>
        </w:rPr>
        <w:t>上述承诺，你方有权立即取消我单位投标、中标或在建项目的履约资格，有权拒绝我单位在一定时期内进入你方进行政府采购或其他经营活动，并通报监督管理部门、纪检监察部门或司法机关调查处理。由此引起的相应损失均由我单位承担。</w:t>
      </w:r>
    </w:p>
    <w:p w14:paraId="288D13B0">
      <w:pPr>
        <w:spacing w:line="360" w:lineRule="auto"/>
        <w:jc w:val="center"/>
        <w:rPr>
          <w:rFonts w:ascii="新宋体" w:hAnsi="新宋体" w:eastAsia="新宋体" w:cs="新宋体"/>
          <w:b/>
          <w:bCs/>
          <w:color w:val="auto"/>
          <w:sz w:val="28"/>
          <w:szCs w:val="28"/>
          <w:highlight w:val="none"/>
        </w:rPr>
      </w:pPr>
    </w:p>
    <w:p w14:paraId="58B31B9E">
      <w:pPr>
        <w:pStyle w:val="14"/>
        <w:spacing w:line="360" w:lineRule="auto"/>
        <w:ind w:left="5360" w:leftChars="2500" w:hanging="110" w:hangingChars="50"/>
        <w:rPr>
          <w:rFonts w:ascii="新宋体" w:hAnsi="新宋体" w:eastAsia="新宋体" w:cs="新宋体"/>
          <w:b w:val="0"/>
          <w:color w:val="auto"/>
          <w:kern w:val="2"/>
          <w:sz w:val="22"/>
          <w:szCs w:val="22"/>
          <w:highlight w:val="none"/>
        </w:rPr>
      </w:pPr>
      <w:r>
        <w:rPr>
          <w:rFonts w:hint="eastAsia" w:ascii="新宋体" w:hAnsi="新宋体" w:eastAsia="新宋体" w:cs="新宋体"/>
          <w:b w:val="0"/>
          <w:color w:val="auto"/>
          <w:kern w:val="2"/>
          <w:sz w:val="22"/>
          <w:szCs w:val="22"/>
          <w:highlight w:val="none"/>
        </w:rPr>
        <w:t>投标人全称（盖章）：</w:t>
      </w:r>
    </w:p>
    <w:p w14:paraId="664626B5">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投标人代表（签字）：</w:t>
      </w:r>
    </w:p>
    <w:p w14:paraId="2785FB19">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    期：</w:t>
      </w:r>
    </w:p>
    <w:p w14:paraId="6705C3A9">
      <w:pPr>
        <w:spacing w:line="360" w:lineRule="auto"/>
        <w:jc w:val="center"/>
        <w:outlineLvl w:val="3"/>
        <w:rPr>
          <w:rFonts w:ascii="宋体" w:hAnsi="宋体" w:cs="宋体"/>
          <w:b/>
          <w:bCs/>
          <w:color w:val="auto"/>
          <w:sz w:val="28"/>
          <w:szCs w:val="28"/>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4、</w:t>
      </w:r>
      <w:r>
        <w:rPr>
          <w:rFonts w:hint="eastAsia" w:ascii="宋体" w:hAnsi="宋体" w:cs="宋体"/>
          <w:b/>
          <w:color w:val="auto"/>
          <w:sz w:val="24"/>
          <w:highlight w:val="none"/>
          <w:lang w:val="zh-CN"/>
        </w:rPr>
        <w:t>偏离表（</w:t>
      </w:r>
      <w:r>
        <w:rPr>
          <w:rFonts w:hint="eastAsia" w:ascii="宋体" w:hAnsi="宋体" w:cs="宋体"/>
          <w:b/>
          <w:color w:val="auto"/>
          <w:sz w:val="24"/>
          <w:highlight w:val="none"/>
        </w:rPr>
        <w:t>商务、技术偏离</w:t>
      </w:r>
      <w:r>
        <w:rPr>
          <w:rFonts w:hint="eastAsia" w:ascii="宋体" w:hAnsi="宋体" w:cs="宋体"/>
          <w:b/>
          <w:color w:val="auto"/>
          <w:sz w:val="24"/>
          <w:highlight w:val="none"/>
          <w:lang w:val="zh-CN"/>
        </w:rPr>
        <w:t>）</w:t>
      </w:r>
    </w:p>
    <w:p w14:paraId="35059761">
      <w:pPr>
        <w:spacing w:line="560" w:lineRule="exact"/>
        <w:ind w:firstLine="433" w:firstLineChars="196"/>
        <w:rPr>
          <w:rFonts w:ascii="宋体" w:hAnsi="宋体" w:cs="宋体"/>
          <w:b/>
          <w:bCs/>
          <w:color w:val="auto"/>
          <w:sz w:val="22"/>
          <w:szCs w:val="22"/>
          <w:highlight w:val="none"/>
        </w:rPr>
      </w:pPr>
      <w:r>
        <w:rPr>
          <w:rFonts w:hint="eastAsia" w:ascii="宋体" w:hAnsi="宋体" w:cs="宋体"/>
          <w:b/>
          <w:color w:val="auto"/>
          <w:sz w:val="22"/>
          <w:szCs w:val="22"/>
          <w:highlight w:val="none"/>
        </w:rPr>
        <w:t>项目名称：                                          项目编号：</w:t>
      </w:r>
    </w:p>
    <w:tbl>
      <w:tblPr>
        <w:tblStyle w:val="24"/>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14:paraId="39EC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14:paraId="43E6A7D9">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序  号</w:t>
            </w:r>
          </w:p>
        </w:tc>
        <w:tc>
          <w:tcPr>
            <w:tcW w:w="3544" w:type="dxa"/>
            <w:shd w:val="clear" w:color="auto" w:fill="FFFFFF"/>
            <w:vAlign w:val="center"/>
          </w:tcPr>
          <w:p w14:paraId="4AA1E2D3">
            <w:pPr>
              <w:jc w:val="center"/>
              <w:rPr>
                <w:rFonts w:ascii="宋体" w:hAnsi="宋体" w:cs="宋体"/>
                <w:b/>
                <w:color w:val="auto"/>
                <w:sz w:val="22"/>
                <w:szCs w:val="22"/>
                <w:highlight w:val="none"/>
              </w:rPr>
            </w:pPr>
            <w:r>
              <w:rPr>
                <w:rFonts w:hint="eastAsia" w:ascii="宋体" w:hAnsi="宋体" w:cs="宋体"/>
                <w:b/>
                <w:color w:val="auto"/>
                <w:sz w:val="22"/>
                <w:szCs w:val="22"/>
                <w:highlight w:val="none"/>
              </w:rPr>
              <w:t>招标文件</w:t>
            </w:r>
          </w:p>
          <w:p w14:paraId="06DA1060">
            <w:pPr>
              <w:jc w:val="center"/>
              <w:rPr>
                <w:rFonts w:ascii="宋体" w:hAnsi="宋体" w:cs="宋体"/>
                <w:b/>
                <w:color w:val="auto"/>
                <w:sz w:val="22"/>
                <w:szCs w:val="22"/>
                <w:highlight w:val="none"/>
              </w:rPr>
            </w:pPr>
            <w:r>
              <w:rPr>
                <w:rFonts w:hint="eastAsia" w:ascii="宋体" w:hAnsi="宋体" w:cs="宋体"/>
                <w:b/>
                <w:color w:val="auto"/>
                <w:sz w:val="22"/>
                <w:szCs w:val="22"/>
                <w:highlight w:val="none"/>
              </w:rPr>
              <w:t>规格要求</w:t>
            </w:r>
          </w:p>
        </w:tc>
        <w:tc>
          <w:tcPr>
            <w:tcW w:w="3402" w:type="dxa"/>
            <w:shd w:val="clear" w:color="auto" w:fill="FFFFFF"/>
            <w:vAlign w:val="center"/>
          </w:tcPr>
          <w:p w14:paraId="739A2FB1">
            <w:pPr>
              <w:jc w:val="center"/>
              <w:rPr>
                <w:rFonts w:ascii="宋体" w:hAnsi="宋体" w:cs="宋体"/>
                <w:b/>
                <w:color w:val="auto"/>
                <w:sz w:val="22"/>
                <w:szCs w:val="22"/>
                <w:highlight w:val="none"/>
              </w:rPr>
            </w:pPr>
            <w:r>
              <w:rPr>
                <w:rFonts w:hint="eastAsia" w:ascii="宋体" w:hAnsi="宋体" w:cs="宋体"/>
                <w:b/>
                <w:color w:val="auto"/>
                <w:sz w:val="22"/>
                <w:szCs w:val="22"/>
                <w:highlight w:val="none"/>
              </w:rPr>
              <w:t>投标文件</w:t>
            </w:r>
          </w:p>
          <w:p w14:paraId="7BE1E3E4">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对应规格</w:t>
            </w:r>
          </w:p>
        </w:tc>
        <w:tc>
          <w:tcPr>
            <w:tcW w:w="1843" w:type="dxa"/>
            <w:shd w:val="clear" w:color="auto" w:fill="FFFFFF"/>
            <w:vAlign w:val="center"/>
          </w:tcPr>
          <w:p w14:paraId="0DB576B1">
            <w:pPr>
              <w:jc w:val="center"/>
              <w:rPr>
                <w:rFonts w:ascii="宋体" w:hAnsi="宋体" w:cs="宋体"/>
                <w:b/>
                <w:color w:val="auto"/>
                <w:sz w:val="22"/>
                <w:szCs w:val="22"/>
                <w:highlight w:val="none"/>
              </w:rPr>
            </w:pPr>
            <w:r>
              <w:rPr>
                <w:rFonts w:hint="eastAsia" w:ascii="宋体" w:hAnsi="宋体" w:cs="宋体"/>
                <w:b/>
                <w:color w:val="auto"/>
                <w:sz w:val="22"/>
                <w:szCs w:val="22"/>
                <w:highlight w:val="none"/>
              </w:rPr>
              <w:t>说   明</w:t>
            </w:r>
          </w:p>
        </w:tc>
      </w:tr>
      <w:tr w14:paraId="5587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14:paraId="627F65FA">
            <w:pPr>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tc>
        <w:tc>
          <w:tcPr>
            <w:tcW w:w="3544" w:type="dxa"/>
            <w:vAlign w:val="center"/>
          </w:tcPr>
          <w:p w14:paraId="3FF3AB0B">
            <w:pPr>
              <w:jc w:val="center"/>
              <w:rPr>
                <w:rFonts w:ascii="宋体" w:hAnsi="宋体" w:cs="宋体"/>
                <w:color w:val="auto"/>
                <w:sz w:val="22"/>
                <w:szCs w:val="22"/>
                <w:highlight w:val="none"/>
              </w:rPr>
            </w:pPr>
          </w:p>
        </w:tc>
        <w:tc>
          <w:tcPr>
            <w:tcW w:w="3402" w:type="dxa"/>
            <w:vAlign w:val="center"/>
          </w:tcPr>
          <w:p w14:paraId="3EEE87F9">
            <w:pPr>
              <w:jc w:val="center"/>
              <w:rPr>
                <w:rFonts w:ascii="宋体" w:hAnsi="宋体" w:cs="宋体"/>
                <w:color w:val="auto"/>
                <w:sz w:val="22"/>
                <w:szCs w:val="22"/>
                <w:highlight w:val="none"/>
              </w:rPr>
            </w:pPr>
          </w:p>
        </w:tc>
        <w:tc>
          <w:tcPr>
            <w:tcW w:w="1843" w:type="dxa"/>
            <w:vAlign w:val="center"/>
          </w:tcPr>
          <w:p w14:paraId="4A148571">
            <w:pPr>
              <w:jc w:val="center"/>
              <w:rPr>
                <w:rFonts w:ascii="宋体" w:hAnsi="宋体" w:cs="宋体"/>
                <w:color w:val="auto"/>
                <w:sz w:val="22"/>
                <w:szCs w:val="22"/>
                <w:highlight w:val="none"/>
              </w:rPr>
            </w:pPr>
          </w:p>
        </w:tc>
      </w:tr>
      <w:tr w14:paraId="03C7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3CEB9692">
            <w:pPr>
              <w:jc w:val="center"/>
              <w:rPr>
                <w:rFonts w:ascii="宋体" w:hAnsi="宋体" w:cs="宋体"/>
                <w:color w:val="auto"/>
                <w:sz w:val="22"/>
                <w:szCs w:val="22"/>
                <w:highlight w:val="none"/>
              </w:rPr>
            </w:pPr>
          </w:p>
        </w:tc>
        <w:tc>
          <w:tcPr>
            <w:tcW w:w="3544" w:type="dxa"/>
            <w:vAlign w:val="center"/>
          </w:tcPr>
          <w:p w14:paraId="248ACA71">
            <w:pPr>
              <w:jc w:val="center"/>
              <w:rPr>
                <w:rFonts w:ascii="宋体" w:hAnsi="宋体" w:cs="宋体"/>
                <w:color w:val="auto"/>
                <w:sz w:val="22"/>
                <w:szCs w:val="22"/>
                <w:highlight w:val="none"/>
              </w:rPr>
            </w:pPr>
          </w:p>
        </w:tc>
        <w:tc>
          <w:tcPr>
            <w:tcW w:w="3402" w:type="dxa"/>
            <w:vAlign w:val="center"/>
          </w:tcPr>
          <w:p w14:paraId="06F69A4C">
            <w:pPr>
              <w:jc w:val="center"/>
              <w:rPr>
                <w:rFonts w:ascii="宋体" w:hAnsi="宋体" w:cs="宋体"/>
                <w:color w:val="auto"/>
                <w:sz w:val="22"/>
                <w:szCs w:val="22"/>
                <w:highlight w:val="none"/>
              </w:rPr>
            </w:pPr>
          </w:p>
        </w:tc>
        <w:tc>
          <w:tcPr>
            <w:tcW w:w="1843" w:type="dxa"/>
            <w:vAlign w:val="center"/>
          </w:tcPr>
          <w:p w14:paraId="7930095C">
            <w:pPr>
              <w:jc w:val="center"/>
              <w:rPr>
                <w:rFonts w:ascii="宋体" w:hAnsi="宋体" w:cs="宋体"/>
                <w:color w:val="auto"/>
                <w:sz w:val="22"/>
                <w:szCs w:val="22"/>
                <w:highlight w:val="none"/>
              </w:rPr>
            </w:pPr>
          </w:p>
        </w:tc>
      </w:tr>
      <w:tr w14:paraId="332F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4272A1FE">
            <w:pPr>
              <w:jc w:val="center"/>
              <w:rPr>
                <w:rFonts w:ascii="宋体" w:hAnsi="宋体" w:cs="宋体"/>
                <w:color w:val="auto"/>
                <w:sz w:val="22"/>
                <w:szCs w:val="22"/>
                <w:highlight w:val="none"/>
              </w:rPr>
            </w:pPr>
          </w:p>
        </w:tc>
        <w:tc>
          <w:tcPr>
            <w:tcW w:w="3544" w:type="dxa"/>
            <w:vAlign w:val="center"/>
          </w:tcPr>
          <w:p w14:paraId="216680C2">
            <w:pPr>
              <w:jc w:val="center"/>
              <w:rPr>
                <w:rFonts w:ascii="宋体" w:hAnsi="宋体" w:cs="宋体"/>
                <w:color w:val="auto"/>
                <w:sz w:val="22"/>
                <w:szCs w:val="22"/>
                <w:highlight w:val="none"/>
              </w:rPr>
            </w:pPr>
          </w:p>
        </w:tc>
        <w:tc>
          <w:tcPr>
            <w:tcW w:w="3402" w:type="dxa"/>
            <w:vAlign w:val="center"/>
          </w:tcPr>
          <w:p w14:paraId="6A53DF1B">
            <w:pPr>
              <w:jc w:val="center"/>
              <w:rPr>
                <w:rFonts w:ascii="宋体" w:hAnsi="宋体" w:cs="宋体"/>
                <w:color w:val="auto"/>
                <w:sz w:val="22"/>
                <w:szCs w:val="22"/>
                <w:highlight w:val="none"/>
              </w:rPr>
            </w:pPr>
          </w:p>
        </w:tc>
        <w:tc>
          <w:tcPr>
            <w:tcW w:w="1843" w:type="dxa"/>
            <w:vAlign w:val="center"/>
          </w:tcPr>
          <w:p w14:paraId="00D54A77">
            <w:pPr>
              <w:jc w:val="center"/>
              <w:rPr>
                <w:rFonts w:ascii="宋体" w:hAnsi="宋体" w:cs="宋体"/>
                <w:color w:val="auto"/>
                <w:sz w:val="22"/>
                <w:szCs w:val="22"/>
                <w:highlight w:val="none"/>
              </w:rPr>
            </w:pPr>
          </w:p>
        </w:tc>
      </w:tr>
      <w:tr w14:paraId="334D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4E55A3F9">
            <w:pPr>
              <w:jc w:val="center"/>
              <w:rPr>
                <w:rFonts w:ascii="宋体" w:hAnsi="宋体" w:cs="宋体"/>
                <w:color w:val="auto"/>
                <w:sz w:val="22"/>
                <w:szCs w:val="22"/>
                <w:highlight w:val="none"/>
              </w:rPr>
            </w:pPr>
          </w:p>
        </w:tc>
        <w:tc>
          <w:tcPr>
            <w:tcW w:w="3544" w:type="dxa"/>
            <w:vAlign w:val="center"/>
          </w:tcPr>
          <w:p w14:paraId="17AB0D6E">
            <w:pPr>
              <w:jc w:val="center"/>
              <w:rPr>
                <w:rFonts w:ascii="宋体" w:hAnsi="宋体" w:cs="宋体"/>
                <w:color w:val="auto"/>
                <w:sz w:val="22"/>
                <w:szCs w:val="22"/>
                <w:highlight w:val="none"/>
              </w:rPr>
            </w:pPr>
          </w:p>
        </w:tc>
        <w:tc>
          <w:tcPr>
            <w:tcW w:w="3402" w:type="dxa"/>
            <w:vAlign w:val="center"/>
          </w:tcPr>
          <w:p w14:paraId="767E30B2">
            <w:pPr>
              <w:jc w:val="center"/>
              <w:rPr>
                <w:rFonts w:ascii="宋体" w:hAnsi="宋体" w:cs="宋体"/>
                <w:color w:val="auto"/>
                <w:sz w:val="22"/>
                <w:szCs w:val="22"/>
                <w:highlight w:val="none"/>
              </w:rPr>
            </w:pPr>
          </w:p>
        </w:tc>
        <w:tc>
          <w:tcPr>
            <w:tcW w:w="1843" w:type="dxa"/>
            <w:vAlign w:val="center"/>
          </w:tcPr>
          <w:p w14:paraId="79634E8D">
            <w:pPr>
              <w:jc w:val="center"/>
              <w:rPr>
                <w:rFonts w:ascii="宋体" w:hAnsi="宋体" w:cs="宋体"/>
                <w:color w:val="auto"/>
                <w:sz w:val="22"/>
                <w:szCs w:val="22"/>
                <w:highlight w:val="none"/>
              </w:rPr>
            </w:pPr>
          </w:p>
        </w:tc>
      </w:tr>
      <w:tr w14:paraId="7A8C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1B805FFC">
            <w:pPr>
              <w:jc w:val="center"/>
              <w:rPr>
                <w:rFonts w:ascii="宋体" w:hAnsi="宋体" w:cs="宋体"/>
                <w:color w:val="auto"/>
                <w:sz w:val="22"/>
                <w:szCs w:val="22"/>
                <w:highlight w:val="none"/>
              </w:rPr>
            </w:pPr>
          </w:p>
        </w:tc>
        <w:tc>
          <w:tcPr>
            <w:tcW w:w="3544" w:type="dxa"/>
            <w:vAlign w:val="center"/>
          </w:tcPr>
          <w:p w14:paraId="650926C4">
            <w:pPr>
              <w:jc w:val="center"/>
              <w:rPr>
                <w:rFonts w:ascii="宋体" w:hAnsi="宋体" w:cs="宋体"/>
                <w:color w:val="auto"/>
                <w:sz w:val="22"/>
                <w:szCs w:val="22"/>
                <w:highlight w:val="none"/>
              </w:rPr>
            </w:pPr>
          </w:p>
        </w:tc>
        <w:tc>
          <w:tcPr>
            <w:tcW w:w="3402" w:type="dxa"/>
            <w:vAlign w:val="center"/>
          </w:tcPr>
          <w:p w14:paraId="16D5DDB6">
            <w:pPr>
              <w:jc w:val="center"/>
              <w:rPr>
                <w:rFonts w:ascii="宋体" w:hAnsi="宋体" w:cs="宋体"/>
                <w:color w:val="auto"/>
                <w:sz w:val="22"/>
                <w:szCs w:val="22"/>
                <w:highlight w:val="none"/>
              </w:rPr>
            </w:pPr>
          </w:p>
        </w:tc>
        <w:tc>
          <w:tcPr>
            <w:tcW w:w="1843" w:type="dxa"/>
            <w:vAlign w:val="center"/>
          </w:tcPr>
          <w:p w14:paraId="0E20997A">
            <w:pPr>
              <w:jc w:val="center"/>
              <w:rPr>
                <w:rFonts w:ascii="宋体" w:hAnsi="宋体" w:cs="宋体"/>
                <w:color w:val="auto"/>
                <w:sz w:val="22"/>
                <w:szCs w:val="22"/>
                <w:highlight w:val="none"/>
              </w:rPr>
            </w:pPr>
          </w:p>
        </w:tc>
      </w:tr>
      <w:tr w14:paraId="4DDB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E531A93">
            <w:pPr>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tc>
        <w:tc>
          <w:tcPr>
            <w:tcW w:w="3544" w:type="dxa"/>
            <w:vAlign w:val="center"/>
          </w:tcPr>
          <w:p w14:paraId="1F221E58">
            <w:pPr>
              <w:jc w:val="center"/>
              <w:rPr>
                <w:rFonts w:ascii="宋体" w:hAnsi="宋体" w:cs="宋体"/>
                <w:color w:val="auto"/>
                <w:sz w:val="22"/>
                <w:szCs w:val="22"/>
                <w:highlight w:val="none"/>
              </w:rPr>
            </w:pPr>
          </w:p>
        </w:tc>
        <w:tc>
          <w:tcPr>
            <w:tcW w:w="3402" w:type="dxa"/>
            <w:vAlign w:val="center"/>
          </w:tcPr>
          <w:p w14:paraId="46653AA1">
            <w:pPr>
              <w:jc w:val="center"/>
              <w:rPr>
                <w:rFonts w:ascii="宋体" w:hAnsi="宋体" w:cs="宋体"/>
                <w:color w:val="auto"/>
                <w:sz w:val="22"/>
                <w:szCs w:val="22"/>
                <w:highlight w:val="none"/>
              </w:rPr>
            </w:pPr>
          </w:p>
        </w:tc>
        <w:tc>
          <w:tcPr>
            <w:tcW w:w="1843" w:type="dxa"/>
            <w:vAlign w:val="center"/>
          </w:tcPr>
          <w:p w14:paraId="38CBC016">
            <w:pPr>
              <w:jc w:val="center"/>
              <w:rPr>
                <w:rFonts w:ascii="宋体" w:hAnsi="宋体" w:cs="宋体"/>
                <w:color w:val="auto"/>
                <w:sz w:val="22"/>
                <w:szCs w:val="22"/>
                <w:highlight w:val="none"/>
              </w:rPr>
            </w:pPr>
          </w:p>
        </w:tc>
      </w:tr>
      <w:tr w14:paraId="694D2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4485A946">
            <w:pPr>
              <w:jc w:val="center"/>
              <w:rPr>
                <w:rFonts w:ascii="宋体" w:hAnsi="宋体" w:cs="宋体"/>
                <w:color w:val="auto"/>
                <w:sz w:val="22"/>
                <w:szCs w:val="22"/>
                <w:highlight w:val="none"/>
              </w:rPr>
            </w:pPr>
          </w:p>
        </w:tc>
        <w:tc>
          <w:tcPr>
            <w:tcW w:w="3544" w:type="dxa"/>
            <w:vAlign w:val="center"/>
          </w:tcPr>
          <w:p w14:paraId="36EA4B42">
            <w:pPr>
              <w:jc w:val="center"/>
              <w:rPr>
                <w:rFonts w:ascii="宋体" w:hAnsi="宋体" w:cs="宋体"/>
                <w:color w:val="auto"/>
                <w:sz w:val="22"/>
                <w:szCs w:val="22"/>
                <w:highlight w:val="none"/>
              </w:rPr>
            </w:pPr>
          </w:p>
        </w:tc>
        <w:tc>
          <w:tcPr>
            <w:tcW w:w="3402" w:type="dxa"/>
            <w:vAlign w:val="center"/>
          </w:tcPr>
          <w:p w14:paraId="50FF5B98">
            <w:pPr>
              <w:jc w:val="center"/>
              <w:rPr>
                <w:rFonts w:ascii="宋体" w:hAnsi="宋体" w:cs="宋体"/>
                <w:color w:val="auto"/>
                <w:sz w:val="22"/>
                <w:szCs w:val="22"/>
                <w:highlight w:val="none"/>
              </w:rPr>
            </w:pPr>
          </w:p>
        </w:tc>
        <w:tc>
          <w:tcPr>
            <w:tcW w:w="1843" w:type="dxa"/>
            <w:vAlign w:val="center"/>
          </w:tcPr>
          <w:p w14:paraId="011E88DC">
            <w:pPr>
              <w:jc w:val="center"/>
              <w:rPr>
                <w:rFonts w:ascii="宋体" w:hAnsi="宋体" w:cs="宋体"/>
                <w:color w:val="auto"/>
                <w:sz w:val="22"/>
                <w:szCs w:val="22"/>
                <w:highlight w:val="none"/>
              </w:rPr>
            </w:pPr>
          </w:p>
        </w:tc>
      </w:tr>
      <w:tr w14:paraId="7B9D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2890E309">
            <w:pPr>
              <w:jc w:val="center"/>
              <w:rPr>
                <w:rFonts w:ascii="宋体" w:hAnsi="宋体" w:cs="宋体"/>
                <w:color w:val="auto"/>
                <w:sz w:val="22"/>
                <w:szCs w:val="22"/>
                <w:highlight w:val="none"/>
              </w:rPr>
            </w:pPr>
          </w:p>
        </w:tc>
        <w:tc>
          <w:tcPr>
            <w:tcW w:w="3544" w:type="dxa"/>
            <w:vAlign w:val="center"/>
          </w:tcPr>
          <w:p w14:paraId="1DA78FBF">
            <w:pPr>
              <w:jc w:val="center"/>
              <w:rPr>
                <w:rFonts w:ascii="宋体" w:hAnsi="宋体" w:cs="宋体"/>
                <w:color w:val="auto"/>
                <w:sz w:val="22"/>
                <w:szCs w:val="22"/>
                <w:highlight w:val="none"/>
              </w:rPr>
            </w:pPr>
          </w:p>
        </w:tc>
        <w:tc>
          <w:tcPr>
            <w:tcW w:w="3402" w:type="dxa"/>
            <w:vAlign w:val="center"/>
          </w:tcPr>
          <w:p w14:paraId="6CE0B0C2">
            <w:pPr>
              <w:jc w:val="center"/>
              <w:rPr>
                <w:rFonts w:ascii="宋体" w:hAnsi="宋体" w:cs="宋体"/>
                <w:color w:val="auto"/>
                <w:sz w:val="22"/>
                <w:szCs w:val="22"/>
                <w:highlight w:val="none"/>
              </w:rPr>
            </w:pPr>
          </w:p>
        </w:tc>
        <w:tc>
          <w:tcPr>
            <w:tcW w:w="1843" w:type="dxa"/>
            <w:vAlign w:val="center"/>
          </w:tcPr>
          <w:p w14:paraId="2E03F4E1">
            <w:pPr>
              <w:jc w:val="center"/>
              <w:rPr>
                <w:rFonts w:ascii="宋体" w:hAnsi="宋体" w:cs="宋体"/>
                <w:color w:val="auto"/>
                <w:sz w:val="22"/>
                <w:szCs w:val="22"/>
                <w:highlight w:val="none"/>
              </w:rPr>
            </w:pPr>
          </w:p>
        </w:tc>
      </w:tr>
      <w:tr w14:paraId="105D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F6FAEEF">
            <w:pPr>
              <w:jc w:val="center"/>
              <w:rPr>
                <w:rFonts w:ascii="宋体" w:hAnsi="宋体" w:cs="宋体"/>
                <w:color w:val="auto"/>
                <w:sz w:val="22"/>
                <w:szCs w:val="22"/>
                <w:highlight w:val="none"/>
              </w:rPr>
            </w:pPr>
          </w:p>
        </w:tc>
        <w:tc>
          <w:tcPr>
            <w:tcW w:w="3544" w:type="dxa"/>
            <w:vAlign w:val="center"/>
          </w:tcPr>
          <w:p w14:paraId="3E5DB1B7">
            <w:pPr>
              <w:jc w:val="center"/>
              <w:rPr>
                <w:rFonts w:ascii="宋体" w:hAnsi="宋体" w:cs="宋体"/>
                <w:color w:val="auto"/>
                <w:sz w:val="22"/>
                <w:szCs w:val="22"/>
                <w:highlight w:val="none"/>
              </w:rPr>
            </w:pPr>
          </w:p>
        </w:tc>
        <w:tc>
          <w:tcPr>
            <w:tcW w:w="3402" w:type="dxa"/>
            <w:vAlign w:val="center"/>
          </w:tcPr>
          <w:p w14:paraId="1C6EAAF9">
            <w:pPr>
              <w:jc w:val="center"/>
              <w:rPr>
                <w:rFonts w:ascii="宋体" w:hAnsi="宋体" w:cs="宋体"/>
                <w:color w:val="auto"/>
                <w:sz w:val="22"/>
                <w:szCs w:val="22"/>
                <w:highlight w:val="none"/>
              </w:rPr>
            </w:pPr>
          </w:p>
        </w:tc>
        <w:tc>
          <w:tcPr>
            <w:tcW w:w="1843" w:type="dxa"/>
            <w:vAlign w:val="center"/>
          </w:tcPr>
          <w:p w14:paraId="42330841">
            <w:pPr>
              <w:jc w:val="center"/>
              <w:rPr>
                <w:rFonts w:ascii="宋体" w:hAnsi="宋体" w:cs="宋体"/>
                <w:color w:val="auto"/>
                <w:sz w:val="22"/>
                <w:szCs w:val="22"/>
                <w:highlight w:val="none"/>
              </w:rPr>
            </w:pPr>
          </w:p>
        </w:tc>
      </w:tr>
      <w:tr w14:paraId="61EE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5FED3735">
            <w:pPr>
              <w:jc w:val="center"/>
              <w:rPr>
                <w:rFonts w:ascii="宋体" w:hAnsi="宋体" w:cs="宋体"/>
                <w:color w:val="auto"/>
                <w:sz w:val="22"/>
                <w:szCs w:val="22"/>
                <w:highlight w:val="none"/>
              </w:rPr>
            </w:pPr>
          </w:p>
        </w:tc>
        <w:tc>
          <w:tcPr>
            <w:tcW w:w="3544" w:type="dxa"/>
            <w:vAlign w:val="center"/>
          </w:tcPr>
          <w:p w14:paraId="2E23419E">
            <w:pPr>
              <w:jc w:val="center"/>
              <w:rPr>
                <w:rFonts w:ascii="宋体" w:hAnsi="宋体" w:cs="宋体"/>
                <w:color w:val="auto"/>
                <w:sz w:val="22"/>
                <w:szCs w:val="22"/>
                <w:highlight w:val="none"/>
              </w:rPr>
            </w:pPr>
          </w:p>
        </w:tc>
        <w:tc>
          <w:tcPr>
            <w:tcW w:w="3402" w:type="dxa"/>
            <w:vAlign w:val="center"/>
          </w:tcPr>
          <w:p w14:paraId="51ECB1C4">
            <w:pPr>
              <w:jc w:val="center"/>
              <w:rPr>
                <w:rFonts w:ascii="宋体" w:hAnsi="宋体" w:cs="宋体"/>
                <w:color w:val="auto"/>
                <w:sz w:val="22"/>
                <w:szCs w:val="22"/>
                <w:highlight w:val="none"/>
              </w:rPr>
            </w:pPr>
          </w:p>
        </w:tc>
        <w:tc>
          <w:tcPr>
            <w:tcW w:w="1843" w:type="dxa"/>
            <w:vAlign w:val="center"/>
          </w:tcPr>
          <w:p w14:paraId="6C1BAE1A">
            <w:pPr>
              <w:jc w:val="center"/>
              <w:rPr>
                <w:rFonts w:ascii="宋体" w:hAnsi="宋体" w:cs="宋体"/>
                <w:color w:val="auto"/>
                <w:sz w:val="22"/>
                <w:szCs w:val="22"/>
                <w:highlight w:val="none"/>
              </w:rPr>
            </w:pPr>
          </w:p>
        </w:tc>
      </w:tr>
      <w:tr w14:paraId="0316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220CFF82">
            <w:pPr>
              <w:jc w:val="center"/>
              <w:rPr>
                <w:rFonts w:ascii="宋体" w:hAnsi="宋体" w:cs="宋体"/>
                <w:color w:val="auto"/>
                <w:sz w:val="22"/>
                <w:szCs w:val="22"/>
                <w:highlight w:val="none"/>
              </w:rPr>
            </w:pPr>
          </w:p>
        </w:tc>
        <w:tc>
          <w:tcPr>
            <w:tcW w:w="3544" w:type="dxa"/>
            <w:vAlign w:val="center"/>
          </w:tcPr>
          <w:p w14:paraId="6FCD10F8">
            <w:pPr>
              <w:jc w:val="center"/>
              <w:rPr>
                <w:rFonts w:ascii="宋体" w:hAnsi="宋体" w:cs="宋体"/>
                <w:color w:val="auto"/>
                <w:sz w:val="22"/>
                <w:szCs w:val="22"/>
                <w:highlight w:val="none"/>
              </w:rPr>
            </w:pPr>
          </w:p>
        </w:tc>
        <w:tc>
          <w:tcPr>
            <w:tcW w:w="3402" w:type="dxa"/>
            <w:vAlign w:val="center"/>
          </w:tcPr>
          <w:p w14:paraId="4865C7D4">
            <w:pPr>
              <w:jc w:val="center"/>
              <w:rPr>
                <w:rFonts w:ascii="宋体" w:hAnsi="宋体" w:cs="宋体"/>
                <w:color w:val="auto"/>
                <w:sz w:val="22"/>
                <w:szCs w:val="22"/>
                <w:highlight w:val="none"/>
              </w:rPr>
            </w:pPr>
          </w:p>
        </w:tc>
        <w:tc>
          <w:tcPr>
            <w:tcW w:w="1843" w:type="dxa"/>
            <w:vAlign w:val="center"/>
          </w:tcPr>
          <w:p w14:paraId="56AD2F72">
            <w:pPr>
              <w:jc w:val="center"/>
              <w:rPr>
                <w:rFonts w:ascii="宋体" w:hAnsi="宋体" w:cs="宋体"/>
                <w:color w:val="auto"/>
                <w:sz w:val="22"/>
                <w:szCs w:val="22"/>
                <w:highlight w:val="none"/>
              </w:rPr>
            </w:pPr>
          </w:p>
        </w:tc>
      </w:tr>
    </w:tbl>
    <w:p w14:paraId="0B7F3064">
      <w:pPr>
        <w:rPr>
          <w:rFonts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b/>
          <w:bCs/>
          <w:color w:val="auto"/>
          <w:sz w:val="22"/>
          <w:szCs w:val="22"/>
          <w:highlight w:val="none"/>
        </w:rPr>
        <w:t>注： 如有偏离，必须在偏离表中进行详细对比说明并注明正偏离和负偏离，如不说明偏离情况，视为完全响应采购文件要求无偏离</w:t>
      </w:r>
    </w:p>
    <w:p w14:paraId="35A4DCBB">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5B17CCBB">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14:paraId="77EE2BD9">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180BE15C">
      <w:pPr>
        <w:rPr>
          <w:rFonts w:ascii="宋体" w:hAnsi="宋体" w:cs="宋体"/>
          <w:bCs/>
          <w:color w:val="auto"/>
          <w:sz w:val="22"/>
          <w:szCs w:val="22"/>
          <w:highlight w:val="none"/>
        </w:rPr>
      </w:pPr>
    </w:p>
    <w:p w14:paraId="67816D40">
      <w:pPr>
        <w:rPr>
          <w:rFonts w:ascii="宋体" w:hAnsi="宋体" w:cs="宋体"/>
          <w:b/>
          <w:color w:val="auto"/>
          <w:sz w:val="24"/>
          <w:highlight w:val="none"/>
        </w:rPr>
      </w:pPr>
      <w:bookmarkStart w:id="41" w:name="_Toc415152386"/>
      <w:r>
        <w:rPr>
          <w:rFonts w:hint="eastAsia" w:ascii="宋体" w:hAnsi="宋体" w:cs="宋体"/>
          <w:b/>
          <w:color w:val="auto"/>
          <w:sz w:val="24"/>
          <w:highlight w:val="none"/>
        </w:rPr>
        <w:br w:type="page"/>
      </w:r>
    </w:p>
    <w:p w14:paraId="7A2C3CD7">
      <w:pPr>
        <w:spacing w:line="400" w:lineRule="exact"/>
        <w:jc w:val="center"/>
        <w:outlineLvl w:val="3"/>
        <w:rPr>
          <w:rFonts w:ascii="宋体" w:hAnsi="宋体" w:cs="宋体"/>
          <w:b/>
          <w:color w:val="auto"/>
          <w:sz w:val="24"/>
          <w:highlight w:val="none"/>
        </w:rPr>
      </w:pPr>
      <w:r>
        <w:rPr>
          <w:rFonts w:hint="eastAsia" w:ascii="宋体" w:hAnsi="宋体" w:cs="宋体"/>
          <w:b/>
          <w:color w:val="auto"/>
          <w:sz w:val="24"/>
          <w:highlight w:val="none"/>
        </w:rPr>
        <w:t>5、</w:t>
      </w:r>
      <w:bookmarkEnd w:id="41"/>
      <w:r>
        <w:rPr>
          <w:rFonts w:hint="eastAsia" w:ascii="宋体" w:hAnsi="宋体" w:cs="宋体"/>
          <w:b/>
          <w:color w:val="auto"/>
          <w:sz w:val="24"/>
          <w:highlight w:val="none"/>
        </w:rPr>
        <w:t>对项目的了解程度及重点、难点解决方案</w:t>
      </w:r>
    </w:p>
    <w:p w14:paraId="208A729C">
      <w:pPr>
        <w:spacing w:line="480" w:lineRule="exact"/>
        <w:rPr>
          <w:rFonts w:ascii="宋体" w:hAnsi="宋体" w:cs="宋体"/>
          <w:b/>
          <w:bCs/>
          <w:color w:val="auto"/>
          <w:sz w:val="22"/>
          <w:szCs w:val="22"/>
          <w:highlight w:val="none"/>
        </w:rPr>
      </w:pPr>
      <w:r>
        <w:rPr>
          <w:rFonts w:hint="eastAsia" w:ascii="宋体" w:hAnsi="宋体" w:cs="宋体"/>
          <w:b/>
          <w:color w:val="auto"/>
          <w:sz w:val="22"/>
          <w:szCs w:val="22"/>
          <w:highlight w:val="none"/>
        </w:rPr>
        <w:t>项目名称：                                                       项目编号：</w:t>
      </w:r>
    </w:p>
    <w:tbl>
      <w:tblPr>
        <w:tblStyle w:val="24"/>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14:paraId="27A7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14:paraId="0563AEC8">
            <w:pPr>
              <w:spacing w:line="360" w:lineRule="auto"/>
              <w:rPr>
                <w:rFonts w:ascii="宋体" w:hAnsi="宋体" w:cs="宋体"/>
                <w:color w:val="auto"/>
                <w:sz w:val="22"/>
                <w:szCs w:val="22"/>
                <w:highlight w:val="none"/>
              </w:rPr>
            </w:pPr>
          </w:p>
        </w:tc>
      </w:tr>
    </w:tbl>
    <w:p w14:paraId="6B40EA69">
      <w:pPr>
        <w:pStyle w:val="14"/>
        <w:spacing w:line="400" w:lineRule="atLeast"/>
        <w:rPr>
          <w:rFonts w:hAnsi="宋体" w:cs="宋体"/>
          <w:color w:val="auto"/>
          <w:sz w:val="22"/>
          <w:szCs w:val="22"/>
          <w:highlight w:val="none"/>
        </w:rPr>
      </w:pPr>
    </w:p>
    <w:p w14:paraId="09C80DFB">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135C22AA">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14:paraId="3E20A3D6">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261DAED4">
      <w:pPr>
        <w:spacing w:line="460" w:lineRule="exact"/>
        <w:ind w:firstLine="5060" w:firstLineChars="2300"/>
        <w:rPr>
          <w:rFonts w:ascii="宋体" w:hAnsi="宋体" w:cs="宋体"/>
          <w:color w:val="auto"/>
          <w:sz w:val="22"/>
          <w:szCs w:val="22"/>
          <w:highlight w:val="none"/>
        </w:rPr>
      </w:pPr>
    </w:p>
    <w:p w14:paraId="08E2BD9A">
      <w:pPr>
        <w:spacing w:line="460" w:lineRule="exact"/>
        <w:ind w:firstLine="5060" w:firstLineChars="2300"/>
        <w:rPr>
          <w:rFonts w:ascii="宋体" w:hAnsi="宋体" w:cs="宋体"/>
          <w:color w:val="auto"/>
          <w:sz w:val="22"/>
          <w:szCs w:val="22"/>
          <w:highlight w:val="none"/>
        </w:rPr>
      </w:pPr>
    </w:p>
    <w:p w14:paraId="7E17A833">
      <w:pPr>
        <w:spacing w:line="460" w:lineRule="exact"/>
        <w:ind w:firstLine="5060" w:firstLineChars="2300"/>
        <w:rPr>
          <w:rFonts w:ascii="宋体" w:hAnsi="宋体" w:cs="宋体"/>
          <w:color w:val="auto"/>
          <w:sz w:val="22"/>
          <w:szCs w:val="22"/>
          <w:highlight w:val="none"/>
        </w:rPr>
      </w:pPr>
    </w:p>
    <w:p w14:paraId="15F1C340">
      <w:pPr>
        <w:spacing w:line="460" w:lineRule="exact"/>
        <w:ind w:firstLine="5060" w:firstLineChars="2300"/>
        <w:rPr>
          <w:rFonts w:ascii="宋体" w:hAnsi="宋体" w:cs="宋体"/>
          <w:color w:val="auto"/>
          <w:sz w:val="22"/>
          <w:szCs w:val="22"/>
          <w:highlight w:val="none"/>
        </w:rPr>
      </w:pPr>
    </w:p>
    <w:p w14:paraId="7AADD2A4">
      <w:pPr>
        <w:spacing w:line="400" w:lineRule="exact"/>
        <w:jc w:val="center"/>
        <w:outlineLvl w:val="3"/>
        <w:rPr>
          <w:rFonts w:ascii="宋体" w:hAnsi="宋体" w:cs="宋体"/>
          <w:b/>
          <w:color w:val="auto"/>
          <w:sz w:val="24"/>
          <w:highlight w:val="none"/>
        </w:rPr>
      </w:pPr>
      <w:r>
        <w:rPr>
          <w:rFonts w:hint="eastAsia" w:ascii="宋体" w:hAnsi="宋体" w:cs="宋体"/>
          <w:b/>
          <w:color w:val="auto"/>
          <w:sz w:val="24"/>
          <w:highlight w:val="none"/>
        </w:rPr>
        <w:t>6、实施方案</w:t>
      </w:r>
    </w:p>
    <w:p w14:paraId="5F74E66A">
      <w:pPr>
        <w:spacing w:line="4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                                                  项目编号：</w:t>
      </w:r>
    </w:p>
    <w:tbl>
      <w:tblPr>
        <w:tblStyle w:val="24"/>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14:paraId="3DB6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14:paraId="09A27A95">
            <w:pPr>
              <w:spacing w:line="360" w:lineRule="auto"/>
              <w:rPr>
                <w:rFonts w:ascii="宋体" w:hAnsi="宋体" w:cs="宋体"/>
                <w:color w:val="auto"/>
                <w:sz w:val="22"/>
                <w:szCs w:val="22"/>
                <w:highlight w:val="none"/>
              </w:rPr>
            </w:pPr>
          </w:p>
        </w:tc>
      </w:tr>
    </w:tbl>
    <w:p w14:paraId="63E5EF82">
      <w:pPr>
        <w:tabs>
          <w:tab w:val="left" w:pos="360"/>
        </w:tabs>
        <w:spacing w:line="460" w:lineRule="exact"/>
        <w:ind w:firstLine="552" w:firstLineChars="250"/>
        <w:rPr>
          <w:rFonts w:ascii="宋体" w:hAnsi="宋体" w:cs="宋体"/>
          <w:b/>
          <w:color w:val="auto"/>
          <w:sz w:val="22"/>
          <w:szCs w:val="22"/>
          <w:highlight w:val="none"/>
        </w:rPr>
      </w:pPr>
    </w:p>
    <w:p w14:paraId="05267BD3">
      <w:pPr>
        <w:tabs>
          <w:tab w:val="left" w:pos="360"/>
        </w:tabs>
        <w:spacing w:line="460" w:lineRule="exact"/>
        <w:ind w:firstLine="1436" w:firstLineChars="650"/>
        <w:rPr>
          <w:rFonts w:ascii="宋体" w:hAnsi="宋体" w:cs="宋体"/>
          <w:b/>
          <w:color w:val="auto"/>
          <w:sz w:val="22"/>
          <w:szCs w:val="22"/>
          <w:highlight w:val="none"/>
        </w:rPr>
      </w:pPr>
    </w:p>
    <w:p w14:paraId="65EFCC35">
      <w:pPr>
        <w:spacing w:line="400" w:lineRule="exact"/>
        <w:ind w:firstLine="4620" w:firstLineChars="2100"/>
        <w:rPr>
          <w:rFonts w:ascii="宋体" w:hAnsi="宋体" w:cs="宋体"/>
          <w:color w:val="auto"/>
          <w:sz w:val="22"/>
          <w:szCs w:val="22"/>
          <w:highlight w:val="none"/>
        </w:rPr>
      </w:pPr>
    </w:p>
    <w:p w14:paraId="400FDEFF">
      <w:pPr>
        <w:spacing w:line="400" w:lineRule="exact"/>
        <w:ind w:firstLine="5280" w:firstLineChars="24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491C66A2">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投标人代表（签字）：</w:t>
      </w:r>
    </w:p>
    <w:p w14:paraId="699229A9">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日    期：</w:t>
      </w:r>
    </w:p>
    <w:p w14:paraId="1A2082C7">
      <w:pPr>
        <w:spacing w:line="460" w:lineRule="exact"/>
        <w:ind w:firstLine="5060" w:firstLineChars="2300"/>
        <w:rPr>
          <w:rFonts w:ascii="宋体" w:hAnsi="宋体" w:cs="宋体"/>
          <w:color w:val="auto"/>
          <w:sz w:val="22"/>
          <w:szCs w:val="22"/>
          <w:highlight w:val="none"/>
        </w:rPr>
      </w:pPr>
    </w:p>
    <w:p w14:paraId="36898035">
      <w:pPr>
        <w:rPr>
          <w:rFonts w:ascii="宋体" w:hAnsi="宋体" w:cs="宋体"/>
          <w:b/>
          <w:color w:val="auto"/>
          <w:sz w:val="24"/>
          <w:highlight w:val="none"/>
        </w:rPr>
      </w:pPr>
      <w:r>
        <w:rPr>
          <w:rFonts w:hint="eastAsia" w:ascii="宋体" w:hAnsi="宋体" w:cs="宋体"/>
          <w:b/>
          <w:color w:val="auto"/>
          <w:sz w:val="24"/>
          <w:highlight w:val="none"/>
        </w:rPr>
        <w:br w:type="page"/>
      </w:r>
    </w:p>
    <w:p w14:paraId="6CA140EC">
      <w:pPr>
        <w:spacing w:line="400" w:lineRule="exact"/>
        <w:jc w:val="center"/>
        <w:outlineLvl w:val="3"/>
        <w:rPr>
          <w:rFonts w:ascii="宋体" w:hAnsi="宋体" w:cs="宋体"/>
          <w:b/>
          <w:color w:val="auto"/>
          <w:sz w:val="24"/>
          <w:highlight w:val="none"/>
        </w:rPr>
      </w:pPr>
      <w:r>
        <w:rPr>
          <w:rFonts w:hint="eastAsia" w:ascii="宋体" w:hAnsi="宋体" w:cs="宋体"/>
          <w:b/>
          <w:color w:val="auto"/>
          <w:sz w:val="24"/>
          <w:highlight w:val="none"/>
        </w:rPr>
        <w:t>7、应急预案</w:t>
      </w:r>
    </w:p>
    <w:p w14:paraId="7DA14C16">
      <w:pPr>
        <w:spacing w:line="380" w:lineRule="exact"/>
        <w:rPr>
          <w:rFonts w:ascii="宋体" w:hAnsi="宋体" w:cs="宋体"/>
          <w:color w:val="auto"/>
          <w:sz w:val="36"/>
          <w:szCs w:val="36"/>
          <w:highlight w:val="none"/>
        </w:rPr>
      </w:pPr>
      <w:r>
        <w:rPr>
          <w:rFonts w:hint="eastAsia" w:ascii="宋体" w:hAnsi="宋体" w:cs="宋体"/>
          <w:b/>
          <w:color w:val="auto"/>
          <w:sz w:val="22"/>
          <w:szCs w:val="22"/>
          <w:highlight w:val="none"/>
        </w:rPr>
        <w:t>项目名称：                                          项目编号：</w:t>
      </w:r>
    </w:p>
    <w:tbl>
      <w:tblPr>
        <w:tblStyle w:val="24"/>
        <w:tblW w:w="10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6"/>
      </w:tblGrid>
      <w:tr w14:paraId="2273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8" w:hRule="atLeast"/>
        </w:trPr>
        <w:tc>
          <w:tcPr>
            <w:tcW w:w="10196" w:type="dxa"/>
            <w:vAlign w:val="center"/>
          </w:tcPr>
          <w:p w14:paraId="7D34C7BC">
            <w:pPr>
              <w:jc w:val="center"/>
              <w:rPr>
                <w:rFonts w:ascii="宋体" w:hAnsi="宋体" w:cs="宋体"/>
                <w:b/>
                <w:color w:val="auto"/>
                <w:sz w:val="22"/>
                <w:szCs w:val="22"/>
                <w:highlight w:val="none"/>
              </w:rPr>
            </w:pPr>
          </w:p>
          <w:p w14:paraId="5AF1FEAF">
            <w:pPr>
              <w:jc w:val="center"/>
              <w:rPr>
                <w:rFonts w:ascii="宋体" w:hAnsi="宋体" w:cs="宋体"/>
                <w:b/>
                <w:color w:val="auto"/>
                <w:sz w:val="22"/>
                <w:szCs w:val="22"/>
                <w:highlight w:val="none"/>
              </w:rPr>
            </w:pPr>
          </w:p>
        </w:tc>
      </w:tr>
    </w:tbl>
    <w:p w14:paraId="25E6242A">
      <w:pPr>
        <w:spacing w:line="380" w:lineRule="exact"/>
        <w:rPr>
          <w:rFonts w:ascii="宋体" w:hAnsi="宋体" w:cs="宋体"/>
          <w:color w:val="auto"/>
          <w:sz w:val="36"/>
          <w:szCs w:val="36"/>
          <w:highlight w:val="none"/>
        </w:rPr>
      </w:pPr>
    </w:p>
    <w:p w14:paraId="3BBB2AE4">
      <w:pPr>
        <w:spacing w:line="380" w:lineRule="exact"/>
        <w:rPr>
          <w:rFonts w:ascii="宋体" w:hAnsi="宋体" w:cs="宋体"/>
          <w:color w:val="auto"/>
          <w:sz w:val="36"/>
          <w:szCs w:val="36"/>
          <w:highlight w:val="none"/>
        </w:rPr>
      </w:pPr>
    </w:p>
    <w:p w14:paraId="349F73F0">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2F101E69">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14:paraId="54CF153C">
      <w:pPr>
        <w:spacing w:line="460" w:lineRule="exact"/>
        <w:ind w:firstLine="4400" w:firstLineChars="2000"/>
        <w:rPr>
          <w:rFonts w:ascii="宋体" w:hAnsi="宋体" w:cs="宋体"/>
          <w:b/>
          <w:color w:val="auto"/>
          <w:sz w:val="36"/>
          <w:szCs w:val="36"/>
          <w:highlight w:val="none"/>
        </w:rPr>
      </w:pPr>
      <w:r>
        <w:rPr>
          <w:rFonts w:hint="eastAsia" w:ascii="宋体" w:hAnsi="宋体" w:cs="宋体"/>
          <w:color w:val="auto"/>
          <w:sz w:val="22"/>
          <w:szCs w:val="22"/>
          <w:highlight w:val="none"/>
        </w:rPr>
        <w:t xml:space="preserve">日  期：   </w:t>
      </w:r>
    </w:p>
    <w:p w14:paraId="56E7B6E8">
      <w:pPr>
        <w:rPr>
          <w:color w:val="auto"/>
          <w:highlight w:val="none"/>
        </w:rPr>
      </w:pPr>
      <w:r>
        <w:rPr>
          <w:rFonts w:hint="eastAsia"/>
          <w:color w:val="auto"/>
          <w:highlight w:val="none"/>
        </w:rPr>
        <w:br w:type="page"/>
      </w:r>
    </w:p>
    <w:p w14:paraId="7E111B3C">
      <w:pPr>
        <w:spacing w:line="400" w:lineRule="exact"/>
        <w:jc w:val="center"/>
        <w:outlineLvl w:val="3"/>
        <w:rPr>
          <w:rFonts w:ascii="宋体" w:hAnsi="宋体" w:cs="宋体"/>
          <w:b/>
          <w:color w:val="auto"/>
          <w:sz w:val="24"/>
          <w:highlight w:val="none"/>
        </w:rPr>
      </w:pPr>
      <w:r>
        <w:rPr>
          <w:rFonts w:hint="eastAsia" w:ascii="宋体" w:hAnsi="宋体" w:cs="宋体"/>
          <w:b/>
          <w:color w:val="auto"/>
          <w:sz w:val="24"/>
          <w:highlight w:val="none"/>
        </w:rPr>
        <w:t>8、设备投入情况</w:t>
      </w:r>
    </w:p>
    <w:p w14:paraId="43013450">
      <w:pPr>
        <w:spacing w:line="380" w:lineRule="exact"/>
        <w:rPr>
          <w:rFonts w:ascii="宋体" w:hAnsi="宋体" w:cs="宋体"/>
          <w:color w:val="auto"/>
          <w:sz w:val="36"/>
          <w:szCs w:val="36"/>
          <w:highlight w:val="none"/>
        </w:rPr>
      </w:pPr>
      <w:r>
        <w:rPr>
          <w:rFonts w:hint="eastAsia" w:ascii="宋体" w:hAnsi="宋体" w:cs="宋体"/>
          <w:b/>
          <w:color w:val="auto"/>
          <w:sz w:val="22"/>
          <w:szCs w:val="22"/>
          <w:highlight w:val="none"/>
        </w:rPr>
        <w:t>项目名称：                                          项目编号：</w:t>
      </w:r>
    </w:p>
    <w:tbl>
      <w:tblPr>
        <w:tblStyle w:val="24"/>
        <w:tblpPr w:leftFromText="180" w:rightFromText="180" w:vertAnchor="text" w:horzAnchor="margin"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603"/>
        <w:gridCol w:w="1991"/>
        <w:gridCol w:w="1260"/>
        <w:gridCol w:w="1219"/>
      </w:tblGrid>
      <w:tr w14:paraId="5188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vAlign w:val="center"/>
          </w:tcPr>
          <w:p w14:paraId="7D484D94">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692" w:type="dxa"/>
            <w:shd w:val="clear" w:color="auto" w:fill="FFFFFF"/>
            <w:vAlign w:val="center"/>
          </w:tcPr>
          <w:p w14:paraId="1F95CBF7">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系统名称/型号</w:t>
            </w:r>
          </w:p>
        </w:tc>
        <w:tc>
          <w:tcPr>
            <w:tcW w:w="2603" w:type="dxa"/>
            <w:shd w:val="clear" w:color="auto" w:fill="FFFFFF"/>
            <w:vAlign w:val="center"/>
          </w:tcPr>
          <w:p w14:paraId="05DBE489">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规格及技术参数</w:t>
            </w:r>
          </w:p>
        </w:tc>
        <w:tc>
          <w:tcPr>
            <w:tcW w:w="1991" w:type="dxa"/>
            <w:shd w:val="clear" w:color="auto" w:fill="FFFFFF"/>
            <w:vAlign w:val="center"/>
          </w:tcPr>
          <w:p w14:paraId="6003767A">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w:t>
            </w:r>
          </w:p>
          <w:p w14:paraId="5511B841">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（生产厂家/品牌）</w:t>
            </w:r>
          </w:p>
        </w:tc>
        <w:tc>
          <w:tcPr>
            <w:tcW w:w="1260" w:type="dxa"/>
            <w:shd w:val="clear" w:color="auto" w:fill="FFFFFF"/>
            <w:vAlign w:val="center"/>
          </w:tcPr>
          <w:p w14:paraId="3D571542">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219" w:type="dxa"/>
            <w:shd w:val="clear" w:color="auto" w:fill="FFFFFF"/>
            <w:vAlign w:val="center"/>
          </w:tcPr>
          <w:p w14:paraId="52979FBB">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质保期</w:t>
            </w:r>
          </w:p>
        </w:tc>
      </w:tr>
      <w:tr w14:paraId="15BF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866D590">
            <w:pPr>
              <w:spacing w:line="360" w:lineRule="auto"/>
              <w:jc w:val="center"/>
              <w:rPr>
                <w:rFonts w:ascii="新宋体" w:hAnsi="新宋体" w:eastAsia="新宋体" w:cs="新宋体"/>
                <w:color w:val="auto"/>
                <w:sz w:val="22"/>
                <w:szCs w:val="22"/>
                <w:highlight w:val="none"/>
              </w:rPr>
            </w:pPr>
          </w:p>
        </w:tc>
        <w:tc>
          <w:tcPr>
            <w:tcW w:w="1692" w:type="dxa"/>
            <w:vAlign w:val="center"/>
          </w:tcPr>
          <w:p w14:paraId="489DF456">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5849B030">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027FCF90">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7894CF7A">
            <w:pPr>
              <w:spacing w:line="360" w:lineRule="auto"/>
              <w:jc w:val="center"/>
              <w:rPr>
                <w:rFonts w:ascii="新宋体" w:hAnsi="新宋体" w:eastAsia="新宋体" w:cs="新宋体"/>
                <w:b/>
                <w:bCs/>
                <w:color w:val="auto"/>
                <w:sz w:val="22"/>
                <w:szCs w:val="22"/>
                <w:highlight w:val="none"/>
              </w:rPr>
            </w:pPr>
          </w:p>
        </w:tc>
        <w:tc>
          <w:tcPr>
            <w:tcW w:w="1219" w:type="dxa"/>
          </w:tcPr>
          <w:p w14:paraId="31F1131A">
            <w:pPr>
              <w:rPr>
                <w:rFonts w:ascii="新宋体" w:hAnsi="新宋体" w:eastAsia="新宋体" w:cs="新宋体"/>
                <w:color w:val="auto"/>
                <w:sz w:val="22"/>
                <w:szCs w:val="22"/>
                <w:highlight w:val="none"/>
              </w:rPr>
            </w:pPr>
          </w:p>
        </w:tc>
      </w:tr>
      <w:tr w14:paraId="453C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853F64F">
            <w:pPr>
              <w:spacing w:line="360" w:lineRule="auto"/>
              <w:jc w:val="center"/>
              <w:rPr>
                <w:rFonts w:ascii="新宋体" w:hAnsi="新宋体" w:eastAsia="新宋体" w:cs="新宋体"/>
                <w:color w:val="auto"/>
                <w:sz w:val="22"/>
                <w:szCs w:val="22"/>
                <w:highlight w:val="none"/>
              </w:rPr>
            </w:pPr>
          </w:p>
        </w:tc>
        <w:tc>
          <w:tcPr>
            <w:tcW w:w="1692" w:type="dxa"/>
            <w:vAlign w:val="center"/>
          </w:tcPr>
          <w:p w14:paraId="74DC4104">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3943D5AC">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23AB5529">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27882768">
            <w:pPr>
              <w:spacing w:line="360" w:lineRule="auto"/>
              <w:jc w:val="center"/>
              <w:rPr>
                <w:rFonts w:ascii="新宋体" w:hAnsi="新宋体" w:eastAsia="新宋体" w:cs="新宋体"/>
                <w:b/>
                <w:bCs/>
                <w:color w:val="auto"/>
                <w:sz w:val="22"/>
                <w:szCs w:val="22"/>
                <w:highlight w:val="none"/>
              </w:rPr>
            </w:pPr>
          </w:p>
        </w:tc>
        <w:tc>
          <w:tcPr>
            <w:tcW w:w="1219" w:type="dxa"/>
          </w:tcPr>
          <w:p w14:paraId="0040EAD8">
            <w:pPr>
              <w:rPr>
                <w:rFonts w:ascii="新宋体" w:hAnsi="新宋体" w:eastAsia="新宋体" w:cs="新宋体"/>
                <w:color w:val="auto"/>
                <w:sz w:val="22"/>
                <w:szCs w:val="22"/>
                <w:highlight w:val="none"/>
              </w:rPr>
            </w:pPr>
          </w:p>
        </w:tc>
      </w:tr>
      <w:tr w14:paraId="2282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3782999">
            <w:pPr>
              <w:spacing w:line="360" w:lineRule="auto"/>
              <w:jc w:val="center"/>
              <w:rPr>
                <w:rFonts w:ascii="新宋体" w:hAnsi="新宋体" w:eastAsia="新宋体" w:cs="新宋体"/>
                <w:color w:val="auto"/>
                <w:sz w:val="22"/>
                <w:szCs w:val="22"/>
                <w:highlight w:val="none"/>
              </w:rPr>
            </w:pPr>
          </w:p>
        </w:tc>
        <w:tc>
          <w:tcPr>
            <w:tcW w:w="1692" w:type="dxa"/>
            <w:vAlign w:val="center"/>
          </w:tcPr>
          <w:p w14:paraId="3EC6160D">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375582F6">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3D2697DE">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733AFBE8">
            <w:pPr>
              <w:spacing w:line="360" w:lineRule="auto"/>
              <w:jc w:val="center"/>
              <w:rPr>
                <w:rFonts w:ascii="新宋体" w:hAnsi="新宋体" w:eastAsia="新宋体" w:cs="新宋体"/>
                <w:b/>
                <w:bCs/>
                <w:color w:val="auto"/>
                <w:sz w:val="22"/>
                <w:szCs w:val="22"/>
                <w:highlight w:val="none"/>
              </w:rPr>
            </w:pPr>
          </w:p>
        </w:tc>
        <w:tc>
          <w:tcPr>
            <w:tcW w:w="1219" w:type="dxa"/>
          </w:tcPr>
          <w:p w14:paraId="13377069">
            <w:pPr>
              <w:rPr>
                <w:rFonts w:ascii="新宋体" w:hAnsi="新宋体" w:eastAsia="新宋体" w:cs="新宋体"/>
                <w:color w:val="auto"/>
                <w:sz w:val="22"/>
                <w:szCs w:val="22"/>
                <w:highlight w:val="none"/>
              </w:rPr>
            </w:pPr>
          </w:p>
        </w:tc>
      </w:tr>
      <w:tr w14:paraId="3730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D0F26E0">
            <w:pPr>
              <w:spacing w:line="360" w:lineRule="auto"/>
              <w:jc w:val="center"/>
              <w:rPr>
                <w:rFonts w:ascii="新宋体" w:hAnsi="新宋体" w:eastAsia="新宋体" w:cs="新宋体"/>
                <w:color w:val="auto"/>
                <w:sz w:val="22"/>
                <w:szCs w:val="22"/>
                <w:highlight w:val="none"/>
              </w:rPr>
            </w:pPr>
          </w:p>
        </w:tc>
        <w:tc>
          <w:tcPr>
            <w:tcW w:w="1692" w:type="dxa"/>
            <w:vAlign w:val="center"/>
          </w:tcPr>
          <w:p w14:paraId="00CE8151">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291029F3">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3F1B630E">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1B469BE6">
            <w:pPr>
              <w:spacing w:line="360" w:lineRule="auto"/>
              <w:jc w:val="center"/>
              <w:rPr>
                <w:rFonts w:ascii="新宋体" w:hAnsi="新宋体" w:eastAsia="新宋体" w:cs="新宋体"/>
                <w:b/>
                <w:bCs/>
                <w:color w:val="auto"/>
                <w:sz w:val="22"/>
                <w:szCs w:val="22"/>
                <w:highlight w:val="none"/>
              </w:rPr>
            </w:pPr>
          </w:p>
        </w:tc>
        <w:tc>
          <w:tcPr>
            <w:tcW w:w="1219" w:type="dxa"/>
          </w:tcPr>
          <w:p w14:paraId="25A46EB5">
            <w:pPr>
              <w:rPr>
                <w:rFonts w:ascii="新宋体" w:hAnsi="新宋体" w:eastAsia="新宋体" w:cs="新宋体"/>
                <w:color w:val="auto"/>
                <w:sz w:val="22"/>
                <w:szCs w:val="22"/>
                <w:highlight w:val="none"/>
              </w:rPr>
            </w:pPr>
          </w:p>
        </w:tc>
      </w:tr>
      <w:tr w14:paraId="2703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188A1AB">
            <w:pPr>
              <w:spacing w:line="360" w:lineRule="auto"/>
              <w:jc w:val="center"/>
              <w:rPr>
                <w:rFonts w:ascii="新宋体" w:hAnsi="新宋体" w:eastAsia="新宋体" w:cs="新宋体"/>
                <w:color w:val="auto"/>
                <w:sz w:val="22"/>
                <w:szCs w:val="22"/>
                <w:highlight w:val="none"/>
              </w:rPr>
            </w:pPr>
          </w:p>
        </w:tc>
        <w:tc>
          <w:tcPr>
            <w:tcW w:w="1692" w:type="dxa"/>
            <w:vAlign w:val="center"/>
          </w:tcPr>
          <w:p w14:paraId="171AA716">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59A5CDBA">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263DBC72">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691DB948">
            <w:pPr>
              <w:spacing w:line="360" w:lineRule="auto"/>
              <w:jc w:val="center"/>
              <w:rPr>
                <w:rFonts w:ascii="新宋体" w:hAnsi="新宋体" w:eastAsia="新宋体" w:cs="新宋体"/>
                <w:b/>
                <w:bCs/>
                <w:color w:val="auto"/>
                <w:sz w:val="22"/>
                <w:szCs w:val="22"/>
                <w:highlight w:val="none"/>
              </w:rPr>
            </w:pPr>
          </w:p>
        </w:tc>
        <w:tc>
          <w:tcPr>
            <w:tcW w:w="1219" w:type="dxa"/>
          </w:tcPr>
          <w:p w14:paraId="1217B3BD">
            <w:pPr>
              <w:rPr>
                <w:rFonts w:ascii="新宋体" w:hAnsi="新宋体" w:eastAsia="新宋体" w:cs="新宋体"/>
                <w:color w:val="auto"/>
                <w:sz w:val="22"/>
                <w:szCs w:val="22"/>
                <w:highlight w:val="none"/>
              </w:rPr>
            </w:pPr>
          </w:p>
        </w:tc>
      </w:tr>
      <w:tr w14:paraId="7B6C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40A2E0A">
            <w:pPr>
              <w:spacing w:line="360" w:lineRule="auto"/>
              <w:jc w:val="center"/>
              <w:rPr>
                <w:rFonts w:ascii="新宋体" w:hAnsi="新宋体" w:eastAsia="新宋体" w:cs="新宋体"/>
                <w:color w:val="auto"/>
                <w:sz w:val="22"/>
                <w:szCs w:val="22"/>
                <w:highlight w:val="none"/>
              </w:rPr>
            </w:pPr>
          </w:p>
        </w:tc>
        <w:tc>
          <w:tcPr>
            <w:tcW w:w="1692" w:type="dxa"/>
            <w:vAlign w:val="center"/>
          </w:tcPr>
          <w:p w14:paraId="22ACF9E2">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02B8B219">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25CBA51E">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052107AE">
            <w:pPr>
              <w:spacing w:line="360" w:lineRule="auto"/>
              <w:jc w:val="center"/>
              <w:rPr>
                <w:rFonts w:ascii="新宋体" w:hAnsi="新宋体" w:eastAsia="新宋体" w:cs="新宋体"/>
                <w:b/>
                <w:bCs/>
                <w:color w:val="auto"/>
                <w:sz w:val="22"/>
                <w:szCs w:val="22"/>
                <w:highlight w:val="none"/>
              </w:rPr>
            </w:pPr>
          </w:p>
        </w:tc>
        <w:tc>
          <w:tcPr>
            <w:tcW w:w="1219" w:type="dxa"/>
          </w:tcPr>
          <w:p w14:paraId="589B1C62">
            <w:pPr>
              <w:rPr>
                <w:rFonts w:ascii="新宋体" w:hAnsi="新宋体" w:eastAsia="新宋体" w:cs="新宋体"/>
                <w:color w:val="auto"/>
                <w:sz w:val="22"/>
                <w:szCs w:val="22"/>
                <w:highlight w:val="none"/>
              </w:rPr>
            </w:pPr>
          </w:p>
        </w:tc>
      </w:tr>
      <w:tr w14:paraId="1A48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BEF08EE">
            <w:pPr>
              <w:spacing w:line="360" w:lineRule="auto"/>
              <w:jc w:val="center"/>
              <w:rPr>
                <w:rFonts w:ascii="新宋体" w:hAnsi="新宋体" w:eastAsia="新宋体" w:cs="新宋体"/>
                <w:color w:val="auto"/>
                <w:sz w:val="22"/>
                <w:szCs w:val="22"/>
                <w:highlight w:val="none"/>
              </w:rPr>
            </w:pPr>
          </w:p>
        </w:tc>
        <w:tc>
          <w:tcPr>
            <w:tcW w:w="1692" w:type="dxa"/>
            <w:vAlign w:val="center"/>
          </w:tcPr>
          <w:p w14:paraId="5B0C677C">
            <w:pPr>
              <w:spacing w:line="360" w:lineRule="auto"/>
              <w:jc w:val="center"/>
              <w:rPr>
                <w:rFonts w:ascii="新宋体" w:hAnsi="新宋体" w:eastAsia="新宋体" w:cs="新宋体"/>
                <w:color w:val="auto"/>
                <w:sz w:val="22"/>
                <w:szCs w:val="22"/>
                <w:highlight w:val="none"/>
              </w:rPr>
            </w:pPr>
          </w:p>
        </w:tc>
        <w:tc>
          <w:tcPr>
            <w:tcW w:w="2603" w:type="dxa"/>
            <w:vAlign w:val="center"/>
          </w:tcPr>
          <w:p w14:paraId="03E24255">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1590098B">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7275A6BD">
            <w:pPr>
              <w:spacing w:line="360" w:lineRule="auto"/>
              <w:jc w:val="center"/>
              <w:rPr>
                <w:rFonts w:ascii="新宋体" w:hAnsi="新宋体" w:eastAsia="新宋体" w:cs="新宋体"/>
                <w:b/>
                <w:bCs/>
                <w:color w:val="auto"/>
                <w:sz w:val="22"/>
                <w:szCs w:val="22"/>
                <w:highlight w:val="none"/>
              </w:rPr>
            </w:pPr>
          </w:p>
        </w:tc>
        <w:tc>
          <w:tcPr>
            <w:tcW w:w="1219" w:type="dxa"/>
          </w:tcPr>
          <w:p w14:paraId="59B16BD5">
            <w:pPr>
              <w:rPr>
                <w:rFonts w:ascii="新宋体" w:hAnsi="新宋体" w:eastAsia="新宋体" w:cs="新宋体"/>
                <w:color w:val="auto"/>
                <w:sz w:val="22"/>
                <w:szCs w:val="22"/>
                <w:highlight w:val="none"/>
              </w:rPr>
            </w:pPr>
          </w:p>
        </w:tc>
      </w:tr>
      <w:tr w14:paraId="1ACF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5891D234">
            <w:pPr>
              <w:spacing w:line="360" w:lineRule="auto"/>
              <w:jc w:val="center"/>
              <w:rPr>
                <w:rFonts w:ascii="新宋体" w:hAnsi="新宋体" w:eastAsia="新宋体" w:cs="新宋体"/>
                <w:color w:val="auto"/>
                <w:sz w:val="22"/>
                <w:szCs w:val="22"/>
                <w:highlight w:val="none"/>
              </w:rPr>
            </w:pPr>
          </w:p>
        </w:tc>
        <w:tc>
          <w:tcPr>
            <w:tcW w:w="1692" w:type="dxa"/>
            <w:vAlign w:val="center"/>
          </w:tcPr>
          <w:p w14:paraId="7E615F3C">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7532840F">
            <w:pPr>
              <w:spacing w:line="360" w:lineRule="auto"/>
              <w:jc w:val="center"/>
              <w:rPr>
                <w:rFonts w:ascii="新宋体" w:hAnsi="新宋体" w:eastAsia="新宋体" w:cs="新宋体"/>
                <w:color w:val="auto"/>
                <w:sz w:val="22"/>
                <w:szCs w:val="22"/>
                <w:highlight w:val="none"/>
              </w:rPr>
            </w:pPr>
          </w:p>
        </w:tc>
        <w:tc>
          <w:tcPr>
            <w:tcW w:w="1991" w:type="dxa"/>
            <w:vAlign w:val="center"/>
          </w:tcPr>
          <w:p w14:paraId="2FA941CE">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5FA5002B">
            <w:pPr>
              <w:spacing w:line="360" w:lineRule="auto"/>
              <w:jc w:val="center"/>
              <w:rPr>
                <w:rFonts w:ascii="新宋体" w:hAnsi="新宋体" w:eastAsia="新宋体" w:cs="新宋体"/>
                <w:b/>
                <w:bCs/>
                <w:color w:val="auto"/>
                <w:sz w:val="22"/>
                <w:szCs w:val="22"/>
                <w:highlight w:val="none"/>
              </w:rPr>
            </w:pPr>
          </w:p>
        </w:tc>
        <w:tc>
          <w:tcPr>
            <w:tcW w:w="1219" w:type="dxa"/>
          </w:tcPr>
          <w:p w14:paraId="7062FD91">
            <w:pPr>
              <w:rPr>
                <w:rFonts w:ascii="新宋体" w:hAnsi="新宋体" w:eastAsia="新宋体" w:cs="新宋体"/>
                <w:color w:val="auto"/>
                <w:sz w:val="22"/>
                <w:szCs w:val="22"/>
                <w:highlight w:val="none"/>
              </w:rPr>
            </w:pPr>
          </w:p>
        </w:tc>
      </w:tr>
      <w:tr w14:paraId="6B62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9434C24">
            <w:pPr>
              <w:spacing w:line="360" w:lineRule="auto"/>
              <w:jc w:val="center"/>
              <w:rPr>
                <w:rFonts w:ascii="新宋体" w:hAnsi="新宋体" w:eastAsia="新宋体" w:cs="新宋体"/>
                <w:color w:val="auto"/>
                <w:sz w:val="22"/>
                <w:szCs w:val="22"/>
                <w:highlight w:val="none"/>
              </w:rPr>
            </w:pPr>
          </w:p>
        </w:tc>
        <w:tc>
          <w:tcPr>
            <w:tcW w:w="1692" w:type="dxa"/>
            <w:vAlign w:val="center"/>
          </w:tcPr>
          <w:p w14:paraId="5AA39F4F">
            <w:pPr>
              <w:spacing w:line="360" w:lineRule="auto"/>
              <w:jc w:val="center"/>
              <w:rPr>
                <w:rFonts w:ascii="新宋体" w:hAnsi="新宋体" w:eastAsia="新宋体" w:cs="新宋体"/>
                <w:color w:val="auto"/>
                <w:sz w:val="22"/>
                <w:szCs w:val="22"/>
                <w:highlight w:val="none"/>
              </w:rPr>
            </w:pPr>
          </w:p>
        </w:tc>
        <w:tc>
          <w:tcPr>
            <w:tcW w:w="2603" w:type="dxa"/>
          </w:tcPr>
          <w:p w14:paraId="1B6FF3A1">
            <w:pPr>
              <w:spacing w:line="360" w:lineRule="auto"/>
              <w:rPr>
                <w:rFonts w:ascii="新宋体" w:hAnsi="新宋体" w:eastAsia="新宋体" w:cs="新宋体"/>
                <w:b/>
                <w:bCs/>
                <w:color w:val="auto"/>
                <w:sz w:val="22"/>
                <w:szCs w:val="22"/>
                <w:highlight w:val="none"/>
              </w:rPr>
            </w:pPr>
          </w:p>
        </w:tc>
        <w:tc>
          <w:tcPr>
            <w:tcW w:w="1991" w:type="dxa"/>
            <w:vAlign w:val="center"/>
          </w:tcPr>
          <w:p w14:paraId="1E363790">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5ACA698E">
            <w:pPr>
              <w:spacing w:line="360" w:lineRule="auto"/>
              <w:jc w:val="center"/>
              <w:rPr>
                <w:rFonts w:ascii="新宋体" w:hAnsi="新宋体" w:eastAsia="新宋体" w:cs="新宋体"/>
                <w:b/>
                <w:bCs/>
                <w:color w:val="auto"/>
                <w:sz w:val="22"/>
                <w:szCs w:val="22"/>
                <w:highlight w:val="none"/>
              </w:rPr>
            </w:pPr>
          </w:p>
        </w:tc>
        <w:tc>
          <w:tcPr>
            <w:tcW w:w="1219" w:type="dxa"/>
          </w:tcPr>
          <w:p w14:paraId="12DD9967">
            <w:pPr>
              <w:rPr>
                <w:rFonts w:ascii="新宋体" w:hAnsi="新宋体" w:eastAsia="新宋体" w:cs="新宋体"/>
                <w:color w:val="auto"/>
                <w:sz w:val="22"/>
                <w:szCs w:val="22"/>
                <w:highlight w:val="none"/>
              </w:rPr>
            </w:pPr>
          </w:p>
        </w:tc>
      </w:tr>
      <w:tr w14:paraId="72AB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41EA5F8">
            <w:pPr>
              <w:spacing w:line="360" w:lineRule="auto"/>
              <w:jc w:val="center"/>
              <w:rPr>
                <w:rFonts w:ascii="新宋体" w:hAnsi="新宋体" w:eastAsia="新宋体" w:cs="新宋体"/>
                <w:color w:val="auto"/>
                <w:sz w:val="22"/>
                <w:szCs w:val="22"/>
                <w:highlight w:val="none"/>
              </w:rPr>
            </w:pPr>
          </w:p>
        </w:tc>
        <w:tc>
          <w:tcPr>
            <w:tcW w:w="1692" w:type="dxa"/>
            <w:vAlign w:val="center"/>
          </w:tcPr>
          <w:p w14:paraId="17079D36">
            <w:pPr>
              <w:spacing w:line="360" w:lineRule="auto"/>
              <w:jc w:val="center"/>
              <w:rPr>
                <w:rFonts w:ascii="新宋体" w:hAnsi="新宋体" w:eastAsia="新宋体" w:cs="新宋体"/>
                <w:b/>
                <w:bCs/>
                <w:color w:val="auto"/>
                <w:sz w:val="22"/>
                <w:szCs w:val="22"/>
                <w:highlight w:val="none"/>
              </w:rPr>
            </w:pPr>
          </w:p>
        </w:tc>
        <w:tc>
          <w:tcPr>
            <w:tcW w:w="2603" w:type="dxa"/>
          </w:tcPr>
          <w:p w14:paraId="7CB0C5A7">
            <w:pPr>
              <w:spacing w:line="360" w:lineRule="auto"/>
              <w:rPr>
                <w:rFonts w:ascii="新宋体" w:hAnsi="新宋体" w:eastAsia="新宋体" w:cs="新宋体"/>
                <w:color w:val="auto"/>
                <w:sz w:val="22"/>
                <w:szCs w:val="22"/>
                <w:highlight w:val="none"/>
              </w:rPr>
            </w:pPr>
          </w:p>
        </w:tc>
        <w:tc>
          <w:tcPr>
            <w:tcW w:w="1991" w:type="dxa"/>
            <w:vAlign w:val="center"/>
          </w:tcPr>
          <w:p w14:paraId="56021786">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581436F7">
            <w:pPr>
              <w:spacing w:line="360" w:lineRule="auto"/>
              <w:jc w:val="center"/>
              <w:rPr>
                <w:rFonts w:ascii="新宋体" w:hAnsi="新宋体" w:eastAsia="新宋体" w:cs="新宋体"/>
                <w:b/>
                <w:bCs/>
                <w:color w:val="auto"/>
                <w:sz w:val="22"/>
                <w:szCs w:val="22"/>
                <w:highlight w:val="none"/>
              </w:rPr>
            </w:pPr>
          </w:p>
        </w:tc>
        <w:tc>
          <w:tcPr>
            <w:tcW w:w="1219" w:type="dxa"/>
          </w:tcPr>
          <w:p w14:paraId="0D968BC0">
            <w:pPr>
              <w:rPr>
                <w:rFonts w:ascii="新宋体" w:hAnsi="新宋体" w:eastAsia="新宋体" w:cs="新宋体"/>
                <w:color w:val="auto"/>
                <w:sz w:val="22"/>
                <w:szCs w:val="22"/>
                <w:highlight w:val="none"/>
              </w:rPr>
            </w:pPr>
          </w:p>
        </w:tc>
      </w:tr>
      <w:tr w14:paraId="456D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B54A73F">
            <w:pPr>
              <w:spacing w:line="360" w:lineRule="auto"/>
              <w:jc w:val="center"/>
              <w:rPr>
                <w:rFonts w:ascii="新宋体" w:hAnsi="新宋体" w:eastAsia="新宋体" w:cs="新宋体"/>
                <w:color w:val="auto"/>
                <w:sz w:val="22"/>
                <w:szCs w:val="22"/>
                <w:highlight w:val="none"/>
              </w:rPr>
            </w:pPr>
          </w:p>
        </w:tc>
        <w:tc>
          <w:tcPr>
            <w:tcW w:w="1692" w:type="dxa"/>
            <w:vAlign w:val="center"/>
          </w:tcPr>
          <w:p w14:paraId="4285C0AB">
            <w:pPr>
              <w:spacing w:line="360" w:lineRule="auto"/>
              <w:jc w:val="center"/>
              <w:rPr>
                <w:rFonts w:ascii="新宋体" w:hAnsi="新宋体" w:eastAsia="新宋体" w:cs="新宋体"/>
                <w:color w:val="auto"/>
                <w:sz w:val="22"/>
                <w:szCs w:val="22"/>
                <w:highlight w:val="none"/>
              </w:rPr>
            </w:pPr>
          </w:p>
        </w:tc>
        <w:tc>
          <w:tcPr>
            <w:tcW w:w="2603" w:type="dxa"/>
          </w:tcPr>
          <w:p w14:paraId="6FD24CA0">
            <w:pPr>
              <w:spacing w:line="360" w:lineRule="auto"/>
              <w:rPr>
                <w:rFonts w:ascii="新宋体" w:hAnsi="新宋体" w:eastAsia="新宋体" w:cs="新宋体"/>
                <w:color w:val="auto"/>
                <w:sz w:val="22"/>
                <w:szCs w:val="22"/>
                <w:highlight w:val="none"/>
              </w:rPr>
            </w:pPr>
          </w:p>
        </w:tc>
        <w:tc>
          <w:tcPr>
            <w:tcW w:w="1991" w:type="dxa"/>
            <w:vAlign w:val="center"/>
          </w:tcPr>
          <w:p w14:paraId="3D4D088F">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4D46E883">
            <w:pPr>
              <w:spacing w:line="360" w:lineRule="auto"/>
              <w:jc w:val="center"/>
              <w:rPr>
                <w:rFonts w:ascii="新宋体" w:hAnsi="新宋体" w:eastAsia="新宋体" w:cs="新宋体"/>
                <w:b/>
                <w:bCs/>
                <w:color w:val="auto"/>
                <w:sz w:val="22"/>
                <w:szCs w:val="22"/>
                <w:highlight w:val="none"/>
              </w:rPr>
            </w:pPr>
          </w:p>
        </w:tc>
        <w:tc>
          <w:tcPr>
            <w:tcW w:w="1219" w:type="dxa"/>
          </w:tcPr>
          <w:p w14:paraId="122BD5A6">
            <w:pPr>
              <w:rPr>
                <w:rFonts w:ascii="新宋体" w:hAnsi="新宋体" w:eastAsia="新宋体" w:cs="新宋体"/>
                <w:color w:val="auto"/>
                <w:sz w:val="22"/>
                <w:szCs w:val="22"/>
                <w:highlight w:val="none"/>
              </w:rPr>
            </w:pPr>
          </w:p>
        </w:tc>
      </w:tr>
      <w:tr w14:paraId="2AC7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C390668">
            <w:pPr>
              <w:spacing w:line="360" w:lineRule="auto"/>
              <w:jc w:val="center"/>
              <w:rPr>
                <w:rFonts w:ascii="新宋体" w:hAnsi="新宋体" w:eastAsia="新宋体" w:cs="新宋体"/>
                <w:color w:val="auto"/>
                <w:sz w:val="22"/>
                <w:szCs w:val="22"/>
                <w:highlight w:val="none"/>
              </w:rPr>
            </w:pPr>
          </w:p>
        </w:tc>
        <w:tc>
          <w:tcPr>
            <w:tcW w:w="1692" w:type="dxa"/>
            <w:vAlign w:val="center"/>
          </w:tcPr>
          <w:p w14:paraId="7DBA0817">
            <w:pPr>
              <w:spacing w:line="360" w:lineRule="auto"/>
              <w:jc w:val="center"/>
              <w:rPr>
                <w:rFonts w:ascii="新宋体" w:hAnsi="新宋体" w:eastAsia="新宋体" w:cs="新宋体"/>
                <w:color w:val="auto"/>
                <w:sz w:val="22"/>
                <w:szCs w:val="22"/>
                <w:highlight w:val="none"/>
              </w:rPr>
            </w:pPr>
          </w:p>
        </w:tc>
        <w:tc>
          <w:tcPr>
            <w:tcW w:w="2603" w:type="dxa"/>
          </w:tcPr>
          <w:p w14:paraId="0D8CEF53">
            <w:pPr>
              <w:spacing w:line="360" w:lineRule="auto"/>
              <w:rPr>
                <w:rFonts w:ascii="新宋体" w:hAnsi="新宋体" w:eastAsia="新宋体" w:cs="新宋体"/>
                <w:color w:val="auto"/>
                <w:sz w:val="22"/>
                <w:szCs w:val="22"/>
                <w:highlight w:val="none"/>
              </w:rPr>
            </w:pPr>
          </w:p>
        </w:tc>
        <w:tc>
          <w:tcPr>
            <w:tcW w:w="1991" w:type="dxa"/>
            <w:vAlign w:val="center"/>
          </w:tcPr>
          <w:p w14:paraId="0B52722A">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0CA50EB0">
            <w:pPr>
              <w:spacing w:line="360" w:lineRule="auto"/>
              <w:jc w:val="center"/>
              <w:rPr>
                <w:rFonts w:ascii="新宋体" w:hAnsi="新宋体" w:eastAsia="新宋体" w:cs="新宋体"/>
                <w:b/>
                <w:bCs/>
                <w:color w:val="auto"/>
                <w:sz w:val="22"/>
                <w:szCs w:val="22"/>
                <w:highlight w:val="none"/>
              </w:rPr>
            </w:pPr>
          </w:p>
        </w:tc>
        <w:tc>
          <w:tcPr>
            <w:tcW w:w="1219" w:type="dxa"/>
          </w:tcPr>
          <w:p w14:paraId="1164AEC0">
            <w:pPr>
              <w:rPr>
                <w:rFonts w:ascii="新宋体" w:hAnsi="新宋体" w:eastAsia="新宋体" w:cs="新宋体"/>
                <w:color w:val="auto"/>
                <w:sz w:val="22"/>
                <w:szCs w:val="22"/>
                <w:highlight w:val="none"/>
              </w:rPr>
            </w:pPr>
          </w:p>
        </w:tc>
      </w:tr>
      <w:tr w14:paraId="1CB2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8942CBF">
            <w:pPr>
              <w:spacing w:line="360" w:lineRule="auto"/>
              <w:jc w:val="center"/>
              <w:rPr>
                <w:rFonts w:ascii="新宋体" w:hAnsi="新宋体" w:eastAsia="新宋体" w:cs="新宋体"/>
                <w:color w:val="auto"/>
                <w:sz w:val="22"/>
                <w:szCs w:val="22"/>
                <w:highlight w:val="none"/>
              </w:rPr>
            </w:pPr>
          </w:p>
        </w:tc>
        <w:tc>
          <w:tcPr>
            <w:tcW w:w="1692" w:type="dxa"/>
            <w:vAlign w:val="center"/>
          </w:tcPr>
          <w:p w14:paraId="436C3311">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5723D75B">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313BEBB1">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40F495D4">
            <w:pPr>
              <w:spacing w:line="360" w:lineRule="auto"/>
              <w:jc w:val="center"/>
              <w:rPr>
                <w:rFonts w:ascii="新宋体" w:hAnsi="新宋体" w:eastAsia="新宋体" w:cs="新宋体"/>
                <w:b/>
                <w:bCs/>
                <w:color w:val="auto"/>
                <w:sz w:val="22"/>
                <w:szCs w:val="22"/>
                <w:highlight w:val="none"/>
              </w:rPr>
            </w:pPr>
          </w:p>
        </w:tc>
        <w:tc>
          <w:tcPr>
            <w:tcW w:w="1219" w:type="dxa"/>
          </w:tcPr>
          <w:p w14:paraId="3AF72BFD">
            <w:pPr>
              <w:rPr>
                <w:rFonts w:ascii="新宋体" w:hAnsi="新宋体" w:eastAsia="新宋体" w:cs="新宋体"/>
                <w:color w:val="auto"/>
                <w:sz w:val="22"/>
                <w:szCs w:val="22"/>
                <w:highlight w:val="none"/>
              </w:rPr>
            </w:pPr>
          </w:p>
        </w:tc>
      </w:tr>
      <w:tr w14:paraId="4F33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3BEC64F">
            <w:pPr>
              <w:spacing w:line="360" w:lineRule="auto"/>
              <w:jc w:val="center"/>
              <w:rPr>
                <w:rFonts w:ascii="新宋体" w:hAnsi="新宋体" w:eastAsia="新宋体" w:cs="新宋体"/>
                <w:color w:val="auto"/>
                <w:sz w:val="22"/>
                <w:szCs w:val="22"/>
                <w:highlight w:val="none"/>
              </w:rPr>
            </w:pPr>
          </w:p>
        </w:tc>
        <w:tc>
          <w:tcPr>
            <w:tcW w:w="1692" w:type="dxa"/>
            <w:vAlign w:val="center"/>
          </w:tcPr>
          <w:p w14:paraId="27632F77">
            <w:pPr>
              <w:spacing w:line="360" w:lineRule="auto"/>
              <w:rPr>
                <w:rFonts w:ascii="新宋体" w:hAnsi="新宋体" w:eastAsia="新宋体" w:cs="新宋体"/>
                <w:b/>
                <w:bCs/>
                <w:color w:val="auto"/>
                <w:sz w:val="22"/>
                <w:szCs w:val="22"/>
                <w:highlight w:val="none"/>
              </w:rPr>
            </w:pPr>
          </w:p>
        </w:tc>
        <w:tc>
          <w:tcPr>
            <w:tcW w:w="2603" w:type="dxa"/>
            <w:vAlign w:val="center"/>
          </w:tcPr>
          <w:p w14:paraId="6DC0E862">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55AD47AD">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5B668DF7">
            <w:pPr>
              <w:spacing w:line="360" w:lineRule="auto"/>
              <w:jc w:val="center"/>
              <w:rPr>
                <w:rFonts w:ascii="新宋体" w:hAnsi="新宋体" w:eastAsia="新宋体" w:cs="新宋体"/>
                <w:b/>
                <w:bCs/>
                <w:color w:val="auto"/>
                <w:sz w:val="22"/>
                <w:szCs w:val="22"/>
                <w:highlight w:val="none"/>
              </w:rPr>
            </w:pPr>
          </w:p>
        </w:tc>
        <w:tc>
          <w:tcPr>
            <w:tcW w:w="1219" w:type="dxa"/>
          </w:tcPr>
          <w:p w14:paraId="4478757B">
            <w:pPr>
              <w:rPr>
                <w:rFonts w:ascii="新宋体" w:hAnsi="新宋体" w:eastAsia="新宋体" w:cs="新宋体"/>
                <w:color w:val="auto"/>
                <w:sz w:val="22"/>
                <w:szCs w:val="22"/>
                <w:highlight w:val="none"/>
              </w:rPr>
            </w:pPr>
          </w:p>
        </w:tc>
      </w:tr>
      <w:tr w14:paraId="510A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06C0572">
            <w:pPr>
              <w:spacing w:line="360" w:lineRule="auto"/>
              <w:jc w:val="center"/>
              <w:rPr>
                <w:rFonts w:ascii="新宋体" w:hAnsi="新宋体" w:eastAsia="新宋体" w:cs="新宋体"/>
                <w:b/>
                <w:bCs/>
                <w:color w:val="auto"/>
                <w:sz w:val="22"/>
                <w:szCs w:val="22"/>
                <w:highlight w:val="none"/>
              </w:rPr>
            </w:pPr>
          </w:p>
        </w:tc>
        <w:tc>
          <w:tcPr>
            <w:tcW w:w="1692" w:type="dxa"/>
            <w:vAlign w:val="center"/>
          </w:tcPr>
          <w:p w14:paraId="194A6D07">
            <w:pPr>
              <w:spacing w:line="360" w:lineRule="auto"/>
              <w:rPr>
                <w:rFonts w:ascii="新宋体" w:hAnsi="新宋体" w:eastAsia="新宋体" w:cs="新宋体"/>
                <w:b/>
                <w:bCs/>
                <w:color w:val="auto"/>
                <w:sz w:val="22"/>
                <w:szCs w:val="22"/>
                <w:highlight w:val="none"/>
              </w:rPr>
            </w:pPr>
          </w:p>
        </w:tc>
        <w:tc>
          <w:tcPr>
            <w:tcW w:w="2603" w:type="dxa"/>
            <w:vAlign w:val="center"/>
          </w:tcPr>
          <w:p w14:paraId="3A688B80">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3BDFBC82">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3A8C9941">
            <w:pPr>
              <w:spacing w:line="360" w:lineRule="auto"/>
              <w:jc w:val="center"/>
              <w:rPr>
                <w:rFonts w:ascii="新宋体" w:hAnsi="新宋体" w:eastAsia="新宋体" w:cs="新宋体"/>
                <w:b/>
                <w:bCs/>
                <w:color w:val="auto"/>
                <w:sz w:val="22"/>
                <w:szCs w:val="22"/>
                <w:highlight w:val="none"/>
              </w:rPr>
            </w:pPr>
          </w:p>
        </w:tc>
        <w:tc>
          <w:tcPr>
            <w:tcW w:w="1219" w:type="dxa"/>
          </w:tcPr>
          <w:p w14:paraId="3F85B2F5">
            <w:pPr>
              <w:rPr>
                <w:rFonts w:ascii="新宋体" w:hAnsi="新宋体" w:eastAsia="新宋体" w:cs="新宋体"/>
                <w:color w:val="auto"/>
                <w:sz w:val="22"/>
                <w:szCs w:val="22"/>
                <w:highlight w:val="none"/>
              </w:rPr>
            </w:pPr>
          </w:p>
        </w:tc>
      </w:tr>
      <w:tr w14:paraId="0D9C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9A395A1">
            <w:pPr>
              <w:spacing w:line="360" w:lineRule="auto"/>
              <w:jc w:val="center"/>
              <w:rPr>
                <w:rFonts w:ascii="新宋体" w:hAnsi="新宋体" w:eastAsia="新宋体" w:cs="新宋体"/>
                <w:bCs/>
                <w:color w:val="auto"/>
                <w:sz w:val="22"/>
                <w:szCs w:val="22"/>
                <w:highlight w:val="none"/>
              </w:rPr>
            </w:pPr>
          </w:p>
        </w:tc>
        <w:tc>
          <w:tcPr>
            <w:tcW w:w="1692" w:type="dxa"/>
            <w:vAlign w:val="center"/>
          </w:tcPr>
          <w:p w14:paraId="4846D600">
            <w:pPr>
              <w:spacing w:line="360" w:lineRule="auto"/>
              <w:rPr>
                <w:rFonts w:ascii="新宋体" w:hAnsi="新宋体" w:eastAsia="新宋体" w:cs="新宋体"/>
                <w:color w:val="auto"/>
                <w:sz w:val="22"/>
                <w:szCs w:val="22"/>
                <w:highlight w:val="none"/>
              </w:rPr>
            </w:pPr>
          </w:p>
        </w:tc>
        <w:tc>
          <w:tcPr>
            <w:tcW w:w="2603" w:type="dxa"/>
            <w:vAlign w:val="center"/>
          </w:tcPr>
          <w:p w14:paraId="646B2754">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55A7498D">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3688DC88">
            <w:pPr>
              <w:spacing w:line="360" w:lineRule="auto"/>
              <w:jc w:val="center"/>
              <w:rPr>
                <w:rFonts w:ascii="新宋体" w:hAnsi="新宋体" w:eastAsia="新宋体" w:cs="新宋体"/>
                <w:b/>
                <w:bCs/>
                <w:color w:val="auto"/>
                <w:sz w:val="22"/>
                <w:szCs w:val="22"/>
                <w:highlight w:val="none"/>
              </w:rPr>
            </w:pPr>
          </w:p>
        </w:tc>
        <w:tc>
          <w:tcPr>
            <w:tcW w:w="1219" w:type="dxa"/>
          </w:tcPr>
          <w:p w14:paraId="0610B583">
            <w:pPr>
              <w:rPr>
                <w:rFonts w:ascii="新宋体" w:hAnsi="新宋体" w:eastAsia="新宋体" w:cs="新宋体"/>
                <w:color w:val="auto"/>
                <w:sz w:val="22"/>
                <w:szCs w:val="22"/>
                <w:highlight w:val="none"/>
              </w:rPr>
            </w:pPr>
          </w:p>
        </w:tc>
      </w:tr>
      <w:tr w14:paraId="69CF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6CE4291">
            <w:pPr>
              <w:spacing w:line="360" w:lineRule="auto"/>
              <w:jc w:val="center"/>
              <w:rPr>
                <w:rFonts w:ascii="新宋体" w:hAnsi="新宋体" w:eastAsia="新宋体" w:cs="新宋体"/>
                <w:b/>
                <w:bCs/>
                <w:color w:val="auto"/>
                <w:sz w:val="22"/>
                <w:szCs w:val="22"/>
                <w:highlight w:val="none"/>
              </w:rPr>
            </w:pPr>
          </w:p>
        </w:tc>
        <w:tc>
          <w:tcPr>
            <w:tcW w:w="1692" w:type="dxa"/>
            <w:vAlign w:val="center"/>
          </w:tcPr>
          <w:p w14:paraId="4AA11629">
            <w:pPr>
              <w:spacing w:line="360" w:lineRule="auto"/>
              <w:rPr>
                <w:rFonts w:ascii="新宋体" w:hAnsi="新宋体" w:eastAsia="新宋体" w:cs="新宋体"/>
                <w:b/>
                <w:bCs/>
                <w:color w:val="auto"/>
                <w:sz w:val="22"/>
                <w:szCs w:val="22"/>
                <w:highlight w:val="none"/>
              </w:rPr>
            </w:pPr>
          </w:p>
        </w:tc>
        <w:tc>
          <w:tcPr>
            <w:tcW w:w="2603" w:type="dxa"/>
            <w:vAlign w:val="center"/>
          </w:tcPr>
          <w:p w14:paraId="11B5B740">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295781F7">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019BCA87">
            <w:pPr>
              <w:spacing w:line="360" w:lineRule="auto"/>
              <w:jc w:val="center"/>
              <w:rPr>
                <w:rFonts w:ascii="新宋体" w:hAnsi="新宋体" w:eastAsia="新宋体" w:cs="新宋体"/>
                <w:b/>
                <w:bCs/>
                <w:color w:val="auto"/>
                <w:sz w:val="22"/>
                <w:szCs w:val="22"/>
                <w:highlight w:val="none"/>
              </w:rPr>
            </w:pPr>
          </w:p>
        </w:tc>
        <w:tc>
          <w:tcPr>
            <w:tcW w:w="1219" w:type="dxa"/>
          </w:tcPr>
          <w:p w14:paraId="4DD92077">
            <w:pPr>
              <w:rPr>
                <w:rFonts w:ascii="新宋体" w:hAnsi="新宋体" w:eastAsia="新宋体" w:cs="新宋体"/>
                <w:color w:val="auto"/>
                <w:sz w:val="22"/>
                <w:szCs w:val="22"/>
                <w:highlight w:val="none"/>
              </w:rPr>
            </w:pPr>
          </w:p>
        </w:tc>
      </w:tr>
      <w:tr w14:paraId="361D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D14636F">
            <w:pPr>
              <w:spacing w:line="360" w:lineRule="auto"/>
              <w:jc w:val="center"/>
              <w:rPr>
                <w:rFonts w:ascii="新宋体" w:hAnsi="新宋体" w:eastAsia="新宋体" w:cs="新宋体"/>
                <w:b/>
                <w:bCs/>
                <w:color w:val="auto"/>
                <w:sz w:val="22"/>
                <w:szCs w:val="22"/>
                <w:highlight w:val="none"/>
              </w:rPr>
            </w:pPr>
          </w:p>
        </w:tc>
        <w:tc>
          <w:tcPr>
            <w:tcW w:w="1692" w:type="dxa"/>
            <w:vAlign w:val="center"/>
          </w:tcPr>
          <w:p w14:paraId="13B1BE7B">
            <w:pPr>
              <w:spacing w:line="360" w:lineRule="auto"/>
              <w:rPr>
                <w:rFonts w:ascii="新宋体" w:hAnsi="新宋体" w:eastAsia="新宋体" w:cs="新宋体"/>
                <w:color w:val="auto"/>
                <w:sz w:val="22"/>
                <w:szCs w:val="22"/>
                <w:highlight w:val="none"/>
              </w:rPr>
            </w:pPr>
          </w:p>
        </w:tc>
        <w:tc>
          <w:tcPr>
            <w:tcW w:w="2603" w:type="dxa"/>
            <w:vAlign w:val="center"/>
          </w:tcPr>
          <w:p w14:paraId="680E4076">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5897256E">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484FE29B">
            <w:pPr>
              <w:spacing w:line="360" w:lineRule="auto"/>
              <w:jc w:val="center"/>
              <w:rPr>
                <w:rFonts w:ascii="新宋体" w:hAnsi="新宋体" w:eastAsia="新宋体" w:cs="新宋体"/>
                <w:b/>
                <w:bCs/>
                <w:color w:val="auto"/>
                <w:sz w:val="22"/>
                <w:szCs w:val="22"/>
                <w:highlight w:val="none"/>
              </w:rPr>
            </w:pPr>
          </w:p>
        </w:tc>
        <w:tc>
          <w:tcPr>
            <w:tcW w:w="1219" w:type="dxa"/>
          </w:tcPr>
          <w:p w14:paraId="327F1212">
            <w:pPr>
              <w:rPr>
                <w:rFonts w:ascii="新宋体" w:hAnsi="新宋体" w:eastAsia="新宋体" w:cs="新宋体"/>
                <w:color w:val="auto"/>
                <w:sz w:val="22"/>
                <w:szCs w:val="22"/>
                <w:highlight w:val="none"/>
              </w:rPr>
            </w:pPr>
          </w:p>
        </w:tc>
      </w:tr>
      <w:tr w14:paraId="5163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516A9085">
            <w:pPr>
              <w:spacing w:line="360" w:lineRule="auto"/>
              <w:jc w:val="center"/>
              <w:rPr>
                <w:rFonts w:ascii="新宋体" w:hAnsi="新宋体" w:eastAsia="新宋体" w:cs="新宋体"/>
                <w:b/>
                <w:bCs/>
                <w:color w:val="auto"/>
                <w:sz w:val="22"/>
                <w:szCs w:val="22"/>
                <w:highlight w:val="none"/>
              </w:rPr>
            </w:pPr>
          </w:p>
        </w:tc>
        <w:tc>
          <w:tcPr>
            <w:tcW w:w="1692" w:type="dxa"/>
            <w:vAlign w:val="center"/>
          </w:tcPr>
          <w:p w14:paraId="643AF98B">
            <w:pPr>
              <w:spacing w:line="360" w:lineRule="auto"/>
              <w:rPr>
                <w:rFonts w:ascii="新宋体" w:hAnsi="新宋体" w:eastAsia="新宋体" w:cs="新宋体"/>
                <w:b/>
                <w:bCs/>
                <w:color w:val="auto"/>
                <w:sz w:val="22"/>
                <w:szCs w:val="22"/>
                <w:highlight w:val="none"/>
              </w:rPr>
            </w:pPr>
          </w:p>
        </w:tc>
        <w:tc>
          <w:tcPr>
            <w:tcW w:w="2603" w:type="dxa"/>
            <w:vAlign w:val="center"/>
          </w:tcPr>
          <w:p w14:paraId="5656860A">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27F92D84">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48B7FBA0">
            <w:pPr>
              <w:spacing w:line="360" w:lineRule="auto"/>
              <w:jc w:val="center"/>
              <w:rPr>
                <w:rFonts w:ascii="新宋体" w:hAnsi="新宋体" w:eastAsia="新宋体" w:cs="新宋体"/>
                <w:b/>
                <w:bCs/>
                <w:color w:val="auto"/>
                <w:sz w:val="22"/>
                <w:szCs w:val="22"/>
                <w:highlight w:val="none"/>
              </w:rPr>
            </w:pPr>
          </w:p>
        </w:tc>
        <w:tc>
          <w:tcPr>
            <w:tcW w:w="1219" w:type="dxa"/>
          </w:tcPr>
          <w:p w14:paraId="4A918F72">
            <w:pPr>
              <w:rPr>
                <w:rFonts w:ascii="新宋体" w:hAnsi="新宋体" w:eastAsia="新宋体" w:cs="新宋体"/>
                <w:color w:val="auto"/>
                <w:sz w:val="22"/>
                <w:szCs w:val="22"/>
                <w:highlight w:val="none"/>
              </w:rPr>
            </w:pPr>
          </w:p>
        </w:tc>
      </w:tr>
      <w:tr w14:paraId="273A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FD90832">
            <w:pPr>
              <w:spacing w:line="360" w:lineRule="auto"/>
              <w:jc w:val="center"/>
              <w:rPr>
                <w:rFonts w:ascii="新宋体" w:hAnsi="新宋体" w:eastAsia="新宋体" w:cs="新宋体"/>
                <w:b/>
                <w:bCs/>
                <w:color w:val="auto"/>
                <w:sz w:val="22"/>
                <w:szCs w:val="22"/>
                <w:highlight w:val="none"/>
              </w:rPr>
            </w:pPr>
          </w:p>
        </w:tc>
        <w:tc>
          <w:tcPr>
            <w:tcW w:w="1692" w:type="dxa"/>
            <w:vAlign w:val="center"/>
          </w:tcPr>
          <w:p w14:paraId="5BF7E065">
            <w:pPr>
              <w:spacing w:line="360" w:lineRule="auto"/>
              <w:rPr>
                <w:rFonts w:ascii="新宋体" w:hAnsi="新宋体" w:eastAsia="新宋体" w:cs="新宋体"/>
                <w:b/>
                <w:bCs/>
                <w:color w:val="auto"/>
                <w:sz w:val="22"/>
                <w:szCs w:val="22"/>
                <w:highlight w:val="none"/>
              </w:rPr>
            </w:pPr>
          </w:p>
        </w:tc>
        <w:tc>
          <w:tcPr>
            <w:tcW w:w="2603" w:type="dxa"/>
            <w:vAlign w:val="center"/>
          </w:tcPr>
          <w:p w14:paraId="1DFAE853">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1EA31DA4">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61AD7EAA">
            <w:pPr>
              <w:spacing w:line="360" w:lineRule="auto"/>
              <w:jc w:val="center"/>
              <w:rPr>
                <w:rFonts w:ascii="新宋体" w:hAnsi="新宋体" w:eastAsia="新宋体" w:cs="新宋体"/>
                <w:b/>
                <w:bCs/>
                <w:color w:val="auto"/>
                <w:sz w:val="22"/>
                <w:szCs w:val="22"/>
                <w:highlight w:val="none"/>
              </w:rPr>
            </w:pPr>
          </w:p>
        </w:tc>
        <w:tc>
          <w:tcPr>
            <w:tcW w:w="1219" w:type="dxa"/>
          </w:tcPr>
          <w:p w14:paraId="011C6AA6">
            <w:pPr>
              <w:rPr>
                <w:rFonts w:ascii="新宋体" w:hAnsi="新宋体" w:eastAsia="新宋体" w:cs="新宋体"/>
                <w:color w:val="auto"/>
                <w:sz w:val="22"/>
                <w:szCs w:val="22"/>
                <w:highlight w:val="none"/>
              </w:rPr>
            </w:pPr>
          </w:p>
        </w:tc>
      </w:tr>
      <w:tr w14:paraId="1D9A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FA3C4AD">
            <w:pPr>
              <w:spacing w:line="360" w:lineRule="auto"/>
              <w:jc w:val="center"/>
              <w:rPr>
                <w:rFonts w:ascii="新宋体" w:hAnsi="新宋体" w:eastAsia="新宋体" w:cs="新宋体"/>
                <w:color w:val="auto"/>
                <w:sz w:val="22"/>
                <w:szCs w:val="22"/>
                <w:highlight w:val="none"/>
              </w:rPr>
            </w:pPr>
          </w:p>
        </w:tc>
        <w:tc>
          <w:tcPr>
            <w:tcW w:w="1692" w:type="dxa"/>
            <w:vAlign w:val="center"/>
          </w:tcPr>
          <w:p w14:paraId="283DE3D5">
            <w:pPr>
              <w:spacing w:line="360" w:lineRule="auto"/>
              <w:rPr>
                <w:rFonts w:ascii="新宋体" w:hAnsi="新宋体" w:eastAsia="新宋体" w:cs="新宋体"/>
                <w:color w:val="auto"/>
                <w:sz w:val="22"/>
                <w:szCs w:val="22"/>
                <w:highlight w:val="none"/>
              </w:rPr>
            </w:pPr>
          </w:p>
        </w:tc>
        <w:tc>
          <w:tcPr>
            <w:tcW w:w="2603" w:type="dxa"/>
            <w:vAlign w:val="center"/>
          </w:tcPr>
          <w:p w14:paraId="1D8911CF">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3E2DC03D">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0449319D">
            <w:pPr>
              <w:spacing w:line="360" w:lineRule="auto"/>
              <w:jc w:val="center"/>
              <w:rPr>
                <w:rFonts w:ascii="新宋体" w:hAnsi="新宋体" w:eastAsia="新宋体" w:cs="新宋体"/>
                <w:b/>
                <w:bCs/>
                <w:color w:val="auto"/>
                <w:sz w:val="22"/>
                <w:szCs w:val="22"/>
                <w:highlight w:val="none"/>
              </w:rPr>
            </w:pPr>
          </w:p>
        </w:tc>
        <w:tc>
          <w:tcPr>
            <w:tcW w:w="1219" w:type="dxa"/>
          </w:tcPr>
          <w:p w14:paraId="02A58819">
            <w:pPr>
              <w:rPr>
                <w:rFonts w:ascii="新宋体" w:hAnsi="新宋体" w:eastAsia="新宋体" w:cs="新宋体"/>
                <w:color w:val="auto"/>
                <w:sz w:val="22"/>
                <w:szCs w:val="22"/>
                <w:highlight w:val="none"/>
              </w:rPr>
            </w:pPr>
          </w:p>
        </w:tc>
      </w:tr>
      <w:tr w14:paraId="71E2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53D91468">
            <w:pPr>
              <w:spacing w:line="360" w:lineRule="auto"/>
              <w:rPr>
                <w:rFonts w:ascii="新宋体" w:hAnsi="新宋体" w:eastAsia="新宋体" w:cs="新宋体"/>
                <w:color w:val="auto"/>
                <w:sz w:val="22"/>
                <w:szCs w:val="22"/>
                <w:highlight w:val="none"/>
              </w:rPr>
            </w:pPr>
          </w:p>
        </w:tc>
        <w:tc>
          <w:tcPr>
            <w:tcW w:w="1692" w:type="dxa"/>
            <w:vAlign w:val="center"/>
          </w:tcPr>
          <w:p w14:paraId="064433E2">
            <w:pPr>
              <w:spacing w:line="360" w:lineRule="auto"/>
              <w:rPr>
                <w:rFonts w:ascii="新宋体" w:hAnsi="新宋体" w:eastAsia="新宋体" w:cs="新宋体"/>
                <w:color w:val="auto"/>
                <w:sz w:val="22"/>
                <w:szCs w:val="22"/>
                <w:highlight w:val="none"/>
              </w:rPr>
            </w:pPr>
          </w:p>
        </w:tc>
        <w:tc>
          <w:tcPr>
            <w:tcW w:w="2603" w:type="dxa"/>
            <w:vAlign w:val="center"/>
          </w:tcPr>
          <w:p w14:paraId="408DF27B">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051F948B">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1D08131D">
            <w:pPr>
              <w:spacing w:line="360" w:lineRule="auto"/>
              <w:jc w:val="center"/>
              <w:rPr>
                <w:rFonts w:ascii="新宋体" w:hAnsi="新宋体" w:eastAsia="新宋体" w:cs="新宋体"/>
                <w:b/>
                <w:bCs/>
                <w:color w:val="auto"/>
                <w:sz w:val="22"/>
                <w:szCs w:val="22"/>
                <w:highlight w:val="none"/>
              </w:rPr>
            </w:pPr>
          </w:p>
        </w:tc>
        <w:tc>
          <w:tcPr>
            <w:tcW w:w="1219" w:type="dxa"/>
          </w:tcPr>
          <w:p w14:paraId="191043D6">
            <w:pPr>
              <w:rPr>
                <w:rFonts w:ascii="新宋体" w:hAnsi="新宋体" w:eastAsia="新宋体" w:cs="新宋体"/>
                <w:color w:val="auto"/>
                <w:sz w:val="22"/>
                <w:szCs w:val="22"/>
                <w:highlight w:val="none"/>
              </w:rPr>
            </w:pPr>
          </w:p>
        </w:tc>
      </w:tr>
      <w:tr w14:paraId="1891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93D6642">
            <w:pPr>
              <w:spacing w:line="360" w:lineRule="auto"/>
              <w:jc w:val="center"/>
              <w:rPr>
                <w:rFonts w:ascii="新宋体" w:hAnsi="新宋体" w:eastAsia="新宋体" w:cs="新宋体"/>
                <w:b/>
                <w:bCs/>
                <w:color w:val="auto"/>
                <w:sz w:val="22"/>
                <w:szCs w:val="22"/>
                <w:highlight w:val="none"/>
              </w:rPr>
            </w:pPr>
          </w:p>
        </w:tc>
        <w:tc>
          <w:tcPr>
            <w:tcW w:w="1692" w:type="dxa"/>
          </w:tcPr>
          <w:p w14:paraId="496F9463">
            <w:pPr>
              <w:spacing w:line="360" w:lineRule="auto"/>
              <w:rPr>
                <w:rFonts w:ascii="新宋体" w:hAnsi="新宋体" w:eastAsia="新宋体" w:cs="新宋体"/>
                <w:color w:val="auto"/>
                <w:sz w:val="22"/>
                <w:szCs w:val="22"/>
                <w:highlight w:val="none"/>
              </w:rPr>
            </w:pPr>
          </w:p>
        </w:tc>
        <w:tc>
          <w:tcPr>
            <w:tcW w:w="2603" w:type="dxa"/>
            <w:vAlign w:val="center"/>
          </w:tcPr>
          <w:p w14:paraId="52709E94">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484FFF35">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7E8B6565">
            <w:pPr>
              <w:spacing w:line="360" w:lineRule="auto"/>
              <w:jc w:val="center"/>
              <w:rPr>
                <w:rFonts w:ascii="新宋体" w:hAnsi="新宋体" w:eastAsia="新宋体" w:cs="新宋体"/>
                <w:b/>
                <w:bCs/>
                <w:color w:val="auto"/>
                <w:sz w:val="22"/>
                <w:szCs w:val="22"/>
                <w:highlight w:val="none"/>
              </w:rPr>
            </w:pPr>
          </w:p>
        </w:tc>
        <w:tc>
          <w:tcPr>
            <w:tcW w:w="1219" w:type="dxa"/>
          </w:tcPr>
          <w:p w14:paraId="418CAB46">
            <w:pPr>
              <w:rPr>
                <w:rFonts w:ascii="新宋体" w:hAnsi="新宋体" w:eastAsia="新宋体" w:cs="新宋体"/>
                <w:color w:val="auto"/>
                <w:sz w:val="22"/>
                <w:szCs w:val="22"/>
                <w:highlight w:val="none"/>
              </w:rPr>
            </w:pPr>
          </w:p>
        </w:tc>
      </w:tr>
    </w:tbl>
    <w:p w14:paraId="568293FC">
      <w:pPr>
        <w:spacing w:line="380" w:lineRule="exact"/>
        <w:rPr>
          <w:rFonts w:ascii="宋体" w:hAnsi="宋体" w:cs="宋体"/>
          <w:color w:val="auto"/>
          <w:sz w:val="36"/>
          <w:szCs w:val="36"/>
          <w:highlight w:val="none"/>
        </w:rPr>
      </w:pPr>
    </w:p>
    <w:p w14:paraId="74945199">
      <w:pPr>
        <w:spacing w:line="380" w:lineRule="exact"/>
        <w:rPr>
          <w:rFonts w:ascii="宋体" w:hAnsi="宋体" w:cs="宋体"/>
          <w:color w:val="auto"/>
          <w:sz w:val="36"/>
          <w:szCs w:val="36"/>
          <w:highlight w:val="none"/>
        </w:rPr>
      </w:pPr>
    </w:p>
    <w:p w14:paraId="7C036FD5">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3AF5676A">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14:paraId="4393B0A9">
      <w:pPr>
        <w:spacing w:line="460" w:lineRule="exact"/>
        <w:ind w:firstLine="4400" w:firstLineChars="2000"/>
        <w:rPr>
          <w:rFonts w:ascii="宋体" w:hAnsi="宋体" w:cs="宋体"/>
          <w:b/>
          <w:color w:val="auto"/>
          <w:sz w:val="36"/>
          <w:szCs w:val="36"/>
          <w:highlight w:val="none"/>
        </w:rPr>
      </w:pPr>
      <w:r>
        <w:rPr>
          <w:rFonts w:hint="eastAsia" w:ascii="宋体" w:hAnsi="宋体" w:cs="宋体"/>
          <w:color w:val="auto"/>
          <w:sz w:val="22"/>
          <w:szCs w:val="22"/>
          <w:highlight w:val="none"/>
        </w:rPr>
        <w:t xml:space="preserve">日  期：   </w:t>
      </w:r>
    </w:p>
    <w:p w14:paraId="137C8411">
      <w:pPr>
        <w:rPr>
          <w:rFonts w:ascii="宋体" w:hAnsi="宋体" w:cs="宋体"/>
          <w:b/>
          <w:color w:val="auto"/>
          <w:sz w:val="24"/>
          <w:highlight w:val="none"/>
        </w:rPr>
      </w:pPr>
      <w:r>
        <w:rPr>
          <w:rFonts w:hint="eastAsia" w:ascii="宋体" w:hAnsi="宋体" w:cs="宋体"/>
          <w:b/>
          <w:color w:val="auto"/>
          <w:sz w:val="24"/>
          <w:highlight w:val="none"/>
        </w:rPr>
        <w:br w:type="page"/>
      </w:r>
    </w:p>
    <w:p w14:paraId="08AD83EB">
      <w:pPr>
        <w:spacing w:line="400" w:lineRule="exact"/>
        <w:jc w:val="center"/>
        <w:outlineLvl w:val="3"/>
        <w:rPr>
          <w:rFonts w:ascii="宋体" w:hAnsi="宋体" w:cs="宋体"/>
          <w:b/>
          <w:color w:val="auto"/>
          <w:sz w:val="24"/>
          <w:highlight w:val="none"/>
        </w:rPr>
      </w:pPr>
      <w:r>
        <w:rPr>
          <w:rFonts w:hint="eastAsia" w:ascii="宋体" w:hAnsi="宋体" w:cs="宋体"/>
          <w:b/>
          <w:color w:val="auto"/>
          <w:sz w:val="24"/>
          <w:highlight w:val="none"/>
        </w:rPr>
        <w:t>9、备品备件投入情况</w:t>
      </w:r>
    </w:p>
    <w:p w14:paraId="07B7D912">
      <w:pPr>
        <w:spacing w:line="480" w:lineRule="exact"/>
        <w:rPr>
          <w:rFonts w:ascii="宋体" w:hAnsi="宋体" w:cs="宋体"/>
          <w:b/>
          <w:bCs/>
          <w:color w:val="auto"/>
          <w:sz w:val="22"/>
          <w:szCs w:val="22"/>
          <w:highlight w:val="none"/>
        </w:rPr>
      </w:pPr>
      <w:r>
        <w:rPr>
          <w:rFonts w:hint="eastAsia" w:ascii="宋体" w:hAnsi="宋体" w:cs="宋体"/>
          <w:b/>
          <w:color w:val="auto"/>
          <w:sz w:val="22"/>
          <w:szCs w:val="22"/>
          <w:highlight w:val="none"/>
        </w:rPr>
        <w:t>项目名称：                                                       项目编号：</w:t>
      </w:r>
    </w:p>
    <w:tbl>
      <w:tblPr>
        <w:tblStyle w:val="24"/>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14:paraId="7EBE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tcPr>
          <w:p w14:paraId="7D095985">
            <w:pPr>
              <w:spacing w:line="360" w:lineRule="auto"/>
              <w:rPr>
                <w:rFonts w:ascii="宋体" w:hAnsi="宋体" w:cs="宋体"/>
                <w:color w:val="auto"/>
                <w:sz w:val="22"/>
                <w:szCs w:val="22"/>
                <w:highlight w:val="none"/>
              </w:rPr>
            </w:pPr>
          </w:p>
          <w:p w14:paraId="1115E829">
            <w:pPr>
              <w:spacing w:line="360" w:lineRule="auto"/>
              <w:rPr>
                <w:rFonts w:ascii="宋体" w:hAnsi="宋体" w:cs="宋体"/>
                <w:color w:val="auto"/>
                <w:sz w:val="22"/>
                <w:szCs w:val="22"/>
                <w:highlight w:val="none"/>
              </w:rPr>
            </w:pPr>
          </w:p>
        </w:tc>
      </w:tr>
    </w:tbl>
    <w:p w14:paraId="7440BF0D">
      <w:pPr>
        <w:pStyle w:val="14"/>
        <w:spacing w:line="400" w:lineRule="atLeast"/>
        <w:rPr>
          <w:rFonts w:hAnsi="宋体" w:cs="宋体"/>
          <w:color w:val="auto"/>
          <w:sz w:val="22"/>
          <w:szCs w:val="22"/>
          <w:highlight w:val="none"/>
        </w:rPr>
      </w:pPr>
    </w:p>
    <w:p w14:paraId="64B5B9D3">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35E89C22">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14:paraId="7CCD15DA">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1983A6E3">
      <w:pPr>
        <w:rPr>
          <w:rFonts w:ascii="宋体" w:hAnsi="宋体" w:cs="宋体"/>
          <w:color w:val="auto"/>
          <w:sz w:val="22"/>
          <w:szCs w:val="22"/>
          <w:highlight w:val="none"/>
        </w:rPr>
      </w:pPr>
      <w:r>
        <w:rPr>
          <w:rFonts w:hint="eastAsia" w:ascii="宋体" w:hAnsi="宋体" w:cs="宋体"/>
          <w:color w:val="auto"/>
          <w:sz w:val="22"/>
          <w:szCs w:val="22"/>
          <w:highlight w:val="none"/>
        </w:rPr>
        <w:br w:type="page"/>
      </w:r>
    </w:p>
    <w:p w14:paraId="3F6D0D11">
      <w:pPr>
        <w:spacing w:line="400" w:lineRule="exact"/>
        <w:jc w:val="center"/>
        <w:outlineLvl w:val="3"/>
        <w:rPr>
          <w:rFonts w:ascii="宋体" w:hAnsi="宋体" w:cs="宋体"/>
          <w:b/>
          <w:color w:val="auto"/>
          <w:sz w:val="24"/>
          <w:highlight w:val="none"/>
        </w:rPr>
      </w:pPr>
      <w:r>
        <w:rPr>
          <w:rFonts w:hint="eastAsia" w:ascii="宋体" w:hAnsi="宋体" w:cs="宋体"/>
          <w:b/>
          <w:color w:val="auto"/>
          <w:sz w:val="24"/>
          <w:highlight w:val="none"/>
        </w:rPr>
        <w:t>10、服务需求满足程度</w:t>
      </w:r>
    </w:p>
    <w:p w14:paraId="4168F66F">
      <w:pPr>
        <w:spacing w:line="480" w:lineRule="exact"/>
        <w:rPr>
          <w:rFonts w:ascii="宋体" w:hAnsi="宋体" w:cs="宋体"/>
          <w:b/>
          <w:bCs/>
          <w:color w:val="auto"/>
          <w:sz w:val="22"/>
          <w:szCs w:val="22"/>
          <w:highlight w:val="none"/>
        </w:rPr>
      </w:pPr>
      <w:r>
        <w:rPr>
          <w:rFonts w:hint="eastAsia" w:ascii="宋体" w:hAnsi="宋体" w:cs="宋体"/>
          <w:b/>
          <w:color w:val="auto"/>
          <w:sz w:val="22"/>
          <w:szCs w:val="22"/>
          <w:highlight w:val="none"/>
        </w:rPr>
        <w:t>项目名称：                                                       项目编号：</w:t>
      </w:r>
    </w:p>
    <w:tbl>
      <w:tblPr>
        <w:tblStyle w:val="24"/>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14:paraId="7361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tcPr>
          <w:p w14:paraId="26728234">
            <w:pPr>
              <w:spacing w:line="360" w:lineRule="auto"/>
              <w:rPr>
                <w:rFonts w:ascii="宋体" w:hAnsi="宋体" w:cs="宋体"/>
                <w:color w:val="auto"/>
                <w:sz w:val="22"/>
                <w:szCs w:val="22"/>
                <w:highlight w:val="none"/>
              </w:rPr>
            </w:pPr>
          </w:p>
          <w:p w14:paraId="3DC416C4">
            <w:pPr>
              <w:spacing w:line="360" w:lineRule="auto"/>
              <w:rPr>
                <w:rFonts w:ascii="宋体" w:hAnsi="宋体" w:cs="宋体"/>
                <w:color w:val="auto"/>
                <w:sz w:val="22"/>
                <w:szCs w:val="22"/>
                <w:highlight w:val="none"/>
              </w:rPr>
            </w:pPr>
          </w:p>
        </w:tc>
      </w:tr>
    </w:tbl>
    <w:p w14:paraId="00F5E465">
      <w:pPr>
        <w:pStyle w:val="14"/>
        <w:spacing w:line="400" w:lineRule="atLeast"/>
        <w:rPr>
          <w:rFonts w:hAnsi="宋体" w:cs="宋体"/>
          <w:color w:val="auto"/>
          <w:sz w:val="22"/>
          <w:szCs w:val="22"/>
          <w:highlight w:val="none"/>
        </w:rPr>
      </w:pPr>
    </w:p>
    <w:p w14:paraId="71072674">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6B708904">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14:paraId="1844567C">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6D3AE121">
      <w:pPr>
        <w:rPr>
          <w:rFonts w:ascii="宋体" w:hAnsi="宋体" w:cs="宋体"/>
          <w:b/>
          <w:color w:val="auto"/>
          <w:sz w:val="24"/>
          <w:highlight w:val="none"/>
        </w:rPr>
      </w:pPr>
      <w:r>
        <w:rPr>
          <w:rFonts w:hint="eastAsia" w:ascii="宋体" w:hAnsi="宋体" w:cs="宋体"/>
          <w:b/>
          <w:color w:val="auto"/>
          <w:sz w:val="24"/>
          <w:highlight w:val="none"/>
        </w:rPr>
        <w:br w:type="page"/>
      </w:r>
    </w:p>
    <w:p w14:paraId="0B3A4C7F">
      <w:pPr>
        <w:spacing w:line="400" w:lineRule="exact"/>
        <w:jc w:val="center"/>
        <w:outlineLvl w:val="3"/>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11、</w:t>
      </w:r>
      <w:r>
        <w:rPr>
          <w:rFonts w:hint="eastAsia" w:ascii="宋体" w:hAnsi="宋体" w:cs="宋体"/>
          <w:b/>
          <w:color w:val="auto"/>
          <w:sz w:val="24"/>
          <w:highlight w:val="none"/>
          <w:lang w:val="en-US" w:eastAsia="zh-CN"/>
        </w:rPr>
        <w:t>业绩</w:t>
      </w:r>
    </w:p>
    <w:p w14:paraId="0D904443">
      <w:pPr>
        <w:autoSpaceDE w:val="0"/>
        <w:autoSpaceDN w:val="0"/>
        <w:ind w:right="893" w:firstLine="418"/>
        <w:textAlignment w:val="bottom"/>
        <w:rPr>
          <w:rFonts w:ascii="宋体" w:hAnsi="宋体" w:cs="宋体"/>
          <w:color w:val="auto"/>
          <w:highlight w:val="none"/>
        </w:rPr>
      </w:pPr>
      <w:r>
        <w:rPr>
          <w:rFonts w:hint="eastAsia" w:ascii="宋体" w:hAnsi="宋体" w:cs="宋体"/>
          <w:b/>
          <w:color w:val="auto"/>
          <w:sz w:val="22"/>
          <w:highlight w:val="none"/>
        </w:rPr>
        <w:t>项目名称：                                   项目编号：</w:t>
      </w:r>
      <w:r>
        <w:rPr>
          <w:rFonts w:hint="eastAsia" w:ascii="宋体" w:hAnsi="宋体" w:cs="宋体"/>
          <w:color w:val="auto"/>
          <w:highlight w:val="none"/>
        </w:rPr>
        <w:t xml:space="preserve"> </w:t>
      </w:r>
    </w:p>
    <w:tbl>
      <w:tblPr>
        <w:tblStyle w:val="24"/>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14:paraId="0C32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7F0FBE50">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2069" w:type="dxa"/>
            <w:vAlign w:val="center"/>
          </w:tcPr>
          <w:p w14:paraId="47F04036">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用户名称</w:t>
            </w:r>
          </w:p>
        </w:tc>
        <w:tc>
          <w:tcPr>
            <w:tcW w:w="2437" w:type="dxa"/>
            <w:vAlign w:val="center"/>
          </w:tcPr>
          <w:p w14:paraId="5DC8E3C2">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w:t>
            </w:r>
          </w:p>
        </w:tc>
        <w:tc>
          <w:tcPr>
            <w:tcW w:w="1737" w:type="dxa"/>
            <w:vAlign w:val="center"/>
          </w:tcPr>
          <w:p w14:paraId="7A3AEEE2">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合同金额</w:t>
            </w:r>
          </w:p>
        </w:tc>
        <w:tc>
          <w:tcPr>
            <w:tcW w:w="1737" w:type="dxa"/>
            <w:vAlign w:val="center"/>
          </w:tcPr>
          <w:p w14:paraId="127B52A0">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联系方式</w:t>
            </w:r>
          </w:p>
        </w:tc>
        <w:tc>
          <w:tcPr>
            <w:tcW w:w="926" w:type="dxa"/>
            <w:vAlign w:val="center"/>
          </w:tcPr>
          <w:p w14:paraId="1A50D4CD">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备注</w:t>
            </w:r>
          </w:p>
        </w:tc>
      </w:tr>
      <w:tr w14:paraId="5CAD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0C0AF431">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23EE07A0">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4EC41E1D">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58190A1D">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374572D8">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4E778CFC">
            <w:pPr>
              <w:spacing w:line="380" w:lineRule="exact"/>
              <w:ind w:left="442" w:hanging="442" w:hangingChars="200"/>
              <w:jc w:val="center"/>
              <w:rPr>
                <w:rFonts w:ascii="宋体" w:hAnsi="宋体" w:cs="宋体"/>
                <w:b/>
                <w:bCs/>
                <w:color w:val="auto"/>
                <w:sz w:val="22"/>
                <w:szCs w:val="22"/>
                <w:highlight w:val="none"/>
              </w:rPr>
            </w:pPr>
          </w:p>
        </w:tc>
      </w:tr>
      <w:tr w14:paraId="0B01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33C03769">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23A691A1">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6631046C">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65DA47E2">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3628154A">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0153930F">
            <w:pPr>
              <w:spacing w:line="380" w:lineRule="exact"/>
              <w:ind w:left="442" w:hanging="442" w:hangingChars="200"/>
              <w:jc w:val="center"/>
              <w:rPr>
                <w:rFonts w:ascii="宋体" w:hAnsi="宋体" w:cs="宋体"/>
                <w:b/>
                <w:bCs/>
                <w:color w:val="auto"/>
                <w:sz w:val="22"/>
                <w:szCs w:val="22"/>
                <w:highlight w:val="none"/>
              </w:rPr>
            </w:pPr>
          </w:p>
        </w:tc>
      </w:tr>
      <w:tr w14:paraId="09AB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3AC75300">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3904802B">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21F69793">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18178A67">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3B7B407A">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1A10038F">
            <w:pPr>
              <w:spacing w:line="380" w:lineRule="exact"/>
              <w:ind w:left="442" w:hanging="442" w:hangingChars="200"/>
              <w:jc w:val="center"/>
              <w:rPr>
                <w:rFonts w:ascii="宋体" w:hAnsi="宋体" w:cs="宋体"/>
                <w:b/>
                <w:bCs/>
                <w:color w:val="auto"/>
                <w:sz w:val="22"/>
                <w:szCs w:val="22"/>
                <w:highlight w:val="none"/>
              </w:rPr>
            </w:pPr>
          </w:p>
        </w:tc>
      </w:tr>
      <w:tr w14:paraId="027C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2C80858B">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26BF6436">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632B35F6">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0DED2187">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088F4492">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59D035F3">
            <w:pPr>
              <w:spacing w:line="380" w:lineRule="exact"/>
              <w:ind w:left="442" w:hanging="442" w:hangingChars="200"/>
              <w:jc w:val="center"/>
              <w:rPr>
                <w:rFonts w:ascii="宋体" w:hAnsi="宋体" w:cs="宋体"/>
                <w:b/>
                <w:bCs/>
                <w:color w:val="auto"/>
                <w:sz w:val="22"/>
                <w:szCs w:val="22"/>
                <w:highlight w:val="none"/>
              </w:rPr>
            </w:pPr>
          </w:p>
        </w:tc>
      </w:tr>
      <w:tr w14:paraId="36E3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52BC2DEF">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10EC5A42">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26B5A0A3">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0CE1360A">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138846FC">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7CBE30D3">
            <w:pPr>
              <w:spacing w:line="380" w:lineRule="exact"/>
              <w:ind w:left="442" w:hanging="442" w:hangingChars="200"/>
              <w:jc w:val="center"/>
              <w:rPr>
                <w:rFonts w:ascii="宋体" w:hAnsi="宋体" w:cs="宋体"/>
                <w:b/>
                <w:bCs/>
                <w:color w:val="auto"/>
                <w:sz w:val="22"/>
                <w:szCs w:val="22"/>
                <w:highlight w:val="none"/>
              </w:rPr>
            </w:pPr>
          </w:p>
        </w:tc>
      </w:tr>
      <w:tr w14:paraId="31B0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4CE8A66D">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2FE4F0CA">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37C6501F">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356A0549">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4910455F">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474641D5">
            <w:pPr>
              <w:spacing w:line="380" w:lineRule="exact"/>
              <w:ind w:left="442" w:hanging="442" w:hangingChars="200"/>
              <w:jc w:val="center"/>
              <w:rPr>
                <w:rFonts w:ascii="宋体" w:hAnsi="宋体" w:cs="宋体"/>
                <w:b/>
                <w:bCs/>
                <w:color w:val="auto"/>
                <w:sz w:val="22"/>
                <w:szCs w:val="22"/>
                <w:highlight w:val="none"/>
              </w:rPr>
            </w:pPr>
          </w:p>
        </w:tc>
      </w:tr>
      <w:tr w14:paraId="03F4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0892BC34">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30DFC39E">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257B236D">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346F6303">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7DD7BCE0">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08022190">
            <w:pPr>
              <w:spacing w:line="380" w:lineRule="exact"/>
              <w:ind w:left="442" w:hanging="442" w:hangingChars="200"/>
              <w:jc w:val="center"/>
              <w:rPr>
                <w:rFonts w:ascii="宋体" w:hAnsi="宋体" w:cs="宋体"/>
                <w:b/>
                <w:bCs/>
                <w:color w:val="auto"/>
                <w:sz w:val="22"/>
                <w:szCs w:val="22"/>
                <w:highlight w:val="none"/>
              </w:rPr>
            </w:pPr>
          </w:p>
        </w:tc>
      </w:tr>
      <w:tr w14:paraId="7D5A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6C228AE9">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5FA921CE">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599E13EE">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47D140D7">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22E9BD95">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1CC82787">
            <w:pPr>
              <w:spacing w:line="380" w:lineRule="exact"/>
              <w:ind w:left="442" w:hanging="442" w:hangingChars="200"/>
              <w:jc w:val="center"/>
              <w:rPr>
                <w:rFonts w:ascii="宋体" w:hAnsi="宋体" w:cs="宋体"/>
                <w:b/>
                <w:bCs/>
                <w:color w:val="auto"/>
                <w:sz w:val="22"/>
                <w:szCs w:val="22"/>
                <w:highlight w:val="none"/>
              </w:rPr>
            </w:pPr>
          </w:p>
        </w:tc>
      </w:tr>
      <w:tr w14:paraId="317D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1F988295">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460B9F1B">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12ACC96A">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61695148">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70B41DC8">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22732807">
            <w:pPr>
              <w:spacing w:line="380" w:lineRule="exact"/>
              <w:ind w:left="442" w:hanging="442" w:hangingChars="200"/>
              <w:jc w:val="center"/>
              <w:rPr>
                <w:rFonts w:ascii="宋体" w:hAnsi="宋体" w:cs="宋体"/>
                <w:b/>
                <w:bCs/>
                <w:color w:val="auto"/>
                <w:sz w:val="22"/>
                <w:szCs w:val="22"/>
                <w:highlight w:val="none"/>
              </w:rPr>
            </w:pPr>
          </w:p>
        </w:tc>
      </w:tr>
      <w:tr w14:paraId="384A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5E75980D">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22CFF556">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2FA8D2C3">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56DCAEFB">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540A5909">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7DACFD5C">
            <w:pPr>
              <w:spacing w:line="380" w:lineRule="exact"/>
              <w:ind w:left="442" w:hanging="442" w:hangingChars="200"/>
              <w:jc w:val="center"/>
              <w:rPr>
                <w:rFonts w:ascii="宋体" w:hAnsi="宋体" w:cs="宋体"/>
                <w:b/>
                <w:bCs/>
                <w:color w:val="auto"/>
                <w:sz w:val="22"/>
                <w:szCs w:val="22"/>
                <w:highlight w:val="none"/>
              </w:rPr>
            </w:pPr>
          </w:p>
        </w:tc>
      </w:tr>
      <w:tr w14:paraId="7237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4B4C0E06">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728E2281">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6C883517">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42A05711">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411935BB">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4097F4D3">
            <w:pPr>
              <w:spacing w:line="380" w:lineRule="exact"/>
              <w:ind w:left="442" w:hanging="442" w:hangingChars="200"/>
              <w:jc w:val="center"/>
              <w:rPr>
                <w:rFonts w:ascii="宋体" w:hAnsi="宋体" w:cs="宋体"/>
                <w:b/>
                <w:bCs/>
                <w:color w:val="auto"/>
                <w:sz w:val="22"/>
                <w:szCs w:val="22"/>
                <w:highlight w:val="none"/>
              </w:rPr>
            </w:pPr>
          </w:p>
        </w:tc>
      </w:tr>
      <w:tr w14:paraId="5562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6B88ECC3">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44173B4C">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2E024795">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78018117">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69BEAD8A">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29831829">
            <w:pPr>
              <w:spacing w:line="380" w:lineRule="exact"/>
              <w:ind w:left="442" w:hanging="442" w:hangingChars="200"/>
              <w:jc w:val="center"/>
              <w:rPr>
                <w:rFonts w:ascii="宋体" w:hAnsi="宋体" w:cs="宋体"/>
                <w:b/>
                <w:bCs/>
                <w:color w:val="auto"/>
                <w:sz w:val="22"/>
                <w:szCs w:val="22"/>
                <w:highlight w:val="none"/>
              </w:rPr>
            </w:pPr>
          </w:p>
        </w:tc>
      </w:tr>
      <w:tr w14:paraId="3CC9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20A0AD30">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3E73B4C7">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79041133">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2D4C35D2">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33AEBFEA">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405186DF">
            <w:pPr>
              <w:spacing w:line="380" w:lineRule="exact"/>
              <w:ind w:left="442" w:hanging="442" w:hangingChars="200"/>
              <w:jc w:val="center"/>
              <w:rPr>
                <w:rFonts w:ascii="宋体" w:hAnsi="宋体" w:cs="宋体"/>
                <w:b/>
                <w:bCs/>
                <w:color w:val="auto"/>
                <w:sz w:val="22"/>
                <w:szCs w:val="22"/>
                <w:highlight w:val="none"/>
              </w:rPr>
            </w:pPr>
          </w:p>
        </w:tc>
      </w:tr>
      <w:tr w14:paraId="21C2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3DD2906F">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75309156">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15C21213">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243F6463">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3D3CA0A2">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23E0706F">
            <w:pPr>
              <w:spacing w:line="380" w:lineRule="exact"/>
              <w:ind w:left="442" w:hanging="442" w:hangingChars="200"/>
              <w:jc w:val="center"/>
              <w:rPr>
                <w:rFonts w:ascii="宋体" w:hAnsi="宋体" w:cs="宋体"/>
                <w:b/>
                <w:bCs/>
                <w:color w:val="auto"/>
                <w:sz w:val="22"/>
                <w:szCs w:val="22"/>
                <w:highlight w:val="none"/>
              </w:rPr>
            </w:pPr>
          </w:p>
        </w:tc>
      </w:tr>
    </w:tbl>
    <w:p w14:paraId="687384A0">
      <w:pPr>
        <w:pStyle w:val="14"/>
        <w:spacing w:line="400" w:lineRule="atLeast"/>
        <w:ind w:left="5360" w:leftChars="2500" w:hanging="110" w:hangingChars="50"/>
        <w:rPr>
          <w:rFonts w:hAnsi="宋体" w:cs="宋体"/>
          <w:color w:val="auto"/>
          <w:sz w:val="22"/>
          <w:szCs w:val="22"/>
          <w:highlight w:val="none"/>
        </w:rPr>
      </w:pPr>
    </w:p>
    <w:p w14:paraId="03E6EF23">
      <w:pPr>
        <w:pStyle w:val="14"/>
        <w:spacing w:line="400" w:lineRule="atLeast"/>
        <w:ind w:left="5360" w:leftChars="2500" w:hanging="110" w:hangingChars="50"/>
        <w:rPr>
          <w:rFonts w:hAnsi="宋体" w:cs="宋体"/>
          <w:b w:val="0"/>
          <w:bCs/>
          <w:color w:val="auto"/>
          <w:sz w:val="22"/>
          <w:szCs w:val="22"/>
          <w:highlight w:val="none"/>
        </w:rPr>
      </w:pPr>
      <w:r>
        <w:rPr>
          <w:rFonts w:hint="eastAsia" w:hAnsi="宋体" w:cs="宋体"/>
          <w:b w:val="0"/>
          <w:bCs/>
          <w:color w:val="auto"/>
          <w:sz w:val="22"/>
          <w:szCs w:val="22"/>
          <w:highlight w:val="none"/>
        </w:rPr>
        <w:t>投标人全称（盖章）：</w:t>
      </w:r>
    </w:p>
    <w:p w14:paraId="00D1855F">
      <w:pPr>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                                                投标人代表（签字）：</w:t>
      </w:r>
    </w:p>
    <w:p w14:paraId="5FB0E1CD">
      <w:pPr>
        <w:spacing w:line="400" w:lineRule="exact"/>
        <w:ind w:firstLine="5280" w:firstLineChars="2400"/>
        <w:rPr>
          <w:rFonts w:ascii="宋体" w:hAnsi="宋体" w:cs="宋体"/>
          <w:bCs/>
          <w:color w:val="auto"/>
          <w:sz w:val="22"/>
          <w:szCs w:val="22"/>
          <w:highlight w:val="none"/>
        </w:rPr>
      </w:pPr>
      <w:r>
        <w:rPr>
          <w:rFonts w:hint="eastAsia" w:ascii="宋体" w:hAnsi="宋体" w:cs="宋体"/>
          <w:bCs/>
          <w:color w:val="auto"/>
          <w:sz w:val="22"/>
          <w:szCs w:val="22"/>
          <w:highlight w:val="none"/>
        </w:rPr>
        <w:t>日    期：</w:t>
      </w:r>
    </w:p>
    <w:p w14:paraId="0D485A4C">
      <w:pPr>
        <w:rPr>
          <w:rFonts w:hint="eastAsia"/>
          <w:color w:val="auto"/>
          <w:highlight w:val="none"/>
        </w:rPr>
      </w:pPr>
      <w:r>
        <w:rPr>
          <w:rFonts w:ascii="宋体" w:hAnsi="宋体" w:cs="宋体"/>
          <w:b/>
          <w:bCs/>
          <w:color w:val="auto"/>
          <w:sz w:val="22"/>
          <w:szCs w:val="22"/>
          <w:highlight w:val="none"/>
        </w:rPr>
        <w:br w:type="page"/>
      </w:r>
    </w:p>
    <w:p w14:paraId="0A90A780">
      <w:pPr>
        <w:pStyle w:val="2"/>
        <w:jc w:val="center"/>
        <w:rPr>
          <w:color w:val="auto"/>
          <w:highlight w:val="none"/>
        </w:rPr>
      </w:pPr>
      <w:bookmarkStart w:id="42" w:name="_Toc10142"/>
      <w:bookmarkStart w:id="43" w:name="_Toc3381"/>
      <w:bookmarkStart w:id="44" w:name="_Toc221356958"/>
      <w:bookmarkStart w:id="45" w:name="_Toc221356895"/>
      <w:r>
        <w:rPr>
          <w:rFonts w:hint="eastAsia" w:ascii="宋体" w:hAnsi="宋体" w:eastAsia="宋体" w:cs="宋体"/>
          <w:color w:val="auto"/>
          <w:highlight w:val="none"/>
          <w:lang w:val="en-US" w:eastAsia="zh-CN"/>
        </w:rPr>
        <w:t xml:space="preserve">第四部分  </w:t>
      </w:r>
      <w:r>
        <w:rPr>
          <w:rFonts w:hint="eastAsia" w:ascii="宋体" w:hAnsi="宋体" w:eastAsia="宋体" w:cs="宋体"/>
          <w:color w:val="auto"/>
          <w:highlight w:val="none"/>
        </w:rPr>
        <w:t>项目技术规范和服务要求</w:t>
      </w:r>
      <w:bookmarkEnd w:id="42"/>
      <w:bookmarkEnd w:id="43"/>
    </w:p>
    <w:bookmarkEnd w:id="44"/>
    <w:bookmarkEnd w:id="45"/>
    <w:p w14:paraId="1EA44B7B">
      <w:pPr>
        <w:spacing w:line="460" w:lineRule="exact"/>
        <w:ind w:firstLine="442" w:firstLineChars="200"/>
        <w:rPr>
          <w:rFonts w:ascii="新宋体" w:hAnsi="新宋体" w:eastAsia="新宋体" w:cs="新宋体"/>
          <w:b/>
          <w:color w:val="auto"/>
          <w:sz w:val="22"/>
          <w:szCs w:val="22"/>
          <w:highlight w:val="none"/>
        </w:rPr>
      </w:pPr>
      <w:bookmarkStart w:id="46" w:name="_Toc441051470"/>
      <w:bookmarkStart w:id="47" w:name="_Toc201920311"/>
      <w:bookmarkStart w:id="48" w:name="_Toc282690457"/>
      <w:bookmarkStart w:id="49" w:name="OLE_LINK8"/>
      <w:bookmarkStart w:id="50" w:name="_Toc282690445"/>
      <w:bookmarkStart w:id="51" w:name="_Toc495651839"/>
      <w:bookmarkStart w:id="52" w:name="_Toc40266002"/>
      <w:bookmarkStart w:id="53" w:name="_Toc496101575"/>
      <w:bookmarkStart w:id="54" w:name="_Toc497300733"/>
      <w:bookmarkStart w:id="55" w:name="_Toc498186820"/>
      <w:bookmarkStart w:id="56" w:name="_Toc495660084"/>
      <w:bookmarkStart w:id="57" w:name="_Toc496101312"/>
      <w:bookmarkStart w:id="58" w:name="_Toc201920298"/>
      <w:bookmarkStart w:id="59" w:name="_Toc51996430"/>
      <w:bookmarkStart w:id="60" w:name="_Toc40594931"/>
      <w:bookmarkStart w:id="61" w:name="_Toc497300664"/>
      <w:bookmarkStart w:id="62" w:name="_Toc441051461"/>
      <w:bookmarkStart w:id="63" w:name="_Toc23050423"/>
      <w:bookmarkStart w:id="64" w:name="_Toc496256263"/>
      <w:bookmarkStart w:id="65" w:name="_Toc498186719"/>
      <w:bookmarkStart w:id="66" w:name="_Toc498199476"/>
      <w:bookmarkStart w:id="67" w:name="_Toc23050833"/>
      <w:bookmarkStart w:id="68" w:name="_Toc23050562"/>
      <w:bookmarkStart w:id="69" w:name="_Toc23050625"/>
      <w:bookmarkStart w:id="70" w:name="_Toc496257825"/>
      <w:bookmarkStart w:id="71" w:name="_Toc497307615"/>
      <w:r>
        <w:rPr>
          <w:rFonts w:hint="eastAsia" w:ascii="新宋体" w:hAnsi="新宋体" w:eastAsia="新宋体" w:cs="新宋体"/>
          <w:b/>
          <w:color w:val="auto"/>
          <w:sz w:val="22"/>
          <w:szCs w:val="22"/>
          <w:highlight w:val="none"/>
          <w:lang w:val="en-US" w:eastAsia="zh-CN"/>
        </w:rPr>
        <w:t>★</w:t>
      </w:r>
      <w:r>
        <w:rPr>
          <w:rFonts w:hint="eastAsia" w:ascii="新宋体" w:hAnsi="新宋体" w:eastAsia="新宋体" w:cs="新宋体"/>
          <w:b/>
          <w:color w:val="auto"/>
          <w:sz w:val="22"/>
          <w:szCs w:val="22"/>
          <w:highlight w:val="none"/>
        </w:rPr>
        <w:t>本次预算为人民币</w:t>
      </w:r>
      <w:r>
        <w:rPr>
          <w:rFonts w:hint="eastAsia" w:ascii="新宋体" w:hAnsi="新宋体" w:eastAsia="新宋体" w:cs="新宋体"/>
          <w:b/>
          <w:color w:val="auto"/>
          <w:sz w:val="22"/>
          <w:szCs w:val="22"/>
          <w:highlight w:val="none"/>
          <w:lang w:eastAsia="zh-CN"/>
        </w:rPr>
        <w:t>壹佰万</w:t>
      </w:r>
      <w:r>
        <w:rPr>
          <w:rFonts w:hint="eastAsia" w:ascii="新宋体" w:hAnsi="新宋体" w:eastAsia="新宋体" w:cs="新宋体"/>
          <w:b/>
          <w:color w:val="auto"/>
          <w:sz w:val="22"/>
          <w:szCs w:val="22"/>
          <w:highlight w:val="none"/>
        </w:rPr>
        <w:t>元整（¥</w:t>
      </w:r>
      <w:r>
        <w:rPr>
          <w:rFonts w:hint="eastAsia" w:ascii="新宋体" w:hAnsi="新宋体" w:eastAsia="新宋体" w:cs="新宋体"/>
          <w:b/>
          <w:color w:val="auto"/>
          <w:sz w:val="22"/>
          <w:szCs w:val="22"/>
          <w:highlight w:val="none"/>
          <w:lang w:eastAsia="zh-CN"/>
        </w:rPr>
        <w:t>100</w:t>
      </w:r>
      <w:r>
        <w:rPr>
          <w:rFonts w:hint="eastAsia" w:ascii="新宋体" w:hAnsi="新宋体" w:eastAsia="新宋体" w:cs="新宋体"/>
          <w:b/>
          <w:color w:val="auto"/>
          <w:sz w:val="22"/>
          <w:szCs w:val="22"/>
          <w:highlight w:val="none"/>
        </w:rPr>
        <w:t xml:space="preserve">0000.00元）, </w:t>
      </w:r>
      <w:r>
        <w:rPr>
          <w:rFonts w:hint="eastAsia" w:ascii="新宋体" w:hAnsi="新宋体" w:eastAsia="新宋体"/>
          <w:b/>
          <w:bCs/>
          <w:color w:val="auto"/>
          <w:sz w:val="22"/>
          <w:highlight w:val="none"/>
          <w:u w:val="single"/>
        </w:rPr>
        <w:t>服务费用最高限价为26元/天/人（台）</w:t>
      </w:r>
      <w:r>
        <w:rPr>
          <w:rFonts w:hint="eastAsia" w:ascii="新宋体" w:hAnsi="新宋体" w:eastAsia="新宋体" w:cs="新宋体"/>
          <w:b/>
          <w:color w:val="auto"/>
          <w:sz w:val="22"/>
          <w:szCs w:val="22"/>
          <w:highlight w:val="none"/>
        </w:rPr>
        <w:t>如投标人报价超过最高限价按无效标处理。</w:t>
      </w:r>
      <w:bookmarkEnd w:id="46"/>
      <w:bookmarkEnd w:id="47"/>
      <w:bookmarkEnd w:id="48"/>
      <w:bookmarkEnd w:id="49"/>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14:paraId="139DF50A">
      <w:pPr>
        <w:spacing w:line="360" w:lineRule="auto"/>
        <w:jc w:val="left"/>
        <w:rPr>
          <w:rFonts w:ascii="新宋体" w:hAnsi="新宋体" w:eastAsia="新宋体" w:cs="新宋体"/>
          <w:color w:val="auto"/>
          <w:sz w:val="22"/>
          <w:szCs w:val="22"/>
          <w:highlight w:val="none"/>
        </w:rPr>
      </w:pPr>
      <w:bookmarkStart w:id="72" w:name="_Toc30323"/>
      <w:bookmarkStart w:id="73" w:name="_Toc18194"/>
      <w:r>
        <w:rPr>
          <w:rFonts w:hint="eastAsia" w:ascii="新宋体" w:hAnsi="新宋体" w:eastAsia="新宋体" w:cs="新宋体"/>
          <w:b/>
          <w:bCs/>
          <w:color w:val="auto"/>
          <w:sz w:val="22"/>
          <w:szCs w:val="22"/>
          <w:highlight w:val="none"/>
        </w:rPr>
        <w:t>1、采购内容：</w:t>
      </w:r>
      <w:r>
        <w:rPr>
          <w:rFonts w:hint="eastAsia" w:ascii="新宋体" w:hAnsi="新宋体" w:eastAsia="新宋体" w:cs="新宋体"/>
          <w:color w:val="auto"/>
          <w:sz w:val="22"/>
          <w:szCs w:val="22"/>
          <w:highlight w:val="none"/>
        </w:rPr>
        <w:t>提供孕妇远程胎心监护外包信息服务。具体包含:提供设备、数据收集、信息处理、三级判读及胎心异常的复查提醒等相关服务。</w:t>
      </w:r>
    </w:p>
    <w:p w14:paraId="158BE665">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2、采购周期</w:t>
      </w:r>
      <w:r>
        <w:rPr>
          <w:rFonts w:hint="eastAsia" w:ascii="新宋体" w:hAnsi="新宋体" w:eastAsia="新宋体" w:cs="新宋体"/>
          <w:color w:val="auto"/>
          <w:sz w:val="22"/>
          <w:szCs w:val="22"/>
          <w:highlight w:val="none"/>
        </w:rPr>
        <w:t>：一年。</w:t>
      </w:r>
    </w:p>
    <w:p w14:paraId="74A432FB">
      <w:pPr>
        <w:spacing w:line="360" w:lineRule="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3、服务需求</w:t>
      </w:r>
    </w:p>
    <w:tbl>
      <w:tblPr>
        <w:tblStyle w:val="24"/>
        <w:tblW w:w="9691"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242"/>
        <w:gridCol w:w="8449"/>
      </w:tblGrid>
      <w:tr w14:paraId="53FD67C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327B7F62">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8449" w:type="dxa"/>
            <w:noWrap/>
            <w:vAlign w:val="center"/>
          </w:tcPr>
          <w:p w14:paraId="17018DA7">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招标要求 </w:t>
            </w:r>
          </w:p>
        </w:tc>
      </w:tr>
      <w:tr w14:paraId="57B9BBA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5FB07D56">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8449" w:type="dxa"/>
            <w:noWrap/>
            <w:vAlign w:val="center"/>
          </w:tcPr>
          <w:p w14:paraId="34FD1299">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所投入设备:胎儿监护仪</w:t>
            </w:r>
          </w:p>
        </w:tc>
      </w:tr>
      <w:tr w14:paraId="393AD1A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077648C1">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1.1</w:t>
            </w:r>
          </w:p>
        </w:tc>
        <w:tc>
          <w:tcPr>
            <w:tcW w:w="8449" w:type="dxa"/>
            <w:noWrap/>
            <w:vAlign w:val="center"/>
          </w:tcPr>
          <w:p w14:paraId="706D80DD">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工作原理：超声多普勒；（提供产品注册检验报告）</w:t>
            </w:r>
          </w:p>
        </w:tc>
      </w:tr>
      <w:tr w14:paraId="7339CFC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6226A893">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8449" w:type="dxa"/>
            <w:noWrap/>
            <w:vAlign w:val="center"/>
          </w:tcPr>
          <w:p w14:paraId="75DD36E8">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工作模式:连续工作；</w:t>
            </w:r>
          </w:p>
        </w:tc>
      </w:tr>
      <w:tr w14:paraId="1DC3B6D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3E7EB590">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8449" w:type="dxa"/>
            <w:noWrap/>
            <w:vAlign w:val="center"/>
          </w:tcPr>
          <w:p w14:paraId="15B0EFC2">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工作环境：温度:+5℃~+40℃、湿度:≤80%；</w:t>
            </w:r>
          </w:p>
        </w:tc>
      </w:tr>
      <w:tr w14:paraId="2BE2A51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5789A799">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8449" w:type="dxa"/>
            <w:noWrap/>
            <w:vAlign w:val="center"/>
          </w:tcPr>
          <w:p w14:paraId="365AC95F">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运输和储存环境：温度:-10℃~+55℃、湿度: ≤90%；</w:t>
            </w:r>
          </w:p>
        </w:tc>
      </w:tr>
      <w:tr w14:paraId="29FD497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421D49FF">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w:t>
            </w:r>
          </w:p>
        </w:tc>
        <w:tc>
          <w:tcPr>
            <w:tcW w:w="8449" w:type="dxa"/>
            <w:noWrap/>
            <w:vAlign w:val="center"/>
          </w:tcPr>
          <w:p w14:paraId="1568A2AD">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胎心率性能</w:t>
            </w:r>
          </w:p>
        </w:tc>
      </w:tr>
      <w:tr w14:paraId="5B7F9DF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1D3AEB9A">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1.5.1</w:t>
            </w:r>
          </w:p>
        </w:tc>
        <w:tc>
          <w:tcPr>
            <w:tcW w:w="8449" w:type="dxa"/>
            <w:noWrap/>
            <w:vAlign w:val="center"/>
          </w:tcPr>
          <w:p w14:paraId="1F069C0B">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胎心率测量范围:50~210BPM；</w:t>
            </w:r>
          </w:p>
        </w:tc>
      </w:tr>
      <w:tr w14:paraId="28D77FD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59BC071F">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w:t>
            </w:r>
          </w:p>
        </w:tc>
        <w:tc>
          <w:tcPr>
            <w:tcW w:w="8449" w:type="dxa"/>
            <w:noWrap/>
            <w:vAlign w:val="center"/>
          </w:tcPr>
          <w:p w14:paraId="42E4A456">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准确度:等于或优于±2BPM；</w:t>
            </w:r>
          </w:p>
        </w:tc>
      </w:tr>
      <w:tr w14:paraId="3D2DD97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5956BBEA">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w:t>
            </w:r>
          </w:p>
        </w:tc>
        <w:tc>
          <w:tcPr>
            <w:tcW w:w="8449" w:type="dxa"/>
            <w:noWrap/>
            <w:vAlign w:val="center"/>
          </w:tcPr>
          <w:p w14:paraId="11C08A4B">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超声探头</w:t>
            </w:r>
          </w:p>
        </w:tc>
      </w:tr>
      <w:tr w14:paraId="298FF61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07020218">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1.6.1</w:t>
            </w:r>
          </w:p>
        </w:tc>
        <w:tc>
          <w:tcPr>
            <w:tcW w:w="8449" w:type="dxa"/>
            <w:noWrap/>
            <w:vAlign w:val="center"/>
          </w:tcPr>
          <w:p w14:paraId="1DD5002C">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防滴液的封闭设备，等于或优于IPX1</w:t>
            </w:r>
          </w:p>
        </w:tc>
      </w:tr>
      <w:tr w14:paraId="52A2544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2E12812B">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1.6.2</w:t>
            </w:r>
          </w:p>
        </w:tc>
        <w:tc>
          <w:tcPr>
            <w:tcW w:w="8449" w:type="dxa"/>
            <w:noWrap/>
            <w:vAlign w:val="center"/>
          </w:tcPr>
          <w:p w14:paraId="4B4B9EBE">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多晶片、宽波束,脉冲工作方式,高度敏度</w:t>
            </w:r>
          </w:p>
        </w:tc>
      </w:tr>
      <w:tr w14:paraId="2687194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17D5EA1F">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1.6.3</w:t>
            </w:r>
          </w:p>
        </w:tc>
        <w:tc>
          <w:tcPr>
            <w:tcW w:w="8449" w:type="dxa"/>
            <w:noWrap/>
            <w:vAlign w:val="center"/>
          </w:tcPr>
          <w:p w14:paraId="5916D848">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超声强度:＜5mW/cm2</w:t>
            </w:r>
          </w:p>
        </w:tc>
      </w:tr>
      <w:tr w14:paraId="6CCC4B6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195E2CEE">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1.6.4</w:t>
            </w:r>
          </w:p>
        </w:tc>
        <w:tc>
          <w:tcPr>
            <w:tcW w:w="8449" w:type="dxa"/>
            <w:noWrap/>
            <w:vAlign w:val="center"/>
          </w:tcPr>
          <w:p w14:paraId="3D5D4481">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工作频率:≤10MHz</w:t>
            </w:r>
          </w:p>
        </w:tc>
      </w:tr>
      <w:tr w14:paraId="4580F97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54285FAA">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1.6.5</w:t>
            </w:r>
          </w:p>
        </w:tc>
        <w:tc>
          <w:tcPr>
            <w:tcW w:w="8449" w:type="dxa"/>
            <w:noWrap/>
            <w:vAlign w:val="center"/>
          </w:tcPr>
          <w:p w14:paraId="5A228633">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信号处理:专用数字信号处理单元</w:t>
            </w:r>
          </w:p>
        </w:tc>
      </w:tr>
      <w:tr w14:paraId="4B03BCD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3B4270E5">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p>
        </w:tc>
        <w:tc>
          <w:tcPr>
            <w:tcW w:w="8449" w:type="dxa"/>
            <w:noWrap/>
            <w:vAlign w:val="center"/>
          </w:tcPr>
          <w:p w14:paraId="272BEA5F">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宫缩压力</w:t>
            </w:r>
          </w:p>
        </w:tc>
      </w:tr>
      <w:tr w14:paraId="2555531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662BD0AB">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1.7.1</w:t>
            </w:r>
          </w:p>
        </w:tc>
        <w:tc>
          <w:tcPr>
            <w:tcW w:w="8449" w:type="dxa"/>
            <w:noWrap/>
            <w:vAlign w:val="center"/>
          </w:tcPr>
          <w:p w14:paraId="3F081F22">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测量范围:0~100压力单位</w:t>
            </w:r>
          </w:p>
        </w:tc>
      </w:tr>
      <w:tr w14:paraId="2479A82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31B190CE">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1.7.2</w:t>
            </w:r>
          </w:p>
        </w:tc>
        <w:tc>
          <w:tcPr>
            <w:tcW w:w="8449" w:type="dxa"/>
            <w:noWrap/>
            <w:vAlign w:val="center"/>
          </w:tcPr>
          <w:p w14:paraId="02EAD276">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非线性误差:≤±10%</w:t>
            </w:r>
          </w:p>
        </w:tc>
      </w:tr>
      <w:tr w14:paraId="29D0204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153AAF38">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1.8</w:t>
            </w:r>
          </w:p>
        </w:tc>
        <w:tc>
          <w:tcPr>
            <w:tcW w:w="8449" w:type="dxa"/>
            <w:noWrap/>
            <w:vAlign w:val="center"/>
          </w:tcPr>
          <w:p w14:paraId="01AE1419">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宫缩探头与胎心探头均为有线连接</w:t>
            </w:r>
          </w:p>
        </w:tc>
      </w:tr>
      <w:tr w14:paraId="38550E1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2B21A628">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1.9</w:t>
            </w:r>
          </w:p>
        </w:tc>
        <w:tc>
          <w:tcPr>
            <w:tcW w:w="8449" w:type="dxa"/>
            <w:noWrap/>
            <w:vAlign w:val="center"/>
          </w:tcPr>
          <w:p w14:paraId="7547985B">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探头声输出:按照国际惯例1992年C1157规定,负压值声压不超过1兆帕(MPa),输出波束声强不超过20毫瓦/平方厘米。空间峰值时间平均导出声强不超过100毫瓦/平方厘米。</w:t>
            </w:r>
          </w:p>
        </w:tc>
      </w:tr>
      <w:tr w14:paraId="57642C1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79EED8E1">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1.10</w:t>
            </w:r>
          </w:p>
        </w:tc>
        <w:tc>
          <w:tcPr>
            <w:tcW w:w="8449" w:type="dxa"/>
            <w:noWrap/>
            <w:vAlign w:val="center"/>
          </w:tcPr>
          <w:p w14:paraId="514A3314">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设备通过蓝牙等无线方式与手机连接（支持Android、IOS系统）</w:t>
            </w:r>
          </w:p>
        </w:tc>
      </w:tr>
      <w:tr w14:paraId="7F49C43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34A32EF3">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8449" w:type="dxa"/>
            <w:noWrap/>
            <w:vAlign w:val="center"/>
          </w:tcPr>
          <w:p w14:paraId="6E0D135A">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软件及远程服务功能</w:t>
            </w:r>
          </w:p>
        </w:tc>
      </w:tr>
      <w:tr w14:paraId="758E856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21606D10">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w:t>
            </w:r>
          </w:p>
        </w:tc>
        <w:tc>
          <w:tcPr>
            <w:tcW w:w="8449" w:type="dxa"/>
            <w:noWrap/>
            <w:vAlign w:val="center"/>
          </w:tcPr>
          <w:p w14:paraId="6EA593FE">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软件系统同时支持移动端（原生app，兼容Android、IOS）和电脑端，孕妇可以在移动端进行远程胎心监护并可直观的看到监护图像，监护数据上传后判读人员可任意选择在移动端或电脑端查看孕妇上传的监护数据并给予回复。判读人员回复后孕妇可实时看到回复信息。</w:t>
            </w:r>
          </w:p>
        </w:tc>
      </w:tr>
      <w:tr w14:paraId="7AA132A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487729CA">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w:t>
            </w:r>
          </w:p>
        </w:tc>
        <w:tc>
          <w:tcPr>
            <w:tcW w:w="8449" w:type="dxa"/>
            <w:noWrap/>
            <w:vAlign w:val="center"/>
          </w:tcPr>
          <w:p w14:paraId="5914448A">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软件包含以下功能：</w:t>
            </w:r>
          </w:p>
        </w:tc>
      </w:tr>
      <w:tr w14:paraId="5E0C56B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075989FC">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2.2.1</w:t>
            </w:r>
          </w:p>
        </w:tc>
        <w:tc>
          <w:tcPr>
            <w:tcW w:w="8449" w:type="dxa"/>
            <w:noWrap/>
            <w:vAlign w:val="center"/>
          </w:tcPr>
          <w:p w14:paraId="7FCBF8DF">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提供指导如何使用远程胎心监护仪,有详细的使用流程</w:t>
            </w:r>
          </w:p>
        </w:tc>
      </w:tr>
      <w:tr w14:paraId="1AC86E1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218A38E9">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2.2.2</w:t>
            </w:r>
          </w:p>
        </w:tc>
        <w:tc>
          <w:tcPr>
            <w:tcW w:w="8449" w:type="dxa"/>
            <w:noWrap/>
            <w:vAlign w:val="center"/>
          </w:tcPr>
          <w:p w14:paraId="3B45AAF4">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可以自主查看远程胎心仪的数据</w:t>
            </w:r>
          </w:p>
        </w:tc>
      </w:tr>
      <w:tr w14:paraId="083A209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18BCF7D3">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2.2.3</w:t>
            </w:r>
          </w:p>
        </w:tc>
        <w:tc>
          <w:tcPr>
            <w:tcW w:w="8449" w:type="dxa"/>
            <w:noWrap/>
            <w:vAlign w:val="center"/>
          </w:tcPr>
          <w:p w14:paraId="44DAF7AC">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可以上传至远程胎心监护判读中心</w:t>
            </w:r>
          </w:p>
        </w:tc>
      </w:tr>
      <w:tr w14:paraId="3573836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7969E63F">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2.2.4</w:t>
            </w:r>
          </w:p>
        </w:tc>
        <w:tc>
          <w:tcPr>
            <w:tcW w:w="8449" w:type="dxa"/>
            <w:noWrap/>
            <w:vAlign w:val="center"/>
          </w:tcPr>
          <w:p w14:paraId="6F45A517">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收到数据后的分析流程，信息分析后结果在APP上回复及回复内容</w:t>
            </w:r>
          </w:p>
        </w:tc>
      </w:tr>
      <w:tr w14:paraId="460AFE4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41A0E5CA">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w:t>
            </w:r>
          </w:p>
        </w:tc>
        <w:tc>
          <w:tcPr>
            <w:tcW w:w="8449" w:type="dxa"/>
            <w:noWrap/>
            <w:vAlign w:val="center"/>
          </w:tcPr>
          <w:p w14:paraId="702D30FD">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提供判读系统，具备以下功能</w:t>
            </w:r>
          </w:p>
        </w:tc>
      </w:tr>
      <w:tr w14:paraId="77CE020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620C61EF">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2.3.1</w:t>
            </w:r>
          </w:p>
        </w:tc>
        <w:tc>
          <w:tcPr>
            <w:tcW w:w="8449" w:type="dxa"/>
            <w:noWrap/>
            <w:vAlign w:val="center"/>
          </w:tcPr>
          <w:p w14:paraId="5D47CC7B">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自动分析系统：系统可对孕妇上传的记录进行自动判读</w:t>
            </w:r>
          </w:p>
        </w:tc>
      </w:tr>
      <w:tr w14:paraId="2D10266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6189EFFC">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2.3.2</w:t>
            </w:r>
          </w:p>
        </w:tc>
        <w:tc>
          <w:tcPr>
            <w:tcW w:w="8449" w:type="dxa"/>
            <w:noWrap/>
            <w:vAlign w:val="center"/>
          </w:tcPr>
          <w:p w14:paraId="5439DADB">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人工判读系统—PC端、APP端：人工判读操作可在PC端进行判读，还可在APP中进行判读</w:t>
            </w:r>
          </w:p>
        </w:tc>
      </w:tr>
      <w:tr w14:paraId="16CEA97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62863F25">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2.3.3</w:t>
            </w:r>
          </w:p>
        </w:tc>
        <w:tc>
          <w:tcPr>
            <w:tcW w:w="8449" w:type="dxa"/>
            <w:noWrap/>
            <w:vAlign w:val="center"/>
          </w:tcPr>
          <w:p w14:paraId="758D4258">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质控系统：医务人员和专家可对判读结果进行质量把控</w:t>
            </w:r>
          </w:p>
        </w:tc>
      </w:tr>
      <w:tr w14:paraId="49AB53D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43255AE8">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2.3.4</w:t>
            </w:r>
          </w:p>
        </w:tc>
        <w:tc>
          <w:tcPr>
            <w:tcW w:w="8449" w:type="dxa"/>
            <w:noWrap/>
            <w:vAlign w:val="center"/>
          </w:tcPr>
          <w:p w14:paraId="4E951A3B">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支持大数据高并发下的正常使用</w:t>
            </w:r>
          </w:p>
        </w:tc>
      </w:tr>
      <w:tr w14:paraId="7ED2C0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0259F0BD">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2.4</w:t>
            </w:r>
          </w:p>
        </w:tc>
        <w:tc>
          <w:tcPr>
            <w:tcW w:w="8449" w:type="dxa"/>
            <w:noWrap/>
            <w:vAlign w:val="center"/>
          </w:tcPr>
          <w:p w14:paraId="455FD448">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用户端APP不得对用户收取任何费用。要保障用户信息和数据安全,防止泄露用户隐私</w:t>
            </w:r>
          </w:p>
        </w:tc>
      </w:tr>
      <w:tr w14:paraId="66C843B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0C305E99">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2.5</w:t>
            </w:r>
          </w:p>
        </w:tc>
        <w:tc>
          <w:tcPr>
            <w:tcW w:w="8449" w:type="dxa"/>
            <w:noWrap/>
            <w:vAlign w:val="center"/>
          </w:tcPr>
          <w:p w14:paraId="153F484C">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判读系统能与浙江省卫生健康委员会批准成立的省级远程胎心监护判读中心数据对接，并能由其提供技术指导。（投标时提供有效证明文件）</w:t>
            </w:r>
          </w:p>
        </w:tc>
      </w:tr>
      <w:tr w14:paraId="410ADE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00697B71">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8449" w:type="dxa"/>
            <w:noWrap/>
            <w:vAlign w:val="center"/>
          </w:tcPr>
          <w:p w14:paraId="49A5C08E">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投标人人员配备数量、工作时间、岗位职责及培训要求</w:t>
            </w:r>
          </w:p>
        </w:tc>
      </w:tr>
      <w:tr w14:paraId="482DADC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6DF09565">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w:t>
            </w:r>
          </w:p>
        </w:tc>
        <w:tc>
          <w:tcPr>
            <w:tcW w:w="8449" w:type="dxa"/>
            <w:noWrap/>
            <w:vAlign w:val="center"/>
          </w:tcPr>
          <w:p w14:paraId="1B83D595">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人员数量基本要求（以下规定了投标人人员配备数量的最低要求,投标人应结合自身实际情况提供实际人数具体如下，配备人员必须按合同全数到位。）</w:t>
            </w:r>
          </w:p>
        </w:tc>
      </w:tr>
      <w:tr w14:paraId="23CE7DD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4901D9DF">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3.1.1</w:t>
            </w:r>
          </w:p>
        </w:tc>
        <w:tc>
          <w:tcPr>
            <w:tcW w:w="8449" w:type="dxa"/>
            <w:noWrap/>
            <w:vAlign w:val="center"/>
          </w:tcPr>
          <w:p w14:paraId="51D345D1">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项目技术指导负责人1人，应具备医师执业证书和副主任医师及以上技术职称（投标时提供证明文件），且从事围产监护工作。</w:t>
            </w:r>
          </w:p>
        </w:tc>
      </w:tr>
      <w:tr w14:paraId="697624B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4BBA8C8B">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3.1.1.1</w:t>
            </w:r>
          </w:p>
        </w:tc>
        <w:tc>
          <w:tcPr>
            <w:tcW w:w="8449" w:type="dxa"/>
            <w:noWrap/>
            <w:vAlign w:val="center"/>
          </w:tcPr>
          <w:p w14:paraId="3D763447">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项目技术指导负责人须保质保量地完成异常胎心数据判断工作；</w:t>
            </w:r>
          </w:p>
        </w:tc>
      </w:tr>
      <w:tr w14:paraId="17B4849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387B3E3D">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3.1.1.2</w:t>
            </w:r>
          </w:p>
        </w:tc>
        <w:tc>
          <w:tcPr>
            <w:tcW w:w="8449" w:type="dxa"/>
            <w:noWrap/>
            <w:vAlign w:val="center"/>
          </w:tcPr>
          <w:p w14:paraId="2624721B">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项目技术指导负责人须合理调配人力和物力资源；</w:t>
            </w:r>
          </w:p>
        </w:tc>
      </w:tr>
      <w:tr w14:paraId="380910D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2757D9AD">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3.1.1.3</w:t>
            </w:r>
          </w:p>
        </w:tc>
        <w:tc>
          <w:tcPr>
            <w:tcW w:w="8449" w:type="dxa"/>
            <w:noWrap/>
            <w:vAlign w:val="center"/>
          </w:tcPr>
          <w:p w14:paraId="3A8FB68F">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项目技术指导负责人须配合院方专业医师做好胎心检查,发现问题及时整改并做好记录；</w:t>
            </w:r>
          </w:p>
        </w:tc>
      </w:tr>
      <w:tr w14:paraId="203EEFB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33118A50">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3.1.1.4</w:t>
            </w:r>
          </w:p>
        </w:tc>
        <w:tc>
          <w:tcPr>
            <w:tcW w:w="8449" w:type="dxa"/>
            <w:noWrap/>
            <w:vAlign w:val="center"/>
          </w:tcPr>
          <w:p w14:paraId="02446286">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项目技术指导负责人须纠正日常工作中发生的不合格服务,并及时向院方汇报；</w:t>
            </w:r>
          </w:p>
        </w:tc>
      </w:tr>
      <w:tr w14:paraId="66ED47F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6B73210D">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3.1.2</w:t>
            </w:r>
          </w:p>
        </w:tc>
        <w:tc>
          <w:tcPr>
            <w:tcW w:w="8449" w:type="dxa"/>
            <w:noWrap/>
            <w:vAlign w:val="center"/>
          </w:tcPr>
          <w:p w14:paraId="15804BBE">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后台服务人员不少于10人，具备医师或助产士执业资格，投标时提供证明文件；</w:t>
            </w:r>
          </w:p>
        </w:tc>
      </w:tr>
      <w:tr w14:paraId="406221D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5CD366B7">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8449" w:type="dxa"/>
            <w:noWrap/>
            <w:vAlign w:val="center"/>
          </w:tcPr>
          <w:p w14:paraId="54936805">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咨询服务要求</w:t>
            </w:r>
          </w:p>
        </w:tc>
      </w:tr>
      <w:tr w14:paraId="32A6D9E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5EA099EF">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4.1</w:t>
            </w:r>
          </w:p>
        </w:tc>
        <w:tc>
          <w:tcPr>
            <w:tcW w:w="8449" w:type="dxa"/>
            <w:noWrap/>
            <w:vAlign w:val="center"/>
          </w:tcPr>
          <w:p w14:paraId="11F958A7">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咨询服务人员，要有医护资质的人员进行咨询服务，提供资质证书证明。</w:t>
            </w:r>
          </w:p>
        </w:tc>
      </w:tr>
      <w:tr w14:paraId="42339DE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00576426">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4.2</w:t>
            </w:r>
          </w:p>
        </w:tc>
        <w:tc>
          <w:tcPr>
            <w:tcW w:w="8449" w:type="dxa"/>
            <w:noWrap/>
            <w:vAlign w:val="center"/>
          </w:tcPr>
          <w:p w14:paraId="216355E6">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提供咨询服务号码，咨询服务号码须经过通信管理局批准。</w:t>
            </w:r>
          </w:p>
        </w:tc>
      </w:tr>
      <w:tr w14:paraId="5CA8EFE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124DE601">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8449" w:type="dxa"/>
            <w:noWrap/>
            <w:vAlign w:val="center"/>
          </w:tcPr>
          <w:p w14:paraId="01858398">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其他事项</w:t>
            </w:r>
          </w:p>
        </w:tc>
      </w:tr>
      <w:tr w14:paraId="6DA8199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491D307E">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5.1</w:t>
            </w:r>
          </w:p>
        </w:tc>
        <w:tc>
          <w:tcPr>
            <w:tcW w:w="8449" w:type="dxa"/>
            <w:noWrap/>
            <w:vAlign w:val="center"/>
          </w:tcPr>
          <w:p w14:paraId="1BE8AC78">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采购人不提供任何住宿,其他所有工作人员的住宿问题由投标人自行解决。</w:t>
            </w:r>
          </w:p>
        </w:tc>
      </w:tr>
      <w:tr w14:paraId="42C3788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0D27BC77">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8449" w:type="dxa"/>
            <w:noWrap/>
            <w:vAlign w:val="center"/>
          </w:tcPr>
          <w:p w14:paraId="57A36345">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采购人对服务管理质量相关要求</w:t>
            </w:r>
          </w:p>
        </w:tc>
      </w:tr>
      <w:tr w14:paraId="259A922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7BB92F44">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6.1</w:t>
            </w:r>
          </w:p>
        </w:tc>
        <w:tc>
          <w:tcPr>
            <w:tcW w:w="8449" w:type="dxa"/>
            <w:noWrap/>
            <w:vAlign w:val="center"/>
          </w:tcPr>
          <w:p w14:paraId="48D8EBFE">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投标人需本着对企业品牌的延伸,以社会化效益为重的原则进行投标。</w:t>
            </w:r>
          </w:p>
        </w:tc>
      </w:tr>
      <w:tr w14:paraId="791C450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5A2168BA">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6.2</w:t>
            </w:r>
          </w:p>
        </w:tc>
        <w:tc>
          <w:tcPr>
            <w:tcW w:w="8449" w:type="dxa"/>
            <w:noWrap/>
            <w:vAlign w:val="center"/>
          </w:tcPr>
          <w:p w14:paraId="4C222926">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投标人须按现代企业制度运行,发挥自身优势,以热心、爱心、专心、贴心服务,为采购人互联网医疗服务提供专业服务保障。</w:t>
            </w:r>
          </w:p>
        </w:tc>
      </w:tr>
      <w:tr w14:paraId="5AD1841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1CBD77B8">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6.3</w:t>
            </w:r>
          </w:p>
        </w:tc>
        <w:tc>
          <w:tcPr>
            <w:tcW w:w="8449" w:type="dxa"/>
            <w:noWrap/>
            <w:vAlign w:val="center"/>
          </w:tcPr>
          <w:p w14:paraId="09E45BA5">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应制定具体的质量保证措施及质量保证和相关服务承诺。投标人所有的工作，除应按投标人的内部流程实施外，还应接受采购人或第三方的检查。如因质量未达到目标,采购人有权要求其整改,投标人应承担责任和经济赔偿(扣款或终止合同)。</w:t>
            </w:r>
          </w:p>
        </w:tc>
      </w:tr>
      <w:tr w14:paraId="14751F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2EF5A089">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8449" w:type="dxa"/>
            <w:noWrap/>
            <w:vAlign w:val="center"/>
          </w:tcPr>
          <w:p w14:paraId="0B1D16EC">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商务及其他要求</w:t>
            </w:r>
          </w:p>
        </w:tc>
      </w:tr>
      <w:tr w14:paraId="094F9B5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75E4CE85">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7.1</w:t>
            </w:r>
          </w:p>
        </w:tc>
        <w:tc>
          <w:tcPr>
            <w:tcW w:w="8449" w:type="dxa"/>
            <w:noWrap/>
            <w:vAlign w:val="center"/>
          </w:tcPr>
          <w:p w14:paraId="2FDA455F">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交货地点：温州市人民医院，采购人指定地点；</w:t>
            </w:r>
          </w:p>
        </w:tc>
      </w:tr>
      <w:tr w14:paraId="6CC9EC3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0E9FECBA">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7.2</w:t>
            </w:r>
          </w:p>
        </w:tc>
        <w:tc>
          <w:tcPr>
            <w:tcW w:w="8449" w:type="dxa"/>
            <w:noWrap/>
            <w:vAlign w:val="center"/>
          </w:tcPr>
          <w:p w14:paraId="6BB1C697">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交货方式：现场交货或采购人认可的交货方式；</w:t>
            </w:r>
          </w:p>
        </w:tc>
      </w:tr>
      <w:tr w14:paraId="4BE638D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29074332">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7.3</w:t>
            </w:r>
          </w:p>
        </w:tc>
        <w:tc>
          <w:tcPr>
            <w:tcW w:w="8449" w:type="dxa"/>
            <w:noWrap/>
            <w:vAlign w:val="center"/>
          </w:tcPr>
          <w:p w14:paraId="39164667">
            <w:pPr>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付款方式：</w:t>
            </w:r>
          </w:p>
          <w:p w14:paraId="37D60C12">
            <w:pPr>
              <w:numPr>
                <w:ilvl w:val="0"/>
                <w:numId w:val="0"/>
              </w:numPr>
              <w:spacing w:line="360" w:lineRule="auto"/>
              <w:ind w:leftChars="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（一）中标人</w:t>
            </w:r>
            <w:r>
              <w:rPr>
                <w:rFonts w:hint="eastAsia" w:ascii="新宋体" w:hAnsi="新宋体" w:eastAsia="新宋体" w:cs="新宋体"/>
                <w:color w:val="auto"/>
                <w:sz w:val="22"/>
                <w:szCs w:val="22"/>
                <w:highlight w:val="none"/>
              </w:rPr>
              <w:t>为中小企业:合同预付款为合同总金额的40%。在合同签订生效以及具备实施条件后，</w:t>
            </w:r>
            <w:r>
              <w:rPr>
                <w:rFonts w:hint="eastAsia" w:ascii="新宋体" w:hAnsi="新宋体" w:eastAsia="新宋体" w:cs="新宋体"/>
                <w:color w:val="auto"/>
                <w:sz w:val="22"/>
                <w:szCs w:val="22"/>
                <w:highlight w:val="none"/>
                <w:lang w:val="en-US" w:eastAsia="zh-CN"/>
              </w:rPr>
              <w:t>中标人</w:t>
            </w:r>
            <w:r>
              <w:rPr>
                <w:rFonts w:hint="eastAsia" w:ascii="新宋体" w:hAnsi="新宋体" w:eastAsia="新宋体" w:cs="新宋体"/>
                <w:color w:val="auto"/>
                <w:sz w:val="22"/>
                <w:szCs w:val="22"/>
                <w:highlight w:val="none"/>
              </w:rPr>
              <w:t>须向</w:t>
            </w:r>
            <w:r>
              <w:rPr>
                <w:rFonts w:hint="eastAsia" w:ascii="新宋体" w:hAnsi="新宋体" w:eastAsia="新宋体" w:cs="新宋体"/>
                <w:color w:val="auto"/>
                <w:sz w:val="22"/>
                <w:szCs w:val="22"/>
                <w:highlight w:val="none"/>
                <w:lang w:val="en-US" w:eastAsia="zh-CN"/>
              </w:rPr>
              <w:t>招标人</w:t>
            </w:r>
            <w:r>
              <w:rPr>
                <w:rFonts w:hint="eastAsia" w:ascii="新宋体" w:hAnsi="新宋体" w:eastAsia="新宋体" w:cs="新宋体"/>
                <w:color w:val="auto"/>
                <w:sz w:val="22"/>
                <w:szCs w:val="22"/>
                <w:highlight w:val="none"/>
              </w:rPr>
              <w:t>提交与预付款等额的“预付款保函”。</w:t>
            </w:r>
            <w:r>
              <w:rPr>
                <w:rFonts w:hint="eastAsia" w:ascii="新宋体" w:hAnsi="新宋体" w:eastAsia="新宋体" w:cs="新宋体"/>
                <w:color w:val="auto"/>
                <w:sz w:val="22"/>
                <w:szCs w:val="22"/>
                <w:highlight w:val="none"/>
                <w:lang w:val="en-US" w:eastAsia="zh-CN"/>
              </w:rPr>
              <w:t>招标人</w:t>
            </w:r>
            <w:r>
              <w:rPr>
                <w:rFonts w:hint="eastAsia" w:ascii="新宋体" w:hAnsi="新宋体" w:eastAsia="新宋体" w:cs="新宋体"/>
                <w:color w:val="auto"/>
                <w:sz w:val="22"/>
                <w:szCs w:val="22"/>
                <w:highlight w:val="none"/>
              </w:rPr>
              <w:t>在收到“预付款保函”后7个工作日内支付预付款;</w:t>
            </w:r>
            <w:r>
              <w:rPr>
                <w:rFonts w:hint="eastAsia" w:ascii="新宋体" w:hAnsi="新宋体" w:eastAsia="新宋体" w:cs="新宋体"/>
                <w:color w:val="auto"/>
                <w:sz w:val="22"/>
                <w:szCs w:val="22"/>
                <w:highlight w:val="none"/>
                <w:lang w:val="en-US" w:eastAsia="zh-CN"/>
              </w:rPr>
              <w:t>服务费</w:t>
            </w:r>
            <w:r>
              <w:rPr>
                <w:rFonts w:hint="eastAsia" w:ascii="新宋体" w:hAnsi="新宋体" w:eastAsia="新宋体" w:cs="新宋体"/>
                <w:color w:val="auto"/>
                <w:sz w:val="22"/>
                <w:szCs w:val="22"/>
                <w:highlight w:val="none"/>
              </w:rPr>
              <w:t>按月支付，</w:t>
            </w:r>
            <w:r>
              <w:rPr>
                <w:rFonts w:hint="eastAsia" w:ascii="新宋体" w:hAnsi="新宋体" w:eastAsia="新宋体" w:cs="新宋体"/>
                <w:color w:val="auto"/>
                <w:sz w:val="22"/>
                <w:szCs w:val="22"/>
                <w:highlight w:val="none"/>
                <w:lang w:val="en-US" w:eastAsia="zh-CN"/>
              </w:rPr>
              <w:t>中标人根据服务数量</w:t>
            </w:r>
            <w:r>
              <w:rPr>
                <w:rFonts w:hint="eastAsia" w:ascii="新宋体" w:hAnsi="新宋体" w:eastAsia="新宋体" w:cs="新宋体"/>
                <w:color w:val="auto"/>
                <w:sz w:val="22"/>
                <w:szCs w:val="22"/>
                <w:highlight w:val="none"/>
              </w:rPr>
              <w:t>开具发票，</w:t>
            </w:r>
            <w:r>
              <w:rPr>
                <w:rFonts w:hint="eastAsia" w:ascii="新宋体" w:hAnsi="新宋体" w:eastAsia="新宋体" w:cs="新宋体"/>
                <w:color w:val="auto"/>
                <w:sz w:val="22"/>
                <w:szCs w:val="22"/>
                <w:highlight w:val="none"/>
                <w:lang w:val="en-US" w:eastAsia="zh-CN"/>
              </w:rPr>
              <w:t>招标人</w:t>
            </w:r>
            <w:r>
              <w:rPr>
                <w:rFonts w:hint="eastAsia" w:ascii="新宋体" w:hAnsi="新宋体" w:eastAsia="新宋体" w:cs="新宋体"/>
                <w:color w:val="auto"/>
                <w:sz w:val="22"/>
                <w:szCs w:val="22"/>
                <w:highlight w:val="none"/>
              </w:rPr>
              <w:t>自收到发票之日起</w:t>
            </w:r>
            <w:r>
              <w:rPr>
                <w:rFonts w:hint="eastAsia" w:ascii="新宋体" w:hAnsi="新宋体" w:eastAsia="新宋体" w:cs="新宋体"/>
                <w:color w:val="auto"/>
                <w:sz w:val="22"/>
                <w:szCs w:val="22"/>
                <w:highlight w:val="none"/>
                <w:lang w:val="en-US" w:eastAsia="zh-CN"/>
              </w:rPr>
              <w:t>7个工作日内</w:t>
            </w:r>
            <w:r>
              <w:rPr>
                <w:rFonts w:hint="eastAsia" w:ascii="新宋体" w:hAnsi="新宋体" w:eastAsia="新宋体" w:cs="新宋体"/>
                <w:color w:val="auto"/>
                <w:sz w:val="22"/>
                <w:szCs w:val="22"/>
                <w:highlight w:val="none"/>
              </w:rPr>
              <w:t>付款(每月结算款项优先从预付款中扣回)。</w:t>
            </w:r>
          </w:p>
          <w:p w14:paraId="5E7D8012">
            <w:pPr>
              <w:numPr>
                <w:ilvl w:val="0"/>
                <w:numId w:val="0"/>
              </w:numPr>
              <w:spacing w:line="360" w:lineRule="auto"/>
              <w:ind w:leftChars="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二</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普通方式:按月结算。每月25日之前（如碰到节假日顺延）</w:t>
            </w:r>
            <w:r>
              <w:rPr>
                <w:rFonts w:hint="eastAsia" w:ascii="新宋体" w:hAnsi="新宋体" w:eastAsia="新宋体" w:cs="新宋体"/>
                <w:color w:val="auto"/>
                <w:sz w:val="22"/>
                <w:szCs w:val="22"/>
                <w:highlight w:val="none"/>
                <w:lang w:val="en-US" w:eastAsia="zh-CN"/>
              </w:rPr>
              <w:t>招标人</w:t>
            </w:r>
            <w:r>
              <w:rPr>
                <w:rFonts w:hint="eastAsia" w:ascii="新宋体" w:hAnsi="新宋体" w:eastAsia="新宋体" w:cs="新宋体"/>
                <w:color w:val="auto"/>
                <w:sz w:val="22"/>
                <w:szCs w:val="22"/>
                <w:highlight w:val="none"/>
              </w:rPr>
              <w:t>应向</w:t>
            </w:r>
            <w:r>
              <w:rPr>
                <w:rFonts w:hint="eastAsia" w:ascii="新宋体" w:hAnsi="新宋体" w:eastAsia="新宋体" w:cs="新宋体"/>
                <w:color w:val="auto"/>
                <w:sz w:val="22"/>
                <w:szCs w:val="22"/>
                <w:highlight w:val="none"/>
                <w:lang w:val="en-US" w:eastAsia="zh-CN"/>
              </w:rPr>
              <w:t>中标人</w:t>
            </w:r>
            <w:r>
              <w:rPr>
                <w:rFonts w:hint="eastAsia" w:ascii="新宋体" w:hAnsi="新宋体" w:eastAsia="新宋体" w:cs="新宋体"/>
                <w:color w:val="auto"/>
                <w:sz w:val="22"/>
                <w:szCs w:val="22"/>
                <w:highlight w:val="none"/>
              </w:rPr>
              <w:t>支付上月信息服务费。</w:t>
            </w:r>
          </w:p>
        </w:tc>
      </w:tr>
      <w:tr w14:paraId="67AE0EF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6E5A5146">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7.4</w:t>
            </w:r>
          </w:p>
        </w:tc>
        <w:tc>
          <w:tcPr>
            <w:tcW w:w="8449" w:type="dxa"/>
            <w:noWrap/>
            <w:vAlign w:val="center"/>
          </w:tcPr>
          <w:p w14:paraId="33E4F9A8">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投标人提供所有服务相关软件、硬件的维修、维护、升级、校准、质控等工作，费用包含在投标总价中。</w:t>
            </w:r>
          </w:p>
        </w:tc>
      </w:tr>
      <w:tr w14:paraId="4E26F85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3344E095">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7.5</w:t>
            </w:r>
          </w:p>
        </w:tc>
        <w:tc>
          <w:tcPr>
            <w:tcW w:w="8449" w:type="dxa"/>
            <w:noWrap/>
            <w:vAlign w:val="center"/>
          </w:tcPr>
          <w:p w14:paraId="7AC7B10C">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因投标人的监护设备、软件、咨询服务、判读服务等引起的医疗纠纷，完全由投标人承担责任和赔偿。</w:t>
            </w:r>
          </w:p>
        </w:tc>
      </w:tr>
      <w:tr w14:paraId="3B01D4B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42" w:type="dxa"/>
            <w:noWrap/>
            <w:vAlign w:val="center"/>
          </w:tcPr>
          <w:p w14:paraId="17E3F8D8">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7.6</w:t>
            </w:r>
          </w:p>
        </w:tc>
        <w:tc>
          <w:tcPr>
            <w:tcW w:w="8449" w:type="dxa"/>
            <w:noWrap/>
            <w:vAlign w:val="center"/>
          </w:tcPr>
          <w:p w14:paraId="6F271924">
            <w:pPr>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不得向于本次采购的服务无关的第三方泄露用户隐私数据。</w:t>
            </w:r>
          </w:p>
        </w:tc>
      </w:tr>
    </w:tbl>
    <w:p w14:paraId="3A166CDF">
      <w:pPr>
        <w:spacing w:line="360" w:lineRule="auto"/>
        <w:rPr>
          <w:rFonts w:ascii="新宋体" w:hAnsi="新宋体" w:eastAsia="新宋体" w:cs="新宋体"/>
          <w:color w:val="auto"/>
          <w:sz w:val="22"/>
          <w:szCs w:val="22"/>
          <w:highlight w:val="none"/>
        </w:rPr>
      </w:pPr>
    </w:p>
    <w:p w14:paraId="17F639C4">
      <w:pPr>
        <w:spacing w:line="460" w:lineRule="exact"/>
        <w:ind w:firstLine="420" w:firstLineChars="200"/>
        <w:rPr>
          <w:rFonts w:ascii="新宋体" w:hAnsi="新宋体" w:eastAsia="新宋体" w:cs="新宋体"/>
          <w:b/>
          <w:color w:val="auto"/>
          <w:sz w:val="22"/>
          <w:szCs w:val="22"/>
          <w:highlight w:val="none"/>
        </w:rPr>
      </w:pPr>
      <w:r>
        <w:rPr>
          <w:rFonts w:hint="eastAsia" w:ascii="宋体" w:hAnsi="宋体" w:cs="宋体"/>
          <w:color w:val="auto"/>
          <w:highlight w:val="none"/>
        </w:rPr>
        <w:br w:type="page"/>
      </w:r>
    </w:p>
    <w:p w14:paraId="585FA95D">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t>第五部分   评标原则及方法</w:t>
      </w:r>
      <w:bookmarkEnd w:id="72"/>
      <w:bookmarkEnd w:id="73"/>
    </w:p>
    <w:p w14:paraId="219B9302">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参照《中华人民共和国政府采购法》、《政府采购货物和服务招标投标管理办法》、《中华人民共和国政府采购法实施条例》和《关于进一步规范政府采购活动的若干意见》等相关法规特制定以下评标办法。</w:t>
      </w:r>
    </w:p>
    <w:p w14:paraId="5E2B999D">
      <w:pPr>
        <w:spacing w:line="460" w:lineRule="exact"/>
        <w:ind w:firstLine="541" w:firstLineChars="245"/>
        <w:outlineLvl w:val="2"/>
        <w:rPr>
          <w:rFonts w:ascii="宋体" w:hAnsi="宋体" w:cs="宋体"/>
          <w:b/>
          <w:color w:val="auto"/>
          <w:sz w:val="22"/>
          <w:szCs w:val="22"/>
          <w:highlight w:val="none"/>
        </w:rPr>
      </w:pPr>
      <w:bookmarkStart w:id="74" w:name="_Toc15713"/>
      <w:bookmarkStart w:id="75" w:name="_Toc4407"/>
      <w:r>
        <w:rPr>
          <w:rFonts w:hint="eastAsia" w:ascii="宋体" w:hAnsi="宋体" w:cs="宋体"/>
          <w:b/>
          <w:color w:val="auto"/>
          <w:sz w:val="22"/>
          <w:szCs w:val="22"/>
          <w:highlight w:val="none"/>
        </w:rPr>
        <w:t>一、总 则</w:t>
      </w:r>
      <w:bookmarkEnd w:id="74"/>
      <w:bookmarkEnd w:id="75"/>
    </w:p>
    <w:p w14:paraId="5980CF19">
      <w:pPr>
        <w:spacing w:line="460" w:lineRule="exact"/>
        <w:ind w:firstLine="539" w:firstLineChars="245"/>
        <w:rPr>
          <w:rFonts w:ascii="宋体" w:hAnsi="宋体" w:cs="宋体"/>
          <w:b/>
          <w:color w:val="auto"/>
          <w:sz w:val="22"/>
          <w:highlight w:val="none"/>
        </w:rPr>
      </w:pPr>
      <w:r>
        <w:rPr>
          <w:rFonts w:hint="eastAsia" w:ascii="宋体" w:hAnsi="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194B245C">
      <w:pPr>
        <w:spacing w:line="460" w:lineRule="exact"/>
        <w:ind w:firstLine="541" w:firstLineChars="245"/>
        <w:outlineLvl w:val="2"/>
        <w:rPr>
          <w:rFonts w:ascii="宋体" w:hAnsi="宋体" w:cs="宋体"/>
          <w:b/>
          <w:color w:val="auto"/>
          <w:sz w:val="22"/>
          <w:szCs w:val="22"/>
          <w:highlight w:val="none"/>
        </w:rPr>
      </w:pPr>
      <w:bookmarkStart w:id="76" w:name="_Toc23152"/>
      <w:bookmarkStart w:id="77" w:name="_Toc24468"/>
      <w:r>
        <w:rPr>
          <w:rFonts w:hint="eastAsia" w:ascii="宋体" w:hAnsi="宋体" w:cs="宋体"/>
          <w:b/>
          <w:color w:val="auto"/>
          <w:sz w:val="22"/>
          <w:szCs w:val="22"/>
          <w:highlight w:val="none"/>
        </w:rPr>
        <w:t>二、评标组织</w:t>
      </w:r>
      <w:bookmarkEnd w:id="76"/>
      <w:bookmarkEnd w:id="77"/>
    </w:p>
    <w:p w14:paraId="7CB4129C">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评标工作由招标人组建的评标委员会负责，评标全过程由有关部门指导监督。</w:t>
      </w:r>
    </w:p>
    <w:p w14:paraId="6B25218C">
      <w:pPr>
        <w:spacing w:line="460" w:lineRule="exact"/>
        <w:ind w:firstLine="541" w:firstLineChars="245"/>
        <w:outlineLvl w:val="2"/>
        <w:rPr>
          <w:rFonts w:ascii="宋体" w:hAnsi="宋体" w:cs="宋体"/>
          <w:b/>
          <w:color w:val="auto"/>
          <w:sz w:val="22"/>
          <w:szCs w:val="22"/>
          <w:highlight w:val="none"/>
        </w:rPr>
      </w:pPr>
      <w:bookmarkStart w:id="78" w:name="_Toc67"/>
      <w:bookmarkStart w:id="79" w:name="_Toc15153"/>
      <w:r>
        <w:rPr>
          <w:rFonts w:hint="eastAsia" w:ascii="宋体" w:hAnsi="宋体" w:cs="宋体"/>
          <w:b/>
          <w:color w:val="auto"/>
          <w:sz w:val="22"/>
          <w:szCs w:val="22"/>
          <w:highlight w:val="none"/>
        </w:rPr>
        <w:t>三、评标程序</w:t>
      </w:r>
      <w:bookmarkEnd w:id="78"/>
      <w:bookmarkEnd w:id="79"/>
    </w:p>
    <w:p w14:paraId="5A62075A">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评标委员按照招标文件中规定的评标方法和标准，对投标文件进行商务和技术评估，综合比较与评价</w:t>
      </w:r>
      <w:r>
        <w:rPr>
          <w:rFonts w:hint="eastAsia" w:ascii="宋体" w:hAnsi="宋体" w:cs="宋体"/>
          <w:color w:val="auto"/>
          <w:sz w:val="22"/>
          <w:szCs w:val="22"/>
          <w:highlight w:val="none"/>
        </w:rPr>
        <w:t>，根据综合评审结果，提交评审报告。</w:t>
      </w:r>
    </w:p>
    <w:p w14:paraId="7873B57B">
      <w:pPr>
        <w:spacing w:line="460" w:lineRule="exact"/>
        <w:ind w:firstLine="541" w:firstLineChars="245"/>
        <w:outlineLvl w:val="2"/>
        <w:rPr>
          <w:rFonts w:ascii="宋体" w:hAnsi="宋体" w:cs="宋体"/>
          <w:b/>
          <w:color w:val="auto"/>
          <w:sz w:val="22"/>
          <w:szCs w:val="22"/>
          <w:highlight w:val="none"/>
        </w:rPr>
      </w:pPr>
      <w:bookmarkStart w:id="80" w:name="_Toc11306"/>
      <w:bookmarkStart w:id="81" w:name="_Toc24825"/>
      <w:r>
        <w:rPr>
          <w:rFonts w:hint="eastAsia" w:ascii="宋体" w:hAnsi="宋体" w:cs="宋体"/>
          <w:b/>
          <w:color w:val="auto"/>
          <w:sz w:val="22"/>
          <w:szCs w:val="22"/>
          <w:highlight w:val="none"/>
        </w:rPr>
        <w:t>四、评标办法</w:t>
      </w:r>
      <w:bookmarkEnd w:id="80"/>
      <w:bookmarkEnd w:id="81"/>
    </w:p>
    <w:p w14:paraId="28F811C7">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p>
    <w:p w14:paraId="7D47EFF5">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总分设定为100分：技术标80分（权值80%），商务标（报价）20分（权值20%）。</w:t>
      </w:r>
    </w:p>
    <w:p w14:paraId="17010A6D">
      <w:pPr>
        <w:spacing w:line="460" w:lineRule="exact"/>
        <w:ind w:firstLine="541" w:firstLineChars="245"/>
        <w:outlineLvl w:val="2"/>
        <w:rPr>
          <w:rFonts w:ascii="宋体" w:hAnsi="宋体" w:cs="宋体"/>
          <w:b/>
          <w:color w:val="auto"/>
          <w:sz w:val="22"/>
          <w:szCs w:val="22"/>
          <w:highlight w:val="none"/>
        </w:rPr>
      </w:pPr>
      <w:bookmarkStart w:id="82" w:name="_Toc11450"/>
      <w:bookmarkStart w:id="83" w:name="_Toc1535"/>
      <w:r>
        <w:rPr>
          <w:rFonts w:hint="eastAsia" w:ascii="宋体" w:hAnsi="宋体" w:cs="宋体"/>
          <w:b/>
          <w:color w:val="auto"/>
          <w:sz w:val="22"/>
          <w:szCs w:val="22"/>
          <w:highlight w:val="none"/>
        </w:rPr>
        <w:t>五、评分细则</w:t>
      </w:r>
      <w:bookmarkEnd w:id="82"/>
      <w:bookmarkEnd w:id="83"/>
    </w:p>
    <w:p w14:paraId="09D0FEEC">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1、技术分的评定：技术标80分（权值80%）</w:t>
      </w:r>
    </w:p>
    <w:p w14:paraId="1CD4BC61">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cs="宋体"/>
          <w:color w:val="auto"/>
          <w:sz w:val="22"/>
          <w:highlight w:val="none"/>
        </w:rPr>
        <w:t>各评标委员会成员对各投标人的各项评分内容评分的算术平均值为各投标人技术分得分</w:t>
      </w:r>
      <w:r>
        <w:rPr>
          <w:rFonts w:hint="eastAsia" w:ascii="宋体" w:hAnsi="宋体" w:cs="宋体"/>
          <w:color w:val="auto"/>
          <w:sz w:val="22"/>
          <w:szCs w:val="22"/>
          <w:highlight w:val="none"/>
        </w:rPr>
        <w:t>（小数点后按四舍五入保留2位）。</w:t>
      </w:r>
    </w:p>
    <w:tbl>
      <w:tblPr>
        <w:tblStyle w:val="24"/>
        <w:tblW w:w="9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01"/>
        <w:gridCol w:w="6589"/>
        <w:gridCol w:w="807"/>
      </w:tblGrid>
      <w:tr w14:paraId="7639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33" w:type="dxa"/>
            <w:vAlign w:val="center"/>
          </w:tcPr>
          <w:p w14:paraId="50B0FB3A">
            <w:pPr>
              <w:pStyle w:val="14"/>
              <w:snapToGrid w:val="0"/>
              <w:spacing w:before="120" w:after="120"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501" w:type="dxa"/>
            <w:vAlign w:val="center"/>
          </w:tcPr>
          <w:p w14:paraId="0328A753">
            <w:pPr>
              <w:pStyle w:val="14"/>
              <w:snapToGrid w:val="0"/>
              <w:spacing w:before="120" w:after="120"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评分项目</w:t>
            </w:r>
          </w:p>
        </w:tc>
        <w:tc>
          <w:tcPr>
            <w:tcW w:w="6589" w:type="dxa"/>
            <w:vAlign w:val="center"/>
          </w:tcPr>
          <w:p w14:paraId="7F72E557">
            <w:pPr>
              <w:pStyle w:val="14"/>
              <w:snapToGrid w:val="0"/>
              <w:spacing w:before="120" w:after="120"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评分细则</w:t>
            </w:r>
          </w:p>
        </w:tc>
        <w:tc>
          <w:tcPr>
            <w:tcW w:w="807" w:type="dxa"/>
            <w:vAlign w:val="center"/>
          </w:tcPr>
          <w:p w14:paraId="347909C3">
            <w:pPr>
              <w:pStyle w:val="14"/>
              <w:snapToGrid w:val="0"/>
              <w:spacing w:before="120" w:after="120"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分值</w:t>
            </w:r>
          </w:p>
        </w:tc>
      </w:tr>
      <w:tr w14:paraId="0AC5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933" w:type="dxa"/>
            <w:vAlign w:val="center"/>
          </w:tcPr>
          <w:p w14:paraId="0B943EA4">
            <w:pPr>
              <w:tabs>
                <w:tab w:val="left" w:pos="3679"/>
                <w:tab w:val="left" w:pos="8799"/>
              </w:tabs>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501" w:type="dxa"/>
            <w:vAlign w:val="center"/>
          </w:tcPr>
          <w:p w14:paraId="18BD5572">
            <w:pPr>
              <w:tabs>
                <w:tab w:val="left" w:pos="3679"/>
                <w:tab w:val="left" w:pos="8799"/>
              </w:tabs>
              <w:adjustRightInd w:val="0"/>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对项目的了解程度及重点、难点解决方案</w:t>
            </w:r>
          </w:p>
        </w:tc>
        <w:tc>
          <w:tcPr>
            <w:tcW w:w="6589" w:type="dxa"/>
            <w:vAlign w:val="center"/>
          </w:tcPr>
          <w:p w14:paraId="01F04346">
            <w:pPr>
              <w:tabs>
                <w:tab w:val="left" w:pos="3679"/>
                <w:tab w:val="left" w:pos="8799"/>
              </w:tabs>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1）供应商对整个项目的熟悉程度、服务方案和完善情况的详尽程度及相关经验等；方案对用户要求的满足程度，包括远程服务方案的可靠性、合理性等。</w:t>
            </w:r>
          </w:p>
          <w:p w14:paraId="3A3F55FB">
            <w:pPr>
              <w:pStyle w:val="2"/>
              <w:rPr>
                <w:rFonts w:ascii="新宋体" w:hAnsi="新宋体" w:eastAsia="新宋体" w:cs="新宋体"/>
                <w:b w:val="0"/>
                <w:color w:val="auto"/>
                <w:sz w:val="22"/>
                <w:szCs w:val="22"/>
                <w:highlight w:val="none"/>
              </w:rPr>
            </w:pPr>
            <w:r>
              <w:rPr>
                <w:rFonts w:hint="eastAsia" w:ascii="新宋体" w:hAnsi="新宋体" w:eastAsia="新宋体" w:cs="新宋体"/>
                <w:b w:val="0"/>
                <w:color w:val="auto"/>
                <w:sz w:val="22"/>
                <w:szCs w:val="22"/>
                <w:highlight w:val="none"/>
                <w:lang w:val="en-US" w:eastAsia="zh-CN"/>
              </w:rPr>
              <w:t>打分范围（5、4、3、2、1、0分）</w:t>
            </w:r>
          </w:p>
          <w:p w14:paraId="22248375">
            <w:pPr>
              <w:tabs>
                <w:tab w:val="left" w:pos="3679"/>
                <w:tab w:val="left" w:pos="8799"/>
              </w:tabs>
              <w:adjustRightInd w:val="0"/>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供应商对服务招标需求中各项要求进行逐条答复、说明和解释的情况，是否满足功能需求，对该建设的理解情况和所采取的措施情况，对重点、难点技术环节是否有先进、合理的建议，解决方案是否完整、经济、安全、切实可行，措施得力。</w:t>
            </w:r>
          </w:p>
          <w:p w14:paraId="536E2F3E">
            <w:pPr>
              <w:tabs>
                <w:tab w:val="left" w:pos="3679"/>
                <w:tab w:val="left" w:pos="8799"/>
              </w:tabs>
              <w:adjustRightInd w:val="0"/>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打分范围（10、8、6、4、2、0分）</w:t>
            </w:r>
          </w:p>
        </w:tc>
        <w:tc>
          <w:tcPr>
            <w:tcW w:w="807" w:type="dxa"/>
            <w:vAlign w:val="center"/>
          </w:tcPr>
          <w:p w14:paraId="6B6701DF">
            <w:pPr>
              <w:tabs>
                <w:tab w:val="left" w:pos="3679"/>
                <w:tab w:val="left" w:pos="8799"/>
              </w:tabs>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w:t>
            </w:r>
          </w:p>
        </w:tc>
      </w:tr>
      <w:tr w14:paraId="25F2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933" w:type="dxa"/>
            <w:vAlign w:val="center"/>
          </w:tcPr>
          <w:p w14:paraId="76694E96">
            <w:pPr>
              <w:tabs>
                <w:tab w:val="left" w:pos="3679"/>
                <w:tab w:val="left" w:pos="8799"/>
              </w:tabs>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501" w:type="dxa"/>
            <w:vAlign w:val="center"/>
          </w:tcPr>
          <w:p w14:paraId="328C5C34">
            <w:pPr>
              <w:tabs>
                <w:tab w:val="left" w:pos="3679"/>
                <w:tab w:val="left" w:pos="8799"/>
              </w:tabs>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实施方案</w:t>
            </w:r>
          </w:p>
        </w:tc>
        <w:tc>
          <w:tcPr>
            <w:tcW w:w="6589" w:type="dxa"/>
            <w:vAlign w:val="center"/>
          </w:tcPr>
          <w:p w14:paraId="5E6EB564">
            <w:pPr>
              <w:tabs>
                <w:tab w:val="left" w:pos="3679"/>
                <w:tab w:val="left" w:pos="8799"/>
              </w:tabs>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1）供应商提供的服务方案、人员等情况的服务优劣程度，以及服务承诺的可行性、完整性及服务承诺落实的保障措施。对服务质量、流程、响应时间、故障响应能力等合理性和可行性酌情打分。</w:t>
            </w:r>
          </w:p>
          <w:p w14:paraId="02D9A3DD">
            <w:pPr>
              <w:tabs>
                <w:tab w:val="left" w:pos="3679"/>
                <w:tab w:val="left" w:pos="8799"/>
              </w:tabs>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打分范围（5、4、3、2、1、0分）</w:t>
            </w:r>
          </w:p>
          <w:p w14:paraId="2C7A6FD8">
            <w:pPr>
              <w:tabs>
                <w:tab w:val="left" w:pos="3679"/>
                <w:tab w:val="left" w:pos="8799"/>
              </w:tabs>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2）供应商提供的后续技术支持及维护能力情况，根据方案可行程度、措施得力等能否满足要求酌情打分。</w:t>
            </w:r>
          </w:p>
          <w:p w14:paraId="5885577B">
            <w:pPr>
              <w:tabs>
                <w:tab w:val="left" w:pos="3679"/>
                <w:tab w:val="left" w:pos="8799"/>
              </w:tabs>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打分范围（3、2、1、0分）</w:t>
            </w:r>
          </w:p>
          <w:p w14:paraId="3823BA28">
            <w:pPr>
              <w:tabs>
                <w:tab w:val="left" w:pos="3679"/>
                <w:tab w:val="left" w:pos="8799"/>
              </w:tabs>
              <w:adjustRightInd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3）培训方案：根据客户的具体情况制定详细的培训方案，根据方案可行程度、措施得力等能否满足要求酌情打分。</w:t>
            </w:r>
          </w:p>
          <w:p w14:paraId="07F8C6E7">
            <w:pPr>
              <w:tabs>
                <w:tab w:val="left" w:pos="3679"/>
                <w:tab w:val="left" w:pos="8799"/>
              </w:tabs>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打分范围（2、1、0分）</w:t>
            </w:r>
          </w:p>
        </w:tc>
        <w:tc>
          <w:tcPr>
            <w:tcW w:w="807" w:type="dxa"/>
            <w:vAlign w:val="center"/>
          </w:tcPr>
          <w:p w14:paraId="6DA70506">
            <w:pPr>
              <w:tabs>
                <w:tab w:val="left" w:pos="3679"/>
                <w:tab w:val="left" w:pos="8799"/>
              </w:tabs>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r>
      <w:tr w14:paraId="5341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933" w:type="dxa"/>
            <w:vMerge w:val="restart"/>
            <w:vAlign w:val="center"/>
          </w:tcPr>
          <w:p w14:paraId="513309BD">
            <w:pPr>
              <w:tabs>
                <w:tab w:val="left" w:pos="3679"/>
                <w:tab w:val="left" w:pos="8799"/>
              </w:tabs>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501" w:type="dxa"/>
            <w:vMerge w:val="restart"/>
            <w:vAlign w:val="center"/>
          </w:tcPr>
          <w:p w14:paraId="3C4C3C19">
            <w:pPr>
              <w:tabs>
                <w:tab w:val="left" w:pos="3679"/>
                <w:tab w:val="left" w:pos="8799"/>
              </w:tabs>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应急预案</w:t>
            </w:r>
          </w:p>
        </w:tc>
        <w:tc>
          <w:tcPr>
            <w:tcW w:w="6589" w:type="dxa"/>
            <w:vAlign w:val="center"/>
          </w:tcPr>
          <w:p w14:paraId="1DB762F2">
            <w:pPr>
              <w:tabs>
                <w:tab w:val="left" w:pos="3679"/>
                <w:tab w:val="left" w:pos="8799"/>
              </w:tabs>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对在服务期间的应急方案设计是否合理，是否充分考虑用户实际使用需求，对维保服务期间可能遇到的问题及其应对措施的考虑情况，方案在确保阶段性任务实现的同时，是否统筹考虑了总体目标的实现。</w:t>
            </w:r>
            <w:r>
              <w:rPr>
                <w:rFonts w:hint="eastAsia" w:ascii="新宋体" w:hAnsi="新宋体" w:eastAsia="新宋体" w:cs="新宋体"/>
                <w:color w:val="auto"/>
                <w:sz w:val="22"/>
                <w:szCs w:val="22"/>
                <w:highlight w:val="none"/>
                <w:lang w:val="en-US" w:eastAsia="zh-CN"/>
              </w:rPr>
              <w:t>打分范围（5、4、3、2、1、0分）</w:t>
            </w:r>
          </w:p>
        </w:tc>
        <w:tc>
          <w:tcPr>
            <w:tcW w:w="807" w:type="dxa"/>
            <w:vAlign w:val="center"/>
          </w:tcPr>
          <w:p w14:paraId="3717B5B6">
            <w:pPr>
              <w:tabs>
                <w:tab w:val="left" w:pos="3679"/>
                <w:tab w:val="left" w:pos="8799"/>
              </w:tabs>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r>
      <w:tr w14:paraId="7716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33" w:type="dxa"/>
            <w:vMerge w:val="continue"/>
            <w:vAlign w:val="center"/>
          </w:tcPr>
          <w:p w14:paraId="018F34BF">
            <w:pPr>
              <w:tabs>
                <w:tab w:val="left" w:pos="3679"/>
                <w:tab w:val="left" w:pos="8799"/>
              </w:tabs>
              <w:adjustRightInd w:val="0"/>
              <w:snapToGrid w:val="0"/>
              <w:spacing w:line="460" w:lineRule="exact"/>
              <w:jc w:val="center"/>
              <w:rPr>
                <w:rFonts w:ascii="新宋体" w:hAnsi="新宋体" w:eastAsia="新宋体" w:cs="新宋体"/>
                <w:color w:val="auto"/>
                <w:sz w:val="22"/>
                <w:szCs w:val="22"/>
                <w:highlight w:val="none"/>
              </w:rPr>
            </w:pPr>
          </w:p>
        </w:tc>
        <w:tc>
          <w:tcPr>
            <w:tcW w:w="1501" w:type="dxa"/>
            <w:vMerge w:val="continue"/>
            <w:vAlign w:val="center"/>
          </w:tcPr>
          <w:p w14:paraId="1E552DA7">
            <w:pPr>
              <w:tabs>
                <w:tab w:val="left" w:pos="3679"/>
                <w:tab w:val="left" w:pos="8799"/>
              </w:tabs>
              <w:adjustRightInd w:val="0"/>
              <w:snapToGrid w:val="0"/>
              <w:spacing w:line="460" w:lineRule="exact"/>
              <w:jc w:val="left"/>
              <w:rPr>
                <w:rFonts w:ascii="新宋体" w:hAnsi="新宋体" w:eastAsia="新宋体" w:cs="新宋体"/>
                <w:color w:val="auto"/>
                <w:sz w:val="22"/>
                <w:szCs w:val="22"/>
                <w:highlight w:val="none"/>
              </w:rPr>
            </w:pPr>
          </w:p>
        </w:tc>
        <w:tc>
          <w:tcPr>
            <w:tcW w:w="6589" w:type="dxa"/>
            <w:vAlign w:val="center"/>
          </w:tcPr>
          <w:p w14:paraId="6D63A8E5">
            <w:pPr>
              <w:tabs>
                <w:tab w:val="left" w:pos="3679"/>
                <w:tab w:val="left" w:pos="8799"/>
              </w:tabs>
              <w:adjustRightInd w:val="0"/>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服务期间对突发事件响应方案的组织和联系机制的合理性、有效性等质量进行评判。</w:t>
            </w:r>
            <w:r>
              <w:rPr>
                <w:rFonts w:hint="eastAsia" w:ascii="新宋体" w:hAnsi="新宋体" w:eastAsia="新宋体" w:cs="新宋体"/>
                <w:color w:val="auto"/>
                <w:sz w:val="22"/>
                <w:szCs w:val="22"/>
                <w:highlight w:val="none"/>
                <w:lang w:val="en-US" w:eastAsia="zh-CN"/>
              </w:rPr>
              <w:t>打分范围（5、4、3、2、1、0分）</w:t>
            </w:r>
          </w:p>
        </w:tc>
        <w:tc>
          <w:tcPr>
            <w:tcW w:w="807" w:type="dxa"/>
            <w:vAlign w:val="center"/>
          </w:tcPr>
          <w:p w14:paraId="56CC1C9B">
            <w:pPr>
              <w:tabs>
                <w:tab w:val="left" w:pos="3679"/>
                <w:tab w:val="left" w:pos="8799"/>
              </w:tabs>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r>
      <w:tr w14:paraId="413F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933" w:type="dxa"/>
            <w:vAlign w:val="center"/>
          </w:tcPr>
          <w:p w14:paraId="1EB8564E">
            <w:pPr>
              <w:tabs>
                <w:tab w:val="left" w:pos="3679"/>
                <w:tab w:val="left" w:pos="8799"/>
              </w:tabs>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501" w:type="dxa"/>
            <w:vAlign w:val="center"/>
          </w:tcPr>
          <w:p w14:paraId="41480297">
            <w:pPr>
              <w:tabs>
                <w:tab w:val="left" w:pos="3679"/>
                <w:tab w:val="left" w:pos="8799"/>
              </w:tabs>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设备投入情况</w:t>
            </w:r>
          </w:p>
        </w:tc>
        <w:tc>
          <w:tcPr>
            <w:tcW w:w="6589" w:type="dxa"/>
            <w:vAlign w:val="center"/>
          </w:tcPr>
          <w:p w14:paraId="01E2AF74">
            <w:pPr>
              <w:tabs>
                <w:tab w:val="left" w:pos="3679"/>
                <w:tab w:val="left" w:pos="8799"/>
              </w:tabs>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根据各供应商提供设备的优劣对比来打分，能够满足采购文件要求，根据其投标产品的性能、功能等技术参数。</w:t>
            </w:r>
            <w:r>
              <w:rPr>
                <w:rFonts w:hint="eastAsia" w:ascii="新宋体" w:hAnsi="新宋体" w:eastAsia="新宋体" w:cs="新宋体"/>
                <w:color w:val="auto"/>
                <w:sz w:val="22"/>
                <w:szCs w:val="22"/>
                <w:highlight w:val="none"/>
                <w:lang w:val="en-US" w:eastAsia="zh-CN"/>
              </w:rPr>
              <w:t>打分范围（3、2、1、0分）</w:t>
            </w:r>
          </w:p>
        </w:tc>
        <w:tc>
          <w:tcPr>
            <w:tcW w:w="807" w:type="dxa"/>
            <w:vAlign w:val="center"/>
          </w:tcPr>
          <w:p w14:paraId="7D61BDC7">
            <w:pPr>
              <w:tabs>
                <w:tab w:val="left" w:pos="3679"/>
                <w:tab w:val="left" w:pos="8799"/>
              </w:tabs>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r>
      <w:tr w14:paraId="0CE4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933" w:type="dxa"/>
            <w:vAlign w:val="center"/>
          </w:tcPr>
          <w:p w14:paraId="17DC6CB9">
            <w:pPr>
              <w:tabs>
                <w:tab w:val="left" w:pos="3679"/>
                <w:tab w:val="left" w:pos="8799"/>
              </w:tabs>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501" w:type="dxa"/>
            <w:vAlign w:val="center"/>
          </w:tcPr>
          <w:p w14:paraId="014DA4F8">
            <w:pPr>
              <w:tabs>
                <w:tab w:val="left" w:pos="3679"/>
                <w:tab w:val="left" w:pos="8799"/>
              </w:tabs>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备品备件投入情况</w:t>
            </w:r>
          </w:p>
        </w:tc>
        <w:tc>
          <w:tcPr>
            <w:tcW w:w="6589" w:type="dxa"/>
            <w:vAlign w:val="center"/>
          </w:tcPr>
          <w:p w14:paraId="16C93416">
            <w:pPr>
              <w:tabs>
                <w:tab w:val="left" w:pos="3679"/>
                <w:tab w:val="left" w:pos="8799"/>
              </w:tabs>
              <w:adjustRightInd w:val="0"/>
              <w:snapToGrid w:val="0"/>
              <w:spacing w:line="460" w:lineRule="exact"/>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供应商对投入的仓库、维护用工具设备、材料、机械等所列相关明细情况，按供应商提供本项目拟投入的装备及设施的明细程度、齐全度等酌情打分。</w:t>
            </w:r>
            <w:r>
              <w:rPr>
                <w:rFonts w:hint="eastAsia" w:ascii="新宋体" w:hAnsi="新宋体" w:eastAsia="新宋体" w:cs="新宋体"/>
                <w:color w:val="auto"/>
                <w:sz w:val="22"/>
                <w:szCs w:val="22"/>
                <w:highlight w:val="none"/>
                <w:lang w:val="en-US" w:eastAsia="zh-CN"/>
              </w:rPr>
              <w:t>打分范围（5、4、3、2、1、0分）</w:t>
            </w:r>
          </w:p>
        </w:tc>
        <w:tc>
          <w:tcPr>
            <w:tcW w:w="807" w:type="dxa"/>
            <w:vAlign w:val="center"/>
          </w:tcPr>
          <w:p w14:paraId="3BEB739F">
            <w:pPr>
              <w:tabs>
                <w:tab w:val="left" w:pos="3679"/>
                <w:tab w:val="left" w:pos="8799"/>
              </w:tabs>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r>
      <w:tr w14:paraId="1987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933" w:type="dxa"/>
            <w:vAlign w:val="center"/>
          </w:tcPr>
          <w:p w14:paraId="4CFC003D">
            <w:pPr>
              <w:tabs>
                <w:tab w:val="left" w:pos="3679"/>
                <w:tab w:val="left" w:pos="8799"/>
              </w:tabs>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1501" w:type="dxa"/>
            <w:vAlign w:val="center"/>
          </w:tcPr>
          <w:p w14:paraId="397B4FCD">
            <w:pPr>
              <w:tabs>
                <w:tab w:val="left" w:pos="3679"/>
                <w:tab w:val="left" w:pos="8799"/>
              </w:tabs>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服务需求满足程度</w:t>
            </w:r>
          </w:p>
        </w:tc>
        <w:tc>
          <w:tcPr>
            <w:tcW w:w="6589" w:type="dxa"/>
            <w:vAlign w:val="center"/>
          </w:tcPr>
          <w:p w14:paraId="6B697D15">
            <w:pPr>
              <w:tabs>
                <w:tab w:val="left" w:pos="3679"/>
                <w:tab w:val="left" w:pos="8799"/>
              </w:tabs>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供应商对服务需求中满足程度，所有指标均满足的得基本分35分，其中带“</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”有负偏离或未响应的，每项扣15分，不带“</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”有负偏离或未响应的，每项扣1分，扣完为止。</w:t>
            </w:r>
          </w:p>
          <w:p w14:paraId="760A7EF2">
            <w:pPr>
              <w:tabs>
                <w:tab w:val="left" w:pos="3679"/>
                <w:tab w:val="left" w:pos="8799"/>
              </w:tabs>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注：以供应商“技术响应表”为依据，服务需求中要求提供证明材料的如没有提供视为负偏离。</w:t>
            </w:r>
          </w:p>
        </w:tc>
        <w:tc>
          <w:tcPr>
            <w:tcW w:w="807" w:type="dxa"/>
            <w:vAlign w:val="center"/>
          </w:tcPr>
          <w:p w14:paraId="643A4F1D">
            <w:pPr>
              <w:tabs>
                <w:tab w:val="left" w:pos="3679"/>
                <w:tab w:val="left" w:pos="8799"/>
              </w:tabs>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35</w:t>
            </w:r>
          </w:p>
        </w:tc>
      </w:tr>
      <w:tr w14:paraId="6240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33" w:type="dxa"/>
            <w:vAlign w:val="center"/>
          </w:tcPr>
          <w:p w14:paraId="3155574B">
            <w:pPr>
              <w:tabs>
                <w:tab w:val="left" w:pos="3679"/>
                <w:tab w:val="left" w:pos="8799"/>
              </w:tabs>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1501" w:type="dxa"/>
            <w:vAlign w:val="center"/>
          </w:tcPr>
          <w:p w14:paraId="52A6D11D">
            <w:pPr>
              <w:tabs>
                <w:tab w:val="left" w:pos="3679"/>
                <w:tab w:val="left" w:pos="8799"/>
              </w:tabs>
              <w:adjustRightInd w:val="0"/>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业绩</w:t>
            </w:r>
          </w:p>
        </w:tc>
        <w:tc>
          <w:tcPr>
            <w:tcW w:w="6589" w:type="dxa"/>
            <w:vAlign w:val="center"/>
          </w:tcPr>
          <w:p w14:paraId="3AD15D86">
            <w:pPr>
              <w:tabs>
                <w:tab w:val="left" w:pos="3679"/>
                <w:tab w:val="left" w:pos="8799"/>
              </w:tabs>
              <w:adjustRightInd w:val="0"/>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供应商同类项目实施业绩，以“供应商同类项目实施情况一览表”及对应的采购合同为依据，每份合同计1分，最高得2分，不提供合同不得分。</w:t>
            </w:r>
          </w:p>
        </w:tc>
        <w:tc>
          <w:tcPr>
            <w:tcW w:w="807" w:type="dxa"/>
            <w:vAlign w:val="center"/>
          </w:tcPr>
          <w:p w14:paraId="449659A9">
            <w:pPr>
              <w:tabs>
                <w:tab w:val="left" w:pos="3679"/>
                <w:tab w:val="left" w:pos="8799"/>
              </w:tabs>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r>
    </w:tbl>
    <w:p w14:paraId="07931219">
      <w:pPr>
        <w:pStyle w:val="11"/>
        <w:spacing w:line="460" w:lineRule="exact"/>
        <w:ind w:left="0"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2、报价评分（20分）（权值20%）；</w:t>
      </w:r>
    </w:p>
    <w:p w14:paraId="354A536C">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满足招标文件要求且投标报价最低的投标报价为评标基准价，其余投标人投标报价与该基准价对比，计算出商务报价评分值（保留小数2位）：</w:t>
      </w:r>
    </w:p>
    <w:p w14:paraId="254A54FC">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1）有效投标人的投标报价等于评标基准价时其报价分为满分；</w:t>
      </w:r>
    </w:p>
    <w:p w14:paraId="323C6C17">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2）其他投标人的价格分按以下公式计算：</w:t>
      </w:r>
    </w:p>
    <w:p w14:paraId="57A89BBA">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投标报价得分=（评分基准价/投标人投标报价）× 价格权值 ×100（保留小数2位）</w:t>
      </w:r>
    </w:p>
    <w:p w14:paraId="3ABE9782">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3、有效投标人的综合得分为技术分和商务（报价）分的总和。</w:t>
      </w:r>
    </w:p>
    <w:p w14:paraId="0CA0F459">
      <w:pPr>
        <w:spacing w:line="460" w:lineRule="exact"/>
        <w:ind w:firstLine="539" w:firstLineChars="245"/>
        <w:rPr>
          <w:rFonts w:ascii="宋体" w:hAnsi="宋体" w:cs="宋体"/>
          <w:color w:val="auto"/>
          <w:sz w:val="22"/>
          <w:szCs w:val="22"/>
          <w:highlight w:val="none"/>
          <w:lang w:val="zh-CN"/>
        </w:rPr>
      </w:pPr>
      <w:r>
        <w:rPr>
          <w:rFonts w:hint="eastAsia" w:ascii="新宋体" w:hAnsi="新宋体" w:eastAsia="新宋体"/>
          <w:color w:val="auto"/>
          <w:sz w:val="22"/>
          <w:szCs w:val="22"/>
          <w:highlight w:val="none"/>
          <w:lang w:val="zh-CN"/>
        </w:rPr>
        <w:t>根据</w:t>
      </w:r>
      <w:r>
        <w:rPr>
          <w:rFonts w:hint="eastAsia" w:ascii="新宋体" w:hAnsi="新宋体" w:eastAsia="新宋体" w:cs="新宋体"/>
          <w:color w:val="auto"/>
          <w:kern w:val="0"/>
          <w:sz w:val="22"/>
          <w:szCs w:val="22"/>
          <w:highlight w:val="none"/>
        </w:rPr>
        <w:t>《政府采购促进中小企业发展管理办法》（财库〔2020〕46号）、《财政部关于进一步加大政府采购支持中小企业力度的通知》（财库〔2022〕19号）、《浙江省财政厅关于进一步加大政府采购支持中小企业力度助力扎实稳住经济的通知》（浙财采监〔2022〕8号）有关规定</w:t>
      </w:r>
      <w:r>
        <w:rPr>
          <w:rFonts w:hint="eastAsia" w:ascii="新宋体" w:hAnsi="新宋体" w:eastAsia="新宋体"/>
          <w:color w:val="auto"/>
          <w:sz w:val="22"/>
          <w:szCs w:val="22"/>
          <w:highlight w:val="none"/>
          <w:lang w:val="zh-CN"/>
        </w:rPr>
        <w:t>，对投标产品为小型或微型企业生产的</w:t>
      </w:r>
      <w:r>
        <w:rPr>
          <w:rFonts w:hint="eastAsia" w:ascii="新宋体" w:hAnsi="新宋体" w:eastAsia="新宋体"/>
          <w:color w:val="auto"/>
          <w:sz w:val="22"/>
          <w:szCs w:val="22"/>
          <w:highlight w:val="none"/>
        </w:rPr>
        <w:t>或工程、服务由小型或微型企业承建、承接的</w:t>
      </w:r>
      <w:r>
        <w:rPr>
          <w:rFonts w:hint="eastAsia" w:ascii="新宋体" w:hAnsi="新宋体" w:eastAsia="新宋体"/>
          <w:color w:val="auto"/>
          <w:sz w:val="22"/>
          <w:szCs w:val="22"/>
          <w:highlight w:val="none"/>
          <w:lang w:val="zh-CN"/>
        </w:rPr>
        <w:t>，</w:t>
      </w:r>
      <w:r>
        <w:rPr>
          <w:rFonts w:hint="eastAsia" w:ascii="新宋体" w:hAnsi="新宋体" w:eastAsia="新宋体"/>
          <w:b/>
          <w:bCs/>
          <w:color w:val="auto"/>
          <w:sz w:val="22"/>
          <w:szCs w:val="22"/>
          <w:highlight w:val="none"/>
          <w:u w:val="single"/>
          <w:lang w:val="zh-CN"/>
        </w:rPr>
        <w:t>价格给予</w:t>
      </w:r>
      <w:r>
        <w:rPr>
          <w:rFonts w:hint="eastAsia" w:ascii="新宋体" w:hAnsi="新宋体" w:eastAsia="新宋体"/>
          <w:b/>
          <w:bCs/>
          <w:color w:val="auto"/>
          <w:sz w:val="22"/>
          <w:szCs w:val="22"/>
          <w:highlight w:val="none"/>
          <w:u w:val="single"/>
          <w:lang w:val="en-US" w:eastAsia="zh-CN"/>
        </w:rPr>
        <w:t>1</w:t>
      </w:r>
      <w:r>
        <w:rPr>
          <w:rFonts w:hint="eastAsia" w:ascii="新宋体" w:hAnsi="新宋体" w:eastAsia="新宋体"/>
          <w:b/>
          <w:bCs/>
          <w:color w:val="auto"/>
          <w:sz w:val="22"/>
          <w:szCs w:val="22"/>
          <w:highlight w:val="none"/>
          <w:u w:val="single"/>
        </w:rPr>
        <w:t>0</w:t>
      </w:r>
      <w:r>
        <w:rPr>
          <w:rFonts w:hint="eastAsia" w:ascii="新宋体" w:hAnsi="新宋体" w:eastAsia="新宋体"/>
          <w:b/>
          <w:bCs/>
          <w:color w:val="auto"/>
          <w:sz w:val="22"/>
          <w:szCs w:val="22"/>
          <w:highlight w:val="none"/>
          <w:u w:val="single"/>
          <w:lang w:val="zh-CN"/>
        </w:rPr>
        <w:t>%的扣除</w:t>
      </w:r>
      <w:r>
        <w:rPr>
          <w:rFonts w:hint="eastAsia" w:ascii="新宋体" w:hAnsi="新宋体" w:eastAsia="新宋体"/>
          <w:color w:val="auto"/>
          <w:sz w:val="22"/>
          <w:szCs w:val="22"/>
          <w:highlight w:val="none"/>
          <w:lang w:val="zh-CN"/>
        </w:rPr>
        <w:t>，用扣除后的价格参与价格评分。</w:t>
      </w:r>
    </w:p>
    <w:p w14:paraId="04E630CD">
      <w:pPr>
        <w:spacing w:line="460" w:lineRule="exact"/>
        <w:ind w:firstLine="541" w:firstLineChars="245"/>
        <w:rPr>
          <w:rFonts w:ascii="宋体" w:hAnsi="宋体" w:cs="宋体"/>
          <w:color w:val="auto"/>
          <w:sz w:val="22"/>
          <w:szCs w:val="22"/>
          <w:highlight w:val="none"/>
        </w:rPr>
      </w:pPr>
      <w:r>
        <w:rPr>
          <w:rFonts w:hint="eastAsia" w:ascii="宋体" w:hAnsi="宋体" w:cs="宋体"/>
          <w:b/>
          <w:bCs/>
          <w:color w:val="auto"/>
          <w:sz w:val="22"/>
          <w:szCs w:val="22"/>
          <w:highlight w:val="none"/>
          <w:lang w:val="zh-CN"/>
        </w:rPr>
        <w:t>监狱企业视同小微企业，其产品参加本项目投标的，享受小微企业同等的价格扣除。</w:t>
      </w:r>
    </w:p>
    <w:p w14:paraId="477A9953">
      <w:pPr>
        <w:spacing w:line="460" w:lineRule="exact"/>
        <w:rPr>
          <w:rFonts w:ascii="宋体" w:hAnsi="宋体" w:cs="宋体"/>
          <w:b/>
          <w:bCs/>
          <w:color w:val="auto"/>
          <w:sz w:val="22"/>
          <w:szCs w:val="22"/>
          <w:highlight w:val="none"/>
          <w:u w:val="single"/>
        </w:rPr>
      </w:pPr>
      <w:r>
        <w:rPr>
          <w:rFonts w:hint="eastAsia" w:ascii="宋体" w:hAnsi="宋体" w:cs="宋体"/>
          <w:b/>
          <w:color w:val="auto"/>
          <w:sz w:val="22"/>
          <w:szCs w:val="22"/>
          <w:highlight w:val="none"/>
        </w:rPr>
        <w:t xml:space="preserve">   </w:t>
      </w:r>
      <w:r>
        <w:rPr>
          <w:rFonts w:hint="eastAsia" w:ascii="宋体" w:hAnsi="宋体" w:cs="宋体"/>
          <w:b/>
          <w:bCs/>
          <w:color w:val="auto"/>
          <w:sz w:val="22"/>
          <w:szCs w:val="22"/>
          <w:highlight w:val="none"/>
          <w:u w:val="singl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E8CA22">
      <w:pPr>
        <w:spacing w:line="460" w:lineRule="exact"/>
        <w:ind w:firstLine="541" w:firstLineChars="245"/>
        <w:outlineLvl w:val="2"/>
        <w:rPr>
          <w:rFonts w:ascii="宋体" w:hAnsi="宋体" w:cs="宋体"/>
          <w:b/>
          <w:color w:val="auto"/>
          <w:sz w:val="22"/>
          <w:szCs w:val="22"/>
          <w:highlight w:val="none"/>
        </w:rPr>
      </w:pPr>
      <w:bookmarkStart w:id="84" w:name="_Toc2482"/>
      <w:bookmarkStart w:id="85" w:name="_Toc4727"/>
      <w:r>
        <w:rPr>
          <w:rFonts w:hint="eastAsia" w:ascii="宋体" w:hAnsi="宋体" w:cs="宋体"/>
          <w:b/>
          <w:color w:val="auto"/>
          <w:sz w:val="22"/>
          <w:szCs w:val="22"/>
          <w:highlight w:val="none"/>
        </w:rPr>
        <w:t>六、定标办法</w:t>
      </w:r>
      <w:bookmarkEnd w:id="84"/>
      <w:bookmarkEnd w:id="85"/>
    </w:p>
    <w:p w14:paraId="0ED16802">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确定中标候选人</w:t>
      </w:r>
    </w:p>
    <w:p w14:paraId="4B298331">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1.1由评标委员会确定中标候选人。</w:t>
      </w:r>
    </w:p>
    <w:p w14:paraId="77022A07">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015B440A">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2、确定中标人</w:t>
      </w:r>
    </w:p>
    <w:p w14:paraId="0A783E70">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752D6435">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14:paraId="72423950">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中标人确定后，招标人将在指定媒体公告中标结果，招标人向中标人发出中标通知书。</w:t>
      </w:r>
    </w:p>
    <w:p w14:paraId="7711CA43">
      <w:pPr>
        <w:spacing w:line="460" w:lineRule="exact"/>
        <w:ind w:firstLine="541" w:firstLineChars="245"/>
        <w:outlineLvl w:val="2"/>
        <w:rPr>
          <w:rFonts w:ascii="宋体" w:hAnsi="宋体" w:cs="宋体"/>
          <w:b/>
          <w:color w:val="auto"/>
          <w:sz w:val="22"/>
          <w:szCs w:val="22"/>
          <w:highlight w:val="none"/>
        </w:rPr>
      </w:pPr>
      <w:bookmarkStart w:id="86" w:name="_Toc17587"/>
      <w:bookmarkStart w:id="87" w:name="_Toc3629"/>
      <w:r>
        <w:rPr>
          <w:rFonts w:hint="eastAsia" w:ascii="宋体" w:hAnsi="宋体" w:cs="宋体"/>
          <w:b/>
          <w:color w:val="auto"/>
          <w:sz w:val="22"/>
          <w:szCs w:val="22"/>
          <w:highlight w:val="none"/>
        </w:rPr>
        <w:t>七、投标人义务</w:t>
      </w:r>
      <w:bookmarkEnd w:id="86"/>
      <w:bookmarkEnd w:id="87"/>
    </w:p>
    <w:p w14:paraId="4CB0F1A3">
      <w:pPr>
        <w:spacing w:line="460" w:lineRule="exact"/>
        <w:ind w:firstLine="539" w:firstLineChars="245"/>
        <w:rPr>
          <w:color w:val="auto"/>
          <w:highlight w:val="none"/>
        </w:rPr>
      </w:pPr>
      <w:r>
        <w:rPr>
          <w:rFonts w:hint="eastAsia" w:ascii="宋体" w:hAnsi="宋体" w:cs="宋体"/>
          <w:color w:val="auto"/>
          <w:sz w:val="22"/>
          <w:szCs w:val="22"/>
          <w:highlight w:val="none"/>
        </w:rPr>
        <w:t>投标人应随时接受评标委员会的询标，解答包括有关的商务、技术问题等。评标结束，所有评标资料存招标机构备查。</w:t>
      </w:r>
    </w:p>
    <w:sectPr>
      <w:headerReference r:id="rId5" w:type="default"/>
      <w:footerReference r:id="rId6"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2A58F">
    <w:pPr>
      <w:pStyle w:val="16"/>
      <w:framePr w:wrap="around" w:vAnchor="text" w:hAnchor="margin" w:xAlign="center" w:y="1"/>
      <w:rPr>
        <w:rStyle w:val="27"/>
      </w:rPr>
    </w:pPr>
    <w:r>
      <w:fldChar w:fldCharType="begin"/>
    </w:r>
    <w:r>
      <w:rPr>
        <w:rStyle w:val="27"/>
      </w:rPr>
      <w:instrText xml:space="preserve">PAGE  </w:instrText>
    </w:r>
    <w:r>
      <w:fldChar w:fldCharType="separate"/>
    </w:r>
    <w:r>
      <w:rPr>
        <w:rStyle w:val="27"/>
      </w:rPr>
      <w:t>36</w:t>
    </w:r>
    <w:r>
      <w:fldChar w:fldCharType="end"/>
    </w:r>
  </w:p>
  <w:p w14:paraId="5EF5FB7C">
    <w:pPr>
      <w:pStyle w:val="16"/>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88992">
    <w:pPr>
      <w:pStyle w:val="16"/>
      <w:framePr w:wrap="around" w:vAnchor="text" w:hAnchor="margin" w:xAlign="center" w:y="1"/>
      <w:rPr>
        <w:rStyle w:val="27"/>
      </w:rPr>
    </w:pPr>
    <w:r>
      <w:fldChar w:fldCharType="begin"/>
    </w:r>
    <w:r>
      <w:rPr>
        <w:rStyle w:val="27"/>
      </w:rPr>
      <w:instrText xml:space="preserve">PAGE  </w:instrText>
    </w:r>
    <w:r>
      <w:fldChar w:fldCharType="separate"/>
    </w:r>
    <w:r>
      <w:rPr>
        <w:rStyle w:val="27"/>
      </w:rPr>
      <w:t>50</w:t>
    </w:r>
    <w:r>
      <w:fldChar w:fldCharType="end"/>
    </w:r>
  </w:p>
  <w:p w14:paraId="2CF37B1F">
    <w:pPr>
      <w:pStyle w:val="16"/>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06D24">
    <w:pPr>
      <w:pStyle w:val="17"/>
      <w:pBdr>
        <w:bottom w:val="single" w:color="auto" w:sz="6" w:space="0"/>
      </w:pBdr>
      <w:jc w:val="both"/>
      <w:rPr>
        <w:rFonts w:hint="eastAsia" w:eastAsia="宋体"/>
        <w:lang w:eastAsia="zh-CN"/>
      </w:rPr>
    </w:pPr>
    <w:r>
      <w:rPr>
        <w:rFonts w:hint="eastAsia"/>
      </w:rPr>
      <w:t>温州市人民医院招标文件                                             项目编号：</w:t>
    </w:r>
    <w:r>
      <w:rPr>
        <w:rFonts w:hint="eastAsia"/>
        <w:lang w:eastAsia="zh-CN"/>
      </w:rPr>
      <w:t>WZLCZB（Z）-2025-05002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CED0A">
    <w:pPr>
      <w:pStyle w:val="17"/>
      <w:pBdr>
        <w:bottom w:val="single" w:color="auto" w:sz="6" w:space="0"/>
      </w:pBdr>
      <w:jc w:val="both"/>
      <w:rPr>
        <w:rFonts w:hint="eastAsia" w:eastAsia="宋体"/>
        <w:lang w:eastAsia="zh-CN"/>
      </w:rPr>
    </w:pPr>
    <w:r>
      <w:rPr>
        <w:rFonts w:hint="eastAsia"/>
      </w:rPr>
      <w:t>温州市人民医院招标文件                                             项目编号：</w:t>
    </w:r>
    <w:r>
      <w:rPr>
        <w:rFonts w:hint="eastAsia"/>
        <w:lang w:eastAsia="zh-CN"/>
      </w:rPr>
      <w:t>WZLCZB（Z）-2025-05002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9EC89"/>
    <w:multiLevelType w:val="singleLevel"/>
    <w:tmpl w:val="BAF9EC89"/>
    <w:lvl w:ilvl="0" w:tentative="0">
      <w:start w:val="1"/>
      <w:numFmt w:val="chineseCounting"/>
      <w:suff w:val="nothing"/>
      <w:lvlText w:val="（%1）"/>
      <w:lvlJc w:val="left"/>
      <w:rPr>
        <w:rFonts w:hint="eastAsia"/>
      </w:rPr>
    </w:lvl>
  </w:abstractNum>
  <w:abstractNum w:abstractNumId="1">
    <w:nsid w:val="03894FE0"/>
    <w:multiLevelType w:val="multilevel"/>
    <w:tmpl w:val="03894FE0"/>
    <w:lvl w:ilvl="0" w:tentative="0">
      <w:start w:val="1"/>
      <w:numFmt w:val="decimal"/>
      <w:lvlText w:val="%1、"/>
      <w:lvlJc w:val="left"/>
      <w:pPr>
        <w:ind w:left="916" w:hanging="375"/>
      </w:pPr>
      <w:rPr>
        <w:rFonts w:hint="default"/>
      </w:rPr>
    </w:lvl>
    <w:lvl w:ilvl="1" w:tentative="0">
      <w:start w:val="1"/>
      <w:numFmt w:val="lowerLetter"/>
      <w:lvlText w:val="%2)"/>
      <w:lvlJc w:val="left"/>
      <w:pPr>
        <w:ind w:left="1381" w:hanging="420"/>
      </w:pPr>
    </w:lvl>
    <w:lvl w:ilvl="2" w:tentative="0">
      <w:start w:val="1"/>
      <w:numFmt w:val="lowerRoman"/>
      <w:lvlText w:val="%3."/>
      <w:lvlJc w:val="right"/>
      <w:pPr>
        <w:ind w:left="1801" w:hanging="420"/>
      </w:pPr>
    </w:lvl>
    <w:lvl w:ilvl="3" w:tentative="0">
      <w:start w:val="1"/>
      <w:numFmt w:val="decimal"/>
      <w:lvlText w:val="%4."/>
      <w:lvlJc w:val="left"/>
      <w:pPr>
        <w:ind w:left="2221" w:hanging="420"/>
      </w:pPr>
    </w:lvl>
    <w:lvl w:ilvl="4" w:tentative="0">
      <w:start w:val="1"/>
      <w:numFmt w:val="lowerLetter"/>
      <w:lvlText w:val="%5)"/>
      <w:lvlJc w:val="left"/>
      <w:pPr>
        <w:ind w:left="2641" w:hanging="420"/>
      </w:pPr>
    </w:lvl>
    <w:lvl w:ilvl="5" w:tentative="0">
      <w:start w:val="1"/>
      <w:numFmt w:val="lowerRoman"/>
      <w:lvlText w:val="%6."/>
      <w:lvlJc w:val="right"/>
      <w:pPr>
        <w:ind w:left="3061" w:hanging="420"/>
      </w:pPr>
    </w:lvl>
    <w:lvl w:ilvl="6" w:tentative="0">
      <w:start w:val="1"/>
      <w:numFmt w:val="decimal"/>
      <w:lvlText w:val="%7."/>
      <w:lvlJc w:val="left"/>
      <w:pPr>
        <w:ind w:left="3481" w:hanging="420"/>
      </w:pPr>
    </w:lvl>
    <w:lvl w:ilvl="7" w:tentative="0">
      <w:start w:val="1"/>
      <w:numFmt w:val="lowerLetter"/>
      <w:lvlText w:val="%8)"/>
      <w:lvlJc w:val="left"/>
      <w:pPr>
        <w:ind w:left="3901" w:hanging="420"/>
      </w:pPr>
    </w:lvl>
    <w:lvl w:ilvl="8" w:tentative="0">
      <w:start w:val="1"/>
      <w:numFmt w:val="lowerRoman"/>
      <w:lvlText w:val="%9."/>
      <w:lvlJc w:val="right"/>
      <w:pPr>
        <w:ind w:left="4321" w:hanging="420"/>
      </w:pPr>
    </w:lvl>
  </w:abstractNum>
  <w:abstractNum w:abstractNumId="2">
    <w:nsid w:val="52D7A3B6"/>
    <w:multiLevelType w:val="singleLevel"/>
    <w:tmpl w:val="52D7A3B6"/>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mNGMwYWVmN2Y4MGJhODAzN2I1ZTQ0MGE3NWFjNjEifQ=="/>
  </w:docVars>
  <w:rsids>
    <w:rsidRoot w:val="312B272B"/>
    <w:rsid w:val="0004034F"/>
    <w:rsid w:val="00042872"/>
    <w:rsid w:val="000828BF"/>
    <w:rsid w:val="00091069"/>
    <w:rsid w:val="00093B17"/>
    <w:rsid w:val="000A5F2E"/>
    <w:rsid w:val="000B0D70"/>
    <w:rsid w:val="00107F92"/>
    <w:rsid w:val="001218D1"/>
    <w:rsid w:val="00121F72"/>
    <w:rsid w:val="001412B1"/>
    <w:rsid w:val="00142119"/>
    <w:rsid w:val="00150D43"/>
    <w:rsid w:val="00155BE2"/>
    <w:rsid w:val="00205C3A"/>
    <w:rsid w:val="0023671D"/>
    <w:rsid w:val="00276F57"/>
    <w:rsid w:val="002829DE"/>
    <w:rsid w:val="00284A4A"/>
    <w:rsid w:val="00290C27"/>
    <w:rsid w:val="002B25F9"/>
    <w:rsid w:val="002D220F"/>
    <w:rsid w:val="002F5A75"/>
    <w:rsid w:val="00313605"/>
    <w:rsid w:val="0032348A"/>
    <w:rsid w:val="0032379C"/>
    <w:rsid w:val="00367563"/>
    <w:rsid w:val="003C232B"/>
    <w:rsid w:val="003D58C4"/>
    <w:rsid w:val="004044B8"/>
    <w:rsid w:val="0043411D"/>
    <w:rsid w:val="004420CD"/>
    <w:rsid w:val="00492F63"/>
    <w:rsid w:val="00497948"/>
    <w:rsid w:val="004C6C50"/>
    <w:rsid w:val="004E616D"/>
    <w:rsid w:val="004F06C0"/>
    <w:rsid w:val="004F4952"/>
    <w:rsid w:val="004F4FA3"/>
    <w:rsid w:val="005605A7"/>
    <w:rsid w:val="005724AF"/>
    <w:rsid w:val="00576D8F"/>
    <w:rsid w:val="00595FD9"/>
    <w:rsid w:val="005B653A"/>
    <w:rsid w:val="005D55E6"/>
    <w:rsid w:val="005E2F99"/>
    <w:rsid w:val="005E4DAF"/>
    <w:rsid w:val="005E5B4D"/>
    <w:rsid w:val="00616188"/>
    <w:rsid w:val="00687457"/>
    <w:rsid w:val="006A5343"/>
    <w:rsid w:val="006E064C"/>
    <w:rsid w:val="0070202A"/>
    <w:rsid w:val="00765A06"/>
    <w:rsid w:val="007773BA"/>
    <w:rsid w:val="00782A40"/>
    <w:rsid w:val="00792385"/>
    <w:rsid w:val="007A16A3"/>
    <w:rsid w:val="007A3C97"/>
    <w:rsid w:val="007B50E9"/>
    <w:rsid w:val="007D4898"/>
    <w:rsid w:val="00807D62"/>
    <w:rsid w:val="00832E15"/>
    <w:rsid w:val="008361BF"/>
    <w:rsid w:val="008A209F"/>
    <w:rsid w:val="008A3514"/>
    <w:rsid w:val="008E1CB1"/>
    <w:rsid w:val="008F3ECA"/>
    <w:rsid w:val="00926BE7"/>
    <w:rsid w:val="009349A3"/>
    <w:rsid w:val="00956379"/>
    <w:rsid w:val="009632DF"/>
    <w:rsid w:val="00972D59"/>
    <w:rsid w:val="009955C8"/>
    <w:rsid w:val="009A7329"/>
    <w:rsid w:val="009D309D"/>
    <w:rsid w:val="009E1E51"/>
    <w:rsid w:val="009E2F8F"/>
    <w:rsid w:val="009E5327"/>
    <w:rsid w:val="00A0106B"/>
    <w:rsid w:val="00A44C81"/>
    <w:rsid w:val="00A4569B"/>
    <w:rsid w:val="00A86994"/>
    <w:rsid w:val="00AE1B67"/>
    <w:rsid w:val="00AE4963"/>
    <w:rsid w:val="00AF3685"/>
    <w:rsid w:val="00B028EA"/>
    <w:rsid w:val="00B12AC0"/>
    <w:rsid w:val="00B2540E"/>
    <w:rsid w:val="00B63F4E"/>
    <w:rsid w:val="00B704D6"/>
    <w:rsid w:val="00B94C9D"/>
    <w:rsid w:val="00B95946"/>
    <w:rsid w:val="00B964A2"/>
    <w:rsid w:val="00BB60DA"/>
    <w:rsid w:val="00BB7085"/>
    <w:rsid w:val="00BC476E"/>
    <w:rsid w:val="00BC75FE"/>
    <w:rsid w:val="00BD1B88"/>
    <w:rsid w:val="00BD552C"/>
    <w:rsid w:val="00BD5BDA"/>
    <w:rsid w:val="00C27A4E"/>
    <w:rsid w:val="00C32A5A"/>
    <w:rsid w:val="00C81B39"/>
    <w:rsid w:val="00CB595F"/>
    <w:rsid w:val="00CB5CC9"/>
    <w:rsid w:val="00CB61EC"/>
    <w:rsid w:val="00CF07A7"/>
    <w:rsid w:val="00CF6249"/>
    <w:rsid w:val="00D1154C"/>
    <w:rsid w:val="00D82510"/>
    <w:rsid w:val="00DA4539"/>
    <w:rsid w:val="00DF6462"/>
    <w:rsid w:val="00E013D7"/>
    <w:rsid w:val="00E040DE"/>
    <w:rsid w:val="00E450DE"/>
    <w:rsid w:val="00E518EB"/>
    <w:rsid w:val="00E55A9F"/>
    <w:rsid w:val="00E677DE"/>
    <w:rsid w:val="00EB790C"/>
    <w:rsid w:val="00F06771"/>
    <w:rsid w:val="00F1548F"/>
    <w:rsid w:val="00F37415"/>
    <w:rsid w:val="00F420D4"/>
    <w:rsid w:val="00F55416"/>
    <w:rsid w:val="00FD6E66"/>
    <w:rsid w:val="00FE549A"/>
    <w:rsid w:val="02FA7C2A"/>
    <w:rsid w:val="03D913A3"/>
    <w:rsid w:val="04071455"/>
    <w:rsid w:val="04420644"/>
    <w:rsid w:val="04822175"/>
    <w:rsid w:val="04AE6738"/>
    <w:rsid w:val="04BF3ADE"/>
    <w:rsid w:val="04C27A78"/>
    <w:rsid w:val="04F73D2B"/>
    <w:rsid w:val="065C6A51"/>
    <w:rsid w:val="06ED120D"/>
    <w:rsid w:val="07FE2B6F"/>
    <w:rsid w:val="08A7246F"/>
    <w:rsid w:val="08AA5D28"/>
    <w:rsid w:val="08C103D9"/>
    <w:rsid w:val="09736FA9"/>
    <w:rsid w:val="0B792C38"/>
    <w:rsid w:val="0BDE4198"/>
    <w:rsid w:val="0CA02447"/>
    <w:rsid w:val="0F2046E7"/>
    <w:rsid w:val="0F3E2C1B"/>
    <w:rsid w:val="0F587009"/>
    <w:rsid w:val="0F9553DD"/>
    <w:rsid w:val="0FF07393"/>
    <w:rsid w:val="11575FB2"/>
    <w:rsid w:val="11A70F63"/>
    <w:rsid w:val="11BF336F"/>
    <w:rsid w:val="12880050"/>
    <w:rsid w:val="12ED1816"/>
    <w:rsid w:val="12F17DA9"/>
    <w:rsid w:val="138F48E3"/>
    <w:rsid w:val="140E7D46"/>
    <w:rsid w:val="14C32C19"/>
    <w:rsid w:val="15410651"/>
    <w:rsid w:val="157907FF"/>
    <w:rsid w:val="15E91E73"/>
    <w:rsid w:val="160E7BE2"/>
    <w:rsid w:val="16946B78"/>
    <w:rsid w:val="195255B7"/>
    <w:rsid w:val="19817190"/>
    <w:rsid w:val="1A23446A"/>
    <w:rsid w:val="1B904596"/>
    <w:rsid w:val="1C220782"/>
    <w:rsid w:val="1CB85198"/>
    <w:rsid w:val="1D6176EE"/>
    <w:rsid w:val="1F0129A5"/>
    <w:rsid w:val="1F3D7687"/>
    <w:rsid w:val="20692B1F"/>
    <w:rsid w:val="211147D6"/>
    <w:rsid w:val="212C5C64"/>
    <w:rsid w:val="21604585"/>
    <w:rsid w:val="21880DA0"/>
    <w:rsid w:val="21AA0B75"/>
    <w:rsid w:val="21BA17E5"/>
    <w:rsid w:val="24253506"/>
    <w:rsid w:val="243F5234"/>
    <w:rsid w:val="24DF2134"/>
    <w:rsid w:val="24E86B3C"/>
    <w:rsid w:val="25150115"/>
    <w:rsid w:val="26800DCD"/>
    <w:rsid w:val="26C378FC"/>
    <w:rsid w:val="26EB1326"/>
    <w:rsid w:val="27334708"/>
    <w:rsid w:val="273536F7"/>
    <w:rsid w:val="27E115FA"/>
    <w:rsid w:val="27F25B0A"/>
    <w:rsid w:val="28704A86"/>
    <w:rsid w:val="28BB61E6"/>
    <w:rsid w:val="28DC43AF"/>
    <w:rsid w:val="291711F9"/>
    <w:rsid w:val="2B8C6EE5"/>
    <w:rsid w:val="2BB7451F"/>
    <w:rsid w:val="2BE90495"/>
    <w:rsid w:val="2C855802"/>
    <w:rsid w:val="2CB91350"/>
    <w:rsid w:val="2D8D11E8"/>
    <w:rsid w:val="2DC7118A"/>
    <w:rsid w:val="2F0E4C7B"/>
    <w:rsid w:val="2FD3182B"/>
    <w:rsid w:val="30103C90"/>
    <w:rsid w:val="311650AD"/>
    <w:rsid w:val="312B272B"/>
    <w:rsid w:val="317D7535"/>
    <w:rsid w:val="3244724D"/>
    <w:rsid w:val="3246000F"/>
    <w:rsid w:val="32582CF8"/>
    <w:rsid w:val="32A6236F"/>
    <w:rsid w:val="33034212"/>
    <w:rsid w:val="335B06E2"/>
    <w:rsid w:val="33D30116"/>
    <w:rsid w:val="343A03A1"/>
    <w:rsid w:val="35B509D7"/>
    <w:rsid w:val="36386A35"/>
    <w:rsid w:val="36842191"/>
    <w:rsid w:val="37AE60B4"/>
    <w:rsid w:val="37D57F4F"/>
    <w:rsid w:val="38C546B6"/>
    <w:rsid w:val="38DB2D8F"/>
    <w:rsid w:val="395461F0"/>
    <w:rsid w:val="3B317038"/>
    <w:rsid w:val="3DB02A01"/>
    <w:rsid w:val="3E412892"/>
    <w:rsid w:val="3E4332E4"/>
    <w:rsid w:val="3E9F4C6E"/>
    <w:rsid w:val="3FE01BCD"/>
    <w:rsid w:val="401F7DA8"/>
    <w:rsid w:val="40880C4C"/>
    <w:rsid w:val="41200E9D"/>
    <w:rsid w:val="425D4074"/>
    <w:rsid w:val="43532513"/>
    <w:rsid w:val="447137A5"/>
    <w:rsid w:val="44764150"/>
    <w:rsid w:val="46525F44"/>
    <w:rsid w:val="4658191C"/>
    <w:rsid w:val="46815DB0"/>
    <w:rsid w:val="46CD258A"/>
    <w:rsid w:val="47284024"/>
    <w:rsid w:val="473A2575"/>
    <w:rsid w:val="484B5FA7"/>
    <w:rsid w:val="48557A9E"/>
    <w:rsid w:val="48AE30C2"/>
    <w:rsid w:val="4A180A48"/>
    <w:rsid w:val="4AC62A9D"/>
    <w:rsid w:val="4AD20BA9"/>
    <w:rsid w:val="4B535F63"/>
    <w:rsid w:val="4BAB0356"/>
    <w:rsid w:val="4C6E251D"/>
    <w:rsid w:val="4CC44806"/>
    <w:rsid w:val="4D2B3779"/>
    <w:rsid w:val="4D7B647E"/>
    <w:rsid w:val="4E04568A"/>
    <w:rsid w:val="4F2E52D7"/>
    <w:rsid w:val="4FBE5568"/>
    <w:rsid w:val="507060F5"/>
    <w:rsid w:val="50791306"/>
    <w:rsid w:val="521D4F6D"/>
    <w:rsid w:val="524B3888"/>
    <w:rsid w:val="52D440B8"/>
    <w:rsid w:val="52DB10B0"/>
    <w:rsid w:val="53BD45A6"/>
    <w:rsid w:val="54B43966"/>
    <w:rsid w:val="54E33989"/>
    <w:rsid w:val="563A21BD"/>
    <w:rsid w:val="580544D9"/>
    <w:rsid w:val="58123CDC"/>
    <w:rsid w:val="583449CB"/>
    <w:rsid w:val="59133A3C"/>
    <w:rsid w:val="5B4F2426"/>
    <w:rsid w:val="5B523ED9"/>
    <w:rsid w:val="5B977B3E"/>
    <w:rsid w:val="5C7E3D56"/>
    <w:rsid w:val="5CEB5B94"/>
    <w:rsid w:val="5D7F262E"/>
    <w:rsid w:val="5DAA529B"/>
    <w:rsid w:val="5F6751E7"/>
    <w:rsid w:val="603F7C00"/>
    <w:rsid w:val="610178BF"/>
    <w:rsid w:val="62923802"/>
    <w:rsid w:val="62E25567"/>
    <w:rsid w:val="631055A3"/>
    <w:rsid w:val="631C4A1E"/>
    <w:rsid w:val="64324449"/>
    <w:rsid w:val="64F216A2"/>
    <w:rsid w:val="64F8178D"/>
    <w:rsid w:val="652341F0"/>
    <w:rsid w:val="652C2FBA"/>
    <w:rsid w:val="65403D7C"/>
    <w:rsid w:val="6569299A"/>
    <w:rsid w:val="65FB6027"/>
    <w:rsid w:val="661A04F6"/>
    <w:rsid w:val="662841B4"/>
    <w:rsid w:val="67855FCC"/>
    <w:rsid w:val="67AF77EE"/>
    <w:rsid w:val="67F72E89"/>
    <w:rsid w:val="67FD76A1"/>
    <w:rsid w:val="69C94CEB"/>
    <w:rsid w:val="69E20B1E"/>
    <w:rsid w:val="6A0C6EEB"/>
    <w:rsid w:val="6BFB0F71"/>
    <w:rsid w:val="6C684CFE"/>
    <w:rsid w:val="6C97214E"/>
    <w:rsid w:val="6DA06AE4"/>
    <w:rsid w:val="6EA83AD9"/>
    <w:rsid w:val="6EB24666"/>
    <w:rsid w:val="6F40431D"/>
    <w:rsid w:val="6F49207A"/>
    <w:rsid w:val="6F4C4662"/>
    <w:rsid w:val="6F8324D7"/>
    <w:rsid w:val="703443A1"/>
    <w:rsid w:val="70C86E97"/>
    <w:rsid w:val="71490712"/>
    <w:rsid w:val="71597917"/>
    <w:rsid w:val="71951F95"/>
    <w:rsid w:val="72890989"/>
    <w:rsid w:val="73B02C4C"/>
    <w:rsid w:val="743849EF"/>
    <w:rsid w:val="743E213B"/>
    <w:rsid w:val="74D243C6"/>
    <w:rsid w:val="757336DF"/>
    <w:rsid w:val="761D459A"/>
    <w:rsid w:val="771670BC"/>
    <w:rsid w:val="781C488C"/>
    <w:rsid w:val="78965614"/>
    <w:rsid w:val="78E55F35"/>
    <w:rsid w:val="791265E2"/>
    <w:rsid w:val="79A74F98"/>
    <w:rsid w:val="7A88301C"/>
    <w:rsid w:val="7AE04DFD"/>
    <w:rsid w:val="7B247EF9"/>
    <w:rsid w:val="7C0D3A63"/>
    <w:rsid w:val="7CC36EE8"/>
    <w:rsid w:val="7D9D0B8C"/>
    <w:rsid w:val="7E0C2A58"/>
    <w:rsid w:val="7E6D055E"/>
    <w:rsid w:val="7F3D5A7B"/>
    <w:rsid w:val="7FB0104A"/>
    <w:rsid w:val="7FBB00F2"/>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jc w:val="left"/>
      <w:outlineLvl w:val="0"/>
    </w:pPr>
    <w:rPr>
      <w:rFonts w:eastAsia="黑体"/>
      <w:b/>
      <w:sz w:val="32"/>
      <w:szCs w:val="20"/>
    </w:rPr>
  </w:style>
  <w:style w:type="paragraph" w:styleId="3">
    <w:name w:val="heading 2"/>
    <w:basedOn w:val="1"/>
    <w:next w:val="1"/>
    <w:autoRedefine/>
    <w:semiHidden/>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semiHidden/>
    <w:unhideWhenUsed/>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line="540" w:lineRule="atLeast"/>
      <w:outlineLvl w:val="3"/>
    </w:pPr>
    <w:rPr>
      <w:sz w:val="28"/>
      <w:szCs w:val="28"/>
    </w:rPr>
  </w:style>
  <w:style w:type="paragraph" w:styleId="6">
    <w:name w:val="heading 9"/>
    <w:basedOn w:val="1"/>
    <w:next w:val="1"/>
    <w:autoRedefine/>
    <w:semiHidden/>
    <w:unhideWhenUsed/>
    <w:qFormat/>
    <w:uiPriority w:val="0"/>
    <w:pPr>
      <w:keepNext/>
      <w:keepLines/>
      <w:spacing w:before="240" w:after="64" w:line="317" w:lineRule="auto"/>
      <w:outlineLvl w:val="8"/>
    </w:pPr>
    <w:rPr>
      <w:rFonts w:ascii="Arial" w:hAnsi="Arial" w:eastAsia="黑体"/>
    </w:rPr>
  </w:style>
  <w:style w:type="character" w:default="1" w:styleId="26">
    <w:name w:val="Default Paragraph Font"/>
    <w:autoRedefine/>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adjustRightInd w:val="0"/>
      <w:spacing w:line="312" w:lineRule="atLeast"/>
      <w:ind w:firstLine="420"/>
      <w:textAlignment w:val="baseline"/>
    </w:pPr>
    <w:rPr>
      <w:rFonts w:ascii="仿宋_GB2312"/>
      <w:b/>
      <w:kern w:val="0"/>
      <w:szCs w:val="32"/>
    </w:rPr>
  </w:style>
  <w:style w:type="paragraph" w:styleId="8">
    <w:name w:val="toa heading"/>
    <w:basedOn w:val="1"/>
    <w:next w:val="1"/>
    <w:autoRedefine/>
    <w:qFormat/>
    <w:uiPriority w:val="0"/>
    <w:rPr>
      <w:rFonts w:ascii="Arial" w:hAnsi="Arial"/>
      <w:sz w:val="24"/>
    </w:rPr>
  </w:style>
  <w:style w:type="paragraph" w:styleId="9">
    <w:name w:val="annotation text"/>
    <w:basedOn w:val="1"/>
    <w:link w:val="38"/>
    <w:autoRedefine/>
    <w:qFormat/>
    <w:uiPriority w:val="0"/>
    <w:pPr>
      <w:jc w:val="left"/>
    </w:pPr>
  </w:style>
  <w:style w:type="paragraph" w:styleId="10">
    <w:name w:val="Body Text"/>
    <w:basedOn w:val="1"/>
    <w:next w:val="1"/>
    <w:autoRedefine/>
    <w:qFormat/>
    <w:uiPriority w:val="0"/>
    <w:pPr>
      <w:spacing w:after="120"/>
    </w:pPr>
    <w:rPr>
      <w:rFonts w:ascii="仿宋_GB2312"/>
      <w:b/>
    </w:rPr>
  </w:style>
  <w:style w:type="paragraph" w:styleId="11">
    <w:name w:val="Body Text Indent"/>
    <w:basedOn w:val="1"/>
    <w:next w:val="12"/>
    <w:autoRedefine/>
    <w:qFormat/>
    <w:uiPriority w:val="0"/>
    <w:pPr>
      <w:ind w:left="480" w:hanging="480" w:hangingChars="200"/>
    </w:pPr>
    <w:rPr>
      <w:sz w:val="24"/>
    </w:rPr>
  </w:style>
  <w:style w:type="paragraph" w:styleId="12">
    <w:name w:val="Body Text First Indent 2"/>
    <w:basedOn w:val="11"/>
    <w:autoRedefine/>
    <w:qFormat/>
    <w:uiPriority w:val="0"/>
    <w:pPr>
      <w:spacing w:after="120"/>
      <w:ind w:left="420" w:leftChars="200" w:firstLine="420"/>
    </w:pPr>
    <w:rPr>
      <w:rFonts w:cs="宋体"/>
      <w:sz w:val="21"/>
      <w:szCs w:val="21"/>
    </w:rPr>
  </w:style>
  <w:style w:type="paragraph" w:styleId="13">
    <w:name w:val="toc 3"/>
    <w:basedOn w:val="1"/>
    <w:next w:val="1"/>
    <w:autoRedefine/>
    <w:qFormat/>
    <w:uiPriority w:val="0"/>
    <w:pPr>
      <w:ind w:left="840" w:leftChars="400"/>
    </w:pPr>
  </w:style>
  <w:style w:type="paragraph" w:styleId="14">
    <w:name w:val="Plain Text"/>
    <w:basedOn w:val="1"/>
    <w:autoRedefine/>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15">
    <w:name w:val="Balloon Text"/>
    <w:basedOn w:val="1"/>
    <w:link w:val="36"/>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style>
  <w:style w:type="paragraph" w:styleId="19">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20">
    <w:name w:val="toc 2"/>
    <w:basedOn w:val="1"/>
    <w:next w:val="1"/>
    <w:autoRedefine/>
    <w:qFormat/>
    <w:uiPriority w:val="0"/>
    <w:pPr>
      <w:ind w:left="420" w:leftChars="200"/>
    </w:pPr>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annotation subject"/>
    <w:basedOn w:val="9"/>
    <w:next w:val="9"/>
    <w:link w:val="39"/>
    <w:autoRedefine/>
    <w:semiHidden/>
    <w:unhideWhenUsed/>
    <w:qFormat/>
    <w:uiPriority w:val="0"/>
    <w:rPr>
      <w:b/>
      <w:bCs/>
    </w:rPr>
  </w:style>
  <w:style w:type="paragraph" w:styleId="23">
    <w:name w:val="Body Text First Indent"/>
    <w:basedOn w:val="10"/>
    <w:next w:val="19"/>
    <w:autoRedefine/>
    <w:qFormat/>
    <w:uiPriority w:val="0"/>
    <w:pPr>
      <w:autoSpaceDE w:val="0"/>
      <w:autoSpaceDN w:val="0"/>
      <w:adjustRightInd w:val="0"/>
      <w:ind w:firstLine="420" w:firstLineChars="100"/>
      <w:jc w:val="left"/>
    </w:pPr>
    <w:rPr>
      <w:kern w:val="0"/>
      <w:sz w:val="20"/>
      <w:szCs w:val="20"/>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autoRedefine/>
    <w:qFormat/>
    <w:uiPriority w:val="0"/>
  </w:style>
  <w:style w:type="character" w:styleId="28">
    <w:name w:val="annotation reference"/>
    <w:basedOn w:val="26"/>
    <w:autoRedefine/>
    <w:qFormat/>
    <w:uiPriority w:val="0"/>
    <w:rPr>
      <w:sz w:val="21"/>
      <w:szCs w:val="21"/>
    </w:rPr>
  </w:style>
  <w:style w:type="character" w:customStyle="1" w:styleId="29">
    <w:name w:val="font31"/>
    <w:basedOn w:val="26"/>
    <w:autoRedefine/>
    <w:qFormat/>
    <w:uiPriority w:val="0"/>
    <w:rPr>
      <w:rFonts w:hint="eastAsia" w:ascii="宋体" w:hAnsi="宋体" w:eastAsia="宋体" w:cs="宋体"/>
      <w:color w:val="000000"/>
      <w:sz w:val="24"/>
      <w:szCs w:val="24"/>
      <w:u w:val="single"/>
    </w:rPr>
  </w:style>
  <w:style w:type="paragraph" w:customStyle="1" w:styleId="30">
    <w:name w:val="无间隔1"/>
    <w:autoRedefine/>
    <w:qFormat/>
    <w:uiPriority w:val="0"/>
    <w:rPr>
      <w:rFonts w:ascii="Times New Roman" w:hAnsi="Times New Roman" w:eastAsia="PMingLiU" w:cs="Times New Roman"/>
      <w:snapToGrid w:val="0"/>
      <w:sz w:val="22"/>
      <w:szCs w:val="22"/>
      <w:lang w:val="en-US" w:eastAsia="zh-TW" w:bidi="ar-SA"/>
    </w:rPr>
  </w:style>
  <w:style w:type="paragraph" w:styleId="31">
    <w:name w:val="List Paragraph"/>
    <w:basedOn w:val="1"/>
    <w:autoRedefine/>
    <w:qFormat/>
    <w:uiPriority w:val="99"/>
    <w:pPr>
      <w:ind w:firstLine="420" w:firstLineChars="200"/>
    </w:pPr>
  </w:style>
  <w:style w:type="paragraph" w:customStyle="1" w:styleId="32">
    <w:name w:val="保留正文"/>
    <w:basedOn w:val="10"/>
    <w:autoRedefine/>
    <w:qFormat/>
    <w:uiPriority w:val="0"/>
    <w:pPr>
      <w:keepNext/>
      <w:spacing w:after="160"/>
    </w:pPr>
    <w:rPr>
      <w:szCs w:val="20"/>
    </w:rPr>
  </w:style>
  <w:style w:type="paragraph" w:customStyle="1" w:styleId="33">
    <w:name w:val="安恒信息--正文"/>
    <w:autoRedefine/>
    <w:qFormat/>
    <w:uiPriority w:val="0"/>
    <w:pPr>
      <w:spacing w:line="300" w:lineRule="auto"/>
    </w:pPr>
    <w:rPr>
      <w:rFonts w:ascii="Arial" w:hAnsi="Arial" w:eastAsia="宋体" w:cs="Times New Roman"/>
      <w:sz w:val="21"/>
      <w:szCs w:val="21"/>
      <w:lang w:val="en-US" w:eastAsia="zh-CN" w:bidi="ar-SA"/>
    </w:rPr>
  </w:style>
  <w:style w:type="paragraph" w:customStyle="1" w:styleId="34">
    <w:name w:val="列出段落4"/>
    <w:basedOn w:val="1"/>
    <w:autoRedefine/>
    <w:qFormat/>
    <w:uiPriority w:val="0"/>
    <w:pPr>
      <w:ind w:left="720"/>
    </w:pPr>
    <w:rPr>
      <w:rFonts w:cs="Calibri"/>
      <w:szCs w:val="21"/>
    </w:rPr>
  </w:style>
  <w:style w:type="paragraph" w:customStyle="1" w:styleId="35">
    <w:name w:val="列出段落5"/>
    <w:basedOn w:val="1"/>
    <w:autoRedefine/>
    <w:qFormat/>
    <w:uiPriority w:val="0"/>
    <w:pPr>
      <w:ind w:left="720"/>
    </w:pPr>
    <w:rPr>
      <w:rFonts w:cs="Calibri"/>
      <w:szCs w:val="21"/>
    </w:rPr>
  </w:style>
  <w:style w:type="character" w:customStyle="1" w:styleId="36">
    <w:name w:val="批注框文本 Char"/>
    <w:basedOn w:val="26"/>
    <w:link w:val="15"/>
    <w:autoRedefine/>
    <w:qFormat/>
    <w:uiPriority w:val="0"/>
    <w:rPr>
      <w:rFonts w:ascii="Times New Roman" w:hAnsi="Times New Roman" w:eastAsia="宋体" w:cs="Times New Roman"/>
      <w:kern w:val="2"/>
      <w:sz w:val="18"/>
      <w:szCs w:val="18"/>
    </w:rPr>
  </w:style>
  <w:style w:type="paragraph" w:customStyle="1" w:styleId="37">
    <w:name w:val="列出段落1"/>
    <w:basedOn w:val="1"/>
    <w:autoRedefine/>
    <w:qFormat/>
    <w:uiPriority w:val="0"/>
    <w:pPr>
      <w:ind w:firstLine="420" w:firstLineChars="200"/>
    </w:pPr>
  </w:style>
  <w:style w:type="character" w:customStyle="1" w:styleId="38">
    <w:name w:val="批注文字 Char"/>
    <w:basedOn w:val="26"/>
    <w:link w:val="9"/>
    <w:autoRedefine/>
    <w:qFormat/>
    <w:uiPriority w:val="0"/>
    <w:rPr>
      <w:kern w:val="2"/>
      <w:sz w:val="21"/>
      <w:szCs w:val="24"/>
    </w:rPr>
  </w:style>
  <w:style w:type="character" w:customStyle="1" w:styleId="39">
    <w:name w:val="批注主题 Char"/>
    <w:basedOn w:val="38"/>
    <w:link w:val="22"/>
    <w:autoRedefine/>
    <w:semiHidden/>
    <w:qFormat/>
    <w:uiPriority w:val="0"/>
    <w:rPr>
      <w:b/>
      <w:bCs/>
      <w:kern w:val="2"/>
      <w:sz w:val="21"/>
      <w:szCs w:val="24"/>
    </w:rPr>
  </w:style>
  <w:style w:type="paragraph" w:customStyle="1" w:styleId="40">
    <w:name w:val="样式1"/>
    <w:basedOn w:val="1"/>
    <w:autoRedefine/>
    <w:qFormat/>
    <w:uiPriority w:val="0"/>
    <w:pPr>
      <w:autoSpaceDE w:val="0"/>
      <w:autoSpaceDN w:val="0"/>
      <w:adjustRightInd w:val="0"/>
      <w:spacing w:line="400" w:lineRule="exact"/>
    </w:pPr>
    <w:rPr>
      <w:rFonts w:asci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20099</Words>
  <Characters>20892</Characters>
  <Lines>222</Lines>
  <Paragraphs>62</Paragraphs>
  <TotalTime>15</TotalTime>
  <ScaleCrop>false</ScaleCrop>
  <LinksUpToDate>false</LinksUpToDate>
  <CharactersWithSpaces>22203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2024-03-11T06:50:00Z</dcterms:created>
  <dc:creator>admin</dc:creator>
  <cp:lastModifiedBy>Administrator</cp:lastModifiedBy>
  <cp:lastPrinted>2023-02-10T01:46:00Z</cp:lastPrinted>
  <dcterms:modified xsi:type="dcterms:W3CDTF">2025-05-06T09:15:15Z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E34E9F0EFC7543349CF47261621D6D44_13</vt:lpwstr>
  </property>
  <property fmtid="{D5CDD505-2E9C-101B-9397-08002B2CF9AE}" pid="4" name="KSOTemplateDocerSaveRecord">
    <vt:lpwstr>eyJoZGlkIjoiMzBkMDU2YjljNjFkZWFlNzkxZjE4MTdlMTg1NWY3MDkifQ==</vt:lpwstr>
  </property>
</Properties>
</file>