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highlight w:val="none"/>
        </w:rPr>
      </w:pPr>
      <w:bookmarkStart w:id="118" w:name="_GoBack"/>
      <w:bookmarkEnd w:id="118"/>
    </w:p>
    <w:p>
      <w:pPr>
        <w:pStyle w:val="2"/>
        <w:ind w:firstLine="560"/>
        <w:rPr>
          <w:rFonts w:hint="eastAsia" w:cs="宋体"/>
          <w:highlight w:val="none"/>
        </w:rPr>
      </w:pPr>
    </w:p>
    <w:p>
      <w:pPr>
        <w:tabs>
          <w:tab w:val="left" w:pos="6510"/>
        </w:tabs>
        <w:spacing w:line="700" w:lineRule="exact"/>
        <w:jc w:val="center"/>
        <w:outlineLvl w:val="0"/>
        <w:rPr>
          <w:rFonts w:hint="eastAsia" w:ascii="宋体" w:hAnsi="宋体" w:cs="宋体"/>
          <w:b/>
          <w:bCs/>
          <w:sz w:val="44"/>
          <w:szCs w:val="44"/>
          <w:highlight w:val="none"/>
        </w:rPr>
      </w:pPr>
      <w:bookmarkStart w:id="0" w:name="_Toc9255"/>
      <w:bookmarkStart w:id="1" w:name="_Toc32703"/>
      <w:r>
        <w:rPr>
          <w:rFonts w:hint="eastAsia" w:ascii="宋体" w:hAnsi="宋体" w:cs="宋体"/>
          <w:b/>
          <w:bCs/>
          <w:sz w:val="44"/>
          <w:szCs w:val="44"/>
          <w:highlight w:val="none"/>
        </w:rPr>
        <w:t>金华市安地灌区续建配套与节水改造项目（2021-2022年）调增项目灌溉节水宣传馆</w:t>
      </w:r>
      <w:bookmarkEnd w:id="0"/>
      <w:bookmarkEnd w:id="1"/>
    </w:p>
    <w:p>
      <w:pPr>
        <w:pStyle w:val="19"/>
        <w:rPr>
          <w:rFonts w:hint="eastAsia" w:ascii="宋体" w:hAnsi="宋体" w:cs="宋体"/>
          <w:highlight w:val="none"/>
        </w:rPr>
      </w:pPr>
    </w:p>
    <w:p>
      <w:pPr>
        <w:pStyle w:val="19"/>
        <w:rPr>
          <w:rFonts w:hint="eastAsia" w:ascii="宋体" w:hAnsi="宋体" w:cs="宋体"/>
          <w:highlight w:val="none"/>
        </w:rPr>
      </w:pPr>
    </w:p>
    <w:p>
      <w:pPr>
        <w:rPr>
          <w:rFonts w:hint="eastAsia" w:ascii="宋体" w:hAnsi="宋体" w:cs="宋体"/>
          <w:highlight w:val="none"/>
        </w:rPr>
      </w:pPr>
    </w:p>
    <w:p>
      <w:pPr>
        <w:pStyle w:val="2"/>
        <w:tabs>
          <w:tab w:val="left" w:pos="8097"/>
        </w:tabs>
        <w:ind w:firstLine="560"/>
        <w:jc w:val="center"/>
        <w:rPr>
          <w:rFonts w:hint="eastAsia" w:cs="宋体"/>
          <w:highlight w:val="none"/>
        </w:rPr>
      </w:pPr>
    </w:p>
    <w:p>
      <w:pPr>
        <w:spacing w:line="480" w:lineRule="auto"/>
        <w:jc w:val="center"/>
        <w:rPr>
          <w:rFonts w:hint="eastAsia" w:ascii="宋体" w:hAnsi="宋体" w:cs="宋体"/>
          <w:b/>
          <w:sz w:val="72"/>
          <w:szCs w:val="72"/>
          <w:highlight w:val="none"/>
        </w:rPr>
      </w:pPr>
      <w:r>
        <w:rPr>
          <w:rFonts w:hint="eastAsia" w:ascii="宋体" w:hAnsi="宋体" w:cs="宋体"/>
          <w:b/>
          <w:sz w:val="72"/>
          <w:szCs w:val="72"/>
          <w:highlight w:val="none"/>
        </w:rPr>
        <w:t>招标文件</w:t>
      </w:r>
    </w:p>
    <w:p>
      <w:pPr>
        <w:spacing w:line="480" w:lineRule="auto"/>
        <w:jc w:val="center"/>
        <w:rPr>
          <w:rFonts w:hint="eastAsia" w:ascii="宋体" w:hAnsi="宋体" w:cs="宋体"/>
          <w:b/>
          <w:sz w:val="56"/>
          <w:szCs w:val="56"/>
          <w:highlight w:val="none"/>
        </w:rPr>
      </w:pPr>
      <w:r>
        <w:rPr>
          <w:rFonts w:hint="eastAsia" w:ascii="宋体" w:hAnsi="宋体" w:cs="宋体"/>
          <w:b/>
          <w:sz w:val="56"/>
          <w:szCs w:val="56"/>
          <w:highlight w:val="none"/>
        </w:rPr>
        <w:t>（线上电子招标）</w:t>
      </w:r>
    </w:p>
    <w:p>
      <w:pPr>
        <w:tabs>
          <w:tab w:val="left" w:pos="8465"/>
        </w:tabs>
        <w:spacing w:line="480" w:lineRule="auto"/>
        <w:jc w:val="center"/>
        <w:rPr>
          <w:rFonts w:hint="eastAsia" w:ascii="宋体" w:hAnsi="宋体" w:cs="宋体"/>
          <w:b/>
          <w:sz w:val="56"/>
          <w:szCs w:val="56"/>
          <w:highlight w:val="none"/>
        </w:rPr>
      </w:pPr>
    </w:p>
    <w:p>
      <w:pPr>
        <w:pStyle w:val="2"/>
        <w:ind w:firstLine="560"/>
        <w:rPr>
          <w:rFonts w:hint="eastAsia" w:cs="宋体"/>
          <w:highlight w:val="none"/>
        </w:rPr>
      </w:pPr>
    </w:p>
    <w:p>
      <w:pPr>
        <w:rPr>
          <w:rFonts w:hint="eastAsia" w:ascii="宋体" w:hAnsi="宋体" w:cs="宋体"/>
          <w:b/>
          <w:sz w:val="28"/>
          <w:szCs w:val="28"/>
          <w:highlight w:val="none"/>
        </w:rPr>
      </w:pPr>
    </w:p>
    <w:p>
      <w:pPr>
        <w:rPr>
          <w:rFonts w:hint="eastAsia" w:ascii="宋体" w:hAnsi="宋体" w:cs="宋体"/>
          <w:highlight w:val="none"/>
        </w:rPr>
      </w:pPr>
    </w:p>
    <w:p>
      <w:pPr>
        <w:pStyle w:val="20"/>
        <w:ind w:firstLine="210"/>
        <w:rPr>
          <w:rFonts w:hint="eastAsia" w:ascii="宋体" w:hAnsi="宋体" w:cs="宋体"/>
          <w:highlight w:val="none"/>
        </w:rPr>
      </w:pPr>
    </w:p>
    <w:p>
      <w:pPr>
        <w:spacing w:line="640" w:lineRule="exact"/>
        <w:ind w:firstLine="1124" w:firstLineChars="400"/>
        <w:outlineLvl w:val="0"/>
        <w:rPr>
          <w:rFonts w:hint="eastAsia" w:ascii="宋体" w:hAnsi="宋体" w:cs="宋体"/>
          <w:b/>
          <w:sz w:val="28"/>
          <w:szCs w:val="28"/>
          <w:highlight w:val="none"/>
        </w:rPr>
      </w:pPr>
      <w:bookmarkStart w:id="2" w:name="_Toc17525"/>
      <w:bookmarkStart w:id="3" w:name="_Toc5613"/>
      <w:bookmarkStart w:id="4" w:name="_Toc4159"/>
      <w:r>
        <w:rPr>
          <w:rFonts w:hint="eastAsia" w:ascii="宋体" w:hAnsi="宋体" w:cs="宋体"/>
          <w:b/>
          <w:sz w:val="28"/>
          <w:szCs w:val="28"/>
          <w:highlight w:val="none"/>
        </w:rPr>
        <w:t>招标项目编号：ZJJS2023-ZFCG001</w:t>
      </w:r>
      <w:bookmarkEnd w:id="2"/>
      <w:bookmarkEnd w:id="3"/>
    </w:p>
    <w:p>
      <w:pPr>
        <w:spacing w:line="640" w:lineRule="exact"/>
        <w:ind w:firstLine="1124" w:firstLineChars="400"/>
        <w:outlineLvl w:val="0"/>
        <w:rPr>
          <w:rFonts w:hint="eastAsia" w:ascii="宋体" w:hAnsi="宋体" w:cs="宋体"/>
          <w:b/>
          <w:sz w:val="28"/>
          <w:szCs w:val="28"/>
          <w:highlight w:val="none"/>
        </w:rPr>
      </w:pPr>
      <w:bookmarkStart w:id="5" w:name="_Toc15775"/>
      <w:r>
        <w:rPr>
          <w:rFonts w:hint="eastAsia" w:ascii="宋体" w:hAnsi="宋体" w:cs="宋体"/>
          <w:b/>
          <w:sz w:val="28"/>
          <w:szCs w:val="28"/>
          <w:highlight w:val="none"/>
        </w:rPr>
        <w:t>采购单位：金华市梅溪流域管理中心</w:t>
      </w:r>
      <w:bookmarkEnd w:id="4"/>
      <w:bookmarkEnd w:id="5"/>
    </w:p>
    <w:p>
      <w:pPr>
        <w:spacing w:line="640" w:lineRule="exact"/>
        <w:ind w:firstLine="1124" w:firstLineChars="400"/>
        <w:outlineLvl w:val="0"/>
        <w:rPr>
          <w:rFonts w:hint="eastAsia" w:ascii="宋体" w:hAnsi="宋体" w:cs="宋体"/>
          <w:b/>
          <w:sz w:val="28"/>
          <w:szCs w:val="28"/>
          <w:highlight w:val="none"/>
        </w:rPr>
      </w:pPr>
      <w:bookmarkStart w:id="6" w:name="_Toc2996"/>
      <w:bookmarkStart w:id="7" w:name="_Toc29320"/>
      <w:r>
        <w:rPr>
          <w:rFonts w:hint="eastAsia" w:ascii="宋体" w:hAnsi="宋体" w:cs="宋体"/>
          <w:b/>
          <w:sz w:val="28"/>
          <w:szCs w:val="28"/>
          <w:highlight w:val="none"/>
        </w:rPr>
        <w:t>采购代理单位：浙江金穗工程项目管理有限公司</w:t>
      </w:r>
      <w:bookmarkEnd w:id="6"/>
      <w:bookmarkEnd w:id="7"/>
    </w:p>
    <w:p>
      <w:pPr>
        <w:spacing w:line="640" w:lineRule="exact"/>
        <w:ind w:firstLine="1124" w:firstLineChars="400"/>
        <w:outlineLvl w:val="0"/>
        <w:rPr>
          <w:rFonts w:hint="eastAsia" w:ascii="宋体" w:hAnsi="宋体" w:cs="宋体"/>
          <w:b/>
          <w:sz w:val="28"/>
          <w:szCs w:val="28"/>
          <w:highlight w:val="none"/>
        </w:rPr>
      </w:pPr>
      <w:bookmarkStart w:id="8" w:name="_Toc20416"/>
      <w:r>
        <w:rPr>
          <w:rFonts w:hint="eastAsia" w:ascii="宋体" w:hAnsi="宋体" w:cs="宋体"/>
          <w:b/>
          <w:sz w:val="28"/>
          <w:szCs w:val="28"/>
          <w:highlight w:val="none"/>
        </w:rPr>
        <w:t>监管单位：金华市财政局政府采购监管处</w:t>
      </w:r>
      <w:bookmarkEnd w:id="8"/>
    </w:p>
    <w:p>
      <w:pPr>
        <w:spacing w:line="640" w:lineRule="exact"/>
        <w:ind w:firstLine="1124" w:firstLineChars="400"/>
        <w:outlineLvl w:val="0"/>
        <w:rPr>
          <w:rFonts w:hint="eastAsia" w:ascii="宋体" w:hAnsi="宋体" w:cs="宋体"/>
          <w:b/>
          <w:sz w:val="28"/>
          <w:szCs w:val="28"/>
          <w:highlight w:val="none"/>
        </w:rPr>
      </w:pPr>
      <w:bookmarkStart w:id="9" w:name="_Toc1138"/>
      <w:bookmarkStart w:id="10" w:name="_Toc3595"/>
      <w:r>
        <w:rPr>
          <w:rFonts w:hint="eastAsia" w:ascii="宋体" w:hAnsi="宋体" w:cs="宋体"/>
          <w:b/>
          <w:sz w:val="28"/>
          <w:szCs w:val="28"/>
          <w:highlight w:val="none"/>
        </w:rPr>
        <w:t>日    期：二O二三年一月</w:t>
      </w:r>
      <w:bookmarkEnd w:id="9"/>
      <w:bookmarkEnd w:id="10"/>
    </w:p>
    <w:p>
      <w:pPr>
        <w:autoSpaceDE w:val="0"/>
        <w:autoSpaceDN w:val="0"/>
        <w:adjustRightInd w:val="0"/>
        <w:spacing w:line="360" w:lineRule="atLeast"/>
        <w:rPr>
          <w:rFonts w:hint="eastAsia" w:ascii="楷体" w:hAnsi="楷体" w:eastAsia="楷体" w:cs="仿宋"/>
          <w:b/>
          <w:sz w:val="44"/>
          <w:szCs w:val="44"/>
          <w:highlight w:val="none"/>
        </w:rPr>
      </w:pPr>
      <w:r>
        <w:rPr>
          <w:rFonts w:hint="eastAsia" w:ascii="仿宋" w:hAnsi="仿宋" w:eastAsia="仿宋" w:cs="仿宋"/>
          <w:b/>
          <w:sz w:val="44"/>
          <w:szCs w:val="44"/>
          <w:highlight w:val="none"/>
        </w:rPr>
        <w:t xml:space="preserve"> </w:t>
      </w:r>
    </w:p>
    <w:p>
      <w:pPr>
        <w:rPr>
          <w:rFonts w:hint="eastAsia" w:ascii="楷体" w:hAnsi="楷体" w:eastAsia="楷体" w:cs="仿宋"/>
          <w:b/>
          <w:sz w:val="44"/>
          <w:szCs w:val="44"/>
          <w:highlight w:val="none"/>
        </w:rPr>
        <w:sectPr>
          <w:headerReference r:id="rId4" w:type="first"/>
          <w:headerReference r:id="rId3" w:type="even"/>
          <w:pgSz w:w="11906" w:h="16838"/>
          <w:pgMar w:top="1417" w:right="1531" w:bottom="1417" w:left="1531" w:header="850" w:footer="992" w:gutter="0"/>
          <w:pgNumType w:start="1"/>
          <w:cols w:space="720" w:num="1"/>
          <w:docGrid w:type="lines" w:linePitch="312" w:charSpace="0"/>
        </w:sectPr>
      </w:pPr>
    </w:p>
    <w:p>
      <w:pPr>
        <w:pStyle w:val="19"/>
        <w:rPr>
          <w:rFonts w:hint="eastAsia" w:ascii="宋体" w:hAnsi="宋体" w:cs="宋体"/>
          <w:highlight w:val="none"/>
        </w:rPr>
      </w:pPr>
    </w:p>
    <w:p>
      <w:pPr>
        <w:jc w:val="center"/>
        <w:rPr>
          <w:rFonts w:hint="eastAsia" w:ascii="宋体" w:hAnsi="宋体" w:cs="宋体"/>
          <w:b/>
          <w:sz w:val="44"/>
          <w:szCs w:val="44"/>
          <w:highlight w:val="none"/>
        </w:rPr>
      </w:pPr>
      <w:r>
        <w:rPr>
          <w:rFonts w:hint="eastAsia" w:ascii="宋体" w:hAnsi="宋体" w:cs="宋体"/>
          <w:b/>
          <w:sz w:val="44"/>
          <w:szCs w:val="44"/>
          <w:highlight w:val="none"/>
        </w:rPr>
        <w:t>目  录</w:t>
      </w:r>
    </w:p>
    <w:p>
      <w:pPr>
        <w:pStyle w:val="124"/>
        <w:tabs>
          <w:tab w:val="right" w:leader="dot" w:pos="9626"/>
        </w:tabs>
        <w:spacing w:line="360" w:lineRule="auto"/>
        <w:rPr>
          <w:rFonts w:hint="eastAsia" w:ascii="宋体" w:hAnsi="宋体" w:cs="宋体"/>
          <w:b/>
          <w:bCs/>
          <w:sz w:val="30"/>
          <w:szCs w:val="30"/>
          <w:highlight w:val="none"/>
        </w:rPr>
      </w:pPr>
      <w:r>
        <w:rPr>
          <w:rFonts w:hint="eastAsia" w:ascii="宋体" w:hAnsi="宋体" w:cs="宋体"/>
          <w:b/>
          <w:sz w:val="44"/>
          <w:szCs w:val="44"/>
          <w:highlight w:val="none"/>
        </w:rPr>
        <w:fldChar w:fldCharType="begin"/>
      </w:r>
      <w:r>
        <w:rPr>
          <w:rFonts w:hint="eastAsia" w:ascii="宋体" w:hAnsi="宋体" w:cs="宋体"/>
          <w:b/>
          <w:sz w:val="44"/>
          <w:szCs w:val="44"/>
          <w:highlight w:val="none"/>
        </w:rPr>
        <w:instrText xml:space="preserve">TOC \o "1-1" \h \u </w:instrText>
      </w:r>
      <w:r>
        <w:rPr>
          <w:rFonts w:hint="eastAsia" w:ascii="宋体" w:hAnsi="宋体" w:cs="宋体"/>
          <w:b/>
          <w:sz w:val="44"/>
          <w:szCs w:val="44"/>
          <w:highlight w:val="none"/>
        </w:rPr>
        <w:fldChar w:fldCharType="separate"/>
      </w:r>
      <w:r>
        <w:rPr>
          <w:rFonts w:hint="eastAsia" w:ascii="宋体" w:hAnsi="宋体" w:cs="宋体"/>
          <w:b/>
          <w:bCs/>
          <w:sz w:val="30"/>
          <w:szCs w:val="30"/>
          <w:highlight w:val="none"/>
        </w:rPr>
        <w:fldChar w:fldCharType="begin"/>
      </w:r>
      <w:r>
        <w:rPr>
          <w:rFonts w:hint="eastAsia" w:ascii="宋体" w:hAnsi="宋体" w:cs="宋体"/>
          <w:b/>
          <w:bCs/>
          <w:sz w:val="30"/>
          <w:szCs w:val="30"/>
          <w:highlight w:val="none"/>
        </w:rPr>
        <w:instrText xml:space="preserve"> HYPERLINK \l _Toc192 </w:instrText>
      </w:r>
      <w:r>
        <w:rPr>
          <w:rFonts w:hint="eastAsia" w:ascii="宋体" w:hAnsi="宋体" w:cs="宋体"/>
          <w:b/>
          <w:bCs/>
          <w:sz w:val="30"/>
          <w:szCs w:val="30"/>
          <w:highlight w:val="none"/>
        </w:rPr>
        <w:fldChar w:fldCharType="separate"/>
      </w:r>
      <w:r>
        <w:rPr>
          <w:rFonts w:hint="eastAsia" w:ascii="宋体" w:hAnsi="宋体" w:cs="宋体"/>
          <w:b/>
          <w:bCs/>
          <w:sz w:val="30"/>
          <w:szCs w:val="30"/>
          <w:highlight w:val="none"/>
        </w:rPr>
        <w:t>第一章  招标公告</w:t>
      </w:r>
      <w:r>
        <w:rPr>
          <w:rFonts w:hint="eastAsia" w:ascii="宋体" w:hAnsi="宋体" w:cs="宋体"/>
          <w:b/>
          <w:bCs/>
          <w:sz w:val="30"/>
          <w:szCs w:val="30"/>
          <w:highlight w:val="none"/>
        </w:rPr>
        <w:tab/>
      </w:r>
      <w:r>
        <w:rPr>
          <w:rFonts w:hint="eastAsia" w:ascii="宋体" w:hAnsi="宋体" w:cs="宋体"/>
          <w:b/>
          <w:bCs/>
          <w:sz w:val="30"/>
          <w:szCs w:val="30"/>
          <w:highlight w:val="none"/>
        </w:rPr>
        <w:fldChar w:fldCharType="begin"/>
      </w:r>
      <w:r>
        <w:rPr>
          <w:rFonts w:hint="eastAsia" w:ascii="宋体" w:hAnsi="宋体" w:cs="宋体"/>
          <w:b/>
          <w:bCs/>
          <w:sz w:val="30"/>
          <w:szCs w:val="30"/>
          <w:highlight w:val="none"/>
        </w:rPr>
        <w:instrText xml:space="preserve"> PAGEREF _Toc192 \h </w:instrText>
      </w:r>
      <w:r>
        <w:rPr>
          <w:rFonts w:hint="eastAsia" w:ascii="宋体" w:hAnsi="宋体" w:cs="宋体"/>
          <w:b/>
          <w:bCs/>
          <w:sz w:val="30"/>
          <w:szCs w:val="30"/>
          <w:highlight w:val="none"/>
        </w:rPr>
        <w:fldChar w:fldCharType="separate"/>
      </w:r>
      <w:r>
        <w:rPr>
          <w:rFonts w:hint="eastAsia" w:ascii="宋体" w:hAnsi="宋体" w:cs="宋体"/>
          <w:b/>
          <w:bCs/>
          <w:sz w:val="30"/>
          <w:szCs w:val="30"/>
          <w:highlight w:val="none"/>
        </w:rPr>
        <w:t>3</w:t>
      </w:r>
      <w:r>
        <w:rPr>
          <w:rFonts w:hint="eastAsia" w:ascii="宋体" w:hAnsi="宋体" w:cs="宋体"/>
          <w:b/>
          <w:bCs/>
          <w:sz w:val="30"/>
          <w:szCs w:val="30"/>
          <w:highlight w:val="none"/>
        </w:rPr>
        <w:fldChar w:fldCharType="end"/>
      </w:r>
      <w:r>
        <w:rPr>
          <w:rFonts w:hint="eastAsia" w:ascii="宋体" w:hAnsi="宋体" w:cs="宋体"/>
          <w:b/>
          <w:bCs/>
          <w:sz w:val="30"/>
          <w:szCs w:val="30"/>
          <w:highlight w:val="none"/>
        </w:rPr>
        <w:fldChar w:fldCharType="end"/>
      </w:r>
    </w:p>
    <w:p>
      <w:pPr>
        <w:pStyle w:val="124"/>
        <w:tabs>
          <w:tab w:val="right" w:leader="dot" w:pos="9626"/>
        </w:tabs>
        <w:spacing w:line="360" w:lineRule="auto"/>
        <w:rPr>
          <w:rFonts w:hint="eastAsia" w:ascii="宋体" w:hAnsi="宋体" w:cs="宋体"/>
          <w:b/>
          <w:bCs/>
          <w:sz w:val="30"/>
          <w:szCs w:val="30"/>
          <w:highlight w:val="none"/>
        </w:rPr>
      </w:pPr>
      <w:r>
        <w:rPr>
          <w:rFonts w:hint="eastAsia" w:ascii="宋体" w:hAnsi="宋体" w:cs="宋体"/>
          <w:b/>
          <w:bCs/>
          <w:sz w:val="30"/>
          <w:szCs w:val="30"/>
          <w:highlight w:val="none"/>
        </w:rPr>
        <w:fldChar w:fldCharType="begin"/>
      </w:r>
      <w:r>
        <w:rPr>
          <w:rFonts w:hint="eastAsia" w:ascii="宋体" w:hAnsi="宋体" w:cs="宋体"/>
          <w:b/>
          <w:bCs/>
          <w:sz w:val="30"/>
          <w:szCs w:val="30"/>
          <w:highlight w:val="none"/>
        </w:rPr>
        <w:instrText xml:space="preserve"> HYPERLINK \l _Toc10492 </w:instrText>
      </w:r>
      <w:r>
        <w:rPr>
          <w:rFonts w:hint="eastAsia" w:ascii="宋体" w:hAnsi="宋体" w:cs="宋体"/>
          <w:b/>
          <w:bCs/>
          <w:sz w:val="30"/>
          <w:szCs w:val="30"/>
          <w:highlight w:val="none"/>
        </w:rPr>
        <w:fldChar w:fldCharType="separate"/>
      </w:r>
      <w:r>
        <w:rPr>
          <w:rFonts w:hint="eastAsia" w:ascii="宋体" w:hAnsi="宋体" w:cs="宋体"/>
          <w:b/>
          <w:bCs/>
          <w:sz w:val="30"/>
          <w:szCs w:val="30"/>
          <w:highlight w:val="none"/>
        </w:rPr>
        <w:t>第二章  投标人须知</w:t>
      </w:r>
      <w:r>
        <w:rPr>
          <w:rFonts w:hint="eastAsia" w:ascii="宋体" w:hAnsi="宋体" w:cs="宋体"/>
          <w:b/>
          <w:bCs/>
          <w:sz w:val="30"/>
          <w:szCs w:val="30"/>
          <w:highlight w:val="none"/>
        </w:rPr>
        <w:tab/>
      </w:r>
      <w:r>
        <w:rPr>
          <w:rFonts w:hint="eastAsia" w:ascii="宋体" w:hAnsi="宋体" w:cs="宋体"/>
          <w:b/>
          <w:bCs/>
          <w:sz w:val="30"/>
          <w:szCs w:val="30"/>
          <w:highlight w:val="none"/>
        </w:rPr>
        <w:fldChar w:fldCharType="begin"/>
      </w:r>
      <w:r>
        <w:rPr>
          <w:rFonts w:hint="eastAsia" w:ascii="宋体" w:hAnsi="宋体" w:cs="宋体"/>
          <w:b/>
          <w:bCs/>
          <w:sz w:val="30"/>
          <w:szCs w:val="30"/>
          <w:highlight w:val="none"/>
        </w:rPr>
        <w:instrText xml:space="preserve"> PAGEREF _Toc10492 \h </w:instrText>
      </w:r>
      <w:r>
        <w:rPr>
          <w:rFonts w:hint="eastAsia" w:ascii="宋体" w:hAnsi="宋体" w:cs="宋体"/>
          <w:b/>
          <w:bCs/>
          <w:sz w:val="30"/>
          <w:szCs w:val="30"/>
          <w:highlight w:val="none"/>
        </w:rPr>
        <w:fldChar w:fldCharType="separate"/>
      </w:r>
      <w:r>
        <w:rPr>
          <w:rFonts w:hint="eastAsia" w:ascii="宋体" w:hAnsi="宋体" w:cs="宋体"/>
          <w:b/>
          <w:bCs/>
          <w:sz w:val="30"/>
          <w:szCs w:val="30"/>
          <w:highlight w:val="none"/>
        </w:rPr>
        <w:t>7</w:t>
      </w:r>
      <w:r>
        <w:rPr>
          <w:rFonts w:hint="eastAsia" w:ascii="宋体" w:hAnsi="宋体" w:cs="宋体"/>
          <w:b/>
          <w:bCs/>
          <w:sz w:val="30"/>
          <w:szCs w:val="30"/>
          <w:highlight w:val="none"/>
        </w:rPr>
        <w:fldChar w:fldCharType="end"/>
      </w:r>
      <w:r>
        <w:rPr>
          <w:rFonts w:hint="eastAsia" w:ascii="宋体" w:hAnsi="宋体" w:cs="宋体"/>
          <w:b/>
          <w:bCs/>
          <w:sz w:val="30"/>
          <w:szCs w:val="30"/>
          <w:highlight w:val="none"/>
        </w:rPr>
        <w:fldChar w:fldCharType="end"/>
      </w:r>
    </w:p>
    <w:p>
      <w:pPr>
        <w:pStyle w:val="124"/>
        <w:tabs>
          <w:tab w:val="right" w:leader="dot" w:pos="9626"/>
        </w:tabs>
        <w:spacing w:line="360" w:lineRule="auto"/>
        <w:rPr>
          <w:rFonts w:hint="eastAsia" w:ascii="宋体" w:hAnsi="宋体" w:cs="宋体"/>
          <w:b/>
          <w:bCs/>
          <w:sz w:val="30"/>
          <w:szCs w:val="30"/>
          <w:highlight w:val="none"/>
        </w:rPr>
      </w:pPr>
      <w:r>
        <w:rPr>
          <w:rFonts w:hint="eastAsia" w:ascii="宋体" w:hAnsi="宋体" w:cs="宋体"/>
          <w:b/>
          <w:bCs/>
          <w:sz w:val="30"/>
          <w:szCs w:val="30"/>
          <w:highlight w:val="none"/>
        </w:rPr>
        <w:fldChar w:fldCharType="begin"/>
      </w:r>
      <w:r>
        <w:rPr>
          <w:rFonts w:hint="eastAsia" w:ascii="宋体" w:hAnsi="宋体" w:cs="宋体"/>
          <w:b/>
          <w:bCs/>
          <w:sz w:val="30"/>
          <w:szCs w:val="30"/>
          <w:highlight w:val="none"/>
        </w:rPr>
        <w:instrText xml:space="preserve"> HYPERLINK \l _Toc3582 </w:instrText>
      </w:r>
      <w:r>
        <w:rPr>
          <w:rFonts w:hint="eastAsia" w:ascii="宋体" w:hAnsi="宋体" w:cs="宋体"/>
          <w:b/>
          <w:bCs/>
          <w:sz w:val="30"/>
          <w:szCs w:val="30"/>
          <w:highlight w:val="none"/>
        </w:rPr>
        <w:fldChar w:fldCharType="separate"/>
      </w:r>
      <w:r>
        <w:rPr>
          <w:rFonts w:hint="eastAsia" w:ascii="宋体" w:hAnsi="宋体" w:cs="宋体"/>
          <w:b/>
          <w:bCs/>
          <w:sz w:val="30"/>
          <w:szCs w:val="30"/>
          <w:highlight w:val="none"/>
        </w:rPr>
        <w:t>第三章 合同范本</w:t>
      </w:r>
      <w:r>
        <w:rPr>
          <w:rFonts w:hint="eastAsia" w:ascii="宋体" w:hAnsi="宋体" w:cs="宋体"/>
          <w:b/>
          <w:bCs/>
          <w:sz w:val="30"/>
          <w:szCs w:val="30"/>
          <w:highlight w:val="none"/>
        </w:rPr>
        <w:tab/>
      </w:r>
      <w:r>
        <w:rPr>
          <w:rFonts w:hint="eastAsia" w:ascii="宋体" w:hAnsi="宋体" w:cs="宋体"/>
          <w:b/>
          <w:bCs/>
          <w:sz w:val="30"/>
          <w:szCs w:val="30"/>
          <w:highlight w:val="none"/>
        </w:rPr>
        <w:fldChar w:fldCharType="begin"/>
      </w:r>
      <w:r>
        <w:rPr>
          <w:rFonts w:hint="eastAsia" w:ascii="宋体" w:hAnsi="宋体" w:cs="宋体"/>
          <w:b/>
          <w:bCs/>
          <w:sz w:val="30"/>
          <w:szCs w:val="30"/>
          <w:highlight w:val="none"/>
        </w:rPr>
        <w:instrText xml:space="preserve"> PAGEREF _Toc3582 \h </w:instrText>
      </w:r>
      <w:r>
        <w:rPr>
          <w:rFonts w:hint="eastAsia" w:ascii="宋体" w:hAnsi="宋体" w:cs="宋体"/>
          <w:b/>
          <w:bCs/>
          <w:sz w:val="30"/>
          <w:szCs w:val="30"/>
          <w:highlight w:val="none"/>
        </w:rPr>
        <w:fldChar w:fldCharType="separate"/>
      </w:r>
      <w:r>
        <w:rPr>
          <w:rFonts w:hint="eastAsia" w:ascii="宋体" w:hAnsi="宋体" w:cs="宋体"/>
          <w:b/>
          <w:bCs/>
          <w:sz w:val="30"/>
          <w:szCs w:val="30"/>
          <w:highlight w:val="none"/>
        </w:rPr>
        <w:t>36</w:t>
      </w:r>
      <w:r>
        <w:rPr>
          <w:rFonts w:hint="eastAsia" w:ascii="宋体" w:hAnsi="宋体" w:cs="宋体"/>
          <w:b/>
          <w:bCs/>
          <w:sz w:val="30"/>
          <w:szCs w:val="30"/>
          <w:highlight w:val="none"/>
        </w:rPr>
        <w:fldChar w:fldCharType="end"/>
      </w:r>
      <w:r>
        <w:rPr>
          <w:rFonts w:hint="eastAsia" w:ascii="宋体" w:hAnsi="宋体" w:cs="宋体"/>
          <w:b/>
          <w:bCs/>
          <w:sz w:val="30"/>
          <w:szCs w:val="30"/>
          <w:highlight w:val="none"/>
        </w:rPr>
        <w:fldChar w:fldCharType="end"/>
      </w:r>
    </w:p>
    <w:p>
      <w:pPr>
        <w:pStyle w:val="124"/>
        <w:tabs>
          <w:tab w:val="right" w:leader="dot" w:pos="9626"/>
        </w:tabs>
        <w:spacing w:line="360" w:lineRule="auto"/>
        <w:rPr>
          <w:rFonts w:hint="eastAsia" w:ascii="宋体" w:hAnsi="宋体" w:cs="宋体"/>
          <w:b/>
          <w:bCs/>
          <w:sz w:val="30"/>
          <w:szCs w:val="30"/>
          <w:highlight w:val="none"/>
        </w:rPr>
      </w:pPr>
      <w:r>
        <w:rPr>
          <w:rFonts w:hint="eastAsia" w:ascii="宋体" w:hAnsi="宋体" w:cs="宋体"/>
          <w:b/>
          <w:bCs/>
          <w:sz w:val="30"/>
          <w:szCs w:val="30"/>
          <w:highlight w:val="none"/>
        </w:rPr>
        <w:fldChar w:fldCharType="begin"/>
      </w:r>
      <w:r>
        <w:rPr>
          <w:rFonts w:hint="eastAsia" w:ascii="宋体" w:hAnsi="宋体" w:cs="宋体"/>
          <w:b/>
          <w:bCs/>
          <w:sz w:val="30"/>
          <w:szCs w:val="30"/>
          <w:highlight w:val="none"/>
        </w:rPr>
        <w:instrText xml:space="preserve"> HYPERLINK \l _Toc9690 </w:instrText>
      </w:r>
      <w:r>
        <w:rPr>
          <w:rFonts w:hint="eastAsia" w:ascii="宋体" w:hAnsi="宋体" w:cs="宋体"/>
          <w:b/>
          <w:bCs/>
          <w:sz w:val="30"/>
          <w:szCs w:val="30"/>
          <w:highlight w:val="none"/>
        </w:rPr>
        <w:fldChar w:fldCharType="separate"/>
      </w:r>
      <w:r>
        <w:rPr>
          <w:rFonts w:hint="eastAsia" w:ascii="宋体" w:hAnsi="宋体" w:cs="宋体"/>
          <w:b/>
          <w:bCs/>
          <w:sz w:val="30"/>
          <w:szCs w:val="30"/>
          <w:highlight w:val="none"/>
        </w:rPr>
        <w:t>第四章 招标内容及需求</w:t>
      </w:r>
      <w:r>
        <w:rPr>
          <w:rFonts w:hint="eastAsia" w:ascii="宋体" w:hAnsi="宋体" w:cs="宋体"/>
          <w:b/>
          <w:bCs/>
          <w:sz w:val="30"/>
          <w:szCs w:val="30"/>
          <w:highlight w:val="none"/>
        </w:rPr>
        <w:tab/>
      </w:r>
      <w:r>
        <w:rPr>
          <w:rFonts w:hint="eastAsia" w:ascii="宋体" w:hAnsi="宋体" w:cs="宋体"/>
          <w:b/>
          <w:bCs/>
          <w:sz w:val="30"/>
          <w:szCs w:val="30"/>
          <w:highlight w:val="none"/>
        </w:rPr>
        <w:fldChar w:fldCharType="begin"/>
      </w:r>
      <w:r>
        <w:rPr>
          <w:rFonts w:hint="eastAsia" w:ascii="宋体" w:hAnsi="宋体" w:cs="宋体"/>
          <w:b/>
          <w:bCs/>
          <w:sz w:val="30"/>
          <w:szCs w:val="30"/>
          <w:highlight w:val="none"/>
        </w:rPr>
        <w:instrText xml:space="preserve"> PAGEREF _Toc9690 \h </w:instrText>
      </w:r>
      <w:r>
        <w:rPr>
          <w:rFonts w:hint="eastAsia" w:ascii="宋体" w:hAnsi="宋体" w:cs="宋体"/>
          <w:b/>
          <w:bCs/>
          <w:sz w:val="30"/>
          <w:szCs w:val="30"/>
          <w:highlight w:val="none"/>
        </w:rPr>
        <w:fldChar w:fldCharType="separate"/>
      </w:r>
      <w:r>
        <w:rPr>
          <w:rFonts w:hint="eastAsia" w:ascii="宋体" w:hAnsi="宋体" w:cs="宋体"/>
          <w:b/>
          <w:bCs/>
          <w:sz w:val="30"/>
          <w:szCs w:val="30"/>
          <w:highlight w:val="none"/>
        </w:rPr>
        <w:t>66</w:t>
      </w:r>
      <w:r>
        <w:rPr>
          <w:rFonts w:hint="eastAsia" w:ascii="宋体" w:hAnsi="宋体" w:cs="宋体"/>
          <w:b/>
          <w:bCs/>
          <w:sz w:val="30"/>
          <w:szCs w:val="30"/>
          <w:highlight w:val="none"/>
        </w:rPr>
        <w:fldChar w:fldCharType="end"/>
      </w:r>
      <w:r>
        <w:rPr>
          <w:rFonts w:hint="eastAsia" w:ascii="宋体" w:hAnsi="宋体" w:cs="宋体"/>
          <w:b/>
          <w:bCs/>
          <w:sz w:val="30"/>
          <w:szCs w:val="30"/>
          <w:highlight w:val="none"/>
        </w:rPr>
        <w:fldChar w:fldCharType="end"/>
      </w:r>
    </w:p>
    <w:p>
      <w:pPr>
        <w:pStyle w:val="124"/>
        <w:tabs>
          <w:tab w:val="right" w:leader="dot" w:pos="9626"/>
        </w:tabs>
        <w:spacing w:line="360" w:lineRule="auto"/>
        <w:rPr>
          <w:rFonts w:hint="eastAsia" w:ascii="宋体" w:hAnsi="宋体" w:cs="宋体"/>
          <w:b/>
          <w:bCs/>
          <w:sz w:val="30"/>
          <w:szCs w:val="30"/>
          <w:highlight w:val="none"/>
        </w:rPr>
      </w:pPr>
      <w:r>
        <w:rPr>
          <w:rFonts w:hint="eastAsia" w:ascii="宋体" w:hAnsi="宋体" w:cs="宋体"/>
          <w:b/>
          <w:bCs/>
          <w:sz w:val="30"/>
          <w:szCs w:val="30"/>
          <w:highlight w:val="none"/>
        </w:rPr>
        <w:fldChar w:fldCharType="begin"/>
      </w:r>
      <w:r>
        <w:rPr>
          <w:rFonts w:hint="eastAsia" w:ascii="宋体" w:hAnsi="宋体" w:cs="宋体"/>
          <w:b/>
          <w:bCs/>
          <w:sz w:val="30"/>
          <w:szCs w:val="30"/>
          <w:highlight w:val="none"/>
        </w:rPr>
        <w:instrText xml:space="preserve"> HYPERLINK \l _Toc29929 </w:instrText>
      </w:r>
      <w:r>
        <w:rPr>
          <w:rFonts w:hint="eastAsia" w:ascii="宋体" w:hAnsi="宋体" w:cs="宋体"/>
          <w:b/>
          <w:bCs/>
          <w:sz w:val="30"/>
          <w:szCs w:val="30"/>
          <w:highlight w:val="none"/>
        </w:rPr>
        <w:fldChar w:fldCharType="separate"/>
      </w:r>
      <w:r>
        <w:rPr>
          <w:rFonts w:hint="eastAsia" w:ascii="宋体" w:hAnsi="宋体" w:cs="宋体"/>
          <w:b/>
          <w:bCs/>
          <w:sz w:val="30"/>
          <w:szCs w:val="30"/>
          <w:highlight w:val="none"/>
        </w:rPr>
        <w:t>第五章 评标办法及评分标准</w:t>
      </w:r>
      <w:r>
        <w:rPr>
          <w:rFonts w:hint="eastAsia" w:ascii="宋体" w:hAnsi="宋体" w:cs="宋体"/>
          <w:b/>
          <w:bCs/>
          <w:sz w:val="30"/>
          <w:szCs w:val="30"/>
          <w:highlight w:val="none"/>
        </w:rPr>
        <w:tab/>
      </w:r>
      <w:r>
        <w:rPr>
          <w:rFonts w:hint="eastAsia" w:ascii="宋体" w:hAnsi="宋体" w:cs="宋体"/>
          <w:b/>
          <w:bCs/>
          <w:sz w:val="30"/>
          <w:szCs w:val="30"/>
          <w:highlight w:val="none"/>
        </w:rPr>
        <w:fldChar w:fldCharType="begin"/>
      </w:r>
      <w:r>
        <w:rPr>
          <w:rFonts w:hint="eastAsia" w:ascii="宋体" w:hAnsi="宋体" w:cs="宋体"/>
          <w:b/>
          <w:bCs/>
          <w:sz w:val="30"/>
          <w:szCs w:val="30"/>
          <w:highlight w:val="none"/>
        </w:rPr>
        <w:instrText xml:space="preserve"> PAGEREF _Toc29929 \h </w:instrText>
      </w:r>
      <w:r>
        <w:rPr>
          <w:rFonts w:hint="eastAsia" w:ascii="宋体" w:hAnsi="宋体" w:cs="宋体"/>
          <w:b/>
          <w:bCs/>
          <w:sz w:val="30"/>
          <w:szCs w:val="30"/>
          <w:highlight w:val="none"/>
        </w:rPr>
        <w:fldChar w:fldCharType="separate"/>
      </w:r>
      <w:r>
        <w:rPr>
          <w:rFonts w:hint="eastAsia" w:ascii="宋体" w:hAnsi="宋体" w:cs="宋体"/>
          <w:b/>
          <w:bCs/>
          <w:sz w:val="30"/>
          <w:szCs w:val="30"/>
          <w:highlight w:val="none"/>
        </w:rPr>
        <w:t>74</w:t>
      </w:r>
      <w:r>
        <w:rPr>
          <w:rFonts w:hint="eastAsia" w:ascii="宋体" w:hAnsi="宋体" w:cs="宋体"/>
          <w:b/>
          <w:bCs/>
          <w:sz w:val="30"/>
          <w:szCs w:val="30"/>
          <w:highlight w:val="none"/>
        </w:rPr>
        <w:fldChar w:fldCharType="end"/>
      </w:r>
      <w:r>
        <w:rPr>
          <w:rFonts w:hint="eastAsia" w:ascii="宋体" w:hAnsi="宋体" w:cs="宋体"/>
          <w:b/>
          <w:bCs/>
          <w:sz w:val="30"/>
          <w:szCs w:val="30"/>
          <w:highlight w:val="none"/>
        </w:rPr>
        <w:fldChar w:fldCharType="end"/>
      </w:r>
    </w:p>
    <w:p>
      <w:pPr>
        <w:pStyle w:val="124"/>
        <w:tabs>
          <w:tab w:val="right" w:leader="dot" w:pos="9626"/>
        </w:tabs>
        <w:spacing w:line="360" w:lineRule="auto"/>
        <w:rPr>
          <w:rFonts w:hint="eastAsia" w:ascii="宋体" w:hAnsi="宋体" w:cs="宋体"/>
          <w:b/>
          <w:bCs/>
          <w:sz w:val="30"/>
          <w:szCs w:val="30"/>
          <w:highlight w:val="none"/>
        </w:rPr>
      </w:pPr>
      <w:r>
        <w:rPr>
          <w:rFonts w:hint="eastAsia" w:ascii="宋体" w:hAnsi="宋体" w:cs="宋体"/>
          <w:b/>
          <w:bCs/>
          <w:sz w:val="30"/>
          <w:szCs w:val="30"/>
          <w:highlight w:val="none"/>
        </w:rPr>
        <w:fldChar w:fldCharType="begin"/>
      </w:r>
      <w:r>
        <w:rPr>
          <w:rFonts w:hint="eastAsia" w:ascii="宋体" w:hAnsi="宋体" w:cs="宋体"/>
          <w:b/>
          <w:bCs/>
          <w:sz w:val="30"/>
          <w:szCs w:val="30"/>
          <w:highlight w:val="none"/>
        </w:rPr>
        <w:instrText xml:space="preserve"> HYPERLINK \l _Toc31769 </w:instrText>
      </w:r>
      <w:r>
        <w:rPr>
          <w:rFonts w:hint="eastAsia" w:ascii="宋体" w:hAnsi="宋体" w:cs="宋体"/>
          <w:b/>
          <w:bCs/>
          <w:sz w:val="30"/>
          <w:szCs w:val="30"/>
          <w:highlight w:val="none"/>
        </w:rPr>
        <w:fldChar w:fldCharType="separate"/>
      </w:r>
      <w:r>
        <w:rPr>
          <w:rFonts w:hint="eastAsia" w:ascii="宋体" w:hAnsi="宋体" w:cs="宋体"/>
          <w:b/>
          <w:bCs/>
          <w:sz w:val="30"/>
          <w:szCs w:val="30"/>
          <w:highlight w:val="none"/>
        </w:rPr>
        <w:t>第六章  投标文件格式（部分）</w:t>
      </w:r>
      <w:r>
        <w:rPr>
          <w:rFonts w:hint="eastAsia" w:ascii="宋体" w:hAnsi="宋体" w:cs="宋体"/>
          <w:b/>
          <w:bCs/>
          <w:sz w:val="30"/>
          <w:szCs w:val="30"/>
          <w:highlight w:val="none"/>
        </w:rPr>
        <w:tab/>
      </w:r>
      <w:r>
        <w:rPr>
          <w:rFonts w:hint="eastAsia" w:ascii="宋体" w:hAnsi="宋体" w:cs="宋体"/>
          <w:b/>
          <w:bCs/>
          <w:sz w:val="30"/>
          <w:szCs w:val="30"/>
          <w:highlight w:val="none"/>
        </w:rPr>
        <w:fldChar w:fldCharType="begin"/>
      </w:r>
      <w:r>
        <w:rPr>
          <w:rFonts w:hint="eastAsia" w:ascii="宋体" w:hAnsi="宋体" w:cs="宋体"/>
          <w:b/>
          <w:bCs/>
          <w:sz w:val="30"/>
          <w:szCs w:val="30"/>
          <w:highlight w:val="none"/>
        </w:rPr>
        <w:instrText xml:space="preserve"> PAGEREF _Toc31769 \h </w:instrText>
      </w:r>
      <w:r>
        <w:rPr>
          <w:rFonts w:hint="eastAsia" w:ascii="宋体" w:hAnsi="宋体" w:cs="宋体"/>
          <w:b/>
          <w:bCs/>
          <w:sz w:val="30"/>
          <w:szCs w:val="30"/>
          <w:highlight w:val="none"/>
        </w:rPr>
        <w:fldChar w:fldCharType="separate"/>
      </w:r>
      <w:r>
        <w:rPr>
          <w:rFonts w:hint="eastAsia" w:ascii="宋体" w:hAnsi="宋体" w:cs="宋体"/>
          <w:b/>
          <w:bCs/>
          <w:sz w:val="30"/>
          <w:szCs w:val="30"/>
          <w:highlight w:val="none"/>
        </w:rPr>
        <w:t>81</w:t>
      </w:r>
      <w:r>
        <w:rPr>
          <w:rFonts w:hint="eastAsia" w:ascii="宋体" w:hAnsi="宋体" w:cs="宋体"/>
          <w:b/>
          <w:bCs/>
          <w:sz w:val="30"/>
          <w:szCs w:val="30"/>
          <w:highlight w:val="none"/>
        </w:rPr>
        <w:fldChar w:fldCharType="end"/>
      </w:r>
      <w:r>
        <w:rPr>
          <w:rFonts w:hint="eastAsia" w:ascii="宋体" w:hAnsi="宋体" w:cs="宋体"/>
          <w:b/>
          <w:bCs/>
          <w:sz w:val="30"/>
          <w:szCs w:val="30"/>
          <w:highlight w:val="none"/>
        </w:rPr>
        <w:fldChar w:fldCharType="end"/>
      </w:r>
    </w:p>
    <w:p>
      <w:pPr>
        <w:pStyle w:val="124"/>
        <w:tabs>
          <w:tab w:val="right" w:leader="dot" w:pos="9626"/>
        </w:tabs>
        <w:spacing w:line="360" w:lineRule="auto"/>
        <w:rPr>
          <w:rFonts w:hint="eastAsia" w:ascii="宋体" w:hAnsi="宋体" w:cs="宋体"/>
          <w:b/>
          <w:bCs/>
          <w:sz w:val="30"/>
          <w:szCs w:val="30"/>
          <w:highlight w:val="none"/>
        </w:rPr>
      </w:pPr>
      <w:r>
        <w:rPr>
          <w:rFonts w:hint="eastAsia" w:ascii="宋体" w:hAnsi="宋体" w:cs="宋体"/>
          <w:b/>
          <w:bCs/>
          <w:sz w:val="30"/>
          <w:szCs w:val="30"/>
          <w:highlight w:val="none"/>
        </w:rPr>
        <w:fldChar w:fldCharType="begin"/>
      </w:r>
      <w:r>
        <w:rPr>
          <w:rFonts w:hint="eastAsia" w:ascii="宋体" w:hAnsi="宋体" w:cs="宋体"/>
          <w:b/>
          <w:bCs/>
          <w:sz w:val="30"/>
          <w:szCs w:val="30"/>
          <w:highlight w:val="none"/>
        </w:rPr>
        <w:instrText xml:space="preserve"> HYPERLINK \l _Toc19751 </w:instrText>
      </w:r>
      <w:r>
        <w:rPr>
          <w:rFonts w:hint="eastAsia" w:ascii="宋体" w:hAnsi="宋体" w:cs="宋体"/>
          <w:b/>
          <w:bCs/>
          <w:sz w:val="30"/>
          <w:szCs w:val="30"/>
          <w:highlight w:val="none"/>
        </w:rPr>
        <w:fldChar w:fldCharType="separate"/>
      </w:r>
      <w:r>
        <w:rPr>
          <w:rFonts w:hint="eastAsia" w:ascii="宋体" w:hAnsi="宋体" w:cs="宋体"/>
          <w:b/>
          <w:bCs/>
          <w:sz w:val="30"/>
          <w:szCs w:val="30"/>
          <w:highlight w:val="none"/>
        </w:rPr>
        <w:t>第七章 招标控制价</w:t>
      </w:r>
      <w:r>
        <w:rPr>
          <w:rFonts w:hint="eastAsia" w:ascii="宋体" w:hAnsi="宋体" w:cs="宋体"/>
          <w:b/>
          <w:bCs/>
          <w:sz w:val="30"/>
          <w:szCs w:val="30"/>
          <w:highlight w:val="none"/>
        </w:rPr>
        <w:tab/>
      </w:r>
      <w:r>
        <w:rPr>
          <w:rFonts w:hint="eastAsia" w:ascii="宋体" w:hAnsi="宋体" w:cs="宋体"/>
          <w:b/>
          <w:bCs/>
          <w:sz w:val="30"/>
          <w:szCs w:val="30"/>
          <w:highlight w:val="none"/>
        </w:rPr>
        <w:fldChar w:fldCharType="begin"/>
      </w:r>
      <w:r>
        <w:rPr>
          <w:rFonts w:hint="eastAsia" w:ascii="宋体" w:hAnsi="宋体" w:cs="宋体"/>
          <w:b/>
          <w:bCs/>
          <w:sz w:val="30"/>
          <w:szCs w:val="30"/>
          <w:highlight w:val="none"/>
        </w:rPr>
        <w:instrText xml:space="preserve"> PAGEREF _Toc19751 \h </w:instrText>
      </w:r>
      <w:r>
        <w:rPr>
          <w:rFonts w:hint="eastAsia" w:ascii="宋体" w:hAnsi="宋体" w:cs="宋体"/>
          <w:b/>
          <w:bCs/>
          <w:sz w:val="30"/>
          <w:szCs w:val="30"/>
          <w:highlight w:val="none"/>
        </w:rPr>
        <w:fldChar w:fldCharType="separate"/>
      </w:r>
      <w:r>
        <w:rPr>
          <w:rFonts w:hint="eastAsia" w:ascii="宋体" w:hAnsi="宋体" w:cs="宋体"/>
          <w:b/>
          <w:bCs/>
          <w:sz w:val="30"/>
          <w:szCs w:val="30"/>
          <w:highlight w:val="none"/>
        </w:rPr>
        <w:t>106</w:t>
      </w:r>
      <w:r>
        <w:rPr>
          <w:rFonts w:hint="eastAsia" w:ascii="宋体" w:hAnsi="宋体" w:cs="宋体"/>
          <w:b/>
          <w:bCs/>
          <w:sz w:val="30"/>
          <w:szCs w:val="30"/>
          <w:highlight w:val="none"/>
        </w:rPr>
        <w:fldChar w:fldCharType="end"/>
      </w:r>
      <w:r>
        <w:rPr>
          <w:rFonts w:hint="eastAsia" w:ascii="宋体" w:hAnsi="宋体" w:cs="宋体"/>
          <w:b/>
          <w:bCs/>
          <w:sz w:val="30"/>
          <w:szCs w:val="30"/>
          <w:highlight w:val="none"/>
        </w:rPr>
        <w:fldChar w:fldCharType="end"/>
      </w:r>
    </w:p>
    <w:p>
      <w:pPr>
        <w:pStyle w:val="124"/>
        <w:tabs>
          <w:tab w:val="right" w:leader="dot" w:pos="8820"/>
        </w:tabs>
        <w:rPr>
          <w:highlight w:val="none"/>
        </w:rPr>
      </w:pPr>
    </w:p>
    <w:p>
      <w:pPr>
        <w:jc w:val="center"/>
        <w:rPr>
          <w:rFonts w:hint="eastAsia" w:ascii="宋体" w:hAnsi="宋体" w:cs="宋体"/>
          <w:b/>
          <w:sz w:val="44"/>
          <w:szCs w:val="44"/>
          <w:highlight w:val="none"/>
        </w:rPr>
      </w:pPr>
      <w:r>
        <w:rPr>
          <w:rFonts w:hint="eastAsia" w:ascii="宋体" w:hAnsi="宋体" w:cs="宋体"/>
          <w:szCs w:val="44"/>
          <w:highlight w:val="none"/>
        </w:rPr>
        <w:fldChar w:fldCharType="end"/>
      </w:r>
    </w:p>
    <w:p>
      <w:pPr>
        <w:pStyle w:val="20"/>
        <w:ind w:firstLine="210"/>
        <w:rPr>
          <w:rFonts w:hint="eastAsia" w:ascii="宋体" w:hAnsi="宋体" w:cs="宋体"/>
          <w:highlight w:val="none"/>
        </w:rPr>
      </w:pPr>
    </w:p>
    <w:p>
      <w:pPr>
        <w:spacing w:before="312" w:beforeLines="100" w:line="400" w:lineRule="exact"/>
        <w:ind w:firstLine="281" w:firstLineChars="100"/>
        <w:jc w:val="left"/>
        <w:rPr>
          <w:rFonts w:hint="eastAsia" w:ascii="宋体" w:hAnsi="宋体" w:cs="宋体"/>
          <w:b/>
          <w:sz w:val="28"/>
          <w:szCs w:val="28"/>
          <w:highlight w:val="none"/>
        </w:rPr>
      </w:pPr>
      <w:r>
        <w:rPr>
          <w:rFonts w:hint="eastAsia" w:ascii="宋体" w:hAnsi="宋体" w:cs="宋体"/>
          <w:b/>
          <w:sz w:val="28"/>
          <w:szCs w:val="28"/>
          <w:highlight w:val="none"/>
        </w:rPr>
        <w:t>温馨提示：</w:t>
      </w:r>
    </w:p>
    <w:p>
      <w:pPr>
        <w:spacing w:before="312" w:beforeLines="100" w:line="400" w:lineRule="exact"/>
        <w:ind w:left="279" w:leftChars="133"/>
        <w:jc w:val="left"/>
        <w:rPr>
          <w:rFonts w:hint="eastAsia" w:ascii="宋体" w:hAnsi="宋体" w:cs="宋体"/>
          <w:b/>
          <w:sz w:val="28"/>
          <w:szCs w:val="28"/>
          <w:highlight w:val="none"/>
        </w:rPr>
      </w:pPr>
      <w:r>
        <w:rPr>
          <w:rFonts w:hint="eastAsia" w:ascii="宋体" w:hAnsi="宋体" w:cs="宋体"/>
          <w:b/>
          <w:sz w:val="28"/>
          <w:szCs w:val="28"/>
          <w:highlight w:val="none"/>
        </w:rPr>
        <w:t>1.参加本项目的各投标人可按招标文件要求的信用记录查询网站预先查询企业信用情况。</w:t>
      </w:r>
    </w:p>
    <w:p>
      <w:pPr>
        <w:spacing w:before="312" w:beforeLines="100" w:line="400" w:lineRule="exact"/>
        <w:ind w:left="279" w:leftChars="133"/>
        <w:jc w:val="left"/>
        <w:rPr>
          <w:rFonts w:hint="eastAsia" w:ascii="宋体" w:hAnsi="宋体" w:cs="宋体"/>
          <w:b/>
          <w:sz w:val="24"/>
          <w:highlight w:val="none"/>
        </w:rPr>
      </w:pPr>
      <w:r>
        <w:rPr>
          <w:rFonts w:hint="eastAsia" w:ascii="宋体" w:hAnsi="宋体" w:cs="宋体"/>
          <w:b/>
          <w:sz w:val="28"/>
          <w:szCs w:val="28"/>
          <w:highlight w:val="none"/>
        </w:rPr>
        <w:t>2.为不影响中标后流程的履行，未在浙江政府采购网注册成为正式投标人的企业请尽快在浙江政府采购网“投标人注册”版块注册成为正式投标人。</w:t>
      </w:r>
    </w:p>
    <w:p>
      <w:pPr>
        <w:spacing w:before="156" w:beforeLines="50" w:after="156" w:afterLines="50"/>
        <w:jc w:val="center"/>
        <w:rPr>
          <w:rFonts w:hint="eastAsia" w:ascii="宋体" w:hAnsi="宋体" w:cs="宋体"/>
          <w:b/>
          <w:sz w:val="36"/>
          <w:szCs w:val="44"/>
          <w:highlight w:val="none"/>
        </w:rPr>
      </w:pPr>
    </w:p>
    <w:p>
      <w:pPr>
        <w:spacing w:before="156" w:beforeLines="50" w:after="156" w:afterLines="50"/>
        <w:jc w:val="center"/>
        <w:rPr>
          <w:rFonts w:hint="eastAsia" w:ascii="宋体" w:hAnsi="宋体" w:cs="宋体"/>
          <w:b/>
          <w:sz w:val="36"/>
          <w:szCs w:val="44"/>
          <w:highlight w:val="none"/>
        </w:rPr>
      </w:pPr>
    </w:p>
    <w:p>
      <w:pPr>
        <w:spacing w:before="156" w:beforeLines="50" w:after="156" w:afterLines="50"/>
        <w:jc w:val="center"/>
        <w:rPr>
          <w:rFonts w:hint="eastAsia" w:ascii="宋体" w:hAnsi="宋体" w:cs="宋体"/>
          <w:b/>
          <w:sz w:val="36"/>
          <w:szCs w:val="44"/>
          <w:highlight w:val="none"/>
        </w:rPr>
      </w:pPr>
    </w:p>
    <w:p>
      <w:pPr>
        <w:spacing w:before="156" w:beforeLines="50" w:after="156" w:afterLines="50"/>
        <w:jc w:val="center"/>
        <w:outlineLvl w:val="0"/>
        <w:rPr>
          <w:rFonts w:hint="eastAsia"/>
          <w:highlight w:val="none"/>
        </w:rPr>
      </w:pPr>
      <w:r>
        <w:rPr>
          <w:rFonts w:hint="eastAsia" w:ascii="宋体" w:hAnsi="宋体" w:cs="宋体"/>
          <w:b/>
          <w:sz w:val="36"/>
          <w:szCs w:val="44"/>
          <w:highlight w:val="none"/>
        </w:rPr>
        <w:br w:type="page"/>
      </w:r>
      <w:bookmarkStart w:id="11" w:name="_Toc20324"/>
      <w:bookmarkStart w:id="12" w:name="_Toc192"/>
      <w:r>
        <w:rPr>
          <w:rStyle w:val="55"/>
          <w:rFonts w:hint="eastAsia"/>
          <w:highlight w:val="none"/>
        </w:rPr>
        <w:t>第一章  招标公告</w:t>
      </w:r>
      <w:bookmarkEnd w:id="11"/>
      <w:bookmarkEnd w:id="12"/>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5" w:type="dxa"/>
            <w:tcBorders>
              <w:top w:val="single" w:color="auto" w:sz="8" w:space="0"/>
              <w:left w:val="single" w:color="auto" w:sz="8" w:space="0"/>
              <w:bottom w:val="single" w:color="auto" w:sz="8" w:space="0"/>
              <w:right w:val="single" w:color="auto" w:sz="8" w:space="0"/>
            </w:tcBorders>
            <w:noWrap w:val="0"/>
            <w:vAlign w:val="top"/>
          </w:tcPr>
          <w:p>
            <w:pPr>
              <w:spacing w:line="480" w:lineRule="auto"/>
              <w:jc w:val="center"/>
              <w:rPr>
                <w:rFonts w:hint="eastAsia" w:ascii="黑体" w:hAnsi="黑体" w:eastAsia="黑体" w:cs="黑体"/>
                <w:sz w:val="24"/>
                <w:highlight w:val="none"/>
                <w:u w:val="single"/>
              </w:rPr>
            </w:pPr>
            <w:r>
              <w:rPr>
                <w:rFonts w:hint="eastAsia" w:ascii="黑体" w:hAnsi="黑体" w:eastAsia="黑体" w:cs="黑体"/>
                <w:b/>
                <w:bCs/>
                <w:sz w:val="32"/>
                <w:szCs w:val="32"/>
                <w:highlight w:val="none"/>
              </w:rPr>
              <w:t>项 目 概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2" w:hRule="atLeast"/>
        </w:trPr>
        <w:tc>
          <w:tcPr>
            <w:tcW w:w="9845" w:type="dxa"/>
            <w:tcBorders>
              <w:top w:val="single" w:color="auto" w:sz="8" w:space="0"/>
              <w:left w:val="single" w:color="auto" w:sz="8" w:space="0"/>
              <w:bottom w:val="single" w:color="auto" w:sz="8" w:space="0"/>
              <w:right w:val="single" w:color="auto" w:sz="8" w:space="0"/>
            </w:tcBorders>
            <w:noWrap w:val="0"/>
            <w:vAlign w:val="top"/>
          </w:tcPr>
          <w:p>
            <w:pPr>
              <w:wordWrap w:val="0"/>
              <w:spacing w:before="156" w:beforeLines="50" w:after="156" w:afterLines="50" w:line="360" w:lineRule="auto"/>
              <w:ind w:firstLine="480" w:firstLineChars="200"/>
              <w:rPr>
                <w:rFonts w:hint="eastAsia" w:ascii="黑体" w:hAnsi="黑体" w:eastAsia="黑体" w:cs="黑体"/>
                <w:sz w:val="24"/>
                <w:highlight w:val="none"/>
                <w:u w:val="single"/>
              </w:rPr>
            </w:pPr>
            <w:r>
              <w:rPr>
                <w:rFonts w:hint="eastAsia" w:ascii="宋体" w:hAnsi="宋体" w:cs="宋体"/>
                <w:sz w:val="24"/>
                <w:highlight w:val="none"/>
                <w:u w:val="single"/>
              </w:rPr>
              <w:t>金华市安地灌区续建配套与节水改造项目（2021-2022年）调增项目灌溉节水宣传馆</w:t>
            </w:r>
            <w:r>
              <w:rPr>
                <w:rFonts w:hint="eastAsia" w:ascii="宋体" w:hAnsi="宋体" w:cs="宋体"/>
                <w:sz w:val="24"/>
                <w:highlight w:val="none"/>
              </w:rPr>
              <w:t>的潜在</w:t>
            </w:r>
            <w:r>
              <w:rPr>
                <w:rFonts w:ascii="宋体" w:hAnsi="宋体" w:cs="宋体"/>
                <w:sz w:val="24"/>
                <w:highlight w:val="none"/>
              </w:rPr>
              <w:t>供应商</w:t>
            </w:r>
            <w:r>
              <w:rPr>
                <w:rFonts w:hint="eastAsia" w:ascii="宋体" w:hAnsi="宋体" w:cs="宋体"/>
                <w:sz w:val="24"/>
                <w:highlight w:val="none"/>
              </w:rPr>
              <w:t>应在浙江政府采购网（http：//zfcg.czt.zj.gov.cn</w:t>
            </w:r>
            <w:r>
              <w:rPr>
                <w:rFonts w:ascii="仿宋" w:hAnsi="仿宋" w:eastAsia="仿宋" w:cs="仿宋"/>
                <w:sz w:val="24"/>
                <w:highlight w:val="none"/>
              </w:rPr>
              <w:t>）</w:t>
            </w:r>
            <w:r>
              <w:rPr>
                <w:rFonts w:hint="eastAsia" w:ascii="宋体" w:hAnsi="宋体" w:cs="宋体"/>
                <w:sz w:val="24"/>
                <w:highlight w:val="none"/>
              </w:rPr>
              <w:t>获取（下载）招标文件，并于</w:t>
            </w:r>
            <w:r>
              <w:rPr>
                <w:rFonts w:hint="eastAsia" w:ascii="宋体" w:hAnsi="宋体" w:cs="宋体"/>
                <w:sz w:val="24"/>
                <w:highlight w:val="none"/>
                <w:u w:val="single"/>
              </w:rPr>
              <w:t xml:space="preserve"> 2023年</w:t>
            </w:r>
            <w:r>
              <w:rPr>
                <w:rFonts w:hint="eastAsia" w:ascii="宋体" w:hAnsi="宋体" w:cs="宋体"/>
                <w:sz w:val="24"/>
                <w:highlight w:val="none"/>
                <w:u w:val="single"/>
                <w:lang w:val="en-US" w:eastAsia="zh-CN"/>
              </w:rPr>
              <w:t>2</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14</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9</w:t>
            </w:r>
            <w:r>
              <w:rPr>
                <w:rFonts w:hint="eastAsia" w:ascii="宋体" w:hAnsi="宋体" w:cs="宋体"/>
                <w:sz w:val="24"/>
                <w:highlight w:val="none"/>
                <w:u w:val="single"/>
              </w:rPr>
              <w:t>:</w:t>
            </w:r>
            <w:r>
              <w:rPr>
                <w:rFonts w:hint="eastAsia" w:ascii="宋体" w:hAnsi="宋体" w:cs="宋体"/>
                <w:sz w:val="24"/>
                <w:highlight w:val="none"/>
                <w:u w:val="single"/>
                <w:lang w:val="en-US" w:eastAsia="zh-CN"/>
              </w:rPr>
              <w:t>30</w:t>
            </w:r>
            <w:r>
              <w:rPr>
                <w:rFonts w:hint="eastAsia" w:ascii="宋体" w:hAnsi="宋体" w:cs="宋体"/>
                <w:sz w:val="24"/>
                <w:highlight w:val="none"/>
              </w:rPr>
              <w:t>（北京时间）前递交（上传）投标文件。</w:t>
            </w:r>
          </w:p>
        </w:tc>
      </w:tr>
    </w:tbl>
    <w:p>
      <w:pPr>
        <w:numPr>
          <w:ilvl w:val="0"/>
          <w:numId w:val="3"/>
        </w:numPr>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项目基本情况：</w:t>
      </w:r>
    </w:p>
    <w:p>
      <w:pPr>
        <w:wordWrap w:val="0"/>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项目编号：</w:t>
      </w:r>
      <w:r>
        <w:rPr>
          <w:rFonts w:hint="eastAsia" w:ascii="宋体" w:hAnsi="宋体" w:cs="宋体"/>
          <w:sz w:val="24"/>
          <w:highlight w:val="none"/>
        </w:rPr>
        <w:t>ZJJS2023-ZFCG001</w:t>
      </w:r>
    </w:p>
    <w:p>
      <w:pPr>
        <w:wordWrap w:val="0"/>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项目名称：</w:t>
      </w:r>
      <w:r>
        <w:rPr>
          <w:rFonts w:hint="eastAsia" w:ascii="宋体" w:hAnsi="宋体" w:cs="宋体"/>
          <w:sz w:val="24"/>
          <w:highlight w:val="none"/>
        </w:rPr>
        <w:t>金华市安地灌区续建配套与节水改造项目（2021-2022年）调增项目灌溉节水宣传馆</w:t>
      </w:r>
    </w:p>
    <w:p>
      <w:pPr>
        <w:wordWrap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预算金额（元）：8000000</w:t>
      </w:r>
    </w:p>
    <w:p>
      <w:pPr>
        <w:wordWrap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最高限价（元）：</w:t>
      </w:r>
    </w:p>
    <w:p>
      <w:pPr>
        <w:wordWrap w:val="0"/>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采购需求：</w:t>
      </w:r>
    </w:p>
    <w:p>
      <w:pPr>
        <w:wordWrap w:val="0"/>
        <w:spacing w:line="360" w:lineRule="auto"/>
        <w:ind w:firstLine="480" w:firstLineChars="200"/>
        <w:rPr>
          <w:rFonts w:hint="eastAsia" w:ascii="宋体" w:hAnsi="宋体" w:cs="宋体"/>
          <w:bCs/>
          <w:sz w:val="24"/>
          <w:highlight w:val="none"/>
        </w:rPr>
      </w:pPr>
    </w:p>
    <w:p>
      <w:pPr>
        <w:wordWrap w:val="0"/>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标项名称:</w:t>
      </w:r>
      <w:r>
        <w:rPr>
          <w:rFonts w:hint="eastAsia" w:ascii="宋体" w:hAnsi="宋体" w:cs="宋体"/>
          <w:sz w:val="24"/>
          <w:highlight w:val="none"/>
        </w:rPr>
        <w:t>金华市安地灌区续建配套与节水改造项目（2021-2022年）调增项目灌溉节水宣传馆</w:t>
      </w:r>
    </w:p>
    <w:p>
      <w:pPr>
        <w:wordWrap w:val="0"/>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数量:1</w:t>
      </w:r>
    </w:p>
    <w:p>
      <w:pPr>
        <w:wordWrap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预算金额（元）:8000000</w:t>
      </w:r>
    </w:p>
    <w:p>
      <w:pPr>
        <w:wordWrap w:val="0"/>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简要规格描述或项目基本概况介绍、用途：具体详见招标文件“第四章 招标内容及需求”。</w:t>
      </w:r>
    </w:p>
    <w:p>
      <w:pPr>
        <w:wordWrap w:val="0"/>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备注：</w:t>
      </w:r>
    </w:p>
    <w:p>
      <w:pPr>
        <w:wordWrap w:val="0"/>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合同履约期限：标项1，具体详见招标文件。</w:t>
      </w:r>
    </w:p>
    <w:p>
      <w:pPr>
        <w:wordWrap w:val="0"/>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本项目（是）接受联合体投标。</w:t>
      </w:r>
    </w:p>
    <w:p>
      <w:pPr>
        <w:wordWrap w:val="0"/>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二、申请人的资格要求：</w:t>
      </w:r>
    </w:p>
    <w:p>
      <w:pPr>
        <w:wordWrap w:val="0"/>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满足《中华人民共和国政府采购法》第二十二条规定；未被“信用中国”（www.creditchina.gov.cn)、中国政府采购网（www.ccgp.gov.cn）列入失信被执行人、重大税收违法失信主体、政府采购严重违法失信行为记录名单。</w:t>
      </w:r>
    </w:p>
    <w:p>
      <w:pPr>
        <w:wordWrap w:val="0"/>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2.落实政府采购政策需满足的资格要求：标项1：</w:t>
      </w:r>
      <w:r>
        <w:rPr>
          <w:rFonts w:hint="eastAsia" w:ascii="宋体" w:hAnsi="宋体" w:cs="宋体"/>
          <w:sz w:val="24"/>
          <w:highlight w:val="none"/>
          <w:lang w:bidi="ar"/>
        </w:rPr>
        <w:t>根据《财政部工业和信息化部关于印发&lt;政府采购促进中小企业发展管理办法&gt;的通知》（财库〔2020〕46号）和《浙江省财政厅关于进一步发挥政府采购政策功能全力推动经济稳进提质的通知》（浙财采监〔2022〕3号）文件规定，</w:t>
      </w:r>
      <w:r>
        <w:rPr>
          <w:rFonts w:hint="eastAsia" w:ascii="宋体" w:hAnsi="宋体" w:cs="宋体"/>
          <w:b/>
          <w:sz w:val="24"/>
          <w:highlight w:val="none"/>
          <w:lang w:bidi="ar"/>
        </w:rPr>
        <w:t>本项目专门面向中小型及以下企业采购</w:t>
      </w:r>
      <w:r>
        <w:rPr>
          <w:rFonts w:hint="eastAsia" w:ascii="宋体" w:hAnsi="宋体" w:cs="宋体"/>
          <w:bCs/>
          <w:sz w:val="24"/>
          <w:highlight w:val="none"/>
        </w:rPr>
        <w:t>。</w:t>
      </w:r>
    </w:p>
    <w:p>
      <w:pPr>
        <w:wordWrap w:val="0"/>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3.本项目的特定资格要求：无。</w:t>
      </w:r>
    </w:p>
    <w:p>
      <w:pPr>
        <w:wordWrap w:val="0"/>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三、获取招标文件：</w:t>
      </w:r>
    </w:p>
    <w:p>
      <w:pPr>
        <w:spacing w:line="360" w:lineRule="auto"/>
        <w:ind w:firstLine="480" w:firstLineChars="200"/>
        <w:jc w:val="left"/>
        <w:rPr>
          <w:rFonts w:hint="eastAsia" w:ascii="宋体" w:hAnsi="宋体" w:cs="宋体"/>
          <w:bCs/>
          <w:sz w:val="24"/>
          <w:highlight w:val="none"/>
          <w:lang w:bidi="ar"/>
        </w:rPr>
      </w:pPr>
      <w:r>
        <w:rPr>
          <w:rFonts w:hint="eastAsia" w:ascii="宋体" w:hAnsi="宋体" w:cs="宋体"/>
          <w:bCs/>
          <w:sz w:val="24"/>
          <w:highlight w:val="none"/>
          <w:lang w:bidi="ar"/>
        </w:rPr>
        <w:t>时间：/至2023年</w:t>
      </w:r>
      <w:r>
        <w:rPr>
          <w:rFonts w:hint="eastAsia" w:ascii="宋体" w:hAnsi="宋体" w:cs="宋体"/>
          <w:bCs/>
          <w:sz w:val="24"/>
          <w:highlight w:val="none"/>
          <w:lang w:val="en-US" w:eastAsia="zh-CN" w:bidi="ar"/>
        </w:rPr>
        <w:t>2</w:t>
      </w:r>
      <w:r>
        <w:rPr>
          <w:rFonts w:hint="eastAsia" w:ascii="宋体" w:hAnsi="宋体" w:cs="宋体"/>
          <w:bCs/>
          <w:sz w:val="24"/>
          <w:highlight w:val="none"/>
          <w:lang w:bidi="ar"/>
        </w:rPr>
        <w:t xml:space="preserve"> 月</w:t>
      </w:r>
      <w:r>
        <w:rPr>
          <w:rFonts w:hint="eastAsia" w:ascii="宋体" w:hAnsi="宋体" w:cs="宋体"/>
          <w:bCs/>
          <w:sz w:val="24"/>
          <w:highlight w:val="none"/>
          <w:lang w:val="en-US" w:eastAsia="zh-CN" w:bidi="ar"/>
        </w:rPr>
        <w:t>13</w:t>
      </w:r>
      <w:r>
        <w:rPr>
          <w:rFonts w:hint="eastAsia" w:ascii="宋体" w:hAnsi="宋体" w:cs="宋体"/>
          <w:bCs/>
          <w:sz w:val="24"/>
          <w:highlight w:val="none"/>
          <w:lang w:bidi="ar"/>
        </w:rPr>
        <w:t>日，每天上午00:00至12:00，下午12:00至23:59（北京时间，线上获取法定节假日均可，线下获取文件法定节假日除外）</w:t>
      </w:r>
    </w:p>
    <w:p>
      <w:pPr>
        <w:spacing w:line="360" w:lineRule="auto"/>
        <w:ind w:firstLine="480" w:firstLineChars="200"/>
        <w:jc w:val="left"/>
        <w:rPr>
          <w:rFonts w:hint="eastAsia" w:ascii="宋体" w:hAnsi="宋体" w:cs="宋体"/>
          <w:bCs/>
          <w:sz w:val="24"/>
          <w:highlight w:val="none"/>
          <w:lang w:bidi="ar"/>
        </w:rPr>
      </w:pPr>
      <w:r>
        <w:rPr>
          <w:rFonts w:hint="eastAsia" w:ascii="宋体" w:hAnsi="宋体" w:cs="宋体"/>
          <w:bCs/>
          <w:sz w:val="24"/>
          <w:highlight w:val="none"/>
          <w:lang w:bidi="ar"/>
        </w:rPr>
        <w:t>地点（网址）：浙江省政府采购网（http://zfcg.czt.zj.gov.cn）</w:t>
      </w:r>
    </w:p>
    <w:p>
      <w:pPr>
        <w:spacing w:line="360" w:lineRule="auto"/>
        <w:ind w:firstLine="480" w:firstLineChars="200"/>
        <w:jc w:val="left"/>
        <w:rPr>
          <w:rFonts w:hint="eastAsia" w:ascii="宋体" w:hAnsi="宋体" w:cs="宋体"/>
          <w:bCs/>
          <w:sz w:val="24"/>
          <w:highlight w:val="none"/>
          <w:lang w:bidi="ar"/>
        </w:rPr>
      </w:pPr>
      <w:r>
        <w:rPr>
          <w:rFonts w:hint="eastAsia" w:ascii="宋体" w:hAnsi="宋体" w:cs="宋体"/>
          <w:bCs/>
          <w:sz w:val="24"/>
          <w:highlight w:val="none"/>
          <w:lang w:bidi="ar"/>
        </w:rPr>
        <w:t>方式：供应商登录政采云平台https://www.zcygov.cn/在线申请获取采购文件（进入“项目采购”应用，在获取采购文件菜单中选择项目，申请获取采购文件）</w:t>
      </w:r>
    </w:p>
    <w:p>
      <w:pPr>
        <w:spacing w:line="360" w:lineRule="auto"/>
        <w:ind w:firstLine="480" w:firstLineChars="200"/>
        <w:jc w:val="left"/>
        <w:rPr>
          <w:rFonts w:hint="eastAsia" w:ascii="宋体" w:hAnsi="宋体" w:cs="宋体"/>
          <w:bCs/>
          <w:sz w:val="24"/>
          <w:highlight w:val="none"/>
          <w:lang w:bidi="ar"/>
        </w:rPr>
      </w:pPr>
      <w:r>
        <w:rPr>
          <w:rFonts w:hint="eastAsia" w:ascii="宋体" w:hAnsi="宋体" w:cs="宋体"/>
          <w:bCs/>
          <w:sz w:val="24"/>
          <w:highlight w:val="none"/>
          <w:lang w:bidi="ar"/>
        </w:rPr>
        <w:t>售价（元）：0</w:t>
      </w:r>
    </w:p>
    <w:p>
      <w:pPr>
        <w:wordWrap w:val="0"/>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四、提交投标文件截止时间与地点：</w:t>
      </w:r>
    </w:p>
    <w:p>
      <w:pPr>
        <w:spacing w:line="360" w:lineRule="auto"/>
        <w:ind w:firstLine="480" w:firstLineChars="200"/>
        <w:jc w:val="left"/>
        <w:rPr>
          <w:rFonts w:hint="eastAsia" w:ascii="宋体" w:hAnsi="宋体" w:cs="宋体"/>
          <w:bCs/>
          <w:sz w:val="24"/>
          <w:highlight w:val="none"/>
          <w:lang w:bidi="ar"/>
        </w:rPr>
      </w:pPr>
      <w:r>
        <w:rPr>
          <w:rFonts w:hint="eastAsia" w:ascii="宋体" w:hAnsi="宋体" w:cs="宋体"/>
          <w:bCs/>
          <w:sz w:val="24"/>
          <w:highlight w:val="none"/>
          <w:lang w:bidi="ar"/>
        </w:rPr>
        <w:t>提交投标文件截止时间：2023年</w:t>
      </w:r>
      <w:r>
        <w:rPr>
          <w:rFonts w:hint="eastAsia" w:ascii="宋体" w:hAnsi="宋体" w:cs="宋体"/>
          <w:bCs/>
          <w:sz w:val="24"/>
          <w:highlight w:val="none"/>
          <w:lang w:val="en-US" w:eastAsia="zh-CN" w:bidi="ar"/>
        </w:rPr>
        <w:t>2</w:t>
      </w:r>
      <w:r>
        <w:rPr>
          <w:rFonts w:hint="eastAsia" w:ascii="宋体" w:hAnsi="宋体" w:cs="宋体"/>
          <w:bCs/>
          <w:sz w:val="24"/>
          <w:highlight w:val="none"/>
          <w:lang w:bidi="ar"/>
        </w:rPr>
        <w:t>月</w:t>
      </w:r>
      <w:r>
        <w:rPr>
          <w:rFonts w:hint="eastAsia" w:ascii="宋体" w:hAnsi="宋体" w:cs="宋体"/>
          <w:bCs/>
          <w:sz w:val="24"/>
          <w:highlight w:val="none"/>
          <w:lang w:val="en-US" w:eastAsia="zh-CN" w:bidi="ar"/>
        </w:rPr>
        <w:t>14</w:t>
      </w:r>
      <w:r>
        <w:rPr>
          <w:rFonts w:hint="eastAsia" w:ascii="宋体" w:hAnsi="宋体" w:cs="宋体"/>
          <w:bCs/>
          <w:sz w:val="24"/>
          <w:highlight w:val="none"/>
          <w:lang w:bidi="ar"/>
        </w:rPr>
        <w:t>日09:</w:t>
      </w:r>
      <w:r>
        <w:rPr>
          <w:rFonts w:hint="eastAsia" w:ascii="宋体" w:hAnsi="宋体" w:cs="宋体"/>
          <w:bCs/>
          <w:sz w:val="24"/>
          <w:highlight w:val="none"/>
          <w:lang w:val="en-US" w:eastAsia="zh-CN" w:bidi="ar"/>
        </w:rPr>
        <w:t>3</w:t>
      </w:r>
      <w:r>
        <w:rPr>
          <w:rFonts w:hint="eastAsia" w:ascii="宋体" w:hAnsi="宋体" w:cs="宋体"/>
          <w:bCs/>
          <w:sz w:val="24"/>
          <w:highlight w:val="none"/>
          <w:lang w:bidi="ar"/>
        </w:rPr>
        <w:t>0（北京时间）</w:t>
      </w:r>
    </w:p>
    <w:p>
      <w:pPr>
        <w:spacing w:line="360" w:lineRule="auto"/>
        <w:ind w:firstLine="480" w:firstLineChars="200"/>
        <w:jc w:val="left"/>
        <w:rPr>
          <w:rFonts w:hint="eastAsia" w:ascii="宋体" w:hAnsi="宋体" w:cs="宋体"/>
          <w:bCs/>
          <w:sz w:val="24"/>
          <w:highlight w:val="none"/>
          <w:lang w:bidi="ar"/>
        </w:rPr>
      </w:pPr>
      <w:r>
        <w:rPr>
          <w:rFonts w:hint="eastAsia" w:ascii="宋体" w:hAnsi="宋体" w:cs="宋体"/>
          <w:bCs/>
          <w:sz w:val="24"/>
          <w:highlight w:val="none"/>
          <w:lang w:bidi="ar"/>
        </w:rPr>
        <w:t>投标地点（网址）：“政采云投标客户端”（本项目采用在线投标方式，供应商须在投标截止时间前按规定上传加密的投标文件至政采云平台）</w:t>
      </w:r>
    </w:p>
    <w:p>
      <w:pPr>
        <w:spacing w:line="360" w:lineRule="auto"/>
        <w:ind w:firstLine="480" w:firstLineChars="200"/>
        <w:jc w:val="left"/>
        <w:rPr>
          <w:rFonts w:hint="eastAsia" w:ascii="宋体" w:hAnsi="宋体" w:cs="宋体"/>
          <w:bCs/>
          <w:sz w:val="24"/>
          <w:highlight w:val="none"/>
          <w:lang w:bidi="ar"/>
        </w:rPr>
      </w:pPr>
      <w:r>
        <w:rPr>
          <w:rFonts w:hint="eastAsia" w:ascii="宋体" w:hAnsi="宋体" w:cs="宋体"/>
          <w:bCs/>
          <w:sz w:val="24"/>
          <w:highlight w:val="none"/>
          <w:lang w:bidi="ar"/>
        </w:rPr>
        <w:t>开标时间：2023年</w:t>
      </w:r>
      <w:r>
        <w:rPr>
          <w:rFonts w:hint="eastAsia" w:ascii="宋体" w:hAnsi="宋体" w:cs="宋体"/>
          <w:bCs/>
          <w:sz w:val="24"/>
          <w:highlight w:val="none"/>
          <w:lang w:val="en-US" w:eastAsia="zh-CN" w:bidi="ar"/>
        </w:rPr>
        <w:t>2</w:t>
      </w:r>
      <w:r>
        <w:rPr>
          <w:rFonts w:hint="eastAsia" w:ascii="宋体" w:hAnsi="宋体" w:cs="宋体"/>
          <w:bCs/>
          <w:sz w:val="24"/>
          <w:highlight w:val="none"/>
          <w:lang w:bidi="ar"/>
        </w:rPr>
        <w:t>月</w:t>
      </w:r>
      <w:r>
        <w:rPr>
          <w:rFonts w:hint="eastAsia" w:ascii="宋体" w:hAnsi="宋体" w:cs="宋体"/>
          <w:bCs/>
          <w:sz w:val="24"/>
          <w:highlight w:val="none"/>
          <w:lang w:val="en-US" w:eastAsia="zh-CN" w:bidi="ar"/>
        </w:rPr>
        <w:t>1</w:t>
      </w:r>
      <w:r>
        <w:rPr>
          <w:rFonts w:hint="eastAsia" w:ascii="宋体" w:hAnsi="宋体" w:cs="宋体"/>
          <w:bCs/>
          <w:sz w:val="24"/>
          <w:highlight w:val="none"/>
          <w:lang w:val="en-US" w:eastAsia="zh-CN" w:bidi="ar"/>
        </w:rPr>
        <w:t>4</w:t>
      </w:r>
      <w:r>
        <w:rPr>
          <w:rFonts w:hint="eastAsia" w:ascii="宋体" w:hAnsi="宋体" w:cs="宋体"/>
          <w:bCs/>
          <w:sz w:val="24"/>
          <w:highlight w:val="none"/>
          <w:lang w:bidi="ar"/>
        </w:rPr>
        <w:t>日09:</w:t>
      </w:r>
      <w:r>
        <w:rPr>
          <w:rFonts w:hint="eastAsia" w:ascii="宋体" w:hAnsi="宋体" w:cs="宋体"/>
          <w:bCs/>
          <w:sz w:val="24"/>
          <w:highlight w:val="none"/>
          <w:lang w:val="en-US" w:eastAsia="zh-CN" w:bidi="ar"/>
        </w:rPr>
        <w:t>3</w:t>
      </w:r>
      <w:r>
        <w:rPr>
          <w:rFonts w:hint="eastAsia" w:ascii="宋体" w:hAnsi="宋体" w:cs="宋体"/>
          <w:bCs/>
          <w:sz w:val="24"/>
          <w:highlight w:val="none"/>
          <w:lang w:bidi="ar"/>
        </w:rPr>
        <w:t>0</w:t>
      </w:r>
    </w:p>
    <w:p>
      <w:pPr>
        <w:spacing w:line="360" w:lineRule="auto"/>
        <w:ind w:firstLine="480" w:firstLineChars="200"/>
        <w:jc w:val="left"/>
        <w:rPr>
          <w:rFonts w:hint="eastAsia" w:ascii="宋体" w:hAnsi="宋体" w:eastAsia="宋体" w:cs="宋体"/>
          <w:bCs/>
          <w:sz w:val="24"/>
          <w:highlight w:val="none"/>
          <w:lang w:bidi="ar"/>
        </w:rPr>
      </w:pPr>
      <w:r>
        <w:rPr>
          <w:rFonts w:hint="eastAsia" w:ascii="宋体" w:hAnsi="宋体" w:cs="宋体"/>
          <w:bCs/>
          <w:sz w:val="24"/>
          <w:highlight w:val="none"/>
          <w:lang w:bidi="ar"/>
        </w:rPr>
        <w:t>开标地点（网址）：浙江省金华市婺城</w:t>
      </w:r>
      <w:r>
        <w:rPr>
          <w:rFonts w:hint="eastAsia" w:ascii="宋体" w:hAnsi="宋体" w:eastAsia="宋体" w:cs="宋体"/>
          <w:bCs/>
          <w:sz w:val="24"/>
          <w:highlight w:val="none"/>
          <w:lang w:bidi="ar"/>
        </w:rPr>
        <w:t>区金华市双龙南街858号财富大厦4楼开标1室政府采购开标1室</w:t>
      </w:r>
    </w:p>
    <w:p>
      <w:pPr>
        <w:wordWrap w:val="0"/>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五、采购意向公开链接</w:t>
      </w:r>
    </w:p>
    <w:p>
      <w:pPr>
        <w:spacing w:line="360" w:lineRule="auto"/>
        <w:ind w:firstLine="480" w:firstLineChars="200"/>
        <w:jc w:val="left"/>
        <w:rPr>
          <w:rFonts w:hint="eastAsia" w:ascii="宋体" w:hAnsi="宋体" w:cs="宋体"/>
          <w:bCs/>
          <w:sz w:val="24"/>
          <w:highlight w:val="none"/>
          <w:lang w:bidi="ar"/>
        </w:rPr>
      </w:pPr>
      <w:r>
        <w:rPr>
          <w:rFonts w:hint="eastAsia" w:ascii="宋体" w:hAnsi="宋体" w:cs="宋体"/>
          <w:bCs/>
          <w:sz w:val="24"/>
          <w:highlight w:val="none"/>
          <w:lang w:bidi="ar"/>
        </w:rPr>
        <w:t>https://zfcg.czt.zj.gov.cn/innerUsed_noticeDetails/index.html?noticeId=9184848&amp;utm=web-government-front.49399a16.0.0.53a60a40970311ed9a5b07b1d44bf4e5</w:t>
      </w:r>
    </w:p>
    <w:p>
      <w:pPr>
        <w:wordWrap w:val="0"/>
        <w:spacing w:line="360" w:lineRule="auto"/>
        <w:ind w:firstLine="482" w:firstLineChars="200"/>
        <w:rPr>
          <w:rFonts w:hint="eastAsia" w:ascii="宋体" w:hAnsi="宋体" w:cs="宋体"/>
          <w:sz w:val="24"/>
          <w:highlight w:val="none"/>
        </w:rPr>
      </w:pPr>
      <w:r>
        <w:rPr>
          <w:rFonts w:hint="eastAsia" w:ascii="宋体" w:hAnsi="宋体" w:cs="宋体"/>
          <w:b/>
          <w:bCs/>
          <w:sz w:val="24"/>
          <w:highlight w:val="none"/>
        </w:rPr>
        <w:t>六、公告期限：</w:t>
      </w:r>
      <w:r>
        <w:rPr>
          <w:rFonts w:hint="eastAsia" w:ascii="宋体" w:hAnsi="宋体" w:cs="宋体"/>
          <w:sz w:val="24"/>
          <w:highlight w:val="none"/>
        </w:rPr>
        <w:t>自本公告发布之日起5个工作日。</w:t>
      </w:r>
    </w:p>
    <w:p>
      <w:pPr>
        <w:wordWrap w:val="0"/>
        <w:spacing w:line="360" w:lineRule="auto"/>
        <w:ind w:firstLine="482" w:firstLineChars="200"/>
        <w:rPr>
          <w:rFonts w:hint="eastAsia" w:ascii="宋体" w:hAnsi="宋体" w:cs="宋体"/>
          <w:b/>
          <w:bCs/>
          <w:sz w:val="24"/>
          <w:highlight w:val="none"/>
        </w:rPr>
      </w:pPr>
      <w:bookmarkStart w:id="13" w:name="_Toc35393795"/>
      <w:bookmarkStart w:id="14" w:name="_Toc35393626"/>
      <w:r>
        <w:rPr>
          <w:rFonts w:hint="eastAsia" w:ascii="宋体" w:hAnsi="宋体" w:cs="宋体"/>
          <w:b/>
          <w:bCs/>
          <w:sz w:val="24"/>
          <w:highlight w:val="none"/>
        </w:rPr>
        <w:t>七、其他补充事宜</w:t>
      </w:r>
      <w:bookmarkEnd w:id="13"/>
      <w:bookmarkEnd w:id="14"/>
      <w:r>
        <w:rPr>
          <w:rFonts w:hint="eastAsia" w:ascii="宋体" w:hAnsi="宋体" w:cs="宋体"/>
          <w:b/>
          <w:bCs/>
          <w:sz w:val="24"/>
          <w:highlight w:val="none"/>
        </w:rPr>
        <w:t>：</w:t>
      </w:r>
    </w:p>
    <w:p>
      <w:pPr>
        <w:spacing w:line="360" w:lineRule="auto"/>
        <w:ind w:firstLine="480" w:firstLineChars="200"/>
        <w:jc w:val="left"/>
        <w:rPr>
          <w:rFonts w:hint="eastAsia" w:ascii="宋体" w:hAnsi="宋体" w:cs="宋体"/>
          <w:bCs/>
          <w:sz w:val="24"/>
          <w:highlight w:val="none"/>
          <w:lang w:bidi="ar"/>
        </w:rPr>
      </w:pPr>
      <w:r>
        <w:rPr>
          <w:rFonts w:hint="eastAsia" w:ascii="宋体" w:hAnsi="宋体" w:cs="宋体"/>
          <w:bCs/>
          <w:sz w:val="24"/>
          <w:highlight w:val="none"/>
          <w:lang w:bidi="ar"/>
        </w:rPr>
        <w:t>1.《浙江省财政厅关于进一步发挥政府采购政策功能全力推动经济稳进提质的通知》（浙财采监</w:t>
      </w:r>
      <w:r>
        <w:rPr>
          <w:rFonts w:hint="eastAsia" w:ascii="宋体" w:hAnsi="宋体" w:cs="宋体"/>
          <w:sz w:val="24"/>
          <w:highlight w:val="none"/>
          <w:lang w:bidi="ar"/>
        </w:rPr>
        <w:t>〔202</w:t>
      </w:r>
      <w:r>
        <w:rPr>
          <w:rFonts w:ascii="宋体" w:hAnsi="宋体" w:cs="宋体"/>
          <w:sz w:val="24"/>
          <w:highlight w:val="none"/>
          <w:lang w:bidi="ar"/>
        </w:rPr>
        <w:t>2</w:t>
      </w:r>
      <w:r>
        <w:rPr>
          <w:rFonts w:hint="eastAsia" w:ascii="宋体" w:hAnsi="宋体" w:cs="宋体"/>
          <w:sz w:val="24"/>
          <w:highlight w:val="none"/>
          <w:lang w:bidi="ar"/>
        </w:rPr>
        <w:t>〕</w:t>
      </w:r>
      <w:r>
        <w:rPr>
          <w:rFonts w:hint="eastAsia" w:ascii="宋体" w:hAnsi="宋体" w:cs="宋体"/>
          <w:bCs/>
          <w:sz w:val="24"/>
          <w:highlight w:val="none"/>
          <w:lang w:bidi="ar"/>
        </w:rPr>
        <w:t>3号）、《浙江省财政厅关于进一步促进政府采购公平竞争打造最优营商环境的通知》（浙财采监</w:t>
      </w:r>
      <w:r>
        <w:rPr>
          <w:rFonts w:hint="eastAsia" w:ascii="宋体" w:hAnsi="宋体" w:cs="宋体"/>
          <w:sz w:val="24"/>
          <w:highlight w:val="none"/>
          <w:lang w:bidi="ar"/>
        </w:rPr>
        <w:t>〔202</w:t>
      </w:r>
      <w:r>
        <w:rPr>
          <w:rFonts w:ascii="宋体" w:hAnsi="宋体" w:cs="宋体"/>
          <w:sz w:val="24"/>
          <w:highlight w:val="none"/>
          <w:lang w:bidi="ar"/>
        </w:rPr>
        <w:t>1</w:t>
      </w:r>
      <w:r>
        <w:rPr>
          <w:rFonts w:hint="eastAsia" w:ascii="宋体" w:hAnsi="宋体" w:cs="宋体"/>
          <w:sz w:val="24"/>
          <w:highlight w:val="none"/>
          <w:lang w:bidi="ar"/>
        </w:rPr>
        <w:t>〕</w:t>
      </w:r>
      <w:r>
        <w:rPr>
          <w:rFonts w:hint="eastAsia" w:ascii="宋体" w:hAnsi="宋体" w:cs="宋体"/>
          <w:bCs/>
          <w:sz w:val="24"/>
          <w:highlight w:val="none"/>
          <w:lang w:bidi="ar"/>
        </w:rPr>
        <w:t>22号））、《浙江省财政厅关于进一步加大政府采购支持中小企业力度助力扎实稳住经济的通知》（浙财采监</w:t>
      </w:r>
      <w:r>
        <w:rPr>
          <w:rFonts w:hint="eastAsia" w:ascii="宋体" w:hAnsi="宋体" w:cs="宋体"/>
          <w:sz w:val="24"/>
          <w:highlight w:val="none"/>
          <w:lang w:bidi="ar"/>
        </w:rPr>
        <w:t>〔202</w:t>
      </w:r>
      <w:r>
        <w:rPr>
          <w:rFonts w:ascii="宋体" w:hAnsi="宋体" w:cs="宋体"/>
          <w:sz w:val="24"/>
          <w:highlight w:val="none"/>
          <w:lang w:bidi="ar"/>
        </w:rPr>
        <w:t>2</w:t>
      </w:r>
      <w:r>
        <w:rPr>
          <w:rFonts w:hint="eastAsia" w:ascii="宋体" w:hAnsi="宋体" w:cs="宋体"/>
          <w:sz w:val="24"/>
          <w:highlight w:val="none"/>
          <w:lang w:bidi="ar"/>
        </w:rPr>
        <w:t>〕</w:t>
      </w:r>
      <w:r>
        <w:rPr>
          <w:rFonts w:hint="eastAsia" w:ascii="宋体" w:hAnsi="宋体" w:cs="宋体"/>
          <w:bCs/>
          <w:sz w:val="24"/>
          <w:highlight w:val="none"/>
          <w:lang w:bidi="ar"/>
        </w:rPr>
        <w:t>8号）已分别于2022年1月29日、2022年2月1日和2022年7月1日开始实施，此前有关规定与上述文件内容不一致的，按上述文件要求执行。</w:t>
      </w:r>
    </w:p>
    <w:p>
      <w:pPr>
        <w:spacing w:line="360" w:lineRule="auto"/>
        <w:ind w:firstLine="480" w:firstLineChars="200"/>
        <w:jc w:val="left"/>
        <w:rPr>
          <w:rFonts w:hint="eastAsia" w:ascii="宋体" w:hAnsi="宋体" w:cs="宋体"/>
          <w:bCs/>
          <w:sz w:val="24"/>
          <w:highlight w:val="none"/>
          <w:lang w:bidi="ar"/>
        </w:rPr>
      </w:pPr>
      <w:r>
        <w:rPr>
          <w:rFonts w:hint="eastAsia" w:ascii="宋体" w:hAnsi="宋体" w:cs="宋体"/>
          <w:bCs/>
          <w:sz w:val="24"/>
          <w:highlight w:val="none"/>
          <w:lang w:bidi="ar"/>
        </w:rPr>
        <w:t>2.根据《浙江省财政厅关于进一步促进政府采购公平竞争打造最优营商环境的通知》（浙财采监</w:t>
      </w:r>
      <w:r>
        <w:rPr>
          <w:rFonts w:hint="eastAsia" w:ascii="宋体" w:hAnsi="宋体" w:cs="宋体"/>
          <w:sz w:val="24"/>
          <w:highlight w:val="none"/>
          <w:lang w:bidi="ar"/>
        </w:rPr>
        <w:t>〔202</w:t>
      </w:r>
      <w:r>
        <w:rPr>
          <w:rFonts w:ascii="宋体" w:hAnsi="宋体" w:cs="宋体"/>
          <w:sz w:val="24"/>
          <w:highlight w:val="none"/>
          <w:lang w:bidi="ar"/>
        </w:rPr>
        <w:t>1</w:t>
      </w:r>
      <w:r>
        <w:rPr>
          <w:rFonts w:hint="eastAsia" w:ascii="宋体" w:hAnsi="宋体" w:cs="宋体"/>
          <w:sz w:val="24"/>
          <w:highlight w:val="none"/>
          <w:lang w:bidi="ar"/>
        </w:rPr>
        <w:t>〕</w:t>
      </w:r>
      <w:r>
        <w:rPr>
          <w:rFonts w:hint="eastAsia" w:ascii="宋体" w:hAnsi="宋体" w:cs="宋体"/>
          <w:bCs/>
          <w:sz w:val="24"/>
          <w:highlight w:val="none"/>
          <w:lang w:bidi="ar"/>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jc w:val="left"/>
        <w:rPr>
          <w:rFonts w:hint="eastAsia" w:ascii="宋体" w:hAnsi="宋体" w:cs="宋体"/>
          <w:bCs/>
          <w:sz w:val="24"/>
          <w:highlight w:val="none"/>
          <w:lang w:bidi="ar"/>
        </w:rPr>
      </w:pPr>
      <w:r>
        <w:rPr>
          <w:rFonts w:hint="eastAsia" w:ascii="宋体" w:hAnsi="宋体" w:cs="宋体"/>
          <w:bCs/>
          <w:sz w:val="24"/>
          <w:highlight w:val="none"/>
          <w:lang w:bidi="ar"/>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jc w:val="left"/>
        <w:rPr>
          <w:rFonts w:hint="eastAsia" w:ascii="宋体" w:hAnsi="宋体" w:cs="宋体"/>
          <w:bCs/>
          <w:sz w:val="24"/>
          <w:highlight w:val="none"/>
          <w:lang w:bidi="ar"/>
        </w:rPr>
      </w:pPr>
      <w:r>
        <w:rPr>
          <w:rFonts w:hint="eastAsia" w:ascii="宋体" w:hAnsi="宋体" w:cs="宋体"/>
          <w:bCs/>
          <w:sz w:val="24"/>
          <w:highlight w:val="none"/>
          <w:lang w:bidi="ar"/>
        </w:rPr>
        <w:t>4.其他事项：本项目通过浙江政府采购网政府采购云平台在线开标，供应商无需到开标现场，但须准时在线参加，直至评审结束。开标截止时间后30分钟以内供应商登录“政采云”平台，用“项目采购-开标评标”功能进行解密投标文件。若供应商在规定时间内投标文件无法解密或解密失败（含未提交），则投标无效。</w:t>
      </w:r>
    </w:p>
    <w:p>
      <w:pPr>
        <w:wordWrap w:val="0"/>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八、对本次采购提出询问、质疑、投诉，请按以下方式联系</w:t>
      </w:r>
    </w:p>
    <w:p>
      <w:pPr>
        <w:spacing w:line="360" w:lineRule="auto"/>
        <w:ind w:firstLine="480" w:firstLineChars="200"/>
        <w:jc w:val="left"/>
        <w:rPr>
          <w:rFonts w:hint="eastAsia" w:ascii="宋体" w:hAnsi="宋体" w:cs="宋体"/>
          <w:bCs/>
          <w:sz w:val="24"/>
          <w:highlight w:val="none"/>
          <w:lang w:bidi="ar"/>
        </w:rPr>
      </w:pPr>
      <w:r>
        <w:rPr>
          <w:rFonts w:hint="eastAsia" w:ascii="宋体" w:hAnsi="宋体" w:cs="宋体"/>
          <w:bCs/>
          <w:sz w:val="24"/>
          <w:highlight w:val="none"/>
          <w:lang w:bidi="ar"/>
        </w:rPr>
        <w:t>1.采购人信息</w:t>
      </w:r>
    </w:p>
    <w:p>
      <w:pPr>
        <w:spacing w:line="360" w:lineRule="auto"/>
        <w:ind w:firstLine="480" w:firstLineChars="200"/>
        <w:jc w:val="left"/>
        <w:rPr>
          <w:rFonts w:hint="eastAsia" w:ascii="宋体" w:hAnsi="宋体" w:cs="宋体"/>
          <w:bCs/>
          <w:sz w:val="24"/>
          <w:highlight w:val="none"/>
          <w:lang w:bidi="ar"/>
        </w:rPr>
      </w:pPr>
      <w:r>
        <w:rPr>
          <w:rFonts w:hint="eastAsia" w:ascii="宋体" w:hAnsi="宋体" w:cs="宋体"/>
          <w:bCs/>
          <w:sz w:val="24"/>
          <w:highlight w:val="none"/>
          <w:lang w:bidi="ar"/>
        </w:rPr>
        <w:t>名 称：</w:t>
      </w:r>
      <w:r>
        <w:rPr>
          <w:rFonts w:hint="eastAsia" w:ascii="宋体" w:hAnsi="宋体" w:cs="宋体"/>
          <w:sz w:val="24"/>
          <w:highlight w:val="none"/>
        </w:rPr>
        <w:t>金华市梅溪流域管理中心</w:t>
      </w:r>
    </w:p>
    <w:p>
      <w:pPr>
        <w:spacing w:line="360" w:lineRule="auto"/>
        <w:ind w:firstLine="480" w:firstLineChars="200"/>
        <w:jc w:val="left"/>
        <w:rPr>
          <w:rFonts w:hint="eastAsia" w:ascii="宋体" w:hAnsi="宋体" w:cs="宋体"/>
          <w:bCs/>
          <w:sz w:val="24"/>
          <w:highlight w:val="none"/>
          <w:lang w:bidi="ar"/>
        </w:rPr>
      </w:pPr>
      <w:r>
        <w:rPr>
          <w:rFonts w:hint="eastAsia" w:ascii="宋体" w:hAnsi="宋体" w:cs="宋体"/>
          <w:bCs/>
          <w:sz w:val="24"/>
          <w:highlight w:val="none"/>
          <w:lang w:bidi="ar"/>
        </w:rPr>
        <w:t>地 址：金华市安地水库</w:t>
      </w:r>
    </w:p>
    <w:p>
      <w:pPr>
        <w:spacing w:line="360" w:lineRule="auto"/>
        <w:ind w:firstLine="480" w:firstLineChars="200"/>
        <w:jc w:val="left"/>
        <w:rPr>
          <w:rFonts w:hint="eastAsia" w:ascii="宋体" w:hAnsi="宋体" w:cs="宋体"/>
          <w:bCs/>
          <w:sz w:val="24"/>
          <w:highlight w:val="none"/>
          <w:lang w:bidi="ar"/>
        </w:rPr>
      </w:pPr>
      <w:r>
        <w:rPr>
          <w:rFonts w:hint="eastAsia" w:ascii="宋体" w:hAnsi="宋体" w:cs="宋体"/>
          <w:bCs/>
          <w:sz w:val="24"/>
          <w:highlight w:val="none"/>
          <w:lang w:bidi="ar"/>
        </w:rPr>
        <w:t>传 真：/</w:t>
      </w:r>
    </w:p>
    <w:p>
      <w:pPr>
        <w:spacing w:line="360" w:lineRule="auto"/>
        <w:ind w:firstLine="480" w:firstLineChars="200"/>
        <w:jc w:val="left"/>
        <w:rPr>
          <w:rFonts w:hint="eastAsia" w:ascii="宋体" w:hAnsi="宋体" w:cs="宋体"/>
          <w:bCs/>
          <w:sz w:val="24"/>
          <w:highlight w:val="none"/>
          <w:lang w:bidi="ar"/>
        </w:rPr>
      </w:pPr>
      <w:r>
        <w:rPr>
          <w:rFonts w:hint="eastAsia" w:ascii="宋体" w:hAnsi="宋体" w:cs="宋体"/>
          <w:bCs/>
          <w:sz w:val="24"/>
          <w:highlight w:val="none"/>
          <w:lang w:bidi="ar"/>
        </w:rPr>
        <w:t>项目联系人（询问）：</w:t>
      </w:r>
      <w:r>
        <w:rPr>
          <w:rFonts w:hint="eastAsia" w:ascii="宋体" w:hAnsi="宋体" w:cs="宋体"/>
          <w:sz w:val="24"/>
          <w:highlight w:val="none"/>
        </w:rPr>
        <w:t>范女士</w:t>
      </w:r>
    </w:p>
    <w:p>
      <w:pPr>
        <w:spacing w:line="360" w:lineRule="auto"/>
        <w:ind w:firstLine="480" w:firstLineChars="200"/>
        <w:jc w:val="left"/>
        <w:rPr>
          <w:rFonts w:ascii="宋体" w:hAnsi="宋体" w:cs="宋体"/>
          <w:bCs/>
          <w:sz w:val="24"/>
          <w:highlight w:val="none"/>
          <w:lang w:bidi="ar"/>
        </w:rPr>
      </w:pPr>
      <w:r>
        <w:rPr>
          <w:rFonts w:hint="eastAsia" w:ascii="宋体" w:hAnsi="宋体" w:cs="宋体"/>
          <w:bCs/>
          <w:sz w:val="24"/>
          <w:highlight w:val="none"/>
          <w:lang w:bidi="ar"/>
        </w:rPr>
        <w:t>项目联系方式（询问）：0579-82770699</w:t>
      </w:r>
    </w:p>
    <w:p>
      <w:pPr>
        <w:spacing w:line="360" w:lineRule="auto"/>
        <w:ind w:firstLine="480" w:firstLineChars="200"/>
        <w:jc w:val="left"/>
        <w:rPr>
          <w:rFonts w:hint="eastAsia" w:ascii="宋体" w:hAnsi="宋体" w:eastAsia="宋体" w:cs="宋体"/>
          <w:bCs/>
          <w:sz w:val="24"/>
          <w:highlight w:val="none"/>
          <w:lang w:val="en-US" w:eastAsia="zh-CN" w:bidi="ar"/>
        </w:rPr>
      </w:pPr>
      <w:r>
        <w:rPr>
          <w:rFonts w:hint="eastAsia" w:ascii="宋体" w:hAnsi="宋体" w:cs="宋体"/>
          <w:bCs/>
          <w:sz w:val="24"/>
          <w:highlight w:val="none"/>
          <w:lang w:bidi="ar"/>
        </w:rPr>
        <w:t>质疑联系人：</w:t>
      </w:r>
      <w:r>
        <w:rPr>
          <w:rFonts w:hint="eastAsia" w:ascii="宋体" w:hAnsi="宋体" w:cs="宋体"/>
          <w:bCs/>
          <w:sz w:val="24"/>
          <w:highlight w:val="none"/>
          <w:lang w:val="en-US" w:eastAsia="zh-CN" w:bidi="ar"/>
        </w:rPr>
        <w:t>黄先生</w:t>
      </w:r>
    </w:p>
    <w:p>
      <w:pPr>
        <w:spacing w:line="360" w:lineRule="auto"/>
        <w:ind w:firstLine="480" w:firstLineChars="200"/>
        <w:jc w:val="left"/>
        <w:rPr>
          <w:rFonts w:hint="eastAsia" w:ascii="宋体" w:hAnsi="宋体" w:cs="宋体"/>
          <w:bCs/>
          <w:sz w:val="24"/>
          <w:highlight w:val="none"/>
          <w:lang w:bidi="ar"/>
        </w:rPr>
      </w:pPr>
      <w:r>
        <w:rPr>
          <w:rFonts w:hint="eastAsia" w:ascii="宋体" w:hAnsi="宋体" w:cs="宋体"/>
          <w:bCs/>
          <w:sz w:val="24"/>
          <w:highlight w:val="none"/>
          <w:lang w:bidi="ar"/>
        </w:rPr>
        <w:t>质疑联系方式：</w:t>
      </w:r>
      <w:r>
        <w:rPr>
          <w:rFonts w:hint="eastAsia" w:ascii="宋体" w:hAnsi="宋体" w:cs="宋体"/>
          <w:bCs/>
          <w:sz w:val="24"/>
          <w:highlight w:val="none"/>
          <w:lang w:bidi="ar"/>
        </w:rPr>
        <w:t>0579-82770699</w:t>
      </w:r>
    </w:p>
    <w:p>
      <w:pPr>
        <w:spacing w:line="360" w:lineRule="auto"/>
        <w:ind w:firstLine="480" w:firstLineChars="200"/>
        <w:jc w:val="left"/>
        <w:rPr>
          <w:rFonts w:hint="eastAsia" w:ascii="宋体" w:hAnsi="宋体" w:cs="宋体"/>
          <w:bCs/>
          <w:sz w:val="24"/>
          <w:highlight w:val="none"/>
          <w:lang w:bidi="ar"/>
        </w:rPr>
      </w:pPr>
      <w:r>
        <w:rPr>
          <w:rFonts w:hint="eastAsia" w:ascii="宋体" w:hAnsi="宋体" w:cs="宋体"/>
          <w:bCs/>
          <w:sz w:val="24"/>
          <w:highlight w:val="none"/>
          <w:lang w:bidi="ar"/>
        </w:rPr>
        <w:t>2.采购代理机构信息</w:t>
      </w:r>
    </w:p>
    <w:p>
      <w:pPr>
        <w:spacing w:line="360" w:lineRule="auto"/>
        <w:ind w:firstLine="480" w:firstLineChars="200"/>
        <w:jc w:val="left"/>
        <w:rPr>
          <w:rFonts w:hint="eastAsia" w:ascii="宋体" w:hAnsi="宋体" w:cs="宋体"/>
          <w:bCs/>
          <w:sz w:val="24"/>
          <w:highlight w:val="none"/>
          <w:lang w:bidi="ar"/>
        </w:rPr>
      </w:pPr>
      <w:r>
        <w:rPr>
          <w:rFonts w:hint="eastAsia" w:ascii="宋体" w:hAnsi="宋体" w:cs="宋体"/>
          <w:bCs/>
          <w:sz w:val="24"/>
          <w:highlight w:val="none"/>
          <w:lang w:bidi="ar"/>
        </w:rPr>
        <w:t>名 称：</w:t>
      </w:r>
      <w:r>
        <w:rPr>
          <w:rFonts w:hint="eastAsia" w:ascii="宋体" w:hAnsi="宋体" w:cs="宋体"/>
          <w:sz w:val="24"/>
          <w:highlight w:val="none"/>
        </w:rPr>
        <w:t>浙江金穗工程项目管理有限公司</w:t>
      </w:r>
    </w:p>
    <w:p>
      <w:pPr>
        <w:spacing w:line="360" w:lineRule="auto"/>
        <w:ind w:firstLine="480" w:firstLineChars="200"/>
        <w:jc w:val="left"/>
        <w:rPr>
          <w:rFonts w:hint="eastAsia" w:ascii="宋体" w:hAnsi="宋体" w:cs="宋体"/>
          <w:bCs/>
          <w:sz w:val="24"/>
          <w:highlight w:val="none"/>
          <w:lang w:bidi="ar"/>
        </w:rPr>
      </w:pPr>
      <w:r>
        <w:rPr>
          <w:rFonts w:hint="eastAsia" w:ascii="宋体" w:hAnsi="宋体" w:cs="宋体"/>
          <w:bCs/>
          <w:sz w:val="24"/>
          <w:highlight w:val="none"/>
          <w:lang w:bidi="ar"/>
        </w:rPr>
        <w:t>地 址：</w:t>
      </w:r>
      <w:r>
        <w:rPr>
          <w:rFonts w:hint="eastAsia" w:ascii="宋体" w:hAnsi="宋体" w:cs="宋体"/>
          <w:sz w:val="24"/>
          <w:highlight w:val="none"/>
        </w:rPr>
        <w:t>金华市金东区万达广场5号楼6楼</w:t>
      </w:r>
    </w:p>
    <w:p>
      <w:pPr>
        <w:spacing w:line="360" w:lineRule="auto"/>
        <w:ind w:firstLine="480" w:firstLineChars="200"/>
        <w:jc w:val="left"/>
        <w:rPr>
          <w:rFonts w:hint="eastAsia" w:ascii="宋体" w:hAnsi="宋体" w:cs="宋体"/>
          <w:bCs/>
          <w:sz w:val="24"/>
          <w:highlight w:val="none"/>
          <w:lang w:bidi="ar"/>
        </w:rPr>
      </w:pPr>
      <w:r>
        <w:rPr>
          <w:rFonts w:hint="eastAsia" w:ascii="宋体" w:hAnsi="宋体" w:cs="宋体"/>
          <w:bCs/>
          <w:sz w:val="24"/>
          <w:highlight w:val="none"/>
          <w:lang w:bidi="ar"/>
        </w:rPr>
        <w:t>传 真：/</w:t>
      </w:r>
    </w:p>
    <w:p>
      <w:pPr>
        <w:spacing w:line="360" w:lineRule="auto"/>
        <w:ind w:firstLine="480" w:firstLineChars="200"/>
        <w:jc w:val="left"/>
        <w:rPr>
          <w:rFonts w:hint="eastAsia" w:ascii="宋体" w:hAnsi="宋体" w:cs="宋体"/>
          <w:bCs/>
          <w:sz w:val="24"/>
          <w:highlight w:val="none"/>
          <w:lang w:bidi="ar"/>
        </w:rPr>
      </w:pPr>
      <w:r>
        <w:rPr>
          <w:rFonts w:hint="eastAsia" w:ascii="宋体" w:hAnsi="宋体" w:cs="宋体"/>
          <w:bCs/>
          <w:sz w:val="24"/>
          <w:highlight w:val="none"/>
          <w:lang w:bidi="ar"/>
        </w:rPr>
        <w:t>项目联系人（询问）：方毅</w:t>
      </w:r>
    </w:p>
    <w:p>
      <w:pPr>
        <w:spacing w:line="360" w:lineRule="auto"/>
        <w:ind w:firstLine="480" w:firstLineChars="200"/>
        <w:jc w:val="left"/>
        <w:rPr>
          <w:rFonts w:ascii="宋体" w:hAnsi="宋体" w:cs="宋体"/>
          <w:bCs/>
          <w:sz w:val="24"/>
          <w:highlight w:val="none"/>
          <w:lang w:bidi="ar"/>
        </w:rPr>
      </w:pPr>
      <w:r>
        <w:rPr>
          <w:rFonts w:hint="eastAsia" w:ascii="宋体" w:hAnsi="宋体" w:cs="宋体"/>
          <w:bCs/>
          <w:sz w:val="24"/>
          <w:highlight w:val="none"/>
          <w:lang w:bidi="ar"/>
        </w:rPr>
        <w:t>项目联系方式（询问）：18814832009</w:t>
      </w:r>
    </w:p>
    <w:p>
      <w:pPr>
        <w:spacing w:line="360" w:lineRule="auto"/>
        <w:ind w:firstLine="480" w:firstLineChars="200"/>
        <w:jc w:val="left"/>
        <w:rPr>
          <w:rFonts w:hint="eastAsia" w:ascii="宋体" w:hAnsi="宋体" w:cs="宋体"/>
          <w:bCs/>
          <w:sz w:val="24"/>
          <w:highlight w:val="none"/>
          <w:lang w:bidi="ar"/>
        </w:rPr>
      </w:pPr>
      <w:r>
        <w:rPr>
          <w:rFonts w:hint="eastAsia" w:ascii="宋体" w:hAnsi="宋体" w:cs="宋体"/>
          <w:bCs/>
          <w:sz w:val="24"/>
          <w:highlight w:val="none"/>
          <w:lang w:bidi="ar"/>
        </w:rPr>
        <w:t>质疑联系人：</w:t>
      </w:r>
      <w:r>
        <w:rPr>
          <w:rFonts w:hint="eastAsia" w:ascii="宋体" w:hAnsi="宋体" w:cs="宋体"/>
          <w:sz w:val="24"/>
          <w:highlight w:val="none"/>
        </w:rPr>
        <w:t>浙江金穗工程项目管理有限公司</w:t>
      </w:r>
    </w:p>
    <w:p>
      <w:pPr>
        <w:spacing w:line="360" w:lineRule="auto"/>
        <w:ind w:firstLine="480" w:firstLineChars="200"/>
        <w:jc w:val="left"/>
        <w:rPr>
          <w:rFonts w:hint="eastAsia" w:ascii="宋体" w:hAnsi="宋体" w:cs="宋体"/>
          <w:bCs/>
          <w:sz w:val="24"/>
          <w:highlight w:val="none"/>
          <w:lang w:bidi="ar"/>
        </w:rPr>
      </w:pPr>
      <w:r>
        <w:rPr>
          <w:rFonts w:hint="eastAsia" w:ascii="宋体" w:hAnsi="宋体" w:cs="宋体"/>
          <w:bCs/>
          <w:sz w:val="24"/>
          <w:highlight w:val="none"/>
          <w:lang w:bidi="ar"/>
        </w:rPr>
        <w:t>质疑联系方式：18814832009</w:t>
      </w:r>
    </w:p>
    <w:p>
      <w:pPr>
        <w:spacing w:line="360" w:lineRule="auto"/>
        <w:ind w:firstLine="480" w:firstLineChars="200"/>
        <w:jc w:val="left"/>
        <w:rPr>
          <w:rFonts w:hint="eastAsia" w:ascii="宋体" w:hAnsi="宋体" w:cs="宋体"/>
          <w:bCs/>
          <w:sz w:val="24"/>
          <w:highlight w:val="none"/>
          <w:lang w:bidi="ar"/>
        </w:rPr>
      </w:pPr>
      <w:r>
        <w:rPr>
          <w:rFonts w:hint="eastAsia" w:ascii="宋体" w:hAnsi="宋体" w:cs="宋体"/>
          <w:bCs/>
          <w:sz w:val="24"/>
          <w:highlight w:val="none"/>
          <w:lang w:bidi="ar"/>
        </w:rPr>
        <w:t>3.同级政府采购监督管理部门</w:t>
      </w:r>
    </w:p>
    <w:p>
      <w:pPr>
        <w:spacing w:line="360" w:lineRule="auto"/>
        <w:ind w:firstLine="480" w:firstLineChars="200"/>
        <w:jc w:val="left"/>
        <w:rPr>
          <w:rFonts w:hint="eastAsia" w:ascii="宋体" w:hAnsi="宋体" w:cs="宋体"/>
          <w:bCs/>
          <w:sz w:val="24"/>
          <w:highlight w:val="none"/>
          <w:lang w:bidi="ar"/>
        </w:rPr>
      </w:pPr>
      <w:r>
        <w:rPr>
          <w:rFonts w:hint="eastAsia" w:ascii="宋体" w:hAnsi="宋体" w:cs="宋体"/>
          <w:bCs/>
          <w:sz w:val="24"/>
          <w:highlight w:val="none"/>
          <w:lang w:bidi="ar"/>
        </w:rPr>
        <w:t>名 称：金华市财政局政府采购监管处</w:t>
      </w:r>
    </w:p>
    <w:p>
      <w:pPr>
        <w:spacing w:line="360" w:lineRule="auto"/>
        <w:ind w:firstLine="480" w:firstLineChars="200"/>
        <w:jc w:val="left"/>
        <w:rPr>
          <w:rFonts w:hint="eastAsia" w:ascii="宋体" w:hAnsi="宋体" w:cs="宋体"/>
          <w:bCs/>
          <w:sz w:val="24"/>
          <w:highlight w:val="none"/>
          <w:lang w:bidi="ar"/>
        </w:rPr>
      </w:pPr>
      <w:r>
        <w:rPr>
          <w:rFonts w:hint="eastAsia" w:ascii="宋体" w:hAnsi="宋体" w:cs="宋体"/>
          <w:bCs/>
          <w:sz w:val="24"/>
          <w:highlight w:val="none"/>
          <w:lang w:bidi="ar"/>
        </w:rPr>
        <w:t>地 址：金华市双龙南街801号财政局510办公室</w:t>
      </w:r>
    </w:p>
    <w:p>
      <w:pPr>
        <w:spacing w:line="360" w:lineRule="auto"/>
        <w:ind w:firstLine="480" w:firstLineChars="200"/>
        <w:jc w:val="left"/>
        <w:rPr>
          <w:rFonts w:hint="eastAsia" w:ascii="宋体" w:hAnsi="宋体" w:cs="宋体"/>
          <w:bCs/>
          <w:sz w:val="24"/>
          <w:highlight w:val="none"/>
          <w:lang w:bidi="ar"/>
        </w:rPr>
      </w:pPr>
      <w:r>
        <w:rPr>
          <w:rFonts w:hint="eastAsia" w:ascii="宋体" w:hAnsi="宋体" w:cs="宋体"/>
          <w:bCs/>
          <w:sz w:val="24"/>
          <w:highlight w:val="none"/>
          <w:lang w:bidi="ar"/>
        </w:rPr>
        <w:t>传 真：/</w:t>
      </w:r>
    </w:p>
    <w:p>
      <w:pPr>
        <w:spacing w:line="360" w:lineRule="auto"/>
        <w:ind w:firstLine="480" w:firstLineChars="200"/>
        <w:jc w:val="left"/>
        <w:rPr>
          <w:rFonts w:hint="eastAsia" w:ascii="宋体" w:hAnsi="宋体" w:cs="宋体"/>
          <w:bCs/>
          <w:sz w:val="24"/>
          <w:highlight w:val="none"/>
          <w:lang w:bidi="ar"/>
        </w:rPr>
      </w:pPr>
      <w:r>
        <w:rPr>
          <w:rFonts w:hint="eastAsia" w:ascii="宋体" w:hAnsi="宋体" w:cs="宋体"/>
          <w:bCs/>
          <w:sz w:val="24"/>
          <w:highlight w:val="none"/>
          <w:lang w:bidi="ar"/>
        </w:rPr>
        <w:t>联系人 ：徐老师</w:t>
      </w:r>
    </w:p>
    <w:p>
      <w:pPr>
        <w:spacing w:line="360" w:lineRule="auto"/>
        <w:ind w:firstLine="480" w:firstLineChars="200"/>
        <w:jc w:val="left"/>
        <w:outlineLvl w:val="0"/>
        <w:rPr>
          <w:rFonts w:hint="eastAsia" w:ascii="宋体" w:hAnsi="宋体" w:cs="宋体"/>
          <w:bCs/>
          <w:sz w:val="24"/>
          <w:highlight w:val="none"/>
          <w:lang w:bidi="ar"/>
        </w:rPr>
      </w:pPr>
      <w:bookmarkStart w:id="15" w:name="_Toc32343"/>
      <w:bookmarkStart w:id="16" w:name="_Toc16765"/>
      <w:r>
        <w:rPr>
          <w:rFonts w:hint="eastAsia" w:ascii="宋体" w:hAnsi="宋体" w:cs="宋体"/>
          <w:bCs/>
          <w:sz w:val="24"/>
          <w:highlight w:val="none"/>
          <w:lang w:bidi="ar"/>
        </w:rPr>
        <w:t>监督投诉电话：0579-82468735</w:t>
      </w:r>
      <w:bookmarkEnd w:id="15"/>
      <w:bookmarkEnd w:id="16"/>
    </w:p>
    <w:p>
      <w:pPr>
        <w:tabs>
          <w:tab w:val="left" w:pos="7938"/>
        </w:tabs>
        <w:spacing w:line="360" w:lineRule="auto"/>
        <w:ind w:firstLine="482" w:firstLineChars="200"/>
        <w:jc w:val="left"/>
        <w:rPr>
          <w:rFonts w:hint="eastAsia" w:ascii="宋体" w:hAnsi="宋体" w:cs="宋体"/>
          <w:sz w:val="24"/>
          <w:highlight w:val="none"/>
          <w:lang w:bidi="ar"/>
        </w:rPr>
      </w:pPr>
      <w:r>
        <w:rPr>
          <w:rFonts w:hint="eastAsia" w:ascii="宋体" w:hAnsi="宋体" w:cs="宋体"/>
          <w:b/>
          <w:bCs/>
          <w:sz w:val="24"/>
          <w:highlight w:val="none"/>
          <w:lang w:bidi="ar"/>
        </w:rPr>
        <w:t>九、</w:t>
      </w:r>
      <w:r>
        <w:rPr>
          <w:rFonts w:hint="eastAsia" w:ascii="宋体" w:hAnsi="宋体" w:cs="宋体"/>
          <w:sz w:val="24"/>
          <w:highlight w:val="none"/>
          <w:lang w:bidi="ar"/>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pPr>
        <w:tabs>
          <w:tab w:val="left" w:pos="7938"/>
        </w:tabs>
        <w:spacing w:line="360" w:lineRule="auto"/>
        <w:ind w:firstLine="482" w:firstLineChars="200"/>
        <w:jc w:val="left"/>
        <w:rPr>
          <w:rFonts w:hint="eastAsia" w:ascii="宋体" w:hAnsi="宋体" w:cs="宋体"/>
          <w:sz w:val="24"/>
          <w:highlight w:val="none"/>
          <w:lang w:bidi="ar"/>
        </w:rPr>
      </w:pPr>
      <w:r>
        <w:rPr>
          <w:rFonts w:hint="eastAsia" w:ascii="宋体" w:hAnsi="宋体" w:cs="宋体"/>
          <w:b/>
          <w:bCs/>
          <w:sz w:val="24"/>
          <w:highlight w:val="none"/>
          <w:lang w:bidi="ar"/>
        </w:rPr>
        <w:t>十、政府采购金融服务提示：</w:t>
      </w:r>
      <w:r>
        <w:rPr>
          <w:rFonts w:hint="eastAsia" w:ascii="宋体" w:hAnsi="宋体" w:cs="宋体"/>
          <w:sz w:val="24"/>
          <w:highlight w:val="none"/>
          <w:lang w:bidi="ar"/>
        </w:rPr>
        <w:t>为扩大政府采购金融服务面，除政采云网上金融服务合作银行外，金华市范围增加线下合作银行两家，具体信息如下：</w:t>
      </w:r>
    </w:p>
    <w:p>
      <w:pPr>
        <w:tabs>
          <w:tab w:val="left" w:pos="7938"/>
        </w:tabs>
        <w:spacing w:line="360" w:lineRule="auto"/>
        <w:ind w:firstLine="480" w:firstLineChars="200"/>
        <w:jc w:val="left"/>
        <w:rPr>
          <w:rFonts w:hint="eastAsia" w:ascii="宋体" w:hAnsi="宋体" w:cs="宋体"/>
          <w:sz w:val="24"/>
          <w:highlight w:val="none"/>
          <w:lang w:bidi="ar"/>
        </w:rPr>
      </w:pPr>
      <w:r>
        <w:rPr>
          <w:rFonts w:hint="eastAsia" w:ascii="宋体" w:hAnsi="宋体" w:cs="宋体"/>
          <w:sz w:val="24"/>
          <w:highlight w:val="none"/>
          <w:lang w:bidi="ar"/>
        </w:rPr>
        <w:t>金华银行文创支行联系人：</w:t>
      </w:r>
      <w:r>
        <w:rPr>
          <w:rFonts w:hint="eastAsia" w:ascii="宋体" w:hAnsi="宋体" w:cs="宋体"/>
          <w:kern w:val="0"/>
          <w:sz w:val="24"/>
          <w:highlight w:val="none"/>
        </w:rPr>
        <w:t>姜峰</w:t>
      </w:r>
    </w:p>
    <w:p>
      <w:pPr>
        <w:tabs>
          <w:tab w:val="left" w:pos="7938"/>
        </w:tabs>
        <w:spacing w:line="360" w:lineRule="auto"/>
        <w:ind w:firstLine="480" w:firstLineChars="200"/>
        <w:jc w:val="left"/>
        <w:rPr>
          <w:rFonts w:hint="eastAsia" w:ascii="宋体" w:hAnsi="宋体" w:cs="宋体"/>
          <w:sz w:val="24"/>
          <w:highlight w:val="none"/>
          <w:lang w:bidi="ar"/>
        </w:rPr>
      </w:pPr>
      <w:r>
        <w:rPr>
          <w:rFonts w:hint="eastAsia" w:ascii="宋体" w:hAnsi="宋体" w:cs="宋体"/>
          <w:sz w:val="24"/>
          <w:highlight w:val="none"/>
          <w:lang w:bidi="ar"/>
        </w:rPr>
        <w:t>联系电话：</w:t>
      </w:r>
      <w:r>
        <w:rPr>
          <w:rFonts w:hint="eastAsia" w:ascii="宋体" w:hAnsi="宋体" w:cs="宋体"/>
          <w:kern w:val="0"/>
          <w:sz w:val="24"/>
          <w:highlight w:val="none"/>
        </w:rPr>
        <w:t>13905792828</w:t>
      </w:r>
      <w:r>
        <w:rPr>
          <w:rFonts w:hint="eastAsia" w:ascii="宋体" w:hAnsi="宋体" w:cs="宋体"/>
          <w:sz w:val="24"/>
          <w:highlight w:val="none"/>
          <w:lang w:bidi="ar"/>
        </w:rPr>
        <w:t>/0579-</w:t>
      </w:r>
      <w:r>
        <w:rPr>
          <w:rFonts w:ascii="宋体" w:hAnsi="宋体" w:cs="宋体"/>
          <w:sz w:val="24"/>
          <w:highlight w:val="none"/>
          <w:lang w:bidi="ar"/>
        </w:rPr>
        <w:t>82479020</w:t>
      </w:r>
    </w:p>
    <w:p>
      <w:pPr>
        <w:tabs>
          <w:tab w:val="left" w:pos="7938"/>
        </w:tabs>
        <w:spacing w:line="360" w:lineRule="auto"/>
        <w:ind w:firstLine="480" w:firstLineChars="200"/>
        <w:jc w:val="left"/>
        <w:rPr>
          <w:rFonts w:hint="eastAsia" w:ascii="宋体" w:hAnsi="宋体" w:cs="宋体"/>
          <w:sz w:val="24"/>
          <w:highlight w:val="none"/>
          <w:lang w:bidi="ar"/>
        </w:rPr>
      </w:pPr>
      <w:r>
        <w:rPr>
          <w:rFonts w:hint="eastAsia" w:ascii="宋体" w:hAnsi="宋体" w:cs="宋体"/>
          <w:sz w:val="24"/>
          <w:highlight w:val="none"/>
          <w:lang w:bidi="ar"/>
        </w:rPr>
        <w:t>浙商银行金华分行联系人：朱晨祥</w:t>
      </w:r>
    </w:p>
    <w:p>
      <w:pPr>
        <w:tabs>
          <w:tab w:val="left" w:pos="7938"/>
        </w:tabs>
        <w:spacing w:line="360" w:lineRule="auto"/>
        <w:ind w:firstLine="480" w:firstLineChars="200"/>
        <w:jc w:val="left"/>
        <w:rPr>
          <w:rFonts w:hint="eastAsia" w:ascii="宋体" w:hAnsi="宋体" w:cs="宋体"/>
          <w:sz w:val="24"/>
          <w:highlight w:val="none"/>
          <w:lang w:bidi="ar"/>
        </w:rPr>
      </w:pPr>
      <w:r>
        <w:rPr>
          <w:rFonts w:hint="eastAsia" w:ascii="宋体" w:hAnsi="宋体" w:cs="宋体"/>
          <w:sz w:val="24"/>
          <w:highlight w:val="none"/>
          <w:lang w:bidi="ar"/>
        </w:rPr>
        <w:t>联系电话：15857978811/0579-82999581</w:t>
      </w:r>
    </w:p>
    <w:p>
      <w:pPr>
        <w:tabs>
          <w:tab w:val="left" w:pos="7938"/>
        </w:tabs>
        <w:spacing w:line="360" w:lineRule="auto"/>
        <w:ind w:firstLine="482" w:firstLineChars="200"/>
        <w:jc w:val="left"/>
        <w:rPr>
          <w:rFonts w:hint="eastAsia" w:ascii="宋体" w:hAnsi="宋体" w:cs="宋体"/>
          <w:sz w:val="24"/>
          <w:highlight w:val="none"/>
          <w:lang w:bidi="ar"/>
        </w:rPr>
      </w:pPr>
      <w:r>
        <w:rPr>
          <w:rFonts w:hint="eastAsia" w:ascii="宋体" w:hAnsi="宋体" w:cs="宋体"/>
          <w:b/>
          <w:bCs/>
          <w:sz w:val="24"/>
          <w:highlight w:val="none"/>
          <w:lang w:bidi="ar"/>
        </w:rPr>
        <w:t>十一、企业信用融资：</w:t>
      </w:r>
      <w:r>
        <w:rPr>
          <w:rFonts w:hint="eastAsia" w:ascii="宋体" w:hAnsi="宋体" w:cs="宋体"/>
          <w:sz w:val="24"/>
          <w:highlight w:val="none"/>
          <w:lang w:bidi="ar"/>
        </w:rPr>
        <w:t>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录浙江政府采购网的中小企业信用融资栏目了解相关信息。供应商可以通过浙江政府采购网(https://zfcg.czt.zj.gov.cn/)首页的“浙江政采贷”模块进入申请，还可以通过政府采购云平台(https://www.zcygov.cn/)首页的“金融服务”模块进入申请。</w:t>
      </w:r>
    </w:p>
    <w:p>
      <w:pPr>
        <w:pStyle w:val="2"/>
        <w:ind w:left="0" w:leftChars="0" w:firstLine="0" w:firstLineChars="0"/>
        <w:jc w:val="center"/>
        <w:rPr>
          <w:rFonts w:hint="eastAsia"/>
          <w:highlight w:val="none"/>
        </w:rPr>
      </w:pPr>
      <w:bookmarkStart w:id="17" w:name="_Toc123628875"/>
    </w:p>
    <w:p>
      <w:pPr>
        <w:pStyle w:val="2"/>
        <w:spacing w:after="0" w:line="360" w:lineRule="auto"/>
        <w:ind w:left="0" w:leftChars="0" w:firstLine="0" w:firstLineChars="0"/>
        <w:jc w:val="center"/>
        <w:outlineLvl w:val="0"/>
        <w:rPr>
          <w:rFonts w:hint="eastAsia" w:ascii="黑体" w:hAnsi="黑体" w:eastAsia="黑体" w:cs="黑体"/>
          <w:b/>
          <w:bCs/>
          <w:sz w:val="36"/>
          <w:szCs w:val="36"/>
          <w:highlight w:val="none"/>
        </w:rPr>
      </w:pPr>
      <w:r>
        <w:rPr>
          <w:rFonts w:hint="eastAsia"/>
          <w:highlight w:val="none"/>
        </w:rPr>
        <w:br w:type="page"/>
      </w:r>
      <w:bookmarkStart w:id="18" w:name="_Toc10492"/>
      <w:bookmarkStart w:id="19" w:name="_Toc6727"/>
      <w:r>
        <w:rPr>
          <w:rStyle w:val="55"/>
          <w:rFonts w:hint="eastAsia"/>
          <w:highlight w:val="none"/>
        </w:rPr>
        <w:t>第二章  投标人须知</w:t>
      </w:r>
      <w:bookmarkEnd w:id="18"/>
      <w:bookmarkEnd w:id="19"/>
    </w:p>
    <w:p>
      <w:pPr>
        <w:pStyle w:val="24"/>
        <w:spacing w:line="360" w:lineRule="auto"/>
        <w:jc w:val="center"/>
        <w:rPr>
          <w:rFonts w:hint="eastAsia" w:hAnsi="宋体" w:cs="宋体"/>
          <w:sz w:val="30"/>
          <w:szCs w:val="30"/>
          <w:highlight w:val="none"/>
        </w:rPr>
      </w:pPr>
      <w:r>
        <w:rPr>
          <w:rFonts w:hint="eastAsia" w:hAnsi="宋体" w:cs="宋体"/>
          <w:b/>
          <w:bCs/>
          <w:sz w:val="30"/>
          <w:szCs w:val="30"/>
          <w:highlight w:val="none"/>
        </w:rPr>
        <w:t>投标人须知前附表</w:t>
      </w:r>
      <w:bookmarkEnd w:id="17"/>
    </w:p>
    <w:tbl>
      <w:tblPr>
        <w:tblStyle w:val="40"/>
        <w:tblW w:w="9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693"/>
        <w:gridCol w:w="7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29" w:type="dxa"/>
            <w:noWrap w:val="0"/>
            <w:vAlign w:val="center"/>
          </w:tcPr>
          <w:p>
            <w:pPr>
              <w:pStyle w:val="24"/>
              <w:spacing w:line="360" w:lineRule="auto"/>
              <w:ind w:left="10" w:hanging="10" w:hangingChars="6"/>
              <w:jc w:val="center"/>
              <w:rPr>
                <w:rFonts w:hAnsi="宋体" w:cs="宋体"/>
                <w:spacing w:val="-20"/>
                <w:szCs w:val="21"/>
                <w:highlight w:val="none"/>
              </w:rPr>
            </w:pPr>
            <w:r>
              <w:rPr>
                <w:rFonts w:hint="eastAsia" w:hAnsi="宋体" w:cs="宋体"/>
                <w:spacing w:val="-20"/>
                <w:szCs w:val="21"/>
                <w:highlight w:val="none"/>
              </w:rPr>
              <w:t>序 号</w:t>
            </w:r>
          </w:p>
        </w:tc>
        <w:tc>
          <w:tcPr>
            <w:tcW w:w="1693" w:type="dxa"/>
            <w:noWrap w:val="0"/>
            <w:vAlign w:val="center"/>
          </w:tcPr>
          <w:p>
            <w:pPr>
              <w:pStyle w:val="24"/>
              <w:spacing w:line="360" w:lineRule="auto"/>
              <w:ind w:left="10" w:hanging="10" w:hangingChars="6"/>
              <w:jc w:val="center"/>
              <w:rPr>
                <w:rFonts w:hint="eastAsia" w:hAnsi="宋体" w:cs="宋体"/>
                <w:spacing w:val="-20"/>
                <w:szCs w:val="21"/>
                <w:highlight w:val="none"/>
              </w:rPr>
            </w:pPr>
            <w:r>
              <w:rPr>
                <w:rFonts w:hint="eastAsia" w:hAnsi="宋体" w:cs="宋体"/>
                <w:spacing w:val="-20"/>
                <w:szCs w:val="21"/>
                <w:highlight w:val="none"/>
              </w:rPr>
              <w:t>内 容</w:t>
            </w:r>
          </w:p>
        </w:tc>
        <w:tc>
          <w:tcPr>
            <w:tcW w:w="7362" w:type="dxa"/>
            <w:noWrap w:val="0"/>
            <w:vAlign w:val="center"/>
          </w:tcPr>
          <w:p>
            <w:pPr>
              <w:pStyle w:val="24"/>
              <w:spacing w:line="360" w:lineRule="auto"/>
              <w:ind w:left="10" w:hanging="10" w:hangingChars="6"/>
              <w:jc w:val="center"/>
              <w:rPr>
                <w:rFonts w:hint="eastAsia" w:hAnsi="宋体" w:cs="宋体"/>
                <w:spacing w:val="-20"/>
                <w:szCs w:val="21"/>
                <w:highlight w:val="none"/>
              </w:rPr>
            </w:pPr>
            <w:r>
              <w:rPr>
                <w:rFonts w:hint="eastAsia" w:hAnsi="宋体" w:cs="宋体"/>
                <w:spacing w:val="-20"/>
                <w:szCs w:val="21"/>
                <w:highlight w:val="none"/>
              </w:rPr>
              <w:t>内 容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exact"/>
          <w:jc w:val="center"/>
        </w:trPr>
        <w:tc>
          <w:tcPr>
            <w:tcW w:w="729" w:type="dxa"/>
            <w:noWrap w:val="0"/>
            <w:vAlign w:val="center"/>
          </w:tcPr>
          <w:p>
            <w:pPr>
              <w:pStyle w:val="24"/>
              <w:spacing w:line="360" w:lineRule="auto"/>
              <w:jc w:val="center"/>
              <w:rPr>
                <w:rFonts w:hint="eastAsia" w:hAnsi="宋体" w:cs="宋体"/>
                <w:szCs w:val="21"/>
                <w:highlight w:val="none"/>
              </w:rPr>
            </w:pPr>
            <w:r>
              <w:rPr>
                <w:rFonts w:hint="eastAsia" w:hAnsi="宋体" w:cs="宋体"/>
                <w:szCs w:val="21"/>
                <w:highlight w:val="none"/>
              </w:rPr>
              <w:t>1</w:t>
            </w:r>
          </w:p>
        </w:tc>
        <w:tc>
          <w:tcPr>
            <w:tcW w:w="1693" w:type="dxa"/>
            <w:noWrap w:val="0"/>
            <w:vAlign w:val="center"/>
          </w:tcPr>
          <w:p>
            <w:pPr>
              <w:pStyle w:val="24"/>
              <w:spacing w:line="360" w:lineRule="auto"/>
              <w:jc w:val="center"/>
              <w:rPr>
                <w:rFonts w:hint="eastAsia" w:hAnsi="宋体" w:cs="宋体"/>
                <w:szCs w:val="21"/>
                <w:highlight w:val="none"/>
              </w:rPr>
            </w:pPr>
            <w:r>
              <w:rPr>
                <w:rFonts w:hint="eastAsia" w:hAnsi="宋体" w:cs="宋体"/>
                <w:szCs w:val="21"/>
                <w:highlight w:val="none"/>
              </w:rPr>
              <w:t>采购人</w:t>
            </w:r>
          </w:p>
        </w:tc>
        <w:tc>
          <w:tcPr>
            <w:tcW w:w="7362" w:type="dxa"/>
            <w:noWrap w:val="0"/>
            <w:vAlign w:val="center"/>
          </w:tcPr>
          <w:p>
            <w:pPr>
              <w:pStyle w:val="24"/>
              <w:spacing w:line="336" w:lineRule="auto"/>
              <w:ind w:left="105" w:leftChars="50" w:right="105" w:rightChars="50"/>
              <w:rPr>
                <w:rFonts w:hint="eastAsia" w:hAnsi="宋体" w:cs="宋体"/>
                <w:szCs w:val="21"/>
                <w:highlight w:val="none"/>
              </w:rPr>
            </w:pPr>
            <w:r>
              <w:rPr>
                <w:rFonts w:hint="eastAsia" w:hAnsi="宋体" w:cs="宋体"/>
                <w:szCs w:val="21"/>
                <w:highlight w:val="none"/>
              </w:rPr>
              <w:t>名称：金华市梅溪流域管理中心</w:t>
            </w:r>
          </w:p>
          <w:p>
            <w:pPr>
              <w:pStyle w:val="24"/>
              <w:spacing w:line="336" w:lineRule="auto"/>
              <w:ind w:left="105" w:leftChars="50" w:right="105" w:rightChars="50"/>
              <w:rPr>
                <w:rFonts w:hAnsi="宋体" w:cs="宋体"/>
                <w:szCs w:val="21"/>
                <w:highlight w:val="none"/>
              </w:rPr>
            </w:pPr>
            <w:r>
              <w:rPr>
                <w:rFonts w:hint="eastAsia" w:hAnsi="宋体" w:cs="宋体"/>
                <w:szCs w:val="21"/>
                <w:highlight w:val="none"/>
              </w:rPr>
              <w:t>地址：金华市安地水库</w:t>
            </w:r>
          </w:p>
          <w:p>
            <w:pPr>
              <w:pStyle w:val="24"/>
              <w:spacing w:line="336" w:lineRule="auto"/>
              <w:ind w:left="105" w:leftChars="50" w:right="105" w:rightChars="50"/>
              <w:rPr>
                <w:rFonts w:hint="eastAsia" w:hAnsi="宋体" w:cs="宋体"/>
                <w:szCs w:val="21"/>
                <w:highlight w:val="none"/>
              </w:rPr>
            </w:pPr>
            <w:r>
              <w:rPr>
                <w:rFonts w:hint="eastAsia" w:hAnsi="宋体" w:cs="宋体"/>
                <w:szCs w:val="21"/>
                <w:highlight w:val="none"/>
              </w:rPr>
              <w:t>项目采购联系人：范女士</w:t>
            </w:r>
          </w:p>
          <w:p>
            <w:pPr>
              <w:pStyle w:val="24"/>
              <w:spacing w:line="336" w:lineRule="auto"/>
              <w:ind w:left="105" w:leftChars="50" w:right="105" w:rightChars="50"/>
              <w:rPr>
                <w:rFonts w:hint="eastAsia" w:hAnsi="宋体" w:cs="宋体"/>
                <w:szCs w:val="21"/>
                <w:highlight w:val="none"/>
              </w:rPr>
            </w:pPr>
            <w:r>
              <w:rPr>
                <w:rFonts w:hint="eastAsia" w:hAnsi="宋体" w:cs="宋体"/>
                <w:szCs w:val="21"/>
                <w:highlight w:val="none"/>
              </w:rPr>
              <w:t>联系电话：0579-82770699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exact"/>
          <w:jc w:val="center"/>
        </w:trPr>
        <w:tc>
          <w:tcPr>
            <w:tcW w:w="729" w:type="dxa"/>
            <w:noWrap w:val="0"/>
            <w:vAlign w:val="center"/>
          </w:tcPr>
          <w:p>
            <w:pPr>
              <w:pStyle w:val="24"/>
              <w:spacing w:line="360" w:lineRule="auto"/>
              <w:jc w:val="center"/>
              <w:rPr>
                <w:rFonts w:hint="eastAsia" w:hAnsi="宋体" w:cs="宋体"/>
                <w:szCs w:val="21"/>
                <w:highlight w:val="none"/>
              </w:rPr>
            </w:pPr>
            <w:r>
              <w:rPr>
                <w:rFonts w:hint="eastAsia" w:hAnsi="宋体" w:cs="宋体"/>
                <w:szCs w:val="21"/>
                <w:highlight w:val="none"/>
              </w:rPr>
              <w:t>2</w:t>
            </w:r>
          </w:p>
        </w:tc>
        <w:tc>
          <w:tcPr>
            <w:tcW w:w="1693" w:type="dxa"/>
            <w:noWrap w:val="0"/>
            <w:vAlign w:val="center"/>
          </w:tcPr>
          <w:p>
            <w:pPr>
              <w:pStyle w:val="24"/>
              <w:spacing w:line="360" w:lineRule="auto"/>
              <w:jc w:val="center"/>
              <w:rPr>
                <w:rFonts w:hAnsi="宋体" w:cs="宋体"/>
                <w:szCs w:val="21"/>
                <w:highlight w:val="none"/>
              </w:rPr>
            </w:pPr>
            <w:r>
              <w:rPr>
                <w:rFonts w:hint="eastAsia" w:hAnsi="宋体" w:cs="宋体"/>
                <w:szCs w:val="21"/>
                <w:highlight w:val="none"/>
              </w:rPr>
              <w:t>采购代理机构</w:t>
            </w:r>
          </w:p>
        </w:tc>
        <w:tc>
          <w:tcPr>
            <w:tcW w:w="7362" w:type="dxa"/>
            <w:noWrap w:val="0"/>
            <w:vAlign w:val="center"/>
          </w:tcPr>
          <w:p>
            <w:pPr>
              <w:pStyle w:val="24"/>
              <w:spacing w:line="360" w:lineRule="auto"/>
              <w:jc w:val="left"/>
              <w:rPr>
                <w:rFonts w:hint="eastAsia" w:hAnsi="宋体" w:cs="宋体"/>
                <w:szCs w:val="21"/>
                <w:highlight w:val="none"/>
              </w:rPr>
            </w:pPr>
            <w:r>
              <w:rPr>
                <w:rFonts w:hint="eastAsia" w:hAnsi="宋体" w:cs="宋体"/>
                <w:szCs w:val="21"/>
                <w:highlight w:val="none"/>
              </w:rPr>
              <w:t>名称：浙江金穗工程项目管理有限公司</w:t>
            </w:r>
          </w:p>
          <w:p>
            <w:pPr>
              <w:pStyle w:val="24"/>
              <w:spacing w:line="360" w:lineRule="auto"/>
              <w:jc w:val="left"/>
              <w:rPr>
                <w:rFonts w:hint="eastAsia" w:hAnsi="宋体" w:cs="宋体"/>
                <w:szCs w:val="21"/>
                <w:highlight w:val="none"/>
              </w:rPr>
            </w:pPr>
            <w:r>
              <w:rPr>
                <w:rFonts w:hint="eastAsia" w:hAnsi="宋体" w:cs="宋体"/>
                <w:szCs w:val="21"/>
                <w:highlight w:val="none"/>
              </w:rPr>
              <w:t>地址：金华市金东区万达广场5号楼6楼</w:t>
            </w:r>
          </w:p>
          <w:p>
            <w:pPr>
              <w:pStyle w:val="24"/>
              <w:spacing w:line="360" w:lineRule="auto"/>
              <w:jc w:val="left"/>
              <w:rPr>
                <w:rFonts w:hint="eastAsia" w:hAnsi="宋体" w:cs="宋体"/>
                <w:szCs w:val="21"/>
                <w:highlight w:val="none"/>
              </w:rPr>
            </w:pPr>
            <w:r>
              <w:rPr>
                <w:rFonts w:hint="eastAsia" w:hAnsi="宋体" w:cs="宋体"/>
                <w:szCs w:val="21"/>
                <w:highlight w:val="none"/>
              </w:rPr>
              <w:t>项目采购联系人：方先生</w:t>
            </w:r>
          </w:p>
          <w:p>
            <w:pPr>
              <w:pStyle w:val="24"/>
              <w:spacing w:line="360" w:lineRule="auto"/>
              <w:jc w:val="left"/>
              <w:rPr>
                <w:rFonts w:hint="eastAsia" w:hAnsi="宋体" w:cs="宋体"/>
                <w:szCs w:val="21"/>
                <w:highlight w:val="none"/>
              </w:rPr>
            </w:pPr>
            <w:r>
              <w:rPr>
                <w:rFonts w:hint="eastAsia" w:hAnsi="宋体" w:cs="宋体"/>
                <w:szCs w:val="21"/>
                <w:highlight w:val="none"/>
              </w:rPr>
              <w:t>联系电话：18814832009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exact"/>
          <w:jc w:val="center"/>
        </w:trPr>
        <w:tc>
          <w:tcPr>
            <w:tcW w:w="729" w:type="dxa"/>
            <w:noWrap w:val="0"/>
            <w:vAlign w:val="center"/>
          </w:tcPr>
          <w:p>
            <w:pPr>
              <w:pStyle w:val="24"/>
              <w:spacing w:line="360" w:lineRule="auto"/>
              <w:jc w:val="center"/>
              <w:rPr>
                <w:rFonts w:hint="eastAsia" w:hAnsi="宋体" w:cs="宋体"/>
                <w:szCs w:val="21"/>
                <w:highlight w:val="none"/>
              </w:rPr>
            </w:pPr>
            <w:r>
              <w:rPr>
                <w:rFonts w:hint="eastAsia" w:hAnsi="宋体" w:cs="宋体"/>
                <w:szCs w:val="21"/>
                <w:highlight w:val="none"/>
              </w:rPr>
              <w:t>3</w:t>
            </w:r>
          </w:p>
        </w:tc>
        <w:tc>
          <w:tcPr>
            <w:tcW w:w="1693" w:type="dxa"/>
            <w:noWrap w:val="0"/>
            <w:vAlign w:val="center"/>
          </w:tcPr>
          <w:p>
            <w:pPr>
              <w:pStyle w:val="24"/>
              <w:spacing w:line="360" w:lineRule="auto"/>
              <w:jc w:val="center"/>
              <w:rPr>
                <w:rFonts w:hint="eastAsia" w:hAnsi="宋体" w:cs="宋体"/>
                <w:szCs w:val="21"/>
                <w:highlight w:val="none"/>
              </w:rPr>
            </w:pPr>
            <w:r>
              <w:rPr>
                <w:rFonts w:hint="eastAsia" w:hAnsi="宋体" w:cs="宋体"/>
                <w:szCs w:val="21"/>
                <w:highlight w:val="none"/>
              </w:rPr>
              <w:t>项目名称</w:t>
            </w:r>
          </w:p>
        </w:tc>
        <w:tc>
          <w:tcPr>
            <w:tcW w:w="7362" w:type="dxa"/>
            <w:noWrap w:val="0"/>
            <w:vAlign w:val="center"/>
          </w:tcPr>
          <w:p>
            <w:pPr>
              <w:pStyle w:val="24"/>
              <w:spacing w:line="360" w:lineRule="auto"/>
              <w:jc w:val="left"/>
              <w:rPr>
                <w:rFonts w:hint="eastAsia" w:hAnsi="宋体" w:cs="宋体"/>
                <w:szCs w:val="21"/>
                <w:highlight w:val="none"/>
              </w:rPr>
            </w:pPr>
            <w:r>
              <w:rPr>
                <w:rFonts w:hint="eastAsia" w:hAnsi="宋体" w:cs="宋体"/>
                <w:szCs w:val="21"/>
                <w:highlight w:val="none"/>
              </w:rPr>
              <w:t>金华市安地灌区续建配套与节水改造项目（2021-2022年）调增项目灌溉节水宣传馆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9" w:type="dxa"/>
            <w:noWrap w:val="0"/>
            <w:vAlign w:val="center"/>
          </w:tcPr>
          <w:p>
            <w:pPr>
              <w:pStyle w:val="24"/>
              <w:spacing w:line="360" w:lineRule="auto"/>
              <w:jc w:val="center"/>
              <w:rPr>
                <w:rFonts w:hint="eastAsia" w:hAnsi="宋体" w:cs="宋体"/>
                <w:szCs w:val="21"/>
                <w:highlight w:val="none"/>
              </w:rPr>
            </w:pPr>
            <w:r>
              <w:rPr>
                <w:rFonts w:hint="eastAsia" w:hAnsi="宋体" w:cs="宋体"/>
                <w:szCs w:val="21"/>
                <w:highlight w:val="none"/>
              </w:rPr>
              <w:t>4</w:t>
            </w:r>
          </w:p>
        </w:tc>
        <w:tc>
          <w:tcPr>
            <w:tcW w:w="1693" w:type="dxa"/>
            <w:noWrap w:val="0"/>
            <w:vAlign w:val="center"/>
          </w:tcPr>
          <w:p>
            <w:pPr>
              <w:pStyle w:val="24"/>
              <w:spacing w:line="360" w:lineRule="auto"/>
              <w:jc w:val="center"/>
              <w:rPr>
                <w:rFonts w:hint="eastAsia" w:hAnsi="宋体" w:cs="宋体"/>
                <w:szCs w:val="21"/>
                <w:highlight w:val="none"/>
              </w:rPr>
            </w:pPr>
            <w:r>
              <w:rPr>
                <w:rFonts w:hint="eastAsia" w:hAnsi="宋体" w:cs="宋体"/>
                <w:szCs w:val="21"/>
                <w:highlight w:val="none"/>
              </w:rPr>
              <w:t>采购人式</w:t>
            </w:r>
          </w:p>
        </w:tc>
        <w:tc>
          <w:tcPr>
            <w:tcW w:w="7362" w:type="dxa"/>
            <w:noWrap w:val="0"/>
            <w:vAlign w:val="center"/>
          </w:tcPr>
          <w:p>
            <w:pPr>
              <w:pStyle w:val="24"/>
              <w:spacing w:line="360" w:lineRule="auto"/>
              <w:jc w:val="left"/>
              <w:rPr>
                <w:rFonts w:hint="eastAsia" w:hAnsi="宋体" w:cs="宋体"/>
                <w:szCs w:val="21"/>
                <w:highlight w:val="none"/>
              </w:rPr>
            </w:pPr>
            <w:r>
              <w:rPr>
                <w:rFonts w:hint="eastAsia" w:hAnsi="宋体" w:cs="宋体"/>
                <w:szCs w:val="21"/>
                <w:highlight w:val="none"/>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9" w:type="dxa"/>
            <w:noWrap w:val="0"/>
            <w:vAlign w:val="center"/>
          </w:tcPr>
          <w:p>
            <w:pPr>
              <w:pStyle w:val="24"/>
              <w:spacing w:line="360" w:lineRule="auto"/>
              <w:jc w:val="center"/>
              <w:rPr>
                <w:rFonts w:hint="eastAsia" w:hAnsi="宋体" w:cs="宋体"/>
                <w:szCs w:val="21"/>
                <w:highlight w:val="none"/>
              </w:rPr>
            </w:pPr>
            <w:r>
              <w:rPr>
                <w:rFonts w:hint="eastAsia" w:hAnsi="宋体" w:cs="宋体"/>
                <w:szCs w:val="21"/>
                <w:highlight w:val="none"/>
              </w:rPr>
              <w:t>5</w:t>
            </w:r>
          </w:p>
        </w:tc>
        <w:tc>
          <w:tcPr>
            <w:tcW w:w="1693" w:type="dxa"/>
            <w:noWrap w:val="0"/>
            <w:vAlign w:val="center"/>
          </w:tcPr>
          <w:p>
            <w:pPr>
              <w:pStyle w:val="24"/>
              <w:spacing w:line="360" w:lineRule="auto"/>
              <w:jc w:val="center"/>
              <w:rPr>
                <w:rFonts w:hint="eastAsia" w:hAnsi="宋体" w:cs="宋体"/>
                <w:szCs w:val="21"/>
                <w:highlight w:val="none"/>
              </w:rPr>
            </w:pPr>
            <w:r>
              <w:rPr>
                <w:rFonts w:hint="eastAsia" w:hAnsi="宋体" w:cs="宋体"/>
                <w:szCs w:val="21"/>
                <w:highlight w:val="none"/>
              </w:rPr>
              <w:t>采购内容</w:t>
            </w:r>
          </w:p>
        </w:tc>
        <w:tc>
          <w:tcPr>
            <w:tcW w:w="7362" w:type="dxa"/>
            <w:noWrap w:val="0"/>
            <w:vAlign w:val="center"/>
          </w:tcPr>
          <w:p>
            <w:pPr>
              <w:pStyle w:val="24"/>
              <w:spacing w:line="360" w:lineRule="auto"/>
              <w:jc w:val="left"/>
              <w:rPr>
                <w:rFonts w:hint="eastAsia" w:hAnsi="宋体" w:cs="宋体"/>
                <w:szCs w:val="21"/>
                <w:highlight w:val="none"/>
              </w:rPr>
            </w:pPr>
            <w:r>
              <w:rPr>
                <w:rFonts w:hint="eastAsia" w:hAnsi="宋体" w:cs="宋体"/>
                <w:szCs w:val="21"/>
                <w:highlight w:val="none"/>
              </w:rPr>
              <w:t>详见本招标文件第四章“招标内容及需求”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jc w:val="center"/>
        </w:trPr>
        <w:tc>
          <w:tcPr>
            <w:tcW w:w="729" w:type="dxa"/>
            <w:noWrap w:val="0"/>
            <w:vAlign w:val="center"/>
          </w:tcPr>
          <w:p>
            <w:pPr>
              <w:pStyle w:val="24"/>
              <w:spacing w:line="360" w:lineRule="auto"/>
              <w:jc w:val="center"/>
              <w:rPr>
                <w:rFonts w:hint="eastAsia" w:hAnsi="宋体" w:cs="宋体"/>
                <w:szCs w:val="21"/>
                <w:highlight w:val="none"/>
              </w:rPr>
            </w:pPr>
            <w:r>
              <w:rPr>
                <w:rFonts w:hint="eastAsia" w:hAnsi="宋体" w:cs="宋体"/>
                <w:szCs w:val="21"/>
                <w:highlight w:val="none"/>
              </w:rPr>
              <w:t>6</w:t>
            </w:r>
          </w:p>
        </w:tc>
        <w:tc>
          <w:tcPr>
            <w:tcW w:w="1693" w:type="dxa"/>
            <w:noWrap w:val="0"/>
            <w:vAlign w:val="center"/>
          </w:tcPr>
          <w:p>
            <w:pPr>
              <w:pStyle w:val="24"/>
              <w:spacing w:line="360" w:lineRule="auto"/>
              <w:jc w:val="center"/>
              <w:rPr>
                <w:rFonts w:hint="eastAsia" w:hAnsi="宋体" w:cs="宋体"/>
                <w:szCs w:val="21"/>
                <w:highlight w:val="none"/>
              </w:rPr>
            </w:pPr>
            <w:r>
              <w:rPr>
                <w:rFonts w:hint="eastAsia" w:hAnsi="宋体" w:cs="宋体"/>
                <w:szCs w:val="21"/>
                <w:highlight w:val="none"/>
              </w:rPr>
              <w:t>最高限价</w:t>
            </w:r>
          </w:p>
        </w:tc>
        <w:tc>
          <w:tcPr>
            <w:tcW w:w="7362" w:type="dxa"/>
            <w:noWrap w:val="0"/>
            <w:vAlign w:val="center"/>
          </w:tcPr>
          <w:p>
            <w:pPr>
              <w:pStyle w:val="24"/>
              <w:spacing w:line="360" w:lineRule="auto"/>
              <w:jc w:val="left"/>
              <w:rPr>
                <w:rFonts w:hint="eastAsia"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exact"/>
          <w:jc w:val="center"/>
        </w:trPr>
        <w:tc>
          <w:tcPr>
            <w:tcW w:w="729" w:type="dxa"/>
            <w:noWrap w:val="0"/>
            <w:vAlign w:val="center"/>
          </w:tcPr>
          <w:p>
            <w:pPr>
              <w:pStyle w:val="24"/>
              <w:spacing w:line="360" w:lineRule="auto"/>
              <w:jc w:val="center"/>
              <w:rPr>
                <w:rFonts w:hint="eastAsia" w:hAnsi="宋体" w:cs="宋体"/>
                <w:szCs w:val="21"/>
                <w:highlight w:val="none"/>
              </w:rPr>
            </w:pPr>
            <w:r>
              <w:rPr>
                <w:rFonts w:hint="eastAsia" w:hAnsi="宋体" w:cs="宋体"/>
                <w:szCs w:val="21"/>
                <w:highlight w:val="none"/>
              </w:rPr>
              <w:t>7</w:t>
            </w:r>
          </w:p>
        </w:tc>
        <w:tc>
          <w:tcPr>
            <w:tcW w:w="1693" w:type="dxa"/>
            <w:noWrap w:val="0"/>
            <w:vAlign w:val="center"/>
          </w:tcPr>
          <w:p>
            <w:pPr>
              <w:pStyle w:val="24"/>
              <w:spacing w:line="360" w:lineRule="auto"/>
              <w:jc w:val="center"/>
              <w:rPr>
                <w:rFonts w:hint="eastAsia" w:hAnsi="宋体" w:cs="宋体"/>
                <w:szCs w:val="21"/>
                <w:highlight w:val="none"/>
              </w:rPr>
            </w:pPr>
            <w:r>
              <w:rPr>
                <w:rFonts w:hint="eastAsia" w:hAnsi="宋体" w:cs="宋体"/>
                <w:szCs w:val="21"/>
                <w:highlight w:val="none"/>
              </w:rPr>
              <w:t>投标供应商</w:t>
            </w:r>
          </w:p>
          <w:p>
            <w:pPr>
              <w:pStyle w:val="24"/>
              <w:spacing w:line="360" w:lineRule="auto"/>
              <w:jc w:val="center"/>
              <w:rPr>
                <w:rFonts w:hAnsi="宋体" w:cs="宋体"/>
                <w:szCs w:val="21"/>
                <w:highlight w:val="none"/>
              </w:rPr>
            </w:pPr>
            <w:r>
              <w:rPr>
                <w:rFonts w:hint="eastAsia" w:hAnsi="宋体" w:cs="宋体"/>
                <w:szCs w:val="21"/>
                <w:highlight w:val="none"/>
              </w:rPr>
              <w:t>资格要求</w:t>
            </w:r>
          </w:p>
        </w:tc>
        <w:tc>
          <w:tcPr>
            <w:tcW w:w="7362" w:type="dxa"/>
            <w:noWrap w:val="0"/>
            <w:vAlign w:val="center"/>
          </w:tcPr>
          <w:p>
            <w:pPr>
              <w:pStyle w:val="24"/>
              <w:spacing w:line="360" w:lineRule="auto"/>
              <w:jc w:val="left"/>
              <w:rPr>
                <w:rFonts w:hint="eastAsia" w:hAnsi="宋体" w:cs="宋体"/>
                <w:szCs w:val="21"/>
                <w:highlight w:val="none"/>
              </w:rPr>
            </w:pPr>
            <w:r>
              <w:rPr>
                <w:rFonts w:hint="eastAsia" w:hAnsi="宋体" w:cs="宋体"/>
                <w:szCs w:val="21"/>
                <w:highlight w:val="none"/>
              </w:rPr>
              <w:t>详见本招标文件第一章“招标公告”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exact"/>
          <w:jc w:val="center"/>
        </w:trPr>
        <w:tc>
          <w:tcPr>
            <w:tcW w:w="729" w:type="dxa"/>
            <w:noWrap w:val="0"/>
            <w:vAlign w:val="center"/>
          </w:tcPr>
          <w:p>
            <w:pPr>
              <w:pStyle w:val="24"/>
              <w:spacing w:line="360" w:lineRule="auto"/>
              <w:jc w:val="center"/>
              <w:rPr>
                <w:rFonts w:hint="eastAsia" w:hAnsi="宋体" w:cs="宋体"/>
                <w:szCs w:val="21"/>
                <w:highlight w:val="none"/>
              </w:rPr>
            </w:pPr>
            <w:r>
              <w:rPr>
                <w:rFonts w:hint="eastAsia" w:hAnsi="宋体" w:cs="宋体"/>
                <w:szCs w:val="21"/>
                <w:highlight w:val="none"/>
              </w:rPr>
              <w:t>8</w:t>
            </w:r>
          </w:p>
        </w:tc>
        <w:tc>
          <w:tcPr>
            <w:tcW w:w="1693" w:type="dxa"/>
            <w:noWrap w:val="0"/>
            <w:vAlign w:val="center"/>
          </w:tcPr>
          <w:p>
            <w:pPr>
              <w:pStyle w:val="24"/>
              <w:spacing w:line="360" w:lineRule="auto"/>
              <w:jc w:val="center"/>
              <w:rPr>
                <w:rFonts w:hint="eastAsia" w:hAnsi="宋体" w:cs="宋体"/>
                <w:szCs w:val="21"/>
                <w:highlight w:val="none"/>
              </w:rPr>
            </w:pPr>
            <w:r>
              <w:rPr>
                <w:rFonts w:hint="eastAsia" w:hAnsi="宋体" w:cs="宋体"/>
                <w:szCs w:val="21"/>
                <w:highlight w:val="none"/>
              </w:rPr>
              <w:t>是否接受</w:t>
            </w:r>
          </w:p>
          <w:p>
            <w:pPr>
              <w:pStyle w:val="24"/>
              <w:spacing w:line="360" w:lineRule="auto"/>
              <w:jc w:val="center"/>
              <w:rPr>
                <w:rFonts w:hAnsi="宋体" w:cs="宋体"/>
                <w:szCs w:val="21"/>
                <w:highlight w:val="none"/>
              </w:rPr>
            </w:pPr>
            <w:r>
              <w:rPr>
                <w:rFonts w:hint="eastAsia" w:hAnsi="宋体" w:cs="宋体"/>
                <w:szCs w:val="21"/>
                <w:highlight w:val="none"/>
              </w:rPr>
              <w:t>联合体投标</w:t>
            </w:r>
          </w:p>
        </w:tc>
        <w:tc>
          <w:tcPr>
            <w:tcW w:w="7362" w:type="dxa"/>
            <w:noWrap w:val="0"/>
            <w:vAlign w:val="center"/>
          </w:tcPr>
          <w:p>
            <w:pPr>
              <w:pStyle w:val="24"/>
              <w:spacing w:line="360" w:lineRule="auto"/>
              <w:jc w:val="left"/>
              <w:rPr>
                <w:rFonts w:hint="eastAsia" w:hAnsi="宋体" w:cs="宋体"/>
                <w:szCs w:val="21"/>
                <w:highlight w:val="none"/>
              </w:rPr>
            </w:pPr>
            <w:r>
              <w:rPr>
                <w:rFonts w:hint="eastAsia" w:hAnsi="宋体" w:cs="宋体"/>
                <w:szCs w:val="21"/>
                <w:highlight w:val="none"/>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exact"/>
          <w:jc w:val="center"/>
        </w:trPr>
        <w:tc>
          <w:tcPr>
            <w:tcW w:w="729" w:type="dxa"/>
            <w:noWrap w:val="0"/>
            <w:vAlign w:val="center"/>
          </w:tcPr>
          <w:p>
            <w:pPr>
              <w:pStyle w:val="24"/>
              <w:spacing w:line="360" w:lineRule="auto"/>
              <w:jc w:val="center"/>
              <w:rPr>
                <w:rFonts w:hint="eastAsia" w:hAnsi="宋体" w:cs="宋体"/>
                <w:szCs w:val="21"/>
                <w:highlight w:val="none"/>
              </w:rPr>
            </w:pPr>
            <w:r>
              <w:rPr>
                <w:rFonts w:hint="eastAsia" w:hAnsi="宋体" w:cs="宋体"/>
                <w:szCs w:val="21"/>
                <w:highlight w:val="none"/>
              </w:rPr>
              <w:t>9</w:t>
            </w:r>
          </w:p>
        </w:tc>
        <w:tc>
          <w:tcPr>
            <w:tcW w:w="1693" w:type="dxa"/>
            <w:noWrap w:val="0"/>
            <w:vAlign w:val="center"/>
          </w:tcPr>
          <w:p>
            <w:pPr>
              <w:pStyle w:val="24"/>
              <w:spacing w:line="360" w:lineRule="auto"/>
              <w:jc w:val="center"/>
              <w:rPr>
                <w:rFonts w:hAnsi="宋体" w:cs="宋体"/>
                <w:szCs w:val="21"/>
                <w:highlight w:val="none"/>
              </w:rPr>
            </w:pPr>
            <w:r>
              <w:rPr>
                <w:rFonts w:hint="eastAsia" w:hAnsi="宋体" w:cs="宋体"/>
                <w:szCs w:val="21"/>
                <w:highlight w:val="none"/>
              </w:rPr>
              <w:t>踏勘现场</w:t>
            </w:r>
          </w:p>
        </w:tc>
        <w:tc>
          <w:tcPr>
            <w:tcW w:w="7362" w:type="dxa"/>
            <w:noWrap w:val="0"/>
            <w:vAlign w:val="center"/>
          </w:tcPr>
          <w:p>
            <w:pPr>
              <w:pStyle w:val="24"/>
              <w:spacing w:line="360" w:lineRule="auto"/>
              <w:jc w:val="left"/>
              <w:rPr>
                <w:rFonts w:hint="eastAsia" w:hAnsi="宋体" w:cs="宋体"/>
                <w:szCs w:val="21"/>
                <w:highlight w:val="none"/>
              </w:rPr>
            </w:pPr>
            <w:r>
              <w:rPr>
                <w:rFonts w:hint="eastAsia" w:hAnsi="宋体" w:cs="宋体"/>
                <w:szCs w:val="21"/>
                <w:highlight w:val="none"/>
              </w:rPr>
              <w:t>□组织</w:t>
            </w:r>
          </w:p>
          <w:p>
            <w:pPr>
              <w:pStyle w:val="24"/>
              <w:spacing w:line="360" w:lineRule="auto"/>
              <w:jc w:val="left"/>
              <w:rPr>
                <w:rFonts w:hint="eastAsia" w:hAnsi="宋体" w:cs="宋体"/>
                <w:szCs w:val="21"/>
                <w:highlight w:val="none"/>
              </w:rPr>
            </w:pPr>
            <w:r>
              <w:rPr>
                <w:rFonts w:hint="eastAsia" w:hAnsi="宋体" w:cs="宋体"/>
                <w:szCs w:val="21"/>
                <w:highlight w:val="none"/>
              </w:rPr>
              <w:t>☑不组织（投标人如有需要，经采购人同意后可自行前往，踏勘期间发生的费用或意外导致伤亡等一切责任和损失均由投标人自负）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jc w:val="center"/>
        </w:trPr>
        <w:tc>
          <w:tcPr>
            <w:tcW w:w="729" w:type="dxa"/>
            <w:noWrap w:val="0"/>
            <w:vAlign w:val="center"/>
          </w:tcPr>
          <w:p>
            <w:pPr>
              <w:pStyle w:val="24"/>
              <w:spacing w:line="360" w:lineRule="auto"/>
              <w:jc w:val="center"/>
              <w:rPr>
                <w:rFonts w:hAnsi="宋体" w:cs="宋体"/>
                <w:szCs w:val="21"/>
                <w:highlight w:val="none"/>
              </w:rPr>
            </w:pPr>
            <w:r>
              <w:rPr>
                <w:rFonts w:hint="eastAsia" w:hAnsi="宋体" w:cs="宋体"/>
                <w:szCs w:val="21"/>
                <w:highlight w:val="none"/>
              </w:rPr>
              <w:t>10</w:t>
            </w:r>
          </w:p>
        </w:tc>
        <w:tc>
          <w:tcPr>
            <w:tcW w:w="1693" w:type="dxa"/>
            <w:noWrap w:val="0"/>
            <w:vAlign w:val="center"/>
          </w:tcPr>
          <w:p>
            <w:pPr>
              <w:pStyle w:val="24"/>
              <w:spacing w:line="360" w:lineRule="auto"/>
              <w:jc w:val="center"/>
              <w:rPr>
                <w:rFonts w:hint="eastAsia" w:hAnsi="宋体" w:cs="宋体"/>
                <w:szCs w:val="21"/>
                <w:highlight w:val="none"/>
              </w:rPr>
            </w:pPr>
            <w:r>
              <w:rPr>
                <w:rFonts w:hint="eastAsia" w:hAnsi="宋体" w:cs="宋体"/>
                <w:szCs w:val="21"/>
                <w:highlight w:val="none"/>
              </w:rPr>
              <w:t>投标截止时间</w:t>
            </w:r>
          </w:p>
        </w:tc>
        <w:tc>
          <w:tcPr>
            <w:tcW w:w="7362" w:type="dxa"/>
            <w:noWrap w:val="0"/>
            <w:vAlign w:val="center"/>
          </w:tcPr>
          <w:p>
            <w:pPr>
              <w:pStyle w:val="24"/>
              <w:spacing w:line="360" w:lineRule="auto"/>
              <w:jc w:val="left"/>
              <w:rPr>
                <w:rFonts w:hint="eastAsia" w:hAnsi="宋体" w:cs="宋体"/>
                <w:szCs w:val="21"/>
                <w:highlight w:val="none"/>
              </w:rPr>
            </w:pPr>
            <w:r>
              <w:rPr>
                <w:rFonts w:hint="eastAsia" w:hAnsi="宋体" w:cs="宋体"/>
                <w:szCs w:val="21"/>
                <w:highlight w:val="none"/>
              </w:rPr>
              <w:t>2023年</w:t>
            </w:r>
            <w:r>
              <w:rPr>
                <w:rFonts w:hint="eastAsia" w:hAnsi="宋体" w:cs="宋体"/>
                <w:szCs w:val="21"/>
                <w:highlight w:val="none"/>
                <w:lang w:val="en-US" w:eastAsia="zh-CN"/>
              </w:rPr>
              <w:t>2</w:t>
            </w:r>
            <w:r>
              <w:rPr>
                <w:rFonts w:hint="eastAsia" w:hAnsi="宋体" w:cs="宋体"/>
                <w:szCs w:val="21"/>
                <w:highlight w:val="none"/>
              </w:rPr>
              <w:t>月</w:t>
            </w:r>
            <w:r>
              <w:rPr>
                <w:rFonts w:hint="eastAsia" w:hAnsi="宋体" w:cs="宋体"/>
                <w:szCs w:val="21"/>
                <w:highlight w:val="none"/>
                <w:lang w:val="en-US" w:eastAsia="zh-CN"/>
              </w:rPr>
              <w:t>14</w:t>
            </w:r>
            <w:r>
              <w:rPr>
                <w:rFonts w:hint="eastAsia" w:hAnsi="宋体" w:cs="宋体"/>
                <w:szCs w:val="21"/>
                <w:highlight w:val="none"/>
              </w:rPr>
              <w:t xml:space="preserve"> 日 09:</w:t>
            </w:r>
            <w:r>
              <w:rPr>
                <w:rFonts w:hint="eastAsia" w:hAnsi="宋体" w:cs="宋体"/>
                <w:szCs w:val="21"/>
                <w:highlight w:val="none"/>
                <w:lang w:val="en-US" w:eastAsia="zh-CN"/>
              </w:rPr>
              <w:t>30</w:t>
            </w:r>
            <w:r>
              <w:rPr>
                <w:rFonts w:hint="eastAsia" w:hAnsi="宋体" w:cs="宋体"/>
                <w:szCs w:val="21"/>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2" w:hRule="exact"/>
          <w:jc w:val="center"/>
        </w:trPr>
        <w:tc>
          <w:tcPr>
            <w:tcW w:w="729" w:type="dxa"/>
            <w:noWrap w:val="0"/>
            <w:vAlign w:val="center"/>
          </w:tcPr>
          <w:p>
            <w:pPr>
              <w:pStyle w:val="24"/>
              <w:spacing w:line="360" w:lineRule="auto"/>
              <w:jc w:val="center"/>
              <w:rPr>
                <w:rFonts w:hint="eastAsia" w:hAnsi="宋体" w:cs="宋体"/>
                <w:szCs w:val="21"/>
                <w:highlight w:val="none"/>
              </w:rPr>
            </w:pPr>
            <w:r>
              <w:rPr>
                <w:rFonts w:hint="eastAsia" w:hAnsi="宋体" w:cs="宋体"/>
                <w:szCs w:val="21"/>
                <w:highlight w:val="none"/>
              </w:rPr>
              <w:t>11</w:t>
            </w:r>
          </w:p>
        </w:tc>
        <w:tc>
          <w:tcPr>
            <w:tcW w:w="1693" w:type="dxa"/>
            <w:noWrap w:val="0"/>
            <w:vAlign w:val="center"/>
          </w:tcPr>
          <w:p>
            <w:pPr>
              <w:pStyle w:val="24"/>
              <w:spacing w:line="360" w:lineRule="auto"/>
              <w:jc w:val="left"/>
              <w:rPr>
                <w:rFonts w:hint="eastAsia" w:hAnsi="宋体" w:cs="宋体"/>
                <w:szCs w:val="21"/>
                <w:highlight w:val="none"/>
              </w:rPr>
            </w:pPr>
            <w:r>
              <w:rPr>
                <w:rFonts w:hint="eastAsia" w:hAnsi="宋体" w:cs="宋体"/>
                <w:szCs w:val="21"/>
                <w:highlight w:val="none"/>
              </w:rPr>
              <w:t>投标地点（网址）</w:t>
            </w:r>
          </w:p>
        </w:tc>
        <w:tc>
          <w:tcPr>
            <w:tcW w:w="7362" w:type="dxa"/>
            <w:noWrap w:val="0"/>
            <w:vAlign w:val="center"/>
          </w:tcPr>
          <w:p>
            <w:pPr>
              <w:pStyle w:val="24"/>
              <w:spacing w:line="360" w:lineRule="auto"/>
              <w:jc w:val="left"/>
              <w:rPr>
                <w:rFonts w:hint="eastAsia" w:hAnsi="宋体" w:cs="宋体"/>
                <w:szCs w:val="21"/>
                <w:highlight w:val="none"/>
              </w:rPr>
            </w:pPr>
            <w:r>
              <w:rPr>
                <w:rFonts w:hint="eastAsia" w:hAnsi="宋体" w:cs="宋体"/>
                <w:szCs w:val="21"/>
                <w:highlight w:val="none"/>
              </w:rPr>
              <w:t>“政采云投标客户端”（本项目采用在线投标方式，供应商须在投标截止时间前按规定上传加密的投标文件至政采云平台）</w:t>
            </w:r>
          </w:p>
          <w:p>
            <w:pPr>
              <w:pStyle w:val="24"/>
              <w:spacing w:line="360" w:lineRule="auto"/>
              <w:jc w:val="left"/>
              <w:rPr>
                <w:rFonts w:hint="eastAsia" w:hAnsi="宋体" w:cs="宋体"/>
                <w:b/>
                <w:bCs/>
                <w:szCs w:val="21"/>
                <w:highlight w:val="none"/>
              </w:rPr>
            </w:pPr>
            <w:r>
              <w:rPr>
                <w:rFonts w:hint="eastAsia" w:hAnsi="宋体" w:cs="宋体"/>
                <w:b/>
                <w:bCs/>
                <w:szCs w:val="21"/>
                <w:highlight w:val="none"/>
              </w:rPr>
              <w:t>展馆整体演示光盘：</w:t>
            </w:r>
          </w:p>
          <w:p>
            <w:pPr>
              <w:pStyle w:val="24"/>
              <w:spacing w:line="360" w:lineRule="auto"/>
              <w:jc w:val="left"/>
              <w:rPr>
                <w:rFonts w:hint="eastAsia" w:hAnsi="宋体" w:cs="宋体"/>
                <w:b/>
                <w:bCs/>
                <w:szCs w:val="21"/>
                <w:highlight w:val="none"/>
              </w:rPr>
            </w:pPr>
            <w:r>
              <w:rPr>
                <w:rFonts w:hint="eastAsia" w:hAnsi="宋体" w:cs="宋体"/>
                <w:b/>
                <w:bCs/>
                <w:szCs w:val="21"/>
                <w:highlight w:val="none"/>
              </w:rPr>
              <w:t>1.投标人在投标截止时间前将展馆整体演示光盘邮寄</w:t>
            </w:r>
            <w:r>
              <w:rPr>
                <w:rFonts w:hAnsi="宋体" w:cs="宋体"/>
                <w:b/>
                <w:bCs/>
                <w:szCs w:val="21"/>
                <w:highlight w:val="none"/>
              </w:rPr>
              <w:t>(</w:t>
            </w:r>
            <w:r>
              <w:rPr>
                <w:rFonts w:hint="eastAsia" w:hAnsi="宋体" w:cs="宋体"/>
                <w:b/>
                <w:bCs/>
                <w:szCs w:val="21"/>
                <w:highlight w:val="none"/>
              </w:rPr>
              <w:t>或现场递交</w:t>
            </w:r>
            <w:r>
              <w:rPr>
                <w:rFonts w:hAnsi="宋体" w:cs="宋体"/>
                <w:b/>
                <w:bCs/>
                <w:szCs w:val="21"/>
                <w:highlight w:val="none"/>
              </w:rPr>
              <w:t>)</w:t>
            </w:r>
            <w:r>
              <w:rPr>
                <w:rFonts w:hint="eastAsia" w:hAnsi="宋体" w:cs="宋体"/>
                <w:b/>
                <w:bCs/>
                <w:szCs w:val="21"/>
                <w:highlight w:val="none"/>
              </w:rPr>
              <w:t>到金华市金东区万达广场5号楼6楼，联系电话：18814832009，联系人：方先生，邮寄接收</w:t>
            </w:r>
            <w:r>
              <w:rPr>
                <w:rFonts w:hAnsi="宋体" w:cs="宋体"/>
                <w:b/>
                <w:bCs/>
                <w:szCs w:val="21"/>
                <w:highlight w:val="none"/>
              </w:rPr>
              <w:t>(</w:t>
            </w:r>
            <w:r>
              <w:rPr>
                <w:rFonts w:hint="eastAsia" w:hAnsi="宋体" w:cs="宋体"/>
                <w:b/>
                <w:bCs/>
                <w:szCs w:val="21"/>
                <w:highlight w:val="none"/>
              </w:rPr>
              <w:t>或现场递交</w:t>
            </w:r>
            <w:r>
              <w:rPr>
                <w:rFonts w:hAnsi="宋体" w:cs="宋体"/>
                <w:b/>
                <w:bCs/>
                <w:szCs w:val="21"/>
                <w:highlight w:val="none"/>
              </w:rPr>
              <w:t>)</w:t>
            </w:r>
            <w:r>
              <w:rPr>
                <w:rFonts w:hint="eastAsia" w:hAnsi="宋体" w:cs="宋体"/>
                <w:b/>
                <w:bCs/>
                <w:szCs w:val="21"/>
                <w:highlight w:val="none"/>
              </w:rPr>
              <w:t>截止时间：</w:t>
            </w:r>
            <w:r>
              <w:rPr>
                <w:rFonts w:hAnsi="宋体" w:cs="宋体"/>
                <w:b/>
                <w:bCs/>
                <w:szCs w:val="21"/>
                <w:highlight w:val="none"/>
              </w:rPr>
              <w:t>202</w:t>
            </w:r>
            <w:r>
              <w:rPr>
                <w:rFonts w:hint="eastAsia" w:hAnsi="宋体" w:cs="宋体"/>
                <w:b/>
                <w:bCs/>
                <w:szCs w:val="21"/>
                <w:highlight w:val="none"/>
              </w:rPr>
              <w:t>3年</w:t>
            </w:r>
            <w:r>
              <w:rPr>
                <w:rFonts w:hint="eastAsia" w:hAnsi="宋体" w:cs="宋体"/>
                <w:b/>
                <w:bCs/>
                <w:szCs w:val="21"/>
                <w:highlight w:val="none"/>
                <w:lang w:val="en-US" w:eastAsia="zh-CN"/>
              </w:rPr>
              <w:t>2</w:t>
            </w:r>
            <w:r>
              <w:rPr>
                <w:rFonts w:hint="eastAsia" w:hAnsi="宋体" w:cs="宋体"/>
                <w:b/>
                <w:bCs/>
                <w:szCs w:val="21"/>
                <w:highlight w:val="none"/>
              </w:rPr>
              <w:t>月</w:t>
            </w:r>
            <w:r>
              <w:rPr>
                <w:rFonts w:hint="eastAsia" w:hAnsi="宋体" w:cs="宋体"/>
                <w:b/>
                <w:bCs/>
                <w:szCs w:val="21"/>
                <w:highlight w:val="none"/>
                <w:lang w:val="en-US" w:eastAsia="zh-CN"/>
              </w:rPr>
              <w:t>1</w:t>
            </w:r>
            <w:r>
              <w:rPr>
                <w:rFonts w:hint="eastAsia" w:hAnsi="宋体" w:cs="宋体"/>
                <w:b/>
                <w:bCs/>
                <w:szCs w:val="21"/>
                <w:highlight w:val="none"/>
                <w:lang w:val="en-US" w:eastAsia="zh-CN"/>
              </w:rPr>
              <w:t>3</w:t>
            </w:r>
            <w:r>
              <w:rPr>
                <w:rFonts w:hint="eastAsia" w:hAnsi="宋体" w:cs="宋体"/>
                <w:b/>
                <w:bCs/>
                <w:szCs w:val="21"/>
                <w:highlight w:val="none"/>
              </w:rPr>
              <w:t>日17时0</w:t>
            </w:r>
            <w:r>
              <w:rPr>
                <w:rFonts w:hAnsi="宋体" w:cs="宋体"/>
                <w:b/>
                <w:bCs/>
                <w:szCs w:val="21"/>
                <w:highlight w:val="none"/>
              </w:rPr>
              <w:t>0</w:t>
            </w:r>
            <w:r>
              <w:rPr>
                <w:rFonts w:hint="eastAsia" w:hAnsi="宋体" w:cs="宋体"/>
                <w:b/>
                <w:bCs/>
                <w:szCs w:val="21"/>
                <w:highlight w:val="none"/>
              </w:rPr>
              <w:t>分。逾期送达将被拒收。快递面单上必须填写寄件人信息及手机号码，快递面单上默认不能填写的，由寄件人自行粘贴相应信息在快递封套上，★但不得显示单位名称）；</w:t>
            </w:r>
          </w:p>
          <w:p>
            <w:pPr>
              <w:pStyle w:val="24"/>
              <w:spacing w:line="360" w:lineRule="auto"/>
              <w:jc w:val="left"/>
              <w:rPr>
                <w:rFonts w:hint="eastAsia" w:hAnsi="宋体" w:cs="宋体"/>
                <w:szCs w:val="21"/>
                <w:highlight w:val="none"/>
              </w:rPr>
            </w:pPr>
            <w:r>
              <w:rPr>
                <w:rFonts w:hint="eastAsia" w:hAnsi="宋体" w:cs="宋体"/>
                <w:b/>
                <w:bCs/>
                <w:szCs w:val="21"/>
                <w:highlight w:val="none"/>
              </w:rPr>
              <w:t>2.展馆整体演示光盘密封袋的封套上应注明的内容（项目名称、项目编号、展馆整体演示、投标单位名称、注明“于开标时间之前（指招标文件中规定的开标日期及时间）不准启封”的字样）。投标人应将展馆整体演示单独密封包装，并在密封袋上均应加盖单位公章和法定代表人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exact"/>
          <w:jc w:val="center"/>
        </w:trPr>
        <w:tc>
          <w:tcPr>
            <w:tcW w:w="729" w:type="dxa"/>
            <w:noWrap w:val="0"/>
            <w:vAlign w:val="center"/>
          </w:tcPr>
          <w:p>
            <w:pPr>
              <w:pStyle w:val="24"/>
              <w:spacing w:line="360" w:lineRule="auto"/>
              <w:jc w:val="center"/>
              <w:rPr>
                <w:rFonts w:hAnsi="宋体" w:cs="宋体"/>
                <w:szCs w:val="21"/>
                <w:highlight w:val="none"/>
              </w:rPr>
            </w:pPr>
            <w:r>
              <w:rPr>
                <w:rFonts w:hint="eastAsia" w:hAnsi="宋体" w:cs="宋体"/>
                <w:szCs w:val="21"/>
                <w:highlight w:val="none"/>
              </w:rPr>
              <w:t>12</w:t>
            </w:r>
          </w:p>
        </w:tc>
        <w:tc>
          <w:tcPr>
            <w:tcW w:w="1693" w:type="dxa"/>
            <w:noWrap w:val="0"/>
            <w:vAlign w:val="center"/>
          </w:tcPr>
          <w:p>
            <w:pPr>
              <w:pStyle w:val="24"/>
              <w:spacing w:line="360" w:lineRule="auto"/>
              <w:jc w:val="center"/>
              <w:rPr>
                <w:rFonts w:hint="eastAsia" w:hAnsi="宋体" w:cs="宋体"/>
                <w:szCs w:val="21"/>
                <w:highlight w:val="none"/>
              </w:rPr>
            </w:pPr>
            <w:r>
              <w:rPr>
                <w:rFonts w:hint="eastAsia" w:hAnsi="宋体" w:cs="宋体"/>
                <w:szCs w:val="21"/>
                <w:highlight w:val="none"/>
              </w:rPr>
              <w:t>开标时间和地点</w:t>
            </w:r>
          </w:p>
        </w:tc>
        <w:tc>
          <w:tcPr>
            <w:tcW w:w="7362" w:type="dxa"/>
            <w:noWrap w:val="0"/>
            <w:vAlign w:val="center"/>
          </w:tcPr>
          <w:p>
            <w:pPr>
              <w:pStyle w:val="24"/>
              <w:spacing w:line="360" w:lineRule="auto"/>
              <w:jc w:val="left"/>
              <w:rPr>
                <w:rFonts w:hint="eastAsia" w:hAnsi="宋体" w:cs="宋体"/>
                <w:szCs w:val="21"/>
                <w:highlight w:val="none"/>
              </w:rPr>
            </w:pPr>
            <w:r>
              <w:rPr>
                <w:rFonts w:hint="eastAsia" w:hAnsi="宋体" w:cs="宋体"/>
                <w:szCs w:val="21"/>
                <w:highlight w:val="none"/>
              </w:rPr>
              <w:t>2023年</w:t>
            </w:r>
            <w:r>
              <w:rPr>
                <w:rFonts w:hint="eastAsia" w:hAnsi="宋体" w:cs="宋体"/>
                <w:szCs w:val="21"/>
                <w:highlight w:val="none"/>
                <w:lang w:val="en-US" w:eastAsia="zh-CN"/>
              </w:rPr>
              <w:t>2</w:t>
            </w:r>
            <w:r>
              <w:rPr>
                <w:rFonts w:hint="eastAsia" w:hAnsi="宋体" w:cs="宋体"/>
                <w:szCs w:val="21"/>
                <w:highlight w:val="none"/>
              </w:rPr>
              <w:t>月</w:t>
            </w:r>
            <w:r>
              <w:rPr>
                <w:rFonts w:hint="eastAsia" w:hAnsi="宋体" w:cs="宋体"/>
                <w:szCs w:val="21"/>
                <w:highlight w:val="none"/>
                <w:lang w:val="en-US" w:eastAsia="zh-CN"/>
              </w:rPr>
              <w:t>14</w:t>
            </w:r>
            <w:r>
              <w:rPr>
                <w:rFonts w:hint="eastAsia" w:hAnsi="宋体" w:cs="宋体"/>
                <w:szCs w:val="21"/>
                <w:highlight w:val="none"/>
              </w:rPr>
              <w:t>日 09:</w:t>
            </w:r>
            <w:r>
              <w:rPr>
                <w:rFonts w:hint="eastAsia" w:hAnsi="宋体" w:cs="宋体"/>
                <w:szCs w:val="21"/>
                <w:highlight w:val="none"/>
                <w:lang w:val="en-US" w:eastAsia="zh-CN"/>
              </w:rPr>
              <w:t>3</w:t>
            </w:r>
            <w:r>
              <w:rPr>
                <w:rFonts w:hint="eastAsia" w:hAnsi="宋体" w:cs="宋体"/>
                <w:szCs w:val="21"/>
                <w:highlight w:val="none"/>
              </w:rPr>
              <w:t>0（北京时间），“政采云投标客户端”（本项目采用在线投标方式，供应商须在投标截止时间前按规定上传加密的投标文件至政采云平台）</w:t>
            </w:r>
          </w:p>
          <w:p>
            <w:pPr>
              <w:pStyle w:val="24"/>
              <w:spacing w:line="360" w:lineRule="auto"/>
              <w:jc w:val="left"/>
              <w:rPr>
                <w:rFonts w:hint="eastAsia"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exact"/>
          <w:jc w:val="center"/>
        </w:trPr>
        <w:tc>
          <w:tcPr>
            <w:tcW w:w="729" w:type="dxa"/>
            <w:noWrap w:val="0"/>
            <w:vAlign w:val="center"/>
          </w:tcPr>
          <w:p>
            <w:pPr>
              <w:pStyle w:val="24"/>
              <w:spacing w:line="360" w:lineRule="auto"/>
              <w:jc w:val="center"/>
              <w:rPr>
                <w:rFonts w:hAnsi="宋体" w:cs="宋体"/>
                <w:szCs w:val="21"/>
                <w:highlight w:val="none"/>
              </w:rPr>
            </w:pPr>
            <w:r>
              <w:rPr>
                <w:rFonts w:hint="eastAsia" w:hAnsi="宋体" w:cs="宋体"/>
                <w:szCs w:val="21"/>
                <w:highlight w:val="none"/>
              </w:rPr>
              <w:t>13</w:t>
            </w:r>
          </w:p>
        </w:tc>
        <w:tc>
          <w:tcPr>
            <w:tcW w:w="1693" w:type="dxa"/>
            <w:noWrap w:val="0"/>
            <w:vAlign w:val="center"/>
          </w:tcPr>
          <w:p>
            <w:pPr>
              <w:pStyle w:val="24"/>
              <w:spacing w:line="360" w:lineRule="auto"/>
              <w:jc w:val="center"/>
              <w:rPr>
                <w:rFonts w:hAnsi="宋体" w:cs="宋体"/>
                <w:szCs w:val="21"/>
                <w:highlight w:val="none"/>
              </w:rPr>
            </w:pPr>
            <w:r>
              <w:rPr>
                <w:rFonts w:hint="eastAsia" w:hAnsi="宋体" w:cs="宋体"/>
                <w:szCs w:val="21"/>
                <w:highlight w:val="none"/>
              </w:rPr>
              <w:t>投标保证金</w:t>
            </w:r>
          </w:p>
        </w:tc>
        <w:tc>
          <w:tcPr>
            <w:tcW w:w="7362" w:type="dxa"/>
            <w:noWrap w:val="0"/>
            <w:vAlign w:val="center"/>
          </w:tcPr>
          <w:p>
            <w:pPr>
              <w:pStyle w:val="24"/>
              <w:spacing w:line="336" w:lineRule="auto"/>
              <w:ind w:left="105" w:leftChars="50" w:right="105" w:rightChars="50"/>
              <w:rPr>
                <w:rFonts w:hint="eastAsia" w:hAnsi="宋体" w:cs="宋体"/>
                <w:bCs/>
                <w:szCs w:val="21"/>
                <w:highlight w:val="none"/>
              </w:rPr>
            </w:pPr>
            <w:r>
              <w:rPr>
                <w:rFonts w:hint="eastAsia" w:hAnsi="宋体" w:cs="宋体"/>
                <w:bCs/>
                <w:szCs w:val="21"/>
                <w:highlight w:val="none"/>
              </w:rPr>
              <w:t xml:space="preserve">本项目不需要缴纳投标保证金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exact"/>
          <w:jc w:val="center"/>
        </w:trPr>
        <w:tc>
          <w:tcPr>
            <w:tcW w:w="729" w:type="dxa"/>
            <w:noWrap w:val="0"/>
            <w:vAlign w:val="center"/>
          </w:tcPr>
          <w:p>
            <w:pPr>
              <w:pStyle w:val="24"/>
              <w:spacing w:line="360" w:lineRule="auto"/>
              <w:jc w:val="center"/>
              <w:rPr>
                <w:rFonts w:hAnsi="宋体" w:cs="宋体"/>
                <w:szCs w:val="21"/>
                <w:highlight w:val="none"/>
              </w:rPr>
            </w:pPr>
            <w:r>
              <w:rPr>
                <w:rFonts w:hint="eastAsia" w:hAnsi="宋体" w:cs="宋体"/>
                <w:szCs w:val="21"/>
                <w:highlight w:val="none"/>
              </w:rPr>
              <w:t>14</w:t>
            </w:r>
          </w:p>
        </w:tc>
        <w:tc>
          <w:tcPr>
            <w:tcW w:w="1693" w:type="dxa"/>
            <w:noWrap w:val="0"/>
            <w:vAlign w:val="center"/>
          </w:tcPr>
          <w:p>
            <w:pPr>
              <w:pStyle w:val="24"/>
              <w:spacing w:line="360" w:lineRule="auto"/>
              <w:jc w:val="center"/>
              <w:rPr>
                <w:rFonts w:hAnsi="宋体" w:cs="宋体"/>
                <w:szCs w:val="21"/>
                <w:highlight w:val="none"/>
              </w:rPr>
            </w:pPr>
            <w:r>
              <w:rPr>
                <w:rFonts w:hint="eastAsia" w:hAnsi="宋体" w:cs="宋体"/>
                <w:szCs w:val="21"/>
                <w:highlight w:val="none"/>
              </w:rPr>
              <w:t>投标文件有效期</w:t>
            </w:r>
          </w:p>
        </w:tc>
        <w:tc>
          <w:tcPr>
            <w:tcW w:w="7362" w:type="dxa"/>
            <w:noWrap w:val="0"/>
            <w:vAlign w:val="center"/>
          </w:tcPr>
          <w:p>
            <w:pPr>
              <w:pStyle w:val="24"/>
              <w:spacing w:line="336" w:lineRule="auto"/>
              <w:ind w:left="105" w:leftChars="50" w:right="105" w:rightChars="50"/>
              <w:rPr>
                <w:rFonts w:hint="eastAsia" w:hAnsi="宋体" w:cs="宋体"/>
                <w:szCs w:val="21"/>
                <w:highlight w:val="none"/>
              </w:rPr>
            </w:pPr>
            <w:r>
              <w:rPr>
                <w:rFonts w:hint="eastAsia" w:hAnsi="宋体" w:cs="宋体"/>
                <w:szCs w:val="21"/>
                <w:highlight w:val="none"/>
              </w:rPr>
              <w:t xml:space="preserve">自投标截止时间起90天内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exact"/>
          <w:jc w:val="center"/>
        </w:trPr>
        <w:tc>
          <w:tcPr>
            <w:tcW w:w="729" w:type="dxa"/>
            <w:noWrap w:val="0"/>
            <w:vAlign w:val="center"/>
          </w:tcPr>
          <w:p>
            <w:pPr>
              <w:pStyle w:val="24"/>
              <w:spacing w:line="360" w:lineRule="auto"/>
              <w:jc w:val="center"/>
              <w:rPr>
                <w:rFonts w:hAnsi="宋体" w:cs="宋体"/>
                <w:szCs w:val="21"/>
                <w:highlight w:val="none"/>
              </w:rPr>
            </w:pPr>
            <w:r>
              <w:rPr>
                <w:rFonts w:hint="eastAsia" w:hAnsi="宋体" w:cs="宋体"/>
                <w:szCs w:val="21"/>
                <w:highlight w:val="none"/>
              </w:rPr>
              <w:t>15</w:t>
            </w:r>
          </w:p>
        </w:tc>
        <w:tc>
          <w:tcPr>
            <w:tcW w:w="1693" w:type="dxa"/>
            <w:noWrap w:val="0"/>
            <w:vAlign w:val="center"/>
          </w:tcPr>
          <w:p>
            <w:pPr>
              <w:pStyle w:val="24"/>
              <w:spacing w:line="360" w:lineRule="auto"/>
              <w:jc w:val="center"/>
              <w:rPr>
                <w:rFonts w:hint="eastAsia" w:hAnsi="宋体" w:cs="宋体"/>
                <w:szCs w:val="21"/>
                <w:highlight w:val="none"/>
              </w:rPr>
            </w:pPr>
            <w:r>
              <w:rPr>
                <w:rFonts w:hint="eastAsia" w:hAnsi="宋体" w:cs="宋体"/>
                <w:szCs w:val="21"/>
                <w:highlight w:val="none"/>
              </w:rPr>
              <w:t>答疑会</w:t>
            </w:r>
          </w:p>
        </w:tc>
        <w:tc>
          <w:tcPr>
            <w:tcW w:w="7362" w:type="dxa"/>
            <w:noWrap w:val="0"/>
            <w:vAlign w:val="center"/>
          </w:tcPr>
          <w:p>
            <w:pPr>
              <w:pStyle w:val="24"/>
              <w:spacing w:line="336" w:lineRule="auto"/>
              <w:ind w:left="105" w:leftChars="50" w:right="105" w:rightChars="50"/>
              <w:rPr>
                <w:rFonts w:hint="eastAsia" w:hAnsi="宋体" w:cs="宋体"/>
                <w:szCs w:val="21"/>
                <w:highlight w:val="none"/>
              </w:rPr>
            </w:pPr>
            <w:r>
              <w:rPr>
                <w:rFonts w:hint="eastAsia" w:hAnsi="宋体" w:cs="宋体"/>
                <w:szCs w:val="21"/>
                <w:highlight w:val="none"/>
              </w:rPr>
              <w:t>□召开</w:t>
            </w:r>
          </w:p>
          <w:p>
            <w:pPr>
              <w:pStyle w:val="24"/>
              <w:spacing w:line="336" w:lineRule="auto"/>
              <w:ind w:left="105" w:leftChars="50" w:right="105" w:rightChars="50"/>
              <w:rPr>
                <w:rFonts w:hint="eastAsia" w:hAnsi="宋体" w:cs="宋体"/>
                <w:szCs w:val="21"/>
                <w:highlight w:val="none"/>
              </w:rPr>
            </w:pPr>
            <w:r>
              <w:rPr>
                <w:rFonts w:hint="eastAsia" w:hAnsi="宋体" w:cs="宋体"/>
                <w:szCs w:val="21"/>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exact"/>
          <w:jc w:val="center"/>
        </w:trPr>
        <w:tc>
          <w:tcPr>
            <w:tcW w:w="729" w:type="dxa"/>
            <w:noWrap w:val="0"/>
            <w:vAlign w:val="center"/>
          </w:tcPr>
          <w:p>
            <w:pPr>
              <w:pStyle w:val="24"/>
              <w:spacing w:line="360" w:lineRule="auto"/>
              <w:jc w:val="center"/>
              <w:rPr>
                <w:rFonts w:hAnsi="宋体" w:cs="宋体"/>
                <w:szCs w:val="21"/>
                <w:highlight w:val="none"/>
              </w:rPr>
            </w:pPr>
            <w:r>
              <w:rPr>
                <w:rFonts w:hint="eastAsia" w:hAnsi="宋体" w:cs="宋体"/>
                <w:szCs w:val="21"/>
                <w:highlight w:val="none"/>
              </w:rPr>
              <w:t>16</w:t>
            </w:r>
          </w:p>
        </w:tc>
        <w:tc>
          <w:tcPr>
            <w:tcW w:w="1693" w:type="dxa"/>
            <w:noWrap w:val="0"/>
            <w:vAlign w:val="center"/>
          </w:tcPr>
          <w:p>
            <w:pPr>
              <w:pStyle w:val="24"/>
              <w:spacing w:line="360" w:lineRule="auto"/>
              <w:jc w:val="center"/>
              <w:rPr>
                <w:rFonts w:hint="eastAsia" w:hAnsi="宋体" w:cs="宋体"/>
                <w:szCs w:val="21"/>
                <w:highlight w:val="none"/>
              </w:rPr>
            </w:pPr>
            <w:r>
              <w:rPr>
                <w:rFonts w:hint="eastAsia" w:hAnsi="宋体" w:cs="宋体"/>
                <w:szCs w:val="21"/>
                <w:highlight w:val="none"/>
              </w:rPr>
              <w:t>投标文件的形式</w:t>
            </w:r>
          </w:p>
        </w:tc>
        <w:tc>
          <w:tcPr>
            <w:tcW w:w="7362" w:type="dxa"/>
            <w:noWrap w:val="0"/>
            <w:vAlign w:val="center"/>
          </w:tcPr>
          <w:p>
            <w:pPr>
              <w:pStyle w:val="24"/>
              <w:spacing w:line="336" w:lineRule="auto"/>
              <w:ind w:left="105" w:leftChars="50" w:right="105" w:rightChars="50"/>
              <w:rPr>
                <w:rFonts w:hint="eastAsia" w:hAnsi="宋体" w:cs="宋体"/>
                <w:szCs w:val="21"/>
                <w:highlight w:val="none"/>
              </w:rPr>
            </w:pPr>
            <w:r>
              <w:rPr>
                <w:rFonts w:hint="eastAsia" w:hAnsi="宋体" w:cs="宋体"/>
                <w:szCs w:val="21"/>
                <w:highlight w:val="none"/>
              </w:rPr>
              <w:t>投标人应准备电子投标文件。 电子投标文件是指通过“政采云电子交易客户端”完成投标文件编制后生成并加密的数据电文形式的电子加密投标文件。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exact"/>
          <w:jc w:val="center"/>
        </w:trPr>
        <w:tc>
          <w:tcPr>
            <w:tcW w:w="729" w:type="dxa"/>
            <w:noWrap w:val="0"/>
            <w:vAlign w:val="center"/>
          </w:tcPr>
          <w:p>
            <w:pPr>
              <w:pStyle w:val="24"/>
              <w:spacing w:line="360" w:lineRule="auto"/>
              <w:jc w:val="center"/>
              <w:rPr>
                <w:rFonts w:hAnsi="宋体" w:cs="宋体"/>
                <w:szCs w:val="21"/>
                <w:highlight w:val="none"/>
              </w:rPr>
            </w:pPr>
            <w:r>
              <w:rPr>
                <w:rFonts w:hint="eastAsia" w:hAnsi="宋体" w:cs="宋体"/>
                <w:szCs w:val="21"/>
                <w:highlight w:val="none"/>
              </w:rPr>
              <w:t>17</w:t>
            </w:r>
          </w:p>
        </w:tc>
        <w:tc>
          <w:tcPr>
            <w:tcW w:w="1693" w:type="dxa"/>
            <w:noWrap w:val="0"/>
            <w:vAlign w:val="center"/>
          </w:tcPr>
          <w:p>
            <w:pPr>
              <w:pStyle w:val="24"/>
              <w:spacing w:line="360" w:lineRule="auto"/>
              <w:jc w:val="center"/>
              <w:rPr>
                <w:rFonts w:hint="eastAsia" w:hAnsi="宋体" w:cs="宋体"/>
                <w:szCs w:val="21"/>
                <w:highlight w:val="none"/>
              </w:rPr>
            </w:pPr>
            <w:r>
              <w:rPr>
                <w:rFonts w:hint="eastAsia" w:hAnsi="宋体" w:cs="宋体"/>
                <w:szCs w:val="21"/>
                <w:highlight w:val="none"/>
              </w:rPr>
              <w:t>投标文件的编制</w:t>
            </w:r>
          </w:p>
        </w:tc>
        <w:tc>
          <w:tcPr>
            <w:tcW w:w="7362" w:type="dxa"/>
            <w:noWrap w:val="0"/>
            <w:vAlign w:val="center"/>
          </w:tcPr>
          <w:p>
            <w:pPr>
              <w:pStyle w:val="24"/>
              <w:spacing w:line="336" w:lineRule="auto"/>
              <w:ind w:left="105" w:leftChars="50" w:right="105" w:rightChars="50"/>
              <w:rPr>
                <w:rFonts w:hint="eastAsia" w:hAnsi="宋体" w:cs="宋体"/>
                <w:szCs w:val="21"/>
                <w:highlight w:val="none"/>
              </w:rPr>
            </w:pPr>
            <w:r>
              <w:rPr>
                <w:rFonts w:hint="eastAsia" w:hAnsi="宋体" w:cs="宋体"/>
                <w:szCs w:val="21"/>
                <w:highlight w:val="none"/>
              </w:rPr>
              <w:t>供应商应先安装“政采云电子交易客户端”，并按照本招标文件和“政府采购云平台”的要求，通过“政采云电子交易客户端”编制并加密投标文件。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exact"/>
          <w:jc w:val="center"/>
        </w:trPr>
        <w:tc>
          <w:tcPr>
            <w:tcW w:w="729" w:type="dxa"/>
            <w:noWrap w:val="0"/>
            <w:vAlign w:val="center"/>
          </w:tcPr>
          <w:p>
            <w:pPr>
              <w:pStyle w:val="24"/>
              <w:spacing w:line="360" w:lineRule="auto"/>
              <w:jc w:val="center"/>
              <w:rPr>
                <w:rFonts w:hAnsi="宋体" w:cs="宋体"/>
                <w:szCs w:val="21"/>
                <w:highlight w:val="none"/>
              </w:rPr>
            </w:pPr>
            <w:r>
              <w:rPr>
                <w:rFonts w:hint="eastAsia" w:hAnsi="宋体" w:cs="宋体"/>
                <w:szCs w:val="21"/>
                <w:highlight w:val="none"/>
              </w:rPr>
              <w:t>18</w:t>
            </w:r>
          </w:p>
        </w:tc>
        <w:tc>
          <w:tcPr>
            <w:tcW w:w="1693" w:type="dxa"/>
            <w:noWrap w:val="0"/>
            <w:vAlign w:val="center"/>
          </w:tcPr>
          <w:p>
            <w:pPr>
              <w:pStyle w:val="24"/>
              <w:spacing w:line="360" w:lineRule="auto"/>
              <w:jc w:val="center"/>
              <w:rPr>
                <w:rFonts w:hint="eastAsia" w:hAnsi="宋体" w:cs="宋体"/>
                <w:szCs w:val="21"/>
                <w:highlight w:val="none"/>
              </w:rPr>
            </w:pPr>
            <w:r>
              <w:rPr>
                <w:rFonts w:hint="eastAsia" w:hAnsi="宋体" w:cs="宋体"/>
                <w:szCs w:val="21"/>
                <w:highlight w:val="none"/>
              </w:rPr>
              <w:t>投标文件的组成</w:t>
            </w:r>
          </w:p>
        </w:tc>
        <w:tc>
          <w:tcPr>
            <w:tcW w:w="7362" w:type="dxa"/>
            <w:noWrap w:val="0"/>
            <w:vAlign w:val="center"/>
          </w:tcPr>
          <w:p>
            <w:pPr>
              <w:pStyle w:val="24"/>
              <w:spacing w:line="336" w:lineRule="auto"/>
              <w:ind w:left="105" w:leftChars="50" w:right="105" w:rightChars="50"/>
              <w:rPr>
                <w:rFonts w:hint="eastAsia" w:hAnsi="宋体" w:cs="宋体"/>
                <w:szCs w:val="21"/>
                <w:highlight w:val="none"/>
              </w:rPr>
            </w:pPr>
            <w:r>
              <w:rPr>
                <w:rFonts w:hint="eastAsia" w:hAnsi="宋体" w:cs="宋体"/>
                <w:szCs w:val="21"/>
                <w:highlight w:val="none"/>
              </w:rPr>
              <w:t>由“资格审查文件”、“商务技术文件”和“报价文件”三个部分组成。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exact"/>
          <w:jc w:val="center"/>
        </w:trPr>
        <w:tc>
          <w:tcPr>
            <w:tcW w:w="729" w:type="dxa"/>
            <w:noWrap w:val="0"/>
            <w:vAlign w:val="center"/>
          </w:tcPr>
          <w:p>
            <w:pPr>
              <w:pStyle w:val="24"/>
              <w:spacing w:line="360" w:lineRule="auto"/>
              <w:jc w:val="center"/>
              <w:rPr>
                <w:rFonts w:hAnsi="宋体" w:cs="宋体"/>
                <w:szCs w:val="21"/>
                <w:highlight w:val="none"/>
              </w:rPr>
            </w:pPr>
            <w:r>
              <w:rPr>
                <w:rFonts w:hint="eastAsia" w:hAnsi="宋体" w:cs="宋体"/>
                <w:szCs w:val="21"/>
                <w:highlight w:val="none"/>
              </w:rPr>
              <w:t>19</w:t>
            </w:r>
          </w:p>
        </w:tc>
        <w:tc>
          <w:tcPr>
            <w:tcW w:w="1693" w:type="dxa"/>
            <w:noWrap w:val="0"/>
            <w:vAlign w:val="center"/>
          </w:tcPr>
          <w:p>
            <w:pPr>
              <w:pStyle w:val="24"/>
              <w:spacing w:line="360" w:lineRule="auto"/>
              <w:jc w:val="center"/>
              <w:rPr>
                <w:rFonts w:hint="eastAsia" w:hAnsi="宋体" w:cs="宋体"/>
                <w:szCs w:val="21"/>
                <w:highlight w:val="none"/>
              </w:rPr>
            </w:pPr>
            <w:r>
              <w:rPr>
                <w:rFonts w:hint="eastAsia" w:hAnsi="宋体" w:cs="宋体"/>
                <w:szCs w:val="21"/>
                <w:highlight w:val="none"/>
              </w:rPr>
              <w:t>投标文件的盖章</w:t>
            </w:r>
          </w:p>
        </w:tc>
        <w:tc>
          <w:tcPr>
            <w:tcW w:w="7362" w:type="dxa"/>
            <w:noWrap w:val="0"/>
            <w:vAlign w:val="center"/>
          </w:tcPr>
          <w:p>
            <w:pPr>
              <w:pStyle w:val="24"/>
              <w:spacing w:line="336" w:lineRule="auto"/>
              <w:ind w:left="105" w:leftChars="50" w:right="105" w:rightChars="50"/>
              <w:rPr>
                <w:rFonts w:hint="eastAsia" w:hAnsi="宋体" w:cs="宋体"/>
                <w:szCs w:val="21"/>
                <w:highlight w:val="none"/>
              </w:rPr>
            </w:pPr>
            <w:r>
              <w:rPr>
                <w:rFonts w:hint="eastAsia" w:hAnsi="宋体" w:cs="宋体"/>
                <w:szCs w:val="21"/>
                <w:highlight w:val="none"/>
              </w:rPr>
              <w:t>投标文件中所涉及的加盖公章均采用CA电子签章。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exact"/>
          <w:jc w:val="center"/>
        </w:trPr>
        <w:tc>
          <w:tcPr>
            <w:tcW w:w="729" w:type="dxa"/>
            <w:noWrap w:val="0"/>
            <w:vAlign w:val="center"/>
          </w:tcPr>
          <w:p>
            <w:pPr>
              <w:pStyle w:val="24"/>
              <w:spacing w:line="360" w:lineRule="auto"/>
              <w:jc w:val="center"/>
              <w:rPr>
                <w:rFonts w:hAnsi="宋体" w:cs="宋体"/>
                <w:szCs w:val="21"/>
                <w:highlight w:val="none"/>
              </w:rPr>
            </w:pPr>
            <w:r>
              <w:rPr>
                <w:rFonts w:hint="eastAsia" w:hAnsi="宋体" w:cs="宋体"/>
                <w:szCs w:val="21"/>
                <w:highlight w:val="none"/>
              </w:rPr>
              <w:t>20</w:t>
            </w:r>
          </w:p>
        </w:tc>
        <w:tc>
          <w:tcPr>
            <w:tcW w:w="1693" w:type="dxa"/>
            <w:noWrap w:val="0"/>
            <w:vAlign w:val="center"/>
          </w:tcPr>
          <w:p>
            <w:pPr>
              <w:pStyle w:val="24"/>
              <w:spacing w:line="360" w:lineRule="auto"/>
              <w:jc w:val="center"/>
              <w:rPr>
                <w:rFonts w:hint="eastAsia" w:hAnsi="宋体" w:cs="宋体"/>
                <w:szCs w:val="21"/>
                <w:highlight w:val="none"/>
              </w:rPr>
            </w:pPr>
            <w:r>
              <w:rPr>
                <w:rFonts w:hint="eastAsia" w:hAnsi="宋体" w:cs="宋体"/>
                <w:szCs w:val="21"/>
                <w:highlight w:val="none"/>
              </w:rPr>
              <w:t>法定代表人或其授权代表签字或盖章</w:t>
            </w:r>
          </w:p>
        </w:tc>
        <w:tc>
          <w:tcPr>
            <w:tcW w:w="7362" w:type="dxa"/>
            <w:noWrap w:val="0"/>
            <w:vAlign w:val="center"/>
          </w:tcPr>
          <w:p>
            <w:pPr>
              <w:pStyle w:val="24"/>
              <w:spacing w:line="336" w:lineRule="auto"/>
              <w:ind w:left="105" w:leftChars="50" w:right="105" w:rightChars="50"/>
              <w:rPr>
                <w:rFonts w:hint="eastAsia" w:hAnsi="宋体" w:cs="宋体"/>
                <w:szCs w:val="21"/>
                <w:highlight w:val="none"/>
              </w:rPr>
            </w:pPr>
            <w:r>
              <w:rPr>
                <w:rFonts w:hint="eastAsia" w:hAnsi="宋体" w:cs="宋体"/>
                <w:szCs w:val="21"/>
                <w:highlight w:val="none"/>
              </w:rPr>
              <w:t>本招标文件所涉及的法定代表人或其授权代表签字或盖章的内容，如果投标单位没有法定代表人电子签章，涉及到法定代表人或其授权代表签字或盖章的内容，投标单位可以线下签字或盖章后扫描上传。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exact"/>
          <w:jc w:val="center"/>
        </w:trPr>
        <w:tc>
          <w:tcPr>
            <w:tcW w:w="729" w:type="dxa"/>
            <w:noWrap w:val="0"/>
            <w:vAlign w:val="center"/>
          </w:tcPr>
          <w:p>
            <w:pPr>
              <w:pStyle w:val="24"/>
              <w:spacing w:line="360" w:lineRule="auto"/>
              <w:jc w:val="center"/>
              <w:rPr>
                <w:rFonts w:hAnsi="宋体" w:cs="宋体"/>
                <w:szCs w:val="21"/>
                <w:highlight w:val="none"/>
              </w:rPr>
            </w:pPr>
            <w:r>
              <w:rPr>
                <w:rFonts w:hint="eastAsia" w:hAnsi="宋体" w:cs="宋体"/>
                <w:szCs w:val="21"/>
                <w:highlight w:val="none"/>
              </w:rPr>
              <w:t>21</w:t>
            </w:r>
          </w:p>
        </w:tc>
        <w:tc>
          <w:tcPr>
            <w:tcW w:w="1693" w:type="dxa"/>
            <w:noWrap w:val="0"/>
            <w:vAlign w:val="center"/>
          </w:tcPr>
          <w:p>
            <w:pPr>
              <w:pStyle w:val="24"/>
              <w:spacing w:line="360" w:lineRule="auto"/>
              <w:jc w:val="center"/>
              <w:rPr>
                <w:rFonts w:hAnsi="宋体" w:cs="宋体"/>
                <w:szCs w:val="21"/>
                <w:highlight w:val="none"/>
              </w:rPr>
            </w:pPr>
            <w:r>
              <w:rPr>
                <w:rFonts w:hint="eastAsia" w:hAnsi="宋体" w:cs="宋体"/>
                <w:szCs w:val="21"/>
                <w:highlight w:val="none"/>
              </w:rPr>
              <w:t>是否允许递交 备选投标方案</w:t>
            </w:r>
          </w:p>
        </w:tc>
        <w:tc>
          <w:tcPr>
            <w:tcW w:w="7362" w:type="dxa"/>
            <w:noWrap w:val="0"/>
            <w:vAlign w:val="center"/>
          </w:tcPr>
          <w:p>
            <w:pPr>
              <w:pStyle w:val="24"/>
              <w:spacing w:line="336" w:lineRule="auto"/>
              <w:ind w:left="105" w:leftChars="50" w:right="105" w:rightChars="50"/>
              <w:rPr>
                <w:rFonts w:hint="eastAsia" w:hAnsi="宋体" w:cs="宋体"/>
                <w:szCs w:val="21"/>
                <w:highlight w:val="none"/>
              </w:rPr>
            </w:pPr>
            <w:r>
              <w:rPr>
                <w:rFonts w:hint="eastAsia" w:hAnsi="宋体" w:cs="宋体"/>
                <w:szCs w:val="21"/>
                <w:highlight w:val="none"/>
              </w:rPr>
              <w:t>☑不允许</w:t>
            </w:r>
          </w:p>
          <w:p>
            <w:pPr>
              <w:pStyle w:val="24"/>
              <w:spacing w:line="336" w:lineRule="auto"/>
              <w:ind w:left="105" w:leftChars="50" w:right="105" w:rightChars="50"/>
              <w:rPr>
                <w:rFonts w:hint="eastAsia" w:hAnsi="宋体" w:cs="宋体"/>
                <w:szCs w:val="21"/>
                <w:highlight w:val="none"/>
              </w:rPr>
            </w:pPr>
            <w:r>
              <w:rPr>
                <w:rFonts w:hint="eastAsia" w:hAnsi="宋体" w:cs="宋体"/>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9" w:hRule="exact"/>
          <w:jc w:val="center"/>
        </w:trPr>
        <w:tc>
          <w:tcPr>
            <w:tcW w:w="729" w:type="dxa"/>
            <w:noWrap w:val="0"/>
            <w:vAlign w:val="center"/>
          </w:tcPr>
          <w:p>
            <w:pPr>
              <w:pStyle w:val="24"/>
              <w:spacing w:line="360" w:lineRule="auto"/>
              <w:jc w:val="center"/>
              <w:rPr>
                <w:rFonts w:hAnsi="宋体" w:cs="宋体"/>
                <w:szCs w:val="21"/>
                <w:highlight w:val="none"/>
              </w:rPr>
            </w:pPr>
            <w:r>
              <w:rPr>
                <w:rFonts w:hint="eastAsia" w:hAnsi="宋体" w:cs="宋体"/>
                <w:szCs w:val="21"/>
                <w:highlight w:val="none"/>
              </w:rPr>
              <w:t>22</w:t>
            </w:r>
          </w:p>
        </w:tc>
        <w:tc>
          <w:tcPr>
            <w:tcW w:w="1693" w:type="dxa"/>
            <w:noWrap w:val="0"/>
            <w:vAlign w:val="center"/>
          </w:tcPr>
          <w:p>
            <w:pPr>
              <w:pStyle w:val="24"/>
              <w:spacing w:line="360" w:lineRule="auto"/>
              <w:jc w:val="center"/>
              <w:rPr>
                <w:rFonts w:hint="eastAsia" w:hAnsi="宋体" w:cs="宋体"/>
                <w:szCs w:val="21"/>
                <w:highlight w:val="none"/>
              </w:rPr>
            </w:pPr>
            <w:r>
              <w:rPr>
                <w:rFonts w:hint="eastAsia" w:hAnsi="宋体" w:cs="宋体"/>
                <w:szCs w:val="21"/>
                <w:highlight w:val="none"/>
              </w:rPr>
              <w:t>投标文件份数</w:t>
            </w:r>
          </w:p>
        </w:tc>
        <w:tc>
          <w:tcPr>
            <w:tcW w:w="7362" w:type="dxa"/>
            <w:noWrap w:val="0"/>
            <w:vAlign w:val="center"/>
          </w:tcPr>
          <w:p>
            <w:pPr>
              <w:pStyle w:val="24"/>
              <w:numPr>
                <w:ilvl w:val="0"/>
                <w:numId w:val="4"/>
              </w:numPr>
              <w:spacing w:line="336" w:lineRule="auto"/>
              <w:ind w:left="105" w:leftChars="50" w:right="105" w:rightChars="50"/>
              <w:rPr>
                <w:rFonts w:hint="eastAsia" w:hAnsi="宋体" w:cs="宋体"/>
                <w:szCs w:val="21"/>
                <w:highlight w:val="none"/>
              </w:rPr>
            </w:pPr>
            <w:r>
              <w:rPr>
                <w:rFonts w:hint="eastAsia" w:hAnsi="宋体" w:cs="宋体"/>
                <w:szCs w:val="21"/>
                <w:highlight w:val="none"/>
              </w:rPr>
              <w:t>电子加密投标文件在线上传递交一份，</w:t>
            </w:r>
            <w:r>
              <w:rPr>
                <w:rFonts w:hint="eastAsia" w:hAnsi="宋体" w:cs="宋体"/>
                <w:b/>
                <w:bCs/>
                <w:szCs w:val="21"/>
                <w:highlight w:val="none"/>
              </w:rPr>
              <w:t>展馆整体演示光盘一份（递交方式详见本章11.投标地点（网址）</w:t>
            </w:r>
            <w:r>
              <w:rPr>
                <w:rFonts w:hint="eastAsia" w:hAnsi="宋体" w:cs="宋体"/>
                <w:szCs w:val="21"/>
                <w:highlight w:val="none"/>
              </w:rPr>
              <w:t>。</w:t>
            </w:r>
          </w:p>
          <w:p>
            <w:pPr>
              <w:pStyle w:val="24"/>
              <w:spacing w:line="336" w:lineRule="auto"/>
              <w:ind w:left="105" w:leftChars="50" w:right="105" w:rightChars="50"/>
              <w:rPr>
                <w:rFonts w:hint="eastAsia" w:hAnsi="宋体" w:cs="宋体"/>
                <w:szCs w:val="21"/>
                <w:highlight w:val="none"/>
              </w:rPr>
            </w:pPr>
            <w:r>
              <w:rPr>
                <w:rFonts w:hint="eastAsia" w:hAnsi="宋体" w:cs="宋体"/>
                <w:szCs w:val="21"/>
                <w:highlight w:val="none"/>
              </w:rPr>
              <w:t>2、中标人在评标结束3个工作日内向采购代理机构递交与政采云系统上传文件完全一致的（“资格审查文件”、“商务技术文件”和“报价文件”）纸质投标文件四套（不得采用活页夹等可随时拆换的方式装订），供采购人项目存档用。纸质投标文件邮寄或递交至代理机构现场。收件信息如下：浙江金穗工程项目管理有限公司（</w:t>
            </w:r>
            <w:r>
              <w:rPr>
                <w:rFonts w:hint="eastAsia" w:hAnsi="宋体" w:cs="宋体"/>
                <w:kern w:val="0"/>
                <w:szCs w:val="21"/>
                <w:highlight w:val="none"/>
              </w:rPr>
              <w:t>金华市金东区万达广场5号楼6楼</w:t>
            </w:r>
            <w:r>
              <w:rPr>
                <w:rFonts w:hint="eastAsia" w:hAnsi="宋体" w:cs="宋体"/>
                <w:szCs w:val="21"/>
                <w:highlight w:val="none"/>
              </w:rPr>
              <w:t>），联系人：方毅，联系方式：18814832009。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5" w:hRule="exact"/>
          <w:jc w:val="center"/>
        </w:trPr>
        <w:tc>
          <w:tcPr>
            <w:tcW w:w="729" w:type="dxa"/>
            <w:noWrap w:val="0"/>
            <w:vAlign w:val="center"/>
          </w:tcPr>
          <w:p>
            <w:pPr>
              <w:pStyle w:val="24"/>
              <w:spacing w:line="360" w:lineRule="auto"/>
              <w:jc w:val="center"/>
              <w:rPr>
                <w:rFonts w:hAnsi="宋体" w:cs="宋体"/>
                <w:szCs w:val="21"/>
                <w:highlight w:val="none"/>
              </w:rPr>
            </w:pPr>
            <w:r>
              <w:rPr>
                <w:rFonts w:hint="eastAsia" w:hAnsi="宋体" w:cs="宋体"/>
                <w:szCs w:val="21"/>
                <w:highlight w:val="none"/>
              </w:rPr>
              <w:t>23</w:t>
            </w:r>
          </w:p>
        </w:tc>
        <w:tc>
          <w:tcPr>
            <w:tcW w:w="1693" w:type="dxa"/>
            <w:noWrap w:val="0"/>
            <w:vAlign w:val="center"/>
          </w:tcPr>
          <w:p>
            <w:pPr>
              <w:pStyle w:val="24"/>
              <w:spacing w:line="360" w:lineRule="auto"/>
              <w:jc w:val="center"/>
              <w:rPr>
                <w:rFonts w:hint="eastAsia" w:hAnsi="宋体" w:cs="宋体"/>
                <w:szCs w:val="21"/>
                <w:highlight w:val="none"/>
              </w:rPr>
            </w:pPr>
            <w:r>
              <w:rPr>
                <w:rFonts w:hint="eastAsia" w:hAnsi="宋体" w:cs="宋体"/>
                <w:szCs w:val="21"/>
                <w:highlight w:val="none"/>
              </w:rPr>
              <w:t>投标文件的上 传和递交</w:t>
            </w:r>
          </w:p>
        </w:tc>
        <w:tc>
          <w:tcPr>
            <w:tcW w:w="7362" w:type="dxa"/>
            <w:noWrap w:val="0"/>
            <w:vAlign w:val="center"/>
          </w:tcPr>
          <w:p>
            <w:pPr>
              <w:pStyle w:val="24"/>
              <w:spacing w:line="336" w:lineRule="auto"/>
              <w:ind w:left="105" w:leftChars="50" w:right="105" w:rightChars="50"/>
              <w:rPr>
                <w:rFonts w:hint="eastAsia" w:hAnsi="宋体" w:cs="宋体"/>
                <w:szCs w:val="21"/>
                <w:highlight w:val="none"/>
              </w:rPr>
            </w:pPr>
            <w:r>
              <w:rPr>
                <w:rFonts w:hint="eastAsia" w:hAnsi="宋体" w:cs="宋体"/>
                <w:szCs w:val="21"/>
                <w:highlight w:val="none"/>
              </w:rPr>
              <w:t>1、本项目通过“政府采购云平台（www.zcygov.cn）”实行在线投标响应（电子投标），投标供应商应当在投标截止时间前，将生成的“电子加密投标文件”上传递交至“政府采购云平台”。</w:t>
            </w:r>
          </w:p>
          <w:p>
            <w:pPr>
              <w:pStyle w:val="24"/>
              <w:spacing w:line="336" w:lineRule="auto"/>
              <w:ind w:left="105" w:leftChars="50" w:right="105" w:rightChars="50"/>
              <w:rPr>
                <w:rFonts w:hint="eastAsia" w:hAnsi="宋体" w:cs="宋体"/>
                <w:szCs w:val="21"/>
                <w:highlight w:val="none"/>
              </w:rPr>
            </w:pPr>
            <w:r>
              <w:rPr>
                <w:rFonts w:hint="eastAsia" w:hAnsi="宋体" w:cs="宋体"/>
                <w:szCs w:val="21"/>
                <w:highlight w:val="none"/>
              </w:rPr>
              <w:t xml:space="preserve">2、“电子加密投标文件”的上传、递交： </w:t>
            </w:r>
          </w:p>
          <w:p>
            <w:pPr>
              <w:pStyle w:val="24"/>
              <w:spacing w:line="336" w:lineRule="auto"/>
              <w:ind w:left="105" w:leftChars="50" w:right="105" w:rightChars="50"/>
              <w:rPr>
                <w:rFonts w:hint="eastAsia" w:hAnsi="宋体" w:cs="宋体"/>
                <w:szCs w:val="21"/>
                <w:highlight w:val="none"/>
              </w:rPr>
            </w:pPr>
            <w:r>
              <w:rPr>
                <w:rFonts w:hint="eastAsia" w:hAnsi="宋体" w:cs="宋体"/>
                <w:szCs w:val="21"/>
                <w:highlight w:val="none"/>
              </w:rPr>
              <w:t>（1）投标供应商应在投标截止时间前将“电子加密投标文件”成功上传递交至“政府采购云平台”，否则投标无效。</w:t>
            </w:r>
          </w:p>
          <w:p>
            <w:pPr>
              <w:pStyle w:val="24"/>
              <w:spacing w:line="336" w:lineRule="auto"/>
              <w:ind w:left="105" w:leftChars="50" w:right="105" w:rightChars="50"/>
              <w:rPr>
                <w:rFonts w:hint="eastAsia" w:hAnsi="宋体" w:cs="宋体"/>
                <w:szCs w:val="21"/>
                <w:highlight w:val="none"/>
              </w:rPr>
            </w:pPr>
            <w:r>
              <w:rPr>
                <w:rFonts w:hint="eastAsia" w:hAnsi="宋体" w:cs="宋体"/>
                <w:szCs w:val="21"/>
                <w:highlight w:val="none"/>
              </w:rPr>
              <w:t>（2）“电子加密投标文件”成功上传递交后，供应商可自行打印投标文件接收回执。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3" w:hRule="exact"/>
          <w:jc w:val="center"/>
        </w:trPr>
        <w:tc>
          <w:tcPr>
            <w:tcW w:w="729" w:type="dxa"/>
            <w:noWrap w:val="0"/>
            <w:vAlign w:val="center"/>
          </w:tcPr>
          <w:p>
            <w:pPr>
              <w:pStyle w:val="24"/>
              <w:spacing w:line="360" w:lineRule="auto"/>
              <w:jc w:val="center"/>
              <w:rPr>
                <w:rFonts w:hAnsi="宋体" w:cs="宋体"/>
                <w:szCs w:val="21"/>
                <w:highlight w:val="none"/>
              </w:rPr>
            </w:pPr>
            <w:r>
              <w:rPr>
                <w:rFonts w:hint="eastAsia" w:hAnsi="宋体" w:cs="宋体"/>
                <w:szCs w:val="21"/>
                <w:highlight w:val="none"/>
              </w:rPr>
              <w:t>24</w:t>
            </w:r>
          </w:p>
        </w:tc>
        <w:tc>
          <w:tcPr>
            <w:tcW w:w="1693" w:type="dxa"/>
            <w:noWrap w:val="0"/>
            <w:vAlign w:val="center"/>
          </w:tcPr>
          <w:p>
            <w:pPr>
              <w:pStyle w:val="24"/>
              <w:spacing w:line="360" w:lineRule="auto"/>
              <w:jc w:val="center"/>
              <w:rPr>
                <w:rFonts w:hint="eastAsia" w:hAnsi="宋体" w:cs="宋体"/>
                <w:szCs w:val="21"/>
                <w:highlight w:val="none"/>
              </w:rPr>
            </w:pPr>
            <w:r>
              <w:rPr>
                <w:rFonts w:hint="eastAsia" w:hAnsi="宋体" w:cs="宋体"/>
                <w:szCs w:val="21"/>
                <w:highlight w:val="none"/>
              </w:rPr>
              <w:t>投标文件</w:t>
            </w:r>
          </w:p>
          <w:p>
            <w:pPr>
              <w:pStyle w:val="24"/>
              <w:spacing w:line="360" w:lineRule="auto"/>
              <w:jc w:val="center"/>
              <w:rPr>
                <w:rFonts w:hint="eastAsia" w:hAnsi="宋体" w:cs="宋体"/>
                <w:szCs w:val="21"/>
                <w:highlight w:val="none"/>
              </w:rPr>
            </w:pPr>
            <w:r>
              <w:rPr>
                <w:rFonts w:hint="eastAsia" w:hAnsi="宋体" w:cs="宋体"/>
                <w:szCs w:val="21"/>
                <w:highlight w:val="none"/>
              </w:rPr>
              <w:t>在线解密</w:t>
            </w:r>
          </w:p>
        </w:tc>
        <w:tc>
          <w:tcPr>
            <w:tcW w:w="7362" w:type="dxa"/>
            <w:noWrap w:val="0"/>
            <w:vAlign w:val="center"/>
          </w:tcPr>
          <w:p>
            <w:pPr>
              <w:pStyle w:val="24"/>
              <w:spacing w:line="336" w:lineRule="auto"/>
              <w:ind w:left="105" w:leftChars="50" w:right="105" w:rightChars="50"/>
              <w:rPr>
                <w:rFonts w:hint="eastAsia" w:hAnsi="宋体" w:cs="宋体"/>
                <w:szCs w:val="21"/>
                <w:highlight w:val="none"/>
              </w:rPr>
            </w:pPr>
            <w:r>
              <w:rPr>
                <w:rFonts w:hint="eastAsia" w:hAnsi="宋体" w:cs="宋体"/>
                <w:szCs w:val="21"/>
                <w:highlight w:val="none"/>
              </w:rPr>
              <w:t>1、开标后，采购组织机构将向各投标人发出“电子加密投标文件”的解密通知，各投标人代表应当在接到解密通知后30分钟内自行完成“电子加密投标文件”的在线解密。</w:t>
            </w:r>
          </w:p>
          <w:p>
            <w:pPr>
              <w:pStyle w:val="24"/>
              <w:spacing w:line="336" w:lineRule="auto"/>
              <w:ind w:left="105" w:leftChars="50" w:right="105" w:rightChars="50"/>
              <w:rPr>
                <w:rFonts w:hint="eastAsia" w:hAnsi="宋体" w:cs="宋体"/>
                <w:szCs w:val="21"/>
                <w:highlight w:val="none"/>
              </w:rPr>
            </w:pPr>
            <w:r>
              <w:rPr>
                <w:rFonts w:hint="eastAsia" w:hAnsi="宋体" w:cs="宋体"/>
                <w:szCs w:val="21"/>
                <w:highlight w:val="none"/>
              </w:rPr>
              <w:t>2、通过“政府采购云平台”成功上传递交的“电子加密投标文件”无法按时解密的，其投标文件按拒收处理。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729" w:type="dxa"/>
            <w:noWrap w:val="0"/>
            <w:vAlign w:val="center"/>
          </w:tcPr>
          <w:p>
            <w:pPr>
              <w:pStyle w:val="24"/>
              <w:spacing w:line="360" w:lineRule="auto"/>
              <w:jc w:val="center"/>
              <w:rPr>
                <w:rFonts w:hAnsi="宋体" w:cs="宋体"/>
                <w:szCs w:val="21"/>
                <w:highlight w:val="none"/>
              </w:rPr>
            </w:pPr>
            <w:r>
              <w:rPr>
                <w:rFonts w:hint="eastAsia" w:hAnsi="宋体" w:cs="宋体"/>
                <w:szCs w:val="21"/>
                <w:highlight w:val="none"/>
              </w:rPr>
              <w:t>25</w:t>
            </w:r>
          </w:p>
        </w:tc>
        <w:tc>
          <w:tcPr>
            <w:tcW w:w="1693" w:type="dxa"/>
            <w:noWrap w:val="0"/>
            <w:vAlign w:val="center"/>
          </w:tcPr>
          <w:p>
            <w:pPr>
              <w:pStyle w:val="24"/>
              <w:spacing w:line="360" w:lineRule="auto"/>
              <w:jc w:val="center"/>
              <w:rPr>
                <w:rFonts w:hAnsi="宋体" w:cs="宋体"/>
                <w:szCs w:val="21"/>
                <w:highlight w:val="none"/>
              </w:rPr>
            </w:pPr>
            <w:r>
              <w:rPr>
                <w:rFonts w:hint="eastAsia" w:hAnsi="宋体" w:cs="宋体"/>
                <w:szCs w:val="21"/>
                <w:highlight w:val="none"/>
              </w:rPr>
              <w:t>投标样品</w:t>
            </w:r>
          </w:p>
        </w:tc>
        <w:tc>
          <w:tcPr>
            <w:tcW w:w="7362" w:type="dxa"/>
            <w:noWrap w:val="0"/>
            <w:vAlign w:val="center"/>
          </w:tcPr>
          <w:p>
            <w:pPr>
              <w:pStyle w:val="24"/>
              <w:spacing w:line="336" w:lineRule="auto"/>
              <w:ind w:left="105" w:leftChars="50" w:right="105" w:rightChars="50"/>
              <w:rPr>
                <w:rFonts w:hint="eastAsia" w:hAnsi="宋体" w:cs="宋体"/>
                <w:szCs w:val="21"/>
                <w:highlight w:val="none"/>
              </w:rPr>
            </w:pPr>
            <w:r>
              <w:rPr>
                <w:rFonts w:hint="eastAsia" w:hAnsi="宋体" w:cs="宋体"/>
                <w:szCs w:val="21"/>
                <w:highlight w:val="none"/>
              </w:rPr>
              <w:t>□需要</w:t>
            </w:r>
          </w:p>
          <w:p>
            <w:pPr>
              <w:pStyle w:val="24"/>
              <w:spacing w:line="336" w:lineRule="auto"/>
              <w:ind w:left="105" w:leftChars="50" w:right="105" w:rightChars="50"/>
              <w:rPr>
                <w:rFonts w:hint="eastAsia" w:hAnsi="宋体" w:cs="宋体"/>
                <w:szCs w:val="21"/>
                <w:highlight w:val="none"/>
              </w:rPr>
            </w:pPr>
            <w:r>
              <w:rPr>
                <w:rFonts w:hint="eastAsia" w:hAnsi="宋体" w:cs="宋体"/>
                <w:szCs w:val="21"/>
                <w:highlight w:val="none"/>
              </w:rPr>
              <w:t>☑不需要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729" w:type="dxa"/>
            <w:noWrap w:val="0"/>
            <w:vAlign w:val="center"/>
          </w:tcPr>
          <w:p>
            <w:pPr>
              <w:pStyle w:val="24"/>
              <w:spacing w:line="360" w:lineRule="auto"/>
              <w:jc w:val="center"/>
              <w:rPr>
                <w:rFonts w:hAnsi="宋体" w:cs="宋体"/>
                <w:szCs w:val="21"/>
                <w:highlight w:val="none"/>
              </w:rPr>
            </w:pPr>
            <w:r>
              <w:rPr>
                <w:rFonts w:hint="eastAsia" w:hAnsi="宋体" w:cs="宋体"/>
                <w:szCs w:val="21"/>
                <w:highlight w:val="none"/>
              </w:rPr>
              <w:t>26</w:t>
            </w:r>
          </w:p>
        </w:tc>
        <w:tc>
          <w:tcPr>
            <w:tcW w:w="1693" w:type="dxa"/>
            <w:noWrap w:val="0"/>
            <w:vAlign w:val="center"/>
          </w:tcPr>
          <w:p>
            <w:pPr>
              <w:pStyle w:val="24"/>
              <w:spacing w:line="360" w:lineRule="auto"/>
              <w:jc w:val="center"/>
              <w:rPr>
                <w:rFonts w:hint="eastAsia" w:hAnsi="宋体" w:cs="宋体"/>
                <w:szCs w:val="21"/>
                <w:highlight w:val="none"/>
              </w:rPr>
            </w:pPr>
            <w:r>
              <w:rPr>
                <w:rFonts w:hint="eastAsia" w:hAnsi="宋体" w:cs="宋体"/>
                <w:szCs w:val="21"/>
                <w:highlight w:val="none"/>
              </w:rPr>
              <w:t>履约担保</w:t>
            </w:r>
          </w:p>
        </w:tc>
        <w:tc>
          <w:tcPr>
            <w:tcW w:w="7362" w:type="dxa"/>
            <w:noWrap w:val="0"/>
            <w:vAlign w:val="center"/>
          </w:tcPr>
          <w:p>
            <w:pPr>
              <w:pStyle w:val="24"/>
              <w:spacing w:line="336" w:lineRule="auto"/>
              <w:ind w:left="105" w:leftChars="50" w:right="105" w:rightChars="50"/>
              <w:rPr>
                <w:rFonts w:hint="eastAsia" w:hAnsi="宋体" w:cs="宋体"/>
                <w:szCs w:val="21"/>
                <w:highlight w:val="none"/>
              </w:rPr>
            </w:pPr>
            <w:r>
              <w:rPr>
                <w:rFonts w:hint="eastAsia" w:hAnsi="宋体" w:cs="宋体"/>
                <w:szCs w:val="21"/>
                <w:highlight w:val="none"/>
              </w:rPr>
              <w:t>☑需要（中标人在签订合同之前向采购人交纳履约保证金，金额为中标总价的1%（四舍五入精确到元），可以电汇、转账、等额保单、保函等非现金形式交纳；履约保证金按合同约定的时间退回）</w:t>
            </w:r>
          </w:p>
          <w:p>
            <w:pPr>
              <w:pStyle w:val="24"/>
              <w:spacing w:line="336" w:lineRule="auto"/>
              <w:ind w:left="105" w:leftChars="50" w:right="105" w:rightChars="50"/>
              <w:rPr>
                <w:rFonts w:hint="eastAsia" w:hAnsi="宋体" w:cs="宋体"/>
                <w:szCs w:val="21"/>
                <w:highlight w:val="none"/>
              </w:rPr>
            </w:pPr>
            <w:r>
              <w:rPr>
                <w:rFonts w:hint="eastAsia" w:hAnsi="宋体" w:cs="宋体"/>
                <w:szCs w:val="21"/>
                <w:highlight w:val="none"/>
              </w:rPr>
              <w:t>□不需要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729" w:type="dxa"/>
            <w:noWrap w:val="0"/>
            <w:vAlign w:val="center"/>
          </w:tcPr>
          <w:p>
            <w:pPr>
              <w:pStyle w:val="24"/>
              <w:spacing w:line="360" w:lineRule="auto"/>
              <w:jc w:val="center"/>
              <w:rPr>
                <w:rFonts w:hAnsi="宋体" w:cs="宋体"/>
                <w:szCs w:val="21"/>
                <w:highlight w:val="none"/>
              </w:rPr>
            </w:pPr>
            <w:r>
              <w:rPr>
                <w:rFonts w:hint="eastAsia" w:hAnsi="宋体" w:cs="宋体"/>
                <w:szCs w:val="21"/>
                <w:highlight w:val="none"/>
              </w:rPr>
              <w:t>27</w:t>
            </w:r>
          </w:p>
        </w:tc>
        <w:tc>
          <w:tcPr>
            <w:tcW w:w="1693" w:type="dxa"/>
            <w:noWrap w:val="0"/>
            <w:vAlign w:val="center"/>
          </w:tcPr>
          <w:p>
            <w:pPr>
              <w:pStyle w:val="24"/>
              <w:spacing w:line="360" w:lineRule="auto"/>
              <w:jc w:val="center"/>
              <w:rPr>
                <w:rFonts w:hint="eastAsia" w:hAnsi="宋体" w:cs="宋体"/>
                <w:szCs w:val="21"/>
                <w:highlight w:val="none"/>
              </w:rPr>
            </w:pPr>
            <w:r>
              <w:rPr>
                <w:rFonts w:hint="eastAsia" w:hAnsi="宋体" w:cs="宋体"/>
                <w:szCs w:val="21"/>
                <w:highlight w:val="none"/>
              </w:rPr>
              <w:t>招标文件质疑 截止时间</w:t>
            </w:r>
          </w:p>
        </w:tc>
        <w:tc>
          <w:tcPr>
            <w:tcW w:w="7362" w:type="dxa"/>
            <w:noWrap w:val="0"/>
            <w:vAlign w:val="center"/>
          </w:tcPr>
          <w:p>
            <w:pPr>
              <w:pStyle w:val="105"/>
              <w:spacing w:line="336" w:lineRule="auto"/>
              <w:ind w:left="105" w:leftChars="50" w:right="105" w:rightChars="50"/>
              <w:rPr>
                <w:rFonts w:hint="eastAsia" w:ascii="宋体" w:hAnsi="宋体" w:cs="宋体"/>
                <w:szCs w:val="21"/>
                <w:highlight w:val="none"/>
              </w:rPr>
            </w:pPr>
            <w:r>
              <w:rPr>
                <w:rFonts w:hint="eastAsia" w:ascii="宋体" w:hAnsi="宋体" w:cs="宋体"/>
                <w:szCs w:val="21"/>
                <w:highlight w:val="none"/>
              </w:rPr>
              <w:t>招标公告期限届满之日起七个工作日内，逾期不予受理及答复。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29" w:type="dxa"/>
            <w:noWrap w:val="0"/>
            <w:vAlign w:val="center"/>
          </w:tcPr>
          <w:p>
            <w:pPr>
              <w:pStyle w:val="24"/>
              <w:spacing w:line="360" w:lineRule="auto"/>
              <w:jc w:val="center"/>
              <w:rPr>
                <w:rFonts w:hAnsi="宋体" w:cs="宋体"/>
                <w:szCs w:val="21"/>
                <w:highlight w:val="none"/>
              </w:rPr>
            </w:pPr>
            <w:r>
              <w:rPr>
                <w:rFonts w:hint="eastAsia" w:hAnsi="宋体" w:cs="宋体"/>
                <w:szCs w:val="21"/>
                <w:highlight w:val="none"/>
              </w:rPr>
              <w:t>28</w:t>
            </w:r>
          </w:p>
        </w:tc>
        <w:tc>
          <w:tcPr>
            <w:tcW w:w="1693" w:type="dxa"/>
            <w:noWrap w:val="0"/>
            <w:vAlign w:val="center"/>
          </w:tcPr>
          <w:p>
            <w:pPr>
              <w:pStyle w:val="24"/>
              <w:spacing w:line="360" w:lineRule="auto"/>
              <w:jc w:val="center"/>
              <w:rPr>
                <w:rFonts w:hint="eastAsia" w:hAnsi="宋体" w:cs="宋体"/>
                <w:szCs w:val="21"/>
                <w:highlight w:val="none"/>
              </w:rPr>
            </w:pPr>
            <w:r>
              <w:rPr>
                <w:rFonts w:hint="eastAsia" w:hAnsi="宋体" w:cs="宋体"/>
                <w:szCs w:val="21"/>
                <w:highlight w:val="none"/>
              </w:rPr>
              <w:t>评标办法</w:t>
            </w:r>
          </w:p>
        </w:tc>
        <w:tc>
          <w:tcPr>
            <w:tcW w:w="7362" w:type="dxa"/>
            <w:noWrap w:val="0"/>
            <w:vAlign w:val="center"/>
          </w:tcPr>
          <w:p>
            <w:pPr>
              <w:pStyle w:val="24"/>
              <w:spacing w:line="336" w:lineRule="auto"/>
              <w:ind w:left="105" w:leftChars="50" w:right="105" w:rightChars="50"/>
              <w:rPr>
                <w:rFonts w:hint="eastAsia" w:hAnsi="宋体" w:cs="宋体"/>
                <w:szCs w:val="21"/>
                <w:highlight w:val="none"/>
              </w:rPr>
            </w:pPr>
            <w:r>
              <w:rPr>
                <w:rFonts w:hint="eastAsia" w:hAnsi="宋体" w:cs="宋体"/>
                <w:szCs w:val="21"/>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729" w:type="dxa"/>
            <w:noWrap w:val="0"/>
            <w:vAlign w:val="center"/>
          </w:tcPr>
          <w:p>
            <w:pPr>
              <w:pStyle w:val="24"/>
              <w:spacing w:line="360" w:lineRule="auto"/>
              <w:jc w:val="center"/>
              <w:rPr>
                <w:rFonts w:hAnsi="宋体" w:cs="宋体"/>
                <w:szCs w:val="21"/>
                <w:highlight w:val="none"/>
              </w:rPr>
            </w:pPr>
            <w:r>
              <w:rPr>
                <w:rFonts w:hint="eastAsia" w:hAnsi="宋体" w:cs="宋体"/>
                <w:szCs w:val="21"/>
                <w:highlight w:val="none"/>
              </w:rPr>
              <w:t>29</w:t>
            </w:r>
          </w:p>
        </w:tc>
        <w:tc>
          <w:tcPr>
            <w:tcW w:w="1693" w:type="dxa"/>
            <w:noWrap w:val="0"/>
            <w:vAlign w:val="center"/>
          </w:tcPr>
          <w:p>
            <w:pPr>
              <w:pStyle w:val="24"/>
              <w:spacing w:line="360" w:lineRule="auto"/>
              <w:jc w:val="center"/>
              <w:rPr>
                <w:rFonts w:hint="eastAsia" w:hAnsi="宋体" w:cs="宋体"/>
                <w:szCs w:val="21"/>
                <w:highlight w:val="none"/>
              </w:rPr>
            </w:pPr>
            <w:r>
              <w:rPr>
                <w:rFonts w:hint="eastAsia" w:hAnsi="宋体" w:cs="宋体"/>
                <w:szCs w:val="21"/>
                <w:highlight w:val="none"/>
              </w:rPr>
              <w:t>评审委员会的 组建</w:t>
            </w:r>
          </w:p>
        </w:tc>
        <w:tc>
          <w:tcPr>
            <w:tcW w:w="7362" w:type="dxa"/>
            <w:noWrap w:val="0"/>
            <w:vAlign w:val="center"/>
          </w:tcPr>
          <w:p>
            <w:pPr>
              <w:pStyle w:val="24"/>
              <w:spacing w:line="336" w:lineRule="auto"/>
              <w:ind w:left="105" w:leftChars="50" w:right="105" w:rightChars="50"/>
              <w:rPr>
                <w:rFonts w:hint="eastAsia" w:hAnsi="宋体" w:cs="宋体"/>
                <w:szCs w:val="21"/>
                <w:highlight w:val="none"/>
              </w:rPr>
            </w:pPr>
            <w:r>
              <w:rPr>
                <w:rFonts w:hint="eastAsia" w:hAnsi="宋体" w:cs="宋体"/>
                <w:szCs w:val="21"/>
                <w:highlight w:val="none"/>
              </w:rPr>
              <w:t>本项目评标委员会由政府采购评审专家（政府采购系统随机抽取）和采购人代表共5人及以上单数组成（其中采购人代表不超过评标委员会总人数的1/3）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jc w:val="center"/>
        </w:trPr>
        <w:tc>
          <w:tcPr>
            <w:tcW w:w="729" w:type="dxa"/>
            <w:noWrap w:val="0"/>
            <w:vAlign w:val="center"/>
          </w:tcPr>
          <w:p>
            <w:pPr>
              <w:pStyle w:val="24"/>
              <w:spacing w:line="360" w:lineRule="auto"/>
              <w:jc w:val="center"/>
              <w:rPr>
                <w:rFonts w:hAnsi="宋体" w:cs="宋体"/>
                <w:szCs w:val="21"/>
                <w:highlight w:val="none"/>
              </w:rPr>
            </w:pPr>
            <w:r>
              <w:rPr>
                <w:rFonts w:hint="eastAsia" w:hAnsi="宋体" w:cs="宋体"/>
                <w:szCs w:val="21"/>
                <w:highlight w:val="none"/>
              </w:rPr>
              <w:t>30</w:t>
            </w:r>
          </w:p>
        </w:tc>
        <w:tc>
          <w:tcPr>
            <w:tcW w:w="1693" w:type="dxa"/>
            <w:noWrap w:val="0"/>
            <w:vAlign w:val="center"/>
          </w:tcPr>
          <w:p>
            <w:pPr>
              <w:pStyle w:val="24"/>
              <w:spacing w:line="360" w:lineRule="auto"/>
              <w:jc w:val="center"/>
              <w:rPr>
                <w:rFonts w:hint="eastAsia" w:hAnsi="宋体" w:cs="宋体"/>
                <w:szCs w:val="21"/>
                <w:highlight w:val="none"/>
              </w:rPr>
            </w:pPr>
            <w:r>
              <w:rPr>
                <w:rFonts w:hint="eastAsia" w:hAnsi="宋体" w:cs="宋体"/>
                <w:szCs w:val="21"/>
                <w:highlight w:val="none"/>
              </w:rPr>
              <w:t>投标报价及相关费用</w:t>
            </w:r>
          </w:p>
        </w:tc>
        <w:tc>
          <w:tcPr>
            <w:tcW w:w="7362" w:type="dxa"/>
            <w:noWrap w:val="0"/>
            <w:vAlign w:val="center"/>
          </w:tcPr>
          <w:p>
            <w:pPr>
              <w:pStyle w:val="24"/>
              <w:spacing w:line="336" w:lineRule="auto"/>
              <w:ind w:left="105" w:leftChars="50" w:right="105" w:rightChars="50"/>
              <w:rPr>
                <w:rFonts w:hint="eastAsia" w:hAnsi="宋体" w:cs="宋体"/>
                <w:szCs w:val="21"/>
                <w:highlight w:val="none"/>
              </w:rPr>
            </w:pPr>
            <w:r>
              <w:rPr>
                <w:rFonts w:hint="eastAsia" w:hAnsi="宋体" w:cs="宋体"/>
                <w:b/>
                <w:bCs/>
                <w:szCs w:val="21"/>
                <w:highlight w:val="none"/>
              </w:rPr>
              <w:t>1、本项目以采购文件要求的方式进行报价。</w:t>
            </w:r>
          </w:p>
          <w:p>
            <w:pPr>
              <w:pStyle w:val="24"/>
              <w:spacing w:line="336" w:lineRule="auto"/>
              <w:ind w:left="105" w:leftChars="50" w:right="105" w:rightChars="50"/>
              <w:rPr>
                <w:rFonts w:hint="eastAsia" w:hAnsi="宋体" w:cs="宋体"/>
                <w:szCs w:val="21"/>
                <w:highlight w:val="none"/>
              </w:rPr>
            </w:pPr>
            <w:r>
              <w:rPr>
                <w:rFonts w:hint="eastAsia" w:hAnsi="宋体" w:cs="宋体"/>
                <w:szCs w:val="21"/>
                <w:highlight w:val="none"/>
              </w:rPr>
              <w:t>2、投标供应商自行承担投标过程中产生的费用。无论何种因素导致采购项目延期开标、废标（流标）、投标供应商未中标、项目终止采购的，采购人与采购机构均不承担供应商投标费用。</w:t>
            </w:r>
          </w:p>
          <w:p>
            <w:pPr>
              <w:pStyle w:val="24"/>
              <w:spacing w:line="336" w:lineRule="auto"/>
              <w:ind w:left="105" w:leftChars="50" w:right="105" w:rightChars="50"/>
              <w:rPr>
                <w:rFonts w:hint="eastAsia" w:hAnsi="宋体" w:cs="宋体"/>
                <w:szCs w:val="21"/>
                <w:highlight w:val="none"/>
              </w:rPr>
            </w:pPr>
            <w:r>
              <w:rPr>
                <w:rFonts w:hint="eastAsia" w:hAnsi="宋体" w:cs="宋体"/>
                <w:szCs w:val="21"/>
                <w:highlight w:val="none"/>
              </w:rPr>
              <w:t xml:space="preserve">3、投标供应商在投标、合同履行过程中必须做好安全保障工作，不因项目实施而危及自身及第三方人员、财产安全。若发生任何安全事故，由投标人自行承担一切责任并赔偿损失。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29" w:type="dxa"/>
            <w:noWrap w:val="0"/>
            <w:vAlign w:val="center"/>
          </w:tcPr>
          <w:p>
            <w:pPr>
              <w:pStyle w:val="24"/>
              <w:spacing w:line="360" w:lineRule="auto"/>
              <w:jc w:val="center"/>
              <w:rPr>
                <w:rFonts w:hAnsi="宋体" w:cs="宋体"/>
                <w:szCs w:val="21"/>
                <w:highlight w:val="none"/>
              </w:rPr>
            </w:pPr>
            <w:r>
              <w:rPr>
                <w:rFonts w:hint="eastAsia" w:hAnsi="宋体" w:cs="宋体"/>
                <w:szCs w:val="21"/>
                <w:highlight w:val="none"/>
              </w:rPr>
              <w:t>31</w:t>
            </w:r>
          </w:p>
        </w:tc>
        <w:tc>
          <w:tcPr>
            <w:tcW w:w="1693" w:type="dxa"/>
            <w:noWrap w:val="0"/>
            <w:vAlign w:val="center"/>
          </w:tcPr>
          <w:p>
            <w:pPr>
              <w:pStyle w:val="24"/>
              <w:spacing w:line="360" w:lineRule="auto"/>
              <w:jc w:val="center"/>
              <w:rPr>
                <w:rFonts w:hint="eastAsia" w:hAnsi="宋体" w:cs="宋体"/>
                <w:szCs w:val="21"/>
                <w:highlight w:val="none"/>
              </w:rPr>
            </w:pPr>
            <w:r>
              <w:rPr>
                <w:rFonts w:hint="eastAsia" w:hAnsi="宋体" w:cs="宋体"/>
                <w:szCs w:val="21"/>
                <w:highlight w:val="none"/>
              </w:rPr>
              <w:t>政府采购</w:t>
            </w:r>
          </w:p>
          <w:p>
            <w:pPr>
              <w:pStyle w:val="24"/>
              <w:spacing w:line="360" w:lineRule="auto"/>
              <w:jc w:val="center"/>
              <w:rPr>
                <w:rFonts w:hint="eastAsia" w:hAnsi="宋体" w:cs="宋体"/>
                <w:szCs w:val="21"/>
                <w:highlight w:val="none"/>
              </w:rPr>
            </w:pPr>
            <w:r>
              <w:rPr>
                <w:rFonts w:hint="eastAsia" w:hAnsi="宋体" w:cs="宋体"/>
                <w:szCs w:val="21"/>
                <w:highlight w:val="none"/>
              </w:rPr>
              <w:t>扶持政策</w:t>
            </w:r>
          </w:p>
        </w:tc>
        <w:tc>
          <w:tcPr>
            <w:tcW w:w="7362" w:type="dxa"/>
            <w:noWrap w:val="0"/>
            <w:vAlign w:val="center"/>
          </w:tcPr>
          <w:p>
            <w:pPr>
              <w:pStyle w:val="24"/>
              <w:spacing w:line="336" w:lineRule="auto"/>
              <w:ind w:left="105" w:leftChars="50" w:right="105" w:rightChars="50"/>
              <w:rPr>
                <w:rFonts w:hint="eastAsia" w:hAnsi="宋体" w:cs="宋体"/>
                <w:szCs w:val="21"/>
                <w:highlight w:val="none"/>
              </w:rPr>
            </w:pPr>
            <w:r>
              <w:rPr>
                <w:rFonts w:hint="eastAsia" w:hAnsi="宋体" w:cs="宋体"/>
                <w:szCs w:val="21"/>
                <w:highlight w:val="none"/>
              </w:rPr>
              <w:t>1、扶持中小企业（监狱企业、残疾人福利性单位）：</w:t>
            </w:r>
          </w:p>
          <w:p>
            <w:pPr>
              <w:pStyle w:val="24"/>
              <w:spacing w:line="336" w:lineRule="auto"/>
              <w:ind w:left="105" w:leftChars="50" w:right="105" w:rightChars="50"/>
              <w:rPr>
                <w:rFonts w:hint="eastAsia" w:hAnsi="宋体" w:cs="宋体"/>
                <w:szCs w:val="21"/>
                <w:highlight w:val="none"/>
              </w:rPr>
            </w:pPr>
            <w:r>
              <w:rPr>
                <w:rFonts w:hint="eastAsia" w:hAnsi="宋体" w:cs="宋体"/>
                <w:szCs w:val="21"/>
                <w:highlight w:val="none"/>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pPr>
              <w:pStyle w:val="24"/>
              <w:spacing w:line="336" w:lineRule="auto"/>
              <w:ind w:left="105" w:leftChars="50" w:right="105" w:rightChars="50"/>
              <w:rPr>
                <w:rFonts w:hint="eastAsia" w:hAnsi="宋体" w:cs="宋体"/>
                <w:szCs w:val="21"/>
                <w:highlight w:val="none"/>
              </w:rPr>
            </w:pPr>
            <w:r>
              <w:rPr>
                <w:rFonts w:hint="eastAsia" w:hAnsi="宋体" w:cs="宋体"/>
                <w:szCs w:val="21"/>
                <w:highlight w:val="none"/>
              </w:rPr>
              <w:t>（1）项目预算：</w:t>
            </w:r>
            <w:r>
              <w:rPr>
                <w:rFonts w:hAnsi="宋体" w:cs="宋体"/>
                <w:szCs w:val="21"/>
                <w:highlight w:val="none"/>
                <w:u w:val="single"/>
              </w:rPr>
              <w:t xml:space="preserve">     </w:t>
            </w:r>
            <w:r>
              <w:rPr>
                <w:rFonts w:hint="eastAsia" w:hAnsi="宋体" w:cs="宋体"/>
                <w:szCs w:val="21"/>
                <w:highlight w:val="none"/>
              </w:rPr>
              <w:t>元</w:t>
            </w:r>
          </w:p>
          <w:p>
            <w:pPr>
              <w:pStyle w:val="24"/>
              <w:spacing w:line="336" w:lineRule="auto"/>
              <w:ind w:left="105" w:leftChars="50" w:right="105" w:rightChars="50"/>
              <w:rPr>
                <w:rFonts w:hint="eastAsia" w:hAnsi="宋体" w:cs="宋体"/>
                <w:szCs w:val="21"/>
                <w:highlight w:val="none"/>
              </w:rPr>
            </w:pPr>
            <w:r>
              <w:rPr>
                <w:rFonts w:hint="eastAsia" w:hAnsi="宋体" w:cs="宋体"/>
                <w:szCs w:val="21"/>
                <w:highlight w:val="none"/>
              </w:rPr>
              <w:t>（2）项目属性：</w:t>
            </w:r>
            <w:r>
              <w:rPr>
                <w:rFonts w:hint="eastAsia" w:hAnsi="宋体" w:cs="宋体"/>
                <w:b/>
                <w:bCs/>
                <w:szCs w:val="21"/>
                <w:highlight w:val="none"/>
                <w:u w:val="single"/>
              </w:rPr>
              <w:t>②服务类</w:t>
            </w:r>
            <w:r>
              <w:rPr>
                <w:rFonts w:hint="eastAsia" w:hAnsi="宋体" w:cs="宋体"/>
                <w:szCs w:val="21"/>
                <w:highlight w:val="none"/>
              </w:rPr>
              <w:t>（①货物类/②服务类/③工程类）</w:t>
            </w:r>
          </w:p>
          <w:p>
            <w:pPr>
              <w:pStyle w:val="24"/>
              <w:spacing w:line="336" w:lineRule="auto"/>
              <w:ind w:left="105" w:leftChars="50" w:right="105" w:rightChars="50"/>
              <w:rPr>
                <w:rFonts w:hint="eastAsia" w:hAnsi="宋体" w:cs="宋体"/>
                <w:szCs w:val="21"/>
                <w:highlight w:val="none"/>
              </w:rPr>
            </w:pPr>
            <w:r>
              <w:rPr>
                <w:rFonts w:hint="eastAsia" w:hAnsi="宋体" w:cs="宋体"/>
                <w:szCs w:val="21"/>
                <w:highlight w:val="none"/>
              </w:rPr>
              <w:t>（3）项目对应的中小企业划分标准所属行业：</w:t>
            </w:r>
            <w:r>
              <w:rPr>
                <w:rFonts w:hint="eastAsia" w:hAnsi="宋体" w:cs="宋体"/>
                <w:szCs w:val="21"/>
                <w:highlight w:val="none"/>
                <w:u w:val="single"/>
              </w:rPr>
              <w:t>建筑业</w:t>
            </w:r>
            <w:r>
              <w:rPr>
                <w:rFonts w:hint="eastAsia" w:hAnsi="宋体" w:cs="宋体"/>
                <w:szCs w:val="21"/>
                <w:highlight w:val="none"/>
              </w:rPr>
              <w:t>（具体根据《中小企业划型标准规定》执行）</w:t>
            </w:r>
          </w:p>
          <w:p>
            <w:pPr>
              <w:pStyle w:val="24"/>
              <w:spacing w:line="336" w:lineRule="auto"/>
              <w:ind w:left="105" w:leftChars="50" w:right="105" w:rightChars="50"/>
              <w:rPr>
                <w:rFonts w:hint="eastAsia" w:hAnsi="宋体" w:cs="宋体"/>
                <w:szCs w:val="21"/>
                <w:highlight w:val="none"/>
              </w:rPr>
            </w:pPr>
            <w:r>
              <w:rPr>
                <w:rFonts w:hint="eastAsia" w:hAnsi="宋体" w:cs="宋体"/>
                <w:szCs w:val="21"/>
                <w:highlight w:val="none"/>
              </w:rPr>
              <w:t>（备注：现行中小企业划分标准行业包括农、林、牧、渔业，工业，建筑业，批发业，零售业，交通运输业，仓储业，邮政业，住宿业，餐饮业，信息传输业，房地产开发经营，物业管理，租赁和商业服务业和其他未列明行业等十六类。）</w:t>
            </w:r>
          </w:p>
          <w:p>
            <w:pPr>
              <w:pStyle w:val="24"/>
              <w:spacing w:line="336" w:lineRule="auto"/>
              <w:ind w:left="105" w:leftChars="50" w:right="105" w:rightChars="50"/>
              <w:rPr>
                <w:rFonts w:hint="eastAsia" w:hAnsi="宋体" w:cs="宋体"/>
                <w:szCs w:val="21"/>
                <w:highlight w:val="none"/>
              </w:rPr>
            </w:pPr>
            <w:r>
              <w:rPr>
                <w:rFonts w:hint="eastAsia" w:hAnsi="宋体" w:cs="宋体"/>
                <w:szCs w:val="21"/>
                <w:highlight w:val="none"/>
              </w:rPr>
              <w:t>（4）本项目</w:t>
            </w:r>
            <w:r>
              <w:rPr>
                <w:rFonts w:hint="eastAsia" w:hAnsi="宋体" w:cs="宋体"/>
                <w:szCs w:val="21"/>
                <w:highlight w:val="none"/>
                <w:u w:val="single"/>
              </w:rPr>
              <w:t>是</w:t>
            </w:r>
            <w:r>
              <w:rPr>
                <w:rFonts w:hint="eastAsia" w:hAnsi="宋体" w:cs="宋体"/>
                <w:szCs w:val="21"/>
                <w:highlight w:val="none"/>
              </w:rPr>
              <w:t>属于预留份额专门面向中小企业采购的项目。</w:t>
            </w:r>
          </w:p>
          <w:p>
            <w:pPr>
              <w:pStyle w:val="24"/>
              <w:spacing w:line="336" w:lineRule="auto"/>
              <w:ind w:left="105" w:leftChars="50" w:right="105" w:rightChars="50"/>
              <w:rPr>
                <w:rFonts w:hint="eastAsia" w:hAnsi="宋体" w:cs="宋体"/>
                <w:kern w:val="0"/>
                <w:szCs w:val="21"/>
                <w:highlight w:val="none"/>
              </w:rPr>
            </w:pPr>
            <w:r>
              <w:rPr>
                <w:rFonts w:hint="eastAsia" w:hAnsi="宋体" w:cs="宋体"/>
                <w:szCs w:val="21"/>
                <w:highlight w:val="none"/>
              </w:rPr>
              <w:t>（5）上述第4项</w:t>
            </w:r>
            <w:r>
              <w:rPr>
                <w:rFonts w:hint="eastAsia" w:hAnsi="宋体" w:cs="宋体"/>
                <w:kern w:val="0"/>
                <w:szCs w:val="21"/>
                <w:highlight w:val="none"/>
              </w:rPr>
              <w:t>中确定为“是”的采购项目，预留份额通过（①）措施进行：</w:t>
            </w:r>
          </w:p>
          <w:p>
            <w:pPr>
              <w:widowControl/>
              <w:snapToGrid w:val="0"/>
              <w:spacing w:line="46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 xml:space="preserve">①将采购项目整体或者设置采购包专门面向中小企业采购； </w:t>
            </w:r>
          </w:p>
          <w:p>
            <w:pPr>
              <w:widowControl/>
              <w:snapToGrid w:val="0"/>
              <w:spacing w:line="46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②要求供应商以联合体形式参加采购活动，且联合体中中小企业承担的部分达到</w:t>
            </w:r>
            <w:r>
              <w:rPr>
                <w:rFonts w:hint="eastAsia" w:ascii="宋体" w:hAnsi="宋体" w:cs="宋体"/>
                <w:kern w:val="0"/>
                <w:szCs w:val="21"/>
                <w:highlight w:val="none"/>
                <w:u w:val="single"/>
              </w:rPr>
              <w:t xml:space="preserve">  /  </w:t>
            </w:r>
            <w:r>
              <w:rPr>
                <w:rFonts w:hint="eastAsia" w:ascii="宋体" w:hAnsi="宋体" w:cs="宋体"/>
                <w:kern w:val="0"/>
                <w:szCs w:val="21"/>
                <w:highlight w:val="none"/>
              </w:rPr>
              <w:t xml:space="preserve">(比例)； </w:t>
            </w:r>
          </w:p>
          <w:p>
            <w:pPr>
              <w:widowControl/>
              <w:snapToGrid w:val="0"/>
              <w:spacing w:line="46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③要求获得采购合同的供应商将采购项目中的</w:t>
            </w:r>
            <w:r>
              <w:rPr>
                <w:rFonts w:hint="eastAsia" w:ascii="宋体" w:hAnsi="宋体" w:cs="宋体"/>
                <w:kern w:val="0"/>
                <w:szCs w:val="21"/>
                <w:highlight w:val="none"/>
                <w:u w:val="single"/>
              </w:rPr>
              <w:t xml:space="preserve"> / </w:t>
            </w:r>
            <w:r>
              <w:rPr>
                <w:rFonts w:hint="eastAsia" w:ascii="宋体" w:hAnsi="宋体" w:cs="宋体"/>
                <w:kern w:val="0"/>
                <w:szCs w:val="21"/>
                <w:highlight w:val="none"/>
              </w:rPr>
              <w:t>(比例)分包给一家或者多家中小企业。</w:t>
            </w:r>
          </w:p>
          <w:p>
            <w:pPr>
              <w:widowControl/>
              <w:snapToGrid w:val="0"/>
              <w:spacing w:line="460" w:lineRule="exact"/>
              <w:ind w:firstLine="420" w:firstLineChars="200"/>
              <w:jc w:val="left"/>
              <w:rPr>
                <w:rFonts w:hint="eastAsia" w:ascii="宋体" w:hAnsi="宋体" w:cs="宋体"/>
                <w:szCs w:val="21"/>
                <w:highlight w:val="none"/>
              </w:rPr>
            </w:pPr>
            <w:r>
              <w:rPr>
                <w:rFonts w:hint="eastAsia" w:ascii="宋体" w:hAnsi="宋体" w:cs="宋体"/>
                <w:kern w:val="0"/>
                <w:szCs w:val="21"/>
                <w:highlight w:val="none"/>
              </w:rPr>
              <w:t>（6）对于经主管预算单位统筹后未预留份额专门面向中小企业采购的采购项目，以及预留份额项目中的非预留部分采购包，对小微企业报价给予</w:t>
            </w:r>
            <w:r>
              <w:rPr>
                <w:rFonts w:hint="eastAsia" w:ascii="宋体" w:hAnsi="宋体" w:cs="宋体"/>
                <w:kern w:val="0"/>
                <w:szCs w:val="21"/>
                <w:highlight w:val="none"/>
                <w:u w:val="single"/>
              </w:rPr>
              <w:t xml:space="preserve"> / %</w:t>
            </w:r>
            <w:r>
              <w:rPr>
                <w:rFonts w:hint="eastAsia" w:ascii="宋体" w:hAnsi="宋体" w:cs="宋体"/>
                <w:kern w:val="0"/>
                <w:szCs w:val="21"/>
                <w:highlight w:val="none"/>
              </w:rPr>
              <w:t xml:space="preserve">的扣除，用扣除后的价格参加评审。 </w:t>
            </w:r>
          </w:p>
          <w:p>
            <w:pPr>
              <w:widowControl/>
              <w:snapToGrid w:val="0"/>
              <w:spacing w:line="460" w:lineRule="exact"/>
              <w:ind w:firstLine="420" w:firstLineChars="200"/>
              <w:jc w:val="left"/>
              <w:rPr>
                <w:rFonts w:hint="eastAsia" w:ascii="宋体" w:hAnsi="宋体" w:cs="宋体"/>
                <w:szCs w:val="21"/>
                <w:highlight w:val="none"/>
              </w:rPr>
            </w:pPr>
            <w:r>
              <w:rPr>
                <w:rFonts w:hint="eastAsia" w:ascii="宋体" w:hAnsi="宋体" w:cs="宋体"/>
                <w:kern w:val="0"/>
                <w:szCs w:val="21"/>
                <w:highlight w:val="none"/>
              </w:rPr>
              <w:t>对于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cs="宋体"/>
                <w:kern w:val="0"/>
                <w:szCs w:val="21"/>
                <w:highlight w:val="none"/>
                <w:u w:val="single"/>
              </w:rPr>
              <w:t xml:space="preserve"> / %</w:t>
            </w:r>
            <w:r>
              <w:rPr>
                <w:rFonts w:hint="eastAsia" w:ascii="宋体" w:hAnsi="宋体" w:cs="宋体"/>
                <w:kern w:val="0"/>
                <w:szCs w:val="21"/>
                <w:highlight w:val="none"/>
              </w:rPr>
              <w:t>的扣除，用扣除后的价格参加评审。</w:t>
            </w:r>
          </w:p>
          <w:p>
            <w:pPr>
              <w:widowControl/>
              <w:snapToGrid w:val="0"/>
              <w:spacing w:line="46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注：货物和服务项目中未预留份额专门面向中小企业采购的，以及预留份额项目中的非预留部分采购包，采购单位、采购代理机构应结合项目实际，对符合规定的小微企业报价原则上按最高优惠幅度20%给予扣除，用扣除后的价格参加评审；对于联合协议或者分包意向协议约定小微企业的合同份额占到合同总金额30%以上的，采购单位、采购代理机构应结合项目实际，对联合体或者大中型企业的报价原则上按最高优惠幅度6%给予扣除，用扣除后的价格参加评审。自2022年7月1日起至2022年12月31日期间发布采购公告或者发出采购邀请的货物、服务采购项目按照此《浙江省财政厅关于进一步加大政府采购支持中小企业力度 助力扎实稳住经济的通知》（浙财采监〔2022〕8号）规定执行，到期后按财库〔2022〕19号文件规定执行。</w:t>
            </w:r>
          </w:p>
          <w:p>
            <w:pPr>
              <w:widowControl/>
              <w:snapToGrid w:val="0"/>
              <w:spacing w:line="46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专门面向中小企业采购的项目或者标项，不再执行价格评审优惠的扶持政策。</w:t>
            </w:r>
          </w:p>
          <w:p>
            <w:pPr>
              <w:pStyle w:val="24"/>
              <w:spacing w:line="336" w:lineRule="auto"/>
              <w:ind w:left="105" w:leftChars="50" w:right="105" w:rightChars="50"/>
              <w:rPr>
                <w:rFonts w:hint="eastAsia" w:hAnsi="宋体" w:cs="宋体"/>
                <w:szCs w:val="21"/>
                <w:highlight w:val="none"/>
              </w:rPr>
            </w:pPr>
            <w:r>
              <w:rPr>
                <w:rFonts w:hint="eastAsia" w:hAnsi="宋体" w:cs="宋体"/>
                <w:szCs w:val="21"/>
                <w:highlight w:val="none"/>
              </w:rPr>
              <w:t>2、节能产品、环境标志产品的强制采购政策</w:t>
            </w:r>
          </w:p>
          <w:p>
            <w:pPr>
              <w:pStyle w:val="24"/>
              <w:spacing w:line="336" w:lineRule="auto"/>
              <w:ind w:left="105" w:leftChars="50" w:right="105" w:rightChars="50"/>
              <w:rPr>
                <w:rFonts w:hint="eastAsia" w:hAnsi="宋体" w:cs="宋体"/>
                <w:szCs w:val="21"/>
                <w:highlight w:val="none"/>
              </w:rPr>
            </w:pPr>
            <w:r>
              <w:rPr>
                <w:rFonts w:hint="eastAsia" w:hAnsi="宋体" w:cs="宋体"/>
                <w:szCs w:val="21"/>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pPr>
              <w:pStyle w:val="24"/>
              <w:spacing w:line="336" w:lineRule="auto"/>
              <w:ind w:left="105" w:leftChars="50" w:right="105" w:rightChars="50"/>
              <w:rPr>
                <w:rFonts w:hint="eastAsia" w:hAnsi="宋体" w:cs="宋体"/>
                <w:szCs w:val="21"/>
                <w:highlight w:val="none"/>
              </w:rPr>
            </w:pPr>
            <w:r>
              <w:rPr>
                <w:rFonts w:hint="eastAsia" w:hAnsi="宋体" w:cs="宋体"/>
                <w:szCs w:val="21"/>
                <w:highlight w:val="none"/>
              </w:rPr>
              <w:t>3、节能产品、环境标志产品的优先采购政策</w:t>
            </w:r>
          </w:p>
          <w:p>
            <w:pPr>
              <w:pStyle w:val="24"/>
              <w:spacing w:line="336" w:lineRule="auto"/>
              <w:ind w:left="105" w:leftChars="50" w:right="105" w:rightChars="50"/>
              <w:rPr>
                <w:rFonts w:hint="eastAsia" w:hAnsi="宋体" w:cs="宋体"/>
                <w:szCs w:val="21"/>
                <w:highlight w:val="none"/>
              </w:rPr>
            </w:pPr>
            <w:r>
              <w:rPr>
                <w:rFonts w:hint="eastAsia" w:hAnsi="宋体" w:cs="宋体"/>
                <w:szCs w:val="21"/>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8" w:hRule="atLeast"/>
          <w:jc w:val="center"/>
        </w:trPr>
        <w:tc>
          <w:tcPr>
            <w:tcW w:w="729" w:type="dxa"/>
            <w:noWrap w:val="0"/>
            <w:vAlign w:val="center"/>
          </w:tcPr>
          <w:p>
            <w:pPr>
              <w:pStyle w:val="24"/>
              <w:spacing w:line="360" w:lineRule="auto"/>
              <w:jc w:val="center"/>
              <w:rPr>
                <w:rFonts w:hAnsi="宋体" w:cs="宋体"/>
                <w:szCs w:val="21"/>
                <w:highlight w:val="none"/>
              </w:rPr>
            </w:pPr>
            <w:r>
              <w:rPr>
                <w:rFonts w:hint="eastAsia" w:hAnsi="宋体" w:cs="宋体"/>
                <w:szCs w:val="21"/>
                <w:highlight w:val="none"/>
              </w:rPr>
              <w:t>32</w:t>
            </w:r>
          </w:p>
        </w:tc>
        <w:tc>
          <w:tcPr>
            <w:tcW w:w="1693" w:type="dxa"/>
            <w:noWrap w:val="0"/>
            <w:vAlign w:val="center"/>
          </w:tcPr>
          <w:p>
            <w:pPr>
              <w:pStyle w:val="24"/>
              <w:spacing w:line="360" w:lineRule="auto"/>
              <w:jc w:val="center"/>
              <w:rPr>
                <w:rFonts w:hint="eastAsia" w:hAnsi="宋体" w:cs="宋体"/>
                <w:szCs w:val="21"/>
                <w:highlight w:val="none"/>
              </w:rPr>
            </w:pPr>
            <w:r>
              <w:rPr>
                <w:rFonts w:hint="eastAsia" w:hAnsi="宋体" w:cs="宋体"/>
                <w:szCs w:val="21"/>
                <w:highlight w:val="none"/>
              </w:rPr>
              <w:t>投标供应商</w:t>
            </w:r>
          </w:p>
          <w:p>
            <w:pPr>
              <w:pStyle w:val="24"/>
              <w:spacing w:line="360" w:lineRule="auto"/>
              <w:jc w:val="center"/>
              <w:rPr>
                <w:rFonts w:hAnsi="宋体" w:cs="宋体"/>
                <w:szCs w:val="21"/>
                <w:highlight w:val="none"/>
              </w:rPr>
            </w:pPr>
            <w:r>
              <w:rPr>
                <w:rFonts w:hint="eastAsia" w:hAnsi="宋体" w:cs="宋体"/>
                <w:szCs w:val="21"/>
                <w:highlight w:val="none"/>
              </w:rPr>
              <w:t>信用记录查询</w:t>
            </w:r>
          </w:p>
        </w:tc>
        <w:tc>
          <w:tcPr>
            <w:tcW w:w="7362" w:type="dxa"/>
            <w:noWrap w:val="0"/>
            <w:vAlign w:val="center"/>
          </w:tcPr>
          <w:p>
            <w:pPr>
              <w:snapToGrid w:val="0"/>
              <w:spacing w:line="460" w:lineRule="exact"/>
              <w:rPr>
                <w:rFonts w:hint="eastAsia" w:ascii="宋体" w:hAnsi="宋体" w:cs="宋体"/>
                <w:szCs w:val="21"/>
                <w:highlight w:val="none"/>
              </w:rPr>
            </w:pPr>
            <w:r>
              <w:rPr>
                <w:rFonts w:hint="eastAsia" w:ascii="宋体" w:hAnsi="宋体" w:cs="宋体"/>
                <w:szCs w:val="21"/>
                <w:highlight w:val="none"/>
              </w:rPr>
              <w:t>根据《关于在政府采购活动中查询及使用信用记录有关问题的通知》财库[2016]125号的规定：</w:t>
            </w:r>
          </w:p>
          <w:p>
            <w:pPr>
              <w:snapToGrid w:val="0"/>
              <w:spacing w:line="460" w:lineRule="exact"/>
              <w:rPr>
                <w:rFonts w:hint="eastAsia" w:ascii="宋体" w:hAnsi="宋体" w:cs="宋体"/>
                <w:szCs w:val="21"/>
                <w:highlight w:val="none"/>
              </w:rPr>
            </w:pPr>
            <w:r>
              <w:rPr>
                <w:rFonts w:hint="eastAsia" w:ascii="宋体" w:hAnsi="宋体" w:cs="宋体"/>
                <w:szCs w:val="21"/>
                <w:highlight w:val="none"/>
              </w:rPr>
              <w:t>（1）招标人或采购代理机构将对本项目供应商的信用记录进行查询。查询渠道为信用中国网站（www.creditchina.gov.cn）、中国政府采购网（www.ccgp.gov.cn）；</w:t>
            </w:r>
          </w:p>
          <w:p>
            <w:pPr>
              <w:snapToGrid w:val="0"/>
              <w:spacing w:line="460" w:lineRule="exact"/>
              <w:rPr>
                <w:rFonts w:hint="eastAsia" w:ascii="宋体" w:hAnsi="宋体" w:cs="宋体"/>
                <w:szCs w:val="21"/>
                <w:highlight w:val="none"/>
              </w:rPr>
            </w:pPr>
            <w:r>
              <w:rPr>
                <w:rFonts w:hint="eastAsia" w:ascii="宋体" w:hAnsi="宋体" w:cs="宋体"/>
                <w:szCs w:val="21"/>
                <w:highlight w:val="none"/>
              </w:rPr>
              <w:t>（2）截止时点：提交投标文件（响应文件）截止时间前3年内；</w:t>
            </w:r>
          </w:p>
          <w:p>
            <w:pPr>
              <w:snapToGrid w:val="0"/>
              <w:spacing w:line="460" w:lineRule="exact"/>
              <w:rPr>
                <w:rFonts w:hint="eastAsia" w:ascii="宋体" w:hAnsi="宋体" w:cs="宋体"/>
                <w:szCs w:val="21"/>
                <w:highlight w:val="none"/>
              </w:rPr>
            </w:pPr>
            <w:r>
              <w:rPr>
                <w:rFonts w:hint="eastAsia" w:ascii="宋体" w:hAnsi="宋体" w:cs="宋体"/>
                <w:szCs w:val="21"/>
                <w:highlight w:val="none"/>
              </w:rPr>
              <w:t>（3）查询记录和证据的留存：信用信息查询记录和证据以网页截图等方式留存。</w:t>
            </w:r>
          </w:p>
          <w:p>
            <w:pPr>
              <w:snapToGrid w:val="0"/>
              <w:spacing w:line="460" w:lineRule="exact"/>
              <w:rPr>
                <w:rFonts w:hint="eastAsia" w:ascii="宋体" w:hAnsi="宋体" w:cs="宋体"/>
                <w:szCs w:val="21"/>
                <w:highlight w:val="none"/>
              </w:rPr>
            </w:pPr>
            <w:r>
              <w:rPr>
                <w:rFonts w:hint="eastAsia" w:ascii="宋体" w:hAnsi="宋体" w:cs="宋体"/>
                <w:szCs w:val="21"/>
                <w:highlight w:val="none"/>
              </w:rPr>
              <w:t>（4）使用规则：被列入失信被执行人、重大税收违法案件当事人名单、政府采购严重违法失信行为记录名单及其它不符合《中华人民共和国政府采购法》第二十二条规定条件的，其投标将被拒绝。</w:t>
            </w:r>
          </w:p>
          <w:p>
            <w:pPr>
              <w:snapToGrid w:val="0"/>
              <w:spacing w:line="460" w:lineRule="exact"/>
              <w:rPr>
                <w:rFonts w:hint="eastAsia" w:ascii="宋体" w:hAnsi="宋体" w:cs="宋体"/>
                <w:szCs w:val="21"/>
                <w:highlight w:val="none"/>
              </w:rPr>
            </w:pPr>
            <w:r>
              <w:rPr>
                <w:rFonts w:hint="eastAsia" w:ascii="宋体" w:hAnsi="宋体" w:cs="宋体"/>
                <w:szCs w:val="21"/>
                <w:highlight w:val="none"/>
              </w:rPr>
              <w:t>（5）联合体成员任意一方存在不良信用记录的，视同联合体存在不良信用记录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noWrap w:val="0"/>
            <w:vAlign w:val="center"/>
          </w:tcPr>
          <w:p>
            <w:pPr>
              <w:widowControl/>
              <w:snapToGrid w:val="0"/>
              <w:spacing w:line="460" w:lineRule="exact"/>
              <w:jc w:val="center"/>
              <w:textAlignment w:val="center"/>
              <w:rPr>
                <w:rFonts w:ascii="宋体" w:hAnsi="宋体" w:cs="宋体"/>
                <w:szCs w:val="21"/>
                <w:highlight w:val="none"/>
              </w:rPr>
            </w:pPr>
            <w:bookmarkStart w:id="20" w:name="_Toc123628879"/>
            <w:r>
              <w:rPr>
                <w:rFonts w:hint="eastAsia" w:ascii="宋体" w:hAnsi="宋体" w:cs="宋体"/>
                <w:szCs w:val="21"/>
                <w:highlight w:val="none"/>
              </w:rPr>
              <w:t>33</w:t>
            </w:r>
          </w:p>
        </w:tc>
        <w:tc>
          <w:tcPr>
            <w:tcW w:w="1693" w:type="dxa"/>
            <w:noWrap w:val="0"/>
            <w:vAlign w:val="center"/>
          </w:tcPr>
          <w:p>
            <w:pPr>
              <w:snapToGrid w:val="0"/>
              <w:spacing w:line="460" w:lineRule="exact"/>
              <w:jc w:val="center"/>
              <w:rPr>
                <w:rFonts w:hint="eastAsia" w:ascii="宋体" w:hAnsi="宋体" w:cs="宋体"/>
                <w:szCs w:val="21"/>
                <w:highlight w:val="none"/>
              </w:rPr>
            </w:pPr>
            <w:r>
              <w:rPr>
                <w:rFonts w:hint="eastAsia" w:ascii="宋体" w:hAnsi="宋体" w:cs="宋体"/>
                <w:szCs w:val="21"/>
                <w:highlight w:val="none"/>
              </w:rPr>
              <w:t>本项目对应的中小企业划分标准所属行业</w:t>
            </w:r>
          </w:p>
        </w:tc>
        <w:tc>
          <w:tcPr>
            <w:tcW w:w="7362" w:type="dxa"/>
            <w:noWrap w:val="0"/>
            <w:vAlign w:val="center"/>
          </w:tcPr>
          <w:p>
            <w:pPr>
              <w:snapToGrid w:val="0"/>
              <w:spacing w:line="460" w:lineRule="exact"/>
              <w:rPr>
                <w:rFonts w:hint="eastAsia" w:ascii="宋体" w:hAnsi="宋体" w:cs="宋体"/>
                <w:szCs w:val="21"/>
                <w:highlight w:val="none"/>
              </w:rPr>
            </w:pPr>
            <w:r>
              <w:rPr>
                <w:rFonts w:hint="eastAsia" w:ascii="宋体" w:hAnsi="宋体" w:cs="宋体"/>
                <w:szCs w:val="21"/>
                <w:highlight w:val="none"/>
              </w:rPr>
              <w:t>根据《关于印发中小企业划型标准规定的通知》（工信部联企业〔2011〕300号），本企业按所属行业为“</w:t>
            </w:r>
            <w:r>
              <w:rPr>
                <w:rFonts w:hint="eastAsia" w:ascii="宋体" w:hAnsi="宋体" w:cs="宋体"/>
                <w:kern w:val="0"/>
                <w:szCs w:val="21"/>
                <w:highlight w:val="none"/>
                <w:u w:val="single"/>
              </w:rPr>
              <w:t>建筑业</w:t>
            </w: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noWrap w:val="0"/>
            <w:vAlign w:val="center"/>
          </w:tcPr>
          <w:p>
            <w:pPr>
              <w:pStyle w:val="24"/>
              <w:spacing w:line="360" w:lineRule="auto"/>
              <w:jc w:val="center"/>
              <w:rPr>
                <w:rFonts w:hAnsi="宋体" w:cs="宋体"/>
                <w:szCs w:val="21"/>
                <w:highlight w:val="none"/>
              </w:rPr>
            </w:pPr>
            <w:r>
              <w:rPr>
                <w:rFonts w:hint="eastAsia" w:hAnsi="宋体" w:cs="宋体"/>
                <w:szCs w:val="21"/>
                <w:highlight w:val="none"/>
              </w:rPr>
              <w:t>34</w:t>
            </w:r>
          </w:p>
        </w:tc>
        <w:tc>
          <w:tcPr>
            <w:tcW w:w="1693" w:type="dxa"/>
            <w:noWrap w:val="0"/>
            <w:vAlign w:val="center"/>
          </w:tcPr>
          <w:p>
            <w:pPr>
              <w:pStyle w:val="24"/>
              <w:spacing w:line="360" w:lineRule="auto"/>
              <w:jc w:val="center"/>
              <w:rPr>
                <w:rFonts w:hint="eastAsia" w:hAnsi="宋体" w:cs="宋体"/>
                <w:szCs w:val="21"/>
                <w:highlight w:val="none"/>
              </w:rPr>
            </w:pPr>
            <w:r>
              <w:rPr>
                <w:rFonts w:hint="eastAsia" w:hAnsi="宋体" w:cs="宋体"/>
                <w:szCs w:val="21"/>
                <w:highlight w:val="none"/>
              </w:rPr>
              <w:t>中标结果</w:t>
            </w:r>
          </w:p>
          <w:p>
            <w:pPr>
              <w:pStyle w:val="24"/>
              <w:spacing w:line="360" w:lineRule="auto"/>
              <w:jc w:val="center"/>
              <w:rPr>
                <w:rFonts w:hAnsi="宋体" w:cs="宋体"/>
                <w:szCs w:val="21"/>
                <w:highlight w:val="none"/>
              </w:rPr>
            </w:pPr>
            <w:r>
              <w:rPr>
                <w:rFonts w:hint="eastAsia" w:hAnsi="宋体" w:cs="宋体"/>
                <w:szCs w:val="21"/>
                <w:highlight w:val="none"/>
              </w:rPr>
              <w:t>公告日期</w:t>
            </w:r>
          </w:p>
        </w:tc>
        <w:tc>
          <w:tcPr>
            <w:tcW w:w="7362" w:type="dxa"/>
            <w:noWrap w:val="0"/>
            <w:vAlign w:val="center"/>
          </w:tcPr>
          <w:p>
            <w:pPr>
              <w:pStyle w:val="24"/>
              <w:spacing w:line="336" w:lineRule="auto"/>
              <w:ind w:left="105" w:leftChars="50" w:right="105" w:rightChars="50"/>
              <w:rPr>
                <w:rFonts w:hint="eastAsia" w:hAnsi="宋体" w:cs="宋体"/>
                <w:szCs w:val="21"/>
                <w:highlight w:val="none"/>
              </w:rPr>
            </w:pPr>
            <w:r>
              <w:rPr>
                <w:rFonts w:hint="eastAsia" w:hAnsi="宋体" w:cs="宋体"/>
                <w:szCs w:val="21"/>
                <w:highlight w:val="none"/>
              </w:rPr>
              <w:t>采购代理机构应当在评标结束后2个工作日内将评标报告送采购人，采购人应当自收到评标报告之日起5个工作日内确认中标人，采购人或者采购代理机构应当自中标人确定之日起2个工作日内，在浙江省政府采购网上公告中标结果，中标公告期限为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729" w:type="dxa"/>
            <w:noWrap w:val="0"/>
            <w:vAlign w:val="center"/>
          </w:tcPr>
          <w:p>
            <w:pPr>
              <w:pStyle w:val="24"/>
              <w:spacing w:line="360" w:lineRule="auto"/>
              <w:jc w:val="center"/>
              <w:rPr>
                <w:rFonts w:hAnsi="宋体" w:cs="宋体"/>
                <w:szCs w:val="21"/>
                <w:highlight w:val="none"/>
              </w:rPr>
            </w:pPr>
            <w:r>
              <w:rPr>
                <w:rFonts w:hint="eastAsia" w:hAnsi="宋体" w:cs="宋体"/>
                <w:szCs w:val="21"/>
                <w:highlight w:val="none"/>
              </w:rPr>
              <w:t>35</w:t>
            </w:r>
          </w:p>
        </w:tc>
        <w:tc>
          <w:tcPr>
            <w:tcW w:w="1693" w:type="dxa"/>
            <w:noWrap w:val="0"/>
            <w:vAlign w:val="center"/>
          </w:tcPr>
          <w:p>
            <w:pPr>
              <w:pStyle w:val="24"/>
              <w:spacing w:line="360" w:lineRule="auto"/>
              <w:jc w:val="center"/>
              <w:rPr>
                <w:rFonts w:hAnsi="宋体" w:cs="宋体"/>
                <w:szCs w:val="21"/>
                <w:highlight w:val="none"/>
              </w:rPr>
            </w:pPr>
            <w:r>
              <w:rPr>
                <w:rFonts w:hint="eastAsia" w:hAnsi="宋体" w:cs="宋体"/>
                <w:szCs w:val="21"/>
                <w:highlight w:val="none"/>
              </w:rPr>
              <w:t>中标通知</w:t>
            </w:r>
          </w:p>
        </w:tc>
        <w:tc>
          <w:tcPr>
            <w:tcW w:w="7362" w:type="dxa"/>
            <w:noWrap w:val="0"/>
            <w:vAlign w:val="center"/>
          </w:tcPr>
          <w:p>
            <w:pPr>
              <w:pStyle w:val="24"/>
              <w:spacing w:line="336" w:lineRule="auto"/>
              <w:ind w:left="105" w:leftChars="50" w:right="105" w:rightChars="50"/>
              <w:rPr>
                <w:rFonts w:hint="eastAsia" w:hAnsi="宋体" w:cs="宋体"/>
                <w:szCs w:val="21"/>
                <w:highlight w:val="none"/>
              </w:rPr>
            </w:pPr>
            <w:r>
              <w:rPr>
                <w:rFonts w:hint="eastAsia" w:hAnsi="宋体" w:cs="宋体"/>
                <w:szCs w:val="21"/>
                <w:highlight w:val="none"/>
              </w:rPr>
              <w:t>在公告中标结果的同时，采购人及采购代理机构将以书面形式向中标人发出中标通知书。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jc w:val="center"/>
        </w:trPr>
        <w:tc>
          <w:tcPr>
            <w:tcW w:w="729" w:type="dxa"/>
            <w:noWrap w:val="0"/>
            <w:vAlign w:val="center"/>
          </w:tcPr>
          <w:p>
            <w:pPr>
              <w:pStyle w:val="24"/>
              <w:spacing w:line="360" w:lineRule="auto"/>
              <w:jc w:val="center"/>
              <w:rPr>
                <w:rFonts w:hAnsi="宋体" w:cs="宋体"/>
                <w:szCs w:val="21"/>
                <w:highlight w:val="none"/>
              </w:rPr>
            </w:pPr>
            <w:r>
              <w:rPr>
                <w:rFonts w:hint="eastAsia" w:hAnsi="宋体" w:cs="宋体"/>
                <w:szCs w:val="21"/>
                <w:highlight w:val="none"/>
              </w:rPr>
              <w:t>36</w:t>
            </w:r>
          </w:p>
        </w:tc>
        <w:tc>
          <w:tcPr>
            <w:tcW w:w="1693" w:type="dxa"/>
            <w:noWrap w:val="0"/>
            <w:vAlign w:val="center"/>
          </w:tcPr>
          <w:p>
            <w:pPr>
              <w:pStyle w:val="24"/>
              <w:spacing w:line="360" w:lineRule="auto"/>
              <w:jc w:val="center"/>
              <w:rPr>
                <w:rFonts w:hAnsi="宋体" w:cs="宋体"/>
                <w:szCs w:val="21"/>
                <w:highlight w:val="none"/>
              </w:rPr>
            </w:pPr>
            <w:r>
              <w:rPr>
                <w:rFonts w:hint="eastAsia" w:hAnsi="宋体" w:cs="宋体"/>
                <w:szCs w:val="21"/>
                <w:highlight w:val="none"/>
              </w:rPr>
              <w:t>合同备案</w:t>
            </w:r>
          </w:p>
        </w:tc>
        <w:tc>
          <w:tcPr>
            <w:tcW w:w="7362" w:type="dxa"/>
            <w:noWrap w:val="0"/>
            <w:vAlign w:val="center"/>
          </w:tcPr>
          <w:p>
            <w:pPr>
              <w:pStyle w:val="24"/>
              <w:spacing w:line="336" w:lineRule="auto"/>
              <w:ind w:left="105" w:leftChars="50" w:right="105" w:rightChars="50"/>
              <w:rPr>
                <w:rFonts w:hint="eastAsia" w:hAnsi="宋体" w:cs="宋体"/>
                <w:szCs w:val="21"/>
                <w:highlight w:val="none"/>
              </w:rPr>
            </w:pPr>
            <w:r>
              <w:rPr>
                <w:rFonts w:hint="eastAsia" w:hAnsi="宋体" w:cs="宋体"/>
                <w:szCs w:val="21"/>
                <w:highlight w:val="none"/>
              </w:rPr>
              <w:t xml:space="preserve">1、中标人应当在中标通知书发出之日起20日历天内与采购人签订合同。 </w:t>
            </w:r>
          </w:p>
          <w:p>
            <w:pPr>
              <w:pStyle w:val="24"/>
              <w:spacing w:line="336" w:lineRule="auto"/>
              <w:ind w:left="105" w:leftChars="50" w:right="105" w:rightChars="50"/>
              <w:rPr>
                <w:rFonts w:hint="eastAsia" w:hAnsi="宋体" w:cs="宋体"/>
                <w:szCs w:val="21"/>
                <w:highlight w:val="none"/>
              </w:rPr>
            </w:pPr>
            <w:r>
              <w:rPr>
                <w:rFonts w:hint="eastAsia" w:hAnsi="宋体" w:cs="宋体"/>
                <w:szCs w:val="21"/>
                <w:highlight w:val="none"/>
              </w:rPr>
              <w:t xml:space="preserve">2、中标人与采购人签订合同后，2日历天内将合同原件送至采购代理机构上传浙江政府采购网政采云平台备案。 </w:t>
            </w:r>
          </w:p>
          <w:p>
            <w:pPr>
              <w:pStyle w:val="24"/>
              <w:spacing w:line="336" w:lineRule="auto"/>
              <w:ind w:left="105" w:leftChars="50" w:right="105" w:rightChars="50"/>
              <w:rPr>
                <w:rFonts w:hint="eastAsia" w:hAnsi="宋体" w:cs="宋体"/>
                <w:szCs w:val="21"/>
                <w:highlight w:val="none"/>
              </w:rPr>
            </w:pPr>
            <w:r>
              <w:rPr>
                <w:rFonts w:hint="eastAsia" w:hAnsi="宋体" w:cs="宋体"/>
                <w:szCs w:val="21"/>
                <w:highlight w:val="none"/>
              </w:rPr>
              <w:t>3、本项目政府采购合同按规定在浙江政府采购网予以公告。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4" w:hRule="atLeast"/>
          <w:jc w:val="center"/>
        </w:trPr>
        <w:tc>
          <w:tcPr>
            <w:tcW w:w="729" w:type="dxa"/>
            <w:noWrap w:val="0"/>
            <w:vAlign w:val="center"/>
          </w:tcPr>
          <w:p>
            <w:pPr>
              <w:pStyle w:val="24"/>
              <w:spacing w:line="360" w:lineRule="auto"/>
              <w:jc w:val="center"/>
              <w:rPr>
                <w:rFonts w:hAnsi="宋体" w:cs="宋体"/>
                <w:szCs w:val="21"/>
                <w:highlight w:val="none"/>
              </w:rPr>
            </w:pPr>
            <w:r>
              <w:rPr>
                <w:rFonts w:hint="eastAsia" w:hAnsi="宋体" w:cs="宋体"/>
                <w:szCs w:val="21"/>
                <w:highlight w:val="none"/>
              </w:rPr>
              <w:t>37</w:t>
            </w:r>
          </w:p>
        </w:tc>
        <w:tc>
          <w:tcPr>
            <w:tcW w:w="1693" w:type="dxa"/>
            <w:noWrap w:val="0"/>
            <w:vAlign w:val="center"/>
          </w:tcPr>
          <w:p>
            <w:pPr>
              <w:pStyle w:val="24"/>
              <w:spacing w:line="360" w:lineRule="auto"/>
              <w:jc w:val="center"/>
              <w:rPr>
                <w:rFonts w:hint="eastAsia" w:hAnsi="宋体" w:cs="宋体"/>
                <w:szCs w:val="21"/>
                <w:highlight w:val="none"/>
              </w:rPr>
            </w:pPr>
            <w:r>
              <w:rPr>
                <w:rFonts w:hint="eastAsia" w:hAnsi="宋体" w:cs="宋体"/>
                <w:szCs w:val="21"/>
                <w:highlight w:val="none"/>
              </w:rPr>
              <w:t>注意事项</w:t>
            </w:r>
          </w:p>
        </w:tc>
        <w:tc>
          <w:tcPr>
            <w:tcW w:w="7362" w:type="dxa"/>
            <w:noWrap w:val="0"/>
            <w:vAlign w:val="center"/>
          </w:tcPr>
          <w:p>
            <w:pPr>
              <w:pStyle w:val="24"/>
              <w:numPr>
                <w:ilvl w:val="0"/>
                <w:numId w:val="5"/>
              </w:numPr>
              <w:spacing w:line="336" w:lineRule="auto"/>
              <w:ind w:left="105" w:leftChars="50" w:right="105" w:rightChars="50"/>
              <w:rPr>
                <w:rFonts w:hint="eastAsia" w:hAnsi="宋体" w:cs="宋体"/>
                <w:szCs w:val="21"/>
                <w:highlight w:val="none"/>
              </w:rPr>
            </w:pPr>
            <w:r>
              <w:rPr>
                <w:rFonts w:hint="eastAsia" w:hAnsi="宋体" w:cs="宋体"/>
                <w:szCs w:val="21"/>
                <w:highlight w:val="none"/>
              </w:rPr>
              <w:t xml:space="preserve">请务必确保投标文件制作客户端为最新版本，旧版本可能导致投标文件解密失败。 </w:t>
            </w:r>
          </w:p>
          <w:p>
            <w:pPr>
              <w:pStyle w:val="24"/>
              <w:numPr>
                <w:ilvl w:val="0"/>
                <w:numId w:val="5"/>
              </w:numPr>
              <w:spacing w:line="336" w:lineRule="auto"/>
              <w:ind w:left="105" w:leftChars="50" w:right="105" w:rightChars="50"/>
              <w:rPr>
                <w:rFonts w:hint="eastAsia" w:hAnsi="宋体" w:cs="宋体"/>
                <w:szCs w:val="21"/>
                <w:highlight w:val="none"/>
              </w:rPr>
            </w:pPr>
            <w:r>
              <w:rPr>
                <w:rFonts w:hint="eastAsia" w:hAnsi="宋体" w:cs="宋体"/>
                <w:szCs w:val="21"/>
                <w:highlight w:val="none"/>
              </w:rPr>
              <w:t>请务必确保投标文件制作时所用的CA锁与投标文件解密时的CA锁为同一把，否则可能导致投标文件解密失败。</w:t>
            </w:r>
          </w:p>
        </w:tc>
      </w:tr>
    </w:tbl>
    <w:p>
      <w:pPr>
        <w:spacing w:after="156" w:afterLines="50" w:line="360" w:lineRule="auto"/>
        <w:jc w:val="center"/>
        <w:rPr>
          <w:rFonts w:hint="eastAsia" w:ascii="黑体" w:hAnsi="黑体" w:eastAsia="黑体" w:cs="黑体"/>
          <w:b/>
          <w:sz w:val="32"/>
          <w:szCs w:val="32"/>
          <w:highlight w:val="none"/>
        </w:rPr>
      </w:pPr>
      <w:r>
        <w:rPr>
          <w:rFonts w:hint="eastAsia" w:ascii="黑体" w:hAnsi="黑体" w:eastAsia="黑体" w:cs="黑体"/>
          <w:b/>
          <w:sz w:val="32"/>
          <w:szCs w:val="32"/>
          <w:highlight w:val="none"/>
        </w:rPr>
        <w:br w:type="page"/>
      </w:r>
      <w:r>
        <w:rPr>
          <w:rFonts w:hint="eastAsia" w:ascii="黑体" w:hAnsi="黑体" w:eastAsia="黑体" w:cs="黑体"/>
          <w:b/>
          <w:sz w:val="32"/>
          <w:szCs w:val="32"/>
          <w:highlight w:val="none"/>
        </w:rPr>
        <w:t>第一节   总 则</w:t>
      </w:r>
    </w:p>
    <w:p>
      <w:pPr>
        <w:pStyle w:val="24"/>
        <w:spacing w:line="360" w:lineRule="auto"/>
        <w:ind w:firstLine="482" w:firstLineChars="200"/>
        <w:rPr>
          <w:rFonts w:hint="eastAsia" w:hAnsi="宋体" w:cs="宋体"/>
          <w:b/>
          <w:bCs/>
          <w:sz w:val="24"/>
          <w:highlight w:val="none"/>
        </w:rPr>
      </w:pPr>
      <w:r>
        <w:rPr>
          <w:rFonts w:hint="eastAsia" w:hAnsi="宋体" w:cs="宋体"/>
          <w:b/>
          <w:bCs/>
          <w:sz w:val="24"/>
          <w:highlight w:val="none"/>
        </w:rPr>
        <w:t>（一）适用范围</w:t>
      </w:r>
    </w:p>
    <w:p>
      <w:pPr>
        <w:pStyle w:val="24"/>
        <w:spacing w:line="360" w:lineRule="auto"/>
        <w:ind w:firstLine="480" w:firstLineChars="200"/>
        <w:rPr>
          <w:rFonts w:hint="eastAsia" w:hAnsi="宋体" w:cs="宋体"/>
          <w:sz w:val="24"/>
          <w:highlight w:val="none"/>
        </w:rPr>
      </w:pPr>
      <w:r>
        <w:rPr>
          <w:rFonts w:hint="eastAsia" w:hAnsi="宋体" w:cs="宋体"/>
          <w:sz w:val="24"/>
          <w:highlight w:val="none"/>
        </w:rPr>
        <w:t>本招标文件适用于金华市安地灌区续建配套与节水改造项目（2021-2022年）调增项目灌溉节水宣传馆的招标、投标、评标、定标、验收、合同履约、付款等行为。投标人参加投标即视为对招标文件所有条款的认可。</w:t>
      </w:r>
    </w:p>
    <w:p>
      <w:pPr>
        <w:pStyle w:val="24"/>
        <w:spacing w:line="360" w:lineRule="auto"/>
        <w:ind w:firstLine="482" w:firstLineChars="200"/>
        <w:rPr>
          <w:rFonts w:hint="eastAsia" w:hAnsi="宋体" w:cs="宋体"/>
          <w:b/>
          <w:bCs/>
          <w:sz w:val="24"/>
          <w:highlight w:val="none"/>
        </w:rPr>
      </w:pPr>
      <w:r>
        <w:rPr>
          <w:rFonts w:hint="eastAsia" w:hAnsi="宋体" w:cs="宋体"/>
          <w:b/>
          <w:bCs/>
          <w:sz w:val="24"/>
          <w:highlight w:val="none"/>
        </w:rPr>
        <w:t>（二）定义</w:t>
      </w:r>
    </w:p>
    <w:p>
      <w:pPr>
        <w:pStyle w:val="24"/>
        <w:spacing w:line="360" w:lineRule="auto"/>
        <w:ind w:firstLine="480" w:firstLineChars="200"/>
        <w:rPr>
          <w:rFonts w:hint="eastAsia" w:hAnsi="宋体" w:cs="宋体"/>
          <w:sz w:val="24"/>
          <w:highlight w:val="none"/>
        </w:rPr>
      </w:pPr>
      <w:r>
        <w:rPr>
          <w:rFonts w:hint="eastAsia" w:hAnsi="宋体" w:cs="宋体"/>
          <w:sz w:val="24"/>
          <w:highlight w:val="none"/>
        </w:rPr>
        <w:t>1、电子交易活动：是指以数据电文形式，依托政府采购项目电子交易平台进行的政府采购交易活动。</w:t>
      </w:r>
    </w:p>
    <w:p>
      <w:pPr>
        <w:pStyle w:val="24"/>
        <w:spacing w:line="360" w:lineRule="auto"/>
        <w:ind w:firstLine="480" w:firstLineChars="200"/>
        <w:rPr>
          <w:rFonts w:hint="eastAsia" w:hAnsi="宋体" w:cs="宋体"/>
          <w:sz w:val="24"/>
          <w:highlight w:val="none"/>
        </w:rPr>
      </w:pPr>
      <w:r>
        <w:rPr>
          <w:rFonts w:hint="eastAsia" w:hAnsi="宋体" w:cs="宋体"/>
          <w:sz w:val="24"/>
          <w:highlight w:val="none"/>
        </w:rPr>
        <w:t>2、“采购人”是指依法进行政府采购的国家机关、事业单位、团体组织，见“投标人须知前附表”。</w:t>
      </w:r>
    </w:p>
    <w:p>
      <w:pPr>
        <w:pStyle w:val="24"/>
        <w:spacing w:line="360" w:lineRule="auto"/>
        <w:ind w:firstLine="480" w:firstLineChars="200"/>
        <w:rPr>
          <w:rFonts w:hint="eastAsia" w:hAnsi="宋体" w:cs="宋体"/>
          <w:sz w:val="24"/>
          <w:highlight w:val="none"/>
        </w:rPr>
      </w:pPr>
      <w:r>
        <w:rPr>
          <w:rFonts w:hint="eastAsia" w:hAnsi="宋体" w:cs="宋体"/>
          <w:sz w:val="24"/>
          <w:highlight w:val="none"/>
        </w:rPr>
        <w:t>3、</w:t>
      </w:r>
      <w:r>
        <w:rPr>
          <w:rFonts w:hint="eastAsia" w:hAnsi="宋体" w:cs="宋体"/>
          <w:sz w:val="24"/>
          <w:szCs w:val="24"/>
          <w:highlight w:val="none"/>
        </w:rPr>
        <w:t>“投标人”是指响应招标、参加投标竞争的法人、其他组织或者自然人。</w:t>
      </w:r>
    </w:p>
    <w:p>
      <w:pPr>
        <w:pStyle w:val="24"/>
        <w:spacing w:line="360" w:lineRule="auto"/>
        <w:ind w:firstLine="480" w:firstLineChars="200"/>
        <w:rPr>
          <w:rFonts w:hint="eastAsia" w:hAnsi="宋体" w:cs="宋体"/>
          <w:sz w:val="24"/>
          <w:highlight w:val="none"/>
        </w:rPr>
      </w:pPr>
      <w:r>
        <w:rPr>
          <w:rFonts w:hint="eastAsia" w:hAnsi="宋体" w:cs="宋体"/>
          <w:sz w:val="24"/>
          <w:highlight w:val="none"/>
        </w:rPr>
        <w:t>4、“采购代理机构”是指受采购人委托，在委托的范围内办理政府采购事宜的机构，见“投标人须知前附表”。</w:t>
      </w:r>
    </w:p>
    <w:p>
      <w:pPr>
        <w:pStyle w:val="112"/>
        <w:tabs>
          <w:tab w:val="left" w:pos="1060"/>
        </w:tabs>
        <w:spacing w:line="360" w:lineRule="auto"/>
        <w:ind w:left="0" w:firstLineChars="200"/>
        <w:jc w:val="left"/>
        <w:rPr>
          <w:rFonts w:hint="eastAsia"/>
          <w:sz w:val="24"/>
          <w:highlight w:val="none"/>
        </w:rPr>
      </w:pPr>
      <w:r>
        <w:rPr>
          <w:rFonts w:hint="eastAsia"/>
          <w:sz w:val="24"/>
          <w:highlight w:val="none"/>
          <w:lang w:val="en-US"/>
        </w:rPr>
        <w:t>5、</w:t>
      </w:r>
      <w:r>
        <w:rPr>
          <w:rFonts w:hint="eastAsia"/>
          <w:sz w:val="24"/>
          <w:highlight w:val="none"/>
        </w:rPr>
        <w:t>“投标人代表”是指参加本项目投标活动的供应商法定代表人或法定代表人授权代表。</w:t>
      </w:r>
    </w:p>
    <w:p>
      <w:pPr>
        <w:pStyle w:val="112"/>
        <w:tabs>
          <w:tab w:val="left" w:pos="1060"/>
        </w:tabs>
        <w:spacing w:line="360" w:lineRule="auto"/>
        <w:ind w:left="0" w:firstLineChars="200"/>
        <w:jc w:val="left"/>
        <w:rPr>
          <w:sz w:val="24"/>
          <w:highlight w:val="none"/>
          <w:lang w:val="en-US"/>
        </w:rPr>
      </w:pPr>
      <w:r>
        <w:rPr>
          <w:rFonts w:hint="eastAsia"/>
          <w:sz w:val="24"/>
          <w:highlight w:val="none"/>
          <w:lang w:val="en-US"/>
        </w:rPr>
        <w:t>6、</w:t>
      </w:r>
      <w:r>
        <w:rPr>
          <w:rFonts w:hint="eastAsia"/>
          <w:sz w:val="24"/>
          <w:highlight w:val="none"/>
        </w:rPr>
        <w:t>“投标联合体”</w:t>
      </w:r>
      <w:r>
        <w:rPr>
          <w:rFonts w:hint="eastAsia"/>
          <w:sz w:val="24"/>
          <w:highlight w:val="none"/>
          <w:lang w:val="en-US"/>
        </w:rPr>
        <w:t xml:space="preserve">是指两个及以上供应商组成联合体，以一个投标人的身份参加投标。 </w:t>
      </w:r>
    </w:p>
    <w:p>
      <w:pPr>
        <w:pStyle w:val="112"/>
        <w:tabs>
          <w:tab w:val="left" w:pos="1060"/>
        </w:tabs>
        <w:spacing w:line="360" w:lineRule="auto"/>
        <w:ind w:left="0" w:firstLineChars="200"/>
        <w:jc w:val="left"/>
        <w:rPr>
          <w:rFonts w:hint="eastAsia"/>
          <w:sz w:val="24"/>
          <w:highlight w:val="none"/>
        </w:rPr>
      </w:pPr>
      <w:r>
        <w:rPr>
          <w:rFonts w:hint="eastAsia"/>
          <w:sz w:val="24"/>
          <w:highlight w:val="none"/>
          <w:lang w:val="en-US"/>
        </w:rPr>
        <w:t>7、</w:t>
      </w:r>
      <w:r>
        <w:rPr>
          <w:rFonts w:hint="eastAsia"/>
          <w:spacing w:val="-1"/>
          <w:sz w:val="24"/>
          <w:highlight w:val="none"/>
        </w:rPr>
        <w:t>“产品”</w:t>
      </w:r>
      <w:r>
        <w:rPr>
          <w:rFonts w:hint="eastAsia"/>
          <w:spacing w:val="-1"/>
          <w:sz w:val="24"/>
          <w:highlight w:val="none"/>
          <w:lang w:val="en-US"/>
        </w:rPr>
        <w:t>是</w:t>
      </w:r>
      <w:r>
        <w:rPr>
          <w:rFonts w:hint="eastAsia"/>
          <w:spacing w:val="-1"/>
          <w:sz w:val="24"/>
          <w:highlight w:val="none"/>
        </w:rPr>
        <w:t>指</w:t>
      </w:r>
      <w:r>
        <w:rPr>
          <w:rFonts w:hint="eastAsia"/>
          <w:spacing w:val="-1"/>
          <w:sz w:val="24"/>
          <w:highlight w:val="none"/>
          <w:lang w:val="en-US"/>
        </w:rPr>
        <w:t>投标人</w:t>
      </w:r>
      <w:r>
        <w:rPr>
          <w:rFonts w:hint="eastAsia"/>
          <w:spacing w:val="-1"/>
          <w:sz w:val="24"/>
          <w:highlight w:val="none"/>
        </w:rPr>
        <w:t>按招标文</w:t>
      </w:r>
      <w:r>
        <w:rPr>
          <w:rFonts w:hint="eastAsia"/>
          <w:sz w:val="24"/>
          <w:szCs w:val="20"/>
          <w:highlight w:val="none"/>
          <w:lang w:val="en-US" w:bidi="ar-SA"/>
        </w:rPr>
        <w:t>件规定，须向采购人提供符合采购人要求的（第四章招标需求中要求提供的）货物、保险、税金、备品备件、工具、手册及其它有关技术资料和材料。</w:t>
      </w:r>
    </w:p>
    <w:p>
      <w:pPr>
        <w:pStyle w:val="24"/>
        <w:spacing w:line="360" w:lineRule="auto"/>
        <w:ind w:firstLine="480" w:firstLineChars="200"/>
        <w:rPr>
          <w:rFonts w:hint="eastAsia" w:hAnsi="宋体" w:cs="宋体"/>
          <w:sz w:val="24"/>
          <w:highlight w:val="none"/>
        </w:rPr>
      </w:pPr>
      <w:r>
        <w:rPr>
          <w:rFonts w:hint="eastAsia" w:hAnsi="宋体" w:cs="宋体"/>
          <w:sz w:val="24"/>
          <w:highlight w:val="none"/>
        </w:rPr>
        <w:t>8、“服务”是指招标文件规定投标人须承担的</w:t>
      </w:r>
      <w:r>
        <w:rPr>
          <w:rFonts w:hint="eastAsia" w:cs="宋体"/>
          <w:sz w:val="24"/>
          <w:highlight w:val="none"/>
        </w:rPr>
        <w:t>（第四章招标需求中要求提供的）</w:t>
      </w:r>
      <w:r>
        <w:rPr>
          <w:rFonts w:hint="eastAsia" w:hAnsi="宋体" w:cs="宋体"/>
          <w:sz w:val="24"/>
          <w:highlight w:val="none"/>
        </w:rPr>
        <w:t>服务以及其他类似的义务。</w:t>
      </w:r>
    </w:p>
    <w:p>
      <w:pPr>
        <w:pStyle w:val="112"/>
        <w:tabs>
          <w:tab w:val="left" w:pos="1060"/>
        </w:tabs>
        <w:spacing w:line="360" w:lineRule="auto"/>
        <w:ind w:left="0" w:firstLineChars="200"/>
        <w:jc w:val="left"/>
        <w:rPr>
          <w:rFonts w:hint="eastAsia"/>
          <w:sz w:val="24"/>
          <w:highlight w:val="none"/>
        </w:rPr>
      </w:pPr>
      <w:r>
        <w:rPr>
          <w:rFonts w:hint="eastAsia"/>
          <w:sz w:val="24"/>
          <w:highlight w:val="none"/>
          <w:lang w:val="en-US"/>
        </w:rPr>
        <w:t>9、</w:t>
      </w:r>
      <w:r>
        <w:rPr>
          <w:rFonts w:hint="eastAsia"/>
          <w:sz w:val="23"/>
          <w:szCs w:val="23"/>
          <w:highlight w:val="none"/>
        </w:rPr>
        <w:t>“</w:t>
      </w:r>
      <w:r>
        <w:rPr>
          <w:rFonts w:hint="eastAsia"/>
          <w:spacing w:val="-1"/>
          <w:sz w:val="24"/>
          <w:highlight w:val="none"/>
        </w:rPr>
        <w:t>项目</w:t>
      </w:r>
      <w:r>
        <w:rPr>
          <w:rFonts w:hint="eastAsia"/>
          <w:sz w:val="23"/>
          <w:szCs w:val="23"/>
          <w:highlight w:val="none"/>
        </w:rPr>
        <w:t>”</w:t>
      </w:r>
      <w:r>
        <w:rPr>
          <w:rFonts w:hint="eastAsia"/>
          <w:sz w:val="24"/>
          <w:highlight w:val="none"/>
          <w:lang w:val="en-US"/>
        </w:rPr>
        <w:t>是</w:t>
      </w:r>
      <w:r>
        <w:rPr>
          <w:rFonts w:hint="eastAsia"/>
          <w:sz w:val="24"/>
          <w:highlight w:val="none"/>
        </w:rPr>
        <w:t>指投标人按招标文件规定向采购人提供的产品和服务。</w:t>
      </w:r>
    </w:p>
    <w:p>
      <w:pPr>
        <w:pStyle w:val="24"/>
        <w:spacing w:line="360" w:lineRule="auto"/>
        <w:ind w:firstLine="480" w:firstLineChars="200"/>
        <w:rPr>
          <w:rFonts w:hint="eastAsia" w:hAnsi="宋体" w:cs="宋体"/>
          <w:sz w:val="24"/>
          <w:highlight w:val="none"/>
        </w:rPr>
      </w:pPr>
      <w:r>
        <w:rPr>
          <w:rFonts w:hint="eastAsia" w:hAnsi="宋体" w:cs="宋体"/>
          <w:sz w:val="24"/>
          <w:highlight w:val="none"/>
        </w:rPr>
        <w:t>10、“书面形式”包括信函、传真、电子邮件等。</w:t>
      </w:r>
    </w:p>
    <w:p>
      <w:pPr>
        <w:pStyle w:val="24"/>
        <w:spacing w:line="360" w:lineRule="auto"/>
        <w:ind w:firstLine="480" w:firstLineChars="200"/>
        <w:rPr>
          <w:rFonts w:hint="eastAsia" w:hAnsi="宋体" w:cs="宋体"/>
          <w:sz w:val="24"/>
          <w:highlight w:val="none"/>
        </w:rPr>
      </w:pPr>
      <w:r>
        <w:rPr>
          <w:rFonts w:hint="eastAsia" w:hAnsi="宋体" w:cs="宋体"/>
          <w:sz w:val="24"/>
          <w:highlight w:val="none"/>
        </w:rPr>
        <w:t>11、“★”系指实质性要求条款。实质性要求条款投标人必须满足，否则为无效投标。</w:t>
      </w:r>
    </w:p>
    <w:p>
      <w:pPr>
        <w:pStyle w:val="24"/>
        <w:spacing w:line="360" w:lineRule="auto"/>
        <w:ind w:firstLine="480" w:firstLineChars="200"/>
        <w:rPr>
          <w:rFonts w:hint="eastAsia" w:hAnsi="宋体" w:cs="宋体"/>
          <w:sz w:val="24"/>
          <w:highlight w:val="none"/>
        </w:rPr>
      </w:pPr>
      <w:r>
        <w:rPr>
          <w:rFonts w:hint="eastAsia" w:hAnsi="宋体" w:cs="宋体"/>
          <w:sz w:val="24"/>
          <w:highlight w:val="none"/>
        </w:rPr>
        <w:t>12、“同级采购监管部门”是指金华市财政局政府采购监管处。</w:t>
      </w:r>
    </w:p>
    <w:p>
      <w:pPr>
        <w:pStyle w:val="24"/>
        <w:spacing w:line="360" w:lineRule="auto"/>
        <w:ind w:firstLine="482" w:firstLineChars="200"/>
        <w:rPr>
          <w:rFonts w:hint="eastAsia" w:hAnsi="宋体" w:cs="宋体"/>
          <w:b/>
          <w:bCs/>
          <w:sz w:val="24"/>
          <w:highlight w:val="none"/>
        </w:rPr>
      </w:pPr>
      <w:r>
        <w:rPr>
          <w:rFonts w:hint="eastAsia" w:hAnsi="宋体" w:cs="宋体"/>
          <w:b/>
          <w:bCs/>
          <w:sz w:val="24"/>
          <w:highlight w:val="none"/>
        </w:rPr>
        <w:t>（三）招标方式</w:t>
      </w:r>
    </w:p>
    <w:p>
      <w:pPr>
        <w:pStyle w:val="24"/>
        <w:spacing w:line="360" w:lineRule="auto"/>
        <w:ind w:firstLine="480" w:firstLineChars="200"/>
        <w:rPr>
          <w:rFonts w:hint="eastAsia" w:hAnsi="宋体" w:cs="宋体"/>
          <w:sz w:val="24"/>
          <w:highlight w:val="none"/>
        </w:rPr>
      </w:pPr>
      <w:r>
        <w:rPr>
          <w:rFonts w:hint="eastAsia" w:hAnsi="宋体" w:cs="宋体"/>
          <w:sz w:val="24"/>
          <w:highlight w:val="none"/>
        </w:rPr>
        <w:t>本次招标采用公开招标方式进行。</w:t>
      </w:r>
    </w:p>
    <w:p>
      <w:pPr>
        <w:pStyle w:val="24"/>
        <w:spacing w:line="360" w:lineRule="auto"/>
        <w:ind w:firstLine="482" w:firstLineChars="200"/>
        <w:rPr>
          <w:rFonts w:hint="eastAsia" w:hAnsi="宋体" w:cs="宋体"/>
          <w:b/>
          <w:bCs/>
          <w:sz w:val="24"/>
          <w:highlight w:val="none"/>
        </w:rPr>
      </w:pPr>
      <w:r>
        <w:rPr>
          <w:rFonts w:hint="eastAsia" w:hAnsi="宋体" w:cs="宋体"/>
          <w:b/>
          <w:bCs/>
          <w:sz w:val="24"/>
          <w:highlight w:val="none"/>
        </w:rPr>
        <w:t>（四）投标委托</w:t>
      </w:r>
    </w:p>
    <w:p>
      <w:pPr>
        <w:pStyle w:val="24"/>
        <w:spacing w:line="360" w:lineRule="auto"/>
        <w:ind w:firstLine="480" w:firstLineChars="200"/>
        <w:rPr>
          <w:rFonts w:hint="eastAsia" w:hAnsi="宋体" w:cs="宋体"/>
          <w:sz w:val="24"/>
          <w:highlight w:val="none"/>
        </w:rPr>
      </w:pPr>
      <w:r>
        <w:rPr>
          <w:rFonts w:hint="eastAsia" w:hAnsi="宋体" w:cs="宋体"/>
          <w:sz w:val="24"/>
          <w:highlight w:val="none"/>
        </w:rPr>
        <w:t xml:space="preserve">如投标人代表不是法定代表人（负责人），须具有法定代表人（负责人）出具的授权委托书。 </w:t>
      </w:r>
    </w:p>
    <w:p>
      <w:pPr>
        <w:pStyle w:val="24"/>
        <w:spacing w:line="360" w:lineRule="auto"/>
        <w:ind w:firstLine="482" w:firstLineChars="200"/>
        <w:rPr>
          <w:rFonts w:hint="eastAsia" w:hAnsi="宋体" w:cs="宋体"/>
          <w:b/>
          <w:bCs/>
          <w:sz w:val="24"/>
          <w:highlight w:val="none"/>
        </w:rPr>
      </w:pPr>
      <w:r>
        <w:rPr>
          <w:rFonts w:hint="eastAsia" w:hAnsi="宋体" w:cs="宋体"/>
          <w:b/>
          <w:bCs/>
          <w:sz w:val="24"/>
          <w:highlight w:val="none"/>
        </w:rPr>
        <w:t>（五）投标费用</w:t>
      </w:r>
    </w:p>
    <w:p>
      <w:pPr>
        <w:pStyle w:val="24"/>
        <w:spacing w:line="360" w:lineRule="auto"/>
        <w:ind w:firstLine="480" w:firstLineChars="200"/>
        <w:rPr>
          <w:rFonts w:hint="eastAsia" w:hAnsi="宋体" w:cs="宋体"/>
          <w:sz w:val="24"/>
          <w:highlight w:val="none"/>
        </w:rPr>
      </w:pPr>
      <w:r>
        <w:rPr>
          <w:rFonts w:hint="eastAsia" w:hAnsi="宋体" w:cs="宋体"/>
          <w:sz w:val="24"/>
          <w:highlight w:val="none"/>
        </w:rPr>
        <w:t>无论招投标过程中的做法和结果如何，投标人自行承担招投标活动中所发生的全部费用。</w:t>
      </w:r>
    </w:p>
    <w:p>
      <w:pPr>
        <w:pStyle w:val="24"/>
        <w:spacing w:line="360" w:lineRule="auto"/>
        <w:ind w:firstLine="482" w:firstLineChars="200"/>
        <w:rPr>
          <w:rFonts w:hint="eastAsia" w:hAnsi="宋体" w:cs="宋体"/>
          <w:b/>
          <w:bCs/>
          <w:sz w:val="24"/>
          <w:highlight w:val="none"/>
        </w:rPr>
      </w:pPr>
      <w:r>
        <w:rPr>
          <w:rFonts w:hint="eastAsia" w:hAnsi="宋体" w:cs="宋体"/>
          <w:b/>
          <w:bCs/>
          <w:sz w:val="24"/>
          <w:highlight w:val="none"/>
        </w:rPr>
        <w:t>（六）联合体投标</w:t>
      </w:r>
    </w:p>
    <w:p>
      <w:pPr>
        <w:pStyle w:val="24"/>
        <w:spacing w:line="360" w:lineRule="auto"/>
        <w:ind w:firstLine="480" w:firstLineChars="200"/>
        <w:rPr>
          <w:rFonts w:hint="eastAsia" w:hAnsi="宋体" w:cs="宋体"/>
          <w:sz w:val="24"/>
          <w:highlight w:val="none"/>
        </w:rPr>
      </w:pPr>
      <w:r>
        <w:rPr>
          <w:rFonts w:hint="eastAsia" w:hAnsi="宋体" w:cs="宋体"/>
          <w:sz w:val="24"/>
          <w:highlight w:val="none"/>
        </w:rPr>
        <w:t>本项目接受联合体投标。</w:t>
      </w:r>
    </w:p>
    <w:p>
      <w:pPr>
        <w:pStyle w:val="24"/>
        <w:spacing w:line="360" w:lineRule="auto"/>
        <w:ind w:firstLine="482" w:firstLineChars="200"/>
        <w:rPr>
          <w:rFonts w:hint="eastAsia" w:hAnsi="宋体" w:cs="宋体"/>
          <w:b/>
          <w:bCs/>
          <w:sz w:val="24"/>
          <w:highlight w:val="none"/>
        </w:rPr>
      </w:pPr>
      <w:r>
        <w:rPr>
          <w:rFonts w:hint="eastAsia" w:hAnsi="宋体" w:cs="宋体"/>
          <w:b/>
          <w:bCs/>
          <w:sz w:val="24"/>
          <w:highlight w:val="none"/>
        </w:rPr>
        <w:t>（七）转包与分包</w:t>
      </w:r>
    </w:p>
    <w:p>
      <w:pPr>
        <w:pStyle w:val="24"/>
        <w:spacing w:line="360" w:lineRule="auto"/>
        <w:ind w:firstLine="480" w:firstLineChars="200"/>
        <w:rPr>
          <w:rFonts w:hAnsi="宋体" w:cs="宋体"/>
          <w:sz w:val="24"/>
          <w:highlight w:val="none"/>
        </w:rPr>
      </w:pPr>
      <w:r>
        <w:rPr>
          <w:rFonts w:hint="eastAsia" w:hAnsi="宋体" w:cs="宋体"/>
          <w:sz w:val="24"/>
          <w:highlight w:val="none"/>
        </w:rPr>
        <w:t>1、本项目不允许转包。</w:t>
      </w:r>
    </w:p>
    <w:p>
      <w:pPr>
        <w:pStyle w:val="24"/>
        <w:spacing w:line="360" w:lineRule="auto"/>
        <w:ind w:firstLine="480" w:firstLineChars="200"/>
        <w:rPr>
          <w:rFonts w:hAnsi="宋体" w:cs="宋体"/>
          <w:sz w:val="24"/>
          <w:highlight w:val="none"/>
        </w:rPr>
      </w:pPr>
      <w:r>
        <w:rPr>
          <w:rFonts w:hint="eastAsia" w:hAnsi="宋体" w:cs="宋体"/>
          <w:sz w:val="24"/>
          <w:highlight w:val="none"/>
        </w:rPr>
        <w:t>2、本项目不可以分包。</w:t>
      </w:r>
    </w:p>
    <w:p>
      <w:pPr>
        <w:pStyle w:val="24"/>
        <w:spacing w:line="360" w:lineRule="auto"/>
        <w:ind w:firstLine="482" w:firstLineChars="200"/>
        <w:rPr>
          <w:rFonts w:hint="eastAsia" w:hAnsi="宋体" w:cs="宋体"/>
          <w:b/>
          <w:bCs/>
          <w:sz w:val="24"/>
          <w:highlight w:val="none"/>
        </w:rPr>
      </w:pPr>
      <w:r>
        <w:rPr>
          <w:rFonts w:hint="eastAsia" w:hAnsi="宋体" w:cs="宋体"/>
          <w:b/>
          <w:bCs/>
          <w:sz w:val="24"/>
          <w:highlight w:val="none"/>
        </w:rPr>
        <w:t>（八）踏勘现场</w:t>
      </w:r>
    </w:p>
    <w:p>
      <w:pPr>
        <w:pStyle w:val="24"/>
        <w:spacing w:line="360" w:lineRule="auto"/>
        <w:ind w:firstLine="480" w:firstLineChars="200"/>
        <w:rPr>
          <w:rFonts w:hAnsi="宋体" w:cs="宋体"/>
          <w:sz w:val="24"/>
          <w:highlight w:val="none"/>
        </w:rPr>
      </w:pPr>
      <w:r>
        <w:rPr>
          <w:rFonts w:hint="eastAsia" w:hAnsi="宋体" w:cs="宋体"/>
          <w:sz w:val="24"/>
          <w:highlight w:val="none"/>
        </w:rPr>
        <w:t>本项目不</w:t>
      </w:r>
      <w:r>
        <w:rPr>
          <w:rFonts w:hAnsi="宋体" w:cs="宋体"/>
          <w:sz w:val="24"/>
          <w:highlight w:val="none"/>
        </w:rPr>
        <w:t>组织踏勘现场。</w:t>
      </w:r>
    </w:p>
    <w:p>
      <w:pPr>
        <w:pStyle w:val="24"/>
        <w:spacing w:line="360" w:lineRule="auto"/>
        <w:ind w:firstLine="482" w:firstLineChars="200"/>
        <w:rPr>
          <w:rFonts w:hint="eastAsia" w:hAnsi="宋体" w:cs="宋体"/>
          <w:b/>
          <w:bCs/>
          <w:sz w:val="24"/>
          <w:highlight w:val="none"/>
        </w:rPr>
      </w:pPr>
      <w:r>
        <w:rPr>
          <w:rFonts w:hint="eastAsia" w:hAnsi="宋体" w:cs="宋体"/>
          <w:b/>
          <w:bCs/>
          <w:sz w:val="24"/>
          <w:highlight w:val="none"/>
        </w:rPr>
        <w:t>（九）答疑会</w:t>
      </w:r>
    </w:p>
    <w:p>
      <w:pPr>
        <w:pStyle w:val="24"/>
        <w:spacing w:line="360" w:lineRule="auto"/>
        <w:ind w:firstLine="480" w:firstLineChars="200"/>
        <w:rPr>
          <w:rFonts w:hAnsi="宋体" w:cs="宋体"/>
          <w:sz w:val="24"/>
          <w:highlight w:val="none"/>
        </w:rPr>
      </w:pPr>
      <w:r>
        <w:rPr>
          <w:rFonts w:hint="eastAsia" w:hAnsi="宋体" w:cs="宋体"/>
          <w:sz w:val="24"/>
          <w:highlight w:val="none"/>
        </w:rPr>
        <w:t>本项目不召开答疑会的。</w:t>
      </w:r>
    </w:p>
    <w:p>
      <w:pPr>
        <w:pStyle w:val="24"/>
        <w:spacing w:line="360" w:lineRule="auto"/>
        <w:ind w:firstLine="482" w:firstLineChars="200"/>
        <w:rPr>
          <w:rFonts w:hint="eastAsia" w:hAnsi="宋体" w:cs="宋体"/>
          <w:b/>
          <w:bCs/>
          <w:sz w:val="24"/>
          <w:highlight w:val="none"/>
        </w:rPr>
      </w:pPr>
      <w:r>
        <w:rPr>
          <w:rFonts w:hint="eastAsia" w:hAnsi="宋体" w:cs="宋体"/>
          <w:b/>
          <w:bCs/>
          <w:sz w:val="24"/>
          <w:highlight w:val="none"/>
        </w:rPr>
        <w:t>（十）特别说明</w:t>
      </w:r>
    </w:p>
    <w:p>
      <w:pPr>
        <w:pStyle w:val="24"/>
        <w:spacing w:line="360" w:lineRule="auto"/>
        <w:ind w:firstLine="480" w:firstLineChars="200"/>
        <w:rPr>
          <w:rFonts w:hAnsi="宋体" w:cs="宋体"/>
          <w:sz w:val="24"/>
          <w:highlight w:val="none"/>
        </w:rPr>
      </w:pPr>
      <w:r>
        <w:rPr>
          <w:rFonts w:hint="eastAsia" w:hAnsi="宋体" w:cs="宋体"/>
          <w:sz w:val="24"/>
          <w:highlight w:val="none"/>
        </w:rPr>
        <w:t xml:space="preserve">1、参与招标投标活动的各方应对招标文件和投标文件中的商业和技术等秘密保密，违者应对此造成的后果承担法律责任。 </w:t>
      </w:r>
    </w:p>
    <w:p>
      <w:pPr>
        <w:pStyle w:val="24"/>
        <w:spacing w:line="360" w:lineRule="auto"/>
        <w:ind w:firstLine="480" w:firstLineChars="200"/>
        <w:rPr>
          <w:rFonts w:hint="eastAsia" w:hAnsi="宋体" w:cs="宋体"/>
          <w:sz w:val="24"/>
          <w:highlight w:val="none"/>
        </w:rPr>
      </w:pPr>
      <w:r>
        <w:rPr>
          <w:rFonts w:hint="eastAsia" w:hAnsi="宋体" w:cs="宋体"/>
          <w:sz w:val="24"/>
          <w:highlight w:val="none"/>
        </w:rPr>
        <w:t>2、投标人投标所使用的资格、信誉、荣誉、业绩与企业认证必须为本法人所拥有。投标人投标所使用的采购项目实施人员必须为本法人单位员工（或必须为本法人或控股公司正式员工，以社保证明为准）。</w:t>
      </w:r>
    </w:p>
    <w:p>
      <w:pPr>
        <w:pStyle w:val="24"/>
        <w:spacing w:line="360" w:lineRule="auto"/>
        <w:ind w:firstLine="480" w:firstLineChars="200"/>
        <w:rPr>
          <w:rFonts w:hint="eastAsia" w:hAnsi="宋体" w:cs="宋体"/>
          <w:sz w:val="24"/>
          <w:highlight w:val="none"/>
        </w:rPr>
      </w:pPr>
      <w:r>
        <w:rPr>
          <w:rFonts w:hint="eastAsia" w:hAnsi="宋体" w:cs="宋体"/>
          <w:sz w:val="24"/>
          <w:highlight w:val="none"/>
        </w:rPr>
        <w:t>3、投标人应仔细阅读招标文件的所有内容，按照招标文件的要求提交投标文件，并对所提供的全部资料的真实性承担法律责任。</w:t>
      </w:r>
    </w:p>
    <w:p>
      <w:pPr>
        <w:pStyle w:val="24"/>
        <w:spacing w:line="360" w:lineRule="auto"/>
        <w:ind w:firstLine="480" w:firstLineChars="200"/>
        <w:rPr>
          <w:rFonts w:hint="eastAsia" w:hAnsi="宋体" w:cs="宋体"/>
          <w:sz w:val="24"/>
          <w:highlight w:val="none"/>
        </w:rPr>
      </w:pPr>
      <w:r>
        <w:rPr>
          <w:rFonts w:hint="eastAsia" w:hAnsi="宋体" w:cs="宋体"/>
          <w:sz w:val="24"/>
          <w:highlight w:val="none"/>
        </w:rPr>
        <w:t>4、投标人在投标活动中提供任何虚假材料,其投标无效，并报监管部门查处；中标后发现的，中标供应商须依照 《中华人民共和国消费者权益保护法》规定双倍赔偿采购人，且民事赔偿并不免除违法投标人的行政与刑事责任。</w:t>
      </w:r>
    </w:p>
    <w:p>
      <w:pPr>
        <w:pStyle w:val="24"/>
        <w:spacing w:line="360" w:lineRule="auto"/>
        <w:ind w:firstLine="480" w:firstLineChars="200"/>
        <w:rPr>
          <w:rFonts w:hint="eastAsia" w:hAnsi="宋体" w:cs="宋体"/>
          <w:sz w:val="24"/>
          <w:highlight w:val="none"/>
        </w:rPr>
      </w:pPr>
      <w:r>
        <w:rPr>
          <w:rFonts w:hint="eastAsia" w:hAnsi="宋体" w:cs="宋体"/>
          <w:sz w:val="24"/>
          <w:highlight w:val="none"/>
        </w:rPr>
        <w:t>5、单位负责人为同一人或者存在直接控股、管理关系的不同投标人，不得参加同一合同项下的政府采购活动。</w:t>
      </w:r>
    </w:p>
    <w:p>
      <w:pPr>
        <w:pStyle w:val="24"/>
        <w:spacing w:line="360" w:lineRule="auto"/>
        <w:ind w:firstLine="480" w:firstLineChars="200"/>
        <w:rPr>
          <w:rFonts w:hint="eastAsia" w:hAnsi="宋体" w:cs="宋体"/>
          <w:sz w:val="24"/>
          <w:highlight w:val="none"/>
        </w:rPr>
      </w:pPr>
      <w:r>
        <w:rPr>
          <w:rFonts w:hint="eastAsia" w:hAnsi="宋体" w:cs="宋体"/>
          <w:sz w:val="24"/>
          <w:highlight w:val="none"/>
        </w:rPr>
        <w:t>6、本次招标采取开标后资格审查。采购人或采购代理机构不保证所有报名的投标人都符合投标人资格要求。</w:t>
      </w:r>
    </w:p>
    <w:p>
      <w:pPr>
        <w:pStyle w:val="24"/>
        <w:spacing w:line="360" w:lineRule="auto"/>
        <w:ind w:firstLine="480" w:firstLineChars="200"/>
        <w:rPr>
          <w:rFonts w:hint="eastAsia" w:hAnsi="宋体" w:cs="宋体"/>
          <w:sz w:val="24"/>
          <w:highlight w:val="none"/>
        </w:rPr>
      </w:pPr>
      <w:r>
        <w:rPr>
          <w:rFonts w:hint="eastAsia" w:hAnsi="宋体" w:cs="宋体"/>
          <w:sz w:val="24"/>
          <w:highlight w:val="none"/>
        </w:rPr>
        <w:t>7、货物类项目根据《政府采购货物和服务招标投标管理办法》（财政部令第87号）第三十一条：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服务类项目不设置核心产品。</w:t>
      </w:r>
    </w:p>
    <w:p>
      <w:pPr>
        <w:pStyle w:val="24"/>
        <w:spacing w:line="360" w:lineRule="auto"/>
        <w:ind w:firstLine="480" w:firstLineChars="200"/>
        <w:rPr>
          <w:rFonts w:hint="eastAsia" w:hAnsi="宋体" w:cs="仿宋"/>
          <w:sz w:val="24"/>
          <w:highlight w:val="none"/>
        </w:rPr>
      </w:pPr>
      <w:r>
        <w:rPr>
          <w:rFonts w:hint="eastAsia" w:hAnsi="宋体" w:cs="宋体"/>
          <w:sz w:val="24"/>
          <w:highlight w:val="none"/>
        </w:rPr>
        <w:t>★</w:t>
      </w:r>
      <w:r>
        <w:rPr>
          <w:rFonts w:hint="eastAsia" w:hAnsi="宋体" w:cs="仿宋"/>
          <w:sz w:val="24"/>
          <w:highlight w:val="none"/>
        </w:rPr>
        <w:t>8、响应供应商对所投标项内的采购内容必须全部进行响应，否则按无效响应处理。</w:t>
      </w:r>
    </w:p>
    <w:p>
      <w:pPr>
        <w:pStyle w:val="24"/>
        <w:spacing w:line="360" w:lineRule="auto"/>
        <w:ind w:firstLine="480" w:firstLineChars="200"/>
        <w:rPr>
          <w:rFonts w:hint="eastAsia" w:hAnsi="宋体" w:cs="仿宋"/>
          <w:sz w:val="24"/>
          <w:highlight w:val="none"/>
        </w:rPr>
      </w:pPr>
      <w:r>
        <w:rPr>
          <w:rFonts w:hint="eastAsia" w:hAnsi="宋体" w:cs="仿宋"/>
          <w:sz w:val="24"/>
          <w:highlight w:val="none"/>
        </w:rPr>
        <w:t>9、招标文件中如有出现“产品品牌或型号”等内容，均为代替部分技术指标描述或对采购需求产品所要求达到的质量、性能以及应有的技术标准做进一步的说明之用，欢迎投标人提供档次、性能要求不低于或优于招标文件要求的的其他品牌型号产品参与投标。</w:t>
      </w:r>
    </w:p>
    <w:p>
      <w:pPr>
        <w:pStyle w:val="24"/>
        <w:spacing w:line="360" w:lineRule="auto"/>
        <w:ind w:firstLine="480" w:firstLineChars="200"/>
        <w:rPr>
          <w:rFonts w:hint="eastAsia" w:hAnsi="宋体" w:cs="仿宋"/>
          <w:sz w:val="24"/>
          <w:highlight w:val="none"/>
        </w:rPr>
      </w:pPr>
      <w:r>
        <w:rPr>
          <w:rFonts w:hint="eastAsia" w:hAnsi="宋体" w:cs="仿宋"/>
          <w:sz w:val="24"/>
          <w:highlight w:val="none"/>
        </w:rPr>
        <w:t xml:space="preserve">10、招标文件中如有描述歧义或前后不一致的地方，评标委员会有权按公平、合理的原则进行 评判，但对同一条款的评判适用于每个投标人。 </w:t>
      </w:r>
    </w:p>
    <w:p>
      <w:pPr>
        <w:pStyle w:val="24"/>
        <w:spacing w:line="360" w:lineRule="auto"/>
        <w:ind w:firstLine="480" w:firstLineChars="200"/>
        <w:rPr>
          <w:rFonts w:hint="eastAsia" w:hAnsi="宋体" w:cs="仿宋"/>
          <w:sz w:val="24"/>
          <w:highlight w:val="none"/>
        </w:rPr>
      </w:pPr>
      <w:r>
        <w:rPr>
          <w:rFonts w:hint="eastAsia" w:hAnsi="宋体" w:cs="仿宋"/>
          <w:sz w:val="24"/>
          <w:highlight w:val="none"/>
        </w:rPr>
        <w:t>11、投标文件的响应内容必须真实、明确、准确。否则，评标委员会将对其作出不利的评审。</w:t>
      </w:r>
    </w:p>
    <w:p>
      <w:pPr>
        <w:pStyle w:val="24"/>
        <w:spacing w:line="360" w:lineRule="auto"/>
        <w:ind w:firstLine="480" w:firstLineChars="200"/>
        <w:rPr>
          <w:rFonts w:hint="eastAsia" w:hAnsi="宋体" w:cs="仿宋"/>
          <w:sz w:val="24"/>
          <w:highlight w:val="none"/>
        </w:rPr>
      </w:pPr>
      <w:r>
        <w:rPr>
          <w:rFonts w:hint="eastAsia" w:hAnsi="宋体" w:cs="仿宋"/>
          <w:sz w:val="24"/>
          <w:highlight w:val="none"/>
        </w:rPr>
        <w:t>12、中标人为履行合同引起的相关人员的差旅费、食宿费以及其它费用由中标人自理。合同实施过程中，须与采购人积极配合。</w:t>
      </w:r>
    </w:p>
    <w:p>
      <w:pPr>
        <w:pStyle w:val="24"/>
        <w:spacing w:line="360" w:lineRule="auto"/>
        <w:ind w:firstLine="480" w:firstLineChars="200"/>
        <w:rPr>
          <w:rFonts w:hAnsi="宋体" w:cs="仿宋"/>
          <w:sz w:val="24"/>
          <w:highlight w:val="none"/>
        </w:rPr>
      </w:pPr>
      <w:r>
        <w:rPr>
          <w:rFonts w:hint="eastAsia" w:hAnsi="宋体" w:cs="仿宋"/>
          <w:sz w:val="24"/>
          <w:highlight w:val="none"/>
        </w:rPr>
        <w:t xml:space="preserve">13、投标人须对所投产品、方案、技术、服务等拥有合法的占有、使用、收益、处分的权利， 并对涉及项目的所有内容可能侵权行为指控负责，保证不伤害采购人的利益。在法律范围内，如果出现文字、图片、商标和技术等侵权行为而造成的纠纷和产生的一切费用，采购人概不负责，由此给采购人造成损失的，投标人应承担相应后果，并负责赔偿。 </w:t>
      </w:r>
    </w:p>
    <w:p>
      <w:pPr>
        <w:pStyle w:val="24"/>
        <w:spacing w:line="360" w:lineRule="auto"/>
        <w:ind w:firstLine="480" w:firstLineChars="200"/>
        <w:rPr>
          <w:rFonts w:hint="eastAsia" w:hAnsi="宋体" w:cs="宋体"/>
          <w:sz w:val="24"/>
          <w:highlight w:val="none"/>
        </w:rPr>
      </w:pPr>
      <w:r>
        <w:rPr>
          <w:rFonts w:hint="eastAsia" w:hAnsi="宋体" w:cs="宋体"/>
          <w:sz w:val="24"/>
          <w:highlight w:val="none"/>
        </w:rPr>
        <w:t xml:space="preserve">14、投标人母公司（总机构）或者同一母公司下属的其他子公司（同一总机构下属的其他分支 机构）的人员、业绩、荣誉、知识产权、项目案例等不作为投标人的资信文件。 </w:t>
      </w:r>
    </w:p>
    <w:p>
      <w:pPr>
        <w:pStyle w:val="24"/>
        <w:spacing w:line="360" w:lineRule="auto"/>
        <w:ind w:firstLine="482" w:firstLineChars="200"/>
        <w:rPr>
          <w:rFonts w:hint="eastAsia" w:hAnsi="宋体" w:cs="宋体"/>
          <w:b/>
          <w:bCs/>
          <w:sz w:val="24"/>
          <w:highlight w:val="none"/>
        </w:rPr>
      </w:pPr>
      <w:r>
        <w:rPr>
          <w:rFonts w:hint="eastAsia" w:hAnsi="宋体" w:cs="宋体"/>
          <w:b/>
          <w:bCs/>
          <w:sz w:val="24"/>
          <w:highlight w:val="none"/>
        </w:rPr>
        <w:t>（十一）质疑和投诉</w:t>
      </w:r>
    </w:p>
    <w:p>
      <w:pPr>
        <w:pStyle w:val="24"/>
        <w:spacing w:line="360" w:lineRule="auto"/>
        <w:ind w:firstLine="480" w:firstLineChars="200"/>
        <w:rPr>
          <w:rFonts w:hint="eastAsia" w:hAnsi="宋体" w:cs="宋体"/>
          <w:sz w:val="24"/>
          <w:highlight w:val="none"/>
        </w:rPr>
      </w:pPr>
      <w:r>
        <w:rPr>
          <w:rFonts w:hint="eastAsia" w:hAnsi="宋体" w:cs="宋体"/>
          <w:sz w:val="24"/>
          <w:highlight w:val="none"/>
        </w:rPr>
        <w:t xml:space="preserve">1、投标人认为招标文件规定内容使自己的合法权益受到损害的，投标人可以以书面形式向采购代理机构提出质疑，招标文件的质疑期限为自获取招标文件之日或者招标文件公告期限届满之日（在招标文件公告期限届满后获取招标文件的，以招标文件公告期限届满之日为准）起7个工作日内，投标人应在质疑期内一次性向采购代理机构提出针对招标文件的质疑，逾期提出不予受理。 </w:t>
      </w:r>
    </w:p>
    <w:p>
      <w:pPr>
        <w:pStyle w:val="24"/>
        <w:spacing w:line="360" w:lineRule="auto"/>
        <w:ind w:firstLine="480" w:firstLineChars="200"/>
        <w:rPr>
          <w:rFonts w:hint="eastAsia" w:hAnsi="宋体" w:cs="宋体"/>
          <w:sz w:val="24"/>
          <w:highlight w:val="none"/>
        </w:rPr>
      </w:pPr>
      <w:r>
        <w:rPr>
          <w:rFonts w:hint="eastAsia" w:hAnsi="宋体" w:cs="宋体"/>
          <w:sz w:val="24"/>
          <w:highlight w:val="none"/>
        </w:rPr>
        <w:t xml:space="preserve">2、投标人认为采购过程使自己的合法权益受到损害的，投标人可以以书面形式向采购代理机构提出质疑，采购过程的质疑期限自各采购程序环节结束之日起7个工作日内，投标人应在质疑期内一次性向采购代理机构提出针对采购过程的质疑，逾期提出不予受理。 </w:t>
      </w:r>
    </w:p>
    <w:p>
      <w:pPr>
        <w:pStyle w:val="24"/>
        <w:spacing w:line="360" w:lineRule="auto"/>
        <w:ind w:firstLine="480" w:firstLineChars="200"/>
        <w:rPr>
          <w:rFonts w:hAnsi="宋体" w:cs="宋体"/>
          <w:sz w:val="24"/>
          <w:highlight w:val="none"/>
        </w:rPr>
      </w:pPr>
      <w:r>
        <w:rPr>
          <w:rFonts w:hint="eastAsia" w:hAnsi="宋体" w:cs="宋体"/>
          <w:sz w:val="24"/>
          <w:highlight w:val="none"/>
        </w:rPr>
        <w:t>3、投标人认为中标结果使自己的合法权益受到损害的，投标人可以以书面形式向采购代理机构提出质疑，中标结果的质疑期限自中标结果公告期限届满之日起7个工作日内，投标人应在质疑期内一次性向采购代理机构提出针对中标结果的质疑，逾期提出不予受理。</w:t>
      </w:r>
    </w:p>
    <w:p>
      <w:pPr>
        <w:pStyle w:val="24"/>
        <w:spacing w:line="360" w:lineRule="auto"/>
        <w:ind w:firstLine="480" w:firstLineChars="200"/>
        <w:rPr>
          <w:rFonts w:hint="eastAsia" w:hAnsi="宋体" w:cs="宋体"/>
          <w:sz w:val="24"/>
          <w:highlight w:val="none"/>
        </w:rPr>
      </w:pPr>
      <w:r>
        <w:rPr>
          <w:rFonts w:hint="eastAsia" w:hAnsi="宋体" w:cs="宋体"/>
          <w:sz w:val="24"/>
          <w:highlight w:val="none"/>
        </w:rPr>
        <w:t>4、质疑应当以书面形式提出，格式见《政府采购质疑和投诉办法》（财政部令第94号）附件范本，下载网址：浙江政府采购网(https://zfcg.czt.zj.gov.cn/)，位置：“首页-下载专区-质疑投诉模板”。投标人提出质疑应当提交质疑函和必要的证明材料。质疑函应当包括下列内容：</w:t>
      </w:r>
    </w:p>
    <w:p>
      <w:pPr>
        <w:pStyle w:val="24"/>
        <w:spacing w:line="360" w:lineRule="auto"/>
        <w:ind w:firstLine="480" w:firstLineChars="200"/>
        <w:rPr>
          <w:rFonts w:hint="eastAsia" w:hAnsi="宋体" w:cs="宋体"/>
          <w:sz w:val="24"/>
          <w:highlight w:val="none"/>
        </w:rPr>
      </w:pPr>
      <w:r>
        <w:rPr>
          <w:rFonts w:hint="eastAsia" w:hAnsi="宋体" w:cs="宋体"/>
          <w:sz w:val="24"/>
          <w:highlight w:val="none"/>
        </w:rPr>
        <w:t>a投标人的姓名或者名称、地址、邮编、联系人及联系电话；</w:t>
      </w:r>
    </w:p>
    <w:p>
      <w:pPr>
        <w:pStyle w:val="24"/>
        <w:spacing w:line="360" w:lineRule="auto"/>
        <w:ind w:firstLine="480" w:firstLineChars="200"/>
        <w:rPr>
          <w:rFonts w:hint="eastAsia" w:hAnsi="宋体" w:cs="宋体"/>
          <w:sz w:val="24"/>
          <w:highlight w:val="none"/>
        </w:rPr>
      </w:pPr>
      <w:r>
        <w:rPr>
          <w:rFonts w:hint="eastAsia" w:hAnsi="宋体" w:cs="宋体"/>
          <w:sz w:val="24"/>
          <w:highlight w:val="none"/>
        </w:rPr>
        <w:t>b质疑项目的名称、编号；</w:t>
      </w:r>
    </w:p>
    <w:p>
      <w:pPr>
        <w:pStyle w:val="24"/>
        <w:spacing w:line="360" w:lineRule="auto"/>
        <w:ind w:firstLine="480" w:firstLineChars="200"/>
        <w:rPr>
          <w:rFonts w:hint="eastAsia" w:hAnsi="宋体" w:cs="宋体"/>
          <w:sz w:val="24"/>
          <w:highlight w:val="none"/>
        </w:rPr>
      </w:pPr>
      <w:r>
        <w:rPr>
          <w:rFonts w:hint="eastAsia" w:hAnsi="宋体" w:cs="宋体"/>
          <w:sz w:val="24"/>
          <w:highlight w:val="none"/>
        </w:rPr>
        <w:t>c具体、明确的质疑事项和与质疑事项相关的请求；</w:t>
      </w:r>
    </w:p>
    <w:p>
      <w:pPr>
        <w:pStyle w:val="24"/>
        <w:spacing w:line="360" w:lineRule="auto"/>
        <w:ind w:firstLine="480" w:firstLineChars="200"/>
        <w:rPr>
          <w:rFonts w:hint="eastAsia" w:hAnsi="宋体" w:cs="宋体"/>
          <w:sz w:val="24"/>
          <w:highlight w:val="none"/>
        </w:rPr>
      </w:pPr>
      <w:r>
        <w:rPr>
          <w:rFonts w:hint="eastAsia" w:hAnsi="宋体" w:cs="宋体"/>
          <w:sz w:val="24"/>
          <w:highlight w:val="none"/>
        </w:rPr>
        <w:t>d事实依据；</w:t>
      </w:r>
    </w:p>
    <w:p>
      <w:pPr>
        <w:pStyle w:val="24"/>
        <w:spacing w:line="360" w:lineRule="auto"/>
        <w:ind w:firstLine="480" w:firstLineChars="200"/>
        <w:rPr>
          <w:rFonts w:hint="eastAsia" w:hAnsi="宋体" w:cs="宋体"/>
          <w:sz w:val="24"/>
          <w:highlight w:val="none"/>
        </w:rPr>
      </w:pPr>
      <w:r>
        <w:rPr>
          <w:rFonts w:hint="eastAsia" w:hAnsi="宋体" w:cs="宋体"/>
          <w:sz w:val="24"/>
          <w:highlight w:val="none"/>
        </w:rPr>
        <w:t>e必要的法律依据；</w:t>
      </w:r>
    </w:p>
    <w:p>
      <w:pPr>
        <w:pStyle w:val="24"/>
        <w:spacing w:line="360" w:lineRule="auto"/>
        <w:ind w:firstLine="480" w:firstLineChars="200"/>
        <w:rPr>
          <w:rFonts w:hint="eastAsia" w:hAnsi="宋体" w:cs="宋体"/>
          <w:sz w:val="24"/>
          <w:highlight w:val="none"/>
        </w:rPr>
      </w:pPr>
      <w:r>
        <w:rPr>
          <w:rFonts w:hint="eastAsia" w:hAnsi="宋体" w:cs="宋体"/>
          <w:sz w:val="24"/>
          <w:highlight w:val="none"/>
        </w:rPr>
        <w:t>f提出质疑的日期。</w:t>
      </w:r>
    </w:p>
    <w:p>
      <w:pPr>
        <w:pStyle w:val="24"/>
        <w:spacing w:line="360" w:lineRule="auto"/>
        <w:ind w:firstLine="480" w:firstLineChars="200"/>
        <w:rPr>
          <w:rFonts w:hint="eastAsia" w:hAnsi="宋体" w:cs="宋体"/>
          <w:sz w:val="24"/>
          <w:highlight w:val="none"/>
        </w:rPr>
      </w:pPr>
      <w:r>
        <w:rPr>
          <w:rFonts w:hint="eastAsia" w:hAnsi="宋体" w:cs="宋体"/>
          <w:sz w:val="24"/>
          <w:highlight w:val="none"/>
        </w:rPr>
        <w:t xml:space="preserve">5、投标人为自然人的，应当由本人签字；投标人为法人或者其他组织的，应当由法定代表人、主要负责人，或者其授权代表签字或者盖章，并加盖公章。质疑应明确阐述招标文件或采购过程或中标结果中使自己合法权益受到损害的实质性内容，提供相关事实、依据和证据及其来源或线索，便于有关单位调查、答复和处理，质疑函不符合《政府采购质疑和投诉办法》相关规定的，应在规定期限内补齐的，采购代理机构自收到补齐材料之日起受理；逾期未补齐的，按自动撤回质疑处理。采购代理机构应当在收到质疑函后7个工作日内作出答复，并以书面形式通知质疑供应商和其他有关供应商，投标人不得捏造事实、提供虚假材料或者以非法手段取得证明材料进行质疑，如为联合体投标的，质疑应由组成联合体的所有供应商共同提出。 </w:t>
      </w:r>
    </w:p>
    <w:p>
      <w:pPr>
        <w:pStyle w:val="24"/>
        <w:spacing w:line="360" w:lineRule="auto"/>
        <w:ind w:firstLine="480" w:firstLineChars="200"/>
        <w:rPr>
          <w:rFonts w:hint="eastAsia" w:hAnsi="宋体" w:cs="宋体"/>
          <w:sz w:val="24"/>
          <w:highlight w:val="none"/>
        </w:rPr>
      </w:pPr>
      <w:r>
        <w:rPr>
          <w:rFonts w:hint="eastAsia" w:hAnsi="宋体" w:cs="宋体"/>
          <w:sz w:val="24"/>
          <w:highlight w:val="none"/>
        </w:rPr>
        <w:t>6、投诉</w:t>
      </w:r>
    </w:p>
    <w:p>
      <w:pPr>
        <w:pStyle w:val="24"/>
        <w:spacing w:line="360" w:lineRule="auto"/>
        <w:ind w:firstLine="480" w:firstLineChars="200"/>
        <w:rPr>
          <w:rFonts w:hint="eastAsia" w:hAnsi="宋体" w:cs="宋体"/>
          <w:sz w:val="24"/>
          <w:highlight w:val="none"/>
        </w:rPr>
      </w:pPr>
      <w:r>
        <w:rPr>
          <w:rFonts w:hint="eastAsia" w:hAnsi="宋体" w:cs="宋体"/>
          <w:sz w:val="24"/>
          <w:highlight w:val="none"/>
        </w:rPr>
        <w:t>质疑供应商对采购代理机构的质疑答复不满意或者采购代理机构未在规定时间内作出答复的，可以在答复期满后十五个工作日内向同级采购监管部门投诉，质疑供应商投诉的事项不得超出已质疑事项的范围且质疑供应商提起投诉应当符合下列条件：</w:t>
      </w:r>
    </w:p>
    <w:p>
      <w:pPr>
        <w:pStyle w:val="24"/>
        <w:spacing w:line="360" w:lineRule="auto"/>
        <w:ind w:firstLine="480" w:firstLineChars="200"/>
        <w:rPr>
          <w:rFonts w:hint="eastAsia" w:hAnsi="宋体" w:cs="宋体"/>
          <w:sz w:val="24"/>
          <w:highlight w:val="none"/>
        </w:rPr>
      </w:pPr>
      <w:r>
        <w:rPr>
          <w:rFonts w:hint="eastAsia" w:hAnsi="宋体" w:cs="宋体"/>
          <w:sz w:val="24"/>
          <w:highlight w:val="none"/>
        </w:rPr>
        <w:t>a</w:t>
      </w:r>
      <w:r>
        <w:rPr>
          <w:rFonts w:hAnsi="宋体" w:cs="宋体"/>
          <w:sz w:val="24"/>
          <w:highlight w:val="none"/>
        </w:rPr>
        <w:t>提起投诉前已依法进行质疑；</w:t>
      </w:r>
    </w:p>
    <w:p>
      <w:pPr>
        <w:pStyle w:val="24"/>
        <w:spacing w:line="360" w:lineRule="auto"/>
        <w:ind w:firstLine="480" w:firstLineChars="200"/>
        <w:rPr>
          <w:rFonts w:hAnsi="宋体" w:cs="宋体"/>
          <w:sz w:val="24"/>
          <w:highlight w:val="none"/>
        </w:rPr>
      </w:pPr>
      <w:r>
        <w:rPr>
          <w:rFonts w:hint="eastAsia" w:hAnsi="宋体" w:cs="宋体"/>
          <w:sz w:val="24"/>
          <w:highlight w:val="none"/>
        </w:rPr>
        <w:t>b</w:t>
      </w:r>
      <w:r>
        <w:rPr>
          <w:rFonts w:hAnsi="宋体" w:cs="宋体"/>
          <w:sz w:val="24"/>
          <w:highlight w:val="none"/>
        </w:rPr>
        <w:t>投诉书内容符合</w:t>
      </w:r>
      <w:r>
        <w:rPr>
          <w:rFonts w:hint="eastAsia" w:hAnsi="宋体" w:cs="宋体"/>
          <w:sz w:val="24"/>
          <w:highlight w:val="none"/>
        </w:rPr>
        <w:t>《政府采购质疑和投诉办法》（财政部令第94号）</w:t>
      </w:r>
      <w:r>
        <w:rPr>
          <w:rFonts w:hAnsi="宋体" w:cs="宋体"/>
          <w:sz w:val="24"/>
          <w:highlight w:val="none"/>
        </w:rPr>
        <w:t>的</w:t>
      </w:r>
      <w:r>
        <w:rPr>
          <w:rFonts w:hint="eastAsia" w:hAnsi="宋体" w:cs="宋体"/>
          <w:sz w:val="24"/>
          <w:highlight w:val="none"/>
        </w:rPr>
        <w:t>相关</w:t>
      </w:r>
      <w:r>
        <w:rPr>
          <w:rFonts w:hAnsi="宋体" w:cs="宋体"/>
          <w:sz w:val="24"/>
          <w:highlight w:val="none"/>
        </w:rPr>
        <w:t>规定；</w:t>
      </w:r>
    </w:p>
    <w:p>
      <w:pPr>
        <w:pStyle w:val="24"/>
        <w:spacing w:line="360" w:lineRule="auto"/>
        <w:ind w:firstLine="480" w:firstLineChars="200"/>
        <w:rPr>
          <w:rFonts w:hAnsi="宋体" w:cs="宋体"/>
          <w:sz w:val="24"/>
          <w:highlight w:val="none"/>
        </w:rPr>
      </w:pPr>
      <w:r>
        <w:rPr>
          <w:rFonts w:hint="eastAsia" w:hAnsi="宋体" w:cs="宋体"/>
          <w:sz w:val="24"/>
          <w:highlight w:val="none"/>
        </w:rPr>
        <w:t>c</w:t>
      </w:r>
      <w:r>
        <w:rPr>
          <w:rFonts w:hAnsi="宋体" w:cs="宋体"/>
          <w:sz w:val="24"/>
          <w:highlight w:val="none"/>
        </w:rPr>
        <w:t>在投诉有效期限内提起投诉；</w:t>
      </w:r>
    </w:p>
    <w:p>
      <w:pPr>
        <w:pStyle w:val="24"/>
        <w:spacing w:line="360" w:lineRule="auto"/>
        <w:ind w:firstLine="480" w:firstLineChars="200"/>
        <w:rPr>
          <w:rFonts w:hAnsi="宋体" w:cs="宋体"/>
          <w:sz w:val="24"/>
          <w:highlight w:val="none"/>
        </w:rPr>
      </w:pPr>
      <w:r>
        <w:rPr>
          <w:rFonts w:hint="eastAsia" w:hAnsi="宋体" w:cs="宋体"/>
          <w:sz w:val="24"/>
          <w:highlight w:val="none"/>
        </w:rPr>
        <w:t>d</w:t>
      </w:r>
      <w:r>
        <w:rPr>
          <w:rFonts w:hAnsi="宋体" w:cs="宋体"/>
          <w:sz w:val="24"/>
          <w:highlight w:val="none"/>
        </w:rPr>
        <w:t>同一投诉事项未经财政部门投诉处理；</w:t>
      </w:r>
    </w:p>
    <w:p>
      <w:pPr>
        <w:pStyle w:val="24"/>
        <w:spacing w:line="360" w:lineRule="auto"/>
        <w:ind w:firstLine="480" w:firstLineChars="200"/>
        <w:rPr>
          <w:rFonts w:hint="eastAsia" w:hAnsi="宋体" w:cs="宋体"/>
          <w:sz w:val="24"/>
          <w:highlight w:val="none"/>
        </w:rPr>
      </w:pPr>
      <w:r>
        <w:rPr>
          <w:rFonts w:hint="eastAsia" w:hAnsi="宋体" w:cs="宋体"/>
          <w:sz w:val="24"/>
          <w:highlight w:val="none"/>
        </w:rPr>
        <w:t>e</w:t>
      </w:r>
      <w:r>
        <w:rPr>
          <w:rFonts w:hAnsi="宋体" w:cs="宋体"/>
          <w:sz w:val="24"/>
          <w:highlight w:val="none"/>
        </w:rPr>
        <w:t>财政部规定的其他条件。</w:t>
      </w:r>
    </w:p>
    <w:p>
      <w:pPr>
        <w:spacing w:after="156" w:afterLines="50" w:line="360" w:lineRule="auto"/>
        <w:jc w:val="center"/>
        <w:rPr>
          <w:rFonts w:hint="eastAsia" w:ascii="黑体" w:hAnsi="黑体" w:eastAsia="黑体" w:cs="黑体"/>
          <w:b/>
          <w:sz w:val="32"/>
          <w:szCs w:val="32"/>
          <w:highlight w:val="none"/>
        </w:rPr>
      </w:pPr>
      <w:r>
        <w:rPr>
          <w:rFonts w:hint="eastAsia" w:ascii="黑体" w:hAnsi="黑体" w:eastAsia="黑体" w:cs="黑体"/>
          <w:b/>
          <w:sz w:val="32"/>
          <w:szCs w:val="32"/>
          <w:highlight w:val="none"/>
        </w:rPr>
        <w:t>第二节  招标文件</w:t>
      </w:r>
      <w:bookmarkEnd w:id="20"/>
    </w:p>
    <w:p>
      <w:pPr>
        <w:pStyle w:val="24"/>
        <w:spacing w:line="360" w:lineRule="auto"/>
        <w:ind w:firstLine="482" w:firstLineChars="200"/>
        <w:rPr>
          <w:rFonts w:hint="eastAsia" w:hAnsi="宋体" w:cs="宋体"/>
          <w:b/>
          <w:bCs/>
          <w:sz w:val="24"/>
          <w:highlight w:val="none"/>
        </w:rPr>
      </w:pPr>
      <w:r>
        <w:rPr>
          <w:rFonts w:hint="eastAsia" w:hAnsi="宋体" w:cs="宋体"/>
          <w:b/>
          <w:bCs/>
          <w:sz w:val="24"/>
          <w:highlight w:val="none"/>
        </w:rPr>
        <w:t>（一）招标文件的组成</w:t>
      </w:r>
    </w:p>
    <w:p>
      <w:pPr>
        <w:pStyle w:val="24"/>
        <w:spacing w:line="360" w:lineRule="auto"/>
        <w:ind w:firstLine="480" w:firstLineChars="200"/>
        <w:rPr>
          <w:rFonts w:hint="eastAsia" w:hAnsi="宋体" w:cs="宋体"/>
          <w:b/>
          <w:bCs/>
          <w:sz w:val="24"/>
          <w:highlight w:val="none"/>
        </w:rPr>
      </w:pPr>
      <w:r>
        <w:rPr>
          <w:rFonts w:hint="eastAsia" w:hAnsi="宋体" w:cs="宋体"/>
          <w:sz w:val="24"/>
          <w:highlight w:val="none"/>
        </w:rPr>
        <w:t>1、招标文件由以下部分组成：</w:t>
      </w:r>
    </w:p>
    <w:p>
      <w:pPr>
        <w:pStyle w:val="24"/>
        <w:spacing w:line="360" w:lineRule="auto"/>
        <w:ind w:firstLine="480" w:firstLineChars="200"/>
        <w:rPr>
          <w:rFonts w:hint="eastAsia" w:hAnsi="宋体" w:cs="宋体"/>
          <w:sz w:val="24"/>
          <w:highlight w:val="none"/>
        </w:rPr>
      </w:pPr>
      <w:r>
        <w:rPr>
          <w:rFonts w:hint="eastAsia" w:hAnsi="宋体" w:cs="宋体"/>
          <w:sz w:val="24"/>
          <w:highlight w:val="none"/>
        </w:rPr>
        <w:t>第一章招标公告</w:t>
      </w:r>
    </w:p>
    <w:p>
      <w:pPr>
        <w:pStyle w:val="24"/>
        <w:spacing w:line="360" w:lineRule="auto"/>
        <w:ind w:firstLine="480" w:firstLineChars="200"/>
        <w:rPr>
          <w:rFonts w:hint="eastAsia" w:hAnsi="宋体" w:cs="宋体"/>
          <w:sz w:val="24"/>
          <w:highlight w:val="none"/>
        </w:rPr>
      </w:pPr>
      <w:r>
        <w:rPr>
          <w:rFonts w:hint="eastAsia" w:hAnsi="宋体" w:cs="宋体"/>
          <w:sz w:val="24"/>
          <w:highlight w:val="none"/>
        </w:rPr>
        <w:t>第二章投标人须知</w:t>
      </w:r>
    </w:p>
    <w:p>
      <w:pPr>
        <w:pStyle w:val="24"/>
        <w:spacing w:line="360" w:lineRule="auto"/>
        <w:ind w:firstLine="480" w:firstLineChars="200"/>
        <w:rPr>
          <w:rFonts w:hint="eastAsia" w:hAnsi="宋体" w:cs="宋体"/>
          <w:sz w:val="24"/>
          <w:highlight w:val="none"/>
        </w:rPr>
      </w:pPr>
      <w:r>
        <w:rPr>
          <w:rFonts w:hint="eastAsia" w:hAnsi="宋体" w:cs="宋体"/>
          <w:sz w:val="24"/>
          <w:highlight w:val="none"/>
        </w:rPr>
        <w:t>第三章合同范本</w:t>
      </w:r>
    </w:p>
    <w:p>
      <w:pPr>
        <w:pStyle w:val="24"/>
        <w:spacing w:line="360" w:lineRule="auto"/>
        <w:ind w:firstLine="480" w:firstLineChars="200"/>
        <w:rPr>
          <w:rFonts w:hint="eastAsia" w:hAnsi="宋体" w:cs="宋体"/>
          <w:sz w:val="24"/>
          <w:highlight w:val="none"/>
        </w:rPr>
      </w:pPr>
      <w:r>
        <w:rPr>
          <w:rFonts w:hint="eastAsia" w:hAnsi="宋体" w:cs="宋体"/>
          <w:sz w:val="24"/>
          <w:highlight w:val="none"/>
        </w:rPr>
        <w:t>第四章招标内容及需求</w:t>
      </w:r>
    </w:p>
    <w:p>
      <w:pPr>
        <w:pStyle w:val="24"/>
        <w:spacing w:line="360" w:lineRule="auto"/>
        <w:ind w:firstLine="480" w:firstLineChars="200"/>
        <w:rPr>
          <w:rFonts w:hint="eastAsia" w:hAnsi="宋体" w:cs="宋体"/>
          <w:sz w:val="24"/>
          <w:highlight w:val="none"/>
        </w:rPr>
      </w:pPr>
      <w:r>
        <w:rPr>
          <w:rFonts w:hint="eastAsia" w:hAnsi="宋体" w:cs="宋体"/>
          <w:sz w:val="24"/>
          <w:highlight w:val="none"/>
        </w:rPr>
        <w:t>第五章评标办法及评标标准</w:t>
      </w:r>
    </w:p>
    <w:p>
      <w:pPr>
        <w:pStyle w:val="24"/>
        <w:spacing w:line="360" w:lineRule="auto"/>
        <w:ind w:firstLine="480" w:firstLineChars="200"/>
        <w:rPr>
          <w:rFonts w:hint="eastAsia" w:hAnsi="宋体" w:cs="宋体"/>
          <w:sz w:val="24"/>
          <w:highlight w:val="none"/>
        </w:rPr>
      </w:pPr>
      <w:r>
        <w:rPr>
          <w:rFonts w:hint="eastAsia" w:hAnsi="宋体" w:cs="宋体"/>
          <w:sz w:val="24"/>
          <w:highlight w:val="none"/>
        </w:rPr>
        <w:t>第六章投标文件格式（部分）</w:t>
      </w:r>
    </w:p>
    <w:p>
      <w:pPr>
        <w:pStyle w:val="24"/>
        <w:spacing w:line="360" w:lineRule="auto"/>
        <w:ind w:firstLine="480" w:firstLineChars="200"/>
        <w:rPr>
          <w:rFonts w:hint="eastAsia" w:hAnsi="宋体" w:cs="宋体"/>
          <w:sz w:val="24"/>
          <w:highlight w:val="none"/>
        </w:rPr>
      </w:pPr>
      <w:r>
        <w:rPr>
          <w:rFonts w:hint="eastAsia" w:hAnsi="宋体" w:cs="宋体"/>
          <w:sz w:val="24"/>
          <w:highlight w:val="none"/>
        </w:rPr>
        <w:t>本项目招标文件的澄清、答复、修改、补充的内容（如有）</w:t>
      </w:r>
    </w:p>
    <w:p>
      <w:pPr>
        <w:pStyle w:val="24"/>
        <w:spacing w:line="360" w:lineRule="auto"/>
        <w:ind w:firstLine="480" w:firstLineChars="200"/>
        <w:rPr>
          <w:rFonts w:hint="eastAsia" w:hAnsi="宋体" w:cs="宋体"/>
          <w:sz w:val="24"/>
          <w:highlight w:val="none"/>
        </w:rPr>
      </w:pPr>
      <w:r>
        <w:rPr>
          <w:rFonts w:hint="eastAsia" w:hAnsi="宋体" w:cs="宋体"/>
          <w:sz w:val="24"/>
          <w:highlight w:val="none"/>
        </w:rPr>
        <w:t>2、本招标文件的解释权属采购人和采购代理机构。</w:t>
      </w:r>
    </w:p>
    <w:p>
      <w:pPr>
        <w:pStyle w:val="24"/>
        <w:spacing w:line="360" w:lineRule="auto"/>
        <w:ind w:firstLine="482" w:firstLineChars="200"/>
        <w:rPr>
          <w:rFonts w:hint="eastAsia" w:hAnsi="宋体" w:cs="宋体"/>
          <w:b/>
          <w:bCs/>
          <w:sz w:val="24"/>
          <w:highlight w:val="none"/>
        </w:rPr>
      </w:pPr>
      <w:r>
        <w:rPr>
          <w:rFonts w:hint="eastAsia" w:hAnsi="宋体" w:cs="宋体"/>
          <w:b/>
          <w:bCs/>
          <w:sz w:val="24"/>
          <w:highlight w:val="none"/>
        </w:rPr>
        <w:t>（二）投标人的风险</w:t>
      </w:r>
    </w:p>
    <w:p>
      <w:pPr>
        <w:pStyle w:val="24"/>
        <w:spacing w:line="360" w:lineRule="auto"/>
        <w:ind w:firstLine="480" w:firstLineChars="200"/>
        <w:rPr>
          <w:rFonts w:hint="eastAsia" w:hAnsi="宋体" w:cs="宋体"/>
          <w:sz w:val="24"/>
          <w:highlight w:val="none"/>
        </w:rPr>
      </w:pPr>
      <w:r>
        <w:rPr>
          <w:rFonts w:hint="eastAsia" w:hAnsi="宋体" w:cs="宋体"/>
          <w:sz w:val="24"/>
          <w:highlight w:val="none"/>
        </w:rPr>
        <w:t>投标人参加投标即是对本项目招标文件各项条款的认可。投标人没有按照招标文件要求提供全部资料，或者投标人没有对招标文件在各方面作出实质性响应是投标人的风险，并可能导致其投标无效或被拒绝。</w:t>
      </w:r>
    </w:p>
    <w:p>
      <w:pPr>
        <w:pStyle w:val="24"/>
        <w:spacing w:line="360" w:lineRule="auto"/>
        <w:ind w:firstLine="482" w:firstLineChars="200"/>
        <w:jc w:val="left"/>
        <w:rPr>
          <w:rFonts w:hint="eastAsia" w:hAnsi="宋体" w:cs="宋体"/>
          <w:bCs/>
          <w:sz w:val="24"/>
          <w:highlight w:val="none"/>
        </w:rPr>
      </w:pPr>
      <w:r>
        <w:rPr>
          <w:rFonts w:hint="eastAsia" w:hAnsi="宋体" w:cs="宋体"/>
          <w:b/>
          <w:bCs/>
          <w:sz w:val="24"/>
          <w:highlight w:val="none"/>
        </w:rPr>
        <w:t>（三）招标文件的澄清、修改和补充</w:t>
      </w:r>
    </w:p>
    <w:p>
      <w:pPr>
        <w:pStyle w:val="24"/>
        <w:spacing w:line="360" w:lineRule="auto"/>
        <w:ind w:firstLine="480" w:firstLineChars="200"/>
        <w:rPr>
          <w:rFonts w:hint="eastAsia" w:hAnsi="宋体" w:cs="宋体"/>
          <w:sz w:val="24"/>
          <w:highlight w:val="none"/>
        </w:rPr>
      </w:pPr>
      <w:bookmarkStart w:id="21" w:name="_Toc123628880"/>
      <w:r>
        <w:rPr>
          <w:rFonts w:hint="eastAsia" w:hAnsi="宋体" w:cs="宋体"/>
          <w:sz w:val="24"/>
          <w:highlight w:val="none"/>
        </w:rPr>
        <w:t>1、投标人应认真阅读本招标文件，发现其中有误或有不合理要求的，可自获取招标文件之日（招标文件公告期届满后获取的以公告届满之日起计）起7个工作日内且在投标截止时间前，以书面形式要求采购代理机构作出书面解释、澄清或者向采购代理机构提出书面质疑；采购代理机构将对招标文件进行必要澄清、答复、修改或补充。采购代理机构对已发出的招标文件进行必要澄清、答复、修改或补充若影响投标文件制作且距离提交投标文件截止时间不足15日时，投标截止时间将相应顺延，并在原公告网站上发布更正公告。因其他紧急情况影响本项目正常招标活动的，采购代理机构将于投标截止日期5天前在原公告网站上发布通知。各投标人应主动关注投标项目的更正公告等情况。</w:t>
      </w:r>
    </w:p>
    <w:p>
      <w:pPr>
        <w:pStyle w:val="24"/>
        <w:spacing w:line="360" w:lineRule="auto"/>
        <w:ind w:firstLine="480" w:firstLineChars="200"/>
        <w:rPr>
          <w:rFonts w:hint="eastAsia" w:hAnsi="宋体" w:cs="宋体"/>
          <w:sz w:val="24"/>
          <w:highlight w:val="none"/>
        </w:rPr>
      </w:pPr>
      <w:r>
        <w:rPr>
          <w:rFonts w:hint="eastAsia" w:hAnsi="宋体" w:cs="宋体"/>
          <w:sz w:val="24"/>
          <w:highlight w:val="none"/>
        </w:rPr>
        <w:t>2、招标文件澄清、答复、修改、补充的内容为招标文件的组成部分。当招标文件与招标文件的答复、澄清、修改、补充通知就同一内容的表述不一致时，以最后发出的内容为准。</w:t>
      </w:r>
    </w:p>
    <w:p>
      <w:pPr>
        <w:pStyle w:val="24"/>
        <w:spacing w:line="360" w:lineRule="auto"/>
        <w:ind w:firstLine="480" w:firstLineChars="200"/>
        <w:rPr>
          <w:rFonts w:hint="eastAsia" w:hAnsi="宋体" w:cs="宋体"/>
          <w:sz w:val="24"/>
          <w:highlight w:val="none"/>
        </w:rPr>
      </w:pPr>
      <w:r>
        <w:rPr>
          <w:rFonts w:hint="eastAsia" w:hAnsi="宋体" w:cs="宋体"/>
          <w:sz w:val="24"/>
          <w:highlight w:val="none"/>
        </w:rPr>
        <w:t>3、招标文件的澄清、答复、修改或补充都应该通过采购代理机构以法定形式发布，采购人非通过采购代理机构，不得擅自澄清、答复、修改或补充招标文件。</w:t>
      </w:r>
    </w:p>
    <w:p>
      <w:pPr>
        <w:pStyle w:val="24"/>
        <w:spacing w:line="360" w:lineRule="auto"/>
        <w:ind w:firstLine="480" w:firstLineChars="200"/>
        <w:rPr>
          <w:rFonts w:hint="eastAsia" w:hAnsi="宋体" w:cs="宋体"/>
          <w:sz w:val="24"/>
          <w:highlight w:val="none"/>
        </w:rPr>
      </w:pPr>
      <w:r>
        <w:rPr>
          <w:rFonts w:hint="eastAsia" w:hAnsi="宋体" w:cs="宋体"/>
          <w:sz w:val="24"/>
          <w:highlight w:val="none"/>
        </w:rPr>
        <w:t>4、采购代理机构可以视采购具体情况，延长投标截止时间和开标时间并在原公告网站上发布变更公告。</w:t>
      </w:r>
    </w:p>
    <w:p>
      <w:pPr>
        <w:spacing w:after="156" w:afterLines="50" w:line="360" w:lineRule="auto"/>
        <w:jc w:val="center"/>
        <w:rPr>
          <w:rFonts w:ascii="黑体" w:hAnsi="黑体" w:eastAsia="黑体" w:cs="黑体"/>
          <w:b/>
          <w:sz w:val="32"/>
          <w:szCs w:val="32"/>
          <w:highlight w:val="none"/>
        </w:rPr>
      </w:pPr>
      <w:r>
        <w:rPr>
          <w:rFonts w:hint="eastAsia" w:ascii="黑体" w:hAnsi="黑体" w:eastAsia="黑体" w:cs="黑体"/>
          <w:b/>
          <w:sz w:val="32"/>
          <w:szCs w:val="32"/>
          <w:highlight w:val="none"/>
        </w:rPr>
        <w:t>第三节  投标文件</w:t>
      </w:r>
      <w:bookmarkEnd w:id="21"/>
      <w:r>
        <w:rPr>
          <w:rFonts w:hint="eastAsia" w:ascii="黑体" w:hAnsi="黑体" w:eastAsia="黑体" w:cs="黑体"/>
          <w:b/>
          <w:sz w:val="32"/>
          <w:szCs w:val="32"/>
          <w:highlight w:val="none"/>
        </w:rPr>
        <w:t>的组成</w:t>
      </w:r>
    </w:p>
    <w:p>
      <w:pPr>
        <w:pStyle w:val="24"/>
        <w:spacing w:line="360" w:lineRule="auto"/>
        <w:ind w:firstLine="482" w:firstLineChars="200"/>
        <w:rPr>
          <w:rFonts w:hint="eastAsia" w:hAnsi="宋体" w:cs="宋体"/>
          <w:b/>
          <w:sz w:val="24"/>
          <w:highlight w:val="none"/>
        </w:rPr>
      </w:pPr>
      <w:r>
        <w:rPr>
          <w:rFonts w:hint="eastAsia" w:hAnsi="宋体" w:cs="宋体"/>
          <w:b/>
          <w:sz w:val="24"/>
          <w:highlight w:val="none"/>
        </w:rPr>
        <w:t>（一）投标文件的要求</w:t>
      </w:r>
    </w:p>
    <w:p>
      <w:pPr>
        <w:pStyle w:val="24"/>
        <w:spacing w:line="360" w:lineRule="auto"/>
        <w:ind w:firstLine="480" w:firstLineChars="200"/>
        <w:rPr>
          <w:rFonts w:hint="eastAsia" w:hAnsi="宋体" w:cs="宋体"/>
          <w:sz w:val="24"/>
          <w:highlight w:val="none"/>
        </w:rPr>
      </w:pPr>
      <w:r>
        <w:rPr>
          <w:rFonts w:hint="eastAsia" w:hAnsi="宋体" w:cs="宋体"/>
          <w:sz w:val="24"/>
          <w:highlight w:val="none"/>
        </w:rPr>
        <w:t>投标人应仔细阅读招标文件的所有内容，按照招标文件的要求详细编制投标文件，所提交的全部资料必须真实有效。投标文件应对招标文件实质性内容作出响应，否则按无效标处理。</w:t>
      </w:r>
    </w:p>
    <w:p>
      <w:pPr>
        <w:pStyle w:val="24"/>
        <w:spacing w:line="360" w:lineRule="auto"/>
        <w:ind w:firstLine="482" w:firstLineChars="200"/>
        <w:rPr>
          <w:rFonts w:hint="eastAsia" w:hAnsi="宋体" w:cs="宋体"/>
          <w:sz w:val="24"/>
          <w:highlight w:val="none"/>
        </w:rPr>
      </w:pPr>
      <w:r>
        <w:rPr>
          <w:rFonts w:hint="eastAsia" w:hAnsi="宋体" w:cs="宋体"/>
          <w:b/>
          <w:sz w:val="24"/>
          <w:highlight w:val="none"/>
        </w:rPr>
        <w:t>（二）</w:t>
      </w:r>
      <w:r>
        <w:rPr>
          <w:rFonts w:hint="eastAsia" w:hAnsi="宋体" w:cs="宋体"/>
          <w:b/>
          <w:bCs/>
          <w:sz w:val="24"/>
          <w:highlight w:val="none"/>
        </w:rPr>
        <w:t>投标文件的组成</w:t>
      </w:r>
    </w:p>
    <w:p>
      <w:pPr>
        <w:pStyle w:val="24"/>
        <w:spacing w:line="360" w:lineRule="auto"/>
        <w:ind w:firstLine="480" w:firstLineChars="200"/>
        <w:rPr>
          <w:rFonts w:hint="eastAsia" w:hAnsi="宋体" w:cs="宋体"/>
          <w:sz w:val="24"/>
          <w:highlight w:val="none"/>
        </w:rPr>
      </w:pPr>
      <w:r>
        <w:rPr>
          <w:rFonts w:hint="eastAsia" w:hAnsi="宋体" w:cs="宋体"/>
          <w:sz w:val="24"/>
          <w:highlight w:val="none"/>
        </w:rPr>
        <w:t>1、投标文件由三部分组成，第一部分为资格审查文件，第二部分为商务技术文件</w:t>
      </w:r>
      <w:r>
        <w:rPr>
          <w:rFonts w:hint="eastAsia" w:hAnsi="宋体" w:cs="宋体"/>
          <w:b/>
          <w:bCs/>
          <w:sz w:val="24"/>
          <w:highlight w:val="none"/>
        </w:rPr>
        <w:t>（含展馆整体演示光盘，递交方式详见投标人须知前附表）</w:t>
      </w:r>
      <w:r>
        <w:rPr>
          <w:rFonts w:hint="eastAsia" w:hAnsi="宋体" w:cs="宋体"/>
          <w:sz w:val="24"/>
          <w:highlight w:val="none"/>
        </w:rPr>
        <w:t>，第三部分为报价文件。</w:t>
      </w:r>
    </w:p>
    <w:p>
      <w:pPr>
        <w:pStyle w:val="24"/>
        <w:spacing w:line="360" w:lineRule="auto"/>
        <w:ind w:firstLine="480" w:firstLineChars="200"/>
        <w:rPr>
          <w:rFonts w:hint="eastAsia" w:hAnsi="宋体" w:cs="宋体"/>
          <w:b/>
          <w:sz w:val="24"/>
          <w:highlight w:val="none"/>
        </w:rPr>
      </w:pPr>
      <w:r>
        <w:rPr>
          <w:rFonts w:hint="eastAsia" w:hAnsi="宋体" w:cs="宋体"/>
          <w:bCs/>
          <w:sz w:val="24"/>
          <w:highlight w:val="none"/>
        </w:rPr>
        <w:t>2、</w:t>
      </w:r>
      <w:r>
        <w:rPr>
          <w:rFonts w:hint="eastAsia" w:hAnsi="宋体" w:cs="宋体"/>
          <w:b/>
          <w:sz w:val="24"/>
          <w:highlight w:val="none"/>
        </w:rPr>
        <w:t xml:space="preserve">资格审查文件的组成： </w:t>
      </w:r>
    </w:p>
    <w:p>
      <w:pPr>
        <w:pStyle w:val="24"/>
        <w:spacing w:line="360" w:lineRule="auto"/>
        <w:ind w:firstLine="480" w:firstLineChars="200"/>
        <w:rPr>
          <w:rFonts w:hint="eastAsia" w:hAnsi="宋体" w:cs="宋体"/>
          <w:sz w:val="24"/>
          <w:highlight w:val="none"/>
        </w:rPr>
      </w:pPr>
      <w:r>
        <w:rPr>
          <w:rFonts w:hint="eastAsia" w:hAnsi="宋体" w:cs="宋体"/>
          <w:sz w:val="24"/>
          <w:highlight w:val="none"/>
        </w:rPr>
        <w:t>（1）法定代表人（负责人）授权委托书（格式见附件）；（法定代表人（负责人）作为投标人代表时，提供法定代表人（负责人）身份证明书即可，格式见附件)；</w:t>
      </w:r>
    </w:p>
    <w:p>
      <w:pPr>
        <w:pStyle w:val="24"/>
        <w:spacing w:line="360" w:lineRule="auto"/>
        <w:ind w:firstLine="480" w:firstLineChars="200"/>
        <w:rPr>
          <w:rFonts w:hint="eastAsia" w:hAnsi="宋体" w:cs="宋体"/>
          <w:sz w:val="24"/>
          <w:highlight w:val="none"/>
        </w:rPr>
      </w:pPr>
      <w:r>
        <w:rPr>
          <w:rFonts w:hint="eastAsia" w:hAnsi="宋体" w:cs="宋体"/>
          <w:sz w:val="24"/>
          <w:highlight w:val="none"/>
        </w:rPr>
        <w:t>（2）符合投标人资格条件的审查材料：</w:t>
      </w:r>
    </w:p>
    <w:p>
      <w:pPr>
        <w:pStyle w:val="24"/>
        <w:spacing w:line="360" w:lineRule="auto"/>
        <w:ind w:firstLine="480" w:firstLineChars="200"/>
        <w:rPr>
          <w:rFonts w:hint="eastAsia" w:hAnsi="宋体" w:cs="宋体"/>
          <w:sz w:val="24"/>
          <w:highlight w:val="none"/>
        </w:rPr>
      </w:pPr>
      <w:r>
        <w:rPr>
          <w:rFonts w:hint="eastAsia" w:hAnsi="宋体" w:cs="宋体"/>
          <w:sz w:val="24"/>
          <w:highlight w:val="none"/>
        </w:rPr>
        <w:t>2.1）营业执照（或事业法人登记证或其他工商等登记证明材料）；</w:t>
      </w:r>
    </w:p>
    <w:p>
      <w:pPr>
        <w:pStyle w:val="24"/>
        <w:spacing w:line="360" w:lineRule="auto"/>
        <w:ind w:firstLine="480" w:firstLineChars="200"/>
        <w:rPr>
          <w:rFonts w:hint="eastAsia" w:hAnsi="宋体" w:cs="宋体"/>
          <w:sz w:val="24"/>
          <w:highlight w:val="none"/>
        </w:rPr>
      </w:pPr>
      <w:r>
        <w:rPr>
          <w:rFonts w:hint="eastAsia" w:hAnsi="宋体" w:cs="宋体"/>
          <w:sz w:val="24"/>
          <w:highlight w:val="none"/>
        </w:rPr>
        <w:t>2.2)符合参加政府采购活动应当具备的一般条件的承诺函；</w:t>
      </w:r>
    </w:p>
    <w:p>
      <w:pPr>
        <w:pStyle w:val="24"/>
        <w:spacing w:line="360" w:lineRule="auto"/>
        <w:ind w:firstLine="480" w:firstLineChars="200"/>
        <w:rPr>
          <w:rFonts w:hint="eastAsia" w:hAnsi="宋体" w:cs="宋体"/>
          <w:sz w:val="24"/>
          <w:highlight w:val="none"/>
        </w:rPr>
      </w:pPr>
      <w:r>
        <w:rPr>
          <w:rFonts w:hint="eastAsia" w:hAnsi="宋体" w:cs="宋体"/>
          <w:sz w:val="24"/>
          <w:highlight w:val="none"/>
        </w:rPr>
        <w:t>2.3）与参加本次项目同一合同项下政府采购活动的其他供应商不存在单位负责人为同一人或者直接控股、管理关系的声明函；</w:t>
      </w:r>
    </w:p>
    <w:p>
      <w:pPr>
        <w:pStyle w:val="24"/>
        <w:spacing w:line="360" w:lineRule="auto"/>
        <w:ind w:firstLine="480" w:firstLineChars="200"/>
        <w:rPr>
          <w:rFonts w:hint="eastAsia" w:hAnsi="宋体" w:cs="宋体"/>
          <w:sz w:val="24"/>
          <w:highlight w:val="none"/>
        </w:rPr>
      </w:pPr>
      <w:r>
        <w:rPr>
          <w:rFonts w:hint="eastAsia" w:hAnsi="宋体" w:cs="宋体"/>
          <w:sz w:val="24"/>
          <w:highlight w:val="none"/>
        </w:rPr>
        <w:t>2.4）“信用中国”（www.creditchina.gov.cn）；“中国政府采购网”（www.ccgp.gov.cn） 信用记录查询网页截图（招标公告发布之日至投标截止时间前查询均可）；</w:t>
      </w:r>
    </w:p>
    <w:p>
      <w:pPr>
        <w:pStyle w:val="24"/>
        <w:spacing w:line="360" w:lineRule="auto"/>
        <w:ind w:firstLine="480" w:firstLineChars="200"/>
        <w:rPr>
          <w:rFonts w:hint="eastAsia" w:hAnsi="宋体" w:cs="宋体"/>
          <w:sz w:val="24"/>
          <w:highlight w:val="none"/>
        </w:rPr>
      </w:pPr>
      <w:r>
        <w:rPr>
          <w:rFonts w:hint="eastAsia" w:hAnsi="宋体" w:cs="宋体"/>
          <w:bCs/>
          <w:sz w:val="24"/>
          <w:highlight w:val="none"/>
        </w:rPr>
        <w:t>2.5）</w:t>
      </w:r>
      <w:r>
        <w:rPr>
          <w:rFonts w:hint="eastAsia" w:hAnsi="宋体" w:cs="宋体"/>
          <w:sz w:val="24"/>
          <w:highlight w:val="none"/>
        </w:rPr>
        <w:t>中小企业申明函（格式见附件）；</w:t>
      </w:r>
    </w:p>
    <w:p>
      <w:pPr>
        <w:pStyle w:val="24"/>
        <w:spacing w:line="360" w:lineRule="auto"/>
        <w:ind w:firstLine="480" w:firstLineChars="200"/>
        <w:rPr>
          <w:rFonts w:hAnsi="宋体" w:cs="宋体"/>
          <w:sz w:val="24"/>
          <w:highlight w:val="none"/>
        </w:rPr>
      </w:pPr>
      <w:r>
        <w:rPr>
          <w:rFonts w:hint="eastAsia" w:hAnsi="宋体" w:cs="宋体"/>
          <w:sz w:val="24"/>
          <w:highlight w:val="none"/>
        </w:rPr>
        <w:t>2.6）联合体协议书（格式见附件）</w:t>
      </w:r>
    </w:p>
    <w:p>
      <w:pPr>
        <w:pStyle w:val="24"/>
        <w:spacing w:line="360" w:lineRule="auto"/>
        <w:ind w:firstLine="480" w:firstLineChars="200"/>
        <w:rPr>
          <w:rFonts w:hint="eastAsia" w:hAnsi="宋体" w:cs="宋体"/>
          <w:sz w:val="24"/>
          <w:highlight w:val="none"/>
        </w:rPr>
      </w:pPr>
      <w:r>
        <w:rPr>
          <w:rFonts w:hint="eastAsia" w:hAnsi="宋体" w:cs="宋体"/>
          <w:sz w:val="24"/>
          <w:highlight w:val="none"/>
        </w:rPr>
        <w:t>2.7）符合投标人特定资格条件的材料。</w:t>
      </w:r>
    </w:p>
    <w:p>
      <w:pPr>
        <w:pStyle w:val="24"/>
        <w:spacing w:line="360" w:lineRule="auto"/>
        <w:ind w:firstLine="480" w:firstLineChars="200"/>
        <w:rPr>
          <w:rFonts w:hint="eastAsia" w:hAnsi="宋体" w:cs="宋体"/>
          <w:b/>
          <w:sz w:val="24"/>
          <w:highlight w:val="none"/>
        </w:rPr>
      </w:pPr>
      <w:r>
        <w:rPr>
          <w:rFonts w:hint="eastAsia" w:hAnsi="宋体" w:cs="宋体"/>
          <w:bCs/>
          <w:sz w:val="24"/>
          <w:highlight w:val="none"/>
        </w:rPr>
        <w:t>3、</w:t>
      </w:r>
      <w:r>
        <w:rPr>
          <w:rFonts w:hint="eastAsia" w:hAnsi="宋体" w:cs="宋体"/>
          <w:b/>
          <w:sz w:val="24"/>
          <w:highlight w:val="none"/>
        </w:rPr>
        <w:t>商务技术文件</w:t>
      </w:r>
      <w:r>
        <w:rPr>
          <w:rFonts w:hint="eastAsia" w:hAnsi="宋体" w:cs="宋体"/>
          <w:b/>
          <w:bCs/>
          <w:sz w:val="24"/>
          <w:highlight w:val="none"/>
        </w:rPr>
        <w:t>（含展馆整体演示光盘）</w:t>
      </w:r>
      <w:r>
        <w:rPr>
          <w:rFonts w:hint="eastAsia" w:hAnsi="宋体" w:cs="宋体"/>
          <w:b/>
          <w:sz w:val="24"/>
          <w:highlight w:val="none"/>
        </w:rPr>
        <w:t>的组成：</w:t>
      </w:r>
    </w:p>
    <w:p>
      <w:pPr>
        <w:pStyle w:val="24"/>
        <w:spacing w:line="360" w:lineRule="auto"/>
        <w:ind w:firstLine="480" w:firstLineChars="200"/>
        <w:rPr>
          <w:rFonts w:hint="eastAsia" w:hAnsi="宋体" w:cs="宋体"/>
          <w:sz w:val="24"/>
          <w:highlight w:val="none"/>
        </w:rPr>
      </w:pPr>
      <w:r>
        <w:rPr>
          <w:rFonts w:hint="eastAsia" w:hAnsi="宋体" w:cs="宋体"/>
          <w:sz w:val="24"/>
          <w:highlight w:val="none"/>
        </w:rPr>
        <w:t>（1）专家评分索引表（格式见附件)；</w:t>
      </w:r>
    </w:p>
    <w:p>
      <w:pPr>
        <w:pStyle w:val="24"/>
        <w:spacing w:line="360" w:lineRule="auto"/>
        <w:ind w:firstLine="480" w:firstLineChars="200"/>
        <w:rPr>
          <w:rFonts w:hint="eastAsia" w:hAnsi="宋体" w:cs="宋体"/>
          <w:sz w:val="24"/>
          <w:highlight w:val="none"/>
        </w:rPr>
      </w:pPr>
      <w:r>
        <w:rPr>
          <w:rFonts w:hint="eastAsia" w:hAnsi="宋体" w:cs="宋体"/>
          <w:sz w:val="24"/>
          <w:highlight w:val="none"/>
        </w:rPr>
        <w:t>（2）投标声明书（格式见附件)；</w:t>
      </w:r>
    </w:p>
    <w:p>
      <w:pPr>
        <w:pStyle w:val="24"/>
        <w:spacing w:line="360" w:lineRule="auto"/>
        <w:ind w:firstLine="480" w:firstLineChars="200"/>
        <w:rPr>
          <w:rFonts w:hint="eastAsia" w:hAnsi="宋体" w:cs="宋体"/>
          <w:sz w:val="24"/>
          <w:highlight w:val="none"/>
        </w:rPr>
      </w:pPr>
      <w:r>
        <w:rPr>
          <w:rFonts w:hint="eastAsia" w:hAnsi="宋体" w:cs="宋体"/>
          <w:sz w:val="24"/>
          <w:highlight w:val="none"/>
        </w:rPr>
        <w:t>（3）综合实力（详见评分标准）；</w:t>
      </w:r>
    </w:p>
    <w:p>
      <w:pPr>
        <w:pStyle w:val="24"/>
        <w:spacing w:line="360" w:lineRule="auto"/>
        <w:ind w:firstLine="480" w:firstLineChars="200"/>
        <w:rPr>
          <w:rFonts w:hint="eastAsia" w:hAnsi="宋体" w:cs="宋体"/>
          <w:sz w:val="24"/>
          <w:highlight w:val="none"/>
        </w:rPr>
      </w:pPr>
      <w:r>
        <w:rPr>
          <w:rFonts w:hint="eastAsia" w:hAnsi="宋体" w:cs="宋体"/>
          <w:sz w:val="24"/>
          <w:highlight w:val="none"/>
        </w:rPr>
        <w:t>（4）2018年1月至今投标人完成的同类项目业绩（格式见附件，如有）；</w:t>
      </w:r>
    </w:p>
    <w:p>
      <w:pPr>
        <w:pStyle w:val="24"/>
        <w:spacing w:line="360" w:lineRule="auto"/>
        <w:ind w:firstLine="480" w:firstLineChars="200"/>
        <w:rPr>
          <w:rFonts w:hint="eastAsia" w:hAnsi="宋体" w:cs="宋体"/>
          <w:sz w:val="24"/>
          <w:highlight w:val="none"/>
        </w:rPr>
      </w:pPr>
      <w:r>
        <w:rPr>
          <w:rFonts w:hint="eastAsia" w:hAnsi="宋体" w:cs="宋体"/>
          <w:sz w:val="24"/>
          <w:highlight w:val="none"/>
        </w:rPr>
        <w:t>（5）人员配备情况表（格式自拟）；</w:t>
      </w:r>
    </w:p>
    <w:p>
      <w:pPr>
        <w:pStyle w:val="24"/>
        <w:spacing w:line="360" w:lineRule="auto"/>
        <w:ind w:firstLine="480" w:firstLineChars="200"/>
        <w:rPr>
          <w:rFonts w:hint="eastAsia" w:hAnsi="宋体" w:cs="宋体"/>
          <w:sz w:val="24"/>
          <w:highlight w:val="none"/>
        </w:rPr>
      </w:pPr>
      <w:r>
        <w:rPr>
          <w:rFonts w:hint="eastAsia" w:hAnsi="宋体" w:cs="宋体"/>
          <w:sz w:val="24"/>
          <w:highlight w:val="none"/>
        </w:rPr>
        <w:t>（6）项目理解及深化（格式自拟）；</w:t>
      </w:r>
    </w:p>
    <w:p>
      <w:pPr>
        <w:pStyle w:val="24"/>
        <w:spacing w:line="360" w:lineRule="auto"/>
        <w:ind w:firstLine="480" w:firstLineChars="200"/>
        <w:rPr>
          <w:rFonts w:hint="eastAsia" w:hAnsi="宋体" w:cs="宋体"/>
          <w:sz w:val="24"/>
          <w:highlight w:val="none"/>
        </w:rPr>
      </w:pPr>
      <w:r>
        <w:rPr>
          <w:rFonts w:hint="eastAsia" w:hAnsi="宋体" w:cs="宋体"/>
          <w:sz w:val="24"/>
          <w:highlight w:val="none"/>
        </w:rPr>
        <w:t>（7）展厅控制系统（格式自拟）；</w:t>
      </w:r>
    </w:p>
    <w:p>
      <w:pPr>
        <w:pStyle w:val="24"/>
        <w:spacing w:line="360" w:lineRule="auto"/>
        <w:ind w:firstLine="480" w:firstLineChars="200"/>
        <w:rPr>
          <w:rFonts w:hint="eastAsia" w:hAnsi="宋体" w:cs="宋体"/>
          <w:sz w:val="24"/>
          <w:highlight w:val="none"/>
        </w:rPr>
      </w:pPr>
      <w:r>
        <w:rPr>
          <w:rFonts w:hint="eastAsia" w:hAnsi="宋体" w:cs="宋体"/>
          <w:sz w:val="24"/>
          <w:highlight w:val="none"/>
        </w:rPr>
        <w:t>（8）组织实施（格式自拟）；</w:t>
      </w:r>
    </w:p>
    <w:p>
      <w:pPr>
        <w:pStyle w:val="24"/>
        <w:spacing w:line="360" w:lineRule="auto"/>
        <w:ind w:firstLine="480" w:firstLineChars="200"/>
        <w:rPr>
          <w:rFonts w:hint="eastAsia" w:hAnsi="宋体" w:cs="宋体"/>
          <w:sz w:val="24"/>
          <w:highlight w:val="none"/>
        </w:rPr>
      </w:pPr>
      <w:r>
        <w:rPr>
          <w:rFonts w:hint="eastAsia" w:hAnsi="宋体" w:cs="宋体"/>
          <w:sz w:val="24"/>
          <w:highlight w:val="none"/>
        </w:rPr>
        <w:t>（9）主要设备参数响应表（格式见附件）；</w:t>
      </w:r>
    </w:p>
    <w:p>
      <w:pPr>
        <w:pStyle w:val="24"/>
        <w:spacing w:line="360" w:lineRule="auto"/>
        <w:ind w:firstLine="480" w:firstLineChars="200"/>
        <w:rPr>
          <w:rFonts w:hint="eastAsia" w:hAnsi="宋体" w:cs="宋体"/>
          <w:sz w:val="24"/>
          <w:highlight w:val="none"/>
        </w:rPr>
      </w:pPr>
      <w:r>
        <w:rPr>
          <w:rFonts w:hint="eastAsia" w:hAnsi="宋体" w:cs="宋体"/>
          <w:sz w:val="24"/>
          <w:highlight w:val="none"/>
        </w:rPr>
        <w:t>（10）售后服务（格式自拟）；</w:t>
      </w:r>
    </w:p>
    <w:p>
      <w:pPr>
        <w:pStyle w:val="24"/>
        <w:spacing w:line="360" w:lineRule="auto"/>
        <w:ind w:firstLine="480" w:firstLineChars="200"/>
        <w:rPr>
          <w:rFonts w:hint="eastAsia" w:hAnsi="宋体" w:cs="宋体"/>
          <w:sz w:val="24"/>
          <w:highlight w:val="none"/>
        </w:rPr>
      </w:pPr>
      <w:r>
        <w:rPr>
          <w:rFonts w:hint="eastAsia" w:hAnsi="宋体" w:cs="宋体"/>
          <w:sz w:val="24"/>
          <w:highlight w:val="none"/>
        </w:rPr>
        <w:t>（11）政策分；</w:t>
      </w:r>
    </w:p>
    <w:p>
      <w:pPr>
        <w:pStyle w:val="24"/>
        <w:spacing w:line="360" w:lineRule="auto"/>
        <w:ind w:firstLine="480" w:firstLineChars="200"/>
        <w:rPr>
          <w:rFonts w:hint="eastAsia" w:hAnsi="宋体" w:cs="宋体"/>
          <w:sz w:val="24"/>
          <w:highlight w:val="none"/>
        </w:rPr>
      </w:pPr>
      <w:r>
        <w:rPr>
          <w:rFonts w:hint="eastAsia" w:hAnsi="宋体" w:cs="宋体"/>
          <w:sz w:val="24"/>
          <w:highlight w:val="none"/>
        </w:rPr>
        <w:t>（12）评分标准及投标人认为其他有必要提供的资料（格式自拟，如有）。</w:t>
      </w:r>
    </w:p>
    <w:p>
      <w:pPr>
        <w:pStyle w:val="24"/>
        <w:spacing w:line="360" w:lineRule="auto"/>
        <w:ind w:firstLine="482" w:firstLineChars="200"/>
        <w:rPr>
          <w:rFonts w:hint="eastAsia" w:hAnsi="宋体" w:cs="宋体"/>
          <w:sz w:val="24"/>
          <w:highlight w:val="none"/>
        </w:rPr>
      </w:pPr>
      <w:r>
        <w:rPr>
          <w:rFonts w:hint="eastAsia" w:hAnsi="宋体" w:cs="宋体"/>
          <w:b/>
          <w:sz w:val="24"/>
          <w:highlight w:val="none"/>
        </w:rPr>
        <w:t>注：商务技术文件内容不限于上述内容，各投标人可根据自身情况进一步细化及排序。</w:t>
      </w:r>
      <w:r>
        <w:rPr>
          <w:rFonts w:hint="eastAsia" w:hAnsi="宋体" w:cs="宋体"/>
          <w:b/>
          <w:bCs/>
          <w:sz w:val="24"/>
          <w:highlight w:val="none"/>
        </w:rPr>
        <w:t>展馆整体演示光盘单独递交，递交方式详见投标人须知。</w:t>
      </w:r>
    </w:p>
    <w:p>
      <w:pPr>
        <w:pStyle w:val="24"/>
        <w:spacing w:line="360" w:lineRule="auto"/>
        <w:ind w:firstLine="480" w:firstLineChars="200"/>
        <w:rPr>
          <w:rFonts w:hint="eastAsia" w:hAnsi="宋体" w:cs="宋体"/>
          <w:b/>
          <w:sz w:val="24"/>
          <w:highlight w:val="none"/>
        </w:rPr>
      </w:pPr>
      <w:r>
        <w:rPr>
          <w:rFonts w:hint="eastAsia" w:hAnsi="宋体" w:cs="宋体"/>
          <w:sz w:val="24"/>
          <w:highlight w:val="none"/>
        </w:rPr>
        <w:t>4、</w:t>
      </w:r>
      <w:r>
        <w:rPr>
          <w:rFonts w:hint="eastAsia" w:hAnsi="宋体" w:cs="宋体"/>
          <w:b/>
          <w:bCs/>
          <w:sz w:val="24"/>
          <w:highlight w:val="none"/>
        </w:rPr>
        <w:t>报价文件的组成：</w:t>
      </w:r>
    </w:p>
    <w:p>
      <w:pPr>
        <w:pStyle w:val="24"/>
        <w:spacing w:line="360" w:lineRule="auto"/>
        <w:ind w:firstLine="480" w:firstLineChars="200"/>
        <w:rPr>
          <w:rFonts w:hint="eastAsia" w:hAnsi="宋体" w:cs="宋体"/>
          <w:sz w:val="24"/>
          <w:highlight w:val="none"/>
        </w:rPr>
      </w:pPr>
      <w:r>
        <w:rPr>
          <w:rFonts w:hint="eastAsia" w:hAnsi="宋体" w:cs="宋体"/>
          <w:sz w:val="24"/>
          <w:highlight w:val="none"/>
        </w:rPr>
        <w:t>（1）投标函（格式见附件10）；</w:t>
      </w:r>
    </w:p>
    <w:p>
      <w:pPr>
        <w:pStyle w:val="24"/>
        <w:spacing w:line="360" w:lineRule="auto"/>
        <w:ind w:firstLine="480" w:firstLineChars="200"/>
        <w:rPr>
          <w:rFonts w:hint="eastAsia" w:hAnsi="宋体" w:cs="宋体"/>
          <w:sz w:val="24"/>
          <w:highlight w:val="none"/>
        </w:rPr>
      </w:pPr>
      <w:r>
        <w:rPr>
          <w:rFonts w:hint="eastAsia" w:hAnsi="宋体" w:cs="宋体"/>
          <w:sz w:val="24"/>
          <w:highlight w:val="none"/>
        </w:rPr>
        <w:t>（2）开标一览表（格式见附件11)；</w:t>
      </w:r>
    </w:p>
    <w:p>
      <w:pPr>
        <w:widowControl/>
        <w:spacing w:line="360" w:lineRule="auto"/>
        <w:ind w:firstLine="480" w:firstLineChars="200"/>
        <w:rPr>
          <w:rFonts w:hint="eastAsia" w:hAnsi="宋体" w:cs="宋体"/>
          <w:sz w:val="24"/>
          <w:highlight w:val="none"/>
        </w:rPr>
      </w:pPr>
      <w:r>
        <w:rPr>
          <w:rFonts w:hint="eastAsia" w:hAnsi="宋体" w:cs="宋体"/>
          <w:sz w:val="24"/>
          <w:highlight w:val="none"/>
        </w:rPr>
        <w:t>（3）中小企业申明函（服务类——建筑业）（格式见附件12)；</w:t>
      </w:r>
    </w:p>
    <w:p>
      <w:pPr>
        <w:widowControl/>
        <w:spacing w:line="360" w:lineRule="auto"/>
        <w:ind w:firstLine="480" w:firstLineChars="200"/>
        <w:rPr>
          <w:rFonts w:hint="eastAsia" w:hAnsi="宋体" w:cs="宋体"/>
          <w:sz w:val="24"/>
          <w:highlight w:val="none"/>
        </w:rPr>
      </w:pPr>
      <w:r>
        <w:rPr>
          <w:rFonts w:hint="eastAsia" w:hAnsi="宋体" w:cs="宋体"/>
          <w:sz w:val="24"/>
          <w:highlight w:val="none"/>
        </w:rPr>
        <w:t>（4）投标人针对报价需要说明的其他文件和说明（如有）。</w:t>
      </w:r>
    </w:p>
    <w:p>
      <w:pPr>
        <w:rPr>
          <w:rFonts w:hint="eastAsia"/>
          <w:highlight w:val="none"/>
        </w:rPr>
      </w:pPr>
    </w:p>
    <w:p>
      <w:pPr>
        <w:spacing w:before="156" w:beforeLines="50" w:after="156" w:afterLines="50" w:line="360" w:lineRule="auto"/>
        <w:jc w:val="center"/>
        <w:rPr>
          <w:rFonts w:ascii="宋体" w:hAnsi="宋体" w:eastAsia="黑体" w:cs="宋体"/>
          <w:b/>
          <w:sz w:val="24"/>
          <w:highlight w:val="none"/>
        </w:rPr>
      </w:pPr>
      <w:r>
        <w:rPr>
          <w:rFonts w:hint="eastAsia" w:ascii="黑体" w:hAnsi="黑体" w:eastAsia="黑体" w:cs="黑体"/>
          <w:b/>
          <w:sz w:val="32"/>
          <w:szCs w:val="32"/>
          <w:highlight w:val="none"/>
        </w:rPr>
        <w:t>第四节  投标文件的编制</w:t>
      </w:r>
    </w:p>
    <w:p>
      <w:pPr>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（一）内容编制：</w:t>
      </w:r>
    </w:p>
    <w:p>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 xml:space="preserve">1、本项目通过“政府采购云平台（www.zcygov.cn）”实行在线投标响应（电子投标）。供应商应通过“政采云电子交易客户端”，并按照本招标文件和“政府采购云平台”的要求编制并加密投标文件。 </w:t>
      </w:r>
    </w:p>
    <w:p>
      <w:pPr>
        <w:spacing w:line="360" w:lineRule="auto"/>
        <w:ind w:firstLine="480" w:firstLineChars="200"/>
        <w:rPr>
          <w:rFonts w:hint="eastAsia" w:ascii="宋体" w:hAnsi="宋体" w:cs="宋体"/>
          <w:b/>
          <w:sz w:val="24"/>
          <w:highlight w:val="none"/>
        </w:rPr>
      </w:pPr>
      <w:r>
        <w:rPr>
          <w:rFonts w:hint="eastAsia" w:ascii="宋体" w:hAnsi="宋体" w:cs="宋体"/>
          <w:bCs/>
          <w:sz w:val="24"/>
          <w:highlight w:val="none"/>
        </w:rPr>
        <w:t>2、投标文件应按照“第二章第三节”中规定的顺序及采用“第六章 投标文件格式”中提供的格式进行编制，并按“政府采购云平台”的要求编辑相应内容进行关联定位、加密，形成投标文件。投标人未按规定加密的投标文件，政府采购云平台将拒收并提示。投标文件编制详见操作指南：登录政府采购云平台（https://www.zcygov.cn/），从首页-服务中心-帮助文档-项目采购-电子招投标，查看文档和视频。</w:t>
      </w:r>
      <w:r>
        <w:rPr>
          <w:rFonts w:hint="eastAsia" w:ascii="宋体" w:hAnsi="宋体" w:cs="宋体"/>
          <w:b/>
          <w:sz w:val="24"/>
          <w:highlight w:val="none"/>
        </w:rPr>
        <w:t xml:space="preserve"> </w:t>
      </w:r>
    </w:p>
    <w:p>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 xml:space="preserve">3、关联定位规则：一个关联点只能关联一页，不能关联多页；多个关联点可以关联同一页。 </w:t>
      </w:r>
    </w:p>
    <w:p>
      <w:pPr>
        <w:spacing w:line="360" w:lineRule="auto"/>
        <w:ind w:firstLine="480" w:firstLineChars="200"/>
        <w:rPr>
          <w:rFonts w:hint="eastAsia" w:hAnsi="宋体" w:cs="宋体"/>
          <w:bCs/>
          <w:sz w:val="24"/>
          <w:highlight w:val="none"/>
        </w:rPr>
      </w:pPr>
      <w:r>
        <w:rPr>
          <w:rFonts w:hint="eastAsia" w:ascii="宋体" w:hAnsi="宋体" w:cs="宋体"/>
          <w:bCs/>
          <w:sz w:val="24"/>
          <w:highlight w:val="none"/>
        </w:rPr>
        <w:t>4、分别</w:t>
      </w:r>
      <w:r>
        <w:rPr>
          <w:rFonts w:hint="eastAsia" w:hAnsi="宋体" w:cs="宋体"/>
          <w:bCs/>
          <w:sz w:val="24"/>
          <w:highlight w:val="none"/>
        </w:rPr>
        <w:t xml:space="preserve">编制资格审查文件、商务技术文件、报价文件。 </w:t>
      </w:r>
    </w:p>
    <w:p>
      <w:pPr>
        <w:spacing w:line="360" w:lineRule="auto"/>
        <w:ind w:firstLine="480" w:firstLineChars="200"/>
        <w:rPr>
          <w:rFonts w:hint="eastAsia" w:ascii="宋体" w:hAnsi="宋体" w:cs="宋体"/>
          <w:b/>
          <w:sz w:val="24"/>
          <w:highlight w:val="none"/>
        </w:rPr>
      </w:pPr>
      <w:r>
        <w:rPr>
          <w:rFonts w:hint="eastAsia" w:ascii="宋体" w:hAnsi="宋体" w:cs="宋体"/>
          <w:bCs/>
          <w:sz w:val="24"/>
          <w:highlight w:val="none"/>
        </w:rPr>
        <w:t>5、投标文件应当对招标文件规定的内容进行对应明确说明，对招标文件规定的实质性内容应 当作出响应。</w:t>
      </w:r>
      <w:r>
        <w:rPr>
          <w:rFonts w:hint="eastAsia" w:ascii="宋体" w:hAnsi="宋体" w:cs="宋体"/>
          <w:b/>
          <w:sz w:val="24"/>
          <w:highlight w:val="none"/>
        </w:rPr>
        <w:t xml:space="preserve"> </w:t>
      </w:r>
    </w:p>
    <w:p>
      <w:pPr>
        <w:spacing w:line="360" w:lineRule="auto"/>
        <w:ind w:firstLine="480" w:firstLineChars="200"/>
        <w:rPr>
          <w:rFonts w:hint="eastAsia" w:ascii="宋体" w:hAnsi="宋体" w:cs="宋体"/>
          <w:b/>
          <w:sz w:val="24"/>
          <w:highlight w:val="none"/>
        </w:rPr>
      </w:pPr>
      <w:r>
        <w:rPr>
          <w:rFonts w:hint="eastAsia" w:ascii="宋体" w:hAnsi="宋体" w:cs="宋体"/>
          <w:bCs/>
          <w:sz w:val="24"/>
          <w:highlight w:val="none"/>
        </w:rPr>
        <w:t>6、采购人如对招标文件有澄清或修改，投标人应按澄清或修改内容对电子投标文件进行补充或者修改，补充和修改时如已传输提交了投标文件的，应当先行撤回原文件，补充、修改后重新传输提交。</w:t>
      </w:r>
      <w:r>
        <w:rPr>
          <w:rFonts w:hint="eastAsia" w:ascii="宋体" w:hAnsi="宋体" w:cs="宋体"/>
          <w:b/>
          <w:sz w:val="24"/>
          <w:highlight w:val="none"/>
        </w:rPr>
        <w:t xml:space="preserve"> </w:t>
      </w:r>
    </w:p>
    <w:p>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 xml:space="preserve">7、由于字迹模糊或表达不清引起的后果由投标人负责。 </w:t>
      </w:r>
    </w:p>
    <w:p>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 xml:space="preserve">8、投标文件中所涉及的加盖公章均采用CA电子签章；所涉及的法定代表人或其授权代表签字或盖章的内容，如果投标单位没有法定代表人电子签章，涉及到法定代表人或其授权代表签字或盖章的内容，投标单位可以线下签字或盖章后扫描上传。 </w:t>
      </w:r>
    </w:p>
    <w:p>
      <w:pPr>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（二）投标文件的语言</w:t>
      </w:r>
    </w:p>
    <w:p>
      <w:pPr>
        <w:pStyle w:val="24"/>
        <w:spacing w:line="360" w:lineRule="auto"/>
        <w:ind w:firstLine="480" w:firstLineChars="200"/>
        <w:rPr>
          <w:rFonts w:hint="eastAsia" w:hAnsi="宋体" w:cs="仿宋"/>
          <w:sz w:val="24"/>
          <w:highlight w:val="none"/>
        </w:rPr>
      </w:pPr>
      <w:r>
        <w:rPr>
          <w:rFonts w:hint="eastAsia" w:hAnsi="宋体" w:cs="仿宋"/>
          <w:sz w:val="24"/>
          <w:highlight w:val="none"/>
        </w:rPr>
        <w:t>投标文件以及投标人与采购人就有关投标事宜的所有来往函电，均应以中文汉语书写。除签名、盖章、专用名称等特殊情形外，以中文汉语以外的文字表述的投标文件视同未提供。</w:t>
      </w:r>
    </w:p>
    <w:p>
      <w:pPr>
        <w:pStyle w:val="24"/>
        <w:spacing w:line="360" w:lineRule="auto"/>
        <w:ind w:firstLine="482" w:firstLineChars="200"/>
        <w:rPr>
          <w:rFonts w:hint="eastAsia" w:hAnsi="宋体" w:cs="仿宋"/>
          <w:b/>
          <w:bCs/>
          <w:sz w:val="24"/>
          <w:highlight w:val="none"/>
        </w:rPr>
      </w:pPr>
      <w:r>
        <w:rPr>
          <w:rFonts w:hint="eastAsia" w:hAnsi="宋体" w:cs="仿宋"/>
          <w:b/>
          <w:bCs/>
          <w:sz w:val="24"/>
          <w:highlight w:val="none"/>
        </w:rPr>
        <w:t>（三）投标文件的计量单位</w:t>
      </w:r>
    </w:p>
    <w:p>
      <w:pPr>
        <w:pStyle w:val="24"/>
        <w:spacing w:line="360" w:lineRule="auto"/>
        <w:ind w:firstLine="480" w:firstLineChars="200"/>
        <w:rPr>
          <w:rFonts w:hint="eastAsia" w:hAnsi="宋体" w:cs="仿宋"/>
          <w:sz w:val="24"/>
          <w:highlight w:val="none"/>
        </w:rPr>
      </w:pPr>
      <w:bookmarkStart w:id="22" w:name="_Toc177824945"/>
      <w:bookmarkStart w:id="23" w:name="_Toc177870548"/>
      <w:bookmarkStart w:id="24" w:name="_Toc177824878"/>
      <w:bookmarkStart w:id="25" w:name="_Toc177825126"/>
      <w:r>
        <w:rPr>
          <w:rFonts w:hint="eastAsia" w:hAnsi="宋体" w:cs="仿宋"/>
          <w:sz w:val="24"/>
          <w:highlight w:val="none"/>
        </w:rPr>
        <w:t>投标计量单位，招标文件已有明确规定的，使用招标文件规定的计量单位；招标文件没有规定的，应采用中华人民共和国法定计量单位（货币单位：人民币元），否则视同未响应。</w:t>
      </w:r>
    </w:p>
    <w:p>
      <w:pPr>
        <w:pStyle w:val="24"/>
        <w:spacing w:line="360" w:lineRule="auto"/>
        <w:ind w:firstLine="482" w:firstLineChars="200"/>
        <w:rPr>
          <w:rFonts w:hint="eastAsia" w:hAnsi="宋体" w:cs="仿宋"/>
          <w:b/>
          <w:bCs/>
          <w:sz w:val="24"/>
          <w:highlight w:val="none"/>
        </w:rPr>
      </w:pPr>
      <w:r>
        <w:rPr>
          <w:rFonts w:hint="eastAsia" w:hAnsi="宋体" w:cs="仿宋"/>
          <w:b/>
          <w:bCs/>
          <w:sz w:val="24"/>
          <w:highlight w:val="none"/>
        </w:rPr>
        <w:t>（四）投标报价</w:t>
      </w:r>
      <w:bookmarkEnd w:id="22"/>
      <w:bookmarkEnd w:id="23"/>
      <w:bookmarkEnd w:id="24"/>
      <w:bookmarkEnd w:id="25"/>
    </w:p>
    <w:p>
      <w:pPr>
        <w:pStyle w:val="24"/>
        <w:spacing w:line="360" w:lineRule="auto"/>
        <w:ind w:firstLine="480" w:firstLineChars="200"/>
        <w:rPr>
          <w:rFonts w:hint="eastAsia" w:hAnsi="宋体" w:cs="宋体"/>
          <w:sz w:val="24"/>
          <w:highlight w:val="none"/>
        </w:rPr>
      </w:pPr>
      <w:r>
        <w:rPr>
          <w:rFonts w:hint="eastAsia" w:hAnsi="宋体" w:cs="仿宋"/>
          <w:sz w:val="24"/>
          <w:highlight w:val="none"/>
        </w:rPr>
        <w:t>★1、</w:t>
      </w:r>
      <w:r>
        <w:rPr>
          <w:rFonts w:hint="eastAsia" w:hAnsi="宋体" w:cs="宋体"/>
          <w:sz w:val="24"/>
          <w:highlight w:val="none"/>
        </w:rPr>
        <w:t>本项目设有最高限价</w:t>
      </w:r>
      <w:r>
        <w:rPr>
          <w:rFonts w:hint="eastAsia" w:hAnsi="宋体" w:cs="宋体"/>
          <w:b/>
          <w:bCs/>
          <w:sz w:val="24"/>
          <w:szCs w:val="24"/>
          <w:highlight w:val="none"/>
          <w:lang w:bidi="ar"/>
        </w:rPr>
        <w:t>即招标控制价</w:t>
      </w:r>
      <w:r>
        <w:rPr>
          <w:rFonts w:hint="eastAsia" w:hAnsi="宋体" w:cs="宋体"/>
          <w:bCs/>
          <w:sz w:val="24"/>
          <w:highlight w:val="none"/>
          <w:u w:val="single"/>
        </w:rPr>
        <w:t xml:space="preserve">             </w:t>
      </w:r>
      <w:r>
        <w:rPr>
          <w:rFonts w:hint="eastAsia" w:hAnsi="宋体" w:cs="宋体"/>
          <w:bCs/>
          <w:sz w:val="24"/>
          <w:szCs w:val="24"/>
          <w:highlight w:val="none"/>
        </w:rPr>
        <w:t>元。</w:t>
      </w:r>
      <w:r>
        <w:rPr>
          <w:rFonts w:hint="eastAsia" w:hAnsi="宋体" w:cs="宋体"/>
          <w:b/>
          <w:bCs/>
          <w:sz w:val="24"/>
          <w:szCs w:val="24"/>
          <w:highlight w:val="none"/>
          <w:lang w:bidi="ar"/>
        </w:rPr>
        <w:t>投标下浮率由供应商在0%-100%自行填报，高于最高限价即招标控制价的为无效报价，作无效响应。</w:t>
      </w:r>
      <w:r>
        <w:rPr>
          <w:rFonts w:hint="eastAsia" w:hAnsi="宋体" w:cs="宋体"/>
          <w:sz w:val="24"/>
          <w:highlight w:val="none"/>
        </w:rPr>
        <w:t>投标单位应在招标文件中相关附表格式中明确本次投标报价，投标文件只允许有一个报价，任何有选择或有条件的报价将不予接受。</w:t>
      </w:r>
    </w:p>
    <w:p>
      <w:pPr>
        <w:pStyle w:val="19"/>
        <w:snapToGrid w:val="0"/>
        <w:spacing w:line="360" w:lineRule="auto"/>
        <w:ind w:firstLine="480" w:firstLineChars="200"/>
        <w:rPr>
          <w:rFonts w:hint="eastAsia" w:ascii="宋体" w:hAnsi="宋体" w:cs="宋体"/>
          <w:szCs w:val="28"/>
          <w:highlight w:val="none"/>
        </w:rPr>
      </w:pPr>
      <w:r>
        <w:rPr>
          <w:rFonts w:hint="eastAsia" w:ascii="宋体" w:hAnsi="宋体" w:cs="宋体"/>
          <w:highlight w:val="none"/>
        </w:rPr>
        <w:t>★2、投标报价是履行合同的最终价格依据，即投标人的报价是投标人响应本项目要求的各项工作内容的价格体现，投标报价</w:t>
      </w:r>
      <w:r>
        <w:rPr>
          <w:rFonts w:hint="eastAsia" w:ascii="宋体" w:hAnsi="宋体" w:cs="宋体"/>
          <w:szCs w:val="28"/>
          <w:highlight w:val="none"/>
        </w:rPr>
        <w:t>包括但不限于维修维护费、设备使用费、备品备件、专用工具、包装、运输、装卸、保险、税金、保修、政策性文件规定和合同包含的所有风险责任及各项乙方承担的所发生的一切费用。投标人应参照国家的相应标准，结合自身综合实力、市场行情、本项目具体特点和技术服务要求进行报价。</w:t>
      </w:r>
    </w:p>
    <w:p>
      <w:pPr>
        <w:pStyle w:val="24"/>
        <w:spacing w:line="360" w:lineRule="auto"/>
        <w:ind w:firstLine="480" w:firstLineChars="200"/>
        <w:rPr>
          <w:rFonts w:hint="eastAsia" w:hAnsi="宋体" w:cs="仿宋"/>
          <w:sz w:val="24"/>
          <w:highlight w:val="none"/>
        </w:rPr>
      </w:pPr>
      <w:r>
        <w:rPr>
          <w:rFonts w:hint="eastAsia" w:hAnsi="宋体" w:cs="宋体"/>
          <w:sz w:val="24"/>
          <w:highlight w:val="none"/>
        </w:rPr>
        <w:t>★3、本次报价采用投标下浮率报价，否则按无效标处理。。</w:t>
      </w:r>
    </w:p>
    <w:p>
      <w:pPr>
        <w:pStyle w:val="24"/>
        <w:spacing w:line="360" w:lineRule="auto"/>
        <w:ind w:firstLine="480" w:firstLineChars="200"/>
        <w:rPr>
          <w:rFonts w:hint="eastAsia" w:hAnsi="宋体" w:cs="仿宋"/>
          <w:sz w:val="24"/>
          <w:highlight w:val="none"/>
        </w:rPr>
      </w:pPr>
      <w:r>
        <w:rPr>
          <w:rFonts w:hint="eastAsia" w:hAnsi="宋体" w:cs="仿宋"/>
          <w:sz w:val="24"/>
          <w:highlight w:val="none"/>
        </w:rPr>
        <w:t>4、货物和服务项目中未预留份额专门面向中小企业采购的，以及预留份额项目中的非预留部分采购包，采购单位、采购代理机构应结合项目实际，对符合规定的小微企业报价原则上按最高优惠幅度20%给予扣除，用扣除后的价格参加评审；对于联合协议或者分包意向协议约定小微企业的合同份额占到合同总金额30%以上的，采购单位、采购代理机构应结合项目实际，对联合体或者大中型企业的报价原则上按最高优惠幅度6%给予扣除，用扣除后的价格参加评审。自2022年7月1日起至2022年12月31日期间发布采购公告或者发出采购邀请的货物、服务采购项目按照此《浙江省财政厅关于进一步加大政府采购支持中小企业力度 助力扎实稳住经济的通知》（浙财采监〔2022〕8号）规定执行，到期后按财库〔2022〕19号文件规定执行。</w:t>
      </w:r>
    </w:p>
    <w:p>
      <w:pPr>
        <w:pStyle w:val="24"/>
        <w:spacing w:line="360" w:lineRule="auto"/>
        <w:ind w:firstLine="480" w:firstLineChars="200"/>
        <w:rPr>
          <w:rFonts w:hAnsi="宋体" w:cs="仿宋"/>
          <w:sz w:val="24"/>
          <w:highlight w:val="none"/>
        </w:rPr>
      </w:pPr>
      <w:r>
        <w:rPr>
          <w:rFonts w:hint="eastAsia" w:hAnsi="宋体" w:cs="仿宋"/>
          <w:sz w:val="24"/>
          <w:highlight w:val="none"/>
        </w:rPr>
        <w:t>本项目专门面向中小企业，对小型和微型企业的投标报价不再扣除。</w:t>
      </w:r>
    </w:p>
    <w:p>
      <w:pPr>
        <w:pStyle w:val="24"/>
        <w:spacing w:line="360" w:lineRule="auto"/>
        <w:ind w:firstLine="480" w:firstLineChars="200"/>
        <w:rPr>
          <w:rFonts w:hint="eastAsia" w:hAnsi="宋体" w:cs="仿宋"/>
          <w:sz w:val="24"/>
          <w:highlight w:val="none"/>
        </w:rPr>
      </w:pPr>
      <w:r>
        <w:rPr>
          <w:rFonts w:hint="eastAsia" w:hAnsi="宋体" w:cs="仿宋"/>
          <w:sz w:val="24"/>
          <w:highlight w:val="none"/>
        </w:rPr>
        <w:t>5、政府采购合同履行中，采购人需追加与合同标的相同的货物、工程或者服务的，在不改变合同其他条款的前提下，可以与投标人协商签订补充合同，但所有补充合同的采购金额不得超过原合同采购金额的百分之十。</w:t>
      </w:r>
    </w:p>
    <w:p>
      <w:pPr>
        <w:pStyle w:val="24"/>
        <w:spacing w:line="360" w:lineRule="auto"/>
        <w:ind w:firstLine="482" w:firstLineChars="200"/>
        <w:rPr>
          <w:rFonts w:hint="eastAsia" w:hAnsi="宋体" w:cs="仿宋"/>
          <w:b/>
          <w:bCs/>
          <w:sz w:val="24"/>
          <w:highlight w:val="none"/>
        </w:rPr>
      </w:pPr>
      <w:r>
        <w:rPr>
          <w:rFonts w:hint="eastAsia" w:hAnsi="宋体" w:cs="仿宋"/>
          <w:b/>
          <w:bCs/>
          <w:sz w:val="24"/>
          <w:highlight w:val="none"/>
        </w:rPr>
        <w:t>（五）投标文件有效期</w:t>
      </w:r>
    </w:p>
    <w:p>
      <w:pPr>
        <w:pStyle w:val="24"/>
        <w:spacing w:line="360" w:lineRule="auto"/>
        <w:ind w:firstLine="480" w:firstLineChars="200"/>
        <w:rPr>
          <w:rFonts w:hint="eastAsia" w:hAnsi="宋体" w:cs="仿宋"/>
          <w:sz w:val="24"/>
          <w:highlight w:val="none"/>
        </w:rPr>
      </w:pPr>
      <w:r>
        <w:rPr>
          <w:rFonts w:hint="eastAsia" w:hAnsi="宋体" w:cs="仿宋"/>
          <w:sz w:val="24"/>
          <w:highlight w:val="none"/>
        </w:rPr>
        <w:t>1、投标文件有效期按“投标人须知前附表”规定，投标文件应在该有效期内保持有效，有效期不足的投标文件将被拒绝。合同签订后，投标文件作为合同附件，投标文件有效期与合同有效期，在合同履行完毕前应保持有效。</w:t>
      </w:r>
    </w:p>
    <w:p>
      <w:pPr>
        <w:pStyle w:val="24"/>
        <w:spacing w:line="360" w:lineRule="auto"/>
        <w:ind w:firstLine="480" w:firstLineChars="200"/>
        <w:rPr>
          <w:rFonts w:hint="eastAsia" w:hAnsi="宋体" w:cs="仿宋"/>
          <w:sz w:val="24"/>
          <w:highlight w:val="none"/>
        </w:rPr>
      </w:pPr>
      <w:r>
        <w:rPr>
          <w:rFonts w:hint="eastAsia" w:hAnsi="宋体" w:cs="仿宋"/>
          <w:sz w:val="24"/>
          <w:highlight w:val="none"/>
        </w:rPr>
        <w:t>2、在特殊情况下，采购人可与投标人协商延长投标书的有效期，这种要求和答复均以书面形式进行。</w:t>
      </w:r>
    </w:p>
    <w:p>
      <w:pPr>
        <w:pStyle w:val="24"/>
        <w:spacing w:line="360" w:lineRule="auto"/>
        <w:ind w:firstLine="480" w:firstLineChars="200"/>
        <w:rPr>
          <w:rFonts w:hint="eastAsia" w:hAnsi="宋体" w:cs="仿宋"/>
          <w:sz w:val="24"/>
          <w:highlight w:val="none"/>
        </w:rPr>
      </w:pPr>
      <w:r>
        <w:rPr>
          <w:rFonts w:hint="eastAsia" w:hAnsi="宋体" w:cs="仿宋"/>
          <w:sz w:val="24"/>
          <w:highlight w:val="none"/>
        </w:rPr>
        <w:t>3、投标人可拒绝接受延期要求。同意延长有效期的投标人也不能修改投标文件。</w:t>
      </w:r>
    </w:p>
    <w:p>
      <w:pPr>
        <w:pStyle w:val="24"/>
        <w:spacing w:line="360" w:lineRule="auto"/>
        <w:ind w:firstLine="482" w:firstLineChars="200"/>
        <w:rPr>
          <w:rFonts w:hint="eastAsia" w:hAnsi="宋体" w:cs="仿宋"/>
          <w:b/>
          <w:bCs/>
          <w:sz w:val="24"/>
          <w:highlight w:val="none"/>
        </w:rPr>
      </w:pPr>
      <w:r>
        <w:rPr>
          <w:rFonts w:hint="eastAsia" w:hAnsi="宋体" w:cs="仿宋"/>
          <w:b/>
          <w:bCs/>
          <w:sz w:val="24"/>
          <w:highlight w:val="none"/>
        </w:rPr>
        <w:t>（六）投标供应商没有按照第二章第三节 “投标文件的组成”要求提供全部资料，或者没有仔细阅读招标文件，或者没有对招标文件在各方面的要求作出实质性响应是投标供应商的风险，由此造成的一切后果由投标供应商自行承担。</w:t>
      </w:r>
    </w:p>
    <w:p>
      <w:pPr>
        <w:pStyle w:val="24"/>
        <w:spacing w:line="360" w:lineRule="auto"/>
        <w:ind w:firstLine="482" w:firstLineChars="200"/>
        <w:rPr>
          <w:rFonts w:hint="eastAsia" w:hAnsi="宋体" w:cs="仿宋"/>
          <w:b/>
          <w:bCs/>
          <w:sz w:val="24"/>
          <w:highlight w:val="none"/>
        </w:rPr>
      </w:pPr>
      <w:r>
        <w:rPr>
          <w:rFonts w:hint="eastAsia" w:hAnsi="宋体" w:cs="仿宋"/>
          <w:b/>
          <w:bCs/>
          <w:sz w:val="24"/>
          <w:highlight w:val="none"/>
        </w:rPr>
        <w:t>（七）投标人有下列情形之一的将报财政部门处理：</w:t>
      </w:r>
    </w:p>
    <w:p>
      <w:pPr>
        <w:pStyle w:val="24"/>
        <w:spacing w:line="360" w:lineRule="auto"/>
        <w:ind w:firstLine="480" w:firstLineChars="200"/>
        <w:rPr>
          <w:rFonts w:hint="eastAsia" w:hAnsi="宋体" w:cs="仿宋"/>
          <w:sz w:val="24"/>
          <w:highlight w:val="none"/>
        </w:rPr>
      </w:pPr>
      <w:r>
        <w:rPr>
          <w:rFonts w:hint="eastAsia" w:hAnsi="宋体" w:cs="仿宋"/>
          <w:sz w:val="24"/>
          <w:highlight w:val="none"/>
        </w:rPr>
        <w:t>1、投标人在投标有效期内撤回投标文件的；</w:t>
      </w:r>
    </w:p>
    <w:p>
      <w:pPr>
        <w:pStyle w:val="24"/>
        <w:spacing w:line="360" w:lineRule="auto"/>
        <w:ind w:firstLine="480" w:firstLineChars="200"/>
        <w:rPr>
          <w:rFonts w:hint="eastAsia" w:hAnsi="宋体" w:cs="仿宋"/>
          <w:sz w:val="24"/>
          <w:highlight w:val="none"/>
        </w:rPr>
      </w:pPr>
      <w:r>
        <w:rPr>
          <w:rFonts w:hint="eastAsia" w:hAnsi="宋体" w:cs="仿宋"/>
          <w:sz w:val="24"/>
          <w:highlight w:val="none"/>
        </w:rPr>
        <w:t>2、投标人在投标过程中弄虚作假，提供虚假材料的；</w:t>
      </w:r>
    </w:p>
    <w:p>
      <w:pPr>
        <w:pStyle w:val="24"/>
        <w:spacing w:line="360" w:lineRule="auto"/>
        <w:ind w:firstLine="480" w:firstLineChars="200"/>
        <w:rPr>
          <w:rFonts w:hint="eastAsia" w:hAnsi="宋体" w:cs="仿宋"/>
          <w:sz w:val="24"/>
          <w:highlight w:val="none"/>
        </w:rPr>
      </w:pPr>
      <w:r>
        <w:rPr>
          <w:rFonts w:hint="eastAsia" w:hAnsi="宋体" w:cs="仿宋"/>
          <w:sz w:val="24"/>
          <w:highlight w:val="none"/>
        </w:rPr>
        <w:t>3、中标单位无正当理由不与采购人签订合同的；</w:t>
      </w:r>
    </w:p>
    <w:p>
      <w:pPr>
        <w:pStyle w:val="24"/>
        <w:spacing w:line="360" w:lineRule="auto"/>
        <w:ind w:firstLine="480" w:firstLineChars="200"/>
        <w:rPr>
          <w:rFonts w:hint="eastAsia" w:hAnsi="宋体" w:cs="仿宋"/>
          <w:sz w:val="24"/>
          <w:highlight w:val="none"/>
        </w:rPr>
      </w:pPr>
      <w:r>
        <w:rPr>
          <w:rFonts w:hint="eastAsia" w:hAnsi="宋体" w:cs="仿宋"/>
          <w:sz w:val="24"/>
          <w:highlight w:val="none"/>
        </w:rPr>
        <w:t>4、将中标项目转让给他人或者在投标文件中未说明且未经采购人同意，将中标项目分包给他人的；</w:t>
      </w:r>
    </w:p>
    <w:p>
      <w:pPr>
        <w:pStyle w:val="24"/>
        <w:spacing w:line="360" w:lineRule="auto"/>
        <w:ind w:firstLine="480" w:firstLineChars="200"/>
        <w:rPr>
          <w:rFonts w:hint="eastAsia" w:hAnsi="宋体" w:cs="仿宋"/>
          <w:sz w:val="24"/>
          <w:highlight w:val="none"/>
        </w:rPr>
      </w:pPr>
      <w:r>
        <w:rPr>
          <w:rFonts w:hint="eastAsia" w:hAnsi="宋体" w:cs="仿宋"/>
          <w:sz w:val="24"/>
          <w:highlight w:val="none"/>
        </w:rPr>
        <w:t>5、拒绝履行合同义务的；</w:t>
      </w:r>
    </w:p>
    <w:p>
      <w:pPr>
        <w:pStyle w:val="24"/>
        <w:spacing w:line="360" w:lineRule="auto"/>
        <w:ind w:firstLine="480" w:firstLineChars="200"/>
        <w:rPr>
          <w:rFonts w:hint="eastAsia" w:hAnsi="宋体" w:cs="仿宋"/>
          <w:sz w:val="24"/>
          <w:highlight w:val="none"/>
        </w:rPr>
      </w:pPr>
      <w:r>
        <w:rPr>
          <w:rFonts w:hint="eastAsia" w:hAnsi="宋体" w:cs="仿宋"/>
          <w:sz w:val="24"/>
          <w:highlight w:val="none"/>
        </w:rPr>
        <w:t>6、其他严重扰乱政府采购程序的。</w:t>
      </w:r>
    </w:p>
    <w:p>
      <w:pPr>
        <w:pStyle w:val="24"/>
        <w:spacing w:line="360" w:lineRule="auto"/>
        <w:ind w:firstLine="482" w:firstLineChars="200"/>
        <w:rPr>
          <w:rFonts w:hint="eastAsia" w:hAnsi="宋体" w:cs="仿宋"/>
          <w:b/>
          <w:bCs/>
          <w:sz w:val="24"/>
          <w:highlight w:val="none"/>
        </w:rPr>
      </w:pPr>
      <w:r>
        <w:rPr>
          <w:rFonts w:hint="eastAsia" w:hAnsi="宋体" w:cs="仿宋"/>
          <w:b/>
          <w:bCs/>
          <w:sz w:val="24"/>
          <w:highlight w:val="none"/>
        </w:rPr>
        <w:t>（八）投标文件的签章</w:t>
      </w:r>
    </w:p>
    <w:p>
      <w:pPr>
        <w:pStyle w:val="24"/>
        <w:wordWrap w:val="0"/>
        <w:spacing w:line="360" w:lineRule="auto"/>
        <w:ind w:firstLine="480" w:firstLineChars="200"/>
        <w:rPr>
          <w:rFonts w:hint="eastAsia" w:hAnsi="宋体" w:cs="仿宋"/>
          <w:sz w:val="24"/>
          <w:highlight w:val="none"/>
        </w:rPr>
      </w:pPr>
      <w:r>
        <w:rPr>
          <w:rFonts w:hint="eastAsia" w:hAnsi="宋体" w:cs="仿宋"/>
          <w:sz w:val="24"/>
          <w:highlight w:val="none"/>
        </w:rPr>
        <w:t>1、投标文件的签章：详见《投标人须知前附表》。</w:t>
      </w:r>
    </w:p>
    <w:p>
      <w:pPr>
        <w:pStyle w:val="24"/>
        <w:wordWrap w:val="0"/>
        <w:spacing w:line="360" w:lineRule="auto"/>
        <w:ind w:firstLine="480" w:firstLineChars="200"/>
        <w:rPr>
          <w:rFonts w:hint="eastAsia" w:hAnsi="宋体" w:cs="仿宋"/>
          <w:sz w:val="24"/>
          <w:highlight w:val="none"/>
        </w:rPr>
      </w:pPr>
      <w:r>
        <w:rPr>
          <w:rFonts w:hint="eastAsia" w:hAnsi="宋体" w:cs="仿宋"/>
          <w:sz w:val="24"/>
          <w:highlight w:val="none"/>
        </w:rPr>
        <w:t>2、CA电子签章操作指南详见《供应商-政府采购项目电子交易操作指南》（https://service.zcygov.cn/#/knowledges/CW1EtGwBFdiHxlNd6I3m/6IMVAG0BFdiHxlNdQ8Na）。</w:t>
      </w:r>
    </w:p>
    <w:p>
      <w:pPr>
        <w:pStyle w:val="24"/>
        <w:spacing w:line="360" w:lineRule="auto"/>
        <w:ind w:firstLine="482" w:firstLineChars="200"/>
        <w:rPr>
          <w:rFonts w:hAnsi="宋体" w:cs="仿宋"/>
          <w:b/>
          <w:bCs/>
          <w:sz w:val="24"/>
          <w:highlight w:val="none"/>
        </w:rPr>
      </w:pPr>
      <w:r>
        <w:rPr>
          <w:rFonts w:hint="eastAsia" w:hAnsi="宋体" w:cs="仿宋"/>
          <w:b/>
          <w:bCs/>
          <w:sz w:val="24"/>
          <w:highlight w:val="none"/>
        </w:rPr>
        <w:t>（九）投标文件的形式及份数</w:t>
      </w:r>
    </w:p>
    <w:p>
      <w:pPr>
        <w:pStyle w:val="24"/>
        <w:wordWrap w:val="0"/>
        <w:spacing w:line="360" w:lineRule="auto"/>
        <w:ind w:firstLine="480" w:firstLineChars="200"/>
        <w:rPr>
          <w:rFonts w:hint="eastAsia" w:hAnsi="宋体" w:cs="仿宋"/>
          <w:sz w:val="24"/>
          <w:highlight w:val="none"/>
        </w:rPr>
      </w:pPr>
      <w:r>
        <w:rPr>
          <w:rFonts w:hint="eastAsia" w:hAnsi="宋体" w:cs="仿宋"/>
          <w:sz w:val="24"/>
          <w:highlight w:val="none"/>
        </w:rPr>
        <w:t>1、投标文件的形式及份数：详见《投标人须知前附表》。</w:t>
      </w:r>
    </w:p>
    <w:p>
      <w:pPr>
        <w:pStyle w:val="24"/>
        <w:wordWrap w:val="0"/>
        <w:spacing w:line="360" w:lineRule="auto"/>
        <w:ind w:firstLine="480" w:firstLineChars="200"/>
        <w:rPr>
          <w:rFonts w:hint="eastAsia" w:hAnsi="宋体" w:cs="仿宋"/>
          <w:sz w:val="24"/>
          <w:highlight w:val="none"/>
        </w:rPr>
      </w:pPr>
      <w:r>
        <w:rPr>
          <w:rFonts w:hint="eastAsia" w:hAnsi="宋体" w:cs="仿宋"/>
          <w:sz w:val="24"/>
          <w:highlight w:val="none"/>
        </w:rPr>
        <w:t xml:space="preserve">2、“电子加密投标文件”：“电子加密投标文件”是指通过“政采云电子交易客户端”完成投标文件编制后生成并加密的数据电文形式的投标文件。 </w:t>
      </w:r>
    </w:p>
    <w:p>
      <w:pPr>
        <w:rPr>
          <w:rFonts w:hint="eastAsia"/>
          <w:highlight w:val="none"/>
        </w:rPr>
      </w:pPr>
    </w:p>
    <w:p>
      <w:pPr>
        <w:spacing w:before="156" w:beforeLines="50" w:after="156" w:afterLines="50" w:line="360" w:lineRule="auto"/>
        <w:jc w:val="center"/>
        <w:rPr>
          <w:rFonts w:ascii="宋体" w:hAnsi="宋体" w:eastAsia="黑体" w:cs="宋体"/>
          <w:b/>
          <w:sz w:val="24"/>
          <w:highlight w:val="none"/>
        </w:rPr>
      </w:pPr>
      <w:r>
        <w:rPr>
          <w:rFonts w:hint="eastAsia" w:ascii="黑体" w:hAnsi="黑体" w:eastAsia="黑体" w:cs="黑体"/>
          <w:b/>
          <w:sz w:val="32"/>
          <w:szCs w:val="32"/>
          <w:highlight w:val="none"/>
        </w:rPr>
        <w:t>第五节  投标</w:t>
      </w:r>
    </w:p>
    <w:p>
      <w:pPr>
        <w:pStyle w:val="24"/>
        <w:wordWrap w:val="0"/>
        <w:spacing w:line="360" w:lineRule="auto"/>
        <w:ind w:firstLine="482" w:firstLineChars="200"/>
        <w:rPr>
          <w:rFonts w:hint="eastAsia" w:hAnsi="宋体" w:cs="仿宋"/>
          <w:b/>
          <w:bCs/>
          <w:sz w:val="24"/>
          <w:highlight w:val="none"/>
        </w:rPr>
      </w:pPr>
      <w:r>
        <w:rPr>
          <w:rFonts w:hint="eastAsia" w:hAnsi="宋体" w:cs="仿宋"/>
          <w:b/>
          <w:bCs/>
          <w:sz w:val="24"/>
          <w:highlight w:val="none"/>
        </w:rPr>
        <w:t>（一）投标文件的上传、递交</w:t>
      </w:r>
    </w:p>
    <w:p>
      <w:pPr>
        <w:pStyle w:val="24"/>
        <w:wordWrap w:val="0"/>
        <w:spacing w:line="360" w:lineRule="auto"/>
        <w:ind w:firstLine="480" w:firstLineChars="200"/>
        <w:rPr>
          <w:rFonts w:hint="eastAsia" w:hAnsi="宋体" w:cs="仿宋"/>
          <w:sz w:val="24"/>
          <w:highlight w:val="none"/>
        </w:rPr>
      </w:pPr>
      <w:r>
        <w:rPr>
          <w:rFonts w:hint="eastAsia" w:hAnsi="宋体" w:cs="仿宋"/>
          <w:sz w:val="24"/>
          <w:highlight w:val="none"/>
        </w:rPr>
        <w:t>1、</w:t>
      </w:r>
      <w:r>
        <w:rPr>
          <w:rFonts w:hint="eastAsia" w:hAnsi="宋体" w:cs="仿宋"/>
          <w:b/>
          <w:bCs/>
          <w:sz w:val="24"/>
          <w:highlight w:val="none"/>
        </w:rPr>
        <w:t>电子投标文件的上传和递交：</w:t>
      </w:r>
      <w:r>
        <w:rPr>
          <w:rFonts w:hint="eastAsia" w:hAnsi="宋体" w:cs="仿宋"/>
          <w:sz w:val="24"/>
          <w:highlight w:val="none"/>
        </w:rPr>
        <w:t xml:space="preserve">本项目通过“政府采购云平台（www.zcygov.cn）”实行在线投标响应（电子投标），投标供应商应当在投标截止时间前，将生成的“电子加密投标文件”上传递交至“政府采购云平台”，投标截止时间前未完成上传、递交的，视为未提交投标文件，其投标作无效处理。投标截止时间以后传输提交的投标文件，将被拒收。 </w:t>
      </w:r>
    </w:p>
    <w:p>
      <w:pPr>
        <w:pStyle w:val="24"/>
        <w:wordWrap w:val="0"/>
        <w:spacing w:line="360" w:lineRule="auto"/>
        <w:ind w:firstLine="480" w:firstLineChars="200"/>
        <w:rPr>
          <w:rFonts w:hAnsi="宋体" w:cs="仿宋"/>
          <w:sz w:val="24"/>
          <w:highlight w:val="none"/>
        </w:rPr>
      </w:pPr>
      <w:r>
        <w:rPr>
          <w:rFonts w:hint="eastAsia" w:hAnsi="宋体" w:cs="仿宋"/>
          <w:sz w:val="24"/>
          <w:highlight w:val="none"/>
        </w:rPr>
        <w:t>2、采购人如因故推迟投标截止时间，应以书面形式通知所有投标人。在这种情况下，采购人和投标人的权利和义务将受到新的投标截止时间的约束。</w:t>
      </w:r>
    </w:p>
    <w:p>
      <w:pPr>
        <w:pStyle w:val="24"/>
        <w:wordWrap w:val="0"/>
        <w:spacing w:line="360" w:lineRule="auto"/>
        <w:ind w:firstLine="482" w:firstLineChars="200"/>
        <w:rPr>
          <w:rFonts w:hint="eastAsia" w:hAnsi="宋体" w:cs="仿宋"/>
          <w:sz w:val="24"/>
          <w:highlight w:val="none"/>
        </w:rPr>
      </w:pPr>
      <w:r>
        <w:rPr>
          <w:rFonts w:hint="eastAsia" w:hAnsi="宋体" w:cs="仿宋"/>
          <w:b/>
          <w:bCs/>
          <w:sz w:val="24"/>
          <w:highlight w:val="none"/>
        </w:rPr>
        <w:t>（二）投标文件的补充、修改或撤回</w:t>
      </w:r>
      <w:r>
        <w:rPr>
          <w:rFonts w:hint="eastAsia" w:hAnsi="宋体" w:cs="仿宋"/>
          <w:sz w:val="24"/>
          <w:highlight w:val="none"/>
        </w:rPr>
        <w:t xml:space="preserve"> </w:t>
      </w:r>
    </w:p>
    <w:p>
      <w:pPr>
        <w:pStyle w:val="24"/>
        <w:wordWrap w:val="0"/>
        <w:spacing w:line="360" w:lineRule="auto"/>
        <w:ind w:firstLine="480" w:firstLineChars="200"/>
        <w:rPr>
          <w:rFonts w:hint="eastAsia" w:hAnsi="宋体" w:cs="仿宋"/>
          <w:sz w:val="24"/>
          <w:highlight w:val="none"/>
        </w:rPr>
      </w:pPr>
      <w:r>
        <w:rPr>
          <w:rFonts w:hint="eastAsia" w:hAnsi="宋体" w:cs="仿宋"/>
          <w:sz w:val="24"/>
          <w:highlight w:val="none"/>
        </w:rPr>
        <w:t>1、供应商应当在投标截止时间前完成投标文件的上传、递交，投标人在投标以后如必须补充、修改或撤回投标文件，必须在投标截止时间以前在“政府采购云平台”上补充、修改或撤回投标文件。补充或者修改投标文件的，应当先行撤回原文件，补充、修改后重新上传、递交。投标截止时间前未完成上传、递交的，视为撤回投标文件。投标截止时间后递交的投标文件，“政府采购云平台”将予以拒收。</w:t>
      </w:r>
    </w:p>
    <w:p>
      <w:pPr>
        <w:pStyle w:val="24"/>
        <w:wordWrap w:val="0"/>
        <w:spacing w:line="360" w:lineRule="auto"/>
        <w:ind w:firstLine="480" w:firstLineChars="200"/>
        <w:rPr>
          <w:rFonts w:hint="eastAsia" w:hAnsi="宋体" w:cs="仿宋"/>
          <w:sz w:val="24"/>
          <w:highlight w:val="none"/>
        </w:rPr>
      </w:pPr>
      <w:r>
        <w:rPr>
          <w:rFonts w:hint="eastAsia" w:hAnsi="宋体" w:cs="仿宋"/>
          <w:sz w:val="24"/>
          <w:highlight w:val="none"/>
        </w:rPr>
        <w:t xml:space="preserve">2、投标截止时间后，投标供应商不得撤回、修改投标文件。 </w:t>
      </w:r>
    </w:p>
    <w:p>
      <w:pPr>
        <w:pStyle w:val="24"/>
        <w:wordWrap w:val="0"/>
        <w:spacing w:line="360" w:lineRule="auto"/>
        <w:ind w:firstLine="482" w:firstLineChars="200"/>
        <w:rPr>
          <w:rFonts w:hint="eastAsia" w:hAnsi="宋体" w:cs="仿宋"/>
          <w:sz w:val="24"/>
          <w:highlight w:val="none"/>
        </w:rPr>
      </w:pPr>
      <w:r>
        <w:rPr>
          <w:rFonts w:hint="eastAsia" w:hAnsi="宋体" w:cs="仿宋"/>
          <w:b/>
          <w:bCs/>
          <w:sz w:val="24"/>
          <w:highlight w:val="none"/>
        </w:rPr>
        <w:t>（三）备选投标方案</w:t>
      </w:r>
      <w:r>
        <w:rPr>
          <w:rFonts w:hint="eastAsia" w:hAnsi="宋体" w:cs="仿宋"/>
          <w:sz w:val="24"/>
          <w:highlight w:val="none"/>
        </w:rPr>
        <w:t xml:space="preserve"> </w:t>
      </w:r>
    </w:p>
    <w:p>
      <w:pPr>
        <w:pStyle w:val="24"/>
        <w:wordWrap w:val="0"/>
        <w:spacing w:line="360" w:lineRule="auto"/>
        <w:ind w:firstLine="480" w:firstLineChars="200"/>
        <w:rPr>
          <w:rFonts w:hint="eastAsia" w:hAnsi="宋体" w:cs="仿宋"/>
          <w:sz w:val="24"/>
          <w:highlight w:val="none"/>
        </w:rPr>
      </w:pPr>
      <w:r>
        <w:rPr>
          <w:rFonts w:hint="eastAsia" w:hAnsi="宋体" w:cs="仿宋"/>
          <w:sz w:val="24"/>
          <w:highlight w:val="none"/>
        </w:rPr>
        <w:t>投标人不得递交任何的备选（替代）投标方案，否则其投标文件将被判定为无效标处理。</w:t>
      </w:r>
    </w:p>
    <w:p>
      <w:pPr>
        <w:pStyle w:val="24"/>
        <w:numPr>
          <w:ilvl w:val="0"/>
          <w:numId w:val="6"/>
        </w:numPr>
        <w:wordWrap w:val="0"/>
        <w:spacing w:line="360" w:lineRule="auto"/>
        <w:ind w:firstLine="482" w:firstLineChars="200"/>
        <w:rPr>
          <w:rFonts w:hint="eastAsia" w:hAnsi="宋体" w:cs="仿宋"/>
          <w:b/>
          <w:bCs/>
          <w:sz w:val="24"/>
          <w:highlight w:val="none"/>
        </w:rPr>
      </w:pPr>
      <w:r>
        <w:rPr>
          <w:rFonts w:hint="eastAsia" w:hAnsi="宋体" w:cs="仿宋"/>
          <w:b/>
          <w:bCs/>
          <w:sz w:val="24"/>
          <w:highlight w:val="none"/>
        </w:rPr>
        <w:t>不予受理的投标文件</w:t>
      </w:r>
    </w:p>
    <w:p>
      <w:pPr>
        <w:pStyle w:val="24"/>
        <w:numPr>
          <w:ilvl w:val="0"/>
          <w:numId w:val="7"/>
        </w:numPr>
        <w:wordWrap w:val="0"/>
        <w:spacing w:line="360" w:lineRule="auto"/>
        <w:ind w:firstLine="480" w:firstLineChars="200"/>
        <w:rPr>
          <w:rFonts w:hint="eastAsia" w:hAnsi="宋体" w:cs="仿宋"/>
          <w:sz w:val="24"/>
          <w:highlight w:val="none"/>
        </w:rPr>
      </w:pPr>
      <w:r>
        <w:rPr>
          <w:rFonts w:hint="eastAsia" w:hAnsi="宋体" w:cs="仿宋"/>
          <w:sz w:val="24"/>
          <w:highlight w:val="none"/>
        </w:rPr>
        <w:t>在投标截止时间以后送达的投标文件；</w:t>
      </w:r>
    </w:p>
    <w:p>
      <w:pPr>
        <w:rPr>
          <w:highlight w:val="none"/>
        </w:rPr>
      </w:pPr>
    </w:p>
    <w:p>
      <w:pPr>
        <w:spacing w:before="156" w:beforeLines="50" w:after="156" w:afterLines="50" w:line="360" w:lineRule="auto"/>
        <w:jc w:val="center"/>
        <w:rPr>
          <w:rFonts w:hint="eastAsia" w:hAnsi="宋体" w:cs="仿宋"/>
          <w:sz w:val="24"/>
          <w:highlight w:val="none"/>
        </w:rPr>
      </w:pPr>
      <w:r>
        <w:rPr>
          <w:rFonts w:hint="eastAsia" w:ascii="黑体" w:hAnsi="黑体" w:eastAsia="黑体" w:cs="黑体"/>
          <w:b/>
          <w:sz w:val="32"/>
          <w:szCs w:val="32"/>
          <w:highlight w:val="none"/>
        </w:rPr>
        <w:t>第六节  开标</w:t>
      </w:r>
    </w:p>
    <w:p>
      <w:pPr>
        <w:pStyle w:val="24"/>
        <w:wordWrap w:val="0"/>
        <w:spacing w:line="360" w:lineRule="auto"/>
        <w:ind w:firstLine="482" w:firstLineChars="200"/>
        <w:rPr>
          <w:rFonts w:hint="eastAsia" w:hAnsi="宋体" w:cs="仿宋"/>
          <w:b/>
          <w:bCs/>
          <w:sz w:val="24"/>
          <w:highlight w:val="none"/>
        </w:rPr>
      </w:pPr>
      <w:r>
        <w:rPr>
          <w:rFonts w:hint="eastAsia" w:hAnsi="宋体" w:cs="仿宋"/>
          <w:b/>
          <w:bCs/>
          <w:sz w:val="24"/>
          <w:highlight w:val="none"/>
        </w:rPr>
        <w:t>（一）开标准备</w:t>
      </w:r>
    </w:p>
    <w:p>
      <w:pPr>
        <w:pStyle w:val="24"/>
        <w:wordWrap w:val="0"/>
        <w:spacing w:line="360" w:lineRule="auto"/>
        <w:ind w:firstLine="480" w:firstLineChars="200"/>
        <w:rPr>
          <w:rFonts w:hint="eastAsia" w:hAnsi="宋体" w:cs="仿宋"/>
          <w:sz w:val="24"/>
          <w:highlight w:val="none"/>
        </w:rPr>
      </w:pPr>
      <w:r>
        <w:rPr>
          <w:rFonts w:hint="eastAsia" w:hAnsi="宋体" w:cs="仿宋"/>
          <w:sz w:val="24"/>
          <w:highlight w:val="none"/>
        </w:rPr>
        <w:t>采购代理机构按招标文件规定的时间、地点通过“政府采购云平台”组织开标、开启投标文件，所有供应商均应当准时在线参加。投标供应商因未在线参加开标而导致投标文件无法按时解密等一切后果由供应商自行承担。</w:t>
      </w:r>
    </w:p>
    <w:p>
      <w:pPr>
        <w:pStyle w:val="24"/>
        <w:wordWrap w:val="0"/>
        <w:spacing w:line="360" w:lineRule="auto"/>
        <w:ind w:firstLine="482" w:firstLineChars="200"/>
        <w:rPr>
          <w:rFonts w:hAnsi="宋体" w:cs="仿宋"/>
          <w:b/>
          <w:bCs/>
          <w:sz w:val="24"/>
          <w:highlight w:val="none"/>
        </w:rPr>
      </w:pPr>
      <w:r>
        <w:rPr>
          <w:rFonts w:hint="eastAsia" w:hAnsi="宋体" w:cs="仿宋"/>
          <w:b/>
          <w:bCs/>
          <w:sz w:val="24"/>
          <w:highlight w:val="none"/>
        </w:rPr>
        <w:t>（二）在线解密</w:t>
      </w:r>
    </w:p>
    <w:p>
      <w:pPr>
        <w:pStyle w:val="24"/>
        <w:wordWrap w:val="0"/>
        <w:spacing w:line="360" w:lineRule="auto"/>
        <w:ind w:firstLine="480" w:firstLineChars="200"/>
        <w:rPr>
          <w:rFonts w:hint="eastAsia" w:hAnsi="宋体" w:cs="仿宋"/>
          <w:sz w:val="24"/>
          <w:highlight w:val="none"/>
        </w:rPr>
      </w:pPr>
      <w:r>
        <w:rPr>
          <w:rFonts w:hint="eastAsia" w:hAnsi="宋体" w:cs="仿宋"/>
          <w:sz w:val="24"/>
          <w:highlight w:val="none"/>
        </w:rPr>
        <w:t>1、开标后，采购组织机构将向各投标人发出“电子加密投标文件”的解密通知，各投标人代表应当在接到解密通知后30分钟内自行完成“电子加密投标文件”的在线解密。</w:t>
      </w:r>
    </w:p>
    <w:p>
      <w:pPr>
        <w:pStyle w:val="24"/>
        <w:wordWrap w:val="0"/>
        <w:spacing w:line="360" w:lineRule="auto"/>
        <w:ind w:firstLine="480" w:firstLineChars="200"/>
        <w:rPr>
          <w:rFonts w:hint="eastAsia" w:hAnsi="宋体" w:cs="仿宋"/>
          <w:sz w:val="24"/>
          <w:highlight w:val="none"/>
        </w:rPr>
      </w:pPr>
      <w:r>
        <w:rPr>
          <w:rFonts w:hint="eastAsia" w:hAnsi="宋体" w:cs="仿宋"/>
          <w:sz w:val="24"/>
          <w:highlight w:val="none"/>
        </w:rPr>
        <w:t>2、通过“政府采购云平台”成功上传递交的“电子加密投标文件”无法按时解密的，其投标文件按拒收处理。</w:t>
      </w:r>
    </w:p>
    <w:p>
      <w:pPr>
        <w:pStyle w:val="24"/>
        <w:wordWrap w:val="0"/>
        <w:spacing w:line="360" w:lineRule="auto"/>
        <w:ind w:firstLine="482" w:firstLineChars="200"/>
        <w:rPr>
          <w:rFonts w:hint="eastAsia" w:hAnsi="宋体" w:cs="仿宋"/>
          <w:b/>
          <w:bCs/>
          <w:sz w:val="24"/>
          <w:highlight w:val="none"/>
        </w:rPr>
      </w:pPr>
      <w:r>
        <w:rPr>
          <w:rFonts w:hint="eastAsia" w:hAnsi="宋体" w:cs="仿宋"/>
          <w:b/>
          <w:bCs/>
          <w:sz w:val="24"/>
          <w:highlight w:val="none"/>
        </w:rPr>
        <w:t>（三）开标流程</w:t>
      </w:r>
    </w:p>
    <w:p>
      <w:pPr>
        <w:pStyle w:val="24"/>
        <w:wordWrap w:val="0"/>
        <w:spacing w:line="360" w:lineRule="auto"/>
        <w:ind w:firstLine="480" w:firstLineChars="200"/>
        <w:rPr>
          <w:rFonts w:hint="eastAsia" w:hAnsi="宋体" w:cs="仿宋"/>
          <w:sz w:val="24"/>
          <w:highlight w:val="none"/>
        </w:rPr>
      </w:pPr>
      <w:r>
        <w:rPr>
          <w:rFonts w:hint="eastAsia" w:hAnsi="宋体" w:cs="仿宋"/>
          <w:sz w:val="24"/>
          <w:highlight w:val="none"/>
        </w:rPr>
        <w:t>1、向各投标供应商发出电子加密投标文件【开始解密】通知，由供应商按招标文件规定的时间内自行进行投标文件解密。投标供应商在规定的时间内无法完成已递交的“电子加密投标文件”解密的，其投标文件按拒收处理。</w:t>
      </w:r>
    </w:p>
    <w:p>
      <w:pPr>
        <w:pStyle w:val="24"/>
        <w:wordWrap w:val="0"/>
        <w:spacing w:line="360" w:lineRule="auto"/>
        <w:ind w:firstLine="480" w:firstLineChars="200"/>
        <w:rPr>
          <w:rFonts w:hint="eastAsia" w:hAnsi="宋体" w:cs="仿宋"/>
          <w:sz w:val="24"/>
          <w:highlight w:val="none"/>
        </w:rPr>
      </w:pPr>
      <w:r>
        <w:rPr>
          <w:rFonts w:hint="eastAsia" w:hAnsi="宋体" w:cs="仿宋"/>
          <w:sz w:val="24"/>
          <w:highlight w:val="none"/>
        </w:rPr>
        <w:t>2、投标文件解密结束，开启资格审查文件，进入资格审查环节，采购代理机构或者采购单位代表将依法对投标供应商的资格进行审查，具体见本章节“投标人资格审查”的相关规定。</w:t>
      </w:r>
    </w:p>
    <w:p>
      <w:pPr>
        <w:pStyle w:val="24"/>
        <w:wordWrap w:val="0"/>
        <w:spacing w:line="360" w:lineRule="auto"/>
        <w:ind w:firstLine="480" w:firstLineChars="200"/>
        <w:rPr>
          <w:rFonts w:hint="eastAsia" w:hAnsi="宋体" w:cs="仿宋"/>
          <w:sz w:val="24"/>
          <w:highlight w:val="none"/>
        </w:rPr>
      </w:pPr>
      <w:r>
        <w:rPr>
          <w:rFonts w:hint="eastAsia" w:hAnsi="宋体" w:cs="仿宋"/>
          <w:sz w:val="24"/>
          <w:highlight w:val="none"/>
        </w:rPr>
        <w:t>3、开启资格审查通过的投标供应商的商务技术文件进入符合性审查及商务技术评审。</w:t>
      </w:r>
    </w:p>
    <w:p>
      <w:pPr>
        <w:pStyle w:val="24"/>
        <w:wordWrap w:val="0"/>
        <w:spacing w:line="360" w:lineRule="auto"/>
        <w:ind w:firstLine="480" w:firstLineChars="200"/>
        <w:rPr>
          <w:rFonts w:hint="eastAsia" w:hAnsi="宋体" w:cs="仿宋"/>
          <w:sz w:val="24"/>
          <w:highlight w:val="none"/>
        </w:rPr>
      </w:pPr>
      <w:r>
        <w:rPr>
          <w:rFonts w:hint="eastAsia" w:hAnsi="宋体" w:cs="仿宋"/>
          <w:sz w:val="24"/>
          <w:highlight w:val="none"/>
        </w:rPr>
        <w:t xml:space="preserve">4、符合性审查、商务技术评审结束后，开启符合性审查、商务技术评审有效投标供应商的报价文件。由评标委员会对报价文件的符合性等进行审查核实。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 </w:t>
      </w:r>
    </w:p>
    <w:p>
      <w:pPr>
        <w:pStyle w:val="24"/>
        <w:wordWrap w:val="0"/>
        <w:spacing w:line="360" w:lineRule="auto"/>
        <w:ind w:firstLine="480" w:firstLineChars="200"/>
        <w:rPr>
          <w:rFonts w:hint="eastAsia" w:hAnsi="宋体" w:cs="仿宋"/>
          <w:sz w:val="24"/>
          <w:highlight w:val="none"/>
        </w:rPr>
      </w:pPr>
      <w:r>
        <w:rPr>
          <w:rFonts w:hint="eastAsia" w:hAnsi="宋体" w:cs="仿宋"/>
          <w:sz w:val="24"/>
          <w:highlight w:val="none"/>
        </w:rPr>
        <w:t xml:space="preserve">5、开标时，报价文件中投标报价出现前后不一致的，按照下列规定修正： </w:t>
      </w:r>
    </w:p>
    <w:p>
      <w:pPr>
        <w:pStyle w:val="24"/>
        <w:wordWrap w:val="0"/>
        <w:spacing w:line="360" w:lineRule="auto"/>
        <w:ind w:firstLine="480" w:firstLineChars="200"/>
        <w:rPr>
          <w:rFonts w:hint="eastAsia" w:hAnsi="宋体" w:cs="仿宋"/>
          <w:sz w:val="24"/>
          <w:highlight w:val="none"/>
        </w:rPr>
      </w:pPr>
      <w:r>
        <w:rPr>
          <w:rFonts w:hint="eastAsia" w:hAnsi="宋体" w:cs="仿宋"/>
          <w:sz w:val="24"/>
          <w:highlight w:val="none"/>
        </w:rPr>
        <w:t>（1）投标文件中开标一览表内容与投标文件中相应内容不一致的，以开标一览表为准；</w:t>
      </w:r>
    </w:p>
    <w:p>
      <w:pPr>
        <w:pStyle w:val="24"/>
        <w:wordWrap w:val="0"/>
        <w:spacing w:line="360" w:lineRule="auto"/>
        <w:ind w:firstLine="480" w:firstLineChars="200"/>
        <w:rPr>
          <w:rFonts w:hint="eastAsia" w:hAnsi="宋体" w:cs="仿宋"/>
          <w:sz w:val="24"/>
          <w:highlight w:val="none"/>
        </w:rPr>
      </w:pPr>
      <w:r>
        <w:rPr>
          <w:rFonts w:hint="eastAsia" w:hAnsi="宋体" w:cs="仿宋"/>
          <w:sz w:val="24"/>
          <w:highlight w:val="none"/>
        </w:rPr>
        <w:t>（2）大写金额和小写金额不一致的，以大写金额为准；</w:t>
      </w:r>
    </w:p>
    <w:p>
      <w:pPr>
        <w:pStyle w:val="24"/>
        <w:wordWrap w:val="0"/>
        <w:spacing w:line="360" w:lineRule="auto"/>
        <w:ind w:firstLine="480" w:firstLineChars="200"/>
        <w:rPr>
          <w:rFonts w:hint="eastAsia" w:hAnsi="宋体" w:cs="仿宋"/>
          <w:sz w:val="24"/>
          <w:highlight w:val="none"/>
        </w:rPr>
      </w:pPr>
      <w:r>
        <w:rPr>
          <w:rFonts w:hint="eastAsia" w:hAnsi="宋体" w:cs="仿宋"/>
          <w:sz w:val="24"/>
          <w:highlight w:val="none"/>
        </w:rPr>
        <w:t>（3）单价金额小数点或者百分比有明显错位的，以开标一览表的总价为准，并修改单价；</w:t>
      </w:r>
    </w:p>
    <w:p>
      <w:pPr>
        <w:pStyle w:val="24"/>
        <w:wordWrap w:val="0"/>
        <w:spacing w:line="360" w:lineRule="auto"/>
        <w:ind w:firstLine="480" w:firstLineChars="200"/>
        <w:rPr>
          <w:rFonts w:hint="eastAsia" w:hAnsi="宋体" w:cs="仿宋"/>
          <w:sz w:val="24"/>
          <w:highlight w:val="none"/>
        </w:rPr>
      </w:pPr>
      <w:r>
        <w:rPr>
          <w:rFonts w:hint="eastAsia" w:hAnsi="宋体" w:cs="仿宋"/>
          <w:sz w:val="24"/>
          <w:highlight w:val="none"/>
        </w:rPr>
        <w:t>（4）总价金额与按单价汇总金额不一致的，以单价金额计算结果为准。</w:t>
      </w:r>
    </w:p>
    <w:p>
      <w:pPr>
        <w:pStyle w:val="24"/>
        <w:wordWrap w:val="0"/>
        <w:spacing w:line="360" w:lineRule="auto"/>
        <w:ind w:firstLine="480" w:firstLineChars="200"/>
        <w:rPr>
          <w:rFonts w:hint="eastAsia" w:hAnsi="宋体" w:cs="仿宋"/>
          <w:sz w:val="24"/>
          <w:highlight w:val="none"/>
        </w:rPr>
      </w:pPr>
      <w:r>
        <w:rPr>
          <w:rFonts w:hint="eastAsia" w:hAnsi="宋体" w:cs="仿宋"/>
          <w:sz w:val="24"/>
          <w:highlight w:val="none"/>
        </w:rPr>
        <w:t xml:space="preserve">同时出现两种以上不一致的，按照前款规定的顺序修正。修正后的报价按照《政府采购货物和服务招标投标管理办法》（财政部令第87号）第五十一条第二款的规定经投标供应商确认后产生约束力，投标供应商不确认的，其投标无效。 </w:t>
      </w:r>
    </w:p>
    <w:p>
      <w:pPr>
        <w:pStyle w:val="24"/>
        <w:wordWrap w:val="0"/>
        <w:spacing w:line="360" w:lineRule="auto"/>
        <w:ind w:firstLine="480" w:firstLineChars="200"/>
        <w:rPr>
          <w:rFonts w:hint="eastAsia" w:hAnsi="宋体" w:cs="仿宋"/>
          <w:sz w:val="24"/>
          <w:highlight w:val="none"/>
        </w:rPr>
      </w:pPr>
      <w:r>
        <w:rPr>
          <w:rFonts w:hint="eastAsia" w:hAnsi="宋体" w:cs="仿宋"/>
          <w:sz w:val="24"/>
          <w:highlight w:val="none"/>
        </w:rPr>
        <w:t>6、评审结束后，公布采购结果。</w:t>
      </w:r>
    </w:p>
    <w:p>
      <w:pPr>
        <w:pStyle w:val="24"/>
        <w:wordWrap w:val="0"/>
        <w:spacing w:line="360" w:lineRule="auto"/>
        <w:ind w:firstLine="482" w:firstLineChars="200"/>
        <w:rPr>
          <w:rFonts w:hint="eastAsia" w:hAnsi="宋体" w:cs="仿宋"/>
          <w:b/>
          <w:bCs/>
          <w:sz w:val="24"/>
          <w:highlight w:val="none"/>
        </w:rPr>
      </w:pPr>
      <w:r>
        <w:rPr>
          <w:rFonts w:hint="eastAsia" w:hAnsi="宋体" w:cs="仿宋"/>
          <w:b/>
          <w:bCs/>
          <w:sz w:val="24"/>
          <w:highlight w:val="none"/>
        </w:rPr>
        <w:t>特别说明：如遇“政府采购云平台”电子化开标或评审程序调整的，按调整后程序执行。</w:t>
      </w:r>
    </w:p>
    <w:p>
      <w:pPr>
        <w:pStyle w:val="24"/>
        <w:wordWrap w:val="0"/>
        <w:spacing w:line="360" w:lineRule="auto"/>
        <w:ind w:firstLine="482" w:firstLineChars="200"/>
        <w:rPr>
          <w:rFonts w:hint="eastAsia" w:hAnsi="宋体" w:cs="仿宋"/>
          <w:b/>
          <w:bCs/>
          <w:sz w:val="24"/>
          <w:highlight w:val="none"/>
        </w:rPr>
      </w:pPr>
      <w:r>
        <w:rPr>
          <w:rFonts w:hint="eastAsia" w:hAnsi="宋体" w:cs="仿宋"/>
          <w:b/>
          <w:bCs/>
          <w:sz w:val="24"/>
          <w:highlight w:val="none"/>
        </w:rPr>
        <w:t xml:space="preserve">（四）投标人资格审查 </w:t>
      </w:r>
    </w:p>
    <w:p>
      <w:pPr>
        <w:pStyle w:val="24"/>
        <w:wordWrap w:val="0"/>
        <w:spacing w:line="360" w:lineRule="auto"/>
        <w:ind w:firstLine="480" w:firstLineChars="200"/>
        <w:rPr>
          <w:rFonts w:hint="eastAsia" w:hAnsi="宋体" w:cs="仿宋"/>
          <w:sz w:val="24"/>
          <w:highlight w:val="none"/>
        </w:rPr>
      </w:pPr>
      <w:r>
        <w:rPr>
          <w:rFonts w:hint="eastAsia" w:hAnsi="宋体" w:cs="仿宋"/>
          <w:sz w:val="24"/>
          <w:highlight w:val="none"/>
        </w:rPr>
        <w:t xml:space="preserve">1、投标文件解密结束，开启资格审查文件，进入资格审查环节，采购代理机构或者采购人代表将依法对投标供应商的资格进行审查，资格审查人员对投标供应商所提交的资格证明材料仅负审核的责任。如发现投标供应商所提交的资格证明材料不合法或与事实不符，采购人可取消其中标资格并追究投标供应商的法律责任。 </w:t>
      </w:r>
    </w:p>
    <w:p>
      <w:pPr>
        <w:pStyle w:val="24"/>
        <w:wordWrap w:val="0"/>
        <w:spacing w:line="360" w:lineRule="auto"/>
        <w:ind w:firstLine="480" w:firstLineChars="200"/>
        <w:rPr>
          <w:rFonts w:hint="eastAsia" w:hAnsi="宋体" w:cs="仿宋"/>
          <w:sz w:val="24"/>
          <w:highlight w:val="none"/>
        </w:rPr>
      </w:pPr>
      <w:r>
        <w:rPr>
          <w:rFonts w:hint="eastAsia" w:hAnsi="宋体" w:cs="仿宋"/>
          <w:sz w:val="24"/>
          <w:highlight w:val="none"/>
        </w:rPr>
        <w:t xml:space="preserve">2、投标供应商提交的资格证明材料不全或者不符合招标文件标明的资格要求的，无法证明其符合招标文件规定的“投标供应商资格要求”时，将对其作资格审查不通过处理（无效投标），并不再将其投标进行后续评审。 </w:t>
      </w:r>
    </w:p>
    <w:p>
      <w:pPr>
        <w:pStyle w:val="24"/>
        <w:wordWrap w:val="0"/>
        <w:spacing w:line="360" w:lineRule="auto"/>
        <w:ind w:firstLine="480" w:firstLineChars="200"/>
        <w:rPr>
          <w:rFonts w:hint="eastAsia" w:hAnsi="宋体" w:cs="仿宋"/>
          <w:sz w:val="24"/>
          <w:highlight w:val="none"/>
        </w:rPr>
      </w:pPr>
      <w:r>
        <w:rPr>
          <w:rFonts w:hint="eastAsia" w:hAnsi="宋体" w:cs="仿宋"/>
          <w:sz w:val="24"/>
          <w:highlight w:val="none"/>
        </w:rPr>
        <w:t xml:space="preserve">3、单位负责人为同一人或者存在直接控股、管理关系的不同供应商参加同一合同项下的政府采购活动的，相关投标供应商均作资格无效处理。 </w:t>
      </w:r>
    </w:p>
    <w:p>
      <w:pPr>
        <w:pStyle w:val="24"/>
        <w:wordWrap w:val="0"/>
        <w:spacing w:line="360" w:lineRule="auto"/>
        <w:ind w:firstLine="480" w:firstLineChars="200"/>
        <w:rPr>
          <w:rFonts w:hint="eastAsia"/>
          <w:highlight w:val="none"/>
        </w:rPr>
      </w:pPr>
      <w:r>
        <w:rPr>
          <w:rFonts w:hint="eastAsia" w:hAnsi="宋体" w:cs="仿宋"/>
          <w:sz w:val="24"/>
          <w:highlight w:val="none"/>
        </w:rPr>
        <w:t>4、投标文件中提供的资格条件证明材料无法证明其满足招标文件规定资格条件，为无效投标。</w:t>
      </w:r>
    </w:p>
    <w:p>
      <w:pPr>
        <w:spacing w:before="156" w:beforeLines="50" w:after="156" w:afterLines="50" w:line="360" w:lineRule="auto"/>
        <w:jc w:val="center"/>
        <w:rPr>
          <w:rFonts w:hint="eastAsia" w:hAnsi="宋体" w:cs="仿宋"/>
          <w:sz w:val="24"/>
          <w:highlight w:val="none"/>
        </w:rPr>
      </w:pPr>
      <w:r>
        <w:rPr>
          <w:rFonts w:hint="eastAsia" w:ascii="黑体" w:hAnsi="黑体" w:eastAsia="黑体" w:cs="黑体"/>
          <w:b/>
          <w:sz w:val="32"/>
          <w:szCs w:val="32"/>
          <w:highlight w:val="none"/>
        </w:rPr>
        <w:t>第七节  评标</w:t>
      </w:r>
    </w:p>
    <w:p>
      <w:pPr>
        <w:pStyle w:val="24"/>
        <w:spacing w:line="360" w:lineRule="auto"/>
        <w:ind w:firstLine="482" w:firstLineChars="200"/>
        <w:rPr>
          <w:rFonts w:hint="eastAsia" w:hAnsi="宋体" w:cs="仿宋"/>
          <w:b/>
          <w:bCs/>
          <w:sz w:val="24"/>
          <w:highlight w:val="none"/>
        </w:rPr>
      </w:pPr>
      <w:r>
        <w:rPr>
          <w:rFonts w:hint="eastAsia" w:hAnsi="宋体" w:cs="仿宋"/>
          <w:b/>
          <w:bCs/>
          <w:sz w:val="24"/>
          <w:highlight w:val="none"/>
        </w:rPr>
        <w:t>（一）评标委员会组成</w:t>
      </w:r>
    </w:p>
    <w:p>
      <w:pPr>
        <w:pStyle w:val="24"/>
        <w:spacing w:line="360" w:lineRule="auto"/>
        <w:ind w:firstLine="480" w:firstLineChars="200"/>
        <w:rPr>
          <w:rFonts w:hint="eastAsia" w:hAnsi="宋体" w:cs="仿宋"/>
          <w:sz w:val="24"/>
          <w:highlight w:val="none"/>
        </w:rPr>
      </w:pPr>
      <w:r>
        <w:rPr>
          <w:rFonts w:hint="eastAsia" w:hAnsi="宋体" w:cs="仿宋"/>
          <w:sz w:val="24"/>
          <w:highlight w:val="none"/>
        </w:rPr>
        <w:t>1、</w:t>
      </w:r>
      <w:r>
        <w:rPr>
          <w:rFonts w:hint="eastAsia" w:hAnsi="宋体" w:cs="仿宋"/>
          <w:b/>
          <w:bCs/>
          <w:sz w:val="24"/>
          <w:highlight w:val="none"/>
        </w:rPr>
        <w:t>评标委员会组成：</w:t>
      </w:r>
      <w:r>
        <w:rPr>
          <w:rFonts w:hint="eastAsia" w:hAnsi="宋体" w:cs="仿宋"/>
          <w:sz w:val="24"/>
          <w:highlight w:val="none"/>
        </w:rPr>
        <w:t>评标由依法组建的评标委员会负责，本项目评标委员会由政府采购评审专家（政府采购系统随机抽取）和采购人代表共 5 人及以上单数组成（其中采购人代表不超过评标委员会总人数的 1/3）。</w:t>
      </w:r>
    </w:p>
    <w:p>
      <w:pPr>
        <w:pStyle w:val="24"/>
        <w:spacing w:line="360" w:lineRule="auto"/>
        <w:ind w:firstLine="480" w:firstLineChars="200"/>
        <w:rPr>
          <w:rFonts w:hint="eastAsia" w:hAnsi="宋体" w:cs="仿宋"/>
          <w:sz w:val="24"/>
          <w:highlight w:val="none"/>
        </w:rPr>
      </w:pPr>
      <w:r>
        <w:rPr>
          <w:rFonts w:hint="eastAsia" w:hAnsi="宋体" w:cs="仿宋"/>
          <w:sz w:val="24"/>
          <w:highlight w:val="none"/>
        </w:rPr>
        <w:t>2、</w:t>
      </w:r>
      <w:r>
        <w:rPr>
          <w:rFonts w:hint="eastAsia" w:hAnsi="宋体" w:cs="仿宋"/>
          <w:b/>
          <w:bCs/>
          <w:sz w:val="24"/>
          <w:highlight w:val="none"/>
        </w:rPr>
        <w:t>评标委员会独立履行下列职责：</w:t>
      </w:r>
      <w:r>
        <w:rPr>
          <w:rFonts w:hint="eastAsia" w:hAnsi="宋体" w:cs="仿宋"/>
          <w:sz w:val="24"/>
          <w:highlight w:val="none"/>
        </w:rPr>
        <w:t xml:space="preserve"> </w:t>
      </w:r>
    </w:p>
    <w:p>
      <w:pPr>
        <w:pStyle w:val="24"/>
        <w:spacing w:line="360" w:lineRule="auto"/>
        <w:ind w:firstLine="480" w:firstLineChars="200"/>
        <w:rPr>
          <w:rFonts w:hint="eastAsia" w:hAnsi="宋体" w:cs="仿宋"/>
          <w:sz w:val="24"/>
          <w:highlight w:val="none"/>
        </w:rPr>
      </w:pPr>
      <w:r>
        <w:rPr>
          <w:rFonts w:hint="eastAsia" w:hAnsi="宋体" w:cs="仿宋"/>
          <w:sz w:val="24"/>
          <w:highlight w:val="none"/>
        </w:rPr>
        <w:t xml:space="preserve">（1）审查投标文件是否符合招标文件要求，并作出评价； </w:t>
      </w:r>
    </w:p>
    <w:p>
      <w:pPr>
        <w:pStyle w:val="24"/>
        <w:spacing w:line="360" w:lineRule="auto"/>
        <w:ind w:firstLine="480" w:firstLineChars="200"/>
        <w:rPr>
          <w:rFonts w:hint="eastAsia" w:hAnsi="宋体" w:cs="仿宋"/>
          <w:sz w:val="24"/>
          <w:highlight w:val="none"/>
        </w:rPr>
      </w:pPr>
      <w:r>
        <w:rPr>
          <w:rFonts w:hint="eastAsia" w:hAnsi="宋体" w:cs="仿宋"/>
          <w:sz w:val="24"/>
          <w:highlight w:val="none"/>
        </w:rPr>
        <w:t xml:space="preserve">（2）要求投标供应商对投标文件有关事项作出解释或者澄清； </w:t>
      </w:r>
    </w:p>
    <w:p>
      <w:pPr>
        <w:pStyle w:val="24"/>
        <w:spacing w:line="360" w:lineRule="auto"/>
        <w:ind w:firstLine="480" w:firstLineChars="200"/>
        <w:rPr>
          <w:rFonts w:hint="eastAsia" w:hAnsi="宋体" w:cs="仿宋"/>
          <w:sz w:val="24"/>
          <w:highlight w:val="none"/>
        </w:rPr>
      </w:pPr>
      <w:r>
        <w:rPr>
          <w:rFonts w:hint="eastAsia" w:hAnsi="宋体" w:cs="仿宋"/>
          <w:sz w:val="24"/>
          <w:highlight w:val="none"/>
        </w:rPr>
        <w:t xml:space="preserve">（3）按照招标文件确定的评标办法对各投标供应商进行排序，推荐中标候选供应商； </w:t>
      </w:r>
    </w:p>
    <w:p>
      <w:pPr>
        <w:pStyle w:val="24"/>
        <w:spacing w:line="360" w:lineRule="auto"/>
        <w:ind w:firstLine="480" w:firstLineChars="200"/>
        <w:rPr>
          <w:rFonts w:hint="eastAsia" w:hAnsi="宋体" w:cs="仿宋"/>
          <w:sz w:val="24"/>
          <w:highlight w:val="none"/>
        </w:rPr>
      </w:pPr>
      <w:r>
        <w:rPr>
          <w:rFonts w:hint="eastAsia" w:hAnsi="宋体" w:cs="仿宋"/>
          <w:sz w:val="24"/>
          <w:highlight w:val="none"/>
        </w:rPr>
        <w:t>（4）向采购人推荐综合得分第一名的中标候选供应商为中标人，并提交评审报告。如果第一名得分相同，以投标报价低的优先；投标报价也相同，则以政采云系统记录的投标文件解密时间排序在前面的优先；</w:t>
      </w:r>
    </w:p>
    <w:p>
      <w:pPr>
        <w:pStyle w:val="24"/>
        <w:spacing w:line="360" w:lineRule="auto"/>
        <w:ind w:firstLine="480" w:firstLineChars="200"/>
        <w:rPr>
          <w:rFonts w:hAnsi="宋体" w:cs="仿宋"/>
          <w:sz w:val="24"/>
          <w:highlight w:val="none"/>
        </w:rPr>
      </w:pPr>
      <w:r>
        <w:rPr>
          <w:rFonts w:hint="eastAsia" w:hAnsi="宋体" w:cs="仿宋"/>
          <w:sz w:val="24"/>
          <w:highlight w:val="none"/>
        </w:rPr>
        <w:t xml:space="preserve">（5）向采购代理机构或者有关部门报告非法干预评标工作的行为。 </w:t>
      </w:r>
    </w:p>
    <w:p>
      <w:pPr>
        <w:pStyle w:val="24"/>
        <w:spacing w:line="360" w:lineRule="auto"/>
        <w:ind w:firstLine="482" w:firstLineChars="200"/>
        <w:rPr>
          <w:rFonts w:hint="eastAsia" w:hAnsi="宋体" w:cs="仿宋"/>
          <w:sz w:val="24"/>
          <w:highlight w:val="none"/>
        </w:rPr>
      </w:pPr>
      <w:r>
        <w:rPr>
          <w:rFonts w:hint="eastAsia" w:hAnsi="宋体" w:cs="仿宋"/>
          <w:b/>
          <w:bCs/>
          <w:sz w:val="24"/>
          <w:highlight w:val="none"/>
        </w:rPr>
        <w:t>（二）评标应当遵循下列工作程序：</w:t>
      </w:r>
      <w:r>
        <w:rPr>
          <w:rFonts w:hint="eastAsia" w:hAnsi="宋体" w:cs="仿宋"/>
          <w:sz w:val="24"/>
          <w:highlight w:val="none"/>
        </w:rPr>
        <w:t xml:space="preserve"> </w:t>
      </w:r>
    </w:p>
    <w:p>
      <w:pPr>
        <w:pStyle w:val="24"/>
        <w:spacing w:line="360" w:lineRule="auto"/>
        <w:ind w:firstLine="480" w:firstLineChars="200"/>
        <w:rPr>
          <w:rFonts w:hint="eastAsia" w:hAnsi="宋体" w:cs="仿宋"/>
          <w:sz w:val="24"/>
          <w:highlight w:val="none"/>
        </w:rPr>
      </w:pPr>
      <w:r>
        <w:rPr>
          <w:rFonts w:hint="eastAsia" w:hAnsi="宋体" w:cs="仿宋"/>
          <w:sz w:val="24"/>
          <w:highlight w:val="none"/>
        </w:rPr>
        <w:t>1</w:t>
      </w:r>
      <w:r>
        <w:rPr>
          <w:rFonts w:hint="eastAsia" w:hAnsi="宋体" w:cs="仿宋"/>
          <w:b/>
          <w:bCs/>
          <w:sz w:val="24"/>
          <w:highlight w:val="none"/>
        </w:rPr>
        <w:t>、投标文件符合性审查。</w:t>
      </w:r>
      <w:r>
        <w:rPr>
          <w:rFonts w:hint="eastAsia" w:hAnsi="宋体" w:cs="仿宋"/>
          <w:sz w:val="24"/>
          <w:highlight w:val="none"/>
        </w:rPr>
        <w:t xml:space="preserve">依据招标文件的规定，从投标文件的有效性、完整性和对招标文件的响应程度进行审查，以确定是否对招标文件的实质性要求作出响应。 </w:t>
      </w:r>
    </w:p>
    <w:p>
      <w:pPr>
        <w:pStyle w:val="24"/>
        <w:spacing w:line="360" w:lineRule="auto"/>
        <w:ind w:firstLine="480" w:firstLineChars="200"/>
        <w:rPr>
          <w:rFonts w:hint="eastAsia" w:hAnsi="宋体" w:cs="仿宋"/>
          <w:sz w:val="24"/>
          <w:highlight w:val="none"/>
        </w:rPr>
      </w:pPr>
      <w:r>
        <w:rPr>
          <w:rFonts w:hint="eastAsia" w:hAnsi="宋体" w:cs="仿宋"/>
          <w:sz w:val="24"/>
          <w:highlight w:val="none"/>
        </w:rPr>
        <w:t>2、</w:t>
      </w:r>
      <w:r>
        <w:rPr>
          <w:rFonts w:hint="eastAsia" w:hAnsi="宋体" w:cs="仿宋"/>
          <w:b/>
          <w:bCs/>
          <w:sz w:val="24"/>
          <w:highlight w:val="none"/>
        </w:rPr>
        <w:t>澄清有关问题。</w:t>
      </w:r>
      <w:r>
        <w:rPr>
          <w:rFonts w:hint="eastAsia" w:hAnsi="宋体" w:cs="仿宋"/>
          <w:sz w:val="24"/>
          <w:highlight w:val="none"/>
        </w:rPr>
        <w:t xml:space="preserve">对投标文件中含义不明确、同类问题表述不一致或者有明显文字和计算错误的内容，评标委员会可以要求投标供应商作出必要的澄清、说明或者纠正。投标供应商的澄清、说明或者补正不得超出投标文件的范围或者改变投标文件的实质性内容。 </w:t>
      </w:r>
    </w:p>
    <w:p>
      <w:pPr>
        <w:pStyle w:val="24"/>
        <w:spacing w:line="360" w:lineRule="auto"/>
        <w:ind w:firstLine="480" w:firstLineChars="200"/>
        <w:rPr>
          <w:rFonts w:hint="eastAsia" w:hAnsi="宋体" w:cs="仿宋"/>
          <w:sz w:val="24"/>
          <w:highlight w:val="none"/>
        </w:rPr>
      </w:pPr>
      <w:r>
        <w:rPr>
          <w:rFonts w:hint="eastAsia" w:hAnsi="宋体" w:cs="仿宋"/>
          <w:sz w:val="24"/>
          <w:highlight w:val="none"/>
        </w:rPr>
        <w:t>3、</w:t>
      </w:r>
      <w:r>
        <w:rPr>
          <w:rFonts w:hint="eastAsia" w:hAnsi="宋体" w:cs="仿宋"/>
          <w:b/>
          <w:bCs/>
          <w:sz w:val="24"/>
          <w:highlight w:val="none"/>
        </w:rPr>
        <w:t>比较与评价。</w:t>
      </w:r>
      <w:r>
        <w:rPr>
          <w:rFonts w:hint="eastAsia" w:hAnsi="宋体" w:cs="仿宋"/>
          <w:sz w:val="24"/>
          <w:highlight w:val="none"/>
        </w:rPr>
        <w:t xml:space="preserve">按招标文件中规定的评标方法和标准，对资格审查和符合性审查合格的投标文件进行商务和技术评估，综合比较与评价。 </w:t>
      </w:r>
    </w:p>
    <w:p>
      <w:pPr>
        <w:pStyle w:val="24"/>
        <w:spacing w:line="360" w:lineRule="auto"/>
        <w:ind w:firstLine="480" w:firstLineChars="200"/>
        <w:rPr>
          <w:rFonts w:hint="eastAsia" w:hAnsi="宋体" w:cs="仿宋"/>
          <w:b/>
          <w:bCs/>
          <w:sz w:val="24"/>
          <w:highlight w:val="none"/>
        </w:rPr>
      </w:pPr>
      <w:r>
        <w:rPr>
          <w:rFonts w:hint="eastAsia" w:hAnsi="宋体" w:cs="仿宋"/>
          <w:sz w:val="24"/>
          <w:highlight w:val="none"/>
        </w:rPr>
        <w:t>4、</w:t>
      </w:r>
      <w:r>
        <w:rPr>
          <w:rFonts w:hint="eastAsia" w:hAnsi="宋体" w:cs="仿宋"/>
          <w:b/>
          <w:bCs/>
          <w:sz w:val="24"/>
          <w:highlight w:val="none"/>
        </w:rPr>
        <w:t xml:space="preserve">投标供应商存在下列情况之一的，其投标无效： </w:t>
      </w:r>
    </w:p>
    <w:p>
      <w:pPr>
        <w:pStyle w:val="24"/>
        <w:spacing w:line="360" w:lineRule="auto"/>
        <w:ind w:firstLine="480" w:firstLineChars="200"/>
        <w:rPr>
          <w:rFonts w:hint="eastAsia" w:hAnsi="宋体" w:cs="仿宋"/>
          <w:sz w:val="24"/>
          <w:highlight w:val="none"/>
        </w:rPr>
      </w:pPr>
      <w:r>
        <w:rPr>
          <w:rFonts w:hint="eastAsia" w:hAnsi="宋体" w:cs="仿宋"/>
          <w:sz w:val="24"/>
          <w:highlight w:val="none"/>
        </w:rPr>
        <w:t xml:space="preserve">（1）不具备招标文件中规定的资格要求的； </w:t>
      </w:r>
    </w:p>
    <w:p>
      <w:pPr>
        <w:pStyle w:val="24"/>
        <w:spacing w:line="360" w:lineRule="auto"/>
        <w:ind w:firstLine="480" w:firstLineChars="200"/>
        <w:rPr>
          <w:rFonts w:hint="eastAsia" w:hAnsi="宋体" w:cs="仿宋"/>
          <w:sz w:val="24"/>
          <w:highlight w:val="none"/>
        </w:rPr>
      </w:pPr>
      <w:r>
        <w:rPr>
          <w:rFonts w:hint="eastAsia" w:hAnsi="宋体" w:cs="仿宋"/>
          <w:sz w:val="24"/>
          <w:highlight w:val="none"/>
        </w:rPr>
        <w:t>（2）同一标项下投标人提交两份或两份以上内容不同的投标文件，未声明哪一份有效的；</w:t>
      </w:r>
    </w:p>
    <w:p>
      <w:pPr>
        <w:pStyle w:val="24"/>
        <w:spacing w:line="360" w:lineRule="auto"/>
        <w:ind w:firstLine="480" w:firstLineChars="200"/>
        <w:rPr>
          <w:rFonts w:hint="eastAsia" w:hAnsi="宋体" w:cs="仿宋"/>
          <w:sz w:val="24"/>
          <w:highlight w:val="none"/>
        </w:rPr>
      </w:pPr>
      <w:r>
        <w:rPr>
          <w:rFonts w:hint="eastAsia" w:hAnsi="宋体" w:cs="仿宋"/>
          <w:sz w:val="24"/>
          <w:highlight w:val="none"/>
        </w:rPr>
        <w:t xml:space="preserve">（3）存在串标、抬标或弄虚作假情况的； </w:t>
      </w:r>
    </w:p>
    <w:p>
      <w:pPr>
        <w:pStyle w:val="24"/>
        <w:spacing w:line="360" w:lineRule="auto"/>
        <w:ind w:firstLine="480" w:firstLineChars="200"/>
        <w:rPr>
          <w:rFonts w:hint="eastAsia" w:hAnsi="宋体" w:cs="仿宋"/>
          <w:sz w:val="24"/>
          <w:highlight w:val="none"/>
        </w:rPr>
      </w:pPr>
      <w:r>
        <w:rPr>
          <w:rFonts w:hint="eastAsia" w:hAnsi="宋体" w:cs="仿宋"/>
          <w:sz w:val="24"/>
          <w:highlight w:val="none"/>
        </w:rPr>
        <w:t xml:space="preserve">（4）参与本项目同一标项下的不同供应商单位负责人为同一人或者存在直接控股、管理关系的； </w:t>
      </w:r>
    </w:p>
    <w:p>
      <w:pPr>
        <w:pStyle w:val="24"/>
        <w:spacing w:line="360" w:lineRule="auto"/>
        <w:ind w:firstLine="480" w:firstLineChars="200"/>
        <w:rPr>
          <w:rFonts w:hint="eastAsia" w:hAnsi="宋体" w:cs="仿宋"/>
          <w:sz w:val="24"/>
          <w:highlight w:val="none"/>
        </w:rPr>
      </w:pPr>
      <w:r>
        <w:rPr>
          <w:rFonts w:hint="eastAsia" w:hAnsi="宋体" w:cs="仿宋"/>
          <w:sz w:val="24"/>
          <w:highlight w:val="none"/>
        </w:rPr>
        <w:t xml:space="preserve">（5）供应商在线制作投标文件时《开标一览表》中填写的金额与解密后“电子加密投标文件”中《开标一览表》填写的金额不一致并拒绝按招标文件要求接受此调整的； </w:t>
      </w:r>
    </w:p>
    <w:p>
      <w:pPr>
        <w:pStyle w:val="24"/>
        <w:spacing w:line="360" w:lineRule="auto"/>
        <w:ind w:firstLine="480" w:firstLineChars="200"/>
        <w:rPr>
          <w:rFonts w:hint="eastAsia" w:hAnsi="宋体" w:cs="仿宋"/>
          <w:sz w:val="24"/>
          <w:highlight w:val="none"/>
        </w:rPr>
      </w:pPr>
      <w:r>
        <w:rPr>
          <w:rFonts w:hint="eastAsia" w:hAnsi="宋体" w:cs="仿宋"/>
          <w:sz w:val="24"/>
          <w:highlight w:val="none"/>
        </w:rPr>
        <w:t>（6）同一标项下的不同投标人的投标文件由同一单位或者个人编制；</w:t>
      </w:r>
    </w:p>
    <w:p>
      <w:pPr>
        <w:pStyle w:val="24"/>
        <w:spacing w:line="360" w:lineRule="auto"/>
        <w:ind w:firstLine="480" w:firstLineChars="200"/>
        <w:rPr>
          <w:rFonts w:hint="eastAsia" w:hAnsi="宋体" w:cs="仿宋"/>
          <w:sz w:val="24"/>
          <w:highlight w:val="none"/>
        </w:rPr>
      </w:pPr>
      <w:r>
        <w:rPr>
          <w:rFonts w:hint="eastAsia" w:hAnsi="宋体" w:cs="仿宋"/>
          <w:sz w:val="24"/>
          <w:highlight w:val="none"/>
        </w:rPr>
        <w:t>（7）同一标项下的不同投标人的投标文件载明的项目管理成员或者联系人员为同一人；</w:t>
      </w:r>
    </w:p>
    <w:p>
      <w:pPr>
        <w:pStyle w:val="24"/>
        <w:spacing w:line="360" w:lineRule="auto"/>
        <w:ind w:firstLine="480" w:firstLineChars="200"/>
        <w:rPr>
          <w:rFonts w:hint="eastAsia" w:hAnsi="宋体" w:cs="仿宋"/>
          <w:sz w:val="24"/>
          <w:highlight w:val="none"/>
        </w:rPr>
      </w:pPr>
      <w:r>
        <w:rPr>
          <w:rFonts w:hint="eastAsia" w:hAnsi="宋体" w:cs="仿宋"/>
          <w:sz w:val="24"/>
          <w:highlight w:val="none"/>
        </w:rPr>
        <w:t>（8）同一标项下的不同投标人的投标文件异常一致或者投标报价呈规律性差异；</w:t>
      </w:r>
    </w:p>
    <w:p>
      <w:pPr>
        <w:pStyle w:val="24"/>
        <w:spacing w:line="360" w:lineRule="auto"/>
        <w:ind w:firstLine="480" w:firstLineChars="200"/>
        <w:rPr>
          <w:rFonts w:hint="eastAsia" w:hAnsi="宋体" w:cs="仿宋"/>
          <w:sz w:val="24"/>
          <w:highlight w:val="none"/>
        </w:rPr>
      </w:pPr>
      <w:r>
        <w:rPr>
          <w:rFonts w:hint="eastAsia" w:hAnsi="宋体" w:cs="仿宋"/>
          <w:sz w:val="24"/>
          <w:highlight w:val="none"/>
        </w:rPr>
        <w:t>（9）同一标项下的不同投标人委托同一单位或者个人办理投标事宜；</w:t>
      </w:r>
    </w:p>
    <w:p>
      <w:pPr>
        <w:pStyle w:val="24"/>
        <w:spacing w:line="360" w:lineRule="auto"/>
        <w:ind w:firstLine="480" w:firstLineChars="200"/>
        <w:rPr>
          <w:rFonts w:hint="eastAsia" w:hAnsi="宋体" w:cs="仿宋"/>
          <w:sz w:val="24"/>
          <w:highlight w:val="none"/>
        </w:rPr>
      </w:pPr>
      <w:r>
        <w:rPr>
          <w:rFonts w:hint="eastAsia" w:hAnsi="宋体" w:cs="仿宋"/>
          <w:sz w:val="24"/>
          <w:highlight w:val="none"/>
        </w:rPr>
        <w:t xml:space="preserve">（10）投标人串通投标，妨碍其他投标人的竞争行为，损害采购人或者其他投标人的合法权益； </w:t>
      </w:r>
    </w:p>
    <w:p>
      <w:pPr>
        <w:pStyle w:val="24"/>
        <w:spacing w:line="360" w:lineRule="auto"/>
        <w:ind w:firstLine="480" w:firstLineChars="200"/>
        <w:rPr>
          <w:rFonts w:hint="eastAsia" w:hAnsi="宋体" w:cs="仿宋"/>
          <w:sz w:val="24"/>
          <w:highlight w:val="none"/>
        </w:rPr>
      </w:pPr>
      <w:r>
        <w:rPr>
          <w:rFonts w:hint="eastAsia" w:hAnsi="宋体" w:cs="仿宋"/>
          <w:sz w:val="24"/>
          <w:highlight w:val="none"/>
        </w:rPr>
        <w:t xml:space="preserve">（11）法律、法规和招标文件规定的其他无效情形（或出现重大偏差）。 </w:t>
      </w:r>
    </w:p>
    <w:p>
      <w:pPr>
        <w:pStyle w:val="24"/>
        <w:spacing w:line="360" w:lineRule="auto"/>
        <w:ind w:firstLine="482" w:firstLineChars="200"/>
        <w:rPr>
          <w:rFonts w:hint="eastAsia" w:hAnsi="宋体" w:cs="仿宋"/>
          <w:b/>
          <w:bCs/>
          <w:sz w:val="24"/>
          <w:highlight w:val="none"/>
        </w:rPr>
      </w:pPr>
      <w:r>
        <w:rPr>
          <w:rFonts w:hint="eastAsia" w:hAnsi="宋体" w:cs="仿宋"/>
          <w:b/>
          <w:bCs/>
          <w:sz w:val="24"/>
          <w:highlight w:val="none"/>
        </w:rPr>
        <w:t xml:space="preserve">5、评标委员会发现投标文件有下列情形之一，由评标委员会按少数服从多数原则进行认定，经认定属实后将该投标文件作无效标处理： </w:t>
      </w:r>
    </w:p>
    <w:p>
      <w:pPr>
        <w:pStyle w:val="24"/>
        <w:spacing w:line="360" w:lineRule="auto"/>
        <w:ind w:firstLine="480" w:firstLineChars="200"/>
        <w:rPr>
          <w:rFonts w:hint="eastAsia" w:hAnsi="宋体" w:cs="仿宋"/>
          <w:sz w:val="24"/>
          <w:highlight w:val="none"/>
        </w:rPr>
      </w:pPr>
      <w:r>
        <w:rPr>
          <w:rFonts w:hint="eastAsia" w:hAnsi="宋体" w:cs="仿宋"/>
          <w:sz w:val="24"/>
          <w:highlight w:val="none"/>
        </w:rPr>
        <w:t xml:space="preserve">（1）未按招标文件要求编制的投标文件； </w:t>
      </w:r>
    </w:p>
    <w:p>
      <w:pPr>
        <w:pStyle w:val="24"/>
        <w:spacing w:line="360" w:lineRule="auto"/>
        <w:ind w:firstLine="480" w:firstLineChars="200"/>
        <w:rPr>
          <w:rFonts w:hint="eastAsia" w:hAnsi="宋体" w:cs="仿宋"/>
          <w:sz w:val="24"/>
          <w:highlight w:val="none"/>
        </w:rPr>
      </w:pPr>
      <w:r>
        <w:rPr>
          <w:rFonts w:hint="eastAsia" w:hAnsi="宋体" w:cs="仿宋"/>
          <w:sz w:val="24"/>
          <w:highlight w:val="none"/>
        </w:rPr>
        <w:t>（2）</w:t>
      </w:r>
      <w:r>
        <w:rPr>
          <w:rFonts w:hint="eastAsia" w:hAnsi="宋体" w:cs="宋体"/>
          <w:bCs/>
          <w:sz w:val="24"/>
          <w:highlight w:val="none"/>
        </w:rPr>
        <w:t>明显不符合招标文件要求的技术标准、服务标准、商务要求，或者与招标文件中标“★”的技术指标、服务指</w:t>
      </w:r>
      <w:r>
        <w:rPr>
          <w:rFonts w:hint="eastAsia" w:hAnsi="宋体" w:cs="仿宋"/>
          <w:sz w:val="24"/>
          <w:highlight w:val="none"/>
        </w:rPr>
        <w:t xml:space="preserve">标、主要商务要求发生实质性偏离的； </w:t>
      </w:r>
    </w:p>
    <w:p>
      <w:pPr>
        <w:pStyle w:val="24"/>
        <w:spacing w:line="360" w:lineRule="auto"/>
        <w:ind w:firstLine="480" w:firstLineChars="200"/>
        <w:rPr>
          <w:rFonts w:hint="eastAsia" w:hAnsi="宋体" w:cs="仿宋"/>
          <w:sz w:val="24"/>
          <w:highlight w:val="none"/>
        </w:rPr>
      </w:pPr>
      <w:r>
        <w:rPr>
          <w:rFonts w:hint="eastAsia" w:hAnsi="宋体" w:cs="仿宋"/>
          <w:sz w:val="24"/>
          <w:highlight w:val="none"/>
        </w:rPr>
        <w:t xml:space="preserve">（3）未提供或未响应招标文件的技术要求、服务要求，或者投标文件标明的响应或偏离与事实不符或虚假投标的（含中标后发现的）； </w:t>
      </w:r>
    </w:p>
    <w:p>
      <w:pPr>
        <w:pStyle w:val="24"/>
        <w:spacing w:line="360" w:lineRule="auto"/>
        <w:ind w:firstLine="480" w:firstLineChars="200"/>
        <w:rPr>
          <w:rFonts w:hint="eastAsia" w:hAnsi="宋体" w:cs="仿宋"/>
          <w:sz w:val="24"/>
          <w:highlight w:val="none"/>
        </w:rPr>
      </w:pPr>
      <w:r>
        <w:rPr>
          <w:rFonts w:hint="eastAsia" w:hAnsi="宋体" w:cs="仿宋"/>
          <w:sz w:val="24"/>
          <w:highlight w:val="none"/>
        </w:rPr>
        <w:t xml:space="preserve">（4）同一标项下与其他参加本次投标供应商的投标文件（技术文件）的文字表述内容相同连续 20 行以上或者差错相同 2 处以上的（招标文件中复制粘贴而来的除外）； </w:t>
      </w:r>
    </w:p>
    <w:p>
      <w:pPr>
        <w:pStyle w:val="24"/>
        <w:spacing w:line="360" w:lineRule="auto"/>
        <w:ind w:firstLine="480" w:firstLineChars="200"/>
        <w:rPr>
          <w:rFonts w:hint="eastAsia" w:hAnsi="宋体" w:cs="仿宋"/>
          <w:sz w:val="24"/>
          <w:highlight w:val="none"/>
        </w:rPr>
      </w:pPr>
      <w:r>
        <w:rPr>
          <w:rFonts w:hint="eastAsia" w:hAnsi="宋体" w:cs="仿宋"/>
          <w:sz w:val="24"/>
          <w:highlight w:val="none"/>
        </w:rPr>
        <w:t>（5）标项技术方案不明确，存在一个或一个以上备选（替代）投标方案的；</w:t>
      </w:r>
    </w:p>
    <w:p>
      <w:pPr>
        <w:pStyle w:val="24"/>
        <w:spacing w:line="360" w:lineRule="auto"/>
        <w:ind w:firstLine="480" w:firstLineChars="200"/>
        <w:rPr>
          <w:rFonts w:hint="eastAsia" w:hAnsi="宋体" w:cs="仿宋"/>
          <w:sz w:val="24"/>
          <w:highlight w:val="none"/>
        </w:rPr>
      </w:pPr>
      <w:r>
        <w:rPr>
          <w:rFonts w:hint="eastAsia" w:hAnsi="宋体" w:cs="仿宋"/>
          <w:sz w:val="24"/>
          <w:highlight w:val="none"/>
        </w:rPr>
        <w:t xml:space="preserve">（6）投标文件未按招标文件要求签署或CA电子签章的； </w:t>
      </w:r>
    </w:p>
    <w:p>
      <w:pPr>
        <w:pStyle w:val="24"/>
        <w:spacing w:line="360" w:lineRule="auto"/>
        <w:ind w:firstLine="480" w:firstLineChars="200"/>
        <w:rPr>
          <w:rFonts w:hint="eastAsia" w:hAnsi="宋体" w:cs="仿宋"/>
          <w:sz w:val="24"/>
          <w:highlight w:val="none"/>
        </w:rPr>
      </w:pPr>
      <w:r>
        <w:rPr>
          <w:rFonts w:hint="eastAsia" w:hAnsi="宋体" w:cs="仿宋"/>
          <w:sz w:val="24"/>
          <w:highlight w:val="none"/>
        </w:rPr>
        <w:t>（7）标项投标报价超过招标文件规定的预算金额或最高限价；</w:t>
      </w:r>
    </w:p>
    <w:p>
      <w:pPr>
        <w:pStyle w:val="24"/>
        <w:spacing w:line="360" w:lineRule="auto"/>
        <w:ind w:firstLine="480" w:firstLineChars="200"/>
        <w:rPr>
          <w:rFonts w:hint="eastAsia" w:hAnsi="宋体" w:cs="仿宋"/>
          <w:sz w:val="24"/>
          <w:highlight w:val="none"/>
        </w:rPr>
      </w:pPr>
      <w:r>
        <w:rPr>
          <w:rFonts w:hint="eastAsia" w:hAnsi="宋体" w:cs="仿宋"/>
          <w:sz w:val="24"/>
          <w:highlight w:val="none"/>
        </w:rPr>
        <w:t xml:space="preserve">（8）未实质性响应招标文件中带“★”条款要求的投标文件； </w:t>
      </w:r>
    </w:p>
    <w:p>
      <w:pPr>
        <w:pStyle w:val="24"/>
        <w:spacing w:line="360" w:lineRule="auto"/>
        <w:ind w:firstLine="480" w:firstLineChars="200"/>
        <w:rPr>
          <w:rFonts w:hint="eastAsia" w:hAnsi="宋体" w:cs="仿宋"/>
          <w:sz w:val="24"/>
          <w:highlight w:val="none"/>
        </w:rPr>
      </w:pPr>
      <w:r>
        <w:rPr>
          <w:rFonts w:hint="eastAsia" w:hAnsi="宋体" w:cs="仿宋"/>
          <w:sz w:val="24"/>
          <w:highlight w:val="none"/>
        </w:rPr>
        <w:t xml:space="preserve">（9）对关键条文的偏离、保留或反对，例如关于付款方式、服务期、适用法律法规、标准、税费等其他内容； </w:t>
      </w:r>
    </w:p>
    <w:p>
      <w:pPr>
        <w:pStyle w:val="24"/>
        <w:spacing w:line="360" w:lineRule="auto"/>
        <w:ind w:firstLine="480" w:firstLineChars="200"/>
        <w:rPr>
          <w:rFonts w:hint="eastAsia" w:hAnsi="宋体" w:cs="仿宋"/>
          <w:sz w:val="24"/>
          <w:highlight w:val="none"/>
        </w:rPr>
      </w:pPr>
      <w:r>
        <w:rPr>
          <w:rFonts w:hint="eastAsia" w:hAnsi="宋体" w:cs="仿宋"/>
          <w:sz w:val="24"/>
          <w:highlight w:val="none"/>
        </w:rPr>
        <w:t xml:space="preserve">（10）供应商的资格审查文件或者商务技术文件中出现投标报价的； </w:t>
      </w:r>
    </w:p>
    <w:p>
      <w:pPr>
        <w:pStyle w:val="24"/>
        <w:spacing w:line="360" w:lineRule="auto"/>
        <w:ind w:firstLine="480" w:firstLineChars="200"/>
        <w:rPr>
          <w:rFonts w:hint="eastAsia" w:hAnsi="宋体" w:cs="仿宋"/>
          <w:sz w:val="24"/>
          <w:highlight w:val="none"/>
        </w:rPr>
      </w:pPr>
      <w:r>
        <w:rPr>
          <w:rFonts w:hint="eastAsia" w:hAnsi="宋体" w:cs="仿宋"/>
          <w:sz w:val="24"/>
          <w:highlight w:val="none"/>
        </w:rPr>
        <w:t>（11）投标文件含有采购人不能接受的附加条件的；</w:t>
      </w:r>
    </w:p>
    <w:p>
      <w:pPr>
        <w:pStyle w:val="24"/>
        <w:spacing w:line="360" w:lineRule="auto"/>
        <w:ind w:firstLine="480" w:firstLineChars="200"/>
        <w:rPr>
          <w:rFonts w:hint="eastAsia" w:hAnsi="宋体" w:cs="仿宋"/>
          <w:sz w:val="24"/>
          <w:highlight w:val="none"/>
        </w:rPr>
      </w:pPr>
      <w:r>
        <w:rPr>
          <w:rFonts w:hint="eastAsia" w:hAnsi="宋体" w:cs="仿宋"/>
          <w:sz w:val="24"/>
          <w:highlight w:val="none"/>
        </w:rPr>
        <w:t xml:space="preserve">（12）投标文件中承诺的投标有效期少于招标文件中载明的投标有效期； </w:t>
      </w:r>
    </w:p>
    <w:p>
      <w:pPr>
        <w:pStyle w:val="24"/>
        <w:spacing w:line="360" w:lineRule="auto"/>
        <w:ind w:firstLine="480" w:firstLineChars="200"/>
        <w:rPr>
          <w:rFonts w:hint="eastAsia"/>
          <w:highlight w:val="none"/>
        </w:rPr>
      </w:pPr>
      <w:r>
        <w:rPr>
          <w:rFonts w:hint="eastAsia" w:hAnsi="宋体" w:cs="仿宋"/>
          <w:sz w:val="24"/>
          <w:highlight w:val="none"/>
        </w:rPr>
        <w:t xml:space="preserve">（13）法律、法规、规章及省级以上规范性文件规定的其他无效情形。 </w:t>
      </w:r>
    </w:p>
    <w:p>
      <w:pPr>
        <w:pStyle w:val="24"/>
        <w:spacing w:line="360" w:lineRule="auto"/>
        <w:ind w:firstLine="480" w:firstLineChars="200"/>
        <w:rPr>
          <w:rFonts w:hint="eastAsia" w:hAnsi="宋体" w:cs="仿宋"/>
          <w:sz w:val="24"/>
          <w:highlight w:val="none"/>
        </w:rPr>
      </w:pPr>
      <w:r>
        <w:rPr>
          <w:rFonts w:hint="eastAsia" w:hAnsi="宋体" w:cs="仿宋"/>
          <w:sz w:val="24"/>
          <w:highlight w:val="none"/>
        </w:rPr>
        <w:t>6、</w:t>
      </w:r>
      <w:r>
        <w:rPr>
          <w:rFonts w:hint="eastAsia" w:hAnsi="宋体" w:cs="仿宋"/>
          <w:b/>
          <w:bCs/>
          <w:sz w:val="24"/>
          <w:highlight w:val="none"/>
        </w:rPr>
        <w:t>开启投标供应商报价文件后发现价格、数量有误，其投标价将按下述原则处理：</w:t>
      </w:r>
      <w:r>
        <w:rPr>
          <w:rFonts w:hint="eastAsia" w:hAnsi="宋体" w:cs="仿宋"/>
          <w:sz w:val="24"/>
          <w:highlight w:val="none"/>
        </w:rPr>
        <w:t xml:space="preserve"> </w:t>
      </w:r>
    </w:p>
    <w:p>
      <w:pPr>
        <w:pStyle w:val="24"/>
        <w:spacing w:line="360" w:lineRule="auto"/>
        <w:ind w:firstLine="480" w:firstLineChars="200"/>
        <w:rPr>
          <w:rFonts w:hint="eastAsia" w:hAnsi="宋体" w:cs="仿宋"/>
          <w:sz w:val="24"/>
          <w:highlight w:val="none"/>
        </w:rPr>
      </w:pPr>
      <w:r>
        <w:rPr>
          <w:rFonts w:hint="eastAsia" w:hAnsi="宋体" w:cs="仿宋"/>
          <w:sz w:val="24"/>
          <w:highlight w:val="none"/>
        </w:rPr>
        <w:t xml:space="preserve">（1）任何有漏去一些小项货物或服务的投标将被视为其费用已包含在投标总价中，投标价格不予调整。 </w:t>
      </w:r>
    </w:p>
    <w:p>
      <w:pPr>
        <w:pStyle w:val="24"/>
        <w:spacing w:line="360" w:lineRule="auto"/>
        <w:ind w:firstLine="480" w:firstLineChars="200"/>
        <w:rPr>
          <w:rFonts w:hint="eastAsia" w:hAnsi="宋体" w:cs="仿宋"/>
          <w:sz w:val="24"/>
          <w:highlight w:val="none"/>
        </w:rPr>
      </w:pPr>
      <w:r>
        <w:rPr>
          <w:rFonts w:hint="eastAsia" w:hAnsi="宋体" w:cs="仿宋"/>
          <w:sz w:val="24"/>
          <w:highlight w:val="none"/>
        </w:rPr>
        <w:t xml:space="preserve">（2）任何有多报一些小项工程或货物的投标其投标价不予调整，如果该投标供应商中标，则合同价格必须为核减掉多报的一些小项工程或货物后的价格。 </w:t>
      </w:r>
    </w:p>
    <w:p>
      <w:pPr>
        <w:pStyle w:val="24"/>
        <w:spacing w:line="360" w:lineRule="auto"/>
        <w:ind w:firstLine="480" w:firstLineChars="200"/>
        <w:rPr>
          <w:rFonts w:hint="eastAsia" w:hAnsi="宋体" w:cs="仿宋"/>
          <w:sz w:val="24"/>
          <w:highlight w:val="none"/>
        </w:rPr>
      </w:pPr>
      <w:r>
        <w:rPr>
          <w:rFonts w:hint="eastAsia" w:hAnsi="宋体" w:cs="仿宋"/>
          <w:sz w:val="24"/>
          <w:highlight w:val="none"/>
        </w:rPr>
        <w:t xml:space="preserve">（3）对于计算错误的其投标价不予调整，如果该投标供应商中标，如其投标价格计算错误导致多报者合同价格予以据实核减，少报者合同价格不予调整。 </w:t>
      </w:r>
    </w:p>
    <w:p>
      <w:pPr>
        <w:pStyle w:val="24"/>
        <w:spacing w:line="360" w:lineRule="auto"/>
        <w:ind w:firstLine="480" w:firstLineChars="200"/>
        <w:rPr>
          <w:rFonts w:hint="eastAsia" w:hAnsi="宋体" w:cs="仿宋"/>
          <w:sz w:val="24"/>
          <w:highlight w:val="none"/>
        </w:rPr>
      </w:pPr>
      <w:r>
        <w:rPr>
          <w:rFonts w:hint="eastAsia" w:hAnsi="宋体" w:cs="仿宋"/>
          <w:sz w:val="24"/>
          <w:highlight w:val="none"/>
        </w:rPr>
        <w:t xml:space="preserve">（4）对于计算错误、多报或漏报的一些小项工程或货物、服务的，如为非实质性重大偏差范围内的偏离，并经过评标委员会按少数服从多数原则认定为细微偏差的，评审时其投标价不予调整。 </w:t>
      </w:r>
    </w:p>
    <w:p>
      <w:pPr>
        <w:pStyle w:val="24"/>
        <w:spacing w:line="360" w:lineRule="auto"/>
        <w:ind w:firstLine="480" w:firstLineChars="200"/>
        <w:rPr>
          <w:rFonts w:hint="eastAsia" w:hAnsi="宋体" w:cs="仿宋"/>
          <w:sz w:val="24"/>
          <w:highlight w:val="none"/>
        </w:rPr>
      </w:pPr>
      <w:r>
        <w:rPr>
          <w:rFonts w:hint="eastAsia" w:hAnsi="宋体" w:cs="仿宋"/>
          <w:sz w:val="24"/>
          <w:highlight w:val="none"/>
        </w:rPr>
        <w:t xml:space="preserve">（5）供应商不接受上述处理方式，将按无效投标处理。 </w:t>
      </w:r>
    </w:p>
    <w:p>
      <w:pPr>
        <w:pStyle w:val="24"/>
        <w:spacing w:line="360" w:lineRule="auto"/>
        <w:ind w:firstLine="480" w:firstLineChars="200"/>
        <w:rPr>
          <w:rFonts w:hint="eastAsia" w:hAnsi="宋体" w:cs="仿宋"/>
          <w:sz w:val="24"/>
          <w:highlight w:val="none"/>
        </w:rPr>
      </w:pPr>
      <w:r>
        <w:rPr>
          <w:rFonts w:hint="eastAsia" w:hAnsi="宋体" w:cs="仿宋"/>
          <w:sz w:val="24"/>
          <w:highlight w:val="none"/>
        </w:rPr>
        <w:t xml:space="preserve">7、评标委员会认为投标供应商的报价明显低于其他通过符合性审查投标供应商的报价，有可能影响产品质量或者不能诚信履约的，应当要求其在合理的时间内提供说明，必要时提交相关证明材料；投标供应商不能证明其报价合理性的，评标委员会应当将其作为无效投标处理。 </w:t>
      </w:r>
    </w:p>
    <w:p>
      <w:pPr>
        <w:pStyle w:val="24"/>
        <w:spacing w:line="360" w:lineRule="auto"/>
        <w:ind w:firstLine="480" w:firstLineChars="200"/>
        <w:rPr>
          <w:rFonts w:hint="eastAsia" w:hAnsi="宋体" w:cs="仿宋"/>
          <w:sz w:val="24"/>
          <w:highlight w:val="none"/>
        </w:rPr>
      </w:pPr>
      <w:r>
        <w:rPr>
          <w:rFonts w:hint="eastAsia" w:hAnsi="宋体" w:cs="仿宋"/>
          <w:sz w:val="24"/>
          <w:highlight w:val="none"/>
        </w:rPr>
        <w:t xml:space="preserve">8、评标过程中遇到特殊情况，由评标委员会遵循公开、公正原则，采取投票方式按照少数服从多数原则决定。 </w:t>
      </w:r>
    </w:p>
    <w:p>
      <w:pPr>
        <w:pStyle w:val="24"/>
        <w:spacing w:line="360" w:lineRule="auto"/>
        <w:ind w:firstLine="480" w:firstLineChars="200"/>
        <w:rPr>
          <w:rFonts w:hint="eastAsia" w:hAnsi="宋体" w:cs="仿宋"/>
          <w:sz w:val="24"/>
          <w:highlight w:val="none"/>
        </w:rPr>
      </w:pPr>
      <w:r>
        <w:rPr>
          <w:rFonts w:hint="eastAsia" w:hAnsi="宋体" w:cs="仿宋"/>
          <w:sz w:val="24"/>
          <w:highlight w:val="none"/>
        </w:rPr>
        <w:t>9、实质上没有响应招标文件要求的投标将被拒绝。评标委员会不得通过询标使投标供应商修正或撤消不合要求的偏离从而使其投标成为实质上响应的投标。</w:t>
      </w:r>
    </w:p>
    <w:p>
      <w:pPr>
        <w:pStyle w:val="24"/>
        <w:spacing w:line="360" w:lineRule="auto"/>
        <w:ind w:firstLine="480" w:firstLineChars="200"/>
        <w:rPr>
          <w:rFonts w:hint="eastAsia" w:hAnsi="宋体" w:cs="仿宋"/>
          <w:sz w:val="24"/>
          <w:highlight w:val="none"/>
        </w:rPr>
      </w:pPr>
      <w:r>
        <w:rPr>
          <w:rFonts w:hint="eastAsia" w:hAnsi="宋体" w:cs="仿宋"/>
          <w:sz w:val="24"/>
          <w:highlight w:val="none"/>
        </w:rPr>
        <w:t>10、评标委员会对投标文件的判定，只依据投标内容本身，不依靠开标后的任何外来证明。</w:t>
      </w:r>
    </w:p>
    <w:p>
      <w:pPr>
        <w:pStyle w:val="24"/>
        <w:spacing w:line="360" w:lineRule="auto"/>
        <w:ind w:firstLine="480" w:firstLineChars="200"/>
        <w:rPr>
          <w:rFonts w:hint="eastAsia" w:hAnsi="宋体" w:cs="仿宋"/>
          <w:sz w:val="24"/>
          <w:highlight w:val="none"/>
        </w:rPr>
      </w:pPr>
      <w:r>
        <w:rPr>
          <w:rFonts w:hint="eastAsia" w:hAnsi="宋体" w:cs="仿宋"/>
          <w:sz w:val="24"/>
          <w:highlight w:val="none"/>
        </w:rPr>
        <w:t xml:space="preserve">11、评标委员会在评标中，不得改变招标文件中规定的评标标准、方法和中标条件。 </w:t>
      </w:r>
    </w:p>
    <w:p>
      <w:pPr>
        <w:pStyle w:val="24"/>
        <w:spacing w:line="360" w:lineRule="auto"/>
        <w:ind w:firstLine="480" w:firstLineChars="200"/>
        <w:rPr>
          <w:rFonts w:hint="eastAsia" w:hAnsi="宋体" w:cs="仿宋"/>
          <w:sz w:val="24"/>
          <w:highlight w:val="none"/>
        </w:rPr>
      </w:pPr>
      <w:r>
        <w:rPr>
          <w:rFonts w:hint="eastAsia" w:hAnsi="宋体" w:cs="仿宋"/>
          <w:sz w:val="24"/>
          <w:highlight w:val="none"/>
        </w:rPr>
        <w:t>12、评标委员会对未中标的供应商不作解释。同时根据政府采购法实施条例第四十条规定，本项目不对各投标供应商公布详细的评审情况，不公布具体评标细则中小项得分。</w:t>
      </w:r>
    </w:p>
    <w:p>
      <w:pPr>
        <w:pStyle w:val="24"/>
        <w:spacing w:line="360" w:lineRule="auto"/>
        <w:ind w:firstLine="482" w:firstLineChars="200"/>
        <w:rPr>
          <w:rFonts w:hint="eastAsia" w:hAnsi="宋体" w:cs="仿宋"/>
          <w:sz w:val="24"/>
          <w:highlight w:val="none"/>
        </w:rPr>
      </w:pPr>
      <w:r>
        <w:rPr>
          <w:rFonts w:hint="eastAsia" w:hAnsi="宋体" w:cs="仿宋"/>
          <w:b/>
          <w:bCs/>
          <w:sz w:val="24"/>
          <w:highlight w:val="none"/>
        </w:rPr>
        <w:t>（三）投标文件的澄清</w:t>
      </w:r>
      <w:r>
        <w:rPr>
          <w:rFonts w:hint="eastAsia" w:hAnsi="宋体" w:cs="仿宋"/>
          <w:sz w:val="24"/>
          <w:highlight w:val="none"/>
        </w:rPr>
        <w:t xml:space="preserve"> </w:t>
      </w:r>
    </w:p>
    <w:p>
      <w:pPr>
        <w:pStyle w:val="24"/>
        <w:spacing w:line="360" w:lineRule="auto"/>
        <w:ind w:firstLine="480" w:firstLineChars="200"/>
        <w:rPr>
          <w:rFonts w:hint="eastAsia" w:hAnsi="宋体" w:cs="仿宋"/>
          <w:sz w:val="24"/>
          <w:highlight w:val="none"/>
        </w:rPr>
      </w:pPr>
      <w:r>
        <w:rPr>
          <w:rFonts w:hint="eastAsia" w:hAnsi="宋体" w:cs="仿宋"/>
          <w:sz w:val="24"/>
          <w:highlight w:val="none"/>
        </w:rPr>
        <w:t xml:space="preserve">1、为有利于对投标文件的评审，必要时评标委员会可要求投标供应商对投标文件相关事宜进行澄清。评标委员会将通过“政府采购云平台”在线询标的形式要求投标供应商在规定的时间内作出必要的澄清、说明，投标供应商澄清、说明时间不多于30分钟，投标供应商未在规定的时间内作出必要的澄清、说明可能导致对其不利的评定。 </w:t>
      </w:r>
    </w:p>
    <w:p>
      <w:pPr>
        <w:pStyle w:val="24"/>
        <w:spacing w:line="360" w:lineRule="auto"/>
        <w:ind w:firstLine="480" w:firstLineChars="200"/>
        <w:rPr>
          <w:rFonts w:hint="eastAsia" w:hAnsi="宋体" w:cs="仿宋"/>
          <w:sz w:val="24"/>
          <w:highlight w:val="none"/>
        </w:rPr>
      </w:pPr>
      <w:r>
        <w:rPr>
          <w:rFonts w:hint="eastAsia" w:hAnsi="宋体" w:cs="仿宋"/>
          <w:sz w:val="24"/>
          <w:highlight w:val="none"/>
        </w:rPr>
        <w:t xml:space="preserve">2、投标供应商的澄清、说明应当通过“政府采购云平台”在线答复形式提交。投标供应商的澄清、说明不得超出投标文件的范围或者改变投标文件的实质性内容。 </w:t>
      </w:r>
    </w:p>
    <w:p>
      <w:pPr>
        <w:pStyle w:val="24"/>
        <w:spacing w:line="360" w:lineRule="auto"/>
        <w:ind w:firstLine="482" w:firstLineChars="200"/>
        <w:rPr>
          <w:rFonts w:hint="eastAsia" w:hAnsi="宋体" w:cs="仿宋"/>
          <w:sz w:val="24"/>
          <w:highlight w:val="none"/>
        </w:rPr>
      </w:pPr>
      <w:r>
        <w:rPr>
          <w:rFonts w:hint="eastAsia" w:hAnsi="宋体" w:cs="仿宋"/>
          <w:b/>
          <w:bCs/>
          <w:sz w:val="24"/>
          <w:highlight w:val="none"/>
        </w:rPr>
        <w:t>（四）有下列情形之一的，视为投标供应商相互串通投标：</w:t>
      </w:r>
      <w:r>
        <w:rPr>
          <w:rFonts w:hint="eastAsia" w:hAnsi="宋体" w:cs="仿宋"/>
          <w:sz w:val="24"/>
          <w:highlight w:val="none"/>
        </w:rPr>
        <w:t xml:space="preserve"> </w:t>
      </w:r>
    </w:p>
    <w:p>
      <w:pPr>
        <w:pStyle w:val="24"/>
        <w:spacing w:line="360" w:lineRule="auto"/>
        <w:ind w:firstLine="480" w:firstLineChars="200"/>
        <w:rPr>
          <w:rFonts w:hint="eastAsia" w:hAnsi="宋体" w:cs="仿宋"/>
          <w:sz w:val="24"/>
          <w:highlight w:val="none"/>
        </w:rPr>
      </w:pPr>
      <w:r>
        <w:rPr>
          <w:rFonts w:hint="eastAsia" w:hAnsi="宋体" w:cs="仿宋"/>
          <w:sz w:val="24"/>
          <w:highlight w:val="none"/>
        </w:rPr>
        <w:t xml:space="preserve">1、不同投标供应商的投标文件由同一单位或者个人编制； </w:t>
      </w:r>
    </w:p>
    <w:p>
      <w:pPr>
        <w:pStyle w:val="24"/>
        <w:spacing w:line="360" w:lineRule="auto"/>
        <w:ind w:firstLine="480" w:firstLineChars="200"/>
        <w:rPr>
          <w:rFonts w:hint="eastAsia" w:hAnsi="宋体" w:cs="仿宋"/>
          <w:sz w:val="24"/>
          <w:highlight w:val="none"/>
        </w:rPr>
      </w:pPr>
      <w:r>
        <w:rPr>
          <w:rFonts w:hint="eastAsia" w:hAnsi="宋体" w:cs="仿宋"/>
          <w:sz w:val="24"/>
          <w:highlight w:val="none"/>
        </w:rPr>
        <w:t xml:space="preserve">2、不同投标供应商委托同一单位或者个人办理投标事宜； </w:t>
      </w:r>
    </w:p>
    <w:p>
      <w:pPr>
        <w:pStyle w:val="24"/>
        <w:spacing w:line="360" w:lineRule="auto"/>
        <w:ind w:firstLine="480" w:firstLineChars="200"/>
        <w:rPr>
          <w:rFonts w:hint="eastAsia" w:hAnsi="宋体" w:cs="仿宋"/>
          <w:sz w:val="24"/>
          <w:highlight w:val="none"/>
        </w:rPr>
      </w:pPr>
      <w:r>
        <w:rPr>
          <w:rFonts w:hint="eastAsia" w:hAnsi="宋体" w:cs="仿宋"/>
          <w:sz w:val="24"/>
          <w:highlight w:val="none"/>
        </w:rPr>
        <w:t xml:space="preserve">3、不同投标供应商的投标文件载明的项目管理成员或者联系人员为同一人； </w:t>
      </w:r>
    </w:p>
    <w:p>
      <w:pPr>
        <w:pStyle w:val="24"/>
        <w:spacing w:line="360" w:lineRule="auto"/>
        <w:ind w:firstLine="480" w:firstLineChars="200"/>
        <w:rPr>
          <w:rFonts w:hint="eastAsia" w:hAnsi="宋体" w:cs="仿宋"/>
          <w:sz w:val="24"/>
          <w:highlight w:val="none"/>
        </w:rPr>
      </w:pPr>
      <w:r>
        <w:rPr>
          <w:rFonts w:hint="eastAsia" w:hAnsi="宋体" w:cs="仿宋"/>
          <w:sz w:val="24"/>
          <w:highlight w:val="none"/>
        </w:rPr>
        <w:t xml:space="preserve">4、不同投标供应商的投标文件异常一致或者投标报价呈规律性差异。 </w:t>
      </w:r>
    </w:p>
    <w:p>
      <w:pPr>
        <w:pStyle w:val="24"/>
        <w:spacing w:line="360" w:lineRule="auto"/>
        <w:ind w:firstLine="482" w:firstLineChars="200"/>
        <w:rPr>
          <w:rFonts w:hint="eastAsia" w:hAnsi="宋体" w:cs="仿宋"/>
          <w:sz w:val="24"/>
          <w:highlight w:val="none"/>
        </w:rPr>
      </w:pPr>
      <w:r>
        <w:rPr>
          <w:rFonts w:hint="eastAsia" w:hAnsi="宋体" w:cs="仿宋"/>
          <w:b/>
          <w:bCs/>
          <w:sz w:val="24"/>
          <w:highlight w:val="none"/>
        </w:rPr>
        <w:t>经评标委员会认定投标供应商进行串通投标的，评标委员会可以对相关投标供应商做出无效投标处理，并上报政府采购管理部门进行进一步处理。</w:t>
      </w:r>
    </w:p>
    <w:p>
      <w:pPr>
        <w:pStyle w:val="24"/>
        <w:numPr>
          <w:ilvl w:val="0"/>
          <w:numId w:val="6"/>
        </w:numPr>
        <w:spacing w:line="360" w:lineRule="auto"/>
        <w:ind w:firstLine="482" w:firstLineChars="200"/>
        <w:rPr>
          <w:rFonts w:hint="eastAsia" w:hAnsi="宋体" w:cs="仿宋"/>
          <w:b/>
          <w:bCs/>
          <w:sz w:val="24"/>
          <w:highlight w:val="none"/>
        </w:rPr>
      </w:pPr>
      <w:r>
        <w:rPr>
          <w:rFonts w:hint="eastAsia" w:hAnsi="宋体" w:cs="仿宋"/>
          <w:b/>
          <w:bCs/>
          <w:sz w:val="24"/>
          <w:highlight w:val="none"/>
        </w:rPr>
        <w:t xml:space="preserve">评标原则 </w:t>
      </w:r>
    </w:p>
    <w:p>
      <w:pPr>
        <w:pStyle w:val="24"/>
        <w:spacing w:line="360" w:lineRule="auto"/>
        <w:ind w:firstLine="480" w:firstLineChars="200"/>
        <w:rPr>
          <w:rFonts w:hint="eastAsia" w:hAnsi="宋体" w:cs="仿宋"/>
          <w:sz w:val="24"/>
          <w:highlight w:val="none"/>
        </w:rPr>
      </w:pPr>
      <w:r>
        <w:rPr>
          <w:rFonts w:hint="eastAsia" w:hAnsi="宋体" w:cs="仿宋"/>
          <w:sz w:val="24"/>
          <w:highlight w:val="none"/>
        </w:rPr>
        <w:t>1、投标截止时或评审过程中有效投标供应商不足三家的，不予开标或评标。</w:t>
      </w:r>
    </w:p>
    <w:p>
      <w:pPr>
        <w:pStyle w:val="24"/>
        <w:spacing w:line="360" w:lineRule="auto"/>
        <w:ind w:firstLine="480" w:firstLineChars="200"/>
        <w:rPr>
          <w:rFonts w:hint="eastAsia" w:hAnsi="宋体" w:cs="仿宋"/>
          <w:sz w:val="24"/>
          <w:highlight w:val="none"/>
        </w:rPr>
      </w:pPr>
      <w:r>
        <w:rPr>
          <w:rFonts w:hint="eastAsia" w:hAnsi="宋体" w:cs="仿宋"/>
          <w:sz w:val="24"/>
          <w:highlight w:val="none"/>
        </w:rPr>
        <w:t xml:space="preserve">2、评标委员会按照招标文件的要求和条件对投标文件进行商务和技术评估，综合比较与评价。评标办法具体详见第五章“评标办法及评分标准”。 </w:t>
      </w:r>
    </w:p>
    <w:p>
      <w:pPr>
        <w:pStyle w:val="24"/>
        <w:spacing w:line="360" w:lineRule="auto"/>
        <w:ind w:firstLine="482" w:firstLineChars="200"/>
        <w:rPr>
          <w:rFonts w:hint="eastAsia" w:hAnsi="宋体" w:cs="仿宋"/>
          <w:b/>
          <w:bCs/>
          <w:sz w:val="24"/>
          <w:highlight w:val="none"/>
        </w:rPr>
      </w:pPr>
      <w:r>
        <w:rPr>
          <w:rFonts w:hint="eastAsia" w:hAnsi="宋体" w:cs="仿宋"/>
          <w:b/>
          <w:bCs/>
          <w:sz w:val="24"/>
          <w:highlight w:val="none"/>
        </w:rPr>
        <w:t xml:space="preserve">（六）可中止电子交易活动的情形 </w:t>
      </w:r>
    </w:p>
    <w:p>
      <w:pPr>
        <w:pStyle w:val="24"/>
        <w:spacing w:line="360" w:lineRule="auto"/>
        <w:ind w:firstLine="482" w:firstLineChars="200"/>
        <w:rPr>
          <w:rFonts w:hint="eastAsia" w:hAnsi="宋体" w:cs="仿宋"/>
          <w:sz w:val="24"/>
          <w:highlight w:val="none"/>
        </w:rPr>
      </w:pPr>
      <w:r>
        <w:rPr>
          <w:rFonts w:hint="eastAsia" w:hAnsi="宋体" w:cs="仿宋"/>
          <w:b/>
          <w:bCs/>
          <w:sz w:val="24"/>
          <w:highlight w:val="none"/>
        </w:rPr>
        <w:t>采购过程中出现以下情形，导致电子交易平台无法正常运行，或者无法保证电子交易的公平、公正和安全时，采购组织机构可中止电子交易活动：</w:t>
      </w:r>
      <w:r>
        <w:rPr>
          <w:rFonts w:hint="eastAsia" w:hAnsi="宋体" w:cs="仿宋"/>
          <w:sz w:val="24"/>
          <w:highlight w:val="none"/>
        </w:rPr>
        <w:t xml:space="preserve"> </w:t>
      </w:r>
    </w:p>
    <w:p>
      <w:pPr>
        <w:pStyle w:val="24"/>
        <w:numPr>
          <w:ilvl w:val="0"/>
          <w:numId w:val="8"/>
        </w:numPr>
        <w:spacing w:line="360" w:lineRule="auto"/>
        <w:ind w:firstLine="480" w:firstLineChars="200"/>
        <w:rPr>
          <w:rFonts w:hint="eastAsia" w:hAnsi="宋体" w:cs="仿宋"/>
          <w:sz w:val="24"/>
          <w:highlight w:val="none"/>
        </w:rPr>
      </w:pPr>
      <w:r>
        <w:rPr>
          <w:rFonts w:hint="eastAsia" w:hAnsi="宋体" w:cs="仿宋"/>
          <w:sz w:val="24"/>
          <w:highlight w:val="none"/>
        </w:rPr>
        <w:t xml:space="preserve">电子交易平台发生故障而无法登录访问的； </w:t>
      </w:r>
    </w:p>
    <w:p>
      <w:pPr>
        <w:pStyle w:val="24"/>
        <w:numPr>
          <w:ilvl w:val="0"/>
          <w:numId w:val="8"/>
        </w:numPr>
        <w:spacing w:line="360" w:lineRule="auto"/>
        <w:ind w:firstLine="480" w:firstLineChars="200"/>
        <w:rPr>
          <w:rFonts w:hint="eastAsia" w:hAnsi="宋体" w:cs="仿宋"/>
          <w:sz w:val="24"/>
          <w:highlight w:val="none"/>
        </w:rPr>
      </w:pPr>
      <w:r>
        <w:rPr>
          <w:rFonts w:hint="eastAsia" w:hAnsi="宋体" w:cs="仿宋"/>
          <w:sz w:val="24"/>
          <w:highlight w:val="none"/>
        </w:rPr>
        <w:t xml:space="preserve">电子交易平台应用或数据库出现错误，不能进行正常操作的； </w:t>
      </w:r>
    </w:p>
    <w:p>
      <w:pPr>
        <w:pStyle w:val="24"/>
        <w:numPr>
          <w:ilvl w:val="0"/>
          <w:numId w:val="8"/>
        </w:numPr>
        <w:spacing w:line="360" w:lineRule="auto"/>
        <w:ind w:firstLine="480" w:firstLineChars="200"/>
        <w:rPr>
          <w:rFonts w:hint="eastAsia" w:hAnsi="宋体" w:cs="仿宋"/>
          <w:sz w:val="24"/>
          <w:highlight w:val="none"/>
        </w:rPr>
      </w:pPr>
      <w:r>
        <w:rPr>
          <w:rFonts w:hint="eastAsia" w:hAnsi="宋体" w:cs="仿宋"/>
          <w:sz w:val="24"/>
          <w:highlight w:val="none"/>
        </w:rPr>
        <w:t xml:space="preserve">电子交易平台发现严重安全漏洞，有潜在泄密危险的； </w:t>
      </w:r>
    </w:p>
    <w:p>
      <w:pPr>
        <w:pStyle w:val="24"/>
        <w:numPr>
          <w:ilvl w:val="0"/>
          <w:numId w:val="8"/>
        </w:numPr>
        <w:spacing w:line="360" w:lineRule="auto"/>
        <w:ind w:firstLine="480" w:firstLineChars="200"/>
        <w:rPr>
          <w:rFonts w:hint="eastAsia" w:hAnsi="宋体" w:cs="仿宋"/>
          <w:sz w:val="24"/>
          <w:highlight w:val="none"/>
        </w:rPr>
      </w:pPr>
      <w:r>
        <w:rPr>
          <w:rFonts w:hint="eastAsia" w:hAnsi="宋体" w:cs="仿宋"/>
          <w:sz w:val="24"/>
          <w:highlight w:val="none"/>
        </w:rPr>
        <w:t>病毒发作导致不能进行正常操作的；</w:t>
      </w:r>
    </w:p>
    <w:p>
      <w:pPr>
        <w:pStyle w:val="24"/>
        <w:numPr>
          <w:ilvl w:val="0"/>
          <w:numId w:val="8"/>
        </w:numPr>
        <w:spacing w:line="360" w:lineRule="auto"/>
        <w:ind w:firstLine="480" w:firstLineChars="200"/>
        <w:rPr>
          <w:rFonts w:hint="eastAsia" w:hAnsi="宋体" w:cs="仿宋"/>
          <w:sz w:val="24"/>
          <w:highlight w:val="none"/>
        </w:rPr>
      </w:pPr>
      <w:r>
        <w:rPr>
          <w:rFonts w:hint="eastAsia" w:hAnsi="宋体" w:cs="仿宋"/>
          <w:sz w:val="24"/>
          <w:highlight w:val="none"/>
        </w:rPr>
        <w:t xml:space="preserve">其他无法保证电子交易的公平、公正和安全的情况。 </w:t>
      </w:r>
    </w:p>
    <w:p>
      <w:pPr>
        <w:pStyle w:val="24"/>
        <w:spacing w:line="360" w:lineRule="auto"/>
        <w:ind w:firstLine="482" w:firstLineChars="200"/>
        <w:rPr>
          <w:rFonts w:hint="eastAsia" w:hAnsi="宋体" w:cs="仿宋"/>
          <w:b/>
          <w:bCs/>
          <w:sz w:val="24"/>
          <w:highlight w:val="none"/>
        </w:rPr>
      </w:pPr>
      <w:r>
        <w:rPr>
          <w:rFonts w:hint="eastAsia" w:hAnsi="宋体" w:cs="仿宋"/>
          <w:b/>
          <w:bCs/>
          <w:sz w:val="24"/>
          <w:highlight w:val="none"/>
        </w:rPr>
        <w:t xml:space="preserve">出现前款规定情形，不影响采购公平、公正性的，采购组织机构可以待上述情形消除后继续组织电子交易活动；影响或可能影响采购公平、公正性的，应当重新采购。 </w:t>
      </w:r>
    </w:p>
    <w:p>
      <w:pPr>
        <w:pStyle w:val="24"/>
        <w:spacing w:line="360" w:lineRule="auto"/>
        <w:ind w:firstLine="482" w:firstLineChars="200"/>
        <w:rPr>
          <w:rFonts w:hint="eastAsia" w:hAnsi="宋体" w:cs="仿宋"/>
          <w:sz w:val="24"/>
          <w:highlight w:val="none"/>
        </w:rPr>
      </w:pPr>
      <w:r>
        <w:rPr>
          <w:rFonts w:hint="eastAsia" w:hAnsi="宋体" w:cs="仿宋"/>
          <w:b/>
          <w:bCs/>
          <w:sz w:val="24"/>
          <w:highlight w:val="none"/>
        </w:rPr>
        <w:t>(七）投标截止后投标人不足3家或者通过资格审查、符合性审查、对招标文件做出实质响应的投标人不足3家的，除采购任务取消情形外，按照以下方式处理：</w:t>
      </w:r>
      <w:r>
        <w:rPr>
          <w:rFonts w:hint="eastAsia" w:hAnsi="宋体" w:cs="仿宋"/>
          <w:sz w:val="24"/>
          <w:highlight w:val="none"/>
        </w:rPr>
        <w:t xml:space="preserve"> </w:t>
      </w:r>
    </w:p>
    <w:p>
      <w:pPr>
        <w:pStyle w:val="24"/>
        <w:spacing w:line="360" w:lineRule="auto"/>
        <w:ind w:firstLine="480" w:firstLineChars="200"/>
        <w:rPr>
          <w:rFonts w:hint="eastAsia" w:hAnsi="宋体" w:cs="仿宋"/>
          <w:sz w:val="24"/>
          <w:highlight w:val="none"/>
        </w:rPr>
      </w:pPr>
      <w:r>
        <w:rPr>
          <w:rFonts w:hint="eastAsia" w:hAnsi="宋体" w:cs="仿宋"/>
          <w:sz w:val="24"/>
          <w:highlight w:val="none"/>
        </w:rPr>
        <w:t>1、可将本标项作废标处理，重新组织采购；</w:t>
      </w:r>
    </w:p>
    <w:p>
      <w:pPr>
        <w:pStyle w:val="24"/>
        <w:spacing w:line="360" w:lineRule="auto"/>
        <w:ind w:firstLine="480" w:firstLineChars="200"/>
        <w:rPr>
          <w:rFonts w:hint="eastAsia" w:hAnsi="宋体" w:cs="仿宋"/>
          <w:sz w:val="24"/>
          <w:highlight w:val="none"/>
        </w:rPr>
      </w:pPr>
      <w:r>
        <w:rPr>
          <w:rFonts w:hint="eastAsia" w:hAnsi="宋体" w:cs="仿宋"/>
          <w:sz w:val="24"/>
          <w:highlight w:val="none"/>
        </w:rPr>
        <w:t xml:space="preserve">2、招标文件存在不合理条款或者招标程序不符合规定的，改正后依法重新招标； </w:t>
      </w:r>
    </w:p>
    <w:p>
      <w:pPr>
        <w:pStyle w:val="24"/>
        <w:spacing w:line="360" w:lineRule="auto"/>
        <w:ind w:firstLine="480" w:firstLineChars="200"/>
        <w:rPr>
          <w:rFonts w:hint="eastAsia" w:hAnsi="宋体" w:cs="仿宋"/>
          <w:sz w:val="24"/>
          <w:highlight w:val="none"/>
        </w:rPr>
      </w:pPr>
      <w:r>
        <w:rPr>
          <w:rFonts w:hint="eastAsia" w:hAnsi="宋体" w:cs="仿宋"/>
          <w:sz w:val="24"/>
          <w:highlight w:val="none"/>
        </w:rPr>
        <w:t>3、招标文件没有不合理条款、招标程序符合规定，需要采用其他采购人式采购的，可按同级政府采购监督管理部门的审批意见采用其他采购人式组织采购。</w:t>
      </w:r>
    </w:p>
    <w:p>
      <w:pPr>
        <w:pStyle w:val="24"/>
        <w:spacing w:line="360" w:lineRule="auto"/>
        <w:ind w:firstLine="482" w:firstLineChars="200"/>
        <w:rPr>
          <w:rFonts w:hint="eastAsia" w:hAnsi="宋体" w:cs="仿宋"/>
          <w:b/>
          <w:bCs/>
          <w:sz w:val="24"/>
          <w:highlight w:val="none"/>
        </w:rPr>
      </w:pPr>
      <w:r>
        <w:rPr>
          <w:rFonts w:hint="eastAsia" w:hAnsi="宋体" w:cs="仿宋"/>
          <w:b/>
          <w:bCs/>
          <w:sz w:val="24"/>
          <w:highlight w:val="none"/>
        </w:rPr>
        <w:t xml:space="preserve">（八）在招标采购中，出现下列情形之一的，应予废标： </w:t>
      </w:r>
    </w:p>
    <w:p>
      <w:pPr>
        <w:pStyle w:val="24"/>
        <w:spacing w:line="360" w:lineRule="auto"/>
        <w:ind w:firstLine="480" w:firstLineChars="200"/>
        <w:rPr>
          <w:rFonts w:hint="eastAsia" w:hAnsi="宋体" w:cs="仿宋"/>
          <w:sz w:val="24"/>
          <w:highlight w:val="none"/>
        </w:rPr>
      </w:pPr>
      <w:r>
        <w:rPr>
          <w:rFonts w:hint="eastAsia" w:hAnsi="宋体" w:cs="仿宋"/>
          <w:sz w:val="24"/>
          <w:highlight w:val="none"/>
        </w:rPr>
        <w:t xml:space="preserve">1、符合招标文件规定废标情形的； </w:t>
      </w:r>
    </w:p>
    <w:p>
      <w:pPr>
        <w:pStyle w:val="24"/>
        <w:spacing w:line="360" w:lineRule="auto"/>
        <w:ind w:firstLine="480" w:firstLineChars="200"/>
        <w:rPr>
          <w:rFonts w:hint="eastAsia" w:hAnsi="宋体" w:cs="仿宋"/>
          <w:sz w:val="24"/>
          <w:highlight w:val="none"/>
        </w:rPr>
      </w:pPr>
      <w:r>
        <w:rPr>
          <w:rFonts w:hint="eastAsia" w:hAnsi="宋体" w:cs="仿宋"/>
          <w:sz w:val="24"/>
          <w:highlight w:val="none"/>
        </w:rPr>
        <w:t xml:space="preserve">2、出现影响采购公正的违法、违规行为的；  </w:t>
      </w:r>
    </w:p>
    <w:p>
      <w:pPr>
        <w:pStyle w:val="24"/>
        <w:spacing w:line="360" w:lineRule="auto"/>
        <w:ind w:firstLine="480" w:firstLineChars="200"/>
        <w:rPr>
          <w:rFonts w:hint="eastAsia" w:hAnsi="宋体" w:cs="仿宋"/>
          <w:sz w:val="24"/>
          <w:highlight w:val="none"/>
        </w:rPr>
      </w:pPr>
      <w:r>
        <w:rPr>
          <w:rFonts w:hint="eastAsia" w:hAnsi="宋体" w:cs="仿宋"/>
          <w:sz w:val="24"/>
          <w:highlight w:val="none"/>
        </w:rPr>
        <w:t xml:space="preserve">3、投标人的报价均超过了采购预算或最高限价，采购人不能支付的；  </w:t>
      </w:r>
    </w:p>
    <w:p>
      <w:pPr>
        <w:pStyle w:val="24"/>
        <w:spacing w:line="360" w:lineRule="auto"/>
        <w:ind w:firstLine="480" w:firstLineChars="200"/>
        <w:rPr>
          <w:rFonts w:hint="eastAsia" w:hAnsi="宋体" w:cs="仿宋"/>
          <w:sz w:val="24"/>
          <w:highlight w:val="none"/>
        </w:rPr>
      </w:pPr>
      <w:r>
        <w:rPr>
          <w:rFonts w:hint="eastAsia" w:hAnsi="宋体" w:cs="仿宋"/>
          <w:sz w:val="24"/>
          <w:highlight w:val="none"/>
        </w:rPr>
        <w:t xml:space="preserve">4、因重大变故，采购任务取消的。 </w:t>
      </w:r>
      <w:bookmarkStart w:id="26" w:name="_Toc107820051"/>
      <w:bookmarkStart w:id="27" w:name="_Toc170792772"/>
    </w:p>
    <w:p>
      <w:pPr>
        <w:pStyle w:val="24"/>
        <w:spacing w:line="360" w:lineRule="auto"/>
        <w:ind w:firstLine="482" w:firstLineChars="200"/>
        <w:rPr>
          <w:rFonts w:hint="eastAsia" w:hAnsi="宋体" w:cs="仿宋"/>
          <w:b/>
          <w:bCs/>
          <w:sz w:val="24"/>
          <w:highlight w:val="none"/>
        </w:rPr>
      </w:pPr>
      <w:r>
        <w:rPr>
          <w:rFonts w:hint="eastAsia" w:hAnsi="宋体" w:cs="仿宋"/>
          <w:b/>
          <w:bCs/>
          <w:sz w:val="24"/>
          <w:highlight w:val="none"/>
        </w:rPr>
        <w:t>（九）政府采购政策落实：</w:t>
      </w:r>
    </w:p>
    <w:p>
      <w:pPr>
        <w:pStyle w:val="24"/>
        <w:spacing w:line="360" w:lineRule="auto"/>
        <w:ind w:firstLine="480" w:firstLineChars="200"/>
        <w:rPr>
          <w:rFonts w:hint="eastAsia" w:hAnsi="宋体" w:cs="仿宋"/>
          <w:sz w:val="24"/>
          <w:highlight w:val="none"/>
        </w:rPr>
      </w:pPr>
      <w:r>
        <w:rPr>
          <w:rFonts w:hAnsi="宋体" w:cs="仿宋"/>
          <w:sz w:val="24"/>
          <w:highlight w:val="none"/>
          <w:lang w:val="en"/>
        </w:rPr>
        <w:t>1</w:t>
      </w:r>
      <w:r>
        <w:rPr>
          <w:rFonts w:hint="eastAsia" w:hAnsi="宋体" w:cs="仿宋"/>
          <w:sz w:val="24"/>
          <w:highlight w:val="none"/>
        </w:rPr>
        <w:t>、采购项目需要落实的政府采购政策</w:t>
      </w:r>
    </w:p>
    <w:p>
      <w:pPr>
        <w:pStyle w:val="24"/>
        <w:spacing w:line="360" w:lineRule="auto"/>
        <w:ind w:firstLine="480" w:firstLineChars="200"/>
        <w:rPr>
          <w:rFonts w:hint="eastAsia" w:hAnsi="宋体" w:cs="仿宋"/>
          <w:sz w:val="24"/>
          <w:highlight w:val="none"/>
        </w:rPr>
      </w:pPr>
      <w:r>
        <w:rPr>
          <w:rFonts w:hint="eastAsia" w:hAnsi="宋体" w:cs="仿宋"/>
          <w:sz w:val="24"/>
          <w:highlight w:val="none"/>
          <w:lang w:val="en"/>
        </w:rPr>
        <w:t>（</w:t>
      </w:r>
      <w:r>
        <w:rPr>
          <w:rFonts w:hint="eastAsia" w:hAnsi="宋体" w:cs="仿宋"/>
          <w:sz w:val="24"/>
          <w:highlight w:val="none"/>
        </w:rPr>
        <w:t>1</w:t>
      </w:r>
      <w:r>
        <w:rPr>
          <w:rFonts w:hint="eastAsia" w:hAnsi="宋体" w:cs="仿宋"/>
          <w:sz w:val="24"/>
          <w:highlight w:val="none"/>
          <w:lang w:val="en"/>
        </w:rPr>
        <w:t>）</w:t>
      </w:r>
      <w:r>
        <w:rPr>
          <w:rFonts w:hint="eastAsia" w:hAnsi="宋体" w:cs="仿宋"/>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pPr>
        <w:pStyle w:val="24"/>
        <w:spacing w:line="360" w:lineRule="auto"/>
        <w:ind w:firstLine="480" w:firstLineChars="200"/>
        <w:rPr>
          <w:rFonts w:hint="eastAsia" w:hAnsi="宋体" w:cs="仿宋"/>
          <w:sz w:val="24"/>
          <w:highlight w:val="none"/>
        </w:rPr>
      </w:pPr>
      <w:r>
        <w:rPr>
          <w:rFonts w:hint="eastAsia" w:hAnsi="宋体" w:cs="仿宋"/>
          <w:sz w:val="24"/>
          <w:highlight w:val="none"/>
        </w:rPr>
        <w:t>2、支持绿色发展</w:t>
      </w:r>
    </w:p>
    <w:p>
      <w:pPr>
        <w:pStyle w:val="24"/>
        <w:spacing w:line="360" w:lineRule="auto"/>
        <w:ind w:firstLine="480" w:firstLineChars="200"/>
        <w:rPr>
          <w:rFonts w:hint="eastAsia" w:hAnsi="宋体" w:cs="仿宋"/>
          <w:sz w:val="24"/>
          <w:highlight w:val="none"/>
        </w:rPr>
      </w:pPr>
      <w:r>
        <w:rPr>
          <w:rFonts w:hint="eastAsia" w:hAnsi="宋体" w:cs="仿宋"/>
          <w:sz w:val="24"/>
          <w:highlight w:val="none"/>
          <w:lang w:val="en"/>
        </w:rPr>
        <w:t>（</w:t>
      </w:r>
      <w:r>
        <w:rPr>
          <w:rFonts w:hint="eastAsia" w:hAnsi="宋体" w:cs="仿宋"/>
          <w:sz w:val="24"/>
          <w:highlight w:val="none"/>
        </w:rPr>
        <w:t>1</w:t>
      </w:r>
      <w:r>
        <w:rPr>
          <w:rFonts w:hint="eastAsia" w:hAnsi="宋体" w:cs="仿宋"/>
          <w:sz w:val="24"/>
          <w:highlight w:val="none"/>
          <w:lang w:val="en"/>
        </w:rPr>
        <w:t>）</w:t>
      </w:r>
      <w:r>
        <w:rPr>
          <w:rFonts w:hint="eastAsia" w:hAnsi="宋体" w:cs="仿宋"/>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p>
    <w:p>
      <w:pPr>
        <w:pStyle w:val="24"/>
        <w:spacing w:line="360" w:lineRule="auto"/>
        <w:ind w:firstLine="480" w:firstLineChars="200"/>
        <w:rPr>
          <w:rFonts w:hint="eastAsia" w:hAnsi="宋体" w:cs="仿宋"/>
          <w:sz w:val="24"/>
          <w:highlight w:val="none"/>
        </w:rPr>
      </w:pPr>
      <w:r>
        <w:rPr>
          <w:rFonts w:hint="eastAsia" w:hAnsi="宋体" w:cs="宋体"/>
          <w:sz w:val="24"/>
          <w:highlight w:val="none"/>
        </w:rPr>
        <w:t>★</w:t>
      </w:r>
      <w:r>
        <w:rPr>
          <w:rFonts w:hint="eastAsia" w:hAnsi="宋体" w:cs="仿宋"/>
          <w:sz w:val="24"/>
          <w:highlight w:val="none"/>
        </w:rPr>
        <w:t>采购人拟采购的产品属于政府强制采购的节能产品品目清单范围的，供应商未按采购文件要求提供国家确定的认证机构出具的、处于有效期之内的节能产品认证证书的，投标无效。</w:t>
      </w:r>
    </w:p>
    <w:p>
      <w:pPr>
        <w:pStyle w:val="24"/>
        <w:spacing w:line="360" w:lineRule="auto"/>
        <w:ind w:firstLine="480" w:firstLineChars="200"/>
        <w:rPr>
          <w:rFonts w:hint="eastAsia" w:hAnsi="宋体" w:cs="仿宋"/>
          <w:sz w:val="24"/>
          <w:highlight w:val="none"/>
        </w:rPr>
      </w:pPr>
      <w:r>
        <w:rPr>
          <w:rFonts w:hint="eastAsia" w:hAnsi="宋体" w:cs="仿宋"/>
          <w:sz w:val="24"/>
          <w:highlight w:val="none"/>
          <w:lang w:val="en"/>
        </w:rPr>
        <w:t>（</w:t>
      </w:r>
      <w:r>
        <w:rPr>
          <w:rFonts w:hint="eastAsia" w:hAnsi="宋体" w:cs="仿宋"/>
          <w:sz w:val="24"/>
          <w:highlight w:val="none"/>
        </w:rPr>
        <w:t>2</w:t>
      </w:r>
      <w:r>
        <w:rPr>
          <w:rFonts w:hint="eastAsia" w:hAnsi="宋体" w:cs="仿宋"/>
          <w:sz w:val="24"/>
          <w:highlight w:val="none"/>
          <w:lang w:val="en"/>
        </w:rPr>
        <w:t>）</w:t>
      </w:r>
      <w:r>
        <w:rPr>
          <w:rFonts w:hint="eastAsia" w:hAnsi="宋体" w:cs="仿宋"/>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pStyle w:val="24"/>
        <w:spacing w:line="360" w:lineRule="auto"/>
        <w:ind w:firstLine="480" w:firstLineChars="200"/>
        <w:rPr>
          <w:rFonts w:hint="eastAsia" w:hAnsi="宋体" w:cs="仿宋"/>
          <w:sz w:val="24"/>
          <w:highlight w:val="none"/>
        </w:rPr>
      </w:pPr>
      <w:r>
        <w:rPr>
          <w:rFonts w:hint="eastAsia" w:hAnsi="宋体" w:cs="仿宋"/>
          <w:sz w:val="24"/>
          <w:highlight w:val="none"/>
        </w:rPr>
        <w:t>3、支持中小企业发展</w:t>
      </w:r>
    </w:p>
    <w:p>
      <w:pPr>
        <w:pStyle w:val="24"/>
        <w:spacing w:line="360" w:lineRule="auto"/>
        <w:ind w:firstLine="480" w:firstLineChars="200"/>
        <w:rPr>
          <w:rFonts w:hint="eastAsia" w:hAnsi="宋体" w:cs="仿宋"/>
          <w:sz w:val="24"/>
          <w:highlight w:val="none"/>
        </w:rPr>
      </w:pPr>
      <w:r>
        <w:rPr>
          <w:rFonts w:hint="eastAsia" w:hAnsi="宋体" w:cs="仿宋"/>
          <w:sz w:val="24"/>
          <w:highlight w:val="none"/>
          <w:lang w:val="en"/>
        </w:rPr>
        <w:t>（</w:t>
      </w:r>
      <w:r>
        <w:rPr>
          <w:rFonts w:hint="eastAsia" w:hAnsi="宋体" w:cs="仿宋"/>
          <w:sz w:val="24"/>
          <w:highlight w:val="none"/>
        </w:rPr>
        <w:t>1</w:t>
      </w:r>
      <w:r>
        <w:rPr>
          <w:rFonts w:hint="eastAsia" w:hAnsi="宋体" w:cs="仿宋"/>
          <w:sz w:val="24"/>
          <w:highlight w:val="none"/>
          <w:lang w:val="en"/>
        </w:rPr>
        <w:t>）</w:t>
      </w:r>
      <w:r>
        <w:rPr>
          <w:rFonts w:hint="eastAsia" w:hAnsi="宋体" w:cs="仿宋"/>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24"/>
        <w:spacing w:line="360" w:lineRule="auto"/>
        <w:ind w:firstLine="480" w:firstLineChars="200"/>
        <w:rPr>
          <w:rFonts w:hint="eastAsia" w:hAnsi="宋体" w:cs="仿宋"/>
          <w:sz w:val="24"/>
          <w:highlight w:val="none"/>
        </w:rPr>
      </w:pPr>
      <w:r>
        <w:rPr>
          <w:rFonts w:hint="eastAsia" w:hAnsi="宋体" w:cs="仿宋"/>
          <w:sz w:val="24"/>
          <w:highlight w:val="none"/>
        </w:rPr>
        <w:t>符合中小企业划分标准的个体工商户，在政府采购活动中视同中小企业。</w:t>
      </w:r>
    </w:p>
    <w:p>
      <w:pPr>
        <w:pStyle w:val="24"/>
        <w:spacing w:line="360" w:lineRule="auto"/>
        <w:ind w:firstLine="480" w:firstLineChars="200"/>
        <w:rPr>
          <w:rFonts w:hint="eastAsia" w:hAnsi="宋体" w:cs="仿宋"/>
          <w:sz w:val="24"/>
          <w:highlight w:val="none"/>
        </w:rPr>
      </w:pPr>
      <w:r>
        <w:rPr>
          <w:rFonts w:hint="eastAsia" w:hAnsi="宋体" w:cs="仿宋"/>
          <w:sz w:val="24"/>
          <w:highlight w:val="none"/>
          <w:lang w:val="en"/>
        </w:rPr>
        <w:t>（</w:t>
      </w:r>
      <w:r>
        <w:rPr>
          <w:rFonts w:hint="eastAsia" w:hAnsi="宋体" w:cs="仿宋"/>
          <w:sz w:val="24"/>
          <w:highlight w:val="none"/>
        </w:rPr>
        <w:t>2</w:t>
      </w:r>
      <w:r>
        <w:rPr>
          <w:rFonts w:hint="eastAsia" w:hAnsi="宋体" w:cs="仿宋"/>
          <w:sz w:val="24"/>
          <w:highlight w:val="none"/>
          <w:lang w:val="en"/>
        </w:rPr>
        <w:t>）</w:t>
      </w:r>
      <w:r>
        <w:rPr>
          <w:rFonts w:hint="eastAsia" w:hAnsi="宋体" w:cs="仿宋"/>
          <w:sz w:val="24"/>
          <w:highlight w:val="none"/>
        </w:rPr>
        <w:t>在政府采购活动中，供应商提供的货物、工程或者服务符合下列情形的，享受中小企业扶持政策：</w:t>
      </w:r>
    </w:p>
    <w:p>
      <w:pPr>
        <w:pStyle w:val="24"/>
        <w:spacing w:line="360" w:lineRule="auto"/>
        <w:ind w:firstLine="480" w:firstLineChars="200"/>
        <w:rPr>
          <w:rFonts w:hint="eastAsia" w:hAnsi="宋体" w:cs="仿宋"/>
          <w:sz w:val="24"/>
          <w:highlight w:val="none"/>
        </w:rPr>
      </w:pPr>
      <w:r>
        <w:rPr>
          <w:rFonts w:hint="eastAsia" w:hAnsi="宋体" w:cs="仿宋"/>
          <w:sz w:val="24"/>
          <w:highlight w:val="none"/>
        </w:rPr>
        <w:t>1）在货物采购项目中，货物由中小企业制造，即货物由中小企业生产且使用该中小企业商号或者注册商标；</w:t>
      </w:r>
    </w:p>
    <w:p>
      <w:pPr>
        <w:pStyle w:val="24"/>
        <w:spacing w:line="360" w:lineRule="auto"/>
        <w:ind w:firstLine="480" w:firstLineChars="200"/>
        <w:rPr>
          <w:rFonts w:hint="eastAsia" w:hAnsi="宋体" w:cs="仿宋"/>
          <w:sz w:val="24"/>
          <w:highlight w:val="none"/>
        </w:rPr>
      </w:pPr>
      <w:r>
        <w:rPr>
          <w:rFonts w:hint="eastAsia" w:hAnsi="宋体" w:cs="仿宋"/>
          <w:sz w:val="24"/>
          <w:highlight w:val="none"/>
        </w:rPr>
        <w:t>2）在工程采购项目中，工程由中小企业承建，即工程施工单位为中小企业；</w:t>
      </w:r>
    </w:p>
    <w:p>
      <w:pPr>
        <w:pStyle w:val="24"/>
        <w:spacing w:line="360" w:lineRule="auto"/>
        <w:ind w:firstLine="480" w:firstLineChars="200"/>
        <w:rPr>
          <w:rFonts w:hint="eastAsia" w:hAnsi="宋体" w:cs="仿宋"/>
          <w:sz w:val="24"/>
          <w:highlight w:val="none"/>
        </w:rPr>
      </w:pPr>
      <w:r>
        <w:rPr>
          <w:rFonts w:hint="eastAsia" w:hAnsi="宋体" w:cs="仿宋"/>
          <w:sz w:val="24"/>
          <w:highlight w:val="none"/>
        </w:rPr>
        <w:t>3）在服务采购项目中，服务由中小企业承接，即提供服务的人员为中小企业依照《中华人民共和国劳动合同法》订立劳动合同的从业人员。</w:t>
      </w:r>
    </w:p>
    <w:p>
      <w:pPr>
        <w:pStyle w:val="24"/>
        <w:spacing w:line="360" w:lineRule="auto"/>
        <w:ind w:firstLine="480" w:firstLineChars="200"/>
        <w:rPr>
          <w:rFonts w:hint="eastAsia" w:hAnsi="宋体" w:cs="仿宋"/>
          <w:sz w:val="24"/>
          <w:highlight w:val="none"/>
        </w:rPr>
      </w:pPr>
      <w:r>
        <w:rPr>
          <w:rFonts w:hint="eastAsia" w:hAnsi="宋体" w:cs="仿宋"/>
          <w:sz w:val="24"/>
          <w:highlight w:val="none"/>
        </w:rPr>
        <w:t>在货物采购项目中，供应商提供的货物既有中小企业制造货物，也有大型企业制造货物的，不享受中小企业扶持政策。</w:t>
      </w:r>
    </w:p>
    <w:p>
      <w:pPr>
        <w:pStyle w:val="24"/>
        <w:spacing w:line="360" w:lineRule="auto"/>
        <w:ind w:firstLine="480" w:firstLineChars="200"/>
        <w:rPr>
          <w:rFonts w:hint="eastAsia" w:hAnsi="宋体" w:cs="仿宋"/>
          <w:sz w:val="24"/>
          <w:highlight w:val="none"/>
        </w:rPr>
      </w:pPr>
      <w:r>
        <w:rPr>
          <w:rFonts w:hint="eastAsia" w:hAnsi="宋体" w:cs="仿宋"/>
          <w:sz w:val="24"/>
          <w:highlight w:val="none"/>
        </w:rPr>
        <w:t>以联合体形式参加政府采购活动，联合体各方均为中小企业的，联合体视同中小企业。其中，联合体各方均为小微企业的，联合体视同小微企业。</w:t>
      </w:r>
    </w:p>
    <w:p>
      <w:pPr>
        <w:pStyle w:val="24"/>
        <w:spacing w:line="360" w:lineRule="auto"/>
        <w:ind w:firstLine="480" w:firstLineChars="200"/>
        <w:rPr>
          <w:rFonts w:hint="eastAsia" w:hAnsi="宋体" w:cs="仿宋"/>
          <w:sz w:val="24"/>
          <w:highlight w:val="none"/>
        </w:rPr>
      </w:pPr>
      <w:r>
        <w:rPr>
          <w:rFonts w:hint="eastAsia" w:hAnsi="宋体" w:cs="仿宋"/>
          <w:sz w:val="24"/>
          <w:highlight w:val="none"/>
          <w:lang w:val="en"/>
        </w:rPr>
        <w:t>（</w:t>
      </w:r>
      <w:r>
        <w:rPr>
          <w:rFonts w:hint="eastAsia" w:hAnsi="宋体" w:cs="仿宋"/>
          <w:sz w:val="24"/>
          <w:highlight w:val="none"/>
        </w:rPr>
        <w:t>3</w:t>
      </w:r>
      <w:r>
        <w:rPr>
          <w:rFonts w:hint="eastAsia" w:hAnsi="宋体" w:cs="仿宋"/>
          <w:sz w:val="24"/>
          <w:highlight w:val="none"/>
          <w:lang w:val="en"/>
        </w:rPr>
        <w:t>）</w:t>
      </w:r>
      <w:r>
        <w:rPr>
          <w:rFonts w:hint="eastAsia" w:hAnsi="宋体" w:cs="仿宋"/>
          <w:sz w:val="24"/>
          <w:highlight w:val="none"/>
        </w:rPr>
        <w:t>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pStyle w:val="24"/>
        <w:spacing w:line="360" w:lineRule="auto"/>
        <w:ind w:firstLine="480" w:firstLineChars="200"/>
        <w:rPr>
          <w:rFonts w:hint="eastAsia" w:hAnsi="宋体" w:cs="仿宋"/>
          <w:sz w:val="24"/>
          <w:highlight w:val="none"/>
        </w:rPr>
      </w:pPr>
      <w:r>
        <w:rPr>
          <w:rFonts w:hint="eastAsia" w:hAnsi="宋体" w:cs="仿宋"/>
          <w:sz w:val="24"/>
          <w:highlight w:val="none"/>
          <w:lang w:val="en"/>
        </w:rPr>
        <w:t>（</w:t>
      </w:r>
      <w:r>
        <w:rPr>
          <w:rFonts w:hint="eastAsia" w:hAnsi="宋体" w:cs="仿宋"/>
          <w:sz w:val="24"/>
          <w:highlight w:val="none"/>
        </w:rPr>
        <w:t>4</w:t>
      </w:r>
      <w:r>
        <w:rPr>
          <w:rFonts w:hint="eastAsia" w:hAnsi="宋体" w:cs="仿宋"/>
          <w:sz w:val="24"/>
          <w:highlight w:val="none"/>
          <w:lang w:val="en"/>
        </w:rPr>
        <w:t>）</w:t>
      </w:r>
      <w:r>
        <w:rPr>
          <w:rFonts w:hint="eastAsia" w:hAnsi="宋体" w:cs="仿宋"/>
          <w:sz w:val="24"/>
          <w:highlight w:val="none"/>
        </w:rPr>
        <w:t>符合《关于促进残疾人就业政府采购政策的通知》（财库〔2017〕141号）规定的条件并提供《残疾人福利性单位声明函》（附件1）的残疾人福利性单位视同小型、微型企业；</w:t>
      </w:r>
    </w:p>
    <w:p>
      <w:pPr>
        <w:pStyle w:val="24"/>
        <w:spacing w:line="360" w:lineRule="auto"/>
        <w:ind w:firstLine="480" w:firstLineChars="200"/>
        <w:rPr>
          <w:rFonts w:hint="eastAsia" w:hAnsi="宋体" w:cs="仿宋"/>
          <w:sz w:val="24"/>
          <w:highlight w:val="none"/>
        </w:rPr>
      </w:pPr>
      <w:r>
        <w:rPr>
          <w:rFonts w:hint="eastAsia" w:hAnsi="宋体" w:cs="仿宋"/>
          <w:sz w:val="24"/>
          <w:highlight w:val="none"/>
          <w:lang w:val="en"/>
        </w:rPr>
        <w:t>（</w:t>
      </w:r>
      <w:r>
        <w:rPr>
          <w:rFonts w:hint="eastAsia" w:hAnsi="宋体" w:cs="仿宋"/>
          <w:sz w:val="24"/>
          <w:highlight w:val="none"/>
        </w:rPr>
        <w:t>5</w:t>
      </w:r>
      <w:r>
        <w:rPr>
          <w:rFonts w:hint="eastAsia" w:hAnsi="宋体" w:cs="仿宋"/>
          <w:sz w:val="24"/>
          <w:highlight w:val="none"/>
          <w:lang w:val="en"/>
        </w:rPr>
        <w:t>）</w:t>
      </w:r>
      <w:r>
        <w:rPr>
          <w:rFonts w:hint="eastAsia" w:hAnsi="宋体" w:cs="仿宋"/>
          <w:sz w:val="24"/>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pStyle w:val="24"/>
        <w:spacing w:line="360" w:lineRule="auto"/>
        <w:ind w:firstLine="480" w:firstLineChars="200"/>
        <w:rPr>
          <w:rFonts w:hint="eastAsia" w:hAnsi="宋体" w:cs="仿宋"/>
          <w:sz w:val="24"/>
          <w:highlight w:val="none"/>
        </w:rPr>
      </w:pPr>
      <w:r>
        <w:rPr>
          <w:rFonts w:hint="eastAsia" w:hAnsi="宋体" w:cs="仿宋"/>
          <w:sz w:val="24"/>
          <w:highlight w:val="none"/>
          <w:lang w:val="en"/>
        </w:rPr>
        <w:t>（</w:t>
      </w:r>
      <w:r>
        <w:rPr>
          <w:rFonts w:hint="eastAsia" w:hAnsi="宋体" w:cs="仿宋"/>
          <w:sz w:val="24"/>
          <w:highlight w:val="none"/>
        </w:rPr>
        <w:t>6</w:t>
      </w:r>
      <w:r>
        <w:rPr>
          <w:rFonts w:hint="eastAsia" w:hAnsi="宋体" w:cs="仿宋"/>
          <w:sz w:val="24"/>
          <w:highlight w:val="none"/>
          <w:lang w:val="en"/>
        </w:rPr>
        <w:t>）</w:t>
      </w:r>
      <w:r>
        <w:rPr>
          <w:rFonts w:hint="eastAsia" w:hAnsi="宋体" w:cs="仿宋"/>
          <w:sz w:val="24"/>
          <w:highlight w:val="none"/>
        </w:rPr>
        <w:t>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pPr>
        <w:pStyle w:val="24"/>
        <w:spacing w:line="360" w:lineRule="auto"/>
        <w:ind w:firstLine="480" w:firstLineChars="200"/>
        <w:rPr>
          <w:rFonts w:hint="eastAsia" w:hAnsi="宋体" w:cs="仿宋"/>
          <w:sz w:val="24"/>
          <w:highlight w:val="none"/>
        </w:rPr>
      </w:pPr>
      <w:r>
        <w:rPr>
          <w:rFonts w:hint="eastAsia" w:hAnsi="宋体" w:cs="仿宋"/>
          <w:sz w:val="24"/>
          <w:highlight w:val="none"/>
          <w:lang w:val="en"/>
        </w:rPr>
        <w:t>（</w:t>
      </w:r>
      <w:r>
        <w:rPr>
          <w:rFonts w:hint="eastAsia" w:hAnsi="宋体" w:cs="仿宋"/>
          <w:sz w:val="24"/>
          <w:highlight w:val="none"/>
        </w:rPr>
        <w:t>7</w:t>
      </w:r>
      <w:r>
        <w:rPr>
          <w:rFonts w:hint="eastAsia" w:hAnsi="宋体" w:cs="仿宋"/>
          <w:sz w:val="24"/>
          <w:highlight w:val="none"/>
          <w:lang w:val="en"/>
        </w:rPr>
        <w:t>）</w:t>
      </w:r>
      <w:r>
        <w:rPr>
          <w:rFonts w:hint="eastAsia" w:hAnsi="宋体" w:cs="仿宋"/>
          <w:sz w:val="24"/>
          <w:highlight w:val="none"/>
        </w:rPr>
        <w:t>中小企业享受扶持政策获得政府采购合同的，小微企业不得将合同分包给大中型企业，中型企业不得将合同分包给大型企业。</w:t>
      </w:r>
    </w:p>
    <w:p>
      <w:pPr>
        <w:pStyle w:val="24"/>
        <w:spacing w:line="360" w:lineRule="auto"/>
        <w:ind w:firstLine="480" w:firstLineChars="200"/>
        <w:rPr>
          <w:rFonts w:hint="eastAsia" w:hAnsi="宋体" w:cs="仿宋"/>
          <w:sz w:val="24"/>
          <w:highlight w:val="none"/>
        </w:rPr>
      </w:pPr>
      <w:r>
        <w:rPr>
          <w:rFonts w:hint="eastAsia" w:hAnsi="宋体" w:cs="仿宋"/>
          <w:sz w:val="24"/>
          <w:highlight w:val="none"/>
        </w:rPr>
        <w:t>4、支持创新发展</w:t>
      </w:r>
    </w:p>
    <w:p>
      <w:pPr>
        <w:pStyle w:val="24"/>
        <w:spacing w:line="360" w:lineRule="auto"/>
        <w:ind w:firstLine="480" w:firstLineChars="200"/>
        <w:rPr>
          <w:rFonts w:hint="eastAsia" w:hAnsi="宋体" w:cs="仿宋"/>
          <w:sz w:val="24"/>
          <w:highlight w:val="none"/>
        </w:rPr>
      </w:pPr>
      <w:r>
        <w:rPr>
          <w:rFonts w:hint="eastAsia" w:hAnsi="宋体" w:cs="仿宋"/>
          <w:sz w:val="24"/>
          <w:highlight w:val="none"/>
          <w:lang w:val="en"/>
        </w:rPr>
        <w:t>（</w:t>
      </w:r>
      <w:r>
        <w:rPr>
          <w:rFonts w:hint="eastAsia" w:hAnsi="宋体" w:cs="仿宋"/>
          <w:sz w:val="24"/>
          <w:highlight w:val="none"/>
        </w:rPr>
        <w:t>1</w:t>
      </w:r>
      <w:r>
        <w:rPr>
          <w:rFonts w:hint="eastAsia" w:hAnsi="宋体" w:cs="仿宋"/>
          <w:sz w:val="24"/>
          <w:highlight w:val="none"/>
          <w:lang w:val="en"/>
        </w:rPr>
        <w:t>）</w:t>
      </w:r>
      <w:r>
        <w:rPr>
          <w:rFonts w:hint="eastAsia" w:hAnsi="宋体" w:cs="仿宋"/>
          <w:sz w:val="24"/>
          <w:highlight w:val="none"/>
        </w:rPr>
        <w:t>采购人优先采购被认定为首台套产品和“制造精品”的自主创新产品。</w:t>
      </w:r>
    </w:p>
    <w:p>
      <w:pPr>
        <w:pStyle w:val="24"/>
        <w:spacing w:line="360" w:lineRule="auto"/>
        <w:ind w:firstLine="480" w:firstLineChars="200"/>
        <w:rPr>
          <w:rFonts w:hint="eastAsia" w:hAnsi="宋体" w:cs="仿宋"/>
          <w:sz w:val="24"/>
          <w:highlight w:val="none"/>
        </w:rPr>
      </w:pPr>
      <w:r>
        <w:rPr>
          <w:rFonts w:hint="eastAsia" w:hAnsi="宋体" w:cs="仿宋"/>
          <w:sz w:val="24"/>
          <w:highlight w:val="none"/>
          <w:lang w:val="en"/>
        </w:rPr>
        <w:t>（</w:t>
      </w:r>
      <w:r>
        <w:rPr>
          <w:rFonts w:hint="eastAsia" w:hAnsi="宋体" w:cs="仿宋"/>
          <w:sz w:val="24"/>
          <w:highlight w:val="none"/>
        </w:rPr>
        <w:t>2</w:t>
      </w:r>
      <w:r>
        <w:rPr>
          <w:rFonts w:hint="eastAsia" w:hAnsi="宋体" w:cs="仿宋"/>
          <w:sz w:val="24"/>
          <w:highlight w:val="none"/>
          <w:lang w:val="en"/>
        </w:rPr>
        <w:t>）</w:t>
      </w:r>
      <w:r>
        <w:rPr>
          <w:rFonts w:hint="eastAsia" w:hAnsi="宋体" w:cs="仿宋"/>
          <w:sz w:val="24"/>
          <w:highlight w:val="none"/>
        </w:rPr>
        <w:t>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pStyle w:val="24"/>
        <w:spacing w:line="360" w:lineRule="auto"/>
        <w:ind w:firstLine="480" w:firstLineChars="200"/>
        <w:rPr>
          <w:rFonts w:hint="eastAsia" w:hAnsi="宋体" w:cs="仿宋"/>
          <w:sz w:val="24"/>
          <w:highlight w:val="none"/>
        </w:rPr>
      </w:pPr>
      <w:r>
        <w:rPr>
          <w:rFonts w:hint="eastAsia" w:hAnsi="宋体" w:cs="仿宋"/>
          <w:sz w:val="24"/>
          <w:highlight w:val="none"/>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 供应商可以通过浙江政府采购网(https://zfcg.czt.zj.gov.cn/)首页的“浙江政采贷”模块进入申请，还可以通过政府采购云平台(https://www</w:t>
      </w:r>
      <w:r>
        <w:rPr>
          <w:rFonts w:hAnsi="宋体" w:cs="仿宋"/>
          <w:sz w:val="24"/>
          <w:highlight w:val="none"/>
        </w:rPr>
        <w:t>.</w:t>
      </w:r>
      <w:r>
        <w:rPr>
          <w:rFonts w:hint="eastAsia" w:hAnsi="宋体" w:cs="仿宋"/>
          <w:sz w:val="24"/>
          <w:highlight w:val="none"/>
        </w:rPr>
        <w:t>zcygov.cn/)首页的“金融服务”模块进入申请。</w:t>
      </w:r>
    </w:p>
    <w:p>
      <w:pPr>
        <w:pStyle w:val="35"/>
        <w:rPr>
          <w:rFonts w:hint="eastAsia"/>
          <w:highlight w:val="none"/>
        </w:rPr>
      </w:pPr>
    </w:p>
    <w:p>
      <w:pPr>
        <w:spacing w:before="156" w:beforeLines="50" w:after="156" w:afterLines="50" w:line="360" w:lineRule="auto"/>
        <w:ind w:firstLine="643" w:firstLineChars="200"/>
        <w:jc w:val="center"/>
        <w:rPr>
          <w:rFonts w:hint="eastAsia" w:ascii="黑体" w:hAnsi="黑体" w:eastAsia="黑体" w:cs="黑体"/>
          <w:b/>
          <w:sz w:val="32"/>
          <w:szCs w:val="32"/>
          <w:highlight w:val="none"/>
        </w:rPr>
      </w:pPr>
      <w:r>
        <w:rPr>
          <w:rFonts w:hint="eastAsia" w:ascii="黑体" w:hAnsi="黑体" w:eastAsia="黑体" w:cs="黑体"/>
          <w:b/>
          <w:sz w:val="32"/>
          <w:szCs w:val="32"/>
          <w:highlight w:val="none"/>
        </w:rPr>
        <w:t>第八节</w:t>
      </w:r>
      <w:bookmarkStart w:id="28" w:name="_Toc177870556"/>
      <w:r>
        <w:rPr>
          <w:rFonts w:hint="eastAsia" w:ascii="黑体" w:hAnsi="黑体" w:eastAsia="黑体" w:cs="黑体"/>
          <w:b/>
          <w:sz w:val="32"/>
          <w:szCs w:val="32"/>
          <w:highlight w:val="none"/>
        </w:rPr>
        <w:t xml:space="preserve">  合同</w:t>
      </w:r>
      <w:bookmarkEnd w:id="26"/>
      <w:bookmarkEnd w:id="27"/>
      <w:r>
        <w:rPr>
          <w:rFonts w:hint="eastAsia" w:ascii="黑体" w:hAnsi="黑体" w:eastAsia="黑体" w:cs="黑体"/>
          <w:b/>
          <w:sz w:val="32"/>
          <w:szCs w:val="32"/>
          <w:highlight w:val="none"/>
        </w:rPr>
        <w:t>授予</w:t>
      </w:r>
      <w:bookmarkEnd w:id="28"/>
    </w:p>
    <w:p>
      <w:pPr>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（一）中标结果公告</w:t>
      </w:r>
    </w:p>
    <w:p>
      <w:pPr>
        <w:pStyle w:val="24"/>
        <w:spacing w:line="360" w:lineRule="auto"/>
        <w:ind w:firstLine="480" w:firstLineChars="200"/>
        <w:rPr>
          <w:rFonts w:hint="eastAsia" w:hAnsi="宋体" w:cs="仿宋"/>
          <w:sz w:val="24"/>
          <w:highlight w:val="none"/>
        </w:rPr>
      </w:pPr>
      <w:r>
        <w:rPr>
          <w:rFonts w:hint="eastAsia" w:hAnsi="宋体" w:cs="仿宋"/>
          <w:sz w:val="24"/>
          <w:highlight w:val="none"/>
        </w:rPr>
        <w:t>采购代理机构应当在评标结束后2个工作日内将评标报告送采购人，采购人应当自收到评标报告之日起5个工作日内确定中标人，采购人或者采购代理机构应当自中标人确定之日起2个工作日内，在浙江省政府采购网上公告中标结果，中标公告期限为1个工作日。</w:t>
      </w:r>
    </w:p>
    <w:p>
      <w:pPr>
        <w:pStyle w:val="24"/>
        <w:spacing w:line="360" w:lineRule="auto"/>
        <w:ind w:firstLine="482" w:firstLineChars="200"/>
        <w:rPr>
          <w:rFonts w:hAnsi="宋体" w:cs="仿宋"/>
          <w:b/>
          <w:bCs/>
          <w:sz w:val="24"/>
          <w:highlight w:val="none"/>
        </w:rPr>
      </w:pPr>
      <w:r>
        <w:rPr>
          <w:rFonts w:hint="eastAsia" w:hAnsi="宋体" w:cs="仿宋"/>
          <w:b/>
          <w:bCs/>
          <w:sz w:val="24"/>
          <w:highlight w:val="none"/>
        </w:rPr>
        <w:t>（二）发出中标通知书</w:t>
      </w:r>
    </w:p>
    <w:p>
      <w:pPr>
        <w:pStyle w:val="24"/>
        <w:spacing w:line="360" w:lineRule="auto"/>
        <w:ind w:firstLine="480" w:firstLineChars="200"/>
        <w:rPr>
          <w:rFonts w:hint="eastAsia" w:hAnsi="宋体" w:cs="仿宋"/>
          <w:sz w:val="24"/>
          <w:highlight w:val="none"/>
        </w:rPr>
      </w:pPr>
      <w:r>
        <w:rPr>
          <w:rFonts w:hint="eastAsia" w:hAnsi="宋体" w:cs="仿宋"/>
          <w:sz w:val="24"/>
          <w:highlight w:val="none"/>
        </w:rPr>
        <w:t>1、在公告中标结果的同时，采购人及采购代理机构将以书面形式向中标人发出中标通知书。</w:t>
      </w:r>
    </w:p>
    <w:p>
      <w:pPr>
        <w:pStyle w:val="24"/>
        <w:spacing w:line="360" w:lineRule="auto"/>
        <w:ind w:firstLine="480" w:firstLineChars="200"/>
        <w:rPr>
          <w:rFonts w:hint="eastAsia" w:hAnsi="宋体" w:cs="仿宋"/>
          <w:sz w:val="24"/>
          <w:highlight w:val="none"/>
        </w:rPr>
      </w:pPr>
      <w:r>
        <w:rPr>
          <w:rFonts w:hint="eastAsia" w:hAnsi="宋体" w:cs="仿宋"/>
          <w:sz w:val="24"/>
          <w:highlight w:val="none"/>
        </w:rPr>
        <w:t>2、中标通知书对采购单位和中标人具有法律约束力。中标通知书发出后，采购人改变中标结果或者中标人放弃中标的，应当承担法律责任。</w:t>
      </w:r>
    </w:p>
    <w:p>
      <w:pPr>
        <w:pStyle w:val="24"/>
        <w:spacing w:line="360" w:lineRule="auto"/>
        <w:ind w:firstLine="482" w:firstLineChars="200"/>
        <w:rPr>
          <w:rFonts w:hAnsi="宋体" w:cs="仿宋"/>
          <w:b/>
          <w:bCs/>
          <w:sz w:val="24"/>
          <w:highlight w:val="none"/>
        </w:rPr>
      </w:pPr>
      <w:r>
        <w:rPr>
          <w:rFonts w:hint="eastAsia" w:hAnsi="宋体" w:cs="仿宋"/>
          <w:b/>
          <w:bCs/>
          <w:sz w:val="24"/>
          <w:highlight w:val="none"/>
        </w:rPr>
        <w:t>（三）中标无效</w:t>
      </w:r>
    </w:p>
    <w:p>
      <w:pPr>
        <w:pStyle w:val="24"/>
        <w:spacing w:line="360" w:lineRule="auto"/>
        <w:ind w:firstLine="480" w:firstLineChars="200"/>
        <w:rPr>
          <w:rFonts w:hint="eastAsia" w:hAnsi="宋体" w:cs="仿宋"/>
          <w:sz w:val="24"/>
          <w:highlight w:val="none"/>
        </w:rPr>
      </w:pPr>
      <w:r>
        <w:rPr>
          <w:rFonts w:hint="eastAsia" w:hAnsi="宋体" w:cs="仿宋"/>
          <w:sz w:val="24"/>
          <w:highlight w:val="none"/>
        </w:rPr>
        <w:t>1、发现中标人资格无效或中标人放弃中标或拒绝与采购人签订合同的，按相关规定执行。</w:t>
      </w:r>
    </w:p>
    <w:p>
      <w:pPr>
        <w:pStyle w:val="24"/>
        <w:spacing w:line="360" w:lineRule="auto"/>
        <w:ind w:firstLine="480" w:firstLineChars="200"/>
        <w:rPr>
          <w:rFonts w:hint="eastAsia" w:hAnsi="宋体" w:cs="仿宋"/>
          <w:sz w:val="24"/>
          <w:highlight w:val="none"/>
        </w:rPr>
      </w:pPr>
      <w:r>
        <w:rPr>
          <w:rFonts w:hint="eastAsia" w:hAnsi="宋体" w:cs="仿宋"/>
          <w:sz w:val="24"/>
          <w:highlight w:val="none"/>
        </w:rPr>
        <w:t>2、有《中华人民共和国政府采购法实施条例》第七十一条、第七十二条、第七十三条、第七十四条规定的违法行为之一，由政府采购监管部门依法处理。</w:t>
      </w:r>
    </w:p>
    <w:p>
      <w:pPr>
        <w:pStyle w:val="24"/>
        <w:spacing w:line="360" w:lineRule="auto"/>
        <w:ind w:firstLine="482" w:firstLineChars="200"/>
        <w:rPr>
          <w:rFonts w:hAnsi="宋体" w:cs="仿宋"/>
          <w:b/>
          <w:bCs/>
          <w:sz w:val="24"/>
          <w:highlight w:val="none"/>
        </w:rPr>
      </w:pPr>
      <w:r>
        <w:rPr>
          <w:rFonts w:hint="eastAsia" w:hAnsi="宋体" w:cs="仿宋"/>
          <w:b/>
          <w:bCs/>
          <w:sz w:val="24"/>
          <w:highlight w:val="none"/>
        </w:rPr>
        <w:t>（四）签订合同</w:t>
      </w:r>
    </w:p>
    <w:p>
      <w:pPr>
        <w:pStyle w:val="24"/>
        <w:spacing w:line="360" w:lineRule="auto"/>
        <w:ind w:firstLine="480" w:firstLineChars="200"/>
        <w:rPr>
          <w:rFonts w:hint="eastAsia" w:hAnsi="宋体" w:cs="仿宋"/>
          <w:sz w:val="24"/>
          <w:highlight w:val="none"/>
        </w:rPr>
      </w:pPr>
      <w:r>
        <w:rPr>
          <w:rFonts w:hint="eastAsia" w:hAnsi="宋体" w:cs="仿宋"/>
          <w:sz w:val="24"/>
          <w:highlight w:val="none"/>
        </w:rPr>
        <w:t>1、除不可抗力等特殊情况外，采购人原则上应当在中标通知书发出之日起20日内，与成交人按照采购文件确定的事项签订政府采购合同，并在签订之日起2个工作日内将政府采购合同在浙江政府采购网上公告。</w:t>
      </w:r>
    </w:p>
    <w:p>
      <w:pPr>
        <w:pStyle w:val="24"/>
        <w:spacing w:line="360" w:lineRule="auto"/>
        <w:ind w:firstLine="480" w:firstLineChars="200"/>
        <w:rPr>
          <w:rFonts w:hint="eastAsia" w:hAnsi="宋体" w:cs="仿宋"/>
          <w:sz w:val="24"/>
          <w:highlight w:val="none"/>
        </w:rPr>
      </w:pPr>
      <w:r>
        <w:rPr>
          <w:rFonts w:hint="eastAsia" w:hAnsi="宋体" w:cs="仿宋"/>
          <w:sz w:val="24"/>
          <w:highlight w:val="none"/>
        </w:rPr>
        <w:t>2、成交人按规定的日期、时间、地点，由法定代表人或其授权代表与采购人代表签订合同。如成交人为联合体的，由联合体成员各方法定代表人或其授权代表与采购人代表签订合同。</w:t>
      </w:r>
    </w:p>
    <w:p>
      <w:pPr>
        <w:pStyle w:val="24"/>
        <w:spacing w:line="360" w:lineRule="auto"/>
        <w:ind w:firstLine="480" w:firstLineChars="200"/>
        <w:rPr>
          <w:rFonts w:hint="eastAsia" w:hAnsi="宋体" w:cs="仿宋"/>
          <w:sz w:val="24"/>
          <w:highlight w:val="none"/>
        </w:rPr>
      </w:pPr>
      <w:r>
        <w:rPr>
          <w:rFonts w:hint="eastAsia" w:hAnsi="宋体" w:cs="仿宋"/>
          <w:sz w:val="24"/>
          <w:highlight w:val="none"/>
        </w:rPr>
        <w:t>3、如签订合同并生效后，供应商无故拒绝或延期，除按照合同条款处理外，列入不良行为记录一次，并给予通报。</w:t>
      </w:r>
    </w:p>
    <w:p>
      <w:pPr>
        <w:pStyle w:val="24"/>
        <w:spacing w:line="360" w:lineRule="auto"/>
        <w:ind w:firstLine="480" w:firstLineChars="200"/>
        <w:rPr>
          <w:rFonts w:hint="eastAsia" w:hAnsi="宋体" w:cs="仿宋"/>
          <w:sz w:val="24"/>
          <w:highlight w:val="none"/>
        </w:rPr>
      </w:pPr>
      <w:r>
        <w:rPr>
          <w:rFonts w:hint="eastAsia" w:hAnsi="宋体" w:cs="仿宋"/>
          <w:sz w:val="24"/>
          <w:highlight w:val="none"/>
        </w:rPr>
        <w:t>4、成交人拒绝与采购人签订合同的，采购人可以按照评审报告推荐的中标或者成交候选人名单排序，确定下一候选人为成交人，也可以重新开展政府采购活动。</w:t>
      </w:r>
    </w:p>
    <w:p>
      <w:pPr>
        <w:pStyle w:val="24"/>
        <w:spacing w:line="360" w:lineRule="auto"/>
        <w:ind w:firstLine="480" w:firstLineChars="200"/>
        <w:rPr>
          <w:rFonts w:hint="eastAsia" w:hAnsi="宋体" w:cs="仿宋"/>
          <w:sz w:val="24"/>
          <w:highlight w:val="none"/>
        </w:rPr>
      </w:pPr>
      <w:r>
        <w:rPr>
          <w:rFonts w:hint="eastAsia" w:hAnsi="宋体" w:cs="仿宋"/>
          <w:sz w:val="24"/>
          <w:highlight w:val="none"/>
        </w:rPr>
        <w:t>5、采购合同由采购人与成交人根据采购文件、投标响应文件等内容通过政府采购电子交易平台在线签订，自动备案。</w:t>
      </w:r>
    </w:p>
    <w:p>
      <w:pPr>
        <w:pStyle w:val="24"/>
        <w:spacing w:line="360" w:lineRule="auto"/>
        <w:ind w:firstLine="480" w:firstLineChars="200"/>
        <w:rPr>
          <w:rFonts w:hint="eastAsia" w:hAnsi="宋体" w:cs="仿宋"/>
          <w:sz w:val="24"/>
          <w:highlight w:val="none"/>
        </w:rPr>
      </w:pPr>
      <w:r>
        <w:rPr>
          <w:rFonts w:hint="eastAsia" w:hAnsi="宋体" w:cs="仿宋"/>
          <w:sz w:val="24"/>
          <w:highlight w:val="none"/>
        </w:rPr>
        <w:t>6、政府采购货物和服务项目不得收取质量保证金。政府采购工程以及与工程建设有关的货物、服务，采用招标方式采购的，按国家和省有关规定执行。</w:t>
      </w:r>
    </w:p>
    <w:p>
      <w:pPr>
        <w:pStyle w:val="35"/>
        <w:ind w:left="0" w:firstLine="482" w:firstLineChars="200"/>
        <w:rPr>
          <w:rFonts w:hint="eastAsia" w:ascii="宋体" w:hAnsi="宋体" w:cs="仿宋"/>
          <w:b/>
          <w:bCs/>
          <w:smallCaps w:val="0"/>
          <w:sz w:val="24"/>
          <w:highlight w:val="none"/>
        </w:rPr>
      </w:pPr>
      <w:r>
        <w:rPr>
          <w:rFonts w:hint="eastAsia" w:ascii="宋体" w:hAnsi="宋体" w:cs="仿宋"/>
          <w:b/>
          <w:bCs/>
          <w:smallCaps w:val="0"/>
          <w:sz w:val="24"/>
          <w:highlight w:val="none"/>
        </w:rPr>
        <w:t>（五）履约保证金</w:t>
      </w:r>
    </w:p>
    <w:p>
      <w:pPr>
        <w:pStyle w:val="35"/>
        <w:spacing w:line="360" w:lineRule="auto"/>
        <w:ind w:left="0" w:firstLine="480" w:firstLineChars="200"/>
        <w:rPr>
          <w:rFonts w:hint="eastAsia" w:ascii="宋体" w:hAnsi="宋体" w:cs="仿宋"/>
          <w:smallCaps w:val="0"/>
          <w:sz w:val="24"/>
          <w:highlight w:val="none"/>
        </w:rPr>
      </w:pPr>
      <w:r>
        <w:rPr>
          <w:rFonts w:hint="eastAsia" w:ascii="宋体" w:hAnsi="宋体" w:cs="仿宋"/>
          <w:smallCaps w:val="0"/>
          <w:sz w:val="24"/>
          <w:highlight w:val="none"/>
        </w:rPr>
        <w:t>拟签订的合同文本要求成交人提交履约保证金的，供应商应当以支票、汇票、本票或者金融机构、担保机构出具的保函等非现金形式提交。履约保证金的数额不得超过政府采购合同金额的1%。鼓励和支持供应商以履约保函形式提供履约保证金。</w:t>
      </w:r>
    </w:p>
    <w:p>
      <w:pPr>
        <w:pStyle w:val="35"/>
        <w:spacing w:line="360" w:lineRule="auto"/>
        <w:ind w:left="0" w:firstLine="480" w:firstLineChars="200"/>
        <w:rPr>
          <w:rFonts w:hint="eastAsia" w:ascii="宋体" w:hAnsi="宋体" w:cs="仿宋"/>
          <w:smallCaps w:val="0"/>
          <w:sz w:val="24"/>
          <w:highlight w:val="none"/>
        </w:rPr>
      </w:pPr>
      <w:r>
        <w:rPr>
          <w:rFonts w:hint="eastAsia" w:ascii="宋体" w:hAnsi="宋体" w:cs="仿宋"/>
          <w:smallCaps w:val="0"/>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35"/>
        <w:ind w:left="0" w:firstLine="482" w:firstLineChars="200"/>
        <w:rPr>
          <w:rFonts w:hint="eastAsia" w:ascii="宋体" w:hAnsi="宋体" w:cs="仿宋"/>
          <w:b/>
          <w:bCs/>
          <w:smallCaps w:val="0"/>
          <w:sz w:val="24"/>
          <w:highlight w:val="none"/>
        </w:rPr>
      </w:pPr>
      <w:r>
        <w:rPr>
          <w:rFonts w:hint="eastAsia" w:ascii="宋体" w:hAnsi="宋体" w:cs="仿宋"/>
          <w:b/>
          <w:bCs/>
          <w:smallCaps w:val="0"/>
          <w:sz w:val="24"/>
          <w:highlight w:val="none"/>
        </w:rPr>
        <w:t>（六）预付款</w:t>
      </w:r>
    </w:p>
    <w:p>
      <w:pPr>
        <w:pStyle w:val="35"/>
        <w:spacing w:line="360" w:lineRule="auto"/>
        <w:ind w:left="0" w:firstLine="480" w:firstLineChars="200"/>
        <w:rPr>
          <w:rFonts w:hint="eastAsia" w:ascii="宋体" w:hAnsi="宋体" w:cs="仿宋"/>
          <w:smallCaps w:val="0"/>
          <w:sz w:val="24"/>
          <w:highlight w:val="none"/>
        </w:rPr>
      </w:pPr>
      <w:r>
        <w:rPr>
          <w:rFonts w:hint="eastAsia" w:ascii="宋体" w:hAnsi="宋体" w:cs="仿宋"/>
          <w:smallCaps w:val="0"/>
          <w:sz w:val="24"/>
          <w:highlight w:val="none"/>
        </w:rPr>
        <w:t>采购单位应当在政府采购合同中约定预付款，对中小企业合同预付款比例原则上不低于合同金额的40％，不高于合同金额的70%；项目分年度安排预算的，每年预付款比例不低于项目年度计划支付资金额的40％，不高于年度计划支付资金额的70%；采购项目实施以人工投入为主的，可适当降低预付款比例，但不得低于30%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p>
    <w:p>
      <w:pPr>
        <w:ind w:firstLine="482" w:firstLineChars="200"/>
        <w:rPr>
          <w:rFonts w:hint="eastAsia"/>
          <w:highlight w:val="none"/>
        </w:rPr>
      </w:pPr>
      <w:r>
        <w:rPr>
          <w:rFonts w:hint="eastAsia" w:ascii="宋体" w:hAnsi="宋体" w:cs="仿宋"/>
          <w:b/>
          <w:bCs/>
          <w:sz w:val="24"/>
          <w:szCs w:val="20"/>
          <w:highlight w:val="none"/>
        </w:rPr>
        <w:t>（七）资金支付</w:t>
      </w:r>
    </w:p>
    <w:p>
      <w:pPr>
        <w:spacing w:line="360" w:lineRule="auto"/>
        <w:ind w:firstLine="480" w:firstLineChars="200"/>
        <w:rPr>
          <w:rFonts w:hint="eastAsia" w:ascii="宋体" w:hAnsi="宋体" w:cs="仿宋"/>
          <w:sz w:val="24"/>
          <w:szCs w:val="20"/>
          <w:highlight w:val="none"/>
        </w:rPr>
      </w:pPr>
      <w:r>
        <w:rPr>
          <w:rFonts w:hint="eastAsia" w:ascii="宋体" w:hAnsi="宋体" w:cs="仿宋"/>
          <w:sz w:val="24"/>
          <w:szCs w:val="20"/>
          <w:highlight w:val="none"/>
        </w:rPr>
        <w:t>采购单位应当及时组织项目验收，不得以政府部门审计作为支付供应商款项的条件。采购单位对于满足合同约定支付条件的，自收到发票后7个工作日内将资金支付到合同约定的供应商账户。采购单位不得以机构变动、人员更替、政策调整、单位放假、履行内部付款流程，或者在合同未作约定的情况下以等待竣工验收批复、决算审计等为由迟延付款。迟延支付中小企业款项的，供应商可要求采购单位支付逾期利息。</w:t>
      </w:r>
    </w:p>
    <w:p>
      <w:pPr>
        <w:pStyle w:val="24"/>
        <w:spacing w:line="360" w:lineRule="auto"/>
        <w:ind w:firstLine="482" w:firstLineChars="200"/>
        <w:rPr>
          <w:rFonts w:hAnsi="宋体" w:cs="仿宋"/>
          <w:b/>
          <w:bCs/>
          <w:sz w:val="24"/>
          <w:highlight w:val="none"/>
        </w:rPr>
      </w:pPr>
      <w:r>
        <w:rPr>
          <w:rFonts w:hint="eastAsia" w:hAnsi="宋体" w:cs="仿宋"/>
          <w:b/>
          <w:bCs/>
          <w:sz w:val="24"/>
          <w:highlight w:val="none"/>
        </w:rPr>
        <w:t>（八）采购代理服务费</w:t>
      </w:r>
    </w:p>
    <w:p>
      <w:pPr>
        <w:pStyle w:val="24"/>
        <w:spacing w:line="336" w:lineRule="auto"/>
        <w:ind w:firstLine="480" w:firstLineChars="200"/>
        <w:rPr>
          <w:rFonts w:hAnsi="宋体" w:cs="仿宋"/>
          <w:sz w:val="24"/>
          <w:highlight w:val="none"/>
        </w:rPr>
      </w:pPr>
      <w:r>
        <w:rPr>
          <w:rFonts w:hint="eastAsia" w:hAnsi="宋体" w:cs="仿宋"/>
          <w:sz w:val="24"/>
          <w:highlight w:val="none"/>
        </w:rPr>
        <w:t>1、</w:t>
      </w:r>
      <w:r>
        <w:rPr>
          <w:rFonts w:hAnsi="宋体" w:cs="仿宋"/>
          <w:sz w:val="24"/>
          <w:highlight w:val="none"/>
        </w:rPr>
        <w:t>本次采购</w:t>
      </w:r>
      <w:r>
        <w:rPr>
          <w:rFonts w:hint="eastAsia" w:hAnsi="宋体" w:cs="仿宋"/>
          <w:sz w:val="24"/>
          <w:highlight w:val="none"/>
        </w:rPr>
        <w:t>无需支付</w:t>
      </w:r>
      <w:r>
        <w:rPr>
          <w:rFonts w:hAnsi="宋体" w:cs="仿宋"/>
          <w:sz w:val="24"/>
          <w:highlight w:val="none"/>
        </w:rPr>
        <w:t>代理服务费。</w:t>
      </w:r>
    </w:p>
    <w:p>
      <w:pPr>
        <w:numPr>
          <w:ilvl w:val="0"/>
          <w:numId w:val="9"/>
        </w:numPr>
        <w:spacing w:before="156" w:beforeLines="50" w:after="156" w:afterLines="50" w:line="360" w:lineRule="auto"/>
        <w:jc w:val="center"/>
        <w:outlineLvl w:val="1"/>
        <w:rPr>
          <w:rFonts w:hint="eastAsia" w:ascii="黑体" w:hAnsi="黑体" w:eastAsia="黑体" w:cs="黑体"/>
          <w:b/>
          <w:sz w:val="32"/>
          <w:szCs w:val="32"/>
          <w:highlight w:val="none"/>
        </w:rPr>
      </w:pPr>
      <w:r>
        <w:rPr>
          <w:rFonts w:hint="eastAsia" w:ascii="黑体" w:hAnsi="黑体" w:eastAsia="黑体" w:cs="黑体"/>
          <w:b/>
          <w:sz w:val="32"/>
          <w:szCs w:val="32"/>
          <w:highlight w:val="none"/>
        </w:rPr>
        <w:t>验收</w:t>
      </w:r>
    </w:p>
    <w:p>
      <w:pPr>
        <w:pStyle w:val="24"/>
        <w:spacing w:line="336" w:lineRule="auto"/>
        <w:ind w:firstLine="480" w:firstLineChars="200"/>
        <w:rPr>
          <w:rFonts w:hint="eastAsia" w:hAnsi="宋体" w:cs="宋体"/>
          <w:sz w:val="24"/>
          <w:highlight w:val="none"/>
        </w:rPr>
      </w:pPr>
      <w:r>
        <w:rPr>
          <w:rFonts w:hint="eastAsia" w:hAnsi="宋体" w:cs="宋体"/>
          <w:sz w:val="24"/>
          <w:highlight w:val="none"/>
        </w:rPr>
        <w:t>（一）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pStyle w:val="24"/>
        <w:spacing w:line="336" w:lineRule="auto"/>
        <w:ind w:firstLine="480" w:firstLineChars="200"/>
        <w:rPr>
          <w:rFonts w:hint="eastAsia" w:hAnsi="宋体" w:cs="宋体"/>
          <w:sz w:val="24"/>
          <w:highlight w:val="none"/>
        </w:rPr>
      </w:pPr>
      <w:r>
        <w:rPr>
          <w:rFonts w:hint="eastAsia" w:hAnsi="宋体" w:cs="宋体"/>
          <w:sz w:val="24"/>
          <w:highlight w:val="none"/>
        </w:rPr>
        <w:t>（二）采购人可以邀请参加本项目的其他供应商或者第三方机构参与验收。参与验收的供应商或者第三方机构的意见作为验收书的参考资料一并存档。</w:t>
      </w:r>
    </w:p>
    <w:p>
      <w:pPr>
        <w:pStyle w:val="24"/>
        <w:spacing w:line="336" w:lineRule="auto"/>
        <w:ind w:firstLine="480" w:firstLineChars="200"/>
        <w:rPr>
          <w:rFonts w:hint="eastAsia" w:hAnsi="宋体" w:cs="宋体"/>
          <w:sz w:val="24"/>
          <w:highlight w:val="none"/>
        </w:rPr>
      </w:pPr>
      <w:r>
        <w:rPr>
          <w:rFonts w:hint="eastAsia" w:hAnsi="宋体" w:cs="宋体"/>
          <w:sz w:val="24"/>
          <w:highlight w:val="none"/>
        </w:rPr>
        <w:t>（三）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pStyle w:val="24"/>
        <w:spacing w:line="336" w:lineRule="auto"/>
        <w:ind w:firstLine="480" w:firstLineChars="200"/>
        <w:rPr>
          <w:rFonts w:hint="eastAsia" w:hAnsi="宋体" w:cs="宋体"/>
          <w:sz w:val="24"/>
          <w:highlight w:val="none"/>
        </w:rPr>
      </w:pPr>
      <w:r>
        <w:rPr>
          <w:rFonts w:hint="eastAsia" w:hAnsi="宋体" w:cs="宋体"/>
          <w:sz w:val="24"/>
          <w:highlight w:val="none"/>
        </w:rPr>
        <w:t>（四）采购人原则上应当在履约验收之日起2个工作日内，将履约验收结果在浙江政府采购网上公告。</w:t>
      </w:r>
    </w:p>
    <w:p>
      <w:pPr>
        <w:pStyle w:val="24"/>
        <w:spacing w:line="336" w:lineRule="auto"/>
        <w:ind w:firstLine="480" w:firstLineChars="200"/>
        <w:rPr>
          <w:rFonts w:hint="eastAsia" w:hAnsi="宋体" w:cs="宋体"/>
          <w:sz w:val="24"/>
          <w:highlight w:val="none"/>
        </w:rPr>
      </w:pPr>
      <w:r>
        <w:rPr>
          <w:rFonts w:hint="eastAsia" w:hAnsi="宋体" w:cs="宋体"/>
          <w:sz w:val="24"/>
          <w:highlight w:val="none"/>
        </w:rPr>
        <w:t>（五）验收合格的项目，采购人将根据采购合同的约定及时向供应商支付项目资金、退还履约保证金。</w:t>
      </w:r>
    </w:p>
    <w:p>
      <w:pPr>
        <w:pStyle w:val="24"/>
        <w:spacing w:line="336" w:lineRule="auto"/>
        <w:ind w:firstLine="480" w:firstLineChars="200"/>
        <w:rPr>
          <w:rFonts w:hint="eastAsia"/>
          <w:highlight w:val="none"/>
        </w:rPr>
      </w:pPr>
      <w:r>
        <w:rPr>
          <w:rFonts w:hint="eastAsia" w:hAnsi="宋体" w:cs="宋体"/>
          <w:sz w:val="24"/>
          <w:highlight w:val="none"/>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rPr>
          <w:rFonts w:hint="eastAsia"/>
          <w:highlight w:val="none"/>
        </w:rPr>
      </w:pPr>
    </w:p>
    <w:p>
      <w:pPr>
        <w:wordWrap w:val="0"/>
        <w:snapToGrid w:val="0"/>
        <w:spacing w:line="360" w:lineRule="auto"/>
        <w:jc w:val="center"/>
        <w:outlineLvl w:val="0"/>
        <w:rPr>
          <w:rFonts w:hint="eastAsia" w:ascii="黑体" w:hAnsi="黑体" w:eastAsia="黑体" w:cs="黑体"/>
          <w:b/>
          <w:bCs/>
          <w:sz w:val="36"/>
          <w:szCs w:val="36"/>
          <w:highlight w:val="none"/>
        </w:rPr>
      </w:pPr>
      <w:r>
        <w:rPr>
          <w:rFonts w:hint="eastAsia" w:ascii="黑体" w:hAnsi="黑体" w:eastAsia="黑体" w:cs="黑体"/>
          <w:b/>
          <w:bCs/>
          <w:sz w:val="36"/>
          <w:szCs w:val="36"/>
          <w:highlight w:val="none"/>
        </w:rPr>
        <w:br w:type="page"/>
      </w:r>
      <w:bookmarkStart w:id="29" w:name="_Toc3582"/>
      <w:bookmarkStart w:id="30" w:name="_Toc29210"/>
      <w:r>
        <w:rPr>
          <w:rStyle w:val="55"/>
          <w:rFonts w:hint="eastAsia"/>
          <w:highlight w:val="none"/>
        </w:rPr>
        <w:t>第三章 合同范本</w:t>
      </w:r>
      <w:bookmarkEnd w:id="29"/>
      <w:bookmarkEnd w:id="30"/>
    </w:p>
    <w:p>
      <w:pPr>
        <w:rPr>
          <w:highlight w:val="none"/>
        </w:rPr>
      </w:pPr>
    </w:p>
    <w:p>
      <w:pPr>
        <w:rPr>
          <w:highlight w:val="none"/>
        </w:rPr>
      </w:pPr>
    </w:p>
    <w:p>
      <w:pPr>
        <w:jc w:val="left"/>
        <w:rPr>
          <w:rFonts w:eastAsia="仿宋_GB2312"/>
          <w:bCs/>
          <w:sz w:val="32"/>
          <w:szCs w:val="32"/>
          <w:highlight w:val="none"/>
        </w:rPr>
      </w:pPr>
      <w:r>
        <w:rPr>
          <w:rFonts w:eastAsia="仿宋_GB2312"/>
          <w:bCs/>
          <w:sz w:val="32"/>
          <w:szCs w:val="32"/>
          <w:highlight w:val="none"/>
        </w:rPr>
        <w:t>（GF—201</w:t>
      </w:r>
      <w:r>
        <w:rPr>
          <w:rFonts w:hint="eastAsia" w:eastAsia="仿宋_GB2312"/>
          <w:bCs/>
          <w:sz w:val="32"/>
          <w:szCs w:val="32"/>
          <w:highlight w:val="none"/>
        </w:rPr>
        <w:t>7</w:t>
      </w:r>
      <w:r>
        <w:rPr>
          <w:rFonts w:eastAsia="仿宋_GB2312"/>
          <w:bCs/>
          <w:sz w:val="32"/>
          <w:szCs w:val="32"/>
          <w:highlight w:val="none"/>
        </w:rPr>
        <w:t>—</w:t>
      </w:r>
      <w:r>
        <w:rPr>
          <w:rFonts w:hint="eastAsia" w:eastAsia="仿宋_GB2312"/>
          <w:bCs/>
          <w:sz w:val="32"/>
          <w:szCs w:val="32"/>
          <w:highlight w:val="none"/>
        </w:rPr>
        <w:t>0201）</w:t>
      </w:r>
    </w:p>
    <w:p>
      <w:pPr>
        <w:jc w:val="center"/>
        <w:rPr>
          <w:rFonts w:eastAsia="华文中宋"/>
          <w:b/>
          <w:sz w:val="52"/>
          <w:szCs w:val="52"/>
          <w:highlight w:val="none"/>
        </w:rPr>
      </w:pPr>
    </w:p>
    <w:p>
      <w:pPr>
        <w:rPr>
          <w:rFonts w:eastAsia="华文中宋"/>
          <w:b/>
          <w:sz w:val="52"/>
          <w:szCs w:val="52"/>
          <w:highlight w:val="none"/>
        </w:rPr>
      </w:pPr>
    </w:p>
    <w:p>
      <w:pPr>
        <w:jc w:val="center"/>
        <w:rPr>
          <w:rFonts w:eastAsia="华文中宋"/>
          <w:b/>
          <w:sz w:val="52"/>
          <w:szCs w:val="52"/>
          <w:highlight w:val="none"/>
        </w:rPr>
      </w:pPr>
      <w:r>
        <w:rPr>
          <w:rFonts w:eastAsia="华文中宋"/>
          <w:b/>
          <w:sz w:val="72"/>
          <w:szCs w:val="52"/>
          <w:highlight w:val="none"/>
        </w:rPr>
        <w:t>建设工程施工合同</w:t>
      </w:r>
      <w:r>
        <w:rPr>
          <w:rFonts w:eastAsia="华文中宋"/>
          <w:b/>
          <w:sz w:val="52"/>
          <w:szCs w:val="52"/>
          <w:highlight w:val="none"/>
        </w:rPr>
        <w:br w:type="textWrapping"/>
      </w:r>
    </w:p>
    <w:p>
      <w:pPr>
        <w:jc w:val="center"/>
        <w:rPr>
          <w:rFonts w:eastAsia="华文中宋"/>
          <w:b/>
          <w:sz w:val="52"/>
          <w:szCs w:val="52"/>
          <w:highlight w:val="none"/>
        </w:rPr>
      </w:pPr>
    </w:p>
    <w:p>
      <w:pPr>
        <w:jc w:val="center"/>
        <w:rPr>
          <w:rFonts w:eastAsia="黑体"/>
          <w:b/>
          <w:sz w:val="72"/>
          <w:szCs w:val="72"/>
          <w:highlight w:val="none"/>
        </w:rPr>
      </w:pPr>
    </w:p>
    <w:p>
      <w:pPr>
        <w:jc w:val="center"/>
        <w:rPr>
          <w:rFonts w:eastAsia="楷体_GB2312"/>
          <w:b/>
          <w:sz w:val="72"/>
          <w:szCs w:val="72"/>
          <w:highlight w:val="none"/>
        </w:rPr>
      </w:pPr>
    </w:p>
    <w:p>
      <w:pPr>
        <w:jc w:val="center"/>
        <w:rPr>
          <w:rFonts w:eastAsia="黑体"/>
          <w:b/>
          <w:sz w:val="52"/>
          <w:szCs w:val="52"/>
          <w:highlight w:val="none"/>
        </w:rPr>
      </w:pPr>
    </w:p>
    <w:p>
      <w:pPr>
        <w:rPr>
          <w:b/>
          <w:sz w:val="28"/>
          <w:szCs w:val="28"/>
          <w:highlight w:val="none"/>
        </w:rPr>
      </w:pPr>
    </w:p>
    <w:p>
      <w:pPr>
        <w:rPr>
          <w:b/>
          <w:sz w:val="28"/>
          <w:szCs w:val="28"/>
          <w:highlight w:val="none"/>
        </w:rPr>
      </w:pPr>
    </w:p>
    <w:p>
      <w:pPr>
        <w:ind w:right="2719" w:rightChars="1295" w:firstLine="2738" w:firstLineChars="1304"/>
        <w:jc w:val="distribute"/>
        <w:rPr>
          <w:b/>
          <w:sz w:val="32"/>
          <w:szCs w:val="28"/>
          <w:highlight w:val="none"/>
        </w:rPr>
      </w:pPr>
      <w:r>
        <w:rPr>
          <w:highlight w:val="none"/>
        </w:rPr>
        <mc:AlternateContent>
          <mc:Choice Requires="wps">
            <w:drawing>
              <wp:anchor distT="0" distB="0" distL="114300" distR="114300" simplePos="0" relativeHeight="251659264"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7" name="文本框 7"/>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a:effectLst/>
                      </wps:spPr>
                      <wps:txbx>
                        <w:txbxContent>
                          <w:p>
                            <w:pPr>
                              <w:rPr>
                                <w:b/>
                                <w:bCs/>
                                <w:sz w:val="32"/>
                              </w:rPr>
                            </w:pPr>
                          </w:p>
                        </w:txbxContent>
                      </wps:txbx>
                      <wps:bodyPr wrap="square" upright="1"/>
                    </wps:wsp>
                  </a:graphicData>
                </a:graphic>
              </wp:anchor>
            </w:drawing>
          </mc:Choice>
          <mc:Fallback>
            <w:pict>
              <v:shape id="_x0000_s1026" o:spid="_x0000_s1026" o:spt="202" type="#_x0000_t202" style="position:absolute;left:0pt;margin-left:312.6pt;margin-top:9.45pt;height:36pt;width:57pt;z-index:251659264;mso-width-relative:page;mso-height-relative:page;" filled="f" stroked="t" coordsize="21600,21600" o:gfxdata="UEsDBAoAAAAAAIdO4kAAAAAAAAAAAAAAAAAEAAAAZHJzL1BLAwQUAAAACACHTuJAQc0tcdgAAAAJ AQAADwAAAGRycy9kb3ducmV2LnhtbE2PQU7DMBBF90jcwRokNhW1GyBNQpwukFiwKKWlB3BjNw7E 4yh2knJ7hhUsZ/7Tnzfl5uI6NpkhtB4lrJYCmMHa6xYbCcePl7sMWIgKteo8GgnfJsCmur4qVaH9 jHszHWLDqARDoSTYGPuC81Bb41RY+t4gZWc/OBVpHBquBzVTuet4IkTKnWqRLljVm2dr6q/D6CTs X+37Ah+2207zKf08vo27OVtIeXuzEk/AornEPxh+9UkdKnI6+RF1YJ2ENHlMCKUgy4ERsL7PaXGS kIsceFXy/x9UP1BLAwQUAAAACACHTuJARD8pCRMCAAAoBAAADgAAAGRycy9lMm9Eb2MueG1srVNL ktMwEN1TxR1U2hNnAiGMK85UQQgbCqgaOIAit21V6YdaiZ0LwA1YsWE/58o5aMmZMAybLPDCbqtb T/1ePy1vBqPZHgIqZyt+NZlyBla6Wtm24l8+b5694gyjsLXQzkLFD4D8ZvX0ybL3Jcxc53QNgRGI xbL3Fe9i9GVRoOzACJw4D5aSjQtGRPoNbVEH0RO60cVsOn1Z9C7UPjgJiLS6HpP8hBguAXRNoySs ndwZsHFEDaBFJErYKY98lbttGpDxY9MgRKYrTkxjftMhFG/Tu1gtRdkG4TslTy2IS1p4xMkIZenQ M9RaRMF2Qf0DZZQMDl0TJ9KZYiSSFSEWV9NH2tx2wkPmQlKjP4uO/w9Wfth/CkzVFV9wZoWhgR9/ fD/+vDv++sYWSZ7eY0lVt57q4vDaDWSa+3WkxcR6aIJJX+LDKE/iHs7iwhCZpMXF7Pn1lDKSUi/m C7JCQin+bPYB4ztwhqWg4oFmlyUV+/cYx9L7knSWdRuldZ6ftqyv+PV8Nid4QZ5syAsUGk+80LYZ Bp1WddqSNmNot290YHtBvtjk59TNX2XpvLXAbqzLqVQmSqMihBx1IOq3tmbx4Ek7S1eGp2YM1Jxp oBuWolwZhdKXVJIk2qZDIPv3RD6NYZQ7RXHYDgSawq2rDzSanjxMZL/uRKAOdj6otiMV86iKVEcG ynKfzJ4c+vCf4ocXfPUbUEsDBAoAAAAAAIdO4kAAAAAAAAAAAAAAAAAGAAAAX3JlbHMvUEsDBBQA AAAIAIdO4kCKFGY80QAAAJQBAAALAAAAX3JlbHMvLnJlbHOlkMFqwzAMhu+DvYPRfXGawxijTi+j 0GvpHsDYimMaW0Yy2fr28w6DZfS2o36h7xP//vCZFrUiS6RsYNf1oDA78jEHA++X49MLKKk2e7tQ RgM3FDiMjw/7My62tiOZYxHVKFkMzLWWV63FzZisdFQwt81EnGxtIwddrLvagHro+2fNvxkwbpjq 5A3wyQ+gLrfSzH/YKTomoal2jpKmaYruHlUHtmWO7sg24Ru5RrMcsBrwLBoHalnXfgR9X7/7p97T Rz7jutV+h4zrj1dvuhy/AFBLAwQUAAAACACHTuJAfublIPcAAADhAQAAEwAAAFtDb250ZW50X1R5 cGVzXS54bWyVkUFOwzAQRfdI3MHyFiVOu0AIJemCtEtAqBxgZE8Si2RseUxob4+TthtEkVjaM/+/ J7vcHMZBTBjYOqrkKi+kQNLOWOoq+b7fZQ9ScAQyMDjCSh6R5aa+vSn3R48sUpq4kn2M/lEp1j2O wLnzSGnSujBCTMfQKQ/6AzpU66K4V9pRRIpZnDtkXTbYwucQxfaQrk8mAQeW4um0OLMqCd4PVkNM pmoi84OSnQl5Si473FvPd0lDql8J8+Q64Jx7SU8TrEHxCiE+w5g0lAmsjPuigFP+d8lsOXLm2tZq zJvATYq94XSxutaOa9c4/d/y7ZK6dKvlg+pvUEsBAhQAFAAAAAgAh07iQH7m5SD3AAAA4QEAABMA AAAAAAAAAQAgAAAAhAQAAFtDb250ZW50X1R5cGVzXS54bWxQSwECFAAKAAAAAACHTuJAAAAAAAAA AAAAAAAABgAAAAAAAAAAABAAAABmAwAAX3JlbHMvUEsBAhQAFAAAAAgAh07iQIoUZjzRAAAAlAEA AAsAAAAAAAAAAQAgAAAAigMAAF9yZWxzLy5yZWxzUEsBAhQACgAAAAAAh07iQAAAAAAAAAAAAAAA AAQAAAAAAAAAAAAQAAAAAAAAAGRycy9QSwECFAAUAAAACACHTuJAQc0tcdgAAAAJAQAADwAAAAAA AAABACAAAAAiAAAAZHJzL2Rvd25yZXYueG1sUEsBAhQAFAAAAAgAh07iQEQ/KQkTAgAAKAQAAA4A AAAAAAAAAQAgAAAAJwEAAGRycy9lMm9Eb2MueG1sUEsFBgAAAAAGAAYAWQEAAKwFAAAAAA== ">
                <v:fill on="f" focussize="0,0"/>
                <v:stroke color="#FFFFFF" joinstyle="miter"/>
                <v:imagedata o:title=""/>
                <o:lock v:ext="edit" aspectratio="f"/>
                <v:textbox>
                  <w:txbxContent>
                    <w:p>
                      <w:pPr>
                        <w:rPr>
                          <w:b/>
                          <w:bCs/>
                          <w:sz w:val="32"/>
                        </w:rPr>
                      </w:pPr>
                    </w:p>
                  </w:txbxContent>
                </v:textbox>
              </v:shape>
            </w:pict>
          </mc:Fallback>
        </mc:AlternateContent>
      </w:r>
      <w:r>
        <w:rPr>
          <w:b/>
          <w:sz w:val="32"/>
          <w:szCs w:val="28"/>
          <w:highlight w:val="none"/>
        </w:rPr>
        <w:t>住房城乡建设部</w:t>
      </w:r>
    </w:p>
    <w:p>
      <w:pPr>
        <w:ind w:right="2719" w:rightChars="1295" w:firstLine="2750" w:firstLineChars="856"/>
        <w:jc w:val="distribute"/>
        <w:rPr>
          <w:rFonts w:ascii="仿宋_GB2312" w:eastAsia="仿宋_GB2312"/>
          <w:sz w:val="24"/>
          <w:szCs w:val="30"/>
          <w:highlight w:val="none"/>
        </w:rPr>
        <w:sectPr>
          <w:headerReference r:id="rId6" w:type="first"/>
          <w:footerReference r:id="rId9" w:type="first"/>
          <w:footerReference r:id="rId7" w:type="default"/>
          <w:headerReference r:id="rId5" w:type="even"/>
          <w:footerReference r:id="rId8" w:type="even"/>
          <w:pgSz w:w="11906" w:h="16838"/>
          <w:pgMar w:top="1417" w:right="1531" w:bottom="1417" w:left="1531" w:header="850" w:footer="992" w:gutter="0"/>
          <w:pgNumType w:start="1"/>
          <w:cols w:space="720" w:num="1"/>
          <w:docGrid w:type="lines" w:linePitch="312" w:charSpace="0"/>
        </w:sectPr>
      </w:pPr>
      <w:r>
        <w:rPr>
          <w:b/>
          <w:sz w:val="32"/>
          <w:szCs w:val="28"/>
          <w:highlight w:val="none"/>
        </w:rPr>
        <w:t>国家工商行政管理总局</w:t>
      </w:r>
    </w:p>
    <w:p>
      <w:pPr>
        <w:pStyle w:val="8"/>
        <w:jc w:val="center"/>
        <w:rPr>
          <w:rFonts w:eastAsia="华文中宋"/>
          <w:b w:val="0"/>
          <w:sz w:val="28"/>
          <w:szCs w:val="44"/>
          <w:highlight w:val="none"/>
        </w:rPr>
      </w:pPr>
      <w:bookmarkStart w:id="31" w:name="_Toc508888381"/>
      <w:bookmarkStart w:id="32" w:name="_Toc351203652"/>
      <w:r>
        <w:rPr>
          <w:rFonts w:ascii="华文中宋" w:hAnsi="华文中宋" w:eastAsia="华文中宋"/>
          <w:sz w:val="28"/>
          <w:szCs w:val="44"/>
          <w:highlight w:val="none"/>
        </w:rPr>
        <w:t>第一部分 合同协议书</w:t>
      </w:r>
      <w:bookmarkEnd w:id="31"/>
    </w:p>
    <w:p>
      <w:pPr>
        <w:spacing w:line="360" w:lineRule="auto"/>
        <w:rPr>
          <w:rFonts w:hint="eastAsia" w:ascii="宋体" w:hAnsi="宋体" w:cs="宋体"/>
          <w:b/>
          <w:sz w:val="24"/>
          <w:highlight w:val="none"/>
          <w:u w:val="single"/>
        </w:rPr>
      </w:pPr>
      <w:r>
        <w:rPr>
          <w:rFonts w:hint="eastAsia" w:ascii="宋体" w:hAnsi="宋体" w:cs="宋体"/>
          <w:b/>
          <w:sz w:val="24"/>
          <w:highlight w:val="none"/>
        </w:rPr>
        <w:t>发包人（全称）：</w:t>
      </w:r>
      <w:r>
        <w:rPr>
          <w:rFonts w:hint="eastAsia" w:ascii="宋体" w:hAnsi="宋体" w:cs="宋体"/>
          <w:b/>
          <w:sz w:val="24"/>
          <w:highlight w:val="none"/>
          <w:u w:val="single"/>
        </w:rPr>
        <w:t>金华市梅溪流域管理中心</w:t>
      </w:r>
    </w:p>
    <w:p>
      <w:pPr>
        <w:spacing w:line="360" w:lineRule="auto"/>
        <w:rPr>
          <w:rFonts w:hint="eastAsia" w:ascii="宋体" w:hAnsi="宋体" w:cs="宋体"/>
          <w:b/>
          <w:sz w:val="24"/>
          <w:highlight w:val="none"/>
          <w:u w:val="single"/>
        </w:rPr>
      </w:pPr>
      <w:r>
        <w:rPr>
          <w:rFonts w:hint="eastAsia" w:ascii="宋体" w:hAnsi="宋体" w:cs="宋体"/>
          <w:b/>
          <w:sz w:val="24"/>
          <w:highlight w:val="none"/>
        </w:rPr>
        <w:t>承包人（全称）：</w:t>
      </w:r>
    </w:p>
    <w:p>
      <w:pPr>
        <w:spacing w:line="312" w:lineRule="auto"/>
        <w:ind w:firstLine="480" w:firstLineChars="200"/>
        <w:rPr>
          <w:rFonts w:hint="eastAsia" w:ascii="宋体" w:hAnsi="宋体" w:cs="宋体"/>
          <w:sz w:val="24"/>
          <w:highlight w:val="none"/>
        </w:rPr>
      </w:pPr>
      <w:r>
        <w:rPr>
          <w:rFonts w:hint="eastAsia" w:ascii="宋体" w:hAnsi="宋体" w:cs="宋体"/>
          <w:sz w:val="24"/>
          <w:highlight w:val="none"/>
        </w:rPr>
        <w:t>根据《中华人民共和国民法典》、《中华人民共和国建筑法》及有关法律规定，遵循平等、自愿、公平和诚实信用的原则，双方就</w:t>
      </w:r>
      <w:r>
        <w:rPr>
          <w:rFonts w:hint="eastAsia" w:ascii="宋体" w:hAnsi="宋体" w:cs="宋体"/>
          <w:sz w:val="24"/>
          <w:highlight w:val="none"/>
          <w:u w:val="single"/>
        </w:rPr>
        <w:t>金华市安地灌区续建配套与节水改造项目（2021-2022年）调增项目灌溉节水宣传馆</w:t>
      </w:r>
      <w:r>
        <w:rPr>
          <w:rFonts w:hint="eastAsia" w:ascii="宋体" w:hAnsi="宋体" w:cs="宋体"/>
          <w:sz w:val="24"/>
          <w:highlight w:val="none"/>
        </w:rPr>
        <w:t>工程施工及有关事项协商一致，共同达成如下协议：</w:t>
      </w:r>
    </w:p>
    <w:p>
      <w:pPr>
        <w:pStyle w:val="9"/>
        <w:spacing w:before="120" w:after="120" w:line="312" w:lineRule="auto"/>
        <w:rPr>
          <w:rFonts w:hint="eastAsia" w:ascii="宋体" w:hAnsi="宋体" w:eastAsia="宋体" w:cs="宋体"/>
          <w:sz w:val="24"/>
          <w:szCs w:val="24"/>
          <w:highlight w:val="none"/>
        </w:rPr>
      </w:pPr>
      <w:bookmarkStart w:id="33" w:name="_Toc351203481"/>
      <w:r>
        <w:rPr>
          <w:rFonts w:hint="eastAsia" w:ascii="宋体" w:hAnsi="宋体" w:eastAsia="宋体" w:cs="宋体"/>
          <w:b w:val="0"/>
          <w:sz w:val="24"/>
          <w:szCs w:val="24"/>
          <w:highlight w:val="none"/>
        </w:rPr>
        <w:t>一、工程概况</w:t>
      </w:r>
      <w:bookmarkEnd w:id="33"/>
    </w:p>
    <w:p>
      <w:pPr>
        <w:spacing w:line="312" w:lineRule="auto"/>
        <w:ind w:firstLine="470" w:firstLineChars="196"/>
        <w:rPr>
          <w:rFonts w:hint="eastAsia" w:ascii="宋体" w:hAnsi="宋体" w:cs="宋体"/>
          <w:sz w:val="24"/>
          <w:highlight w:val="none"/>
          <w:u w:val="single"/>
        </w:rPr>
      </w:pPr>
      <w:r>
        <w:rPr>
          <w:rFonts w:hint="eastAsia" w:ascii="宋体" w:hAnsi="宋体" w:cs="宋体"/>
          <w:bCs/>
          <w:sz w:val="24"/>
          <w:highlight w:val="none"/>
        </w:rPr>
        <w:t>1.工程名称</w:t>
      </w:r>
      <w:r>
        <w:rPr>
          <w:rFonts w:hint="eastAsia" w:ascii="宋体" w:hAnsi="宋体" w:cs="宋体"/>
          <w:sz w:val="24"/>
          <w:highlight w:val="none"/>
        </w:rPr>
        <w:t>：</w:t>
      </w:r>
      <w:r>
        <w:rPr>
          <w:rFonts w:hint="eastAsia" w:ascii="宋体" w:hAnsi="宋体" w:cs="宋体"/>
          <w:sz w:val="24"/>
          <w:highlight w:val="none"/>
          <w:u w:val="single"/>
        </w:rPr>
        <w:t>金华市安地灌区续建配套与节水改造项目（2021-2022年）调增项目灌溉节水宣传馆</w:t>
      </w:r>
      <w:r>
        <w:rPr>
          <w:rFonts w:hint="eastAsia" w:ascii="宋体" w:hAnsi="宋体" w:cs="宋体"/>
          <w:sz w:val="24"/>
          <w:highlight w:val="none"/>
        </w:rPr>
        <w:t>。</w:t>
      </w:r>
    </w:p>
    <w:p>
      <w:pPr>
        <w:spacing w:line="312" w:lineRule="auto"/>
        <w:ind w:firstLine="470" w:firstLineChars="196"/>
        <w:rPr>
          <w:rFonts w:hint="eastAsia" w:ascii="宋体" w:hAnsi="宋体" w:cs="宋体"/>
          <w:bCs/>
          <w:sz w:val="24"/>
          <w:highlight w:val="none"/>
        </w:rPr>
      </w:pPr>
      <w:r>
        <w:rPr>
          <w:rFonts w:hint="eastAsia" w:ascii="宋体" w:hAnsi="宋体" w:cs="宋体"/>
          <w:bCs/>
          <w:sz w:val="24"/>
          <w:highlight w:val="none"/>
        </w:rPr>
        <w:t>2.工程地点：</w:t>
      </w:r>
      <w:r>
        <w:rPr>
          <w:rFonts w:hint="eastAsia" w:ascii="宋体" w:hAnsi="宋体" w:cs="宋体"/>
          <w:sz w:val="24"/>
          <w:highlight w:val="none"/>
          <w:u w:val="single"/>
        </w:rPr>
        <w:t xml:space="preserve">           </w:t>
      </w:r>
    </w:p>
    <w:p>
      <w:pPr>
        <w:spacing w:line="312" w:lineRule="auto"/>
        <w:ind w:firstLine="470" w:firstLineChars="196"/>
        <w:rPr>
          <w:rFonts w:hint="eastAsia" w:ascii="宋体" w:hAnsi="宋体" w:cs="宋体"/>
          <w:bCs/>
          <w:sz w:val="24"/>
          <w:highlight w:val="none"/>
        </w:rPr>
      </w:pPr>
      <w:r>
        <w:rPr>
          <w:rFonts w:hint="eastAsia" w:ascii="宋体" w:hAnsi="宋体" w:cs="宋体"/>
          <w:bCs/>
          <w:sz w:val="24"/>
          <w:highlight w:val="none"/>
        </w:rPr>
        <w:t>3.工程立项批准文号：</w:t>
      </w:r>
      <w:r>
        <w:rPr>
          <w:rFonts w:hint="eastAsia" w:ascii="宋体" w:hAnsi="宋体" w:cs="宋体"/>
          <w:bCs/>
          <w:sz w:val="24"/>
          <w:highlight w:val="none"/>
          <w:u w:val="single"/>
        </w:rPr>
        <w:t xml:space="preserve">        </w:t>
      </w:r>
      <w:r>
        <w:rPr>
          <w:rFonts w:hint="eastAsia" w:ascii="宋体" w:hAnsi="宋体" w:cs="宋体"/>
          <w:bCs/>
          <w:sz w:val="24"/>
          <w:highlight w:val="none"/>
        </w:rPr>
        <w:t>。</w:t>
      </w:r>
    </w:p>
    <w:p>
      <w:pPr>
        <w:spacing w:line="312" w:lineRule="auto"/>
        <w:ind w:firstLine="470" w:firstLineChars="196"/>
        <w:rPr>
          <w:rFonts w:hint="eastAsia" w:ascii="宋体" w:hAnsi="宋体" w:cs="宋体"/>
          <w:bCs/>
          <w:sz w:val="24"/>
          <w:highlight w:val="none"/>
        </w:rPr>
      </w:pPr>
      <w:r>
        <w:rPr>
          <w:rFonts w:hint="eastAsia" w:ascii="宋体" w:hAnsi="宋体" w:cs="宋体"/>
          <w:bCs/>
          <w:sz w:val="24"/>
          <w:highlight w:val="none"/>
        </w:rPr>
        <w:t>4.资金来源：</w:t>
      </w:r>
      <w:r>
        <w:rPr>
          <w:rFonts w:hint="eastAsia" w:ascii="宋体" w:hAnsi="宋体" w:cs="宋体"/>
          <w:sz w:val="24"/>
          <w:highlight w:val="none"/>
          <w:u w:val="single"/>
        </w:rPr>
        <w:t>财政拨款</w:t>
      </w:r>
      <w:r>
        <w:rPr>
          <w:rFonts w:hint="eastAsia" w:ascii="宋体" w:hAnsi="宋体" w:cs="宋体"/>
          <w:bCs/>
          <w:sz w:val="24"/>
          <w:highlight w:val="none"/>
        </w:rPr>
        <w:t>。</w:t>
      </w:r>
    </w:p>
    <w:p>
      <w:pPr>
        <w:spacing w:line="312" w:lineRule="auto"/>
        <w:ind w:firstLine="470" w:firstLineChars="196"/>
        <w:rPr>
          <w:rFonts w:hint="eastAsia" w:ascii="宋体" w:hAnsi="宋体" w:cs="宋体"/>
          <w:sz w:val="24"/>
          <w:highlight w:val="none"/>
          <w:u w:val="single"/>
        </w:rPr>
      </w:pPr>
      <w:r>
        <w:rPr>
          <w:rFonts w:hint="eastAsia" w:ascii="宋体" w:hAnsi="宋体" w:cs="宋体"/>
          <w:bCs/>
          <w:sz w:val="24"/>
          <w:highlight w:val="none"/>
        </w:rPr>
        <w:t>5.工程内容：</w:t>
      </w:r>
      <w:r>
        <w:rPr>
          <w:rFonts w:hint="eastAsia" w:ascii="宋体" w:hAnsi="宋体" w:cs="宋体"/>
          <w:sz w:val="24"/>
          <w:highlight w:val="none"/>
          <w:u w:val="single"/>
        </w:rPr>
        <w:t xml:space="preserve">         </w:t>
      </w:r>
      <w:r>
        <w:rPr>
          <w:rFonts w:hint="eastAsia" w:ascii="宋体" w:hAnsi="宋体" w:cs="宋体"/>
          <w:bCs/>
          <w:sz w:val="24"/>
          <w:highlight w:val="none"/>
        </w:rPr>
        <w:t>。</w:t>
      </w:r>
    </w:p>
    <w:p>
      <w:pPr>
        <w:spacing w:line="312" w:lineRule="auto"/>
        <w:ind w:firstLine="470" w:firstLineChars="196"/>
        <w:rPr>
          <w:rFonts w:hint="eastAsia" w:ascii="宋体" w:hAnsi="宋体" w:cs="宋体"/>
          <w:bCs/>
          <w:sz w:val="24"/>
          <w:highlight w:val="none"/>
        </w:rPr>
      </w:pPr>
      <w:r>
        <w:rPr>
          <w:rFonts w:hint="eastAsia" w:ascii="宋体" w:hAnsi="宋体" w:cs="宋体"/>
          <w:sz w:val="24"/>
          <w:highlight w:val="none"/>
        </w:rPr>
        <w:t>群体工程应附《承包人承揽工程项目一览表》（附件1）。</w:t>
      </w:r>
    </w:p>
    <w:p>
      <w:pPr>
        <w:spacing w:line="312" w:lineRule="auto"/>
        <w:ind w:firstLine="470" w:firstLineChars="196"/>
        <w:rPr>
          <w:rFonts w:hint="eastAsia" w:ascii="宋体" w:hAnsi="宋体" w:cs="宋体"/>
          <w:bCs/>
          <w:sz w:val="24"/>
          <w:highlight w:val="none"/>
        </w:rPr>
      </w:pPr>
      <w:r>
        <w:rPr>
          <w:rFonts w:hint="eastAsia" w:ascii="宋体" w:hAnsi="宋体" w:cs="宋体"/>
          <w:bCs/>
          <w:sz w:val="24"/>
          <w:highlight w:val="none"/>
        </w:rPr>
        <w:t>6.工程承包范围：</w:t>
      </w:r>
      <w:r>
        <w:rPr>
          <w:rFonts w:hint="eastAsia" w:ascii="宋体" w:hAnsi="宋体" w:cs="宋体"/>
          <w:bCs/>
          <w:sz w:val="24"/>
          <w:highlight w:val="none"/>
          <w:u w:val="single"/>
        </w:rPr>
        <w:t xml:space="preserve"> </w:t>
      </w:r>
      <w:r>
        <w:rPr>
          <w:rFonts w:hint="eastAsia" w:ascii="宋体" w:hAnsi="宋体" w:cs="宋体"/>
          <w:sz w:val="24"/>
          <w:highlight w:val="none"/>
          <w:u w:val="single"/>
        </w:rPr>
        <w:t>（详见招标控制价）</w:t>
      </w:r>
      <w:r>
        <w:rPr>
          <w:rFonts w:hint="eastAsia" w:ascii="宋体" w:hAnsi="宋体" w:cs="宋体"/>
          <w:bCs/>
          <w:sz w:val="24"/>
          <w:highlight w:val="none"/>
          <w:u w:val="single"/>
        </w:rPr>
        <w:t xml:space="preserve">      </w:t>
      </w:r>
    </w:p>
    <w:p>
      <w:pPr>
        <w:spacing w:line="312" w:lineRule="auto"/>
        <w:ind w:firstLine="480" w:firstLineChars="200"/>
        <w:rPr>
          <w:rFonts w:hint="eastAsia" w:ascii="宋体" w:hAnsi="宋体" w:cs="宋体"/>
          <w:sz w:val="24"/>
          <w:highlight w:val="none"/>
          <w:u w:val="single"/>
        </w:rPr>
      </w:pPr>
      <w:bookmarkStart w:id="34" w:name="_Toc351203482"/>
      <w:r>
        <w:rPr>
          <w:rFonts w:hint="eastAsia" w:ascii="宋体" w:hAnsi="宋体" w:cs="宋体"/>
          <w:sz w:val="24"/>
          <w:highlight w:val="none"/>
        </w:rPr>
        <w:t>二、合同工期</w:t>
      </w:r>
      <w:bookmarkEnd w:id="34"/>
      <w:r>
        <w:rPr>
          <w:rFonts w:hint="eastAsia" w:ascii="宋体" w:hAnsi="宋体" w:cs="宋体"/>
          <w:sz w:val="24"/>
          <w:highlight w:val="none"/>
        </w:rPr>
        <w:t xml:space="preserve">  </w:t>
      </w:r>
    </w:p>
    <w:p>
      <w:pPr>
        <w:spacing w:line="312" w:lineRule="auto"/>
        <w:ind w:firstLine="459"/>
        <w:rPr>
          <w:rFonts w:hint="eastAsia" w:ascii="宋体" w:hAnsi="宋体" w:cs="宋体"/>
          <w:sz w:val="24"/>
          <w:highlight w:val="none"/>
        </w:rPr>
      </w:pPr>
      <w:r>
        <w:rPr>
          <w:rFonts w:hint="eastAsia" w:ascii="宋体" w:hAnsi="宋体" w:cs="宋体"/>
          <w:sz w:val="24"/>
          <w:highlight w:val="none"/>
        </w:rPr>
        <w:t>计划开工日期： 年 月 日。</w:t>
      </w:r>
    </w:p>
    <w:p>
      <w:pPr>
        <w:spacing w:line="312" w:lineRule="auto"/>
        <w:ind w:firstLine="459"/>
        <w:rPr>
          <w:rFonts w:hint="eastAsia" w:ascii="宋体" w:hAnsi="宋体" w:cs="宋体"/>
          <w:sz w:val="24"/>
          <w:highlight w:val="none"/>
        </w:rPr>
      </w:pPr>
      <w:r>
        <w:rPr>
          <w:rFonts w:hint="eastAsia" w:ascii="宋体" w:hAnsi="宋体" w:cs="宋体"/>
          <w:sz w:val="24"/>
          <w:highlight w:val="none"/>
        </w:rPr>
        <w:t>计划竣工日期： 年 月 日。（实际开工和竣工以开竣工报告为准）</w:t>
      </w:r>
    </w:p>
    <w:p>
      <w:pPr>
        <w:spacing w:line="312" w:lineRule="auto"/>
        <w:ind w:firstLine="459"/>
        <w:rPr>
          <w:rFonts w:hint="eastAsia" w:ascii="宋体" w:hAnsi="宋体" w:cs="宋体"/>
          <w:sz w:val="24"/>
          <w:highlight w:val="none"/>
        </w:rPr>
      </w:pPr>
      <w:r>
        <w:rPr>
          <w:rFonts w:hint="eastAsia" w:ascii="宋体" w:hAnsi="宋体" w:cs="宋体"/>
          <w:sz w:val="24"/>
          <w:highlight w:val="none"/>
        </w:rPr>
        <w:t>工期总日历天数：</w:t>
      </w:r>
      <w:r>
        <w:rPr>
          <w:rFonts w:hint="eastAsia" w:ascii="宋体" w:hAnsi="宋体" w:cs="宋体"/>
          <w:sz w:val="24"/>
          <w:highlight w:val="none"/>
          <w:u w:val="single"/>
        </w:rPr>
        <w:t xml:space="preserve">    </w:t>
      </w:r>
      <w:r>
        <w:rPr>
          <w:rFonts w:hint="eastAsia" w:ascii="宋体" w:hAnsi="宋体" w:cs="宋体"/>
          <w:sz w:val="24"/>
          <w:highlight w:val="none"/>
        </w:rPr>
        <w:t>。工期总日历天数与根据前述计划开竣工日期计算的工期天数不一致的，以工期总日历天数为准。</w:t>
      </w:r>
    </w:p>
    <w:p>
      <w:pPr>
        <w:pStyle w:val="9"/>
        <w:spacing w:before="120" w:after="120" w:line="312" w:lineRule="auto"/>
        <w:rPr>
          <w:rFonts w:hint="eastAsia" w:ascii="宋体" w:hAnsi="宋体" w:eastAsia="宋体" w:cs="宋体"/>
          <w:sz w:val="24"/>
          <w:szCs w:val="24"/>
          <w:highlight w:val="none"/>
        </w:rPr>
      </w:pPr>
      <w:bookmarkStart w:id="35" w:name="_Toc351203483"/>
      <w:r>
        <w:rPr>
          <w:rFonts w:hint="eastAsia" w:ascii="宋体" w:hAnsi="宋体" w:eastAsia="宋体" w:cs="宋体"/>
          <w:b w:val="0"/>
          <w:sz w:val="24"/>
          <w:szCs w:val="24"/>
          <w:highlight w:val="none"/>
        </w:rPr>
        <w:t>三、质量标准</w:t>
      </w:r>
      <w:bookmarkEnd w:id="35"/>
    </w:p>
    <w:p>
      <w:pPr>
        <w:spacing w:line="312" w:lineRule="auto"/>
        <w:ind w:firstLine="459"/>
        <w:rPr>
          <w:rFonts w:hint="eastAsia" w:ascii="宋体" w:hAnsi="宋体" w:cs="宋体"/>
          <w:sz w:val="24"/>
          <w:highlight w:val="none"/>
        </w:rPr>
      </w:pPr>
      <w:r>
        <w:rPr>
          <w:rFonts w:hint="eastAsia" w:ascii="宋体" w:hAnsi="宋体" w:cs="宋体"/>
          <w:sz w:val="24"/>
          <w:highlight w:val="none"/>
        </w:rPr>
        <w:t>工程质量：</w:t>
      </w:r>
      <w:r>
        <w:rPr>
          <w:rFonts w:hint="eastAsia" w:ascii="宋体" w:hAnsi="宋体" w:cs="宋体"/>
          <w:sz w:val="24"/>
          <w:highlight w:val="none"/>
          <w:u w:val="single"/>
        </w:rPr>
        <w:t>不低于国家相关验收的合格标准</w:t>
      </w:r>
      <w:r>
        <w:rPr>
          <w:rFonts w:hint="eastAsia" w:ascii="宋体" w:hAnsi="宋体" w:cs="宋体"/>
          <w:sz w:val="24"/>
          <w:highlight w:val="none"/>
        </w:rPr>
        <w:t>。</w:t>
      </w:r>
    </w:p>
    <w:p>
      <w:pPr>
        <w:pStyle w:val="9"/>
        <w:spacing w:before="120" w:after="120" w:line="312" w:lineRule="auto"/>
        <w:rPr>
          <w:rFonts w:hint="eastAsia" w:ascii="宋体" w:hAnsi="宋体" w:eastAsia="宋体" w:cs="宋体"/>
          <w:sz w:val="24"/>
          <w:szCs w:val="24"/>
          <w:highlight w:val="none"/>
        </w:rPr>
      </w:pPr>
      <w:bookmarkStart w:id="36" w:name="_Toc351203484"/>
      <w:r>
        <w:rPr>
          <w:rFonts w:hint="eastAsia" w:ascii="宋体" w:hAnsi="宋体" w:eastAsia="宋体" w:cs="宋体"/>
          <w:b w:val="0"/>
          <w:sz w:val="24"/>
          <w:szCs w:val="24"/>
          <w:highlight w:val="none"/>
        </w:rPr>
        <w:t>四、签约合同价与合同价格形式</w:t>
      </w:r>
      <w:bookmarkEnd w:id="36"/>
      <w:r>
        <w:rPr>
          <w:rFonts w:hint="eastAsia" w:ascii="宋体" w:hAnsi="宋体" w:eastAsia="宋体" w:cs="宋体"/>
          <w:b w:val="0"/>
          <w:sz w:val="24"/>
          <w:szCs w:val="24"/>
          <w:highlight w:val="none"/>
        </w:rPr>
        <w:tab/>
      </w:r>
    </w:p>
    <w:p>
      <w:pPr>
        <w:spacing w:line="312" w:lineRule="auto"/>
        <w:ind w:firstLine="480" w:firstLineChars="200"/>
        <w:rPr>
          <w:rFonts w:hint="eastAsia" w:ascii="宋体" w:hAnsi="宋体" w:cs="宋体"/>
          <w:sz w:val="24"/>
          <w:highlight w:val="none"/>
        </w:rPr>
      </w:pPr>
      <w:r>
        <w:rPr>
          <w:rFonts w:hint="eastAsia" w:ascii="宋体" w:hAnsi="宋体" w:cs="宋体"/>
          <w:sz w:val="24"/>
          <w:highlight w:val="none"/>
        </w:rPr>
        <w:t>1.签约合同价为：</w:t>
      </w:r>
    </w:p>
    <w:p>
      <w:pPr>
        <w:spacing w:line="312" w:lineRule="auto"/>
        <w:ind w:left="298" w:leftChars="142" w:firstLine="360" w:firstLineChars="150"/>
        <w:rPr>
          <w:rFonts w:hint="eastAsia" w:ascii="宋体" w:hAnsi="宋体" w:cs="宋体"/>
          <w:sz w:val="24"/>
          <w:highlight w:val="none"/>
        </w:rPr>
      </w:pPr>
      <w:r>
        <w:rPr>
          <w:rFonts w:hint="eastAsia" w:ascii="宋体" w:hAnsi="宋体" w:cs="宋体"/>
          <w:sz w:val="24"/>
          <w:highlight w:val="none"/>
          <w:u w:val="single"/>
        </w:rPr>
        <w:t>人民币（大写）    元整</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rPr>
        <w:t>元)；</w:t>
      </w:r>
    </w:p>
    <w:p>
      <w:pPr>
        <w:spacing w:line="312" w:lineRule="auto"/>
        <w:ind w:firstLine="480" w:firstLineChars="200"/>
        <w:rPr>
          <w:rFonts w:hint="eastAsia" w:ascii="宋体" w:hAnsi="宋体" w:cs="宋体"/>
          <w:sz w:val="24"/>
          <w:highlight w:val="none"/>
        </w:rPr>
      </w:pPr>
      <w:r>
        <w:rPr>
          <w:rFonts w:hint="eastAsia" w:ascii="宋体" w:hAnsi="宋体" w:cs="宋体"/>
          <w:sz w:val="24"/>
          <w:highlight w:val="none"/>
        </w:rPr>
        <w:t>其中：</w:t>
      </w:r>
    </w:p>
    <w:p>
      <w:pPr>
        <w:spacing w:line="312" w:lineRule="auto"/>
        <w:ind w:firstLine="480" w:firstLineChars="200"/>
        <w:rPr>
          <w:rFonts w:hint="eastAsia" w:ascii="宋体" w:hAnsi="宋体" w:cs="宋体"/>
          <w:sz w:val="24"/>
          <w:highlight w:val="none"/>
        </w:rPr>
      </w:pPr>
      <w:r>
        <w:rPr>
          <w:rFonts w:hint="eastAsia" w:ascii="宋体" w:hAnsi="宋体" w:cs="宋体"/>
          <w:sz w:val="24"/>
          <w:highlight w:val="none"/>
        </w:rPr>
        <w:t>（1）安全文明施工费（按相关文件规定执行）：</w:t>
      </w:r>
    </w:p>
    <w:p>
      <w:pPr>
        <w:spacing w:line="312" w:lineRule="auto"/>
        <w:ind w:firstLine="1080" w:firstLineChars="450"/>
        <w:rPr>
          <w:rFonts w:hint="eastAsia" w:ascii="宋体" w:hAnsi="宋体" w:cs="宋体"/>
          <w:sz w:val="24"/>
          <w:highlight w:val="none"/>
        </w:rPr>
      </w:pPr>
      <w:r>
        <w:rPr>
          <w:rFonts w:hint="eastAsia" w:ascii="宋体" w:hAnsi="宋体" w:cs="宋体"/>
          <w:sz w:val="24"/>
          <w:highlight w:val="none"/>
          <w:u w:val="single"/>
        </w:rPr>
        <w:t>人民币（大写）   元整</w:t>
      </w:r>
      <w:r>
        <w:rPr>
          <w:rFonts w:hint="eastAsia" w:ascii="宋体" w:hAnsi="宋体" w:cs="宋体"/>
          <w:sz w:val="24"/>
          <w:highlight w:val="none"/>
        </w:rPr>
        <w:t xml:space="preserve"> (¥</w:t>
      </w:r>
      <w:r>
        <w:rPr>
          <w:rFonts w:hint="eastAsia" w:ascii="宋体" w:hAnsi="宋体" w:cs="宋体"/>
          <w:sz w:val="24"/>
          <w:highlight w:val="none"/>
          <w:u w:val="single"/>
        </w:rPr>
        <w:t xml:space="preserve">      </w:t>
      </w:r>
      <w:r>
        <w:rPr>
          <w:rFonts w:hint="eastAsia" w:ascii="宋体" w:hAnsi="宋体" w:cs="宋体"/>
          <w:sz w:val="24"/>
          <w:highlight w:val="none"/>
        </w:rPr>
        <w:t>元)；</w:t>
      </w:r>
    </w:p>
    <w:p>
      <w:pPr>
        <w:spacing w:line="312" w:lineRule="auto"/>
        <w:ind w:firstLine="480" w:firstLineChars="200"/>
        <w:rPr>
          <w:rFonts w:hint="eastAsia" w:ascii="宋体" w:hAnsi="宋体" w:cs="宋体"/>
          <w:sz w:val="24"/>
          <w:highlight w:val="none"/>
        </w:rPr>
      </w:pPr>
      <w:r>
        <w:rPr>
          <w:rFonts w:hint="eastAsia" w:ascii="宋体" w:hAnsi="宋体" w:cs="宋体"/>
          <w:sz w:val="24"/>
          <w:highlight w:val="none"/>
        </w:rPr>
        <w:t>（2）材料和工程设备暂估价金额：</w:t>
      </w:r>
    </w:p>
    <w:p>
      <w:pPr>
        <w:spacing w:line="312" w:lineRule="auto"/>
        <w:ind w:firstLine="1080" w:firstLineChars="450"/>
        <w:rPr>
          <w:rFonts w:hint="eastAsia" w:ascii="宋体" w:hAnsi="宋体" w:cs="宋体"/>
          <w:sz w:val="24"/>
          <w:highlight w:val="none"/>
        </w:rPr>
      </w:pPr>
      <w:r>
        <w:rPr>
          <w:rFonts w:hint="eastAsia" w:ascii="宋体" w:hAnsi="宋体" w:cs="宋体"/>
          <w:sz w:val="24"/>
          <w:highlight w:val="none"/>
          <w:u w:val="single"/>
        </w:rPr>
        <w:t>人民币（大写）  元整</w:t>
      </w:r>
      <w:r>
        <w:rPr>
          <w:rFonts w:hint="eastAsia" w:ascii="宋体" w:hAnsi="宋体" w:cs="宋体"/>
          <w:sz w:val="24"/>
          <w:highlight w:val="none"/>
        </w:rPr>
        <w:t xml:space="preserve"> (¥</w:t>
      </w:r>
      <w:r>
        <w:rPr>
          <w:rFonts w:hint="eastAsia" w:ascii="宋体" w:hAnsi="宋体" w:cs="宋体"/>
          <w:sz w:val="24"/>
          <w:highlight w:val="none"/>
          <w:u w:val="single"/>
        </w:rPr>
        <w:t xml:space="preserve">      </w:t>
      </w:r>
      <w:r>
        <w:rPr>
          <w:rFonts w:hint="eastAsia" w:ascii="宋体" w:hAnsi="宋体" w:cs="宋体"/>
          <w:sz w:val="24"/>
          <w:highlight w:val="none"/>
        </w:rPr>
        <w:t>元)；</w:t>
      </w:r>
    </w:p>
    <w:p>
      <w:pPr>
        <w:spacing w:line="312" w:lineRule="auto"/>
        <w:ind w:firstLine="480" w:firstLineChars="200"/>
        <w:rPr>
          <w:rFonts w:hint="eastAsia" w:ascii="宋体" w:hAnsi="宋体" w:cs="宋体"/>
          <w:sz w:val="24"/>
          <w:highlight w:val="none"/>
        </w:rPr>
      </w:pPr>
      <w:r>
        <w:rPr>
          <w:rFonts w:hint="eastAsia" w:ascii="宋体" w:hAnsi="宋体" w:cs="宋体"/>
          <w:sz w:val="24"/>
          <w:highlight w:val="none"/>
        </w:rPr>
        <w:t>（3）专业工程暂估价金额：</w:t>
      </w:r>
    </w:p>
    <w:p>
      <w:pPr>
        <w:spacing w:line="312" w:lineRule="auto"/>
        <w:ind w:firstLine="1080" w:firstLineChars="450"/>
        <w:rPr>
          <w:rFonts w:hint="eastAsia" w:ascii="宋体" w:hAnsi="宋体" w:cs="宋体"/>
          <w:sz w:val="24"/>
          <w:highlight w:val="none"/>
        </w:rPr>
      </w:pPr>
      <w:r>
        <w:rPr>
          <w:rFonts w:hint="eastAsia" w:ascii="宋体" w:hAnsi="宋体" w:cs="宋体"/>
          <w:sz w:val="24"/>
          <w:highlight w:val="none"/>
          <w:u w:val="single"/>
        </w:rPr>
        <w:t>人民币（大写）  元整</w:t>
      </w:r>
      <w:r>
        <w:rPr>
          <w:rFonts w:hint="eastAsia" w:ascii="宋体" w:hAnsi="宋体" w:cs="宋体"/>
          <w:sz w:val="24"/>
          <w:highlight w:val="none"/>
        </w:rPr>
        <w:t xml:space="preserve"> (¥</w:t>
      </w:r>
      <w:r>
        <w:rPr>
          <w:rFonts w:hint="eastAsia" w:ascii="宋体" w:hAnsi="宋体" w:cs="宋体"/>
          <w:sz w:val="24"/>
          <w:highlight w:val="none"/>
          <w:u w:val="single"/>
        </w:rPr>
        <w:t xml:space="preserve">      </w:t>
      </w:r>
      <w:r>
        <w:rPr>
          <w:rFonts w:hint="eastAsia" w:ascii="宋体" w:hAnsi="宋体" w:cs="宋体"/>
          <w:sz w:val="24"/>
          <w:highlight w:val="none"/>
        </w:rPr>
        <w:t>元)；</w:t>
      </w:r>
    </w:p>
    <w:p>
      <w:pPr>
        <w:spacing w:line="312" w:lineRule="auto"/>
        <w:ind w:firstLine="480" w:firstLineChars="200"/>
        <w:rPr>
          <w:rFonts w:hint="eastAsia" w:ascii="宋体" w:hAnsi="宋体" w:cs="宋体"/>
          <w:sz w:val="24"/>
          <w:highlight w:val="none"/>
        </w:rPr>
      </w:pPr>
      <w:r>
        <w:rPr>
          <w:rFonts w:hint="eastAsia" w:ascii="宋体" w:hAnsi="宋体" w:cs="宋体"/>
          <w:sz w:val="24"/>
          <w:highlight w:val="none"/>
        </w:rPr>
        <w:t>（4）暂列金额：</w:t>
      </w:r>
    </w:p>
    <w:p>
      <w:pPr>
        <w:spacing w:line="312" w:lineRule="auto"/>
        <w:ind w:firstLine="1080" w:firstLineChars="450"/>
        <w:rPr>
          <w:rFonts w:hint="eastAsia" w:ascii="宋体" w:hAnsi="宋体" w:cs="宋体"/>
          <w:sz w:val="24"/>
          <w:highlight w:val="none"/>
        </w:rPr>
      </w:pPr>
      <w:r>
        <w:rPr>
          <w:rFonts w:hint="eastAsia" w:ascii="宋体" w:hAnsi="宋体" w:cs="宋体"/>
          <w:sz w:val="24"/>
          <w:highlight w:val="none"/>
          <w:u w:val="single"/>
        </w:rPr>
        <w:t xml:space="preserve">           元整</w:t>
      </w:r>
      <w:r>
        <w:rPr>
          <w:rFonts w:hint="eastAsia" w:ascii="宋体" w:hAnsi="宋体" w:cs="宋体"/>
          <w:sz w:val="24"/>
          <w:highlight w:val="none"/>
        </w:rPr>
        <w:t xml:space="preserve"> (¥</w:t>
      </w:r>
      <w:r>
        <w:rPr>
          <w:rFonts w:hint="eastAsia" w:ascii="宋体" w:hAnsi="宋体" w:cs="宋体"/>
          <w:sz w:val="24"/>
          <w:highlight w:val="none"/>
          <w:u w:val="single"/>
        </w:rPr>
        <w:t xml:space="preserve">          </w:t>
      </w:r>
      <w:r>
        <w:rPr>
          <w:rFonts w:hint="eastAsia" w:ascii="宋体" w:hAnsi="宋体" w:cs="宋体"/>
          <w:sz w:val="24"/>
          <w:highlight w:val="none"/>
        </w:rPr>
        <w:t>元)；</w:t>
      </w:r>
    </w:p>
    <w:p>
      <w:pPr>
        <w:spacing w:line="312" w:lineRule="auto"/>
        <w:ind w:firstLine="480" w:firstLineChars="200"/>
        <w:rPr>
          <w:rFonts w:hint="eastAsia" w:ascii="宋体" w:hAnsi="宋体" w:cs="宋体"/>
          <w:sz w:val="24"/>
          <w:highlight w:val="none"/>
        </w:rPr>
      </w:pPr>
      <w:r>
        <w:rPr>
          <w:rFonts w:hint="eastAsia" w:ascii="宋体" w:hAnsi="宋体" w:cs="宋体"/>
          <w:sz w:val="24"/>
          <w:highlight w:val="none"/>
        </w:rPr>
        <w:t>2.合同价格形式：</w:t>
      </w:r>
      <w:r>
        <w:rPr>
          <w:rFonts w:hint="eastAsia" w:ascii="宋体" w:hAnsi="宋体" w:cs="宋体"/>
          <w:sz w:val="24"/>
          <w:highlight w:val="none"/>
          <w:u w:val="single"/>
        </w:rPr>
        <w:t>单价合同（按专用条款12.1执行）</w:t>
      </w:r>
      <w:r>
        <w:rPr>
          <w:rFonts w:hint="eastAsia" w:ascii="宋体" w:hAnsi="宋体" w:cs="宋体"/>
          <w:sz w:val="24"/>
          <w:highlight w:val="none"/>
        </w:rPr>
        <w:t>。</w:t>
      </w:r>
    </w:p>
    <w:p>
      <w:pPr>
        <w:pStyle w:val="9"/>
        <w:spacing w:before="120" w:after="120" w:line="312" w:lineRule="auto"/>
        <w:rPr>
          <w:rFonts w:hint="eastAsia" w:ascii="宋体" w:hAnsi="宋体" w:eastAsia="宋体" w:cs="宋体"/>
          <w:b w:val="0"/>
          <w:sz w:val="24"/>
          <w:szCs w:val="24"/>
          <w:highlight w:val="none"/>
        </w:rPr>
      </w:pPr>
      <w:bookmarkStart w:id="37" w:name="_Toc351203485"/>
      <w:r>
        <w:rPr>
          <w:rFonts w:hint="eastAsia" w:ascii="宋体" w:hAnsi="宋体" w:eastAsia="宋体" w:cs="宋体"/>
          <w:b w:val="0"/>
          <w:sz w:val="24"/>
          <w:szCs w:val="24"/>
          <w:highlight w:val="none"/>
        </w:rPr>
        <w:t>五、</w:t>
      </w:r>
      <w:bookmarkEnd w:id="37"/>
      <w:r>
        <w:rPr>
          <w:rFonts w:hint="eastAsia" w:ascii="宋体" w:hAnsi="宋体" w:eastAsia="宋体" w:cs="宋体"/>
          <w:b w:val="0"/>
          <w:sz w:val="24"/>
          <w:szCs w:val="24"/>
          <w:highlight w:val="none"/>
        </w:rPr>
        <w:t xml:space="preserve">项目经理 </w:t>
      </w:r>
    </w:p>
    <w:p>
      <w:pPr>
        <w:spacing w:line="312" w:lineRule="auto"/>
        <w:ind w:firstLine="480" w:firstLineChars="200"/>
        <w:rPr>
          <w:rFonts w:hint="eastAsia" w:ascii="宋体" w:hAnsi="宋体" w:cs="宋体"/>
          <w:sz w:val="24"/>
          <w:highlight w:val="none"/>
        </w:rPr>
      </w:pPr>
      <w:r>
        <w:rPr>
          <w:rFonts w:hint="eastAsia" w:ascii="宋体" w:hAnsi="宋体" w:cs="宋体"/>
          <w:sz w:val="24"/>
          <w:highlight w:val="none"/>
        </w:rPr>
        <w:t>承包人项目经理（项目负责人）：</w:t>
      </w:r>
      <w:r>
        <w:rPr>
          <w:rFonts w:hint="eastAsia" w:ascii="宋体" w:hAnsi="宋体" w:cs="宋体"/>
          <w:bCs/>
          <w:sz w:val="24"/>
          <w:highlight w:val="none"/>
          <w:u w:val="single"/>
        </w:rPr>
        <w:t xml:space="preserve">       </w:t>
      </w:r>
      <w:r>
        <w:rPr>
          <w:rFonts w:hint="eastAsia" w:ascii="宋体" w:hAnsi="宋体" w:cs="宋体"/>
          <w:sz w:val="24"/>
          <w:highlight w:val="none"/>
        </w:rPr>
        <w:t>。</w:t>
      </w:r>
    </w:p>
    <w:p>
      <w:pPr>
        <w:pStyle w:val="9"/>
        <w:spacing w:before="120" w:after="120" w:line="312" w:lineRule="auto"/>
        <w:rPr>
          <w:rFonts w:hint="eastAsia" w:ascii="宋体" w:hAnsi="宋体" w:eastAsia="宋体" w:cs="宋体"/>
          <w:sz w:val="24"/>
          <w:szCs w:val="24"/>
          <w:highlight w:val="none"/>
        </w:rPr>
      </w:pPr>
      <w:bookmarkStart w:id="38" w:name="_Toc351203486"/>
      <w:r>
        <w:rPr>
          <w:rFonts w:hint="eastAsia" w:ascii="宋体" w:hAnsi="宋体" w:eastAsia="宋体" w:cs="宋体"/>
          <w:b w:val="0"/>
          <w:sz w:val="24"/>
          <w:szCs w:val="24"/>
          <w:highlight w:val="none"/>
        </w:rPr>
        <w:t>六、合同文件构成</w:t>
      </w:r>
      <w:bookmarkEnd w:id="38"/>
    </w:p>
    <w:p>
      <w:pPr>
        <w:spacing w:line="312" w:lineRule="auto"/>
        <w:ind w:firstLine="480" w:firstLineChars="200"/>
        <w:rPr>
          <w:rFonts w:hint="eastAsia" w:ascii="宋体" w:hAnsi="宋体" w:cs="宋体"/>
          <w:bCs/>
          <w:sz w:val="24"/>
          <w:highlight w:val="none"/>
        </w:rPr>
      </w:pPr>
      <w:r>
        <w:rPr>
          <w:rFonts w:hint="eastAsia" w:ascii="宋体" w:hAnsi="宋体" w:cs="宋体"/>
          <w:bCs/>
          <w:sz w:val="24"/>
          <w:highlight w:val="none"/>
        </w:rPr>
        <w:t>本协议书与下列文件一起构成合同文件：</w:t>
      </w:r>
    </w:p>
    <w:p>
      <w:pPr>
        <w:autoSpaceDE w:val="0"/>
        <w:autoSpaceDN w:val="0"/>
        <w:adjustRightInd w:val="0"/>
        <w:spacing w:line="312" w:lineRule="auto"/>
        <w:ind w:firstLine="480" w:firstLineChars="200"/>
        <w:jc w:val="left"/>
        <w:rPr>
          <w:rFonts w:hint="eastAsia" w:ascii="宋体" w:hAnsi="宋体" w:cs="宋体"/>
          <w:sz w:val="24"/>
          <w:highlight w:val="none"/>
        </w:rPr>
      </w:pPr>
      <w:r>
        <w:rPr>
          <w:rFonts w:hint="eastAsia" w:ascii="宋体" w:hAnsi="宋体" w:cs="宋体"/>
          <w:sz w:val="24"/>
          <w:highlight w:val="none"/>
        </w:rPr>
        <w:t>（1）本合同协议书；</w:t>
      </w:r>
    </w:p>
    <w:p>
      <w:pPr>
        <w:autoSpaceDE w:val="0"/>
        <w:autoSpaceDN w:val="0"/>
        <w:adjustRightInd w:val="0"/>
        <w:spacing w:line="312" w:lineRule="auto"/>
        <w:ind w:firstLine="480" w:firstLineChars="200"/>
        <w:jc w:val="left"/>
        <w:rPr>
          <w:rFonts w:hint="eastAsia" w:ascii="宋体" w:hAnsi="宋体" w:cs="宋体"/>
          <w:sz w:val="24"/>
          <w:highlight w:val="none"/>
        </w:rPr>
      </w:pPr>
      <w:r>
        <w:rPr>
          <w:rFonts w:hint="eastAsia" w:ascii="宋体" w:hAnsi="宋体" w:cs="宋体"/>
          <w:sz w:val="24"/>
          <w:highlight w:val="none"/>
        </w:rPr>
        <w:t>（2）补充协议；</w:t>
      </w:r>
    </w:p>
    <w:p>
      <w:pPr>
        <w:autoSpaceDE w:val="0"/>
        <w:autoSpaceDN w:val="0"/>
        <w:adjustRightInd w:val="0"/>
        <w:spacing w:line="312" w:lineRule="auto"/>
        <w:ind w:firstLine="480" w:firstLineChars="200"/>
        <w:jc w:val="left"/>
        <w:rPr>
          <w:rFonts w:hint="eastAsia" w:ascii="宋体" w:hAnsi="宋体" w:cs="宋体"/>
          <w:sz w:val="24"/>
          <w:highlight w:val="none"/>
        </w:rPr>
      </w:pPr>
      <w:r>
        <w:rPr>
          <w:rFonts w:hint="eastAsia" w:ascii="宋体" w:hAnsi="宋体" w:cs="宋体"/>
          <w:sz w:val="24"/>
          <w:highlight w:val="none"/>
        </w:rPr>
        <w:t>（3）本合同专用合同条款及其附件（合同专用条款</w:t>
      </w:r>
      <w:r>
        <w:rPr>
          <w:rFonts w:hint="eastAsia" w:ascii="宋体" w:hAnsi="宋体" w:cs="宋体"/>
          <w:kern w:val="0"/>
          <w:sz w:val="24"/>
          <w:highlight w:val="none"/>
        </w:rPr>
        <w:t>1.1.1.10所列文件</w:t>
      </w:r>
      <w:r>
        <w:rPr>
          <w:rFonts w:hint="eastAsia" w:ascii="宋体" w:hAnsi="宋体" w:cs="宋体"/>
          <w:sz w:val="24"/>
          <w:highlight w:val="none"/>
        </w:rPr>
        <w:t>）；</w:t>
      </w:r>
    </w:p>
    <w:p>
      <w:pPr>
        <w:autoSpaceDE w:val="0"/>
        <w:autoSpaceDN w:val="0"/>
        <w:adjustRightInd w:val="0"/>
        <w:spacing w:line="312" w:lineRule="auto"/>
        <w:ind w:firstLine="480" w:firstLineChars="200"/>
        <w:jc w:val="left"/>
        <w:rPr>
          <w:rFonts w:hint="eastAsia" w:ascii="宋体" w:hAnsi="宋体" w:cs="宋体"/>
          <w:sz w:val="24"/>
          <w:highlight w:val="none"/>
        </w:rPr>
      </w:pPr>
      <w:r>
        <w:rPr>
          <w:rFonts w:hint="eastAsia" w:ascii="宋体" w:hAnsi="宋体" w:cs="宋体"/>
          <w:sz w:val="24"/>
          <w:highlight w:val="none"/>
        </w:rPr>
        <w:t>（4）本合同通用合同条款；</w:t>
      </w:r>
    </w:p>
    <w:p>
      <w:pPr>
        <w:autoSpaceDE w:val="0"/>
        <w:autoSpaceDN w:val="0"/>
        <w:adjustRightInd w:val="0"/>
        <w:spacing w:line="312" w:lineRule="auto"/>
        <w:ind w:firstLine="480" w:firstLineChars="200"/>
        <w:jc w:val="left"/>
        <w:rPr>
          <w:rFonts w:hint="eastAsia" w:ascii="宋体" w:hAnsi="宋体" w:cs="宋体"/>
          <w:sz w:val="24"/>
          <w:highlight w:val="none"/>
        </w:rPr>
      </w:pPr>
      <w:r>
        <w:rPr>
          <w:rFonts w:hint="eastAsia" w:ascii="宋体" w:hAnsi="宋体" w:cs="宋体"/>
          <w:sz w:val="24"/>
          <w:highlight w:val="none"/>
        </w:rPr>
        <w:t>（5）招标文件；</w:t>
      </w:r>
    </w:p>
    <w:p>
      <w:pPr>
        <w:autoSpaceDE w:val="0"/>
        <w:autoSpaceDN w:val="0"/>
        <w:adjustRightInd w:val="0"/>
        <w:spacing w:line="312" w:lineRule="auto"/>
        <w:ind w:firstLine="480" w:firstLineChars="200"/>
        <w:jc w:val="left"/>
        <w:rPr>
          <w:rFonts w:hint="eastAsia" w:ascii="宋体" w:hAnsi="宋体" w:cs="宋体"/>
          <w:sz w:val="24"/>
          <w:highlight w:val="none"/>
        </w:rPr>
      </w:pPr>
      <w:r>
        <w:rPr>
          <w:rFonts w:hint="eastAsia" w:ascii="宋体" w:hAnsi="宋体" w:cs="宋体"/>
          <w:sz w:val="24"/>
          <w:highlight w:val="none"/>
        </w:rPr>
        <w:t>（4）投标函及其附录；</w:t>
      </w:r>
    </w:p>
    <w:p>
      <w:pPr>
        <w:autoSpaceDE w:val="0"/>
        <w:autoSpaceDN w:val="0"/>
        <w:adjustRightInd w:val="0"/>
        <w:spacing w:line="312" w:lineRule="auto"/>
        <w:ind w:firstLine="480" w:firstLineChars="200"/>
        <w:jc w:val="left"/>
        <w:rPr>
          <w:rFonts w:hint="eastAsia" w:ascii="宋体" w:hAnsi="宋体" w:cs="宋体"/>
          <w:sz w:val="24"/>
          <w:highlight w:val="none"/>
        </w:rPr>
      </w:pPr>
      <w:r>
        <w:rPr>
          <w:rFonts w:hint="eastAsia" w:ascii="宋体" w:hAnsi="宋体" w:cs="宋体"/>
          <w:sz w:val="24"/>
          <w:highlight w:val="none"/>
        </w:rPr>
        <w:t>（5）标准、规范及有关技术文件；</w:t>
      </w:r>
    </w:p>
    <w:p>
      <w:pPr>
        <w:autoSpaceDE w:val="0"/>
        <w:autoSpaceDN w:val="0"/>
        <w:adjustRightInd w:val="0"/>
        <w:spacing w:line="312" w:lineRule="auto"/>
        <w:ind w:firstLine="480" w:firstLineChars="200"/>
        <w:jc w:val="left"/>
        <w:rPr>
          <w:rFonts w:hint="eastAsia" w:ascii="宋体" w:hAnsi="宋体" w:cs="宋体"/>
          <w:sz w:val="24"/>
          <w:highlight w:val="none"/>
        </w:rPr>
      </w:pPr>
      <w:r>
        <w:rPr>
          <w:rFonts w:hint="eastAsia" w:ascii="宋体" w:hAnsi="宋体" w:cs="宋体"/>
          <w:sz w:val="24"/>
          <w:highlight w:val="none"/>
        </w:rPr>
        <w:t>（6）图纸；</w:t>
      </w:r>
    </w:p>
    <w:p>
      <w:pPr>
        <w:autoSpaceDE w:val="0"/>
        <w:autoSpaceDN w:val="0"/>
        <w:adjustRightInd w:val="0"/>
        <w:spacing w:line="312" w:lineRule="auto"/>
        <w:ind w:firstLine="480" w:firstLineChars="200"/>
        <w:jc w:val="left"/>
        <w:rPr>
          <w:rFonts w:hint="eastAsia" w:ascii="宋体" w:hAnsi="宋体" w:cs="宋体"/>
          <w:sz w:val="24"/>
          <w:highlight w:val="none"/>
        </w:rPr>
      </w:pPr>
      <w:r>
        <w:rPr>
          <w:rFonts w:hint="eastAsia" w:ascii="宋体" w:hAnsi="宋体" w:cs="宋体"/>
          <w:sz w:val="24"/>
          <w:highlight w:val="none"/>
        </w:rPr>
        <w:t>（7）确定基准价款和材料供应数量的工程预算书；</w:t>
      </w:r>
    </w:p>
    <w:p>
      <w:pPr>
        <w:autoSpaceDE w:val="0"/>
        <w:autoSpaceDN w:val="0"/>
        <w:adjustRightInd w:val="0"/>
        <w:spacing w:line="312" w:lineRule="auto"/>
        <w:ind w:firstLine="480" w:firstLineChars="200"/>
        <w:jc w:val="left"/>
        <w:rPr>
          <w:rFonts w:hint="eastAsia" w:ascii="宋体" w:hAnsi="宋体" w:cs="宋体"/>
          <w:sz w:val="24"/>
          <w:highlight w:val="none"/>
        </w:rPr>
      </w:pPr>
      <w:r>
        <w:rPr>
          <w:rFonts w:hint="eastAsia" w:ascii="宋体" w:hAnsi="宋体" w:cs="宋体"/>
          <w:sz w:val="24"/>
          <w:highlight w:val="none"/>
        </w:rPr>
        <w:t>（8）其他合同文件。</w:t>
      </w:r>
    </w:p>
    <w:p>
      <w:pPr>
        <w:autoSpaceDE w:val="0"/>
        <w:autoSpaceDN w:val="0"/>
        <w:adjustRightInd w:val="0"/>
        <w:spacing w:line="312" w:lineRule="auto"/>
        <w:ind w:firstLine="480" w:firstLineChars="200"/>
        <w:jc w:val="left"/>
        <w:rPr>
          <w:rFonts w:hint="eastAsia" w:ascii="宋体" w:hAnsi="宋体" w:cs="宋体"/>
          <w:sz w:val="24"/>
          <w:highlight w:val="none"/>
        </w:rPr>
      </w:pPr>
      <w:r>
        <w:rPr>
          <w:rFonts w:hint="eastAsia" w:ascii="宋体" w:hAnsi="宋体" w:cs="宋体"/>
          <w:sz w:val="24"/>
          <w:highlight w:val="none"/>
        </w:rPr>
        <w:t>在合同订立及履行过程中形成的与合同有关的文件均构成合同文件组成部分。</w:t>
      </w:r>
    </w:p>
    <w:p>
      <w:pPr>
        <w:autoSpaceDE w:val="0"/>
        <w:autoSpaceDN w:val="0"/>
        <w:adjustRightInd w:val="0"/>
        <w:spacing w:line="312" w:lineRule="auto"/>
        <w:ind w:firstLine="480" w:firstLineChars="200"/>
        <w:jc w:val="left"/>
        <w:rPr>
          <w:rFonts w:hint="eastAsia" w:ascii="宋体" w:hAnsi="宋体" w:cs="宋体"/>
          <w:sz w:val="24"/>
          <w:highlight w:val="none"/>
        </w:rPr>
      </w:pPr>
      <w:r>
        <w:rPr>
          <w:rFonts w:hint="eastAsia" w:ascii="宋体" w:hAnsi="宋体" w:cs="宋体"/>
          <w:sz w:val="24"/>
          <w:highlight w:val="none"/>
        </w:rPr>
        <w:t>上述各项合同文件包括合同当事人就该项合同文件所作出的补充和修改，属于同一类内容的文件，应以最新签署的为准。专用合同条款及其附件须经合同当事人签字并盖章。</w:t>
      </w:r>
    </w:p>
    <w:p>
      <w:pPr>
        <w:pStyle w:val="9"/>
        <w:spacing w:before="120" w:after="120" w:line="312" w:lineRule="auto"/>
        <w:rPr>
          <w:rFonts w:hint="eastAsia" w:ascii="宋体" w:hAnsi="宋体" w:eastAsia="宋体" w:cs="宋体"/>
          <w:b w:val="0"/>
          <w:sz w:val="24"/>
          <w:szCs w:val="24"/>
          <w:highlight w:val="none"/>
        </w:rPr>
      </w:pPr>
      <w:bookmarkStart w:id="39" w:name="_Toc351203487"/>
      <w:r>
        <w:rPr>
          <w:rFonts w:hint="eastAsia" w:ascii="宋体" w:hAnsi="宋体" w:eastAsia="宋体" w:cs="宋体"/>
          <w:b w:val="0"/>
          <w:sz w:val="24"/>
          <w:szCs w:val="24"/>
          <w:highlight w:val="none"/>
        </w:rPr>
        <w:t>七、承诺</w:t>
      </w:r>
      <w:bookmarkEnd w:id="39"/>
    </w:p>
    <w:p>
      <w:pPr>
        <w:spacing w:line="312" w:lineRule="auto"/>
        <w:ind w:firstLine="480" w:firstLineChars="200"/>
        <w:rPr>
          <w:rFonts w:hint="eastAsia" w:ascii="宋体" w:hAnsi="宋体" w:cs="宋体"/>
          <w:bCs/>
          <w:sz w:val="24"/>
          <w:highlight w:val="none"/>
        </w:rPr>
      </w:pPr>
      <w:r>
        <w:rPr>
          <w:rFonts w:hint="eastAsia" w:ascii="宋体" w:hAnsi="宋体" w:cs="宋体"/>
          <w:bCs/>
          <w:sz w:val="24"/>
          <w:highlight w:val="none"/>
        </w:rPr>
        <w:t>1.发包人承诺按照法律规定履行项目审批手续、筹集工程建设资金并按照合同约定的期限和方式支付合同价款。</w:t>
      </w:r>
    </w:p>
    <w:p>
      <w:pPr>
        <w:spacing w:line="312" w:lineRule="auto"/>
        <w:ind w:firstLine="480" w:firstLineChars="200"/>
        <w:rPr>
          <w:rFonts w:hint="eastAsia" w:ascii="宋体" w:hAnsi="宋体" w:cs="宋体"/>
          <w:bCs/>
          <w:sz w:val="24"/>
          <w:highlight w:val="none"/>
        </w:rPr>
      </w:pPr>
      <w:r>
        <w:rPr>
          <w:rFonts w:hint="eastAsia" w:ascii="宋体" w:hAnsi="宋体" w:cs="宋体"/>
          <w:bCs/>
          <w:sz w:val="24"/>
          <w:highlight w:val="none"/>
        </w:rPr>
        <w:t>2.承包人承诺按照法律规定及合同约定组织完成工程施工，确保工程质量和安全，不进行转包及违法分包，并在缺陷责任期及保修期内承担相应的工程维修责任。</w:t>
      </w:r>
    </w:p>
    <w:p>
      <w:pPr>
        <w:spacing w:line="312" w:lineRule="auto"/>
        <w:ind w:firstLine="480" w:firstLineChars="200"/>
        <w:rPr>
          <w:rFonts w:hint="eastAsia" w:ascii="宋体" w:hAnsi="宋体" w:cs="宋体"/>
          <w:bCs/>
          <w:sz w:val="24"/>
          <w:highlight w:val="none"/>
        </w:rPr>
      </w:pPr>
      <w:r>
        <w:rPr>
          <w:rFonts w:hint="eastAsia" w:ascii="宋体" w:hAnsi="宋体" w:cs="宋体"/>
          <w:bCs/>
          <w:sz w:val="24"/>
          <w:highlight w:val="none"/>
        </w:rPr>
        <w:t>3.发包人和承包人通过招投标形式签订合同的，双方理解并承诺不再就同一工程另行签订与合同实质性内容相背离的协议。</w:t>
      </w:r>
    </w:p>
    <w:p>
      <w:pPr>
        <w:spacing w:line="312" w:lineRule="auto"/>
        <w:ind w:firstLine="480" w:firstLineChars="200"/>
        <w:rPr>
          <w:rFonts w:hint="eastAsia" w:ascii="宋体" w:hAnsi="宋体" w:cs="宋体"/>
          <w:bCs/>
          <w:sz w:val="24"/>
          <w:highlight w:val="none"/>
        </w:rPr>
      </w:pPr>
      <w:r>
        <w:rPr>
          <w:rFonts w:hint="eastAsia" w:ascii="宋体" w:hAnsi="宋体" w:cs="宋体"/>
          <w:bCs/>
          <w:sz w:val="24"/>
          <w:highlight w:val="none"/>
        </w:rPr>
        <w:t>4.发包人和承包人承诺不擅自更改招标文件内合同内容的</w:t>
      </w:r>
      <w:r>
        <w:rPr>
          <w:rFonts w:hint="eastAsia" w:ascii="宋体" w:hAnsi="宋体" w:cs="宋体"/>
          <w:b/>
          <w:bCs/>
          <w:sz w:val="24"/>
          <w:highlight w:val="none"/>
        </w:rPr>
        <w:t>主要条款</w:t>
      </w:r>
      <w:r>
        <w:rPr>
          <w:rFonts w:hint="eastAsia" w:ascii="宋体" w:hAnsi="宋体" w:cs="宋体"/>
          <w:bCs/>
          <w:sz w:val="24"/>
          <w:highlight w:val="none"/>
        </w:rPr>
        <w:t>，如有更改需经双方协商，并在合同中的相应条款上加盖合同印章予以确认，否则视为无效更改，并以原招标文件内相应条款为准，同时发包人有权将其列入黑名单并进行相应处罚。</w:t>
      </w:r>
    </w:p>
    <w:p>
      <w:pPr>
        <w:spacing w:line="312" w:lineRule="auto"/>
        <w:rPr>
          <w:rFonts w:hint="eastAsia" w:ascii="宋体" w:hAnsi="宋体" w:cs="宋体"/>
          <w:bCs/>
          <w:sz w:val="24"/>
          <w:highlight w:val="none"/>
        </w:rPr>
      </w:pPr>
      <w:bookmarkStart w:id="40" w:name="_Toc351203488"/>
      <w:r>
        <w:rPr>
          <w:rFonts w:hint="eastAsia" w:ascii="宋体" w:hAnsi="宋体" w:cs="宋体"/>
          <w:b/>
          <w:sz w:val="24"/>
          <w:highlight w:val="none"/>
        </w:rPr>
        <w:t>八、词语含义</w:t>
      </w:r>
      <w:bookmarkEnd w:id="40"/>
    </w:p>
    <w:p>
      <w:pPr>
        <w:spacing w:line="312" w:lineRule="auto"/>
        <w:ind w:firstLine="480" w:firstLineChars="200"/>
        <w:rPr>
          <w:rFonts w:hint="eastAsia" w:ascii="宋体" w:hAnsi="宋体" w:cs="宋体"/>
          <w:bCs/>
          <w:sz w:val="24"/>
          <w:highlight w:val="none"/>
        </w:rPr>
      </w:pPr>
      <w:r>
        <w:rPr>
          <w:rFonts w:hint="eastAsia" w:ascii="宋体" w:hAnsi="宋体" w:cs="宋体"/>
          <w:bCs/>
          <w:sz w:val="24"/>
          <w:highlight w:val="none"/>
        </w:rPr>
        <w:t>本协议书中词语含义与第二部分通用合同条款中赋予的含义相同。</w:t>
      </w:r>
    </w:p>
    <w:p>
      <w:pPr>
        <w:pStyle w:val="9"/>
        <w:spacing w:before="120" w:after="120" w:line="312" w:lineRule="auto"/>
        <w:rPr>
          <w:rFonts w:hint="eastAsia" w:ascii="宋体" w:hAnsi="宋体" w:eastAsia="宋体" w:cs="宋体"/>
          <w:sz w:val="24"/>
          <w:szCs w:val="24"/>
          <w:highlight w:val="none"/>
        </w:rPr>
      </w:pPr>
      <w:bookmarkStart w:id="41" w:name="_Toc351203489"/>
      <w:r>
        <w:rPr>
          <w:rFonts w:hint="eastAsia" w:ascii="宋体" w:hAnsi="宋体" w:eastAsia="宋体" w:cs="宋体"/>
          <w:b w:val="0"/>
          <w:sz w:val="24"/>
          <w:szCs w:val="24"/>
          <w:highlight w:val="none"/>
        </w:rPr>
        <w:t>九、签订时间</w:t>
      </w:r>
      <w:bookmarkEnd w:id="41"/>
    </w:p>
    <w:p>
      <w:pPr>
        <w:spacing w:line="312" w:lineRule="auto"/>
        <w:ind w:firstLine="480" w:firstLineChars="200"/>
        <w:rPr>
          <w:rFonts w:hint="eastAsia" w:ascii="宋体" w:hAnsi="宋体" w:cs="宋体"/>
          <w:bCs/>
          <w:sz w:val="24"/>
          <w:highlight w:val="none"/>
        </w:rPr>
      </w:pPr>
      <w:r>
        <w:rPr>
          <w:rFonts w:hint="eastAsia" w:ascii="宋体" w:hAnsi="宋体" w:cs="宋体"/>
          <w:bCs/>
          <w:sz w:val="24"/>
          <w:highlight w:val="none"/>
        </w:rPr>
        <w:t>本合同于</w:t>
      </w:r>
      <w:r>
        <w:rPr>
          <w:rFonts w:hint="eastAsia" w:ascii="宋体" w:hAnsi="宋体" w:cs="宋体"/>
          <w:bCs/>
          <w:sz w:val="24"/>
          <w:highlight w:val="none"/>
          <w:u w:val="single"/>
        </w:rPr>
        <w:t>2023</w:t>
      </w:r>
      <w:r>
        <w:rPr>
          <w:rFonts w:hint="eastAsia" w:ascii="宋体" w:hAnsi="宋体" w:cs="宋体"/>
          <w:bCs/>
          <w:sz w:val="24"/>
          <w:highlight w:val="none"/>
        </w:rPr>
        <w:t>年</w:t>
      </w:r>
      <w:r>
        <w:rPr>
          <w:rFonts w:hint="eastAsia" w:ascii="宋体" w:hAnsi="宋体" w:cs="宋体"/>
          <w:bCs/>
          <w:sz w:val="24"/>
          <w:highlight w:val="none"/>
          <w:u w:val="single"/>
        </w:rPr>
        <w:t xml:space="preserve">    </w:t>
      </w:r>
      <w:r>
        <w:rPr>
          <w:rFonts w:hint="eastAsia" w:ascii="宋体" w:hAnsi="宋体" w:cs="宋体"/>
          <w:bCs/>
          <w:sz w:val="24"/>
          <w:highlight w:val="none"/>
        </w:rPr>
        <w:t>月</w:t>
      </w:r>
      <w:r>
        <w:rPr>
          <w:rFonts w:hint="eastAsia" w:ascii="宋体" w:hAnsi="宋体" w:cs="宋体"/>
          <w:bCs/>
          <w:sz w:val="24"/>
          <w:highlight w:val="none"/>
          <w:u w:val="single"/>
        </w:rPr>
        <w:t xml:space="preserve">    </w:t>
      </w:r>
      <w:r>
        <w:rPr>
          <w:rFonts w:hint="eastAsia" w:ascii="宋体" w:hAnsi="宋体" w:cs="宋体"/>
          <w:bCs/>
          <w:sz w:val="24"/>
          <w:highlight w:val="none"/>
        </w:rPr>
        <w:t>日签订。</w:t>
      </w:r>
    </w:p>
    <w:p>
      <w:pPr>
        <w:pStyle w:val="9"/>
        <w:spacing w:before="120" w:after="120" w:line="312" w:lineRule="auto"/>
        <w:rPr>
          <w:rFonts w:hint="eastAsia" w:ascii="宋体" w:hAnsi="宋体" w:eastAsia="宋体" w:cs="宋体"/>
          <w:sz w:val="24"/>
          <w:szCs w:val="24"/>
          <w:highlight w:val="none"/>
        </w:rPr>
      </w:pPr>
      <w:bookmarkStart w:id="42" w:name="_Toc351203490"/>
      <w:r>
        <w:rPr>
          <w:rFonts w:hint="eastAsia" w:ascii="宋体" w:hAnsi="宋体" w:eastAsia="宋体" w:cs="宋体"/>
          <w:b w:val="0"/>
          <w:sz w:val="24"/>
          <w:szCs w:val="24"/>
          <w:highlight w:val="none"/>
        </w:rPr>
        <w:t>十、签订地点</w:t>
      </w:r>
      <w:bookmarkEnd w:id="42"/>
    </w:p>
    <w:p>
      <w:pPr>
        <w:spacing w:line="312" w:lineRule="auto"/>
        <w:ind w:firstLine="480" w:firstLineChars="200"/>
        <w:rPr>
          <w:rFonts w:hint="eastAsia" w:ascii="宋体" w:hAnsi="宋体" w:cs="宋体"/>
          <w:bCs/>
          <w:sz w:val="24"/>
          <w:highlight w:val="none"/>
        </w:rPr>
      </w:pPr>
      <w:r>
        <w:rPr>
          <w:rFonts w:hint="eastAsia" w:ascii="宋体" w:hAnsi="宋体" w:cs="宋体"/>
          <w:bCs/>
          <w:sz w:val="24"/>
          <w:highlight w:val="none"/>
        </w:rPr>
        <w:t>本合同在</w:t>
      </w:r>
      <w:r>
        <w:rPr>
          <w:rFonts w:hint="eastAsia" w:ascii="宋体" w:hAnsi="宋体" w:cs="宋体"/>
          <w:bCs/>
          <w:sz w:val="24"/>
          <w:highlight w:val="none"/>
          <w:u w:val="single"/>
        </w:rPr>
        <w:t xml:space="preserve">      </w:t>
      </w:r>
      <w:r>
        <w:rPr>
          <w:rFonts w:hint="eastAsia" w:ascii="宋体" w:hAnsi="宋体" w:cs="宋体"/>
          <w:bCs/>
          <w:sz w:val="24"/>
          <w:highlight w:val="none"/>
        </w:rPr>
        <w:t>签订。</w:t>
      </w:r>
    </w:p>
    <w:p>
      <w:pPr>
        <w:pStyle w:val="9"/>
        <w:spacing w:before="120" w:after="120" w:line="312" w:lineRule="auto"/>
        <w:rPr>
          <w:rFonts w:hint="eastAsia" w:ascii="宋体" w:hAnsi="宋体" w:eastAsia="宋体" w:cs="宋体"/>
          <w:sz w:val="24"/>
          <w:szCs w:val="24"/>
          <w:highlight w:val="none"/>
        </w:rPr>
      </w:pPr>
      <w:bookmarkStart w:id="43" w:name="_Toc351203491"/>
      <w:r>
        <w:rPr>
          <w:rFonts w:hint="eastAsia" w:ascii="宋体" w:hAnsi="宋体" w:eastAsia="宋体" w:cs="宋体"/>
          <w:b w:val="0"/>
          <w:sz w:val="24"/>
          <w:szCs w:val="24"/>
          <w:highlight w:val="none"/>
        </w:rPr>
        <w:t>十一、补充协议</w:t>
      </w:r>
      <w:bookmarkEnd w:id="43"/>
    </w:p>
    <w:p>
      <w:pPr>
        <w:spacing w:line="312" w:lineRule="auto"/>
        <w:ind w:firstLine="480" w:firstLineChars="200"/>
        <w:rPr>
          <w:rFonts w:hint="eastAsia" w:ascii="宋体" w:hAnsi="宋体" w:cs="宋体"/>
          <w:b/>
          <w:bCs/>
          <w:sz w:val="24"/>
          <w:highlight w:val="none"/>
        </w:rPr>
      </w:pPr>
      <w:r>
        <w:rPr>
          <w:rFonts w:hint="eastAsia" w:ascii="宋体" w:hAnsi="宋体" w:cs="宋体"/>
          <w:bCs/>
          <w:sz w:val="24"/>
          <w:highlight w:val="none"/>
        </w:rPr>
        <w:t>合同未尽事宜，合同当事人另行签订补充协议，补充协议是合同的组成部分。</w:t>
      </w:r>
    </w:p>
    <w:p>
      <w:pPr>
        <w:pStyle w:val="9"/>
        <w:spacing w:before="120" w:after="120" w:line="312" w:lineRule="auto"/>
        <w:rPr>
          <w:rFonts w:hint="eastAsia" w:ascii="宋体" w:hAnsi="宋体" w:eastAsia="宋体" w:cs="宋体"/>
          <w:sz w:val="24"/>
          <w:szCs w:val="24"/>
          <w:highlight w:val="none"/>
        </w:rPr>
      </w:pPr>
      <w:bookmarkStart w:id="44" w:name="_Toc351203492"/>
      <w:r>
        <w:rPr>
          <w:rFonts w:hint="eastAsia" w:ascii="宋体" w:hAnsi="宋体" w:eastAsia="宋体" w:cs="宋体"/>
          <w:b w:val="0"/>
          <w:sz w:val="24"/>
          <w:szCs w:val="24"/>
          <w:highlight w:val="none"/>
        </w:rPr>
        <w:t>十二、合同生效</w:t>
      </w:r>
      <w:bookmarkEnd w:id="44"/>
    </w:p>
    <w:p>
      <w:pPr>
        <w:spacing w:line="312" w:lineRule="auto"/>
        <w:ind w:firstLine="480" w:firstLineChars="200"/>
        <w:rPr>
          <w:rFonts w:hint="eastAsia" w:ascii="宋体" w:hAnsi="宋体" w:cs="宋体"/>
          <w:bCs/>
          <w:sz w:val="24"/>
          <w:highlight w:val="none"/>
        </w:rPr>
      </w:pPr>
      <w:r>
        <w:rPr>
          <w:rFonts w:hint="eastAsia" w:ascii="宋体" w:hAnsi="宋体" w:cs="宋体"/>
          <w:bCs/>
          <w:sz w:val="24"/>
          <w:highlight w:val="none"/>
        </w:rPr>
        <w:t>本合同自</w:t>
      </w:r>
      <w:r>
        <w:rPr>
          <w:rFonts w:hint="eastAsia" w:ascii="宋体" w:hAnsi="宋体" w:cs="宋体"/>
          <w:bCs/>
          <w:sz w:val="24"/>
          <w:highlight w:val="none"/>
          <w:u w:val="single"/>
        </w:rPr>
        <w:t>双方签字盖章后</w:t>
      </w:r>
      <w:r>
        <w:rPr>
          <w:rFonts w:hint="eastAsia" w:ascii="宋体" w:hAnsi="宋体" w:cs="宋体"/>
          <w:bCs/>
          <w:sz w:val="24"/>
          <w:highlight w:val="none"/>
        </w:rPr>
        <w:t>生效。</w:t>
      </w:r>
    </w:p>
    <w:p>
      <w:pPr>
        <w:pStyle w:val="9"/>
        <w:spacing w:before="120" w:after="120" w:line="312" w:lineRule="auto"/>
        <w:rPr>
          <w:rFonts w:hint="eastAsia" w:ascii="宋体" w:hAnsi="宋体" w:eastAsia="宋体" w:cs="宋体"/>
          <w:sz w:val="24"/>
          <w:szCs w:val="24"/>
          <w:highlight w:val="none"/>
        </w:rPr>
      </w:pPr>
      <w:bookmarkStart w:id="45" w:name="_Toc351203493"/>
      <w:r>
        <w:rPr>
          <w:rFonts w:hint="eastAsia" w:ascii="宋体" w:hAnsi="宋体" w:eastAsia="宋体" w:cs="宋体"/>
          <w:b w:val="0"/>
          <w:sz w:val="24"/>
          <w:szCs w:val="24"/>
          <w:highlight w:val="none"/>
        </w:rPr>
        <w:t>十三、合同份数</w:t>
      </w:r>
      <w:bookmarkEnd w:id="45"/>
    </w:p>
    <w:p>
      <w:pPr>
        <w:spacing w:line="312" w:lineRule="auto"/>
        <w:ind w:firstLine="480" w:firstLineChars="200"/>
        <w:rPr>
          <w:rFonts w:hint="eastAsia" w:ascii="宋体" w:hAnsi="宋体" w:cs="宋体"/>
          <w:bCs/>
          <w:sz w:val="24"/>
          <w:highlight w:val="none"/>
        </w:rPr>
      </w:pPr>
      <w:r>
        <w:rPr>
          <w:rFonts w:hint="eastAsia" w:ascii="宋体" w:hAnsi="宋体" w:cs="宋体"/>
          <w:bCs/>
          <w:sz w:val="24"/>
          <w:highlight w:val="none"/>
        </w:rPr>
        <w:t>本合同一式</w:t>
      </w:r>
      <w:r>
        <w:rPr>
          <w:rFonts w:hint="eastAsia" w:ascii="宋体" w:hAnsi="宋体" w:cs="宋体"/>
          <w:bCs/>
          <w:sz w:val="24"/>
          <w:highlight w:val="none"/>
          <w:u w:val="single"/>
        </w:rPr>
        <w:t>壹拾</w:t>
      </w:r>
      <w:r>
        <w:rPr>
          <w:rFonts w:hint="eastAsia" w:ascii="宋体" w:hAnsi="宋体" w:cs="宋体"/>
          <w:bCs/>
          <w:sz w:val="24"/>
          <w:highlight w:val="none"/>
        </w:rPr>
        <w:t>份（其中正本</w:t>
      </w:r>
      <w:r>
        <w:rPr>
          <w:rFonts w:hint="eastAsia" w:ascii="宋体" w:hAnsi="宋体" w:cs="宋体"/>
          <w:bCs/>
          <w:sz w:val="24"/>
          <w:highlight w:val="none"/>
          <w:u w:val="single"/>
        </w:rPr>
        <w:t>贰</w:t>
      </w:r>
      <w:r>
        <w:rPr>
          <w:rFonts w:hint="eastAsia" w:ascii="宋体" w:hAnsi="宋体" w:cs="宋体"/>
          <w:bCs/>
          <w:sz w:val="24"/>
          <w:highlight w:val="none"/>
        </w:rPr>
        <w:t>份，副本</w:t>
      </w:r>
      <w:r>
        <w:rPr>
          <w:rFonts w:hint="eastAsia" w:ascii="宋体" w:hAnsi="宋体" w:cs="宋体"/>
          <w:bCs/>
          <w:sz w:val="24"/>
          <w:highlight w:val="none"/>
          <w:u w:val="single"/>
        </w:rPr>
        <w:t>捌</w:t>
      </w:r>
      <w:r>
        <w:rPr>
          <w:rFonts w:hint="eastAsia" w:ascii="宋体" w:hAnsi="宋体" w:cs="宋体"/>
          <w:bCs/>
          <w:sz w:val="24"/>
          <w:highlight w:val="none"/>
        </w:rPr>
        <w:t>份），均具有同等法律效力，发包人执</w:t>
      </w:r>
      <w:r>
        <w:rPr>
          <w:rFonts w:hint="eastAsia" w:ascii="宋体" w:hAnsi="宋体" w:cs="宋体"/>
          <w:bCs/>
          <w:sz w:val="24"/>
          <w:highlight w:val="none"/>
          <w:u w:val="single"/>
        </w:rPr>
        <w:t>陆</w:t>
      </w:r>
      <w:r>
        <w:rPr>
          <w:rFonts w:hint="eastAsia" w:ascii="宋体" w:hAnsi="宋体" w:cs="宋体"/>
          <w:bCs/>
          <w:sz w:val="24"/>
          <w:highlight w:val="none"/>
        </w:rPr>
        <w:t>份，承包人执</w:t>
      </w:r>
      <w:r>
        <w:rPr>
          <w:rFonts w:hint="eastAsia" w:ascii="宋体" w:hAnsi="宋体" w:cs="宋体"/>
          <w:bCs/>
          <w:sz w:val="24"/>
          <w:highlight w:val="none"/>
          <w:u w:val="single"/>
        </w:rPr>
        <w:t>肆</w:t>
      </w:r>
      <w:r>
        <w:rPr>
          <w:rFonts w:hint="eastAsia" w:ascii="宋体" w:hAnsi="宋体" w:cs="宋体"/>
          <w:bCs/>
          <w:sz w:val="24"/>
          <w:highlight w:val="none"/>
        </w:rPr>
        <w:t>份。</w:t>
      </w:r>
    </w:p>
    <w:p>
      <w:pPr>
        <w:pStyle w:val="2"/>
        <w:ind w:left="0" w:leftChars="0" w:firstLine="0" w:firstLineChars="0"/>
        <w:rPr>
          <w:rFonts w:hint="eastAsia" w:cs="宋体"/>
          <w:sz w:val="24"/>
          <w:szCs w:val="24"/>
          <w:highlight w:val="none"/>
        </w:rPr>
      </w:pPr>
    </w:p>
    <w:p>
      <w:pPr>
        <w:spacing w:line="360" w:lineRule="auto"/>
        <w:rPr>
          <w:rFonts w:hint="eastAsia" w:ascii="宋体" w:hAnsi="宋体" w:cs="宋体"/>
          <w:sz w:val="24"/>
          <w:highlight w:val="none"/>
        </w:rPr>
      </w:pPr>
      <w:r>
        <w:rPr>
          <w:rFonts w:hint="eastAsia" w:ascii="宋体" w:hAnsi="宋体" w:cs="宋体"/>
          <w:sz w:val="24"/>
          <w:highlight w:val="none"/>
        </w:rPr>
        <w:t>发包人：(公章)                     承包人：(公章)</w:t>
      </w:r>
    </w:p>
    <w:p>
      <w:pPr>
        <w:spacing w:line="360" w:lineRule="auto"/>
        <w:rPr>
          <w:rFonts w:hint="eastAsia" w:ascii="宋体" w:hAnsi="宋体" w:cs="宋体"/>
          <w:sz w:val="24"/>
          <w:highlight w:val="none"/>
          <w:u w:val="single"/>
        </w:rPr>
      </w:pPr>
    </w:p>
    <w:p>
      <w:pPr>
        <w:spacing w:line="360" w:lineRule="auto"/>
        <w:rPr>
          <w:rFonts w:hint="eastAsia" w:ascii="宋体" w:hAnsi="宋体" w:cs="宋体"/>
          <w:sz w:val="24"/>
          <w:highlight w:val="none"/>
        </w:rPr>
      </w:pPr>
      <w:r>
        <w:rPr>
          <w:rFonts w:hint="eastAsia" w:ascii="宋体" w:hAnsi="宋体" w:cs="宋体"/>
          <w:sz w:val="24"/>
          <w:highlight w:val="none"/>
        </w:rPr>
        <w:t>法定代表人或其委托代理人：        法定代表人或其委托代理人：</w:t>
      </w:r>
    </w:p>
    <w:p>
      <w:pPr>
        <w:spacing w:line="360" w:lineRule="auto"/>
        <w:rPr>
          <w:rFonts w:hint="eastAsia" w:ascii="宋体" w:hAnsi="宋体" w:cs="宋体"/>
          <w:sz w:val="24"/>
          <w:highlight w:val="none"/>
        </w:rPr>
      </w:pPr>
      <w:r>
        <w:rPr>
          <w:rFonts w:hint="eastAsia" w:ascii="宋体" w:hAnsi="宋体" w:cs="宋体"/>
          <w:sz w:val="24"/>
          <w:highlight w:val="none"/>
        </w:rPr>
        <w:t>（签字）                          （签字）</w:t>
      </w:r>
      <w:bookmarkStart w:id="46" w:name="_Toc351203494"/>
      <w:bookmarkStart w:id="47" w:name="_Toc351203632"/>
    </w:p>
    <w:p>
      <w:pPr>
        <w:spacing w:line="360" w:lineRule="auto"/>
        <w:rPr>
          <w:rFonts w:hint="eastAsia" w:ascii="宋体" w:hAnsi="宋体" w:cs="宋体"/>
          <w:sz w:val="24"/>
          <w:highlight w:val="none"/>
        </w:rPr>
      </w:pPr>
      <w:r>
        <w:rPr>
          <w:rFonts w:hint="eastAsia" w:ascii="宋体" w:hAnsi="宋体" w:cs="宋体"/>
          <w:sz w:val="24"/>
          <w:highlight w:val="none"/>
        </w:rPr>
        <w:t>地址：                            地址：</w:t>
      </w:r>
    </w:p>
    <w:p>
      <w:pPr>
        <w:spacing w:line="360" w:lineRule="auto"/>
        <w:rPr>
          <w:rFonts w:hint="eastAsia" w:ascii="宋体" w:hAnsi="宋体" w:cs="宋体"/>
          <w:sz w:val="24"/>
          <w:highlight w:val="none"/>
        </w:rPr>
      </w:pPr>
      <w:r>
        <w:rPr>
          <w:rFonts w:hint="eastAsia" w:ascii="宋体" w:hAnsi="宋体" w:cs="宋体"/>
          <w:sz w:val="24"/>
          <w:highlight w:val="none"/>
        </w:rPr>
        <w:t>邮政编码：                        邮政编码：</w:t>
      </w:r>
    </w:p>
    <w:p>
      <w:pPr>
        <w:spacing w:line="360" w:lineRule="auto"/>
        <w:rPr>
          <w:rFonts w:hint="eastAsia" w:ascii="宋体" w:hAnsi="宋体" w:cs="宋体"/>
          <w:sz w:val="24"/>
          <w:highlight w:val="none"/>
        </w:rPr>
      </w:pPr>
      <w:r>
        <w:rPr>
          <w:rFonts w:hint="eastAsia" w:ascii="宋体" w:hAnsi="宋体" w:cs="宋体"/>
          <w:sz w:val="24"/>
          <w:highlight w:val="none"/>
        </w:rPr>
        <w:t>法定代表人：                      法定代表人：</w:t>
      </w:r>
    </w:p>
    <w:p>
      <w:pPr>
        <w:spacing w:line="360" w:lineRule="auto"/>
        <w:rPr>
          <w:rFonts w:hint="eastAsia" w:ascii="宋体" w:hAnsi="宋体" w:cs="宋体"/>
          <w:sz w:val="24"/>
          <w:highlight w:val="none"/>
        </w:rPr>
      </w:pPr>
      <w:r>
        <w:rPr>
          <w:rFonts w:hint="eastAsia" w:ascii="宋体" w:hAnsi="宋体" w:cs="宋体"/>
          <w:sz w:val="24"/>
          <w:highlight w:val="none"/>
        </w:rPr>
        <w:t>委托代理人：                      委托代理人：</w:t>
      </w:r>
    </w:p>
    <w:p>
      <w:pPr>
        <w:spacing w:line="360" w:lineRule="auto"/>
        <w:rPr>
          <w:rFonts w:hint="eastAsia" w:ascii="宋体" w:hAnsi="宋体" w:cs="宋体"/>
          <w:sz w:val="24"/>
          <w:highlight w:val="none"/>
        </w:rPr>
      </w:pPr>
      <w:r>
        <w:rPr>
          <w:rFonts w:hint="eastAsia" w:ascii="宋体" w:hAnsi="宋体" w:cs="宋体"/>
          <w:sz w:val="24"/>
          <w:highlight w:val="none"/>
        </w:rPr>
        <w:t>电话：                            电话：</w:t>
      </w:r>
    </w:p>
    <w:p>
      <w:pPr>
        <w:spacing w:line="360" w:lineRule="auto"/>
        <w:rPr>
          <w:rFonts w:hint="eastAsia" w:ascii="宋体" w:hAnsi="宋体" w:cs="宋体"/>
          <w:sz w:val="24"/>
          <w:highlight w:val="none"/>
        </w:rPr>
      </w:pPr>
      <w:r>
        <w:rPr>
          <w:rFonts w:hint="eastAsia" w:ascii="宋体" w:hAnsi="宋体" w:cs="宋体"/>
          <w:sz w:val="24"/>
          <w:highlight w:val="none"/>
        </w:rPr>
        <w:t>传真：                            传真：</w:t>
      </w:r>
    </w:p>
    <w:p>
      <w:pPr>
        <w:spacing w:line="360" w:lineRule="auto"/>
        <w:rPr>
          <w:rFonts w:hint="eastAsia" w:ascii="宋体" w:hAnsi="宋体" w:cs="宋体"/>
          <w:sz w:val="24"/>
          <w:highlight w:val="none"/>
        </w:rPr>
      </w:pPr>
      <w:r>
        <w:rPr>
          <w:rFonts w:hint="eastAsia" w:ascii="宋体" w:hAnsi="宋体" w:cs="宋体"/>
          <w:sz w:val="24"/>
          <w:highlight w:val="none"/>
        </w:rPr>
        <w:t>电子信箱：                        电子信箱：</w:t>
      </w:r>
    </w:p>
    <w:p>
      <w:pPr>
        <w:spacing w:line="360" w:lineRule="auto"/>
        <w:ind w:left="6240" w:hanging="6240" w:hangingChars="2600"/>
        <w:rPr>
          <w:rFonts w:hint="eastAsia" w:ascii="宋体" w:hAnsi="宋体" w:cs="宋体"/>
          <w:sz w:val="24"/>
          <w:highlight w:val="none"/>
          <w:u w:val="single"/>
        </w:rPr>
      </w:pPr>
      <w:r>
        <w:rPr>
          <w:rFonts w:hint="eastAsia" w:ascii="宋体" w:hAnsi="宋体" w:cs="宋体"/>
          <w:sz w:val="24"/>
          <w:highlight w:val="none"/>
        </w:rPr>
        <w:t>开户银行：                        开户银行：</w:t>
      </w:r>
    </w:p>
    <w:p>
      <w:pPr>
        <w:spacing w:line="360" w:lineRule="auto"/>
        <w:rPr>
          <w:rFonts w:hint="eastAsia" w:ascii="宋体" w:hAnsi="宋体" w:cs="宋体"/>
          <w:sz w:val="24"/>
          <w:highlight w:val="none"/>
        </w:rPr>
      </w:pPr>
      <w:r>
        <w:rPr>
          <w:rFonts w:hint="eastAsia" w:ascii="宋体" w:hAnsi="宋体" w:cs="宋体"/>
          <w:sz w:val="24"/>
          <w:highlight w:val="none"/>
        </w:rPr>
        <w:t>账号：                            账号：</w:t>
      </w:r>
    </w:p>
    <w:p>
      <w:pPr>
        <w:pStyle w:val="8"/>
        <w:jc w:val="center"/>
        <w:rPr>
          <w:rFonts w:ascii="华文中宋" w:hAnsi="华文中宋" w:eastAsia="华文中宋"/>
          <w:sz w:val="28"/>
          <w:szCs w:val="44"/>
          <w:highlight w:val="none"/>
        </w:rPr>
      </w:pPr>
      <w:r>
        <w:rPr>
          <w:rFonts w:eastAsia="仿宋_GB2312"/>
          <w:sz w:val="21"/>
          <w:szCs w:val="30"/>
          <w:highlight w:val="none"/>
        </w:rPr>
        <w:br w:type="page"/>
      </w:r>
      <w:bookmarkStart w:id="48" w:name="_Toc508888382"/>
      <w:r>
        <w:rPr>
          <w:rFonts w:ascii="华文中宋" w:hAnsi="华文中宋" w:eastAsia="华文中宋"/>
          <w:sz w:val="28"/>
          <w:szCs w:val="44"/>
          <w:highlight w:val="none"/>
        </w:rPr>
        <w:t>第二部分 通用合同条款</w:t>
      </w:r>
      <w:bookmarkEnd w:id="46"/>
      <w:bookmarkEnd w:id="48"/>
      <w:bookmarkStart w:id="49" w:name="_Toc337558727"/>
    </w:p>
    <w:p>
      <w:pPr>
        <w:pStyle w:val="24"/>
        <w:spacing w:line="360" w:lineRule="auto"/>
        <w:ind w:firstLine="562" w:firstLineChars="200"/>
        <w:rPr>
          <w:rFonts w:hAnsi="宋体" w:cs="宋体"/>
          <w:b/>
          <w:sz w:val="28"/>
          <w:szCs w:val="28"/>
          <w:highlight w:val="none"/>
        </w:rPr>
      </w:pPr>
      <w:r>
        <w:rPr>
          <w:rFonts w:hint="eastAsia" w:hAnsi="宋体" w:cs="宋体"/>
          <w:b/>
          <w:sz w:val="28"/>
          <w:szCs w:val="28"/>
          <w:highlight w:val="none"/>
        </w:rPr>
        <w:t>通用条款按住房城乡建设部、国家工商总局2017年9月22日下发的建市[2017]214号文件，于2017年10月1日正式实施的《建设工程施工合同（示范文本）》（GF-2017-0201）中的第二部分“通用条款”执行。</w:t>
      </w:r>
    </w:p>
    <w:bookmarkEnd w:id="49"/>
    <w:p>
      <w:pPr>
        <w:rPr>
          <w:sz w:val="15"/>
          <w:highlight w:val="none"/>
        </w:rPr>
      </w:pPr>
    </w:p>
    <w:p>
      <w:pPr>
        <w:pStyle w:val="8"/>
        <w:jc w:val="center"/>
        <w:rPr>
          <w:rFonts w:ascii="华文中宋" w:hAnsi="华文中宋" w:eastAsia="华文中宋"/>
          <w:sz w:val="28"/>
          <w:szCs w:val="44"/>
          <w:highlight w:val="none"/>
        </w:rPr>
      </w:pPr>
      <w:bookmarkStart w:id="50" w:name="_Toc508888383"/>
      <w:r>
        <w:rPr>
          <w:rFonts w:ascii="华文中宋" w:hAnsi="华文中宋" w:eastAsia="华文中宋"/>
          <w:sz w:val="28"/>
          <w:szCs w:val="44"/>
          <w:highlight w:val="none"/>
        </w:rPr>
        <w:t xml:space="preserve">第三部分 </w:t>
      </w:r>
      <w:r>
        <w:rPr>
          <w:rFonts w:hint="eastAsia" w:ascii="华文中宋" w:hAnsi="华文中宋" w:eastAsia="华文中宋"/>
          <w:sz w:val="28"/>
          <w:szCs w:val="44"/>
          <w:highlight w:val="none"/>
        </w:rPr>
        <w:t>专用合同条款</w:t>
      </w:r>
      <w:bookmarkEnd w:id="47"/>
      <w:bookmarkEnd w:id="50"/>
    </w:p>
    <w:p>
      <w:pPr>
        <w:spacing w:line="336" w:lineRule="auto"/>
        <w:ind w:firstLine="236" w:firstLineChars="98"/>
        <w:rPr>
          <w:rFonts w:hint="eastAsia" w:ascii="宋体" w:hAnsi="宋体" w:cs="宋体"/>
          <w:b/>
          <w:bCs/>
          <w:sz w:val="24"/>
          <w:highlight w:val="none"/>
        </w:rPr>
      </w:pPr>
      <w:r>
        <w:rPr>
          <w:rFonts w:hint="eastAsia" w:ascii="宋体" w:hAnsi="宋体" w:cs="宋体"/>
          <w:b/>
          <w:bCs/>
          <w:sz w:val="24"/>
          <w:highlight w:val="none"/>
        </w:rPr>
        <w:t>只列主要条款，其它条款按《建设工程施工合同（示范文本）》（GF—2017—0201）第三部分执行</w:t>
      </w:r>
    </w:p>
    <w:p>
      <w:pPr>
        <w:keepNext/>
        <w:keepLines/>
        <w:spacing w:before="120" w:after="120" w:line="336" w:lineRule="auto"/>
        <w:outlineLvl w:val="3"/>
        <w:rPr>
          <w:rFonts w:hint="eastAsia" w:ascii="宋体" w:hAnsi="宋体" w:cs="宋体"/>
          <w:bCs/>
          <w:kern w:val="0"/>
          <w:sz w:val="24"/>
          <w:highlight w:val="none"/>
        </w:rPr>
      </w:pPr>
      <w:r>
        <w:rPr>
          <w:rFonts w:hint="eastAsia" w:ascii="宋体" w:hAnsi="宋体" w:cs="宋体"/>
          <w:bCs/>
          <w:kern w:val="0"/>
          <w:sz w:val="24"/>
          <w:highlight w:val="none"/>
        </w:rPr>
        <w:t>1. 一般约定</w:t>
      </w:r>
    </w:p>
    <w:p>
      <w:pPr>
        <w:spacing w:after="120" w:line="336" w:lineRule="auto"/>
        <w:ind w:firstLine="480" w:firstLineChars="200"/>
        <w:outlineLvl w:val="0"/>
        <w:rPr>
          <w:rFonts w:hint="eastAsia" w:ascii="宋体" w:hAnsi="宋体" w:cs="宋体"/>
          <w:sz w:val="24"/>
          <w:highlight w:val="none"/>
        </w:rPr>
      </w:pPr>
      <w:bookmarkStart w:id="51" w:name="_Toc660"/>
      <w:r>
        <w:rPr>
          <w:rFonts w:hint="eastAsia" w:ascii="宋体" w:hAnsi="宋体" w:cs="宋体"/>
          <w:sz w:val="24"/>
          <w:highlight w:val="none"/>
        </w:rPr>
        <w:t>1.1 词语定义</w:t>
      </w:r>
      <w:bookmarkEnd w:id="51"/>
    </w:p>
    <w:p>
      <w:pPr>
        <w:spacing w:line="336"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1.1.1合同</w:t>
      </w:r>
    </w:p>
    <w:p>
      <w:pPr>
        <w:spacing w:line="336"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1.1.1.10其他合同文件包括：</w:t>
      </w:r>
      <w:r>
        <w:rPr>
          <w:rFonts w:hint="eastAsia" w:ascii="宋体" w:hAnsi="宋体" w:cs="宋体"/>
          <w:b/>
          <w:sz w:val="24"/>
          <w:highlight w:val="none"/>
          <w:u w:val="single"/>
        </w:rPr>
        <w:t>在合同订立及履行过程中形成的与合同有关的文件均构成合同文件组成部分</w:t>
      </w:r>
      <w:r>
        <w:rPr>
          <w:rFonts w:hint="eastAsia" w:ascii="宋体" w:hAnsi="宋体" w:cs="宋体"/>
          <w:sz w:val="24"/>
          <w:highlight w:val="none"/>
        </w:rPr>
        <w:t>。</w:t>
      </w:r>
    </w:p>
    <w:p>
      <w:pPr>
        <w:spacing w:line="336" w:lineRule="auto"/>
        <w:ind w:firstLine="480" w:firstLineChars="200"/>
        <w:rPr>
          <w:rFonts w:hint="eastAsia" w:ascii="宋体" w:hAnsi="宋体" w:cs="宋体"/>
          <w:sz w:val="24"/>
          <w:highlight w:val="none"/>
        </w:rPr>
      </w:pPr>
      <w:r>
        <w:rPr>
          <w:rFonts w:hint="eastAsia" w:ascii="宋体" w:hAnsi="宋体" w:cs="宋体"/>
          <w:sz w:val="24"/>
          <w:highlight w:val="none"/>
        </w:rPr>
        <w:t>1.1.2 合同当事人及其他相关方</w:t>
      </w:r>
    </w:p>
    <w:p>
      <w:pPr>
        <w:spacing w:line="336" w:lineRule="auto"/>
        <w:ind w:firstLine="480" w:firstLineChars="200"/>
        <w:rPr>
          <w:rFonts w:hint="eastAsia" w:ascii="宋体" w:hAnsi="宋体" w:cs="宋体"/>
          <w:sz w:val="24"/>
          <w:highlight w:val="none"/>
          <w:u w:val="single"/>
        </w:rPr>
      </w:pPr>
      <w:r>
        <w:rPr>
          <w:rFonts w:hint="eastAsia" w:ascii="宋体" w:hAnsi="宋体" w:cs="宋体"/>
          <w:sz w:val="24"/>
          <w:highlight w:val="none"/>
        </w:rPr>
        <w:t>1.1.2.4监理人：</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336" w:lineRule="auto"/>
        <w:ind w:firstLine="480" w:firstLineChars="200"/>
        <w:rPr>
          <w:rFonts w:hint="eastAsia" w:ascii="宋体" w:hAnsi="宋体" w:cs="宋体"/>
          <w:sz w:val="24"/>
          <w:highlight w:val="none"/>
        </w:rPr>
      </w:pPr>
      <w:r>
        <w:rPr>
          <w:rFonts w:hint="eastAsia" w:ascii="宋体" w:hAnsi="宋体" w:cs="宋体"/>
          <w:sz w:val="24"/>
          <w:highlight w:val="none"/>
        </w:rPr>
        <w:t>名    称：</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336" w:lineRule="auto"/>
        <w:ind w:firstLine="480" w:firstLineChars="200"/>
        <w:rPr>
          <w:rFonts w:hint="eastAsia" w:ascii="宋体" w:hAnsi="宋体" w:cs="宋体"/>
          <w:sz w:val="24"/>
          <w:highlight w:val="none"/>
        </w:rPr>
      </w:pPr>
      <w:r>
        <w:rPr>
          <w:rFonts w:hint="eastAsia" w:ascii="宋体" w:hAnsi="宋体" w:cs="宋体"/>
          <w:sz w:val="24"/>
          <w:highlight w:val="none"/>
        </w:rPr>
        <w:t>资质类别和等级：</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336" w:lineRule="auto"/>
        <w:ind w:firstLine="480" w:firstLineChars="200"/>
        <w:rPr>
          <w:rFonts w:hint="eastAsia"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336" w:lineRule="auto"/>
        <w:ind w:firstLine="480" w:firstLineChars="200"/>
        <w:rPr>
          <w:rFonts w:hint="eastAsia" w:ascii="宋体" w:hAnsi="宋体" w:cs="宋体"/>
          <w:sz w:val="24"/>
          <w:highlight w:val="none"/>
        </w:rPr>
      </w:pPr>
      <w:r>
        <w:rPr>
          <w:rFonts w:hint="eastAsia" w:ascii="宋体" w:hAnsi="宋体" w:cs="宋体"/>
          <w:sz w:val="24"/>
          <w:highlight w:val="none"/>
        </w:rPr>
        <w:t>电子信箱：</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336" w:lineRule="auto"/>
        <w:ind w:firstLine="480" w:firstLineChars="200"/>
        <w:rPr>
          <w:rFonts w:hint="eastAsia" w:ascii="宋体" w:hAnsi="宋体" w:cs="宋体"/>
          <w:sz w:val="24"/>
          <w:highlight w:val="none"/>
        </w:rPr>
      </w:pPr>
      <w:r>
        <w:rPr>
          <w:rFonts w:hint="eastAsia" w:ascii="宋体" w:hAnsi="宋体" w:cs="宋体"/>
          <w:sz w:val="24"/>
          <w:highlight w:val="none"/>
        </w:rPr>
        <w:t>通信地址：</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336" w:lineRule="auto"/>
        <w:ind w:firstLine="480" w:firstLineChars="200"/>
        <w:rPr>
          <w:rFonts w:hint="eastAsia" w:ascii="宋体" w:hAnsi="宋体" w:cs="宋体"/>
          <w:sz w:val="24"/>
          <w:highlight w:val="none"/>
        </w:rPr>
      </w:pPr>
      <w:r>
        <w:rPr>
          <w:rFonts w:hint="eastAsia" w:ascii="宋体" w:hAnsi="宋体" w:cs="宋体"/>
          <w:sz w:val="24"/>
          <w:highlight w:val="none"/>
        </w:rPr>
        <w:t>1.1.2.5 设计人：</w:t>
      </w:r>
    </w:p>
    <w:p>
      <w:pPr>
        <w:spacing w:line="336" w:lineRule="auto"/>
        <w:ind w:firstLine="480" w:firstLineChars="200"/>
        <w:rPr>
          <w:rFonts w:hint="eastAsia" w:ascii="宋体" w:hAnsi="宋体" w:cs="宋体"/>
          <w:sz w:val="24"/>
          <w:highlight w:val="none"/>
        </w:rPr>
      </w:pPr>
      <w:r>
        <w:rPr>
          <w:rFonts w:hint="eastAsia" w:ascii="宋体" w:hAnsi="宋体" w:cs="宋体"/>
          <w:sz w:val="24"/>
          <w:highlight w:val="none"/>
        </w:rPr>
        <w:t>名    称：</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pacing w:line="336" w:lineRule="auto"/>
        <w:ind w:firstLine="480" w:firstLineChars="200"/>
        <w:rPr>
          <w:rFonts w:hint="eastAsia" w:ascii="宋体" w:hAnsi="宋体" w:cs="宋体"/>
          <w:sz w:val="24"/>
          <w:highlight w:val="none"/>
        </w:rPr>
      </w:pPr>
      <w:r>
        <w:rPr>
          <w:rFonts w:hint="eastAsia" w:ascii="宋体" w:hAnsi="宋体" w:cs="宋体"/>
          <w:sz w:val="24"/>
          <w:highlight w:val="none"/>
        </w:rPr>
        <w:t>资质类别和等级：</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336" w:lineRule="auto"/>
        <w:ind w:firstLine="480" w:firstLineChars="200"/>
        <w:rPr>
          <w:rFonts w:hint="eastAsia"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pacing w:line="336" w:lineRule="auto"/>
        <w:ind w:firstLine="480" w:firstLineChars="200"/>
        <w:rPr>
          <w:rFonts w:hint="eastAsia" w:ascii="宋体" w:hAnsi="宋体" w:cs="宋体"/>
          <w:sz w:val="24"/>
          <w:highlight w:val="none"/>
        </w:rPr>
      </w:pPr>
      <w:r>
        <w:rPr>
          <w:rFonts w:hint="eastAsia" w:ascii="宋体" w:hAnsi="宋体" w:cs="宋体"/>
          <w:sz w:val="24"/>
          <w:highlight w:val="none"/>
        </w:rPr>
        <w:t>电子信箱：</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336" w:lineRule="auto"/>
        <w:ind w:firstLine="480" w:firstLineChars="200"/>
        <w:rPr>
          <w:rFonts w:hint="eastAsia" w:ascii="宋体" w:hAnsi="宋体" w:cs="宋体"/>
          <w:sz w:val="24"/>
          <w:highlight w:val="none"/>
        </w:rPr>
      </w:pPr>
      <w:r>
        <w:rPr>
          <w:rFonts w:hint="eastAsia" w:ascii="宋体" w:hAnsi="宋体" w:cs="宋体"/>
          <w:sz w:val="24"/>
          <w:highlight w:val="none"/>
        </w:rPr>
        <w:t>通信地址：</w:t>
      </w:r>
      <w:r>
        <w:rPr>
          <w:rFonts w:hint="eastAsia" w:ascii="宋体" w:hAnsi="宋体" w:cs="宋体"/>
          <w:sz w:val="24"/>
          <w:highlight w:val="none"/>
          <w:u w:val="single"/>
        </w:rPr>
        <w:t xml:space="preserve">        /                     </w:t>
      </w:r>
      <w:r>
        <w:rPr>
          <w:rFonts w:hint="eastAsia" w:ascii="宋体" w:hAnsi="宋体" w:cs="宋体"/>
          <w:sz w:val="24"/>
          <w:highlight w:val="none"/>
        </w:rPr>
        <w:t>。</w:t>
      </w:r>
    </w:p>
    <w:p>
      <w:pPr>
        <w:spacing w:line="336" w:lineRule="auto"/>
        <w:ind w:firstLine="480" w:firstLineChars="200"/>
        <w:rPr>
          <w:rFonts w:hint="eastAsia" w:ascii="宋体" w:hAnsi="宋体" w:cs="宋体"/>
          <w:sz w:val="24"/>
          <w:highlight w:val="none"/>
        </w:rPr>
      </w:pPr>
      <w:r>
        <w:rPr>
          <w:rFonts w:hint="eastAsia" w:ascii="宋体" w:hAnsi="宋体" w:cs="宋体"/>
          <w:sz w:val="24"/>
          <w:highlight w:val="none"/>
        </w:rPr>
        <w:t>1.1.3 工程和设备</w:t>
      </w:r>
    </w:p>
    <w:p>
      <w:pPr>
        <w:spacing w:line="336" w:lineRule="auto"/>
        <w:ind w:firstLine="480" w:firstLineChars="200"/>
        <w:rPr>
          <w:rFonts w:hint="eastAsia" w:ascii="宋体" w:hAnsi="宋体" w:cs="宋体"/>
          <w:sz w:val="24"/>
          <w:highlight w:val="none"/>
        </w:rPr>
      </w:pPr>
      <w:r>
        <w:rPr>
          <w:rFonts w:hint="eastAsia" w:ascii="宋体" w:hAnsi="宋体" w:cs="宋体"/>
          <w:sz w:val="24"/>
          <w:highlight w:val="none"/>
        </w:rPr>
        <w:t>1.1.3.7 作为施工现场组成部分的其他场所包括：</w:t>
      </w:r>
      <w:r>
        <w:rPr>
          <w:rFonts w:hint="eastAsia" w:ascii="宋体" w:hAnsi="宋体" w:cs="宋体"/>
          <w:sz w:val="24"/>
          <w:highlight w:val="none"/>
          <w:u w:val="single"/>
        </w:rPr>
        <w:t xml:space="preserve">    /      </w:t>
      </w:r>
    </w:p>
    <w:p>
      <w:pPr>
        <w:spacing w:line="336"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1.1.3.9 永久占地包括：</w:t>
      </w:r>
      <w:r>
        <w:rPr>
          <w:rFonts w:hint="eastAsia" w:ascii="宋体" w:hAnsi="宋体" w:cs="宋体"/>
          <w:sz w:val="24"/>
          <w:highlight w:val="none"/>
          <w:u w:val="single"/>
        </w:rPr>
        <w:t xml:space="preserve">               /            </w:t>
      </w:r>
      <w:r>
        <w:rPr>
          <w:rFonts w:hint="eastAsia" w:ascii="宋体" w:hAnsi="宋体" w:cs="宋体"/>
          <w:kern w:val="0"/>
          <w:sz w:val="24"/>
          <w:highlight w:val="none"/>
        </w:rPr>
        <w:t>。</w:t>
      </w:r>
    </w:p>
    <w:p>
      <w:pPr>
        <w:spacing w:line="336" w:lineRule="auto"/>
        <w:ind w:firstLine="480" w:firstLineChars="200"/>
        <w:jc w:val="left"/>
        <w:rPr>
          <w:rFonts w:hint="eastAsia" w:ascii="宋体" w:hAnsi="宋体" w:cs="宋体"/>
          <w:sz w:val="24"/>
          <w:highlight w:val="none"/>
        </w:rPr>
      </w:pPr>
      <w:r>
        <w:rPr>
          <w:rFonts w:hint="eastAsia" w:ascii="宋体" w:hAnsi="宋体" w:cs="宋体"/>
          <w:kern w:val="0"/>
          <w:sz w:val="24"/>
          <w:highlight w:val="none"/>
        </w:rPr>
        <w:t>1.1.3.10 临时占地包括：</w:t>
      </w:r>
      <w:r>
        <w:rPr>
          <w:rFonts w:hint="eastAsia" w:ascii="宋体" w:hAnsi="宋体" w:cs="宋体"/>
          <w:sz w:val="24"/>
          <w:highlight w:val="none"/>
          <w:u w:val="single"/>
        </w:rPr>
        <w:t xml:space="preserve">            /            </w:t>
      </w:r>
      <w:r>
        <w:rPr>
          <w:rFonts w:hint="eastAsia" w:ascii="宋体" w:hAnsi="宋体" w:cs="宋体"/>
          <w:kern w:val="0"/>
          <w:sz w:val="24"/>
          <w:highlight w:val="none"/>
        </w:rPr>
        <w:t>。</w:t>
      </w:r>
    </w:p>
    <w:p>
      <w:pPr>
        <w:spacing w:after="120" w:line="336" w:lineRule="auto"/>
        <w:ind w:firstLine="480" w:firstLineChars="200"/>
        <w:rPr>
          <w:rFonts w:hint="eastAsia" w:ascii="宋体" w:hAnsi="宋体" w:cs="宋体"/>
          <w:sz w:val="24"/>
          <w:highlight w:val="none"/>
        </w:rPr>
      </w:pPr>
      <w:r>
        <w:rPr>
          <w:rFonts w:hint="eastAsia" w:ascii="宋体" w:hAnsi="宋体" w:cs="宋体"/>
          <w:sz w:val="24"/>
          <w:highlight w:val="none"/>
        </w:rPr>
        <w:t xml:space="preserve">1.3法律 </w:t>
      </w:r>
    </w:p>
    <w:p>
      <w:pPr>
        <w:autoSpaceDE w:val="0"/>
        <w:autoSpaceDN w:val="0"/>
        <w:adjustRightInd w:val="0"/>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适用于合同的其他规范性文件：</w:t>
      </w:r>
      <w:r>
        <w:rPr>
          <w:rFonts w:hint="eastAsia" w:ascii="宋体" w:hAnsi="宋体" w:cs="宋体"/>
          <w:b/>
          <w:sz w:val="24"/>
          <w:highlight w:val="none"/>
          <w:u w:val="single"/>
        </w:rPr>
        <w:t>《中华人民共和国民法典》《中华人民共和国建筑法》《中华人民共和国招标投标法》《建筑安装工程承包合同条例》《建设工程质量管理条例》及现行国家、建设部、浙江省和金华市有关法律、法规文件</w:t>
      </w:r>
      <w:r>
        <w:rPr>
          <w:rFonts w:hint="eastAsia" w:ascii="宋体" w:hAnsi="宋体" w:cs="宋体"/>
          <w:sz w:val="24"/>
          <w:highlight w:val="none"/>
        </w:rPr>
        <w:t>。</w:t>
      </w:r>
    </w:p>
    <w:p>
      <w:pPr>
        <w:spacing w:after="120" w:line="336" w:lineRule="auto"/>
        <w:ind w:firstLine="480" w:firstLineChars="200"/>
        <w:rPr>
          <w:rFonts w:hint="eastAsia" w:ascii="宋体" w:hAnsi="宋体" w:cs="宋体"/>
          <w:sz w:val="24"/>
          <w:highlight w:val="none"/>
        </w:rPr>
      </w:pPr>
      <w:r>
        <w:rPr>
          <w:rFonts w:hint="eastAsia" w:ascii="宋体" w:hAnsi="宋体" w:cs="宋体"/>
          <w:sz w:val="24"/>
          <w:highlight w:val="none"/>
        </w:rPr>
        <w:t>1.4 标准和规范</w:t>
      </w:r>
    </w:p>
    <w:p>
      <w:pPr>
        <w:spacing w:line="336" w:lineRule="auto"/>
        <w:ind w:left="596" w:leftChars="284"/>
        <w:rPr>
          <w:rFonts w:hint="eastAsia" w:ascii="宋体" w:hAnsi="宋体" w:cs="宋体"/>
          <w:sz w:val="24"/>
          <w:highlight w:val="none"/>
        </w:rPr>
      </w:pPr>
      <w:r>
        <w:rPr>
          <w:rFonts w:hint="eastAsia" w:ascii="宋体" w:hAnsi="宋体" w:cs="宋体"/>
          <w:sz w:val="24"/>
          <w:highlight w:val="none"/>
        </w:rPr>
        <w:t>1.4.1适用于工程的标准规范包括：</w:t>
      </w:r>
      <w:r>
        <w:rPr>
          <w:rFonts w:hint="eastAsia" w:ascii="宋体" w:hAnsi="宋体" w:cs="宋体"/>
          <w:sz w:val="24"/>
          <w:highlight w:val="none"/>
          <w:u w:val="single"/>
        </w:rPr>
        <w:t xml:space="preserve"> 有关现行的国家行业和地方标准及规范 </w:t>
      </w:r>
      <w:r>
        <w:rPr>
          <w:rFonts w:hint="eastAsia" w:ascii="宋体" w:hAnsi="宋体" w:cs="宋体"/>
          <w:sz w:val="24"/>
          <w:highlight w:val="none"/>
        </w:rPr>
        <w:t>。</w:t>
      </w:r>
    </w:p>
    <w:p>
      <w:pPr>
        <w:spacing w:line="336" w:lineRule="auto"/>
        <w:ind w:firstLine="480" w:firstLineChars="200"/>
        <w:outlineLvl w:val="0"/>
        <w:rPr>
          <w:rFonts w:hint="eastAsia" w:ascii="宋体" w:hAnsi="宋体" w:cs="宋体"/>
          <w:kern w:val="0"/>
          <w:sz w:val="24"/>
          <w:highlight w:val="none"/>
        </w:rPr>
      </w:pPr>
      <w:bookmarkStart w:id="52" w:name="_Toc690"/>
      <w:r>
        <w:rPr>
          <w:rFonts w:hint="eastAsia" w:ascii="宋体" w:hAnsi="宋体" w:cs="宋体"/>
          <w:kern w:val="0"/>
          <w:sz w:val="24"/>
          <w:highlight w:val="none"/>
        </w:rPr>
        <w:t>1.4.2 发包人提供国外标准、规范的名称：</w:t>
      </w:r>
      <w:r>
        <w:rPr>
          <w:rFonts w:hint="eastAsia" w:ascii="宋体" w:hAnsi="宋体" w:cs="宋体"/>
          <w:kern w:val="0"/>
          <w:sz w:val="24"/>
          <w:highlight w:val="none"/>
          <w:u w:val="single"/>
        </w:rPr>
        <w:t xml:space="preserve">        /     </w:t>
      </w:r>
      <w:r>
        <w:rPr>
          <w:rFonts w:hint="eastAsia" w:ascii="宋体" w:hAnsi="宋体" w:cs="宋体"/>
          <w:kern w:val="0"/>
          <w:sz w:val="24"/>
          <w:highlight w:val="none"/>
        </w:rPr>
        <w:t>；</w:t>
      </w:r>
      <w:bookmarkEnd w:id="52"/>
    </w:p>
    <w:p>
      <w:pPr>
        <w:spacing w:line="336"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发包人提供国外标准、规范的份数：</w:t>
      </w:r>
      <w:r>
        <w:rPr>
          <w:rFonts w:hint="eastAsia" w:ascii="宋体" w:hAnsi="宋体" w:cs="宋体"/>
          <w:kern w:val="0"/>
          <w:sz w:val="24"/>
          <w:highlight w:val="none"/>
          <w:u w:val="single"/>
        </w:rPr>
        <w:t xml:space="preserve">         /             </w:t>
      </w:r>
      <w:r>
        <w:rPr>
          <w:rFonts w:hint="eastAsia" w:ascii="宋体" w:hAnsi="宋体" w:cs="宋体"/>
          <w:kern w:val="0"/>
          <w:sz w:val="24"/>
          <w:highlight w:val="none"/>
        </w:rPr>
        <w:t>；</w:t>
      </w:r>
    </w:p>
    <w:p>
      <w:pPr>
        <w:spacing w:line="336" w:lineRule="auto"/>
        <w:ind w:firstLine="480" w:firstLineChars="200"/>
        <w:rPr>
          <w:rFonts w:hint="eastAsia" w:ascii="宋体" w:hAnsi="宋体" w:cs="宋体"/>
          <w:sz w:val="24"/>
          <w:highlight w:val="none"/>
        </w:rPr>
      </w:pPr>
      <w:r>
        <w:rPr>
          <w:rFonts w:hint="eastAsia" w:ascii="宋体" w:hAnsi="宋体" w:cs="宋体"/>
          <w:kern w:val="0"/>
          <w:sz w:val="24"/>
          <w:highlight w:val="none"/>
        </w:rPr>
        <w:t>发包人提供国外标准、规范的名称：</w:t>
      </w:r>
      <w:r>
        <w:rPr>
          <w:rFonts w:hint="eastAsia" w:ascii="宋体" w:hAnsi="宋体" w:cs="宋体"/>
          <w:kern w:val="0"/>
          <w:sz w:val="24"/>
          <w:highlight w:val="none"/>
          <w:u w:val="single"/>
        </w:rPr>
        <w:t xml:space="preserve">          /            </w:t>
      </w:r>
      <w:r>
        <w:rPr>
          <w:rFonts w:hint="eastAsia" w:ascii="宋体" w:hAnsi="宋体" w:cs="宋体"/>
          <w:kern w:val="0"/>
          <w:sz w:val="24"/>
          <w:highlight w:val="none"/>
        </w:rPr>
        <w:t>。</w:t>
      </w:r>
    </w:p>
    <w:p>
      <w:pPr>
        <w:spacing w:line="336" w:lineRule="auto"/>
        <w:ind w:left="596" w:leftChars="284"/>
        <w:rPr>
          <w:rFonts w:hint="eastAsia" w:ascii="宋体" w:hAnsi="宋体" w:cs="宋体"/>
          <w:sz w:val="24"/>
          <w:highlight w:val="none"/>
        </w:rPr>
      </w:pPr>
      <w:r>
        <w:rPr>
          <w:rFonts w:hint="eastAsia" w:ascii="宋体" w:hAnsi="宋体" w:cs="宋体"/>
          <w:sz w:val="24"/>
          <w:highlight w:val="none"/>
        </w:rPr>
        <w:t>1.4.3发包人对工程的技术标准和功能要求的特殊要求：。</w:t>
      </w:r>
    </w:p>
    <w:p>
      <w:pPr>
        <w:spacing w:after="120" w:line="336" w:lineRule="auto"/>
        <w:ind w:firstLine="480" w:firstLineChars="200"/>
        <w:outlineLvl w:val="0"/>
        <w:rPr>
          <w:rFonts w:hint="eastAsia" w:ascii="宋体" w:hAnsi="宋体" w:cs="宋体"/>
          <w:sz w:val="24"/>
          <w:highlight w:val="none"/>
        </w:rPr>
      </w:pPr>
      <w:bookmarkStart w:id="53" w:name="_Toc20133"/>
      <w:r>
        <w:rPr>
          <w:rFonts w:hint="eastAsia" w:ascii="宋体" w:hAnsi="宋体" w:cs="宋体"/>
          <w:sz w:val="24"/>
          <w:highlight w:val="none"/>
        </w:rPr>
        <w:t>1.5 合同文件的优先顺序</w:t>
      </w:r>
      <w:bookmarkEnd w:id="53"/>
    </w:p>
    <w:p>
      <w:pPr>
        <w:spacing w:line="336" w:lineRule="auto"/>
        <w:ind w:firstLine="480" w:firstLineChars="200"/>
        <w:rPr>
          <w:rFonts w:hint="eastAsia" w:ascii="宋体" w:hAnsi="宋体" w:cs="宋体"/>
          <w:sz w:val="24"/>
          <w:highlight w:val="none"/>
        </w:rPr>
      </w:pPr>
      <w:r>
        <w:rPr>
          <w:rFonts w:hint="eastAsia" w:ascii="宋体" w:hAnsi="宋体" w:cs="宋体"/>
          <w:sz w:val="24"/>
          <w:highlight w:val="none"/>
        </w:rPr>
        <w:t>合同文件组成及优先顺序为：</w:t>
      </w:r>
      <w:r>
        <w:rPr>
          <w:rFonts w:hint="eastAsia" w:ascii="宋体" w:hAnsi="宋体" w:cs="宋体"/>
          <w:b/>
          <w:sz w:val="24"/>
          <w:highlight w:val="none"/>
          <w:u w:val="single"/>
        </w:rPr>
        <w:t>（1）中标通知书（2）投标函及其附录；（3）专用合同条款及其附件；（4）通用合同条款；（5）技术标准和要求；（6）图纸；（7）预算书；（8）其他合同文件。（9）在合同订立及履行过程中形成的与合同有关的文件均构成合同文件组成部分</w:t>
      </w:r>
      <w:r>
        <w:rPr>
          <w:rFonts w:hint="eastAsia" w:ascii="宋体" w:hAnsi="宋体" w:cs="宋体"/>
          <w:sz w:val="24"/>
          <w:highlight w:val="none"/>
        </w:rPr>
        <w:t>。</w:t>
      </w:r>
    </w:p>
    <w:p>
      <w:pPr>
        <w:spacing w:after="120" w:line="336" w:lineRule="auto"/>
        <w:ind w:firstLine="480" w:firstLineChars="200"/>
        <w:outlineLvl w:val="0"/>
        <w:rPr>
          <w:rFonts w:hint="eastAsia" w:ascii="宋体" w:hAnsi="宋体" w:cs="宋体"/>
          <w:sz w:val="24"/>
          <w:highlight w:val="none"/>
        </w:rPr>
      </w:pPr>
      <w:bookmarkStart w:id="54" w:name="_Toc5139"/>
      <w:r>
        <w:rPr>
          <w:rFonts w:hint="eastAsia" w:ascii="宋体" w:hAnsi="宋体" w:cs="宋体"/>
          <w:sz w:val="24"/>
          <w:highlight w:val="none"/>
        </w:rPr>
        <w:t>1.6 图纸和承包人文件</w:t>
      </w:r>
      <w:bookmarkEnd w:id="54"/>
      <w:r>
        <w:rPr>
          <w:rFonts w:hint="eastAsia" w:ascii="宋体" w:hAnsi="宋体" w:cs="宋体"/>
          <w:sz w:val="24"/>
          <w:highlight w:val="none"/>
        </w:rPr>
        <w:tab/>
      </w:r>
    </w:p>
    <w:p>
      <w:pPr>
        <w:spacing w:line="336" w:lineRule="auto"/>
        <w:ind w:firstLine="480" w:firstLineChars="200"/>
        <w:rPr>
          <w:rFonts w:hint="eastAsia" w:ascii="宋体" w:hAnsi="宋体" w:cs="宋体"/>
          <w:sz w:val="24"/>
          <w:highlight w:val="none"/>
        </w:rPr>
      </w:pPr>
      <w:r>
        <w:rPr>
          <w:rFonts w:hint="eastAsia" w:ascii="宋体" w:hAnsi="宋体" w:cs="宋体"/>
          <w:sz w:val="24"/>
          <w:highlight w:val="none"/>
        </w:rPr>
        <w:t>1.6.1 图纸的提供</w:t>
      </w:r>
    </w:p>
    <w:p>
      <w:pPr>
        <w:spacing w:line="336" w:lineRule="auto"/>
        <w:ind w:firstLine="480" w:firstLineChars="200"/>
        <w:rPr>
          <w:rFonts w:hint="eastAsia" w:ascii="宋体" w:hAnsi="宋体" w:cs="宋体"/>
          <w:sz w:val="24"/>
          <w:highlight w:val="none"/>
        </w:rPr>
      </w:pPr>
      <w:r>
        <w:rPr>
          <w:rFonts w:hint="eastAsia" w:ascii="宋体" w:hAnsi="宋体" w:cs="宋体"/>
          <w:sz w:val="24"/>
          <w:highlight w:val="none"/>
          <w:u w:val="single"/>
        </w:rPr>
        <w:t>施工图纸需承包人进行深化设计，经发包人同意后为最终图纸。</w:t>
      </w:r>
    </w:p>
    <w:p>
      <w:pPr>
        <w:spacing w:line="336" w:lineRule="auto"/>
        <w:ind w:firstLine="480" w:firstLineChars="200"/>
        <w:rPr>
          <w:rFonts w:hint="eastAsia" w:ascii="宋体" w:hAnsi="宋体" w:cs="宋体"/>
          <w:sz w:val="24"/>
          <w:highlight w:val="none"/>
        </w:rPr>
      </w:pPr>
      <w:r>
        <w:rPr>
          <w:rFonts w:hint="eastAsia" w:ascii="宋体" w:hAnsi="宋体" w:cs="宋体"/>
          <w:sz w:val="24"/>
          <w:highlight w:val="none"/>
        </w:rPr>
        <w:t>1.6.4 承包人文件</w:t>
      </w:r>
    </w:p>
    <w:p>
      <w:pPr>
        <w:spacing w:line="336" w:lineRule="auto"/>
        <w:ind w:left="596" w:leftChars="284"/>
        <w:jc w:val="left"/>
        <w:rPr>
          <w:rFonts w:hint="eastAsia" w:ascii="宋体" w:hAnsi="宋体" w:cs="宋体"/>
          <w:sz w:val="24"/>
          <w:highlight w:val="none"/>
        </w:rPr>
      </w:pPr>
      <w:r>
        <w:rPr>
          <w:rFonts w:hint="eastAsia" w:ascii="宋体" w:hAnsi="宋体" w:cs="宋体"/>
          <w:sz w:val="24"/>
          <w:highlight w:val="none"/>
        </w:rPr>
        <w:t>需要由承包人提供的文件，包括：</w:t>
      </w:r>
      <w:r>
        <w:rPr>
          <w:rFonts w:hint="eastAsia" w:ascii="宋体" w:hAnsi="宋体" w:cs="宋体"/>
          <w:b/>
          <w:sz w:val="24"/>
          <w:highlight w:val="none"/>
          <w:u w:val="single"/>
        </w:rPr>
        <w:t>深化设计并经发包人同意后的施工图纸、施工组织设计、签证单、当月完成的工程量和下月施工进度计划表</w:t>
      </w:r>
      <w:r>
        <w:rPr>
          <w:rFonts w:hint="eastAsia" w:ascii="宋体" w:hAnsi="宋体" w:cs="宋体"/>
          <w:sz w:val="24"/>
          <w:highlight w:val="none"/>
        </w:rPr>
        <w:t>；</w:t>
      </w:r>
    </w:p>
    <w:p>
      <w:pPr>
        <w:spacing w:line="336" w:lineRule="auto"/>
        <w:ind w:firstLine="480" w:firstLineChars="200"/>
        <w:rPr>
          <w:rFonts w:hint="eastAsia" w:ascii="宋体" w:hAnsi="宋体" w:cs="宋体"/>
          <w:sz w:val="24"/>
          <w:highlight w:val="none"/>
        </w:rPr>
      </w:pPr>
      <w:r>
        <w:rPr>
          <w:rFonts w:hint="eastAsia" w:ascii="宋体" w:hAnsi="宋体" w:cs="宋体"/>
          <w:sz w:val="24"/>
          <w:highlight w:val="none"/>
        </w:rPr>
        <w:t>承包人提供的文件的期限为：</w:t>
      </w:r>
      <w:r>
        <w:rPr>
          <w:rFonts w:hint="eastAsia" w:ascii="宋体" w:hAnsi="宋体" w:cs="宋体"/>
          <w:b/>
          <w:sz w:val="24"/>
          <w:highlight w:val="none"/>
          <w:u w:val="single"/>
        </w:rPr>
        <w:t>每月25日前</w:t>
      </w:r>
      <w:r>
        <w:rPr>
          <w:rFonts w:hint="eastAsia" w:ascii="宋体" w:hAnsi="宋体" w:cs="宋体"/>
          <w:sz w:val="24"/>
          <w:highlight w:val="none"/>
        </w:rPr>
        <w:t>；</w:t>
      </w:r>
    </w:p>
    <w:p>
      <w:pPr>
        <w:spacing w:line="336" w:lineRule="auto"/>
        <w:ind w:firstLine="480" w:firstLineChars="200"/>
        <w:rPr>
          <w:rFonts w:hint="eastAsia" w:ascii="宋体" w:hAnsi="宋体" w:cs="宋体"/>
          <w:sz w:val="24"/>
          <w:highlight w:val="none"/>
        </w:rPr>
      </w:pPr>
      <w:r>
        <w:rPr>
          <w:rFonts w:hint="eastAsia" w:ascii="宋体" w:hAnsi="宋体" w:cs="宋体"/>
          <w:sz w:val="24"/>
          <w:highlight w:val="none"/>
        </w:rPr>
        <w:t>承包人提供的文件的数量为：</w:t>
      </w:r>
      <w:r>
        <w:rPr>
          <w:rFonts w:hint="eastAsia" w:ascii="宋体" w:hAnsi="宋体" w:cs="宋体"/>
          <w:b/>
          <w:sz w:val="24"/>
          <w:highlight w:val="none"/>
          <w:u w:val="single"/>
        </w:rPr>
        <w:t>一式二份</w:t>
      </w:r>
      <w:r>
        <w:rPr>
          <w:rFonts w:hint="eastAsia" w:ascii="宋体" w:hAnsi="宋体" w:cs="宋体"/>
          <w:sz w:val="24"/>
          <w:highlight w:val="none"/>
        </w:rPr>
        <w:t>；</w:t>
      </w:r>
    </w:p>
    <w:p>
      <w:pPr>
        <w:spacing w:line="336" w:lineRule="auto"/>
        <w:ind w:firstLine="480" w:firstLineChars="200"/>
        <w:rPr>
          <w:rFonts w:hint="eastAsia" w:ascii="宋体" w:hAnsi="宋体" w:cs="宋体"/>
          <w:sz w:val="24"/>
          <w:highlight w:val="none"/>
        </w:rPr>
      </w:pPr>
      <w:r>
        <w:rPr>
          <w:rFonts w:hint="eastAsia" w:ascii="宋体" w:hAnsi="宋体" w:cs="宋体"/>
          <w:sz w:val="24"/>
          <w:highlight w:val="none"/>
        </w:rPr>
        <w:t>承包人提供的文件的形式为：</w:t>
      </w:r>
      <w:r>
        <w:rPr>
          <w:rFonts w:hint="eastAsia" w:ascii="宋体" w:hAnsi="宋体" w:cs="宋体"/>
          <w:b/>
          <w:sz w:val="24"/>
          <w:highlight w:val="none"/>
          <w:u w:val="single"/>
        </w:rPr>
        <w:t>书面报告形式</w:t>
      </w:r>
      <w:r>
        <w:rPr>
          <w:rFonts w:hint="eastAsia" w:ascii="宋体" w:hAnsi="宋体" w:cs="宋体"/>
          <w:sz w:val="24"/>
          <w:highlight w:val="none"/>
        </w:rPr>
        <w:t>；</w:t>
      </w:r>
    </w:p>
    <w:p>
      <w:pPr>
        <w:spacing w:line="336" w:lineRule="auto"/>
        <w:ind w:firstLine="480" w:firstLineChars="200"/>
        <w:rPr>
          <w:rFonts w:hint="eastAsia" w:ascii="宋体" w:hAnsi="宋体" w:cs="宋体"/>
          <w:sz w:val="24"/>
          <w:highlight w:val="none"/>
        </w:rPr>
      </w:pPr>
      <w:r>
        <w:rPr>
          <w:rFonts w:hint="eastAsia" w:ascii="宋体" w:hAnsi="宋体" w:cs="宋体"/>
          <w:sz w:val="24"/>
          <w:highlight w:val="none"/>
        </w:rPr>
        <w:t>发包人审批承包人文件的期限：</w:t>
      </w:r>
      <w:r>
        <w:rPr>
          <w:rFonts w:hint="eastAsia" w:ascii="宋体" w:hAnsi="宋体" w:cs="宋体"/>
          <w:b/>
          <w:sz w:val="24"/>
          <w:highlight w:val="none"/>
          <w:u w:val="single"/>
        </w:rPr>
        <w:t>按《通用条款》执行</w:t>
      </w:r>
      <w:r>
        <w:rPr>
          <w:rFonts w:hint="eastAsia" w:ascii="宋体" w:hAnsi="宋体" w:cs="宋体"/>
          <w:sz w:val="24"/>
          <w:highlight w:val="none"/>
        </w:rPr>
        <w:t>。</w:t>
      </w:r>
    </w:p>
    <w:p>
      <w:pPr>
        <w:spacing w:line="336" w:lineRule="auto"/>
        <w:ind w:firstLine="480" w:firstLineChars="200"/>
        <w:rPr>
          <w:rFonts w:hint="eastAsia" w:ascii="宋体" w:hAnsi="宋体" w:cs="宋体"/>
          <w:sz w:val="24"/>
          <w:highlight w:val="none"/>
        </w:rPr>
      </w:pPr>
      <w:r>
        <w:rPr>
          <w:rFonts w:hint="eastAsia" w:ascii="宋体" w:hAnsi="宋体" w:cs="宋体"/>
          <w:sz w:val="24"/>
          <w:highlight w:val="none"/>
        </w:rPr>
        <w:t>1.6.5 现场图纸准备</w:t>
      </w:r>
    </w:p>
    <w:p>
      <w:pPr>
        <w:spacing w:line="336" w:lineRule="auto"/>
        <w:ind w:firstLine="480" w:firstLineChars="200"/>
        <w:rPr>
          <w:rFonts w:hint="eastAsia" w:ascii="宋体" w:hAnsi="宋体" w:cs="宋体"/>
          <w:sz w:val="24"/>
          <w:highlight w:val="none"/>
        </w:rPr>
      </w:pPr>
      <w:r>
        <w:rPr>
          <w:rFonts w:hint="eastAsia" w:ascii="宋体" w:hAnsi="宋体" w:cs="宋体"/>
          <w:sz w:val="24"/>
          <w:highlight w:val="none"/>
        </w:rPr>
        <w:t>关于现场图纸准备的约定：</w:t>
      </w:r>
      <w:r>
        <w:rPr>
          <w:rFonts w:hint="eastAsia" w:ascii="宋体" w:hAnsi="宋体" w:cs="宋体"/>
          <w:b/>
          <w:sz w:val="24"/>
          <w:highlight w:val="none"/>
          <w:u w:val="single"/>
        </w:rPr>
        <w:t>开工前7天，提供图纸6套。</w:t>
      </w:r>
    </w:p>
    <w:p>
      <w:pPr>
        <w:spacing w:after="120" w:line="336" w:lineRule="auto"/>
        <w:ind w:firstLine="480" w:firstLineChars="200"/>
        <w:outlineLvl w:val="0"/>
        <w:rPr>
          <w:rFonts w:hint="eastAsia" w:ascii="宋体" w:hAnsi="宋体" w:cs="宋体"/>
          <w:sz w:val="24"/>
          <w:highlight w:val="none"/>
        </w:rPr>
      </w:pPr>
      <w:bookmarkStart w:id="55" w:name="_Toc23910"/>
      <w:r>
        <w:rPr>
          <w:rFonts w:hint="eastAsia" w:ascii="宋体" w:hAnsi="宋体" w:cs="宋体"/>
          <w:sz w:val="24"/>
          <w:highlight w:val="none"/>
        </w:rPr>
        <w:t>1.7 联络</w:t>
      </w:r>
      <w:bookmarkEnd w:id="55"/>
    </w:p>
    <w:p>
      <w:pPr>
        <w:spacing w:line="336"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1.7.1发包人和承包人应当在</w:t>
      </w:r>
      <w:r>
        <w:rPr>
          <w:rFonts w:hint="eastAsia" w:ascii="宋体" w:hAnsi="宋体" w:cs="宋体"/>
          <w:sz w:val="24"/>
          <w:highlight w:val="none"/>
          <w:u w:val="single"/>
        </w:rPr>
        <w:t xml:space="preserve"> 15 </w:t>
      </w:r>
      <w:r>
        <w:rPr>
          <w:rFonts w:hint="eastAsia" w:ascii="宋体" w:hAnsi="宋体" w:cs="宋体"/>
          <w:kern w:val="0"/>
          <w:sz w:val="24"/>
          <w:highlight w:val="none"/>
        </w:rPr>
        <w:t>天内将与合同有关的通知、批准、证明、证书、指示、指令、要求、请求、同意、意见、确定和决定等书面函件送达对方当事人。</w:t>
      </w:r>
    </w:p>
    <w:p>
      <w:pPr>
        <w:spacing w:line="336"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1.7.2 发包人接收文件的地点：</w:t>
      </w:r>
      <w:r>
        <w:rPr>
          <w:rFonts w:hint="eastAsia" w:ascii="宋体" w:hAnsi="宋体" w:cs="宋体"/>
          <w:b/>
          <w:sz w:val="24"/>
          <w:highlight w:val="none"/>
          <w:u w:val="single"/>
        </w:rPr>
        <w:t>施工现场</w:t>
      </w:r>
      <w:r>
        <w:rPr>
          <w:rFonts w:hint="eastAsia" w:ascii="宋体" w:hAnsi="宋体" w:cs="宋体"/>
          <w:kern w:val="0"/>
          <w:sz w:val="24"/>
          <w:highlight w:val="none"/>
        </w:rPr>
        <w:t>；</w:t>
      </w:r>
    </w:p>
    <w:p>
      <w:pPr>
        <w:spacing w:line="336"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发包人指定的接收人为：</w:t>
      </w:r>
      <w:r>
        <w:rPr>
          <w:rFonts w:hint="eastAsia" w:ascii="宋体" w:hAnsi="宋体" w:cs="宋体"/>
          <w:sz w:val="24"/>
          <w:highlight w:val="none"/>
          <w:u w:val="single"/>
        </w:rPr>
        <w:t xml:space="preserve">             </w:t>
      </w:r>
      <w:r>
        <w:rPr>
          <w:rFonts w:hint="eastAsia" w:ascii="宋体" w:hAnsi="宋体" w:cs="宋体"/>
          <w:kern w:val="0"/>
          <w:sz w:val="24"/>
          <w:highlight w:val="none"/>
        </w:rPr>
        <w:t>。</w:t>
      </w:r>
    </w:p>
    <w:p>
      <w:pPr>
        <w:spacing w:line="336"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承包人接收文件的地点：</w:t>
      </w:r>
      <w:r>
        <w:rPr>
          <w:rFonts w:hint="eastAsia" w:ascii="宋体" w:hAnsi="宋体" w:cs="宋体"/>
          <w:b/>
          <w:sz w:val="24"/>
          <w:highlight w:val="none"/>
          <w:u w:val="single"/>
        </w:rPr>
        <w:t>施工现场</w:t>
      </w:r>
      <w:r>
        <w:rPr>
          <w:rFonts w:hint="eastAsia" w:ascii="宋体" w:hAnsi="宋体" w:cs="宋体"/>
          <w:kern w:val="0"/>
          <w:sz w:val="24"/>
          <w:highlight w:val="none"/>
        </w:rPr>
        <w:t>；</w:t>
      </w:r>
    </w:p>
    <w:p>
      <w:pPr>
        <w:spacing w:line="336"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承包人指定的接收人为：</w:t>
      </w:r>
      <w:r>
        <w:rPr>
          <w:rFonts w:hint="eastAsia" w:ascii="宋体" w:hAnsi="宋体" w:cs="宋体"/>
          <w:sz w:val="24"/>
          <w:highlight w:val="none"/>
          <w:u w:val="single"/>
        </w:rPr>
        <w:t xml:space="preserve">              </w:t>
      </w:r>
      <w:r>
        <w:rPr>
          <w:rFonts w:hint="eastAsia" w:ascii="宋体" w:hAnsi="宋体" w:cs="宋体"/>
          <w:kern w:val="0"/>
          <w:sz w:val="24"/>
          <w:highlight w:val="none"/>
        </w:rPr>
        <w:t xml:space="preserve"> 。</w:t>
      </w:r>
    </w:p>
    <w:p>
      <w:pPr>
        <w:spacing w:line="336"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监理人接收文件的地点：</w:t>
      </w:r>
      <w:r>
        <w:rPr>
          <w:rFonts w:hint="eastAsia" w:ascii="宋体" w:hAnsi="宋体" w:cs="宋体"/>
          <w:b/>
          <w:sz w:val="24"/>
          <w:highlight w:val="none"/>
          <w:u w:val="single"/>
        </w:rPr>
        <w:t>施工现场</w:t>
      </w:r>
      <w:r>
        <w:rPr>
          <w:rFonts w:hint="eastAsia" w:ascii="宋体" w:hAnsi="宋体" w:cs="宋体"/>
          <w:kern w:val="0"/>
          <w:sz w:val="24"/>
          <w:highlight w:val="none"/>
        </w:rPr>
        <w:t>；</w:t>
      </w:r>
    </w:p>
    <w:p>
      <w:pPr>
        <w:spacing w:line="336"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监理人指定的接收人为：</w:t>
      </w:r>
      <w:r>
        <w:rPr>
          <w:rFonts w:hint="eastAsia" w:ascii="宋体" w:hAnsi="宋体" w:cs="宋体"/>
          <w:sz w:val="24"/>
          <w:highlight w:val="none"/>
          <w:u w:val="single"/>
        </w:rPr>
        <w:t xml:space="preserve">             </w:t>
      </w:r>
      <w:r>
        <w:rPr>
          <w:rFonts w:hint="eastAsia" w:ascii="宋体" w:hAnsi="宋体" w:cs="宋体"/>
          <w:kern w:val="0"/>
          <w:sz w:val="24"/>
          <w:highlight w:val="none"/>
        </w:rPr>
        <w:t>。</w:t>
      </w:r>
    </w:p>
    <w:p>
      <w:pPr>
        <w:spacing w:after="120" w:line="336" w:lineRule="auto"/>
        <w:ind w:firstLine="480" w:firstLineChars="200"/>
        <w:outlineLvl w:val="0"/>
        <w:rPr>
          <w:rFonts w:hint="eastAsia" w:ascii="宋体" w:hAnsi="宋体" w:cs="宋体"/>
          <w:sz w:val="24"/>
          <w:highlight w:val="none"/>
        </w:rPr>
      </w:pPr>
      <w:bookmarkStart w:id="56" w:name="_Toc13383"/>
      <w:r>
        <w:rPr>
          <w:rFonts w:hint="eastAsia" w:ascii="宋体" w:hAnsi="宋体" w:cs="宋体"/>
          <w:sz w:val="24"/>
          <w:highlight w:val="none"/>
        </w:rPr>
        <w:t>1.10 交通运输</w:t>
      </w:r>
      <w:bookmarkEnd w:id="56"/>
    </w:p>
    <w:p>
      <w:pPr>
        <w:spacing w:line="336" w:lineRule="auto"/>
        <w:ind w:firstLine="480" w:firstLineChars="200"/>
        <w:outlineLvl w:val="0"/>
        <w:rPr>
          <w:rFonts w:hint="eastAsia" w:ascii="宋体" w:hAnsi="宋体" w:cs="宋体"/>
          <w:sz w:val="24"/>
          <w:highlight w:val="none"/>
        </w:rPr>
      </w:pPr>
      <w:bookmarkStart w:id="57" w:name="_Toc22531"/>
      <w:r>
        <w:rPr>
          <w:rFonts w:hint="eastAsia" w:ascii="宋体" w:hAnsi="宋体" w:cs="宋体"/>
          <w:sz w:val="24"/>
          <w:highlight w:val="none"/>
        </w:rPr>
        <w:t>1.10.1 出入现场的权利</w:t>
      </w:r>
      <w:bookmarkEnd w:id="57"/>
    </w:p>
    <w:p>
      <w:pPr>
        <w:spacing w:line="336" w:lineRule="auto"/>
        <w:ind w:left="596" w:leftChars="284"/>
        <w:rPr>
          <w:rFonts w:hint="eastAsia" w:ascii="宋体" w:hAnsi="宋体" w:cs="宋体"/>
          <w:sz w:val="24"/>
          <w:highlight w:val="none"/>
        </w:rPr>
      </w:pPr>
      <w:r>
        <w:rPr>
          <w:rFonts w:hint="eastAsia" w:ascii="宋体" w:hAnsi="宋体" w:cs="宋体"/>
          <w:sz w:val="24"/>
          <w:highlight w:val="none"/>
        </w:rPr>
        <w:t>关于出入现场的权利的约定：</w:t>
      </w:r>
      <w:r>
        <w:rPr>
          <w:rFonts w:hint="eastAsia" w:ascii="宋体" w:hAnsi="宋体" w:cs="宋体"/>
          <w:sz w:val="24"/>
          <w:highlight w:val="none"/>
          <w:u w:val="single"/>
        </w:rPr>
        <w:t xml:space="preserve"> / </w:t>
      </w:r>
      <w:r>
        <w:rPr>
          <w:rFonts w:hint="eastAsia" w:ascii="宋体" w:hAnsi="宋体" w:cs="宋体"/>
          <w:sz w:val="24"/>
          <w:highlight w:val="none"/>
        </w:rPr>
        <w:t>。</w:t>
      </w:r>
    </w:p>
    <w:p>
      <w:pPr>
        <w:spacing w:line="336" w:lineRule="auto"/>
        <w:ind w:firstLine="480" w:firstLineChars="200"/>
        <w:jc w:val="left"/>
        <w:outlineLvl w:val="0"/>
        <w:rPr>
          <w:rFonts w:hint="eastAsia" w:ascii="宋体" w:hAnsi="宋体" w:cs="宋体"/>
          <w:sz w:val="24"/>
          <w:highlight w:val="none"/>
        </w:rPr>
      </w:pPr>
      <w:bookmarkStart w:id="58" w:name="_Toc28902"/>
      <w:r>
        <w:rPr>
          <w:rFonts w:hint="eastAsia" w:ascii="宋体" w:hAnsi="宋体" w:cs="宋体"/>
          <w:sz w:val="24"/>
          <w:highlight w:val="none"/>
        </w:rPr>
        <w:t>1.10.3 场内交通</w:t>
      </w:r>
      <w:bookmarkEnd w:id="58"/>
    </w:p>
    <w:p>
      <w:pPr>
        <w:spacing w:line="336"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关于场外交通和场内交通的边界的约定：</w:t>
      </w:r>
      <w:r>
        <w:rPr>
          <w:rFonts w:hint="eastAsia" w:ascii="宋体" w:hAnsi="宋体" w:cs="宋体"/>
          <w:b/>
          <w:sz w:val="24"/>
          <w:highlight w:val="none"/>
          <w:u w:val="single"/>
        </w:rPr>
        <w:t>以用地红线为分界线</w:t>
      </w:r>
      <w:r>
        <w:rPr>
          <w:rFonts w:hint="eastAsia" w:ascii="宋体" w:hAnsi="宋体" w:cs="宋体"/>
          <w:sz w:val="24"/>
          <w:highlight w:val="none"/>
        </w:rPr>
        <w:t>。</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关于发包人向承包人免费提供满足工程施工需要的场内道路和交通设施的约定：</w:t>
      </w:r>
      <w:r>
        <w:rPr>
          <w:rFonts w:hint="eastAsia" w:ascii="宋体" w:hAnsi="宋体" w:cs="宋体"/>
          <w:b/>
          <w:sz w:val="24"/>
          <w:highlight w:val="none"/>
          <w:u w:val="single"/>
        </w:rPr>
        <w:t>按《通用条款》执行</w:t>
      </w:r>
      <w:r>
        <w:rPr>
          <w:rFonts w:hint="eastAsia" w:ascii="宋体" w:hAnsi="宋体" w:cs="宋体"/>
          <w:sz w:val="24"/>
          <w:highlight w:val="none"/>
        </w:rPr>
        <w:t>。</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1.10.4超大件和超重件的运输</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运输超大件或超重件所需的道路和桥梁临时加固改造费用和其他有关费用由</w:t>
      </w:r>
      <w:r>
        <w:rPr>
          <w:rFonts w:hint="eastAsia" w:ascii="宋体" w:hAnsi="宋体" w:cs="宋体"/>
          <w:b/>
          <w:sz w:val="24"/>
          <w:highlight w:val="none"/>
          <w:u w:val="single"/>
        </w:rPr>
        <w:t>按《通用条款》执行</w:t>
      </w:r>
      <w:r>
        <w:rPr>
          <w:rFonts w:hint="eastAsia" w:ascii="宋体" w:hAnsi="宋体" w:cs="宋体"/>
          <w:sz w:val="24"/>
          <w:highlight w:val="none"/>
        </w:rPr>
        <w:t>承担。</w:t>
      </w:r>
    </w:p>
    <w:p>
      <w:pPr>
        <w:spacing w:after="120" w:line="336" w:lineRule="auto"/>
        <w:ind w:firstLine="480" w:firstLineChars="200"/>
        <w:outlineLvl w:val="0"/>
        <w:rPr>
          <w:rFonts w:hint="eastAsia" w:ascii="宋体" w:hAnsi="宋体" w:cs="宋体"/>
          <w:sz w:val="24"/>
          <w:highlight w:val="none"/>
        </w:rPr>
      </w:pPr>
      <w:bookmarkStart w:id="59" w:name="_Toc25190"/>
      <w:r>
        <w:rPr>
          <w:rFonts w:hint="eastAsia" w:ascii="宋体" w:hAnsi="宋体" w:cs="宋体"/>
          <w:sz w:val="24"/>
          <w:highlight w:val="none"/>
        </w:rPr>
        <w:t>1.11 知识产权</w:t>
      </w:r>
      <w:bookmarkEnd w:id="59"/>
    </w:p>
    <w:p>
      <w:pPr>
        <w:spacing w:line="336" w:lineRule="auto"/>
        <w:ind w:firstLine="480" w:firstLineChars="200"/>
        <w:rPr>
          <w:rFonts w:hint="eastAsia" w:ascii="宋体" w:hAnsi="宋体" w:cs="宋体"/>
          <w:sz w:val="24"/>
          <w:highlight w:val="none"/>
          <w:u w:val="single"/>
        </w:rPr>
      </w:pPr>
      <w:r>
        <w:rPr>
          <w:rFonts w:hint="eastAsia" w:ascii="宋体" w:hAnsi="宋体" w:cs="宋体"/>
          <w:sz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b/>
          <w:sz w:val="24"/>
          <w:highlight w:val="none"/>
          <w:u w:val="single"/>
        </w:rPr>
        <w:t>未经发包人同意，承包人不得擅自提供给第三方</w:t>
      </w:r>
      <w:r>
        <w:rPr>
          <w:rFonts w:hint="eastAsia" w:ascii="宋体" w:hAnsi="宋体" w:cs="宋体"/>
          <w:sz w:val="24"/>
          <w:highlight w:val="none"/>
        </w:rPr>
        <w:t>。</w:t>
      </w:r>
    </w:p>
    <w:p>
      <w:pPr>
        <w:spacing w:line="336" w:lineRule="auto"/>
        <w:ind w:left="596" w:leftChars="284"/>
        <w:rPr>
          <w:rFonts w:hint="eastAsia" w:ascii="宋体" w:hAnsi="宋体" w:cs="宋体"/>
          <w:sz w:val="24"/>
          <w:highlight w:val="none"/>
        </w:rPr>
      </w:pPr>
      <w:r>
        <w:rPr>
          <w:rFonts w:hint="eastAsia" w:ascii="宋体" w:hAnsi="宋体" w:cs="宋体"/>
          <w:sz w:val="24"/>
          <w:highlight w:val="none"/>
        </w:rPr>
        <w:t>关于发包人提供的上述文件的使用限制的要求：</w:t>
      </w:r>
      <w:r>
        <w:rPr>
          <w:rFonts w:hint="eastAsia" w:ascii="宋体" w:hAnsi="宋体" w:cs="宋体"/>
          <w:sz w:val="24"/>
          <w:highlight w:val="none"/>
          <w:u w:val="single"/>
        </w:rPr>
        <w:t xml:space="preserve">     /    </w:t>
      </w:r>
      <w:r>
        <w:rPr>
          <w:rFonts w:hint="eastAsia" w:ascii="宋体" w:hAnsi="宋体" w:cs="宋体"/>
          <w:sz w:val="24"/>
          <w:highlight w:val="none"/>
        </w:rPr>
        <w:t>。</w:t>
      </w:r>
    </w:p>
    <w:p>
      <w:pPr>
        <w:spacing w:line="336" w:lineRule="auto"/>
        <w:ind w:left="596" w:leftChars="284"/>
        <w:outlineLvl w:val="0"/>
        <w:rPr>
          <w:rFonts w:hint="eastAsia" w:ascii="宋体" w:hAnsi="宋体" w:cs="宋体"/>
          <w:sz w:val="24"/>
          <w:highlight w:val="none"/>
        </w:rPr>
      </w:pPr>
      <w:bookmarkStart w:id="60" w:name="_Toc16408"/>
      <w:r>
        <w:rPr>
          <w:rFonts w:hint="eastAsia" w:ascii="宋体" w:hAnsi="宋体" w:cs="宋体"/>
          <w:sz w:val="24"/>
          <w:highlight w:val="none"/>
        </w:rPr>
        <w:t>1.11.2 关于承包人为实施工程所编制文件的著作权的归属：</w:t>
      </w:r>
      <w:r>
        <w:rPr>
          <w:rFonts w:hint="eastAsia" w:ascii="宋体" w:hAnsi="宋体" w:cs="宋体"/>
          <w:b/>
          <w:sz w:val="24"/>
          <w:highlight w:val="none"/>
          <w:u w:val="single"/>
        </w:rPr>
        <w:t>按《通用条款》执行</w:t>
      </w:r>
      <w:r>
        <w:rPr>
          <w:rFonts w:hint="eastAsia" w:ascii="宋体" w:hAnsi="宋体" w:cs="宋体"/>
          <w:sz w:val="24"/>
          <w:highlight w:val="none"/>
        </w:rPr>
        <w:t>。</w:t>
      </w:r>
      <w:bookmarkEnd w:id="60"/>
    </w:p>
    <w:p>
      <w:pPr>
        <w:spacing w:line="336" w:lineRule="auto"/>
        <w:ind w:firstLine="480" w:firstLineChars="200"/>
        <w:rPr>
          <w:rFonts w:hint="eastAsia" w:ascii="宋体" w:hAnsi="宋体" w:cs="宋体"/>
          <w:sz w:val="24"/>
          <w:highlight w:val="none"/>
        </w:rPr>
      </w:pPr>
      <w:r>
        <w:rPr>
          <w:rFonts w:hint="eastAsia" w:ascii="宋体" w:hAnsi="宋体" w:cs="宋体"/>
          <w:sz w:val="24"/>
          <w:highlight w:val="none"/>
        </w:rPr>
        <w:t>关于承包人提供的上述文件的使用限制的要求：</w:t>
      </w:r>
      <w:r>
        <w:rPr>
          <w:rFonts w:hint="eastAsia" w:ascii="宋体" w:hAnsi="宋体" w:cs="宋体"/>
          <w:b/>
          <w:sz w:val="24"/>
          <w:highlight w:val="none"/>
          <w:u w:val="single"/>
        </w:rPr>
        <w:t>按《通用条款》执行</w:t>
      </w:r>
      <w:r>
        <w:rPr>
          <w:rFonts w:hint="eastAsia" w:ascii="宋体" w:hAnsi="宋体" w:cs="宋体"/>
          <w:sz w:val="24"/>
          <w:highlight w:val="none"/>
        </w:rPr>
        <w:t>。</w:t>
      </w:r>
    </w:p>
    <w:p>
      <w:pPr>
        <w:spacing w:line="336" w:lineRule="auto"/>
        <w:ind w:firstLine="480" w:firstLineChars="200"/>
        <w:outlineLvl w:val="0"/>
        <w:rPr>
          <w:rFonts w:hint="eastAsia" w:ascii="宋体" w:hAnsi="宋体" w:cs="宋体"/>
          <w:kern w:val="0"/>
          <w:sz w:val="24"/>
          <w:highlight w:val="none"/>
        </w:rPr>
      </w:pPr>
      <w:bookmarkStart w:id="61" w:name="_Toc7260"/>
      <w:r>
        <w:rPr>
          <w:rFonts w:hint="eastAsia" w:ascii="宋体" w:hAnsi="宋体" w:cs="宋体"/>
          <w:sz w:val="24"/>
          <w:highlight w:val="none"/>
        </w:rPr>
        <w:t>1.11.4 承包人在施工过程中所采用的专利、专有技术、技术秘密的使用费的承担方式：</w:t>
      </w:r>
      <w:r>
        <w:rPr>
          <w:rFonts w:hint="eastAsia" w:ascii="宋体" w:hAnsi="宋体" w:cs="宋体"/>
          <w:b/>
          <w:sz w:val="24"/>
          <w:highlight w:val="none"/>
          <w:u w:val="single"/>
        </w:rPr>
        <w:t>按《通用条款》执行</w:t>
      </w:r>
      <w:r>
        <w:rPr>
          <w:rFonts w:hint="eastAsia" w:ascii="宋体" w:hAnsi="宋体" w:cs="宋体"/>
          <w:kern w:val="0"/>
          <w:sz w:val="24"/>
          <w:highlight w:val="none"/>
        </w:rPr>
        <w:t>。</w:t>
      </w:r>
      <w:bookmarkEnd w:id="61"/>
    </w:p>
    <w:p>
      <w:pPr>
        <w:spacing w:after="120" w:line="336" w:lineRule="auto"/>
        <w:ind w:firstLine="480" w:firstLineChars="200"/>
        <w:rPr>
          <w:rFonts w:hint="eastAsia" w:ascii="宋体" w:hAnsi="宋体" w:cs="宋体"/>
          <w:sz w:val="24"/>
          <w:highlight w:val="none"/>
        </w:rPr>
      </w:pPr>
      <w:r>
        <w:rPr>
          <w:rFonts w:hint="eastAsia" w:ascii="宋体" w:hAnsi="宋体" w:cs="宋体"/>
          <w:sz w:val="24"/>
          <w:highlight w:val="none"/>
        </w:rPr>
        <w:t>1.13工程量清单错误的修正</w:t>
      </w:r>
    </w:p>
    <w:p>
      <w:pPr>
        <w:spacing w:line="336" w:lineRule="auto"/>
        <w:ind w:firstLine="480" w:firstLineChars="200"/>
        <w:rPr>
          <w:rFonts w:hint="eastAsia" w:ascii="宋体" w:hAnsi="宋体" w:cs="宋体"/>
          <w:sz w:val="24"/>
          <w:highlight w:val="none"/>
        </w:rPr>
      </w:pPr>
      <w:r>
        <w:rPr>
          <w:rFonts w:hint="eastAsia" w:ascii="宋体" w:hAnsi="宋体" w:cs="宋体"/>
          <w:sz w:val="24"/>
          <w:highlight w:val="none"/>
        </w:rPr>
        <w:t>出现工程量清单错误时，是否调整合同价格：</w:t>
      </w:r>
      <w:r>
        <w:rPr>
          <w:rFonts w:hint="eastAsia" w:ascii="宋体" w:hAnsi="宋体" w:cs="宋体"/>
          <w:sz w:val="24"/>
          <w:highlight w:val="none"/>
          <w:u w:val="single"/>
        </w:rPr>
        <w:t xml:space="preserve">       /    </w:t>
      </w:r>
      <w:r>
        <w:rPr>
          <w:rFonts w:hint="eastAsia" w:ascii="宋体" w:hAnsi="宋体" w:cs="宋体"/>
          <w:kern w:val="0"/>
          <w:sz w:val="24"/>
          <w:highlight w:val="none"/>
        </w:rPr>
        <w:t>。</w:t>
      </w:r>
    </w:p>
    <w:p>
      <w:pPr>
        <w:spacing w:line="336" w:lineRule="auto"/>
        <w:ind w:firstLine="480" w:firstLineChars="200"/>
        <w:rPr>
          <w:rFonts w:hint="eastAsia" w:ascii="宋体" w:hAnsi="宋体" w:cs="宋体"/>
          <w:sz w:val="24"/>
          <w:highlight w:val="none"/>
        </w:rPr>
      </w:pPr>
      <w:r>
        <w:rPr>
          <w:rFonts w:hint="eastAsia" w:ascii="宋体" w:hAnsi="宋体" w:cs="宋体"/>
          <w:sz w:val="24"/>
          <w:highlight w:val="none"/>
        </w:rPr>
        <w:t>允许调整合同价格的工程量偏差范围：</w:t>
      </w:r>
      <w:r>
        <w:rPr>
          <w:rFonts w:hint="eastAsia" w:ascii="宋体" w:hAnsi="宋体" w:cs="宋体"/>
          <w:sz w:val="24"/>
          <w:highlight w:val="none"/>
          <w:u w:val="single"/>
        </w:rPr>
        <w:t xml:space="preserve">        /  </w:t>
      </w:r>
      <w:r>
        <w:rPr>
          <w:rFonts w:hint="eastAsia" w:ascii="宋体" w:hAnsi="宋体" w:cs="宋体"/>
          <w:kern w:val="0"/>
          <w:sz w:val="24"/>
          <w:highlight w:val="none"/>
        </w:rPr>
        <w:t>。</w:t>
      </w:r>
    </w:p>
    <w:p>
      <w:pPr>
        <w:keepNext/>
        <w:keepLines/>
        <w:spacing w:before="120" w:after="120" w:line="336" w:lineRule="auto"/>
        <w:outlineLvl w:val="3"/>
        <w:rPr>
          <w:rFonts w:hint="eastAsia" w:ascii="宋体" w:hAnsi="宋体" w:cs="宋体"/>
          <w:bCs/>
          <w:kern w:val="0"/>
          <w:sz w:val="24"/>
          <w:highlight w:val="none"/>
        </w:rPr>
      </w:pPr>
      <w:r>
        <w:rPr>
          <w:rFonts w:hint="eastAsia" w:ascii="宋体" w:hAnsi="宋体" w:cs="宋体"/>
          <w:bCs/>
          <w:kern w:val="0"/>
          <w:sz w:val="24"/>
          <w:highlight w:val="none"/>
        </w:rPr>
        <w:t>2. 发包人</w:t>
      </w:r>
    </w:p>
    <w:p>
      <w:pPr>
        <w:spacing w:after="120" w:line="336" w:lineRule="auto"/>
        <w:ind w:firstLine="480" w:firstLineChars="200"/>
        <w:outlineLvl w:val="0"/>
        <w:rPr>
          <w:rFonts w:hint="eastAsia" w:ascii="宋体" w:hAnsi="宋体" w:cs="宋体"/>
          <w:sz w:val="24"/>
          <w:highlight w:val="none"/>
        </w:rPr>
      </w:pPr>
      <w:bookmarkStart w:id="62" w:name="_Toc17334"/>
      <w:r>
        <w:rPr>
          <w:rFonts w:hint="eastAsia" w:ascii="宋体" w:hAnsi="宋体" w:cs="宋体"/>
          <w:sz w:val="24"/>
          <w:highlight w:val="none"/>
        </w:rPr>
        <w:t>2.2 发包人代表</w:t>
      </w:r>
      <w:bookmarkEnd w:id="62"/>
    </w:p>
    <w:p>
      <w:pPr>
        <w:spacing w:line="336" w:lineRule="auto"/>
        <w:ind w:firstLine="480" w:firstLineChars="200"/>
        <w:rPr>
          <w:rFonts w:hint="eastAsia" w:ascii="宋体" w:hAnsi="宋体" w:cs="宋体"/>
          <w:sz w:val="24"/>
          <w:highlight w:val="none"/>
        </w:rPr>
      </w:pPr>
      <w:r>
        <w:rPr>
          <w:rFonts w:hint="eastAsia" w:ascii="宋体" w:hAnsi="宋体" w:cs="宋体"/>
          <w:sz w:val="24"/>
          <w:highlight w:val="none"/>
        </w:rPr>
        <w:t>发包人代表：</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336" w:lineRule="auto"/>
        <w:ind w:firstLine="480" w:firstLineChars="200"/>
        <w:rPr>
          <w:rFonts w:hint="eastAsia" w:ascii="宋体" w:hAnsi="宋体" w:cs="宋体"/>
          <w:sz w:val="24"/>
          <w:highlight w:val="none"/>
        </w:rPr>
      </w:pPr>
      <w:r>
        <w:rPr>
          <w:rFonts w:hint="eastAsia" w:ascii="宋体" w:hAnsi="宋体" w:cs="宋体"/>
          <w:sz w:val="24"/>
          <w:highlight w:val="none"/>
        </w:rPr>
        <w:t>姓    名：</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336" w:lineRule="auto"/>
        <w:ind w:firstLine="480" w:firstLineChars="200"/>
        <w:rPr>
          <w:rFonts w:hint="eastAsia" w:ascii="宋体" w:hAnsi="宋体" w:cs="宋体"/>
          <w:sz w:val="24"/>
          <w:highlight w:val="none"/>
        </w:rPr>
      </w:pPr>
      <w:r>
        <w:rPr>
          <w:rFonts w:hint="eastAsia" w:ascii="宋体" w:hAnsi="宋体" w:cs="宋体"/>
          <w:sz w:val="24"/>
          <w:highlight w:val="none"/>
        </w:rPr>
        <w:t>身份证号：</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336" w:lineRule="auto"/>
        <w:ind w:firstLine="480" w:firstLineChars="200"/>
        <w:rPr>
          <w:rFonts w:hint="eastAsia" w:ascii="宋体" w:hAnsi="宋体" w:cs="宋体"/>
          <w:sz w:val="24"/>
          <w:highlight w:val="none"/>
        </w:rPr>
      </w:pPr>
      <w:r>
        <w:rPr>
          <w:rFonts w:hint="eastAsia" w:ascii="宋体" w:hAnsi="宋体" w:cs="宋体"/>
          <w:sz w:val="24"/>
          <w:highlight w:val="none"/>
        </w:rPr>
        <w:t>职    务：</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336" w:lineRule="auto"/>
        <w:ind w:firstLine="480" w:firstLineChars="200"/>
        <w:rPr>
          <w:rFonts w:hint="eastAsia"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336" w:lineRule="auto"/>
        <w:ind w:firstLine="480" w:firstLineChars="200"/>
        <w:rPr>
          <w:rFonts w:hint="eastAsia" w:ascii="宋体" w:hAnsi="宋体" w:cs="宋体"/>
          <w:sz w:val="24"/>
          <w:highlight w:val="none"/>
        </w:rPr>
      </w:pPr>
      <w:r>
        <w:rPr>
          <w:rFonts w:hint="eastAsia" w:ascii="宋体" w:hAnsi="宋体" w:cs="宋体"/>
          <w:sz w:val="24"/>
          <w:highlight w:val="none"/>
        </w:rPr>
        <w:t>电子信箱：</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336" w:lineRule="auto"/>
        <w:ind w:firstLine="480" w:firstLineChars="200"/>
        <w:rPr>
          <w:rFonts w:hint="eastAsia" w:ascii="宋体" w:hAnsi="宋体" w:cs="宋体"/>
          <w:sz w:val="24"/>
          <w:highlight w:val="none"/>
        </w:rPr>
      </w:pPr>
      <w:r>
        <w:rPr>
          <w:rFonts w:hint="eastAsia" w:ascii="宋体" w:hAnsi="宋体" w:cs="宋体"/>
          <w:sz w:val="24"/>
          <w:highlight w:val="none"/>
        </w:rPr>
        <w:t>通信地址：</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336" w:lineRule="auto"/>
        <w:ind w:firstLine="480" w:firstLineChars="200"/>
        <w:rPr>
          <w:rFonts w:hint="eastAsia" w:ascii="宋体" w:hAnsi="宋体" w:cs="宋体"/>
          <w:sz w:val="24"/>
          <w:highlight w:val="none"/>
        </w:rPr>
      </w:pPr>
      <w:r>
        <w:rPr>
          <w:rFonts w:hint="eastAsia" w:ascii="宋体" w:hAnsi="宋体" w:cs="宋体"/>
          <w:sz w:val="24"/>
          <w:highlight w:val="none"/>
        </w:rPr>
        <w:t>发包人对发包人代表的授权范围如下：</w:t>
      </w:r>
      <w:r>
        <w:rPr>
          <w:rFonts w:hint="eastAsia" w:ascii="宋体" w:hAnsi="宋体" w:cs="宋体"/>
          <w:b/>
          <w:bCs/>
          <w:sz w:val="24"/>
          <w:highlight w:val="none"/>
          <w:u w:val="single"/>
        </w:rPr>
        <w:t>依据建设方授权</w:t>
      </w:r>
      <w:r>
        <w:rPr>
          <w:rFonts w:hint="eastAsia" w:ascii="宋体" w:hAnsi="宋体" w:cs="宋体"/>
          <w:sz w:val="24"/>
          <w:highlight w:val="none"/>
        </w:rPr>
        <w:t>。</w:t>
      </w:r>
    </w:p>
    <w:p>
      <w:pPr>
        <w:pStyle w:val="2"/>
        <w:ind w:firstLine="480"/>
        <w:rPr>
          <w:rFonts w:hint="eastAsia" w:cs="宋体"/>
          <w:sz w:val="24"/>
          <w:szCs w:val="24"/>
          <w:highlight w:val="none"/>
        </w:rPr>
      </w:pPr>
      <w:r>
        <w:rPr>
          <w:rFonts w:hint="eastAsia" w:cs="宋体"/>
          <w:sz w:val="24"/>
          <w:szCs w:val="24"/>
          <w:highlight w:val="none"/>
        </w:rPr>
        <w:t>甲方一切业务审批，包括但不限于：对外进行项目招投标、定向任务的招募/分配、入围合作单位/个人的选定、询价采购、资金往来结算、融资、合同签发、工期变更、材料选定等必须以加盖甲方公章作为最终审批通过和支付结算依据，仅有主管部门负责人或其他经办人员签字无效。</w:t>
      </w:r>
    </w:p>
    <w:p>
      <w:pPr>
        <w:spacing w:after="120" w:line="336" w:lineRule="auto"/>
        <w:ind w:firstLine="480" w:firstLineChars="200"/>
        <w:outlineLvl w:val="0"/>
        <w:rPr>
          <w:rFonts w:hint="eastAsia" w:ascii="宋体" w:hAnsi="宋体" w:cs="宋体"/>
          <w:sz w:val="24"/>
          <w:highlight w:val="none"/>
        </w:rPr>
      </w:pPr>
      <w:bookmarkStart w:id="63" w:name="_Toc1194"/>
      <w:r>
        <w:rPr>
          <w:rFonts w:hint="eastAsia" w:ascii="宋体" w:hAnsi="宋体" w:cs="宋体"/>
          <w:sz w:val="24"/>
          <w:highlight w:val="none"/>
        </w:rPr>
        <w:t>2.4 施工现场、施工条件和基础资料的提供</w:t>
      </w:r>
      <w:bookmarkEnd w:id="63"/>
    </w:p>
    <w:p>
      <w:pPr>
        <w:spacing w:line="336" w:lineRule="auto"/>
        <w:ind w:firstLine="480" w:firstLineChars="200"/>
        <w:rPr>
          <w:rFonts w:hint="eastAsia" w:ascii="宋体" w:hAnsi="宋体" w:cs="宋体"/>
          <w:sz w:val="24"/>
          <w:highlight w:val="none"/>
        </w:rPr>
      </w:pPr>
      <w:r>
        <w:rPr>
          <w:rFonts w:hint="eastAsia" w:ascii="宋体" w:hAnsi="宋体" w:cs="宋体"/>
          <w:sz w:val="24"/>
          <w:highlight w:val="none"/>
        </w:rPr>
        <w:t>2.4.1 提供施工现场</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关于发包人移交施工现场的期限要求：</w:t>
      </w:r>
      <w:r>
        <w:rPr>
          <w:rFonts w:hint="eastAsia" w:ascii="宋体" w:hAnsi="宋体" w:cs="宋体"/>
          <w:b/>
          <w:sz w:val="24"/>
          <w:highlight w:val="none"/>
          <w:u w:val="single"/>
        </w:rPr>
        <w:t>开工日期7天前向承包人移交施工现场</w:t>
      </w:r>
      <w:r>
        <w:rPr>
          <w:rFonts w:hint="eastAsia" w:ascii="宋体" w:hAnsi="宋体" w:cs="宋体"/>
          <w:sz w:val="24"/>
          <w:highlight w:val="none"/>
        </w:rPr>
        <w:t>。</w:t>
      </w:r>
    </w:p>
    <w:p>
      <w:pPr>
        <w:spacing w:line="336" w:lineRule="auto"/>
        <w:ind w:firstLine="480" w:firstLineChars="200"/>
        <w:rPr>
          <w:rFonts w:hint="eastAsia" w:ascii="宋体" w:hAnsi="宋体" w:cs="宋体"/>
          <w:sz w:val="24"/>
          <w:highlight w:val="none"/>
        </w:rPr>
      </w:pPr>
      <w:r>
        <w:rPr>
          <w:rFonts w:hint="eastAsia" w:ascii="宋体" w:hAnsi="宋体" w:cs="宋体"/>
          <w:sz w:val="24"/>
          <w:highlight w:val="none"/>
        </w:rPr>
        <w:t>2.4.2 提供施工条件</w:t>
      </w:r>
    </w:p>
    <w:p>
      <w:pPr>
        <w:spacing w:line="336" w:lineRule="auto"/>
        <w:ind w:firstLine="480" w:firstLineChars="200"/>
        <w:rPr>
          <w:rFonts w:hint="eastAsia" w:ascii="宋体" w:hAnsi="宋体" w:cs="宋体"/>
          <w:sz w:val="24"/>
          <w:highlight w:val="none"/>
          <w:u w:val="single"/>
        </w:rPr>
      </w:pPr>
      <w:r>
        <w:rPr>
          <w:rFonts w:hint="eastAsia" w:ascii="宋体" w:hAnsi="宋体" w:cs="宋体"/>
          <w:sz w:val="24"/>
          <w:highlight w:val="none"/>
        </w:rPr>
        <w:t>关于发包人应负责提供施工所需要的条件，包括：</w:t>
      </w:r>
    </w:p>
    <w:p>
      <w:pPr>
        <w:numPr>
          <w:ilvl w:val="0"/>
          <w:numId w:val="10"/>
        </w:numPr>
        <w:spacing w:line="336" w:lineRule="auto"/>
        <w:ind w:firstLine="510" w:firstLineChars="200"/>
        <w:rPr>
          <w:rFonts w:hint="eastAsia" w:ascii="宋体" w:hAnsi="宋体" w:cs="宋体"/>
          <w:b/>
          <w:w w:val="106"/>
          <w:sz w:val="24"/>
          <w:highlight w:val="none"/>
          <w:u w:val="single"/>
        </w:rPr>
      </w:pPr>
      <w:r>
        <w:rPr>
          <w:rFonts w:hint="eastAsia" w:ascii="宋体" w:hAnsi="宋体" w:cs="宋体"/>
          <w:b/>
          <w:w w:val="106"/>
          <w:sz w:val="24"/>
          <w:highlight w:val="none"/>
          <w:u w:val="single"/>
        </w:rPr>
        <w:t>将施工用水、电力、通讯线路等施工所必需的条件接至施工现场内；（</w:t>
      </w:r>
      <w:r>
        <w:rPr>
          <w:rFonts w:hint="eastAsia" w:ascii="宋体" w:hAnsi="宋体" w:cs="宋体"/>
          <w:b/>
          <w:bCs/>
          <w:w w:val="106"/>
          <w:sz w:val="24"/>
          <w:highlight w:val="none"/>
          <w:u w:val="single"/>
        </w:rPr>
        <w:t>已具备</w:t>
      </w:r>
      <w:r>
        <w:rPr>
          <w:rFonts w:hint="eastAsia" w:ascii="宋体" w:hAnsi="宋体" w:cs="宋体"/>
          <w:b/>
          <w:w w:val="106"/>
          <w:sz w:val="24"/>
          <w:highlight w:val="none"/>
          <w:u w:val="single"/>
        </w:rPr>
        <w:t>）</w:t>
      </w:r>
    </w:p>
    <w:p>
      <w:pPr>
        <w:numPr>
          <w:ilvl w:val="0"/>
          <w:numId w:val="10"/>
        </w:numPr>
        <w:spacing w:line="336" w:lineRule="auto"/>
        <w:ind w:firstLine="510" w:firstLineChars="200"/>
        <w:rPr>
          <w:rFonts w:hint="eastAsia" w:ascii="宋体" w:hAnsi="宋体" w:cs="宋体"/>
          <w:b/>
          <w:w w:val="106"/>
          <w:sz w:val="24"/>
          <w:highlight w:val="none"/>
          <w:u w:val="single"/>
        </w:rPr>
      </w:pPr>
      <w:r>
        <w:rPr>
          <w:rFonts w:hint="eastAsia" w:ascii="宋体" w:hAnsi="宋体" w:cs="宋体"/>
          <w:b/>
          <w:w w:val="106"/>
          <w:sz w:val="24"/>
          <w:highlight w:val="none"/>
          <w:u w:val="single"/>
        </w:rPr>
        <w:t>保证向承包人提供正常施工所需要的进入施工现场的交通条件；（</w:t>
      </w:r>
      <w:r>
        <w:rPr>
          <w:rFonts w:hint="eastAsia" w:ascii="宋体" w:hAnsi="宋体" w:cs="宋体"/>
          <w:b/>
          <w:bCs/>
          <w:w w:val="106"/>
          <w:sz w:val="24"/>
          <w:highlight w:val="none"/>
          <w:u w:val="single"/>
        </w:rPr>
        <w:t>开工前开通</w:t>
      </w:r>
      <w:r>
        <w:rPr>
          <w:rFonts w:hint="eastAsia" w:ascii="宋体" w:hAnsi="宋体" w:cs="宋体"/>
          <w:b/>
          <w:w w:val="106"/>
          <w:sz w:val="24"/>
          <w:highlight w:val="none"/>
          <w:u w:val="single"/>
        </w:rPr>
        <w:t>）</w:t>
      </w:r>
    </w:p>
    <w:p>
      <w:pPr>
        <w:spacing w:line="336" w:lineRule="auto"/>
        <w:ind w:firstLine="510" w:firstLineChars="200"/>
        <w:rPr>
          <w:rFonts w:hint="eastAsia" w:ascii="宋体" w:hAnsi="宋体" w:cs="宋体"/>
          <w:sz w:val="24"/>
          <w:highlight w:val="none"/>
          <w:u w:val="single"/>
        </w:rPr>
      </w:pPr>
      <w:r>
        <w:rPr>
          <w:rFonts w:hint="eastAsia" w:ascii="宋体" w:hAnsi="宋体" w:cs="宋体"/>
          <w:b/>
          <w:w w:val="106"/>
          <w:sz w:val="24"/>
          <w:highlight w:val="none"/>
          <w:u w:val="single"/>
        </w:rPr>
        <w:t>（3）协调处理施工现场周围地下管线和邻近建筑物、构筑物、古树名木的保护工作，并承担相关费用；（</w:t>
      </w:r>
      <w:r>
        <w:rPr>
          <w:rFonts w:hint="eastAsia" w:ascii="宋体" w:hAnsi="宋体" w:cs="宋体"/>
          <w:b/>
          <w:bCs/>
          <w:w w:val="106"/>
          <w:sz w:val="24"/>
          <w:highlight w:val="none"/>
          <w:u w:val="single"/>
        </w:rPr>
        <w:t>已完成</w:t>
      </w:r>
      <w:r>
        <w:rPr>
          <w:rFonts w:hint="eastAsia" w:ascii="宋体" w:hAnsi="宋体" w:cs="宋体"/>
          <w:b/>
          <w:w w:val="106"/>
          <w:sz w:val="24"/>
          <w:highlight w:val="none"/>
          <w:u w:val="single"/>
        </w:rPr>
        <w:t>）</w:t>
      </w:r>
      <w:r>
        <w:rPr>
          <w:rFonts w:hint="eastAsia" w:ascii="宋体" w:hAnsi="宋体" w:cs="宋体"/>
          <w:sz w:val="24"/>
          <w:highlight w:val="none"/>
        </w:rPr>
        <w:t>。</w:t>
      </w:r>
    </w:p>
    <w:p>
      <w:pPr>
        <w:spacing w:after="120" w:line="336" w:lineRule="auto"/>
        <w:ind w:firstLine="480" w:firstLineChars="200"/>
        <w:outlineLvl w:val="0"/>
        <w:rPr>
          <w:rFonts w:hint="eastAsia" w:ascii="宋体" w:hAnsi="宋体" w:cs="宋体"/>
          <w:sz w:val="24"/>
          <w:highlight w:val="none"/>
        </w:rPr>
      </w:pPr>
      <w:bookmarkStart w:id="64" w:name="_Toc6772"/>
      <w:r>
        <w:rPr>
          <w:rFonts w:hint="eastAsia" w:ascii="宋体" w:hAnsi="宋体" w:cs="宋体"/>
          <w:sz w:val="24"/>
          <w:highlight w:val="none"/>
        </w:rPr>
        <w:t>2.5 资金来源证明及支付担保</w:t>
      </w:r>
      <w:bookmarkEnd w:id="64"/>
    </w:p>
    <w:p>
      <w:pPr>
        <w:spacing w:line="336" w:lineRule="auto"/>
        <w:ind w:firstLine="480" w:firstLineChars="200"/>
        <w:rPr>
          <w:rFonts w:hint="eastAsia" w:ascii="宋体" w:hAnsi="宋体" w:cs="宋体"/>
          <w:sz w:val="24"/>
          <w:highlight w:val="none"/>
        </w:rPr>
      </w:pPr>
      <w:r>
        <w:rPr>
          <w:rFonts w:hint="eastAsia" w:ascii="宋体" w:hAnsi="宋体" w:cs="宋体"/>
          <w:sz w:val="24"/>
          <w:highlight w:val="none"/>
        </w:rPr>
        <w:t>发包人提供资金来源证明的期限要求：</w:t>
      </w:r>
      <w:r>
        <w:rPr>
          <w:rFonts w:hint="eastAsia" w:ascii="宋体" w:hAnsi="宋体" w:cs="宋体"/>
          <w:sz w:val="24"/>
          <w:highlight w:val="none"/>
          <w:u w:val="single"/>
        </w:rPr>
        <w:t xml:space="preserve">    /           </w:t>
      </w:r>
      <w:r>
        <w:rPr>
          <w:rFonts w:hint="eastAsia" w:ascii="宋体" w:hAnsi="宋体" w:cs="宋体"/>
          <w:sz w:val="24"/>
          <w:highlight w:val="none"/>
        </w:rPr>
        <w:t>。</w:t>
      </w:r>
    </w:p>
    <w:p>
      <w:pPr>
        <w:spacing w:line="336" w:lineRule="auto"/>
        <w:ind w:firstLine="480" w:firstLineChars="200"/>
        <w:rPr>
          <w:rFonts w:hint="eastAsia" w:ascii="宋体" w:hAnsi="宋体" w:cs="宋体"/>
          <w:sz w:val="24"/>
          <w:highlight w:val="none"/>
        </w:rPr>
      </w:pPr>
      <w:r>
        <w:rPr>
          <w:rFonts w:hint="eastAsia" w:ascii="宋体" w:hAnsi="宋体" w:cs="宋体"/>
          <w:sz w:val="24"/>
          <w:highlight w:val="none"/>
        </w:rPr>
        <w:t>发包人是否提供支付担保：</w:t>
      </w:r>
      <w:r>
        <w:rPr>
          <w:rFonts w:hint="eastAsia" w:ascii="宋体" w:hAnsi="宋体" w:cs="宋体"/>
          <w:sz w:val="24"/>
          <w:highlight w:val="none"/>
          <w:u w:val="single"/>
        </w:rPr>
        <w:t xml:space="preserve">        /        </w:t>
      </w:r>
      <w:r>
        <w:rPr>
          <w:rFonts w:hint="eastAsia" w:ascii="宋体" w:hAnsi="宋体" w:cs="宋体"/>
          <w:sz w:val="24"/>
          <w:highlight w:val="none"/>
        </w:rPr>
        <w:t>。</w:t>
      </w:r>
    </w:p>
    <w:p>
      <w:pPr>
        <w:spacing w:line="336" w:lineRule="auto"/>
        <w:ind w:firstLine="480" w:firstLineChars="200"/>
        <w:rPr>
          <w:rFonts w:hint="eastAsia" w:ascii="宋体" w:hAnsi="宋体" w:cs="宋体"/>
          <w:sz w:val="24"/>
          <w:highlight w:val="none"/>
          <w:u w:val="single"/>
        </w:rPr>
      </w:pPr>
      <w:r>
        <w:rPr>
          <w:rFonts w:hint="eastAsia" w:ascii="宋体" w:hAnsi="宋体" w:cs="宋体"/>
          <w:sz w:val="24"/>
          <w:highlight w:val="none"/>
        </w:rPr>
        <w:t>发包人提供支付担保的形式：</w:t>
      </w:r>
      <w:r>
        <w:rPr>
          <w:rFonts w:hint="eastAsia" w:ascii="宋体" w:hAnsi="宋体" w:cs="宋体"/>
          <w:sz w:val="24"/>
          <w:highlight w:val="none"/>
          <w:u w:val="single"/>
        </w:rPr>
        <w:t xml:space="preserve">     /            </w:t>
      </w:r>
      <w:r>
        <w:rPr>
          <w:rFonts w:hint="eastAsia" w:ascii="宋体" w:hAnsi="宋体" w:cs="宋体"/>
          <w:sz w:val="24"/>
          <w:highlight w:val="none"/>
        </w:rPr>
        <w:t>。</w:t>
      </w:r>
    </w:p>
    <w:p>
      <w:pPr>
        <w:keepNext/>
        <w:keepLines/>
        <w:spacing w:before="120" w:after="120" w:line="336" w:lineRule="auto"/>
        <w:outlineLvl w:val="3"/>
        <w:rPr>
          <w:rFonts w:hint="eastAsia" w:ascii="宋体" w:hAnsi="宋体" w:cs="宋体"/>
          <w:bCs/>
          <w:kern w:val="0"/>
          <w:sz w:val="24"/>
          <w:highlight w:val="none"/>
        </w:rPr>
      </w:pPr>
      <w:r>
        <w:rPr>
          <w:rFonts w:hint="eastAsia" w:ascii="宋体" w:hAnsi="宋体" w:cs="宋体"/>
          <w:bCs/>
          <w:kern w:val="0"/>
          <w:sz w:val="24"/>
          <w:highlight w:val="none"/>
        </w:rPr>
        <w:t>3. 承包人</w:t>
      </w:r>
    </w:p>
    <w:p>
      <w:pPr>
        <w:spacing w:after="120" w:line="336" w:lineRule="auto"/>
        <w:ind w:firstLine="480" w:firstLineChars="200"/>
        <w:rPr>
          <w:rFonts w:hint="eastAsia" w:ascii="宋体" w:hAnsi="宋体" w:cs="宋体"/>
          <w:sz w:val="24"/>
          <w:highlight w:val="none"/>
        </w:rPr>
      </w:pPr>
      <w:r>
        <w:rPr>
          <w:rFonts w:hint="eastAsia" w:ascii="宋体" w:hAnsi="宋体" w:cs="宋体"/>
          <w:sz w:val="24"/>
          <w:highlight w:val="none"/>
        </w:rPr>
        <w:t>3.1 承包人的一般义务</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承包人提交的竣工资料的内容：</w:t>
      </w:r>
      <w:r>
        <w:rPr>
          <w:rFonts w:hint="eastAsia" w:ascii="宋体" w:hAnsi="宋体" w:cs="宋体"/>
          <w:b/>
          <w:sz w:val="24"/>
          <w:highlight w:val="none"/>
          <w:u w:val="single"/>
        </w:rPr>
        <w:t xml:space="preserve">按《通用条款》执行 </w:t>
      </w:r>
      <w:r>
        <w:rPr>
          <w:rFonts w:hint="eastAsia" w:ascii="宋体" w:hAnsi="宋体" w:cs="宋体"/>
          <w:sz w:val="24"/>
          <w:highlight w:val="none"/>
        </w:rPr>
        <w:t>。</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承包人需要提交的竣工资料套数：</w:t>
      </w:r>
      <w:r>
        <w:rPr>
          <w:rFonts w:hint="eastAsia" w:ascii="宋体" w:hAnsi="宋体" w:cs="宋体"/>
          <w:b/>
          <w:sz w:val="24"/>
          <w:highlight w:val="none"/>
          <w:u w:val="single"/>
        </w:rPr>
        <w:t>竣工图三套，竣工资料贰套</w:t>
      </w:r>
      <w:r>
        <w:rPr>
          <w:rFonts w:hint="eastAsia" w:ascii="宋体" w:hAnsi="宋体" w:cs="宋体"/>
          <w:sz w:val="24"/>
          <w:highlight w:val="none"/>
        </w:rPr>
        <w:t>。</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承包人提交的竣工资料的费用承担：</w:t>
      </w:r>
      <w:r>
        <w:rPr>
          <w:rFonts w:hint="eastAsia" w:ascii="宋体" w:hAnsi="宋体" w:cs="宋体"/>
          <w:b/>
          <w:sz w:val="24"/>
          <w:highlight w:val="none"/>
          <w:u w:val="single"/>
        </w:rPr>
        <w:t>承包人承担</w:t>
      </w:r>
      <w:r>
        <w:rPr>
          <w:rFonts w:hint="eastAsia" w:ascii="宋体" w:hAnsi="宋体" w:cs="宋体"/>
          <w:sz w:val="24"/>
          <w:highlight w:val="none"/>
        </w:rPr>
        <w:t>。</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承包人提交的竣工资料移交时间：</w:t>
      </w:r>
      <w:r>
        <w:rPr>
          <w:rFonts w:hint="eastAsia" w:ascii="宋体" w:hAnsi="宋体" w:cs="宋体"/>
          <w:b/>
          <w:sz w:val="24"/>
          <w:highlight w:val="none"/>
          <w:u w:val="single"/>
        </w:rPr>
        <w:t>工程竣工验收后10天内</w:t>
      </w:r>
      <w:r>
        <w:rPr>
          <w:rFonts w:hint="eastAsia" w:ascii="宋体" w:hAnsi="宋体" w:cs="宋体"/>
          <w:sz w:val="24"/>
          <w:highlight w:val="none"/>
        </w:rPr>
        <w:t>。</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承包人提交的竣工资料形式要求：</w:t>
      </w:r>
      <w:r>
        <w:rPr>
          <w:rFonts w:hint="eastAsia" w:ascii="宋体" w:hAnsi="宋体" w:cs="宋体"/>
          <w:b/>
          <w:sz w:val="24"/>
          <w:highlight w:val="none"/>
          <w:u w:val="single"/>
        </w:rPr>
        <w:t xml:space="preserve">书面形式 </w:t>
      </w:r>
      <w:r>
        <w:rPr>
          <w:rFonts w:hint="eastAsia" w:ascii="宋体" w:hAnsi="宋体" w:cs="宋体"/>
          <w:sz w:val="24"/>
          <w:highlight w:val="none"/>
        </w:rPr>
        <w:t>。</w:t>
      </w:r>
    </w:p>
    <w:p>
      <w:pPr>
        <w:spacing w:line="336" w:lineRule="auto"/>
        <w:ind w:firstLine="480" w:firstLineChars="200"/>
        <w:rPr>
          <w:rFonts w:hint="eastAsia" w:ascii="宋体" w:hAnsi="宋体" w:cs="宋体"/>
          <w:sz w:val="24"/>
          <w:highlight w:val="none"/>
        </w:rPr>
      </w:pPr>
      <w:r>
        <w:rPr>
          <w:rFonts w:hint="eastAsia" w:ascii="宋体" w:hAnsi="宋体" w:cs="宋体"/>
          <w:kern w:val="0"/>
          <w:sz w:val="24"/>
          <w:highlight w:val="none"/>
        </w:rPr>
        <w:t>承包人应履行的其他义务：</w:t>
      </w:r>
      <w:r>
        <w:rPr>
          <w:rFonts w:hint="eastAsia" w:ascii="宋体" w:hAnsi="宋体" w:cs="宋体"/>
          <w:sz w:val="24"/>
          <w:highlight w:val="none"/>
          <w:u w:val="single"/>
        </w:rPr>
        <w:t xml:space="preserve"> /  </w:t>
      </w:r>
      <w:r>
        <w:rPr>
          <w:rFonts w:hint="eastAsia" w:ascii="宋体" w:hAnsi="宋体" w:cs="宋体"/>
          <w:sz w:val="24"/>
          <w:highlight w:val="none"/>
        </w:rPr>
        <w:t>。</w:t>
      </w:r>
    </w:p>
    <w:p>
      <w:pPr>
        <w:spacing w:after="120" w:line="336" w:lineRule="auto"/>
        <w:ind w:firstLine="480" w:firstLineChars="200"/>
        <w:rPr>
          <w:rFonts w:hint="eastAsia" w:ascii="宋体" w:hAnsi="宋体" w:cs="宋体"/>
          <w:sz w:val="24"/>
          <w:highlight w:val="none"/>
        </w:rPr>
      </w:pPr>
      <w:r>
        <w:rPr>
          <w:rFonts w:hint="eastAsia" w:ascii="宋体" w:hAnsi="宋体" w:cs="宋体"/>
          <w:sz w:val="24"/>
          <w:highlight w:val="none"/>
        </w:rPr>
        <w:t>3.2 项目经理</w:t>
      </w:r>
    </w:p>
    <w:p>
      <w:pPr>
        <w:spacing w:line="336" w:lineRule="auto"/>
        <w:ind w:firstLine="480" w:firstLineChars="200"/>
        <w:rPr>
          <w:rFonts w:hint="eastAsia" w:ascii="宋体" w:hAnsi="宋体" w:cs="宋体"/>
          <w:sz w:val="24"/>
          <w:highlight w:val="none"/>
        </w:rPr>
      </w:pPr>
      <w:r>
        <w:rPr>
          <w:rFonts w:hint="eastAsia" w:ascii="宋体" w:hAnsi="宋体" w:cs="宋体"/>
          <w:kern w:val="0"/>
          <w:sz w:val="24"/>
          <w:highlight w:val="none"/>
        </w:rPr>
        <w:t xml:space="preserve">3.2.1 </w:t>
      </w:r>
      <w:r>
        <w:rPr>
          <w:rFonts w:hint="eastAsia" w:ascii="宋体" w:hAnsi="宋体" w:cs="宋体"/>
          <w:sz w:val="24"/>
          <w:highlight w:val="none"/>
        </w:rPr>
        <w:t>项目经理：</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336" w:lineRule="auto"/>
        <w:ind w:firstLine="480" w:firstLineChars="200"/>
        <w:rPr>
          <w:rFonts w:hint="eastAsia" w:ascii="宋体" w:hAnsi="宋体" w:cs="宋体"/>
          <w:sz w:val="24"/>
          <w:highlight w:val="none"/>
        </w:rPr>
      </w:pPr>
      <w:r>
        <w:rPr>
          <w:rFonts w:hint="eastAsia" w:ascii="宋体" w:hAnsi="宋体" w:cs="宋体"/>
          <w:sz w:val="24"/>
          <w:highlight w:val="none"/>
        </w:rPr>
        <w:t>姓    名：</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336" w:lineRule="auto"/>
        <w:ind w:firstLine="480" w:firstLineChars="200"/>
        <w:rPr>
          <w:rFonts w:hint="eastAsia" w:ascii="宋体" w:hAnsi="宋体" w:cs="宋体"/>
          <w:sz w:val="24"/>
          <w:highlight w:val="none"/>
        </w:rPr>
      </w:pPr>
      <w:r>
        <w:rPr>
          <w:rFonts w:hint="eastAsia" w:ascii="宋体" w:hAnsi="宋体" w:cs="宋体"/>
          <w:sz w:val="24"/>
          <w:highlight w:val="none"/>
        </w:rPr>
        <w:t>身份证号：</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336" w:lineRule="auto"/>
        <w:ind w:firstLine="480" w:firstLineChars="200"/>
        <w:rPr>
          <w:rFonts w:hint="eastAsia" w:ascii="宋体" w:hAnsi="宋体" w:cs="宋体"/>
          <w:sz w:val="24"/>
          <w:highlight w:val="none"/>
        </w:rPr>
      </w:pPr>
      <w:r>
        <w:rPr>
          <w:rFonts w:hint="eastAsia" w:ascii="宋体" w:hAnsi="宋体" w:cs="宋体"/>
          <w:sz w:val="24"/>
          <w:highlight w:val="none"/>
        </w:rPr>
        <w:t>建造师执业资格等级：</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336" w:lineRule="auto"/>
        <w:ind w:firstLine="480" w:firstLineChars="200"/>
        <w:rPr>
          <w:rFonts w:hint="eastAsia" w:ascii="宋体" w:hAnsi="宋体" w:cs="宋体"/>
          <w:sz w:val="24"/>
          <w:highlight w:val="none"/>
        </w:rPr>
      </w:pPr>
      <w:r>
        <w:rPr>
          <w:rFonts w:hint="eastAsia" w:ascii="宋体" w:hAnsi="宋体" w:cs="宋体"/>
          <w:sz w:val="24"/>
          <w:highlight w:val="none"/>
        </w:rPr>
        <w:t>建造师注册证书号：</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336" w:lineRule="auto"/>
        <w:ind w:firstLine="480" w:firstLineChars="200"/>
        <w:rPr>
          <w:rFonts w:hint="eastAsia" w:ascii="宋体" w:hAnsi="宋体" w:cs="宋体"/>
          <w:sz w:val="24"/>
          <w:highlight w:val="none"/>
        </w:rPr>
      </w:pPr>
      <w:r>
        <w:rPr>
          <w:rFonts w:hint="eastAsia" w:ascii="宋体" w:hAnsi="宋体" w:cs="宋体"/>
          <w:sz w:val="24"/>
          <w:highlight w:val="none"/>
        </w:rPr>
        <w:t>建造师执业印章号：</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336" w:lineRule="auto"/>
        <w:ind w:firstLine="480" w:firstLineChars="200"/>
        <w:rPr>
          <w:rFonts w:hint="eastAsia" w:ascii="宋体" w:hAnsi="宋体" w:cs="宋体"/>
          <w:sz w:val="24"/>
          <w:highlight w:val="none"/>
        </w:rPr>
      </w:pPr>
      <w:r>
        <w:rPr>
          <w:rFonts w:hint="eastAsia" w:ascii="宋体" w:hAnsi="宋体" w:cs="宋体"/>
          <w:sz w:val="24"/>
          <w:highlight w:val="none"/>
        </w:rPr>
        <w:t>安全生产考核合格证书号：</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336" w:lineRule="auto"/>
        <w:ind w:firstLine="480" w:firstLineChars="200"/>
        <w:rPr>
          <w:rFonts w:hint="eastAsia"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336" w:lineRule="auto"/>
        <w:ind w:firstLine="480" w:firstLineChars="200"/>
        <w:rPr>
          <w:rFonts w:hint="eastAsia" w:ascii="宋体" w:hAnsi="宋体" w:cs="宋体"/>
          <w:sz w:val="24"/>
          <w:highlight w:val="none"/>
        </w:rPr>
      </w:pPr>
      <w:r>
        <w:rPr>
          <w:rFonts w:hint="eastAsia" w:ascii="宋体" w:hAnsi="宋体" w:cs="宋体"/>
          <w:sz w:val="24"/>
          <w:highlight w:val="none"/>
        </w:rPr>
        <w:t>电子信箱：</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336" w:lineRule="auto"/>
        <w:ind w:firstLine="480" w:firstLineChars="200"/>
        <w:rPr>
          <w:rFonts w:hint="eastAsia" w:ascii="宋体" w:hAnsi="宋体" w:cs="宋体"/>
          <w:sz w:val="24"/>
          <w:highlight w:val="none"/>
        </w:rPr>
      </w:pPr>
      <w:r>
        <w:rPr>
          <w:rFonts w:hint="eastAsia" w:ascii="宋体" w:hAnsi="宋体" w:cs="宋体"/>
          <w:sz w:val="24"/>
          <w:highlight w:val="none"/>
        </w:rPr>
        <w:t>通信地址：</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336" w:lineRule="auto"/>
        <w:ind w:firstLine="480" w:firstLineChars="200"/>
        <w:rPr>
          <w:rFonts w:hint="eastAsia" w:ascii="宋体" w:hAnsi="宋体" w:cs="宋体"/>
          <w:sz w:val="24"/>
          <w:highlight w:val="none"/>
        </w:rPr>
      </w:pPr>
      <w:r>
        <w:rPr>
          <w:rFonts w:hint="eastAsia" w:ascii="宋体" w:hAnsi="宋体" w:cs="宋体"/>
          <w:sz w:val="24"/>
          <w:highlight w:val="none"/>
        </w:rPr>
        <w:t>承包人对项目经理的授权范围如下：</w:t>
      </w:r>
      <w:r>
        <w:rPr>
          <w:rFonts w:hint="eastAsia" w:ascii="宋体" w:hAnsi="宋体" w:cs="宋体"/>
          <w:b/>
          <w:sz w:val="24"/>
          <w:highlight w:val="none"/>
          <w:u w:val="single"/>
        </w:rPr>
        <w:t>施工现场的质量、安全、进度总负责</w:t>
      </w:r>
      <w:r>
        <w:rPr>
          <w:rFonts w:hint="eastAsia" w:ascii="宋体" w:hAnsi="宋体" w:cs="宋体"/>
          <w:sz w:val="24"/>
          <w:highlight w:val="none"/>
        </w:rPr>
        <w:t>。</w:t>
      </w:r>
    </w:p>
    <w:p>
      <w:pPr>
        <w:spacing w:line="336"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关于项目经理每月在施工现场的时间要求：</w:t>
      </w:r>
      <w:r>
        <w:rPr>
          <w:rFonts w:hint="eastAsia" w:ascii="宋体" w:hAnsi="宋体" w:cs="宋体"/>
          <w:b/>
          <w:sz w:val="24"/>
          <w:highlight w:val="none"/>
          <w:u w:val="single"/>
        </w:rPr>
        <w:t>每月出勤均不少于22天</w:t>
      </w:r>
      <w:r>
        <w:rPr>
          <w:rFonts w:hint="eastAsia" w:ascii="宋体" w:hAnsi="宋体" w:cs="宋体"/>
          <w:sz w:val="24"/>
          <w:highlight w:val="none"/>
        </w:rPr>
        <w:t>。</w:t>
      </w:r>
    </w:p>
    <w:p>
      <w:pPr>
        <w:spacing w:line="336"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承包人未提交劳动合同，以及没有为项目经理缴纳社会保险证明的违约责任：</w:t>
      </w:r>
      <w:r>
        <w:rPr>
          <w:rFonts w:hint="eastAsia" w:ascii="宋体" w:hAnsi="宋体" w:cs="宋体"/>
          <w:b/>
          <w:sz w:val="24"/>
          <w:highlight w:val="none"/>
          <w:u w:val="single"/>
        </w:rPr>
        <w:t>发包人有权取消其承包资格，由此增加的费用和（或）延误的工期由承包人承担</w:t>
      </w:r>
      <w:r>
        <w:rPr>
          <w:rFonts w:hint="eastAsia" w:ascii="宋体" w:hAnsi="宋体" w:cs="宋体"/>
          <w:sz w:val="24"/>
          <w:highlight w:val="none"/>
        </w:rPr>
        <w:t>。</w:t>
      </w:r>
    </w:p>
    <w:p>
      <w:pPr>
        <w:spacing w:line="336" w:lineRule="auto"/>
        <w:ind w:firstLine="480" w:firstLineChars="200"/>
        <w:rPr>
          <w:rFonts w:hint="eastAsia" w:ascii="宋体" w:hAnsi="宋体" w:cs="宋体"/>
          <w:sz w:val="24"/>
          <w:highlight w:val="none"/>
          <w:u w:val="single"/>
        </w:rPr>
      </w:pPr>
      <w:r>
        <w:rPr>
          <w:rFonts w:hint="eastAsia" w:ascii="宋体" w:hAnsi="宋体" w:cs="宋体"/>
          <w:kern w:val="0"/>
          <w:sz w:val="24"/>
          <w:highlight w:val="none"/>
        </w:rPr>
        <w:t>项目经理未经批准，擅自离开施工现场的违约责任：</w:t>
      </w:r>
      <w:r>
        <w:rPr>
          <w:rFonts w:hint="eastAsia" w:ascii="宋体" w:hAnsi="宋体" w:cs="宋体"/>
          <w:b/>
          <w:sz w:val="24"/>
          <w:highlight w:val="none"/>
          <w:u w:val="single"/>
        </w:rPr>
        <w:t>按《通用条款》和招标文件执行</w:t>
      </w:r>
      <w:r>
        <w:rPr>
          <w:rFonts w:hint="eastAsia" w:ascii="宋体" w:hAnsi="宋体" w:cs="宋体"/>
          <w:sz w:val="24"/>
          <w:highlight w:val="none"/>
        </w:rPr>
        <w:t>。</w:t>
      </w:r>
    </w:p>
    <w:p>
      <w:pPr>
        <w:spacing w:line="336" w:lineRule="auto"/>
        <w:ind w:firstLine="480" w:firstLineChars="200"/>
        <w:rPr>
          <w:rFonts w:hint="eastAsia" w:ascii="宋体" w:hAnsi="宋体" w:cs="宋体"/>
          <w:b/>
          <w:sz w:val="24"/>
          <w:highlight w:val="none"/>
          <w:u w:val="single"/>
        </w:rPr>
      </w:pPr>
      <w:r>
        <w:rPr>
          <w:rFonts w:hint="eastAsia" w:ascii="宋体" w:hAnsi="宋体" w:cs="宋体"/>
          <w:sz w:val="24"/>
          <w:highlight w:val="none"/>
        </w:rPr>
        <w:t>3.2.3 承包人擅自更换项目经理、技术负责人的违约责任：</w:t>
      </w:r>
      <w:r>
        <w:rPr>
          <w:rFonts w:hint="eastAsia" w:ascii="宋体" w:hAnsi="宋体" w:cs="宋体"/>
          <w:b/>
          <w:sz w:val="24"/>
          <w:highlight w:val="none"/>
          <w:u w:val="single"/>
        </w:rPr>
        <w:t xml:space="preserve">项目负责人、技术负责人不得擅自更换。若承包人擅自更换的，除每人次需支付5万元的违约金外，发包人有权将其作为不良行为记录上报水行政主管部门；情节特别严重的，发包人有权终止合同。在合同工程未通过完工验收或合同解除前，项目负责人、技术负责人确需更换的，应征得发包人同意，并经原项目负责人备案主管部门备案，且更换后的人员不得低于原投标承诺人员所具有的资格和业绩条件并向发包人支付违约金5万元。本条款的项目负责人指中标通知书中载明的项目负责人。 </w:t>
      </w:r>
    </w:p>
    <w:p>
      <w:pPr>
        <w:spacing w:line="336" w:lineRule="auto"/>
        <w:outlineLvl w:val="0"/>
        <w:rPr>
          <w:rFonts w:hint="eastAsia" w:ascii="宋体" w:hAnsi="宋体" w:cs="宋体"/>
          <w:sz w:val="24"/>
          <w:highlight w:val="none"/>
        </w:rPr>
      </w:pPr>
      <w:r>
        <w:rPr>
          <w:rFonts w:hint="eastAsia" w:ascii="宋体" w:hAnsi="宋体" w:cs="宋体"/>
          <w:sz w:val="24"/>
          <w:highlight w:val="none"/>
        </w:rPr>
        <w:t xml:space="preserve">    </w:t>
      </w:r>
      <w:bookmarkStart w:id="65" w:name="_Toc5654"/>
      <w:r>
        <w:rPr>
          <w:rFonts w:hint="eastAsia" w:ascii="宋体" w:hAnsi="宋体" w:cs="宋体"/>
          <w:sz w:val="24"/>
          <w:highlight w:val="none"/>
        </w:rPr>
        <w:t>3.2.4 承包人无正当理由拒绝更换项目经理的违约责任：</w:t>
      </w:r>
      <w:r>
        <w:rPr>
          <w:rFonts w:hint="eastAsia" w:ascii="宋体" w:hAnsi="宋体" w:cs="宋体"/>
          <w:b/>
          <w:sz w:val="24"/>
          <w:highlight w:val="none"/>
          <w:u w:val="single"/>
        </w:rPr>
        <w:t xml:space="preserve">按《通用条款》执行  </w:t>
      </w:r>
      <w:r>
        <w:rPr>
          <w:rFonts w:hint="eastAsia" w:ascii="宋体" w:hAnsi="宋体" w:cs="宋体"/>
          <w:sz w:val="24"/>
          <w:highlight w:val="none"/>
        </w:rPr>
        <w:t>。</w:t>
      </w:r>
      <w:bookmarkEnd w:id="65"/>
    </w:p>
    <w:p>
      <w:pPr>
        <w:spacing w:after="120" w:line="336" w:lineRule="auto"/>
        <w:ind w:firstLine="480" w:firstLineChars="200"/>
        <w:rPr>
          <w:rFonts w:hint="eastAsia" w:ascii="宋体" w:hAnsi="宋体" w:cs="宋体"/>
          <w:sz w:val="24"/>
          <w:highlight w:val="none"/>
        </w:rPr>
      </w:pPr>
      <w:r>
        <w:rPr>
          <w:rFonts w:hint="eastAsia" w:ascii="宋体" w:hAnsi="宋体" w:cs="宋体"/>
          <w:sz w:val="24"/>
          <w:highlight w:val="none"/>
        </w:rPr>
        <w:t>3.3 承包人人员</w:t>
      </w:r>
    </w:p>
    <w:p>
      <w:pPr>
        <w:spacing w:line="336" w:lineRule="auto"/>
        <w:ind w:firstLine="480" w:firstLineChars="200"/>
        <w:rPr>
          <w:rFonts w:hint="eastAsia" w:ascii="宋体" w:hAnsi="宋体" w:cs="宋体"/>
          <w:sz w:val="24"/>
          <w:highlight w:val="none"/>
        </w:rPr>
      </w:pPr>
      <w:r>
        <w:rPr>
          <w:rFonts w:hint="eastAsia" w:ascii="宋体" w:hAnsi="宋体" w:cs="宋体"/>
          <w:sz w:val="24"/>
          <w:highlight w:val="none"/>
        </w:rPr>
        <w:t>3.3.1 承包人提交项目管理机构及施工现场管理人员安排报告的期限：</w:t>
      </w:r>
      <w:r>
        <w:rPr>
          <w:rFonts w:hint="eastAsia" w:ascii="宋体" w:hAnsi="宋体" w:cs="宋体"/>
          <w:b/>
          <w:sz w:val="24"/>
          <w:highlight w:val="none"/>
          <w:u w:val="single"/>
        </w:rPr>
        <w:t>接到开工通知后7天内</w:t>
      </w:r>
      <w:r>
        <w:rPr>
          <w:rFonts w:hint="eastAsia" w:ascii="宋体" w:hAnsi="宋体" w:cs="宋体"/>
          <w:sz w:val="24"/>
          <w:highlight w:val="none"/>
        </w:rPr>
        <w:t>。</w:t>
      </w:r>
    </w:p>
    <w:p>
      <w:pPr>
        <w:spacing w:line="336" w:lineRule="auto"/>
        <w:ind w:firstLine="480" w:firstLineChars="200"/>
        <w:rPr>
          <w:rFonts w:hint="eastAsia" w:ascii="宋体" w:hAnsi="宋体" w:cs="宋体"/>
          <w:sz w:val="24"/>
          <w:highlight w:val="none"/>
        </w:rPr>
      </w:pPr>
      <w:r>
        <w:rPr>
          <w:rFonts w:hint="eastAsia" w:ascii="宋体" w:hAnsi="宋体" w:cs="宋体"/>
          <w:sz w:val="24"/>
          <w:highlight w:val="none"/>
        </w:rPr>
        <w:t>3.3.3 承包人无正当理由拒绝撤换主要施工管理人员的违约责任：</w:t>
      </w:r>
      <w:r>
        <w:rPr>
          <w:rFonts w:hint="eastAsia" w:ascii="宋体" w:hAnsi="宋体" w:cs="宋体"/>
          <w:b/>
          <w:sz w:val="24"/>
          <w:highlight w:val="none"/>
          <w:u w:val="single"/>
        </w:rPr>
        <w:t xml:space="preserve">按《通用条款》执行 </w:t>
      </w:r>
      <w:r>
        <w:rPr>
          <w:rFonts w:hint="eastAsia" w:ascii="宋体" w:hAnsi="宋体" w:cs="宋体"/>
          <w:sz w:val="24"/>
          <w:highlight w:val="none"/>
        </w:rPr>
        <w:t>。</w:t>
      </w:r>
    </w:p>
    <w:p>
      <w:pPr>
        <w:spacing w:line="336" w:lineRule="auto"/>
        <w:ind w:firstLine="480" w:firstLineChars="200"/>
        <w:rPr>
          <w:rFonts w:hint="eastAsia" w:ascii="宋体" w:hAnsi="宋体" w:cs="宋体"/>
          <w:sz w:val="24"/>
          <w:highlight w:val="none"/>
          <w:u w:val="single"/>
        </w:rPr>
      </w:pPr>
      <w:r>
        <w:rPr>
          <w:rFonts w:hint="eastAsia" w:ascii="宋体" w:hAnsi="宋体" w:cs="宋体"/>
          <w:sz w:val="24"/>
          <w:highlight w:val="none"/>
        </w:rPr>
        <w:t>3.3.4 承包人主要施工管理人员离开施工现场的批准要求：</w:t>
      </w:r>
      <w:r>
        <w:rPr>
          <w:rFonts w:hint="eastAsia" w:ascii="宋体" w:hAnsi="宋体" w:cs="宋体"/>
          <w:b/>
          <w:sz w:val="24"/>
          <w:highlight w:val="none"/>
          <w:u w:val="single"/>
        </w:rPr>
        <w:t xml:space="preserve">按《通用条款》执行  </w:t>
      </w:r>
      <w:r>
        <w:rPr>
          <w:rFonts w:hint="eastAsia" w:ascii="宋体" w:hAnsi="宋体" w:cs="宋体"/>
          <w:sz w:val="24"/>
          <w:highlight w:val="none"/>
        </w:rPr>
        <w:t>。</w:t>
      </w:r>
    </w:p>
    <w:p>
      <w:pPr>
        <w:spacing w:line="336" w:lineRule="auto"/>
        <w:ind w:firstLine="480" w:firstLineChars="200"/>
        <w:rPr>
          <w:rFonts w:hint="eastAsia" w:ascii="宋体" w:hAnsi="宋体" w:cs="宋体"/>
          <w:b/>
          <w:sz w:val="24"/>
          <w:highlight w:val="none"/>
          <w:u w:val="single"/>
        </w:rPr>
      </w:pPr>
      <w:r>
        <w:rPr>
          <w:rFonts w:hint="eastAsia" w:ascii="宋体" w:hAnsi="宋体" w:cs="宋体"/>
          <w:sz w:val="24"/>
          <w:highlight w:val="none"/>
        </w:rPr>
        <w:t>3.3.5承包人擅自更换主要施工管理人员的违约责任：</w:t>
      </w:r>
      <w:r>
        <w:rPr>
          <w:rFonts w:hint="eastAsia" w:ascii="宋体" w:hAnsi="宋体" w:cs="宋体"/>
          <w:b/>
          <w:sz w:val="24"/>
          <w:highlight w:val="none"/>
          <w:u w:val="single"/>
        </w:rPr>
        <w:t>承包人的安全员、质量员、施工员、专职安全生产管理人员等人员擅自调换每人次需支付违约金3万元。违约金在工程进度款中扣除。</w:t>
      </w:r>
    </w:p>
    <w:p>
      <w:pPr>
        <w:spacing w:line="336" w:lineRule="auto"/>
        <w:ind w:firstLine="480" w:firstLineChars="200"/>
        <w:rPr>
          <w:rFonts w:hint="eastAsia" w:ascii="宋体" w:hAnsi="宋体" w:cs="宋体"/>
          <w:sz w:val="24"/>
          <w:highlight w:val="none"/>
        </w:rPr>
      </w:pPr>
      <w:r>
        <w:rPr>
          <w:rFonts w:hint="eastAsia" w:ascii="宋体" w:hAnsi="宋体" w:cs="宋体"/>
          <w:sz w:val="24"/>
          <w:highlight w:val="none"/>
        </w:rPr>
        <w:t>承包人主要施工管理人员擅自离开施工现场的违约责任：</w:t>
      </w:r>
      <w:r>
        <w:rPr>
          <w:rFonts w:hint="eastAsia" w:ascii="宋体" w:hAnsi="宋体" w:cs="宋体"/>
          <w:b/>
          <w:sz w:val="24"/>
          <w:highlight w:val="none"/>
          <w:u w:val="single"/>
        </w:rPr>
        <w:t>工程项目管理班子人员每月出勤均不少于22天，若缺勤或擅自离岗，则项目经理、技术负责人、五大员分别按1000元/天、500元/天、200元/天向发包人支付违约金</w:t>
      </w:r>
      <w:r>
        <w:rPr>
          <w:rFonts w:hint="eastAsia" w:ascii="宋体" w:hAnsi="宋体" w:cs="宋体"/>
          <w:sz w:val="24"/>
          <w:highlight w:val="none"/>
        </w:rPr>
        <w:t>。</w:t>
      </w:r>
    </w:p>
    <w:p>
      <w:pPr>
        <w:spacing w:after="120" w:line="336" w:lineRule="auto"/>
        <w:ind w:firstLine="480" w:firstLineChars="200"/>
        <w:rPr>
          <w:rFonts w:hint="eastAsia" w:ascii="宋体" w:hAnsi="宋体" w:cs="宋体"/>
          <w:sz w:val="24"/>
          <w:highlight w:val="none"/>
        </w:rPr>
      </w:pPr>
      <w:r>
        <w:rPr>
          <w:rFonts w:hint="eastAsia" w:ascii="宋体" w:hAnsi="宋体" w:cs="宋体"/>
          <w:sz w:val="24"/>
          <w:highlight w:val="none"/>
        </w:rPr>
        <w:t>3.5 分包</w:t>
      </w:r>
    </w:p>
    <w:p>
      <w:pPr>
        <w:spacing w:line="336" w:lineRule="auto"/>
        <w:ind w:firstLine="480" w:firstLineChars="200"/>
        <w:rPr>
          <w:rFonts w:hint="eastAsia" w:ascii="宋体" w:hAnsi="宋体" w:cs="宋体"/>
          <w:sz w:val="24"/>
          <w:highlight w:val="none"/>
        </w:rPr>
      </w:pPr>
      <w:r>
        <w:rPr>
          <w:rFonts w:hint="eastAsia" w:ascii="宋体" w:hAnsi="宋体" w:cs="宋体"/>
          <w:sz w:val="24"/>
          <w:highlight w:val="none"/>
        </w:rPr>
        <w:t>3.5.1 分包的一般约定</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禁止分包的工程包括：</w:t>
      </w:r>
      <w:r>
        <w:rPr>
          <w:rFonts w:hint="eastAsia" w:ascii="宋体" w:hAnsi="宋体" w:cs="宋体"/>
          <w:b/>
          <w:bCs/>
          <w:sz w:val="24"/>
          <w:highlight w:val="none"/>
          <w:u w:val="single"/>
        </w:rPr>
        <w:t xml:space="preserve">   /   </w:t>
      </w:r>
      <w:r>
        <w:rPr>
          <w:rFonts w:hint="eastAsia" w:ascii="宋体" w:hAnsi="宋体" w:cs="宋体"/>
          <w:sz w:val="24"/>
          <w:highlight w:val="none"/>
        </w:rPr>
        <w:t>。</w:t>
      </w:r>
    </w:p>
    <w:p>
      <w:pPr>
        <w:spacing w:line="336" w:lineRule="auto"/>
        <w:ind w:firstLine="480" w:firstLineChars="200"/>
        <w:jc w:val="left"/>
        <w:rPr>
          <w:rFonts w:hint="eastAsia" w:ascii="宋体" w:hAnsi="宋体" w:cs="宋体"/>
          <w:sz w:val="24"/>
          <w:highlight w:val="none"/>
          <w:u w:val="single"/>
        </w:rPr>
      </w:pPr>
      <w:r>
        <w:rPr>
          <w:rFonts w:hint="eastAsia" w:ascii="宋体" w:hAnsi="宋体" w:cs="宋体"/>
          <w:sz w:val="24"/>
          <w:highlight w:val="none"/>
        </w:rPr>
        <w:t>主体结构、关键性工作的范围：</w:t>
      </w:r>
      <w:r>
        <w:rPr>
          <w:rFonts w:hint="eastAsia" w:ascii="宋体" w:hAnsi="宋体" w:cs="宋体"/>
          <w:sz w:val="24"/>
          <w:highlight w:val="none"/>
          <w:u w:val="single"/>
        </w:rPr>
        <w:t xml:space="preserve">        /       </w:t>
      </w:r>
      <w:r>
        <w:rPr>
          <w:rFonts w:hint="eastAsia" w:ascii="宋体" w:hAnsi="宋体" w:cs="宋体"/>
          <w:sz w:val="24"/>
          <w:highlight w:val="none"/>
        </w:rPr>
        <w:t>。</w:t>
      </w:r>
    </w:p>
    <w:p>
      <w:pPr>
        <w:spacing w:line="336" w:lineRule="auto"/>
        <w:rPr>
          <w:rFonts w:hint="eastAsia" w:ascii="宋体" w:hAnsi="宋体" w:cs="宋体"/>
          <w:sz w:val="24"/>
          <w:highlight w:val="none"/>
        </w:rPr>
      </w:pPr>
      <w:r>
        <w:rPr>
          <w:rFonts w:hint="eastAsia" w:ascii="宋体" w:hAnsi="宋体" w:cs="宋体"/>
          <w:sz w:val="24"/>
          <w:highlight w:val="none"/>
        </w:rPr>
        <w:t xml:space="preserve">    3.5.2分包的确定</w:t>
      </w:r>
    </w:p>
    <w:p>
      <w:pPr>
        <w:spacing w:line="336" w:lineRule="auto"/>
        <w:ind w:firstLine="480" w:firstLineChars="200"/>
        <w:rPr>
          <w:rFonts w:hint="eastAsia" w:ascii="宋体" w:hAnsi="宋体" w:cs="宋体"/>
          <w:sz w:val="24"/>
          <w:highlight w:val="none"/>
          <w:u w:val="single"/>
        </w:rPr>
      </w:pPr>
      <w:r>
        <w:rPr>
          <w:rFonts w:hint="eastAsia" w:ascii="宋体" w:hAnsi="宋体" w:cs="宋体"/>
          <w:sz w:val="24"/>
          <w:highlight w:val="none"/>
        </w:rPr>
        <w:t>允许分包的专业工程包括：</w:t>
      </w:r>
      <w:r>
        <w:rPr>
          <w:rFonts w:hint="eastAsia" w:ascii="宋体" w:hAnsi="宋体" w:cs="宋体"/>
          <w:b/>
          <w:bCs/>
          <w:sz w:val="24"/>
          <w:highlight w:val="none"/>
          <w:u w:val="single"/>
        </w:rPr>
        <w:t>不允许分包</w:t>
      </w:r>
      <w:r>
        <w:rPr>
          <w:rFonts w:hint="eastAsia" w:ascii="宋体" w:hAnsi="宋体" w:cs="宋体"/>
          <w:sz w:val="24"/>
          <w:highlight w:val="none"/>
        </w:rPr>
        <w:t>。</w:t>
      </w:r>
    </w:p>
    <w:p>
      <w:pPr>
        <w:spacing w:line="336" w:lineRule="auto"/>
        <w:ind w:firstLine="480" w:firstLineChars="200"/>
        <w:rPr>
          <w:rFonts w:hint="eastAsia" w:ascii="宋体" w:hAnsi="宋体" w:cs="宋体"/>
          <w:sz w:val="24"/>
          <w:highlight w:val="none"/>
        </w:rPr>
      </w:pPr>
      <w:r>
        <w:rPr>
          <w:rFonts w:hint="eastAsia" w:ascii="宋体" w:hAnsi="宋体" w:cs="宋体"/>
          <w:sz w:val="24"/>
          <w:highlight w:val="none"/>
        </w:rPr>
        <w:t>其他关于分包的约定：</w:t>
      </w:r>
      <w:r>
        <w:rPr>
          <w:rFonts w:hint="eastAsia" w:ascii="宋体" w:hAnsi="宋体" w:cs="宋体"/>
          <w:sz w:val="24"/>
          <w:highlight w:val="none"/>
          <w:u w:val="single"/>
        </w:rPr>
        <w:t xml:space="preserve">              /             </w:t>
      </w:r>
      <w:r>
        <w:rPr>
          <w:rFonts w:hint="eastAsia" w:ascii="宋体" w:hAnsi="宋体" w:cs="宋体"/>
          <w:sz w:val="24"/>
          <w:highlight w:val="none"/>
        </w:rPr>
        <w:t>。</w:t>
      </w:r>
    </w:p>
    <w:p>
      <w:pPr>
        <w:spacing w:line="336" w:lineRule="auto"/>
        <w:ind w:firstLine="480" w:firstLineChars="200"/>
        <w:rPr>
          <w:rFonts w:hint="eastAsia" w:ascii="宋体" w:hAnsi="宋体" w:cs="宋体"/>
          <w:sz w:val="24"/>
          <w:highlight w:val="none"/>
        </w:rPr>
      </w:pPr>
      <w:r>
        <w:rPr>
          <w:rFonts w:hint="eastAsia" w:ascii="宋体" w:hAnsi="宋体" w:cs="宋体"/>
          <w:sz w:val="24"/>
          <w:highlight w:val="none"/>
        </w:rPr>
        <w:t>3.5.4 分包合同价款</w:t>
      </w:r>
    </w:p>
    <w:p>
      <w:pPr>
        <w:spacing w:line="336" w:lineRule="auto"/>
        <w:ind w:firstLine="480" w:firstLineChars="200"/>
        <w:rPr>
          <w:rFonts w:hint="eastAsia" w:ascii="宋体" w:hAnsi="宋体" w:cs="宋体"/>
          <w:sz w:val="24"/>
          <w:highlight w:val="none"/>
        </w:rPr>
      </w:pPr>
      <w:r>
        <w:rPr>
          <w:rFonts w:hint="eastAsia" w:ascii="宋体" w:hAnsi="宋体" w:cs="宋体"/>
          <w:sz w:val="24"/>
          <w:highlight w:val="none"/>
        </w:rPr>
        <w:t>关于分包合同价款支付的约定：</w:t>
      </w:r>
      <w:r>
        <w:rPr>
          <w:rFonts w:hint="eastAsia" w:ascii="宋体" w:hAnsi="宋体" w:cs="宋体"/>
          <w:sz w:val="24"/>
          <w:highlight w:val="none"/>
          <w:u w:val="single"/>
        </w:rPr>
        <w:t xml:space="preserve">      /                </w:t>
      </w:r>
      <w:r>
        <w:rPr>
          <w:rFonts w:hint="eastAsia" w:ascii="宋体" w:hAnsi="宋体" w:cs="宋体"/>
          <w:sz w:val="24"/>
          <w:highlight w:val="none"/>
        </w:rPr>
        <w:t>。</w:t>
      </w:r>
    </w:p>
    <w:p>
      <w:pPr>
        <w:spacing w:after="120" w:line="336" w:lineRule="auto"/>
        <w:ind w:firstLine="480" w:firstLineChars="200"/>
        <w:rPr>
          <w:rFonts w:hint="eastAsia" w:ascii="宋体" w:hAnsi="宋体" w:cs="宋体"/>
          <w:sz w:val="24"/>
          <w:highlight w:val="none"/>
        </w:rPr>
      </w:pPr>
      <w:r>
        <w:rPr>
          <w:rFonts w:hint="eastAsia" w:ascii="宋体" w:hAnsi="宋体" w:cs="宋体"/>
          <w:sz w:val="24"/>
          <w:highlight w:val="none"/>
        </w:rPr>
        <w:t>3.6 工程照管与成品、半成品保护</w:t>
      </w:r>
    </w:p>
    <w:p>
      <w:pPr>
        <w:spacing w:before="120" w:after="120" w:line="336" w:lineRule="auto"/>
        <w:ind w:firstLine="480" w:firstLineChars="200"/>
        <w:rPr>
          <w:rFonts w:hint="eastAsia" w:ascii="宋体" w:hAnsi="宋体" w:cs="宋体"/>
          <w:kern w:val="0"/>
          <w:sz w:val="24"/>
          <w:highlight w:val="none"/>
          <w:u w:val="single"/>
        </w:rPr>
      </w:pPr>
      <w:r>
        <w:rPr>
          <w:rFonts w:hint="eastAsia" w:ascii="宋体" w:hAnsi="宋体" w:cs="宋体"/>
          <w:kern w:val="0"/>
          <w:sz w:val="24"/>
          <w:highlight w:val="none"/>
        </w:rPr>
        <w:t>承包人负责照管工程及工程相关的材料、工程设备的起始时间：</w:t>
      </w:r>
      <w:r>
        <w:rPr>
          <w:rFonts w:hint="eastAsia" w:ascii="宋体" w:hAnsi="宋体" w:cs="宋体"/>
          <w:b/>
          <w:sz w:val="24"/>
          <w:highlight w:val="none"/>
          <w:u w:val="single"/>
        </w:rPr>
        <w:t>本工程在竣工验收未交付使用前，承包范围内的已完成工程，由承包人采取措施负责保护，保护费用由承包人承担</w:t>
      </w:r>
      <w:r>
        <w:rPr>
          <w:rFonts w:hint="eastAsia" w:ascii="宋体" w:hAnsi="宋体" w:cs="宋体"/>
          <w:kern w:val="0"/>
          <w:sz w:val="24"/>
          <w:highlight w:val="none"/>
        </w:rPr>
        <w:t>。</w:t>
      </w:r>
    </w:p>
    <w:p>
      <w:pPr>
        <w:spacing w:after="120" w:line="336" w:lineRule="auto"/>
        <w:ind w:firstLine="480" w:firstLineChars="200"/>
        <w:rPr>
          <w:rFonts w:hint="eastAsia" w:ascii="宋体" w:hAnsi="宋体" w:cs="宋体"/>
          <w:sz w:val="24"/>
          <w:highlight w:val="none"/>
        </w:rPr>
      </w:pPr>
      <w:r>
        <w:rPr>
          <w:rFonts w:hint="eastAsia" w:ascii="宋体" w:hAnsi="宋体" w:cs="宋体"/>
          <w:sz w:val="24"/>
          <w:highlight w:val="none"/>
        </w:rPr>
        <w:t>3.7 履约担保</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承包人是否提供履约担保：</w:t>
      </w:r>
      <w:r>
        <w:rPr>
          <w:rFonts w:hint="eastAsia" w:ascii="宋体" w:hAnsi="宋体" w:cs="宋体"/>
          <w:sz w:val="24"/>
          <w:highlight w:val="none"/>
          <w:u w:val="single"/>
        </w:rPr>
        <w:t xml:space="preserve">            是                  </w:t>
      </w:r>
      <w:r>
        <w:rPr>
          <w:rFonts w:hint="eastAsia" w:ascii="宋体" w:hAnsi="宋体" w:cs="宋体"/>
          <w:sz w:val="24"/>
          <w:highlight w:val="none"/>
        </w:rPr>
        <w:t>。</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承包人提供履约担保的形式、金额及期限的：</w:t>
      </w:r>
      <w:r>
        <w:rPr>
          <w:rFonts w:hint="eastAsia" w:ascii="宋体" w:hAnsi="宋体" w:cs="宋体"/>
          <w:b/>
          <w:sz w:val="24"/>
          <w:highlight w:val="none"/>
          <w:u w:val="single"/>
        </w:rPr>
        <w:t xml:space="preserve">在中标通知书送达之日算起的15个工作日内，承包人提交中标价1%的履约保证金，承包人以银行转账或保函或保单的方式向发包人提供履约担保。其中工程质量保证金占45%、工期保证金占10%、安全文明施工保证金占10%、项目管理班子到位率保证金占35%。履约保证金在工程竣工验收合格后15天内扣除各项违约金后无息退还。保函或保单形式：保函或保单有效期须至项目竣工验收合格，若期间保函或保单失效，由承包人在保函或保单失效前重新办理，有效期须至项目竣工验收合格。  </w:t>
      </w:r>
    </w:p>
    <w:p>
      <w:pPr>
        <w:keepNext/>
        <w:keepLines/>
        <w:spacing w:before="120" w:after="120" w:line="336" w:lineRule="auto"/>
        <w:outlineLvl w:val="3"/>
        <w:rPr>
          <w:rFonts w:hint="eastAsia" w:ascii="宋体" w:hAnsi="宋体" w:cs="宋体"/>
          <w:bCs/>
          <w:kern w:val="0"/>
          <w:sz w:val="24"/>
          <w:highlight w:val="none"/>
        </w:rPr>
      </w:pPr>
      <w:r>
        <w:rPr>
          <w:rFonts w:hint="eastAsia" w:ascii="宋体" w:hAnsi="宋体" w:cs="宋体"/>
          <w:bCs/>
          <w:kern w:val="0"/>
          <w:sz w:val="24"/>
          <w:highlight w:val="none"/>
        </w:rPr>
        <w:t>4. 监理人</w:t>
      </w:r>
    </w:p>
    <w:p>
      <w:pPr>
        <w:spacing w:after="120" w:line="336" w:lineRule="auto"/>
        <w:ind w:firstLine="480" w:firstLineChars="200"/>
        <w:rPr>
          <w:rFonts w:hint="eastAsia" w:ascii="宋体" w:hAnsi="宋体" w:cs="宋体"/>
          <w:sz w:val="24"/>
          <w:highlight w:val="none"/>
        </w:rPr>
      </w:pPr>
      <w:r>
        <w:rPr>
          <w:rFonts w:hint="eastAsia" w:ascii="宋体" w:hAnsi="宋体" w:cs="宋体"/>
          <w:sz w:val="24"/>
          <w:highlight w:val="none"/>
        </w:rPr>
        <w:t>4.1监理人的一般规定</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关于监理人的监理内容：</w:t>
      </w:r>
      <w:r>
        <w:rPr>
          <w:rFonts w:hint="eastAsia" w:ascii="宋体" w:hAnsi="宋体" w:cs="宋体"/>
          <w:b/>
          <w:sz w:val="24"/>
          <w:highlight w:val="none"/>
          <w:u w:val="single"/>
        </w:rPr>
        <w:t>本工程所有施工内容</w:t>
      </w:r>
      <w:r>
        <w:rPr>
          <w:rFonts w:hint="eastAsia" w:ascii="宋体" w:hAnsi="宋体" w:cs="宋体"/>
          <w:sz w:val="24"/>
          <w:highlight w:val="none"/>
        </w:rPr>
        <w:t>。</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关于监理人的监理权限：</w:t>
      </w:r>
      <w:r>
        <w:rPr>
          <w:rFonts w:hint="eastAsia" w:ascii="宋体" w:hAnsi="宋体" w:cs="宋体"/>
          <w:b/>
          <w:sz w:val="24"/>
          <w:highlight w:val="none"/>
          <w:u w:val="single"/>
        </w:rPr>
        <w:t>按建设工程监理合同要求执行</w:t>
      </w:r>
      <w:r>
        <w:rPr>
          <w:rFonts w:hint="eastAsia" w:ascii="宋体" w:hAnsi="宋体" w:cs="宋体"/>
          <w:sz w:val="24"/>
          <w:highlight w:val="none"/>
        </w:rPr>
        <w:t xml:space="preserve">。 </w:t>
      </w:r>
    </w:p>
    <w:p>
      <w:pPr>
        <w:spacing w:line="336" w:lineRule="auto"/>
        <w:ind w:firstLine="480" w:firstLineChars="200"/>
        <w:rPr>
          <w:rFonts w:hint="eastAsia" w:ascii="宋体" w:hAnsi="宋体" w:cs="宋体"/>
          <w:sz w:val="24"/>
          <w:highlight w:val="none"/>
        </w:rPr>
      </w:pPr>
      <w:r>
        <w:rPr>
          <w:rFonts w:hint="eastAsia" w:ascii="宋体" w:hAnsi="宋体" w:cs="宋体"/>
          <w:sz w:val="24"/>
          <w:highlight w:val="none"/>
        </w:rPr>
        <w:t>关于监理人在施工现场的办公场所、生活场所的提供和费用承担的约定：</w:t>
      </w:r>
      <w:r>
        <w:rPr>
          <w:rFonts w:hint="eastAsia" w:ascii="宋体" w:hAnsi="宋体" w:cs="宋体"/>
          <w:b/>
          <w:sz w:val="24"/>
          <w:highlight w:val="none"/>
          <w:u w:val="single"/>
        </w:rPr>
        <w:t xml:space="preserve">/ </w:t>
      </w:r>
      <w:r>
        <w:rPr>
          <w:rFonts w:hint="eastAsia" w:ascii="宋体" w:hAnsi="宋体" w:cs="宋体"/>
          <w:sz w:val="24"/>
          <w:highlight w:val="none"/>
        </w:rPr>
        <w:t>。</w:t>
      </w:r>
    </w:p>
    <w:p>
      <w:pPr>
        <w:spacing w:after="120" w:line="336" w:lineRule="auto"/>
        <w:ind w:firstLine="480" w:firstLineChars="200"/>
        <w:rPr>
          <w:rFonts w:hint="eastAsia" w:ascii="宋体" w:hAnsi="宋体" w:cs="宋体"/>
          <w:sz w:val="24"/>
          <w:highlight w:val="none"/>
        </w:rPr>
      </w:pPr>
      <w:r>
        <w:rPr>
          <w:rFonts w:hint="eastAsia" w:ascii="宋体" w:hAnsi="宋体" w:cs="宋体"/>
          <w:sz w:val="24"/>
          <w:highlight w:val="none"/>
        </w:rPr>
        <w:t>4.2 监理人员</w:t>
      </w:r>
    </w:p>
    <w:p>
      <w:pPr>
        <w:spacing w:line="336" w:lineRule="auto"/>
        <w:ind w:firstLine="480" w:firstLineChars="200"/>
        <w:rPr>
          <w:rFonts w:hint="eastAsia" w:ascii="宋体" w:hAnsi="宋体" w:cs="宋体"/>
          <w:sz w:val="24"/>
          <w:highlight w:val="none"/>
        </w:rPr>
      </w:pPr>
      <w:r>
        <w:rPr>
          <w:rFonts w:hint="eastAsia" w:ascii="宋体" w:hAnsi="宋体" w:cs="宋体"/>
          <w:sz w:val="24"/>
          <w:highlight w:val="none"/>
        </w:rPr>
        <w:t>总监理工程师：</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336" w:lineRule="auto"/>
        <w:ind w:firstLine="480" w:firstLineChars="200"/>
        <w:rPr>
          <w:rFonts w:hint="eastAsia" w:ascii="宋体" w:hAnsi="宋体" w:cs="宋体"/>
          <w:sz w:val="24"/>
          <w:highlight w:val="none"/>
        </w:rPr>
      </w:pPr>
      <w:r>
        <w:rPr>
          <w:rFonts w:hint="eastAsia" w:ascii="宋体" w:hAnsi="宋体" w:cs="宋体"/>
          <w:sz w:val="24"/>
          <w:highlight w:val="none"/>
        </w:rPr>
        <w:t>姓    名：</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336" w:lineRule="auto"/>
        <w:ind w:firstLine="480" w:firstLineChars="200"/>
        <w:rPr>
          <w:rFonts w:hint="eastAsia" w:ascii="宋体" w:hAnsi="宋体" w:cs="宋体"/>
          <w:sz w:val="24"/>
          <w:highlight w:val="none"/>
        </w:rPr>
      </w:pPr>
      <w:r>
        <w:rPr>
          <w:rFonts w:hint="eastAsia" w:ascii="宋体" w:hAnsi="宋体" w:cs="宋体"/>
          <w:sz w:val="24"/>
          <w:highlight w:val="none"/>
        </w:rPr>
        <w:t>职    务：</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336" w:lineRule="auto"/>
        <w:ind w:firstLine="480" w:firstLineChars="200"/>
        <w:rPr>
          <w:rFonts w:hint="eastAsia" w:ascii="宋体" w:hAnsi="宋体" w:cs="宋体"/>
          <w:sz w:val="24"/>
          <w:highlight w:val="none"/>
        </w:rPr>
      </w:pPr>
      <w:r>
        <w:rPr>
          <w:rFonts w:hint="eastAsia" w:ascii="宋体" w:hAnsi="宋体" w:cs="宋体"/>
          <w:sz w:val="24"/>
          <w:highlight w:val="none"/>
        </w:rPr>
        <w:t>监理工程师执业资格证书号：</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336" w:lineRule="auto"/>
        <w:ind w:firstLine="480" w:firstLineChars="200"/>
        <w:rPr>
          <w:rFonts w:hint="eastAsia"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336" w:lineRule="auto"/>
        <w:ind w:firstLine="480" w:firstLineChars="200"/>
        <w:rPr>
          <w:rFonts w:hint="eastAsia" w:ascii="宋体" w:hAnsi="宋体" w:cs="宋体"/>
          <w:sz w:val="24"/>
          <w:highlight w:val="none"/>
        </w:rPr>
      </w:pPr>
      <w:r>
        <w:rPr>
          <w:rFonts w:hint="eastAsia" w:ascii="宋体" w:hAnsi="宋体" w:cs="宋体"/>
          <w:sz w:val="24"/>
          <w:highlight w:val="none"/>
        </w:rPr>
        <w:t>电子信箱：</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336" w:lineRule="auto"/>
        <w:ind w:firstLine="480" w:firstLineChars="200"/>
        <w:rPr>
          <w:rFonts w:hint="eastAsia" w:ascii="宋体" w:hAnsi="宋体" w:cs="宋体"/>
          <w:sz w:val="24"/>
          <w:highlight w:val="none"/>
        </w:rPr>
      </w:pPr>
      <w:r>
        <w:rPr>
          <w:rFonts w:hint="eastAsia" w:ascii="宋体" w:hAnsi="宋体" w:cs="宋体"/>
          <w:sz w:val="24"/>
          <w:highlight w:val="none"/>
        </w:rPr>
        <w:t>通信地址：</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336" w:lineRule="auto"/>
        <w:ind w:firstLine="480" w:firstLineChars="200"/>
        <w:rPr>
          <w:rFonts w:hint="eastAsia" w:ascii="宋体" w:hAnsi="宋体" w:cs="宋体"/>
          <w:sz w:val="24"/>
          <w:highlight w:val="none"/>
        </w:rPr>
      </w:pPr>
      <w:r>
        <w:rPr>
          <w:rFonts w:hint="eastAsia" w:ascii="宋体" w:hAnsi="宋体" w:cs="宋体"/>
          <w:sz w:val="24"/>
          <w:highlight w:val="none"/>
        </w:rPr>
        <w:t>关于监理人的其他约定：</w:t>
      </w:r>
      <w:r>
        <w:rPr>
          <w:rFonts w:hint="eastAsia" w:ascii="宋体" w:hAnsi="宋体" w:cs="宋体"/>
          <w:sz w:val="24"/>
          <w:highlight w:val="none"/>
          <w:u w:val="single"/>
        </w:rPr>
        <w:t xml:space="preserve">             </w:t>
      </w:r>
      <w:r>
        <w:rPr>
          <w:rFonts w:hint="eastAsia" w:ascii="宋体" w:hAnsi="宋体" w:cs="宋体"/>
          <w:sz w:val="24"/>
          <w:highlight w:val="none"/>
        </w:rPr>
        <w:t>；</w:t>
      </w:r>
    </w:p>
    <w:p>
      <w:pPr>
        <w:spacing w:after="120" w:line="336" w:lineRule="auto"/>
        <w:ind w:firstLine="480" w:firstLineChars="200"/>
        <w:rPr>
          <w:rFonts w:hint="eastAsia" w:ascii="宋体" w:hAnsi="宋体" w:cs="宋体"/>
          <w:sz w:val="24"/>
          <w:highlight w:val="none"/>
        </w:rPr>
      </w:pPr>
      <w:r>
        <w:rPr>
          <w:rFonts w:hint="eastAsia" w:ascii="宋体" w:hAnsi="宋体" w:cs="宋体"/>
          <w:sz w:val="24"/>
          <w:highlight w:val="none"/>
        </w:rPr>
        <w:t>4.4 商定或确定</w:t>
      </w:r>
    </w:p>
    <w:p>
      <w:pPr>
        <w:spacing w:line="336" w:lineRule="auto"/>
        <w:ind w:firstLine="480" w:firstLineChars="200"/>
        <w:rPr>
          <w:rFonts w:hint="eastAsia" w:ascii="宋体" w:hAnsi="宋体" w:cs="宋体"/>
          <w:sz w:val="24"/>
          <w:highlight w:val="none"/>
        </w:rPr>
      </w:pPr>
      <w:r>
        <w:rPr>
          <w:rFonts w:hint="eastAsia" w:ascii="宋体" w:hAnsi="宋体" w:cs="宋体"/>
          <w:sz w:val="24"/>
          <w:highlight w:val="none"/>
        </w:rPr>
        <w:t>在发包人和承包人不能通过协商达成一致意见时，发包人授权监理人对以下事项进行确定：</w:t>
      </w:r>
    </w:p>
    <w:p>
      <w:pPr>
        <w:autoSpaceDE w:val="0"/>
        <w:autoSpaceDN w:val="0"/>
        <w:adjustRightInd w:val="0"/>
        <w:spacing w:line="336"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sz w:val="24"/>
          <w:highlight w:val="none"/>
          <w:u w:val="single"/>
        </w:rPr>
        <w:t xml:space="preserve">              /                     </w:t>
      </w:r>
      <w:r>
        <w:rPr>
          <w:rFonts w:hint="eastAsia" w:ascii="宋体" w:hAnsi="宋体" w:cs="宋体"/>
          <w:sz w:val="24"/>
          <w:highlight w:val="none"/>
        </w:rPr>
        <w:t>；</w:t>
      </w:r>
    </w:p>
    <w:p>
      <w:pPr>
        <w:autoSpaceDE w:val="0"/>
        <w:autoSpaceDN w:val="0"/>
        <w:adjustRightInd w:val="0"/>
        <w:spacing w:line="336"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（2）</w:t>
      </w:r>
      <w:r>
        <w:rPr>
          <w:rFonts w:hint="eastAsia" w:ascii="宋体" w:hAnsi="宋体" w:cs="宋体"/>
          <w:sz w:val="24"/>
          <w:highlight w:val="none"/>
          <w:u w:val="single"/>
        </w:rPr>
        <w:t xml:space="preserve">              /                     </w:t>
      </w:r>
      <w:r>
        <w:rPr>
          <w:rFonts w:hint="eastAsia" w:ascii="宋体" w:hAnsi="宋体" w:cs="宋体"/>
          <w:sz w:val="24"/>
          <w:highlight w:val="none"/>
        </w:rPr>
        <w:t>；</w:t>
      </w:r>
    </w:p>
    <w:p>
      <w:pPr>
        <w:autoSpaceDE w:val="0"/>
        <w:autoSpaceDN w:val="0"/>
        <w:adjustRightInd w:val="0"/>
        <w:spacing w:line="336"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（3）</w:t>
      </w:r>
      <w:r>
        <w:rPr>
          <w:rFonts w:hint="eastAsia" w:ascii="宋体" w:hAnsi="宋体" w:cs="宋体"/>
          <w:sz w:val="24"/>
          <w:highlight w:val="none"/>
          <w:u w:val="single"/>
        </w:rPr>
        <w:t xml:space="preserve">              /                     </w:t>
      </w:r>
      <w:r>
        <w:rPr>
          <w:rFonts w:hint="eastAsia" w:ascii="宋体" w:hAnsi="宋体" w:cs="宋体"/>
          <w:sz w:val="24"/>
          <w:highlight w:val="none"/>
        </w:rPr>
        <w:t>。</w:t>
      </w:r>
    </w:p>
    <w:p>
      <w:pPr>
        <w:keepNext/>
        <w:keepLines/>
        <w:spacing w:before="120" w:after="120" w:line="336" w:lineRule="auto"/>
        <w:outlineLvl w:val="3"/>
        <w:rPr>
          <w:rFonts w:hint="eastAsia" w:ascii="宋体" w:hAnsi="宋体" w:cs="宋体"/>
          <w:bCs/>
          <w:kern w:val="0"/>
          <w:sz w:val="24"/>
          <w:highlight w:val="none"/>
        </w:rPr>
      </w:pPr>
      <w:r>
        <w:rPr>
          <w:rFonts w:hint="eastAsia" w:ascii="宋体" w:hAnsi="宋体" w:cs="宋体"/>
          <w:bCs/>
          <w:kern w:val="0"/>
          <w:sz w:val="24"/>
          <w:highlight w:val="none"/>
        </w:rPr>
        <w:t>5. 工程质量</w:t>
      </w:r>
    </w:p>
    <w:p>
      <w:pPr>
        <w:spacing w:after="120" w:line="336" w:lineRule="auto"/>
        <w:ind w:firstLine="480" w:firstLineChars="200"/>
        <w:outlineLvl w:val="0"/>
        <w:rPr>
          <w:rFonts w:hint="eastAsia" w:ascii="宋体" w:hAnsi="宋体" w:cs="宋体"/>
          <w:sz w:val="24"/>
          <w:highlight w:val="none"/>
        </w:rPr>
      </w:pPr>
      <w:bookmarkStart w:id="66" w:name="_Toc22365"/>
      <w:r>
        <w:rPr>
          <w:rFonts w:hint="eastAsia" w:ascii="宋体" w:hAnsi="宋体" w:cs="宋体"/>
          <w:sz w:val="24"/>
          <w:highlight w:val="none"/>
        </w:rPr>
        <w:t>5.1 质量要求</w:t>
      </w:r>
      <w:bookmarkEnd w:id="66"/>
    </w:p>
    <w:p>
      <w:pPr>
        <w:tabs>
          <w:tab w:val="left" w:pos="3780"/>
        </w:tabs>
        <w:spacing w:line="336" w:lineRule="auto"/>
        <w:ind w:firstLine="480" w:firstLineChars="200"/>
        <w:jc w:val="left"/>
        <w:rPr>
          <w:rFonts w:hint="eastAsia" w:ascii="宋体" w:hAnsi="宋体" w:cs="宋体"/>
          <w:b/>
          <w:sz w:val="24"/>
          <w:highlight w:val="none"/>
          <w:u w:val="single"/>
        </w:rPr>
      </w:pPr>
      <w:r>
        <w:rPr>
          <w:rFonts w:hint="eastAsia" w:ascii="宋体" w:hAnsi="宋体" w:cs="宋体"/>
          <w:sz w:val="24"/>
          <w:highlight w:val="none"/>
        </w:rPr>
        <w:t>5.1.1 特殊质量标准和要求：</w:t>
      </w:r>
      <w:r>
        <w:rPr>
          <w:rFonts w:hint="eastAsia" w:ascii="宋体" w:hAnsi="宋体" w:cs="宋体"/>
          <w:b/>
          <w:sz w:val="24"/>
          <w:highlight w:val="none"/>
          <w:u w:val="single"/>
        </w:rPr>
        <w:t>当初验不合格，承包人必须无条件进行整改，整改后仍达不到合格验收标准，承包人将按100%的质量保证金计向发包人支付违约金，并无条件整改直至合格，同时工期不予顺延。</w:t>
      </w:r>
    </w:p>
    <w:p>
      <w:pPr>
        <w:tabs>
          <w:tab w:val="left" w:pos="3780"/>
        </w:tabs>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5.1.3甲方有权委托具有相应资质的第三方检测机构对相关分项工程实体质量进行抽检，如检测不合格，由乙方承担相应检测费用，由乙方返工直至达到合格标准，并自行承担返工费用，如有重大质量问题、发生重大安全事故或给甲方造成任何负面影响的，甲方有权对乙方进行处罚，处罚金额甲方根据问题严重情况按施工合同价的1％或以上计扣，同时乙方还应对有关损失继续承担赔偿责任。</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关于工程奖项的约定：</w:t>
      </w:r>
      <w:r>
        <w:rPr>
          <w:rFonts w:hint="eastAsia" w:ascii="宋体" w:hAnsi="宋体" w:cs="宋体"/>
          <w:sz w:val="24"/>
          <w:highlight w:val="none"/>
          <w:u w:val="single"/>
        </w:rPr>
        <w:t xml:space="preserve">              /          </w:t>
      </w:r>
      <w:r>
        <w:rPr>
          <w:rFonts w:hint="eastAsia" w:ascii="宋体" w:hAnsi="宋体" w:cs="宋体"/>
          <w:sz w:val="24"/>
          <w:highlight w:val="none"/>
        </w:rPr>
        <w:t>。</w:t>
      </w:r>
    </w:p>
    <w:p>
      <w:pPr>
        <w:spacing w:after="120" w:line="336" w:lineRule="auto"/>
        <w:ind w:firstLine="480" w:firstLineChars="200"/>
        <w:outlineLvl w:val="0"/>
        <w:rPr>
          <w:rFonts w:hint="eastAsia" w:ascii="宋体" w:hAnsi="宋体" w:cs="宋体"/>
          <w:sz w:val="24"/>
          <w:highlight w:val="none"/>
        </w:rPr>
      </w:pPr>
      <w:bookmarkStart w:id="67" w:name="_Toc30066"/>
      <w:r>
        <w:rPr>
          <w:rFonts w:hint="eastAsia" w:ascii="宋体" w:hAnsi="宋体" w:cs="宋体"/>
          <w:sz w:val="24"/>
          <w:highlight w:val="none"/>
        </w:rPr>
        <w:t>5.3 隐蔽工程检查</w:t>
      </w:r>
      <w:bookmarkEnd w:id="67"/>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5.3.2承包人提前通知监理人隐蔽工程检查的期限的约定：</w:t>
      </w:r>
      <w:r>
        <w:rPr>
          <w:rFonts w:hint="eastAsia" w:ascii="宋体" w:hAnsi="宋体" w:cs="宋体"/>
          <w:b/>
          <w:sz w:val="24"/>
          <w:highlight w:val="none"/>
          <w:u w:val="single"/>
        </w:rPr>
        <w:t>48小时</w:t>
      </w:r>
      <w:r>
        <w:rPr>
          <w:rFonts w:hint="eastAsia" w:ascii="宋体" w:hAnsi="宋体" w:cs="宋体"/>
          <w:sz w:val="24"/>
          <w:highlight w:val="none"/>
        </w:rPr>
        <w:t>。</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监理人不能按时进行检查时，应提前</w:t>
      </w:r>
      <w:r>
        <w:rPr>
          <w:rFonts w:hint="eastAsia" w:ascii="宋体" w:hAnsi="宋体" w:cs="宋体"/>
          <w:b/>
          <w:sz w:val="24"/>
          <w:highlight w:val="none"/>
          <w:u w:val="single"/>
        </w:rPr>
        <w:t>24小</w:t>
      </w:r>
      <w:r>
        <w:rPr>
          <w:rFonts w:hint="eastAsia" w:ascii="宋体" w:hAnsi="宋体" w:cs="宋体"/>
          <w:sz w:val="24"/>
          <w:highlight w:val="none"/>
        </w:rPr>
        <w:t>时提交书面延期要求。</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关于延期最长不得超过：</w:t>
      </w:r>
      <w:r>
        <w:rPr>
          <w:rFonts w:hint="eastAsia" w:ascii="宋体" w:hAnsi="宋体" w:cs="宋体"/>
          <w:b/>
          <w:sz w:val="24"/>
          <w:highlight w:val="none"/>
          <w:u w:val="single"/>
        </w:rPr>
        <w:t xml:space="preserve">48   </w:t>
      </w:r>
      <w:r>
        <w:rPr>
          <w:rFonts w:hint="eastAsia" w:ascii="宋体" w:hAnsi="宋体" w:cs="宋体"/>
          <w:sz w:val="24"/>
          <w:highlight w:val="none"/>
        </w:rPr>
        <w:t>小时。</w:t>
      </w:r>
    </w:p>
    <w:p>
      <w:pPr>
        <w:keepNext/>
        <w:keepLines/>
        <w:spacing w:before="120" w:after="120" w:line="336" w:lineRule="auto"/>
        <w:outlineLvl w:val="3"/>
        <w:rPr>
          <w:rFonts w:hint="eastAsia" w:ascii="宋体" w:hAnsi="宋体" w:cs="宋体"/>
          <w:bCs/>
          <w:kern w:val="0"/>
          <w:sz w:val="24"/>
          <w:highlight w:val="none"/>
        </w:rPr>
      </w:pPr>
      <w:r>
        <w:rPr>
          <w:rFonts w:hint="eastAsia" w:ascii="宋体" w:hAnsi="宋体" w:cs="宋体"/>
          <w:bCs/>
          <w:kern w:val="0"/>
          <w:sz w:val="24"/>
          <w:highlight w:val="none"/>
        </w:rPr>
        <w:t>6. 安全文明施工与环境保护</w:t>
      </w:r>
    </w:p>
    <w:p>
      <w:pPr>
        <w:spacing w:after="120" w:line="336" w:lineRule="auto"/>
        <w:ind w:firstLine="480" w:firstLineChars="200"/>
        <w:rPr>
          <w:rFonts w:hint="eastAsia" w:ascii="宋体" w:hAnsi="宋体" w:cs="宋体"/>
          <w:sz w:val="24"/>
          <w:highlight w:val="none"/>
        </w:rPr>
      </w:pPr>
      <w:r>
        <w:rPr>
          <w:rFonts w:hint="eastAsia" w:ascii="宋体" w:hAnsi="宋体" w:cs="宋体"/>
          <w:sz w:val="24"/>
          <w:highlight w:val="none"/>
        </w:rPr>
        <w:t>6.1安全文明施工</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6.1.1 项目安全生产的达标目标及相应事项的约定：</w:t>
      </w:r>
      <w:r>
        <w:rPr>
          <w:rFonts w:hint="eastAsia" w:ascii="宋体" w:hAnsi="宋体" w:cs="宋体"/>
          <w:b/>
          <w:sz w:val="24"/>
          <w:highlight w:val="none"/>
          <w:u w:val="single"/>
        </w:rPr>
        <w:t>承包人必须按金华市政府及国家有关文件规定实行安全文明施工，工程竣工时必须做到工完场清、料清、障清，若违反安全文明施工方面的有关规定，发包人有权从安全文明施工保证金及工程款中扣除相应的实际费用</w:t>
      </w:r>
      <w:r>
        <w:rPr>
          <w:rFonts w:hint="eastAsia" w:ascii="宋体" w:hAnsi="宋体" w:cs="宋体"/>
          <w:sz w:val="24"/>
          <w:highlight w:val="none"/>
        </w:rPr>
        <w:t>。</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6.1.4 关于治安保卫的特别约定：</w:t>
      </w:r>
      <w:r>
        <w:rPr>
          <w:rFonts w:hint="eastAsia" w:ascii="宋体" w:hAnsi="宋体" w:cs="宋体"/>
          <w:b/>
          <w:sz w:val="24"/>
          <w:highlight w:val="none"/>
          <w:u w:val="single"/>
        </w:rPr>
        <w:t>按《通用条款》执行</w:t>
      </w:r>
      <w:r>
        <w:rPr>
          <w:rFonts w:hint="eastAsia" w:ascii="宋体" w:hAnsi="宋体" w:cs="宋体"/>
          <w:sz w:val="24"/>
          <w:highlight w:val="none"/>
        </w:rPr>
        <w:t>。</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关于编制施工场地治安管理计划的约定：</w:t>
      </w:r>
      <w:r>
        <w:rPr>
          <w:rFonts w:hint="eastAsia" w:ascii="宋体" w:hAnsi="宋体" w:cs="宋体"/>
          <w:b/>
          <w:sz w:val="24"/>
          <w:highlight w:val="none"/>
          <w:u w:val="single"/>
        </w:rPr>
        <w:t>按《通用条款》执行</w:t>
      </w:r>
      <w:r>
        <w:rPr>
          <w:rFonts w:hint="eastAsia" w:ascii="宋体" w:hAnsi="宋体" w:cs="宋体"/>
          <w:sz w:val="24"/>
          <w:highlight w:val="none"/>
        </w:rPr>
        <w:t>。</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6.1.5 文明施工</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合同当事人对文明施工的要求：</w:t>
      </w:r>
      <w:r>
        <w:rPr>
          <w:rFonts w:hint="eastAsia" w:ascii="宋体" w:hAnsi="宋体" w:cs="宋体"/>
          <w:b/>
          <w:sz w:val="24"/>
          <w:highlight w:val="none"/>
          <w:u w:val="single"/>
        </w:rPr>
        <w:t>承包人必须按金华市政府及国家有关文件规定实行安全文明施工，工程竣工时必须做到工完场清、料清、障清，若违反安全文明施工方面的有关规定，发包人有权从安全文明施工保证金及工程款中扣除相应发生的实际费用</w:t>
      </w:r>
      <w:r>
        <w:rPr>
          <w:rFonts w:hint="eastAsia" w:ascii="宋体" w:hAnsi="宋体" w:cs="宋体"/>
          <w:sz w:val="24"/>
          <w:highlight w:val="none"/>
        </w:rPr>
        <w:t>。</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6.1.6 关于安全文明施工费支付比例和支付期限的约定：</w:t>
      </w:r>
      <w:r>
        <w:rPr>
          <w:rFonts w:hint="eastAsia" w:ascii="宋体" w:hAnsi="宋体" w:cs="宋体"/>
          <w:sz w:val="24"/>
          <w:highlight w:val="none"/>
          <w:u w:val="single"/>
        </w:rPr>
        <w:t xml:space="preserve"> / </w:t>
      </w:r>
      <w:r>
        <w:rPr>
          <w:rFonts w:hint="eastAsia" w:ascii="宋体" w:hAnsi="宋体" w:cs="宋体"/>
          <w:sz w:val="24"/>
          <w:highlight w:val="none"/>
        </w:rPr>
        <w:t>。</w:t>
      </w:r>
    </w:p>
    <w:p>
      <w:pPr>
        <w:keepNext/>
        <w:keepLines/>
        <w:spacing w:before="120" w:after="120" w:line="336" w:lineRule="auto"/>
        <w:outlineLvl w:val="3"/>
        <w:rPr>
          <w:rFonts w:hint="eastAsia" w:ascii="宋体" w:hAnsi="宋体" w:cs="宋体"/>
          <w:bCs/>
          <w:kern w:val="0"/>
          <w:sz w:val="24"/>
          <w:highlight w:val="none"/>
        </w:rPr>
      </w:pPr>
      <w:r>
        <w:rPr>
          <w:rFonts w:hint="eastAsia" w:ascii="宋体" w:hAnsi="宋体" w:cs="宋体"/>
          <w:bCs/>
          <w:kern w:val="0"/>
          <w:sz w:val="24"/>
          <w:highlight w:val="none"/>
        </w:rPr>
        <w:t>7. 工期和进度</w:t>
      </w:r>
    </w:p>
    <w:p>
      <w:pPr>
        <w:spacing w:after="120" w:line="336" w:lineRule="auto"/>
        <w:ind w:firstLine="480" w:firstLineChars="200"/>
        <w:rPr>
          <w:rFonts w:hint="eastAsia" w:ascii="宋体" w:hAnsi="宋体" w:cs="宋体"/>
          <w:sz w:val="24"/>
          <w:highlight w:val="none"/>
        </w:rPr>
      </w:pPr>
      <w:r>
        <w:rPr>
          <w:rFonts w:hint="eastAsia" w:ascii="宋体" w:hAnsi="宋体" w:cs="宋体"/>
          <w:sz w:val="24"/>
          <w:highlight w:val="none"/>
        </w:rPr>
        <w:t>7.1 施工组织设计</w:t>
      </w:r>
    </w:p>
    <w:p>
      <w:pPr>
        <w:autoSpaceDE w:val="0"/>
        <w:autoSpaceDN w:val="0"/>
        <w:adjustRightInd w:val="0"/>
        <w:spacing w:line="336" w:lineRule="auto"/>
        <w:ind w:firstLine="480" w:firstLineChars="200"/>
        <w:jc w:val="left"/>
        <w:rPr>
          <w:rFonts w:hint="eastAsia" w:ascii="宋体" w:hAnsi="宋体" w:cs="宋体"/>
          <w:kern w:val="0"/>
          <w:sz w:val="24"/>
          <w:highlight w:val="none"/>
        </w:rPr>
      </w:pPr>
      <w:r>
        <w:rPr>
          <w:rFonts w:hint="eastAsia" w:ascii="宋体" w:hAnsi="宋体" w:cs="宋体"/>
          <w:sz w:val="24"/>
          <w:highlight w:val="none"/>
        </w:rPr>
        <w:t>7.1.1 合</w:t>
      </w:r>
      <w:r>
        <w:rPr>
          <w:rFonts w:hint="eastAsia" w:ascii="宋体" w:hAnsi="宋体" w:cs="宋体"/>
          <w:kern w:val="0"/>
          <w:sz w:val="24"/>
          <w:highlight w:val="none"/>
        </w:rPr>
        <w:t>同当事人约定的施工组织设计应包括的其他内容：</w:t>
      </w:r>
      <w:r>
        <w:rPr>
          <w:rFonts w:hint="eastAsia" w:ascii="宋体" w:hAnsi="宋体" w:cs="宋体"/>
          <w:b/>
          <w:sz w:val="24"/>
          <w:highlight w:val="none"/>
          <w:u w:val="single"/>
        </w:rPr>
        <w:t>按《通用条款》执行</w:t>
      </w:r>
      <w:r>
        <w:rPr>
          <w:rFonts w:hint="eastAsia" w:ascii="宋体" w:hAnsi="宋体" w:cs="宋体"/>
          <w:sz w:val="24"/>
          <w:highlight w:val="none"/>
        </w:rPr>
        <w:t>。</w:t>
      </w:r>
    </w:p>
    <w:p>
      <w:pPr>
        <w:autoSpaceDE w:val="0"/>
        <w:autoSpaceDN w:val="0"/>
        <w:adjustRightInd w:val="0"/>
        <w:spacing w:line="336" w:lineRule="auto"/>
        <w:ind w:firstLine="480" w:firstLineChars="200"/>
        <w:jc w:val="left"/>
        <w:rPr>
          <w:rFonts w:hint="eastAsia" w:ascii="宋体" w:hAnsi="宋体" w:cs="宋体"/>
          <w:kern w:val="0"/>
          <w:sz w:val="24"/>
          <w:highlight w:val="none"/>
        </w:rPr>
      </w:pPr>
      <w:r>
        <w:rPr>
          <w:rFonts w:hint="eastAsia" w:ascii="宋体" w:hAnsi="宋体" w:cs="宋体"/>
          <w:sz w:val="24"/>
          <w:highlight w:val="none"/>
        </w:rPr>
        <w:t xml:space="preserve">7.1.2 </w:t>
      </w:r>
      <w:r>
        <w:rPr>
          <w:rFonts w:hint="eastAsia" w:ascii="宋体" w:hAnsi="宋体" w:cs="宋体"/>
          <w:kern w:val="0"/>
          <w:sz w:val="24"/>
          <w:highlight w:val="none"/>
        </w:rPr>
        <w:t>施工组织设计的提交和修改</w:t>
      </w:r>
    </w:p>
    <w:p>
      <w:pPr>
        <w:autoSpaceDE w:val="0"/>
        <w:autoSpaceDN w:val="0"/>
        <w:adjustRightInd w:val="0"/>
        <w:spacing w:line="336" w:lineRule="auto"/>
        <w:ind w:firstLine="480" w:firstLineChars="200"/>
        <w:jc w:val="left"/>
        <w:rPr>
          <w:rFonts w:hint="eastAsia" w:ascii="宋体" w:hAnsi="宋体" w:cs="宋体"/>
          <w:sz w:val="24"/>
          <w:highlight w:val="none"/>
        </w:rPr>
      </w:pPr>
      <w:r>
        <w:rPr>
          <w:rFonts w:hint="eastAsia" w:ascii="宋体" w:hAnsi="宋体" w:cs="宋体"/>
          <w:kern w:val="0"/>
          <w:sz w:val="24"/>
          <w:highlight w:val="none"/>
        </w:rPr>
        <w:t>承包人提交详细施工组织设计的期限的约定：</w:t>
      </w:r>
      <w:r>
        <w:rPr>
          <w:rFonts w:hint="eastAsia" w:ascii="宋体" w:hAnsi="宋体" w:cs="宋体"/>
          <w:b/>
          <w:sz w:val="24"/>
          <w:highlight w:val="none"/>
          <w:u w:val="single"/>
        </w:rPr>
        <w:t>在合同签订后叁天内提供修正的施工组织设计和根据合同工期拟定的进度计划，上报项目总监理工程师和发包人工程师审核</w:t>
      </w:r>
      <w:r>
        <w:rPr>
          <w:rFonts w:hint="eastAsia" w:ascii="宋体" w:hAnsi="宋体" w:cs="宋体"/>
          <w:b/>
          <w:sz w:val="24"/>
          <w:highlight w:val="none"/>
        </w:rPr>
        <w:t>。</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发包人和监理人在收到详细的施工组织设计后确认或提出修改意见的期限：</w:t>
      </w:r>
      <w:r>
        <w:rPr>
          <w:rFonts w:hint="eastAsia" w:ascii="宋体" w:hAnsi="宋体" w:cs="宋体"/>
          <w:b/>
          <w:sz w:val="24"/>
          <w:highlight w:val="none"/>
          <w:u w:val="single"/>
        </w:rPr>
        <w:t xml:space="preserve">七天内提出审查意见 </w:t>
      </w:r>
      <w:r>
        <w:rPr>
          <w:rFonts w:hint="eastAsia" w:ascii="宋体" w:hAnsi="宋体" w:cs="宋体"/>
          <w:sz w:val="24"/>
          <w:highlight w:val="none"/>
        </w:rPr>
        <w:t>。</w:t>
      </w:r>
    </w:p>
    <w:p>
      <w:pPr>
        <w:spacing w:after="120" w:line="336" w:lineRule="auto"/>
        <w:ind w:firstLine="480" w:firstLineChars="200"/>
        <w:rPr>
          <w:rFonts w:hint="eastAsia" w:ascii="宋体" w:hAnsi="宋体" w:cs="宋体"/>
          <w:sz w:val="24"/>
          <w:highlight w:val="none"/>
        </w:rPr>
      </w:pPr>
      <w:r>
        <w:rPr>
          <w:rFonts w:hint="eastAsia" w:ascii="宋体" w:hAnsi="宋体" w:cs="宋体"/>
          <w:sz w:val="24"/>
          <w:highlight w:val="none"/>
        </w:rPr>
        <w:t>7.2 施工进度计划</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7.2.2 施工进度计划的修订</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发包人和监理人在收到修订的施工进度计划后确认或提出修改意见的期限：</w:t>
      </w:r>
      <w:r>
        <w:rPr>
          <w:rFonts w:hint="eastAsia" w:ascii="宋体" w:hAnsi="宋体" w:cs="宋体"/>
          <w:b/>
          <w:sz w:val="24"/>
          <w:highlight w:val="none"/>
          <w:u w:val="single"/>
        </w:rPr>
        <w:t>接到施工进度计划表后七天内确认</w:t>
      </w:r>
      <w:r>
        <w:rPr>
          <w:rFonts w:hint="eastAsia" w:ascii="宋体" w:hAnsi="宋体" w:cs="宋体"/>
          <w:sz w:val="24"/>
          <w:highlight w:val="none"/>
        </w:rPr>
        <w:t>。</w:t>
      </w:r>
    </w:p>
    <w:p>
      <w:pPr>
        <w:spacing w:after="120" w:line="336" w:lineRule="auto"/>
        <w:ind w:firstLine="480" w:firstLineChars="200"/>
        <w:rPr>
          <w:rFonts w:hint="eastAsia" w:ascii="宋体" w:hAnsi="宋体" w:cs="宋体"/>
          <w:sz w:val="24"/>
          <w:highlight w:val="none"/>
        </w:rPr>
      </w:pPr>
      <w:r>
        <w:rPr>
          <w:rFonts w:hint="eastAsia" w:ascii="宋体" w:hAnsi="宋体" w:cs="宋体"/>
          <w:sz w:val="24"/>
          <w:highlight w:val="none"/>
        </w:rPr>
        <w:t>7.3 开工</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7.3.1 开工准备</w:t>
      </w:r>
    </w:p>
    <w:p>
      <w:pPr>
        <w:spacing w:line="336" w:lineRule="auto"/>
        <w:ind w:firstLine="480" w:firstLineChars="200"/>
        <w:jc w:val="left"/>
        <w:rPr>
          <w:rFonts w:hint="eastAsia" w:ascii="宋体" w:hAnsi="宋体" w:cs="宋体"/>
          <w:sz w:val="24"/>
          <w:highlight w:val="none"/>
          <w:u w:val="single"/>
        </w:rPr>
      </w:pPr>
      <w:r>
        <w:rPr>
          <w:rFonts w:hint="eastAsia" w:ascii="宋体" w:hAnsi="宋体" w:cs="宋体"/>
          <w:sz w:val="24"/>
          <w:highlight w:val="none"/>
        </w:rPr>
        <w:t>关于承包人提交</w:t>
      </w:r>
      <w:r>
        <w:rPr>
          <w:rFonts w:hint="eastAsia" w:ascii="宋体" w:hAnsi="宋体" w:cs="宋体"/>
          <w:kern w:val="0"/>
          <w:sz w:val="24"/>
          <w:highlight w:val="none"/>
        </w:rPr>
        <w:t>工程开工报审表的期限：</w:t>
      </w:r>
      <w:r>
        <w:rPr>
          <w:rFonts w:hint="eastAsia" w:ascii="宋体" w:hAnsi="宋体" w:cs="宋体"/>
          <w:b/>
          <w:sz w:val="24"/>
          <w:highlight w:val="none"/>
          <w:u w:val="single"/>
        </w:rPr>
        <w:t>开工前七天</w:t>
      </w:r>
      <w:r>
        <w:rPr>
          <w:rFonts w:hint="eastAsia" w:ascii="宋体" w:hAnsi="宋体" w:cs="宋体"/>
          <w:sz w:val="24"/>
          <w:highlight w:val="none"/>
        </w:rPr>
        <w:t>。</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关于发包人应完成的其他开工准备工作及期限：</w:t>
      </w:r>
      <w:r>
        <w:rPr>
          <w:rFonts w:hint="eastAsia" w:ascii="宋体" w:hAnsi="宋体" w:cs="宋体"/>
          <w:b/>
          <w:sz w:val="24"/>
          <w:highlight w:val="none"/>
          <w:u w:val="single"/>
        </w:rPr>
        <w:t>按《通用条款》执行</w:t>
      </w:r>
      <w:r>
        <w:rPr>
          <w:rFonts w:hint="eastAsia" w:ascii="宋体" w:hAnsi="宋体" w:cs="宋体"/>
          <w:sz w:val="24"/>
          <w:highlight w:val="none"/>
        </w:rPr>
        <w:t>。</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关于承包人应完成的其他开工准备工作及期限：</w:t>
      </w:r>
      <w:r>
        <w:rPr>
          <w:rFonts w:hint="eastAsia" w:ascii="宋体" w:hAnsi="宋体" w:cs="宋体"/>
          <w:b/>
          <w:sz w:val="24"/>
          <w:highlight w:val="none"/>
          <w:u w:val="single"/>
        </w:rPr>
        <w:t>开工前七天</w:t>
      </w:r>
      <w:r>
        <w:rPr>
          <w:rFonts w:hint="eastAsia" w:ascii="宋体" w:hAnsi="宋体" w:cs="宋体"/>
          <w:sz w:val="24"/>
          <w:highlight w:val="none"/>
        </w:rPr>
        <w:t>。</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7.3.2开工通知</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因发包人原因造成监理人未能在计划开工日期之日起</w:t>
      </w:r>
      <w:r>
        <w:rPr>
          <w:rFonts w:hint="eastAsia" w:ascii="宋体" w:hAnsi="宋体" w:cs="宋体"/>
          <w:sz w:val="24"/>
          <w:highlight w:val="none"/>
          <w:u w:val="single"/>
        </w:rPr>
        <w:t xml:space="preserve"> 90 </w:t>
      </w:r>
      <w:r>
        <w:rPr>
          <w:rFonts w:hint="eastAsia" w:ascii="宋体" w:hAnsi="宋体" w:cs="宋体"/>
          <w:sz w:val="24"/>
          <w:highlight w:val="none"/>
        </w:rPr>
        <w:t>天内发出开工通知的，承包人有权提出价格调整要求，或者解除合同。</w:t>
      </w:r>
    </w:p>
    <w:p>
      <w:pPr>
        <w:spacing w:after="120" w:line="336" w:lineRule="auto"/>
        <w:ind w:firstLine="480" w:firstLineChars="200"/>
        <w:rPr>
          <w:rFonts w:hint="eastAsia" w:ascii="宋体" w:hAnsi="宋体" w:cs="宋体"/>
          <w:sz w:val="24"/>
          <w:highlight w:val="none"/>
        </w:rPr>
      </w:pPr>
      <w:r>
        <w:rPr>
          <w:rFonts w:hint="eastAsia" w:ascii="宋体" w:hAnsi="宋体" w:cs="宋体"/>
          <w:sz w:val="24"/>
          <w:highlight w:val="none"/>
        </w:rPr>
        <w:t>7.4 测量放线</w:t>
      </w:r>
    </w:p>
    <w:p>
      <w:pPr>
        <w:spacing w:line="336" w:lineRule="auto"/>
        <w:ind w:firstLine="480" w:firstLineChars="200"/>
        <w:jc w:val="left"/>
        <w:rPr>
          <w:rFonts w:hint="eastAsia" w:ascii="宋体" w:hAnsi="宋体" w:cs="宋体"/>
          <w:sz w:val="24"/>
          <w:highlight w:val="none"/>
          <w:u w:val="single"/>
        </w:rPr>
      </w:pPr>
      <w:r>
        <w:rPr>
          <w:rFonts w:hint="eastAsia" w:ascii="宋体" w:hAnsi="宋体" w:cs="宋体"/>
          <w:sz w:val="24"/>
          <w:highlight w:val="none"/>
        </w:rPr>
        <w:t>7.4.1发包人通过监理人向承包人提供测量基准点、基准线和水准点及其书面资料的期限：</w:t>
      </w:r>
      <w:r>
        <w:rPr>
          <w:rFonts w:hint="eastAsia" w:ascii="宋体" w:hAnsi="宋体" w:cs="宋体"/>
          <w:b/>
          <w:sz w:val="24"/>
          <w:highlight w:val="none"/>
          <w:u w:val="single"/>
        </w:rPr>
        <w:t>开工前七天</w:t>
      </w:r>
      <w:r>
        <w:rPr>
          <w:rFonts w:hint="eastAsia" w:ascii="宋体" w:hAnsi="宋体" w:cs="宋体"/>
          <w:sz w:val="24"/>
          <w:highlight w:val="none"/>
        </w:rPr>
        <w:t>。</w:t>
      </w:r>
    </w:p>
    <w:p>
      <w:pPr>
        <w:spacing w:after="120" w:line="336" w:lineRule="auto"/>
        <w:ind w:firstLine="480" w:firstLineChars="200"/>
        <w:rPr>
          <w:rFonts w:hint="eastAsia" w:ascii="宋体" w:hAnsi="宋体" w:cs="宋体"/>
          <w:sz w:val="24"/>
          <w:highlight w:val="none"/>
        </w:rPr>
      </w:pPr>
      <w:r>
        <w:rPr>
          <w:rFonts w:hint="eastAsia" w:ascii="宋体" w:hAnsi="宋体" w:cs="宋体"/>
          <w:sz w:val="24"/>
          <w:highlight w:val="none"/>
        </w:rPr>
        <w:t>7.5 工期延误</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7.5.1 因发包人原因导致工期延误</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（7）因发包人原因导致工期延误的其他情形：</w:t>
      </w:r>
      <w:r>
        <w:rPr>
          <w:rFonts w:hint="eastAsia" w:ascii="宋体" w:hAnsi="宋体" w:cs="宋体"/>
          <w:b/>
          <w:sz w:val="24"/>
          <w:highlight w:val="none"/>
          <w:u w:val="single"/>
        </w:rPr>
        <w:t>按《通用条款》执行</w:t>
      </w:r>
      <w:r>
        <w:rPr>
          <w:rFonts w:hint="eastAsia" w:ascii="宋体" w:hAnsi="宋体" w:cs="宋体"/>
          <w:sz w:val="24"/>
          <w:highlight w:val="none"/>
        </w:rPr>
        <w:t>。</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7.5.2 因承包人原因导致工期延误</w:t>
      </w:r>
    </w:p>
    <w:p>
      <w:pPr>
        <w:pStyle w:val="24"/>
        <w:spacing w:line="400" w:lineRule="exact"/>
        <w:ind w:firstLine="472" w:firstLineChars="197"/>
        <w:rPr>
          <w:rFonts w:hint="eastAsia" w:ascii="宋体" w:hAnsi="宋体" w:eastAsia="宋体" w:cs="宋体"/>
          <w:sz w:val="24"/>
          <w:highlight w:val="none"/>
        </w:rPr>
      </w:pPr>
      <w:r>
        <w:rPr>
          <w:rFonts w:hint="eastAsia" w:ascii="宋体" w:hAnsi="宋体" w:eastAsia="宋体" w:cs="宋体"/>
          <w:sz w:val="24"/>
          <w:highlight w:val="none"/>
        </w:rPr>
        <w:t>因承包人原因造成工期延误，逾期竣工违约金的计算方法为：按合同工期，提前或按期完工，工期不奖不罚；若承包人达不到本工程施工工期的要求，延误10天内每天向发包人支付3000元违约金；延误10天以上每天向发包人支付5000元违约金(含前面的10天)；发包人有权直接从履约保证金中扣除承包人应支付的违约金 。</w:t>
      </w:r>
    </w:p>
    <w:p>
      <w:pPr>
        <w:pStyle w:val="24"/>
        <w:spacing w:line="400" w:lineRule="exact"/>
        <w:ind w:firstLine="472" w:firstLineChars="197"/>
        <w:rPr>
          <w:rFonts w:hint="eastAsia" w:ascii="宋体" w:hAnsi="宋体" w:eastAsia="宋体" w:cs="宋体"/>
          <w:sz w:val="24"/>
          <w:highlight w:val="none"/>
        </w:rPr>
      </w:pPr>
      <w:r>
        <w:rPr>
          <w:rFonts w:hint="eastAsia" w:ascii="宋体" w:hAnsi="宋体" w:eastAsia="宋体" w:cs="宋体"/>
          <w:sz w:val="24"/>
          <w:highlight w:val="none"/>
        </w:rPr>
        <w:t>因承包人原因造成工期延误，逾期竣工违约金的上限不超过签约合同价的2%。</w:t>
      </w:r>
    </w:p>
    <w:p>
      <w:pPr>
        <w:pStyle w:val="24"/>
        <w:spacing w:line="400" w:lineRule="exact"/>
        <w:ind w:firstLine="472" w:firstLineChars="197"/>
        <w:rPr>
          <w:rFonts w:hint="eastAsia" w:ascii="宋体" w:hAnsi="宋体" w:eastAsia="宋体" w:cs="宋体"/>
          <w:sz w:val="24"/>
          <w:highlight w:val="none"/>
        </w:rPr>
      </w:pPr>
      <w:r>
        <w:rPr>
          <w:rFonts w:hint="eastAsia" w:ascii="宋体" w:hAnsi="宋体" w:eastAsia="宋体" w:cs="宋体"/>
          <w:sz w:val="24"/>
          <w:highlight w:val="none"/>
        </w:rPr>
        <w:t>若中途实际施工进度严重延期影响进度工期20%及以上时发包人有权终止合同，同时不支付工程款。</w:t>
      </w:r>
    </w:p>
    <w:p>
      <w:pPr>
        <w:spacing w:after="120" w:line="336" w:lineRule="auto"/>
        <w:ind w:firstLine="480" w:firstLineChars="200"/>
        <w:rPr>
          <w:rFonts w:hint="eastAsia" w:ascii="宋体" w:hAnsi="宋体" w:cs="宋体"/>
          <w:sz w:val="24"/>
          <w:highlight w:val="none"/>
        </w:rPr>
      </w:pPr>
      <w:r>
        <w:rPr>
          <w:rFonts w:hint="eastAsia" w:ascii="宋体" w:hAnsi="宋体" w:cs="宋体"/>
          <w:sz w:val="24"/>
          <w:highlight w:val="none"/>
        </w:rPr>
        <w:t>7.6 不利物质条件</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不利物质条件的其他情形和有关约定：</w:t>
      </w:r>
      <w:r>
        <w:rPr>
          <w:rFonts w:hint="eastAsia" w:ascii="宋体" w:hAnsi="宋体" w:cs="宋体"/>
          <w:b/>
          <w:sz w:val="24"/>
          <w:highlight w:val="none"/>
          <w:u w:val="single"/>
        </w:rPr>
        <w:t>按《通用条款》执行</w:t>
      </w:r>
      <w:r>
        <w:rPr>
          <w:rFonts w:hint="eastAsia" w:ascii="宋体" w:hAnsi="宋体" w:cs="宋体"/>
          <w:sz w:val="24"/>
          <w:highlight w:val="none"/>
        </w:rPr>
        <w:t>。</w:t>
      </w:r>
    </w:p>
    <w:p>
      <w:pPr>
        <w:spacing w:after="120" w:line="336" w:lineRule="auto"/>
        <w:ind w:firstLine="480" w:firstLineChars="200"/>
        <w:rPr>
          <w:rFonts w:hint="eastAsia" w:ascii="宋体" w:hAnsi="宋体" w:cs="宋体"/>
          <w:sz w:val="24"/>
          <w:highlight w:val="none"/>
        </w:rPr>
      </w:pPr>
      <w:r>
        <w:rPr>
          <w:rFonts w:hint="eastAsia" w:ascii="宋体" w:hAnsi="宋体" w:cs="宋体"/>
          <w:sz w:val="24"/>
          <w:highlight w:val="none"/>
        </w:rPr>
        <w:t>7.7异常恶劣的气候条件</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发包人和承包人同意以下情形视为异常恶劣的气候条件：</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b/>
          <w:sz w:val="24"/>
          <w:highlight w:val="none"/>
          <w:u w:val="single"/>
        </w:rPr>
        <w:t>按通用条款执行</w:t>
      </w:r>
      <w:r>
        <w:rPr>
          <w:rFonts w:hint="eastAsia" w:ascii="宋体" w:hAnsi="宋体" w:cs="宋体"/>
          <w:sz w:val="24"/>
          <w:highlight w:val="none"/>
        </w:rPr>
        <w:t>；</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u w:val="single"/>
        </w:rPr>
        <w:t xml:space="preserve">         /               </w:t>
      </w:r>
      <w:r>
        <w:rPr>
          <w:rFonts w:hint="eastAsia" w:ascii="宋体" w:hAnsi="宋体" w:cs="宋体"/>
          <w:sz w:val="24"/>
          <w:highlight w:val="none"/>
        </w:rPr>
        <w:t>；</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u w:val="single"/>
        </w:rPr>
        <w:t xml:space="preserve">         /               </w:t>
      </w:r>
      <w:r>
        <w:rPr>
          <w:rFonts w:hint="eastAsia" w:ascii="宋体" w:hAnsi="宋体" w:cs="宋体"/>
          <w:sz w:val="24"/>
          <w:highlight w:val="none"/>
        </w:rPr>
        <w:t>。</w:t>
      </w:r>
    </w:p>
    <w:p>
      <w:pPr>
        <w:spacing w:after="120" w:line="336" w:lineRule="auto"/>
        <w:ind w:firstLine="480" w:firstLineChars="200"/>
        <w:outlineLvl w:val="0"/>
        <w:rPr>
          <w:rFonts w:hint="eastAsia" w:ascii="宋体" w:hAnsi="宋体" w:cs="宋体"/>
          <w:sz w:val="24"/>
          <w:highlight w:val="none"/>
        </w:rPr>
      </w:pPr>
      <w:bookmarkStart w:id="68" w:name="_Toc14886"/>
      <w:r>
        <w:rPr>
          <w:rFonts w:hint="eastAsia" w:ascii="宋体" w:hAnsi="宋体" w:cs="宋体"/>
          <w:sz w:val="24"/>
          <w:highlight w:val="none"/>
        </w:rPr>
        <w:t>7.9 提前竣工的奖励</w:t>
      </w:r>
      <w:bookmarkEnd w:id="68"/>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7.9.2提前竣工的奖励：</w:t>
      </w:r>
      <w:r>
        <w:rPr>
          <w:rFonts w:hint="eastAsia" w:ascii="宋体" w:hAnsi="宋体" w:cs="宋体"/>
          <w:b/>
          <w:sz w:val="24"/>
          <w:highlight w:val="none"/>
          <w:u w:val="single"/>
        </w:rPr>
        <w:t>按合同工期，提前或按期完工，工期不奖不罚</w:t>
      </w:r>
      <w:r>
        <w:rPr>
          <w:rFonts w:hint="eastAsia" w:ascii="宋体" w:hAnsi="宋体" w:cs="宋体"/>
          <w:sz w:val="24"/>
          <w:highlight w:val="none"/>
        </w:rPr>
        <w:t>。</w:t>
      </w:r>
    </w:p>
    <w:p>
      <w:pPr>
        <w:keepNext/>
        <w:keepLines/>
        <w:spacing w:before="120" w:after="120" w:line="336" w:lineRule="auto"/>
        <w:outlineLvl w:val="3"/>
        <w:rPr>
          <w:rFonts w:hint="eastAsia" w:ascii="宋体" w:hAnsi="宋体" w:cs="宋体"/>
          <w:bCs/>
          <w:kern w:val="0"/>
          <w:sz w:val="24"/>
          <w:highlight w:val="none"/>
        </w:rPr>
      </w:pPr>
      <w:r>
        <w:rPr>
          <w:rFonts w:hint="eastAsia" w:ascii="宋体" w:hAnsi="宋体" w:cs="宋体"/>
          <w:bCs/>
          <w:kern w:val="0"/>
          <w:sz w:val="24"/>
          <w:highlight w:val="none"/>
        </w:rPr>
        <w:t>8. 材料与设备</w:t>
      </w:r>
    </w:p>
    <w:p>
      <w:pPr>
        <w:spacing w:after="120" w:line="336" w:lineRule="auto"/>
        <w:ind w:firstLine="480" w:firstLineChars="200"/>
        <w:rPr>
          <w:rFonts w:hint="eastAsia" w:ascii="宋体" w:hAnsi="宋体" w:cs="宋体"/>
          <w:sz w:val="24"/>
          <w:highlight w:val="none"/>
        </w:rPr>
      </w:pPr>
      <w:r>
        <w:rPr>
          <w:rFonts w:hint="eastAsia" w:ascii="宋体" w:hAnsi="宋体" w:cs="宋体"/>
          <w:sz w:val="24"/>
          <w:highlight w:val="none"/>
        </w:rPr>
        <w:t>8.4材料与工程设备的保管与使用</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8.4.1发包人供应的材料设备的保管费用的承担：</w:t>
      </w:r>
      <w:r>
        <w:rPr>
          <w:rFonts w:hint="eastAsia" w:ascii="宋体" w:hAnsi="宋体" w:cs="宋体"/>
          <w:sz w:val="24"/>
          <w:highlight w:val="none"/>
          <w:u w:val="single"/>
        </w:rPr>
        <w:t xml:space="preserve">     /    </w:t>
      </w:r>
      <w:r>
        <w:rPr>
          <w:rFonts w:hint="eastAsia" w:ascii="宋体" w:hAnsi="宋体" w:cs="宋体"/>
          <w:sz w:val="24"/>
          <w:highlight w:val="none"/>
        </w:rPr>
        <w:t>。</w:t>
      </w:r>
    </w:p>
    <w:p>
      <w:pPr>
        <w:spacing w:after="120" w:line="336" w:lineRule="auto"/>
        <w:ind w:firstLine="480" w:firstLineChars="200"/>
        <w:outlineLvl w:val="0"/>
        <w:rPr>
          <w:rFonts w:hint="eastAsia" w:ascii="宋体" w:hAnsi="宋体" w:cs="宋体"/>
          <w:sz w:val="24"/>
          <w:highlight w:val="none"/>
        </w:rPr>
      </w:pPr>
      <w:bookmarkStart w:id="69" w:name="_Toc287"/>
      <w:r>
        <w:rPr>
          <w:rFonts w:hint="eastAsia" w:ascii="宋体" w:hAnsi="宋体" w:cs="宋体"/>
          <w:sz w:val="24"/>
          <w:highlight w:val="none"/>
        </w:rPr>
        <w:t>8.6 样品</w:t>
      </w:r>
      <w:bookmarkEnd w:id="69"/>
    </w:p>
    <w:p>
      <w:pPr>
        <w:autoSpaceDE w:val="0"/>
        <w:autoSpaceDN w:val="0"/>
        <w:adjustRightInd w:val="0"/>
        <w:spacing w:line="336"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8.6.1</w:t>
      </w:r>
      <w:r>
        <w:rPr>
          <w:rFonts w:hint="eastAsia" w:ascii="宋体" w:hAnsi="宋体" w:cs="宋体"/>
          <w:kern w:val="0"/>
          <w:sz w:val="24"/>
          <w:highlight w:val="none"/>
        </w:rPr>
        <w:tab/>
      </w:r>
      <w:r>
        <w:rPr>
          <w:rFonts w:hint="eastAsia" w:ascii="宋体" w:hAnsi="宋体" w:cs="宋体"/>
          <w:kern w:val="0"/>
          <w:sz w:val="24"/>
          <w:highlight w:val="none"/>
        </w:rPr>
        <w:t>样品的报送与封存</w:t>
      </w:r>
    </w:p>
    <w:p>
      <w:pPr>
        <w:autoSpaceDE w:val="0"/>
        <w:autoSpaceDN w:val="0"/>
        <w:adjustRightInd w:val="0"/>
        <w:spacing w:line="336" w:lineRule="auto"/>
        <w:ind w:firstLine="480" w:firstLineChars="200"/>
        <w:jc w:val="left"/>
        <w:rPr>
          <w:rFonts w:hint="eastAsia" w:ascii="宋体" w:hAnsi="宋体" w:cs="宋体"/>
          <w:sz w:val="24"/>
          <w:highlight w:val="none"/>
        </w:rPr>
      </w:pPr>
      <w:r>
        <w:rPr>
          <w:rFonts w:hint="eastAsia" w:ascii="宋体" w:hAnsi="宋体" w:cs="宋体"/>
          <w:kern w:val="0"/>
          <w:sz w:val="24"/>
          <w:highlight w:val="none"/>
        </w:rPr>
        <w:t>需要承包人报送样品的材料或工程设备，样品的种类、名称、规格、数量要求：</w:t>
      </w:r>
      <w:r>
        <w:rPr>
          <w:rFonts w:hint="eastAsia" w:ascii="宋体" w:hAnsi="宋体" w:cs="宋体"/>
          <w:b/>
          <w:sz w:val="24"/>
          <w:highlight w:val="none"/>
          <w:u w:val="single"/>
        </w:rPr>
        <w:t>按《通用条款》执行</w:t>
      </w:r>
      <w:r>
        <w:rPr>
          <w:rFonts w:hint="eastAsia" w:ascii="宋体" w:hAnsi="宋体" w:cs="宋体"/>
          <w:sz w:val="24"/>
          <w:highlight w:val="none"/>
        </w:rPr>
        <w:t>。</w:t>
      </w:r>
    </w:p>
    <w:p>
      <w:pPr>
        <w:spacing w:after="120" w:line="336" w:lineRule="auto"/>
        <w:ind w:firstLine="480" w:firstLineChars="200"/>
        <w:outlineLvl w:val="0"/>
        <w:rPr>
          <w:rFonts w:hint="eastAsia" w:ascii="宋体" w:hAnsi="宋体" w:cs="宋体"/>
          <w:sz w:val="24"/>
          <w:highlight w:val="none"/>
        </w:rPr>
      </w:pPr>
      <w:bookmarkStart w:id="70" w:name="_Toc22309"/>
      <w:r>
        <w:rPr>
          <w:rFonts w:hint="eastAsia" w:ascii="宋体" w:hAnsi="宋体" w:cs="宋体"/>
          <w:sz w:val="24"/>
          <w:highlight w:val="none"/>
        </w:rPr>
        <w:t>8.8 施工设备和临时设施</w:t>
      </w:r>
      <w:bookmarkEnd w:id="70"/>
    </w:p>
    <w:p>
      <w:pPr>
        <w:autoSpaceDE w:val="0"/>
        <w:autoSpaceDN w:val="0"/>
        <w:adjustRightInd w:val="0"/>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8.8.1 承包人提供的施工设备和临时设施</w:t>
      </w:r>
    </w:p>
    <w:p>
      <w:pPr>
        <w:autoSpaceDE w:val="0"/>
        <w:autoSpaceDN w:val="0"/>
        <w:adjustRightInd w:val="0"/>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关于修建临时设施费用承担的约定：</w:t>
      </w:r>
      <w:r>
        <w:rPr>
          <w:rFonts w:hint="eastAsia" w:ascii="宋体" w:hAnsi="宋体" w:cs="宋体"/>
          <w:sz w:val="24"/>
          <w:highlight w:val="none"/>
          <w:u w:val="single"/>
        </w:rPr>
        <w:t xml:space="preserve">     /          </w:t>
      </w:r>
      <w:r>
        <w:rPr>
          <w:rFonts w:hint="eastAsia" w:ascii="宋体" w:hAnsi="宋体" w:cs="宋体"/>
          <w:sz w:val="24"/>
          <w:highlight w:val="none"/>
        </w:rPr>
        <w:t>。</w:t>
      </w:r>
    </w:p>
    <w:p>
      <w:pPr>
        <w:keepNext/>
        <w:keepLines/>
        <w:spacing w:before="120" w:after="120" w:line="336" w:lineRule="auto"/>
        <w:outlineLvl w:val="3"/>
        <w:rPr>
          <w:rFonts w:hint="eastAsia" w:ascii="宋体" w:hAnsi="宋体" w:cs="宋体"/>
          <w:bCs/>
          <w:kern w:val="0"/>
          <w:sz w:val="24"/>
          <w:highlight w:val="none"/>
        </w:rPr>
      </w:pPr>
      <w:r>
        <w:rPr>
          <w:rFonts w:hint="eastAsia" w:ascii="宋体" w:hAnsi="宋体" w:cs="宋体"/>
          <w:bCs/>
          <w:kern w:val="0"/>
          <w:sz w:val="24"/>
          <w:highlight w:val="none"/>
        </w:rPr>
        <w:t>9. 试验与检验</w:t>
      </w:r>
    </w:p>
    <w:p>
      <w:pPr>
        <w:spacing w:after="120" w:line="336" w:lineRule="auto"/>
        <w:ind w:firstLine="480" w:firstLineChars="200"/>
        <w:rPr>
          <w:rFonts w:hint="eastAsia" w:ascii="宋体" w:hAnsi="宋体" w:cs="宋体"/>
          <w:sz w:val="24"/>
          <w:highlight w:val="none"/>
        </w:rPr>
      </w:pPr>
      <w:r>
        <w:rPr>
          <w:rFonts w:hint="eastAsia" w:ascii="宋体" w:hAnsi="宋体" w:cs="宋体"/>
          <w:sz w:val="24"/>
          <w:highlight w:val="none"/>
        </w:rPr>
        <w:t>9.1试验设备与试验人员</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9.1.2 试验设备</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施工现场需要配置的试验场所：</w:t>
      </w:r>
      <w:r>
        <w:rPr>
          <w:rFonts w:hint="eastAsia" w:ascii="宋体" w:hAnsi="宋体" w:cs="宋体"/>
          <w:b/>
          <w:sz w:val="24"/>
          <w:highlight w:val="none"/>
          <w:u w:val="single"/>
        </w:rPr>
        <w:t>按《通用条款》执行</w:t>
      </w:r>
      <w:r>
        <w:rPr>
          <w:rFonts w:hint="eastAsia" w:ascii="宋体" w:hAnsi="宋体" w:cs="宋体"/>
          <w:sz w:val="24"/>
          <w:highlight w:val="none"/>
        </w:rPr>
        <w:t xml:space="preserve">。 </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施工现场需要配备的试验设备：</w:t>
      </w:r>
      <w:r>
        <w:rPr>
          <w:rFonts w:hint="eastAsia" w:ascii="宋体" w:hAnsi="宋体" w:cs="宋体"/>
          <w:b/>
          <w:sz w:val="24"/>
          <w:highlight w:val="none"/>
          <w:u w:val="single"/>
        </w:rPr>
        <w:t>按《通用条款》执行</w:t>
      </w:r>
      <w:r>
        <w:rPr>
          <w:rFonts w:hint="eastAsia" w:ascii="宋体" w:hAnsi="宋体" w:cs="宋体"/>
          <w:sz w:val="24"/>
          <w:highlight w:val="none"/>
        </w:rPr>
        <w:t>。</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施工现场需要具备的其他试验条件：</w:t>
      </w:r>
      <w:r>
        <w:rPr>
          <w:rFonts w:hint="eastAsia" w:ascii="宋体" w:hAnsi="宋体" w:cs="宋体"/>
          <w:b/>
          <w:sz w:val="24"/>
          <w:highlight w:val="none"/>
          <w:u w:val="single"/>
        </w:rPr>
        <w:t>按《通用条款》执行</w:t>
      </w:r>
      <w:r>
        <w:rPr>
          <w:rFonts w:hint="eastAsia" w:ascii="宋体" w:hAnsi="宋体" w:cs="宋体"/>
          <w:sz w:val="24"/>
          <w:highlight w:val="none"/>
        </w:rPr>
        <w:t>。</w:t>
      </w:r>
    </w:p>
    <w:p>
      <w:pPr>
        <w:spacing w:after="120" w:line="336" w:lineRule="auto"/>
        <w:ind w:firstLine="480" w:firstLineChars="200"/>
        <w:outlineLvl w:val="0"/>
        <w:rPr>
          <w:rFonts w:hint="eastAsia" w:ascii="宋体" w:hAnsi="宋体" w:cs="宋体"/>
          <w:sz w:val="24"/>
          <w:highlight w:val="none"/>
        </w:rPr>
      </w:pPr>
      <w:bookmarkStart w:id="71" w:name="_Toc21936"/>
      <w:r>
        <w:rPr>
          <w:rFonts w:hint="eastAsia" w:ascii="宋体" w:hAnsi="宋体" w:cs="宋体"/>
          <w:sz w:val="24"/>
          <w:highlight w:val="none"/>
        </w:rPr>
        <w:t>9.4 现场工艺试验</w:t>
      </w:r>
      <w:bookmarkEnd w:id="71"/>
      <w:r>
        <w:rPr>
          <w:rFonts w:hint="eastAsia" w:ascii="宋体" w:hAnsi="宋体" w:cs="宋体"/>
          <w:sz w:val="24"/>
          <w:highlight w:val="none"/>
        </w:rPr>
        <w:t xml:space="preserve"> </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现场工艺试验的有关约定：</w:t>
      </w:r>
      <w:r>
        <w:rPr>
          <w:rFonts w:hint="eastAsia" w:ascii="宋体" w:hAnsi="宋体" w:cs="宋体"/>
          <w:b/>
          <w:sz w:val="24"/>
          <w:highlight w:val="none"/>
          <w:u w:val="single"/>
        </w:rPr>
        <w:t>按《通用条款》执行</w:t>
      </w:r>
      <w:r>
        <w:rPr>
          <w:rFonts w:hint="eastAsia" w:ascii="宋体" w:hAnsi="宋体" w:cs="宋体"/>
          <w:sz w:val="24"/>
          <w:highlight w:val="none"/>
        </w:rPr>
        <w:t>。</w:t>
      </w:r>
    </w:p>
    <w:p>
      <w:pPr>
        <w:keepNext/>
        <w:keepLines/>
        <w:spacing w:before="120" w:after="120" w:line="336" w:lineRule="auto"/>
        <w:outlineLvl w:val="3"/>
        <w:rPr>
          <w:rFonts w:hint="eastAsia" w:ascii="宋体" w:hAnsi="宋体" w:cs="宋体"/>
          <w:bCs/>
          <w:kern w:val="0"/>
          <w:sz w:val="24"/>
          <w:highlight w:val="none"/>
        </w:rPr>
      </w:pPr>
      <w:r>
        <w:rPr>
          <w:rFonts w:hint="eastAsia" w:ascii="宋体" w:hAnsi="宋体" w:cs="宋体"/>
          <w:bCs/>
          <w:kern w:val="0"/>
          <w:sz w:val="24"/>
          <w:highlight w:val="none"/>
        </w:rPr>
        <w:t>10. 变更</w:t>
      </w:r>
    </w:p>
    <w:p>
      <w:pPr>
        <w:spacing w:after="120" w:line="336" w:lineRule="auto"/>
        <w:ind w:firstLine="480" w:firstLineChars="200"/>
        <w:rPr>
          <w:rFonts w:hint="eastAsia" w:ascii="宋体" w:hAnsi="宋体" w:cs="宋体"/>
          <w:sz w:val="24"/>
          <w:highlight w:val="none"/>
        </w:rPr>
      </w:pPr>
      <w:r>
        <w:rPr>
          <w:rFonts w:hint="eastAsia" w:ascii="宋体" w:hAnsi="宋体" w:cs="宋体"/>
          <w:sz w:val="24"/>
          <w:highlight w:val="none"/>
        </w:rPr>
        <w:t>10.1变更的范围</w:t>
      </w:r>
    </w:p>
    <w:p>
      <w:pPr>
        <w:spacing w:line="336" w:lineRule="auto"/>
        <w:ind w:firstLine="600"/>
        <w:jc w:val="left"/>
        <w:rPr>
          <w:rFonts w:hint="eastAsia" w:ascii="宋体" w:hAnsi="宋体" w:cs="宋体"/>
          <w:sz w:val="24"/>
          <w:highlight w:val="none"/>
        </w:rPr>
      </w:pPr>
      <w:r>
        <w:rPr>
          <w:rFonts w:hint="eastAsia" w:ascii="宋体" w:hAnsi="宋体" w:cs="宋体"/>
          <w:sz w:val="24"/>
          <w:highlight w:val="none"/>
        </w:rPr>
        <w:t>关于变更的范围的约定：</w:t>
      </w:r>
    </w:p>
    <w:p>
      <w:pPr>
        <w:spacing w:line="336" w:lineRule="auto"/>
        <w:ind w:firstLine="482" w:firstLineChars="200"/>
        <w:jc w:val="left"/>
        <w:rPr>
          <w:rFonts w:hint="eastAsia" w:ascii="宋体" w:hAnsi="宋体" w:eastAsia="宋体" w:cs="宋体"/>
          <w:b/>
          <w:sz w:val="24"/>
          <w:highlight w:val="none"/>
          <w:u w:val="single"/>
        </w:rPr>
      </w:pPr>
      <w:r>
        <w:rPr>
          <w:rFonts w:hint="eastAsia" w:ascii="宋体" w:hAnsi="宋体" w:cs="宋体"/>
          <w:b/>
          <w:sz w:val="24"/>
          <w:highlight w:val="none"/>
          <w:u w:val="single"/>
        </w:rPr>
        <w:t>分类分项清单项目工程量增加的，凡合价金额占签约合同总价2%以上的分类分项清单项目其工程量增加超过本项目工程数量15%以上，或合价金额占签约合同总价不到2%的分类分项清单项目但其工程量增加超过本项目工程数量25%以上，超过上述15%或 25%以外增加部分的工程</w:t>
      </w:r>
      <w:r>
        <w:rPr>
          <w:rFonts w:hint="eastAsia" w:ascii="宋体" w:hAnsi="宋体" w:eastAsia="宋体" w:cs="宋体"/>
          <w:b/>
          <w:sz w:val="24"/>
          <w:highlight w:val="none"/>
          <w:u w:val="single"/>
        </w:rPr>
        <w:t>量，由承包人按</w:t>
      </w:r>
      <w:r>
        <w:rPr>
          <w:rFonts w:hint="eastAsia" w:ascii="宋体" w:hAnsi="宋体" w:eastAsia="宋体" w:cs="宋体"/>
          <w:b/>
          <w:sz w:val="24"/>
          <w:highlight w:val="none"/>
          <w:u w:val="single"/>
          <w:lang w:val="en-US" w:eastAsia="zh-CN"/>
        </w:rPr>
        <w:t>10.4.1</w:t>
      </w:r>
      <w:r>
        <w:rPr>
          <w:rFonts w:hint="eastAsia" w:ascii="宋体" w:hAnsi="宋体" w:eastAsia="宋体" w:cs="宋体"/>
          <w:b/>
          <w:sz w:val="24"/>
          <w:highlight w:val="none"/>
          <w:u w:val="single"/>
        </w:rPr>
        <w:t>款的原则提出合适的变更单价，并经监理人审核。变更单价与合同单价相比，上下浮动超过15%时，发包人同意后按变更单价进人工程结算；上述15%或25%以内增加部分的工程量，按合同单价结算。</w:t>
      </w:r>
    </w:p>
    <w:p>
      <w:pPr>
        <w:spacing w:line="336" w:lineRule="auto"/>
        <w:ind w:firstLine="482" w:firstLineChars="200"/>
        <w:jc w:val="left"/>
        <w:rPr>
          <w:rFonts w:hint="eastAsia" w:ascii="宋体" w:hAnsi="宋体" w:eastAsia="宋体" w:cs="宋体"/>
          <w:b/>
          <w:sz w:val="24"/>
          <w:highlight w:val="none"/>
          <w:u w:val="single"/>
        </w:rPr>
      </w:pPr>
      <w:r>
        <w:rPr>
          <w:rFonts w:hint="eastAsia" w:ascii="宋体" w:hAnsi="宋体" w:eastAsia="宋体" w:cs="宋体"/>
          <w:b/>
          <w:sz w:val="24"/>
          <w:highlight w:val="none"/>
          <w:u w:val="single"/>
        </w:rPr>
        <w:t>因分类分项清单项目工程量减少的，采用以下第  2  种方式对合同价格进行调整:</w:t>
      </w:r>
    </w:p>
    <w:p>
      <w:pPr>
        <w:spacing w:line="336" w:lineRule="auto"/>
        <w:ind w:firstLine="482" w:firstLineChars="200"/>
        <w:jc w:val="left"/>
        <w:rPr>
          <w:rFonts w:hint="eastAsia" w:ascii="宋体" w:hAnsi="宋体" w:eastAsia="宋体" w:cs="宋体"/>
          <w:b/>
          <w:sz w:val="24"/>
          <w:highlight w:val="none"/>
          <w:u w:val="single"/>
        </w:rPr>
      </w:pPr>
      <w:r>
        <w:rPr>
          <w:rFonts w:hint="eastAsia" w:ascii="宋体" w:hAnsi="宋体" w:eastAsia="宋体" w:cs="宋体"/>
          <w:b/>
          <w:sz w:val="24"/>
          <w:highlight w:val="none"/>
          <w:u w:val="single"/>
        </w:rPr>
        <w:t>第1种方式:分类分项清单项目工程量减少的，合同单价不变。</w:t>
      </w:r>
    </w:p>
    <w:p>
      <w:pPr>
        <w:spacing w:line="336" w:lineRule="auto"/>
        <w:ind w:firstLine="482" w:firstLineChars="200"/>
        <w:jc w:val="left"/>
        <w:rPr>
          <w:rFonts w:hint="eastAsia" w:ascii="宋体" w:hAnsi="宋体" w:cs="宋体"/>
          <w:b/>
          <w:sz w:val="24"/>
          <w:highlight w:val="none"/>
          <w:u w:val="single"/>
        </w:rPr>
      </w:pPr>
      <w:r>
        <w:rPr>
          <w:rFonts w:hint="eastAsia" w:ascii="宋体" w:hAnsi="宋体" w:eastAsia="宋体" w:cs="宋体"/>
          <w:b/>
          <w:sz w:val="24"/>
          <w:highlight w:val="none"/>
          <w:u w:val="single"/>
        </w:rPr>
        <w:t>第2种方式:分类分项清单项目工程量减少的，凡合价金额占签约合同总价2%以上的分类分项清单项目其工程量减少超过本项目工程数量15%以上，或合价金额占签约合同总价不到2%的分类分项清单项目但其工程量减少超过本项目工程数量25%以上，超过上述15%或25%以外的减少部分工程量，由承包人按</w:t>
      </w:r>
      <w:r>
        <w:rPr>
          <w:rFonts w:hint="eastAsia" w:ascii="宋体" w:hAnsi="宋体" w:eastAsia="宋体" w:cs="宋体"/>
          <w:b/>
          <w:sz w:val="24"/>
          <w:highlight w:val="none"/>
          <w:u w:val="single"/>
          <w:lang w:val="en-US" w:eastAsia="zh-CN"/>
        </w:rPr>
        <w:t>10.4.1</w:t>
      </w:r>
      <w:r>
        <w:rPr>
          <w:rFonts w:hint="eastAsia" w:ascii="宋体" w:hAnsi="宋体" w:eastAsia="宋体" w:cs="宋体"/>
          <w:b/>
          <w:sz w:val="24"/>
          <w:highlight w:val="none"/>
          <w:u w:val="single"/>
        </w:rPr>
        <w:t>款的原则提</w:t>
      </w:r>
      <w:r>
        <w:rPr>
          <w:rFonts w:hint="eastAsia" w:ascii="宋体" w:hAnsi="宋体" w:cs="宋体"/>
          <w:b/>
          <w:sz w:val="24"/>
          <w:highlight w:val="none"/>
          <w:u w:val="single"/>
        </w:rPr>
        <w:t>出合适的变更单价，并经监理人审核。变更单价与合同单价相比，上下浮动超过  15 %时，发包人同意后按变更单价计算合价后，在该项目合价中扣除;工程量减少在15%或25%以内的减少部分工程量，按合同单价计算合价后，在该项目合价中扣除。</w:t>
      </w:r>
    </w:p>
    <w:p>
      <w:pPr>
        <w:spacing w:line="336" w:lineRule="auto"/>
        <w:ind w:firstLine="600"/>
        <w:jc w:val="left"/>
        <w:rPr>
          <w:rFonts w:hint="eastAsia" w:ascii="宋体" w:hAnsi="宋体" w:cs="宋体"/>
          <w:sz w:val="24"/>
          <w:highlight w:val="none"/>
        </w:rPr>
      </w:pPr>
      <w:r>
        <w:rPr>
          <w:rFonts w:hint="eastAsia" w:ascii="宋体" w:hAnsi="宋体" w:cs="宋体"/>
          <w:sz w:val="24"/>
          <w:highlight w:val="none"/>
        </w:rPr>
        <w:t>工程变更签证的程序、内容、时效性、紧急变更签证及争议签证处理等内容详见附件五工程建设项目签证管理细则。</w:t>
      </w:r>
    </w:p>
    <w:p>
      <w:pPr>
        <w:tabs>
          <w:tab w:val="left" w:pos="3780"/>
        </w:tabs>
        <w:spacing w:after="120" w:line="336" w:lineRule="auto"/>
        <w:ind w:firstLine="482" w:firstLineChars="200"/>
        <w:rPr>
          <w:rFonts w:hint="eastAsia" w:ascii="宋体" w:hAnsi="宋体" w:cs="宋体"/>
          <w:b/>
          <w:sz w:val="24"/>
          <w:highlight w:val="none"/>
        </w:rPr>
      </w:pPr>
      <w:r>
        <w:rPr>
          <w:rFonts w:hint="eastAsia" w:ascii="宋体" w:hAnsi="宋体" w:cs="宋体"/>
          <w:b/>
          <w:sz w:val="24"/>
          <w:highlight w:val="none"/>
        </w:rPr>
        <w:t>10.4 变更估价</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10.4.1 变更估价原则</w:t>
      </w:r>
    </w:p>
    <w:p>
      <w:pPr>
        <w:tabs>
          <w:tab w:val="left" w:pos="3780"/>
        </w:tabs>
        <w:spacing w:line="336" w:lineRule="auto"/>
        <w:ind w:firstLine="600"/>
        <w:jc w:val="left"/>
        <w:rPr>
          <w:rFonts w:hint="eastAsia" w:ascii="宋体" w:hAnsi="宋体" w:cs="宋体"/>
          <w:sz w:val="24"/>
          <w:highlight w:val="none"/>
        </w:rPr>
      </w:pPr>
      <w:r>
        <w:rPr>
          <w:rFonts w:hint="eastAsia" w:ascii="宋体" w:hAnsi="宋体" w:cs="宋体"/>
          <w:sz w:val="24"/>
          <w:highlight w:val="none"/>
        </w:rPr>
        <w:t>关于变更估价的约定:</w:t>
      </w:r>
    </w:p>
    <w:p>
      <w:pPr>
        <w:tabs>
          <w:tab w:val="left" w:pos="3780"/>
        </w:tabs>
        <w:spacing w:line="336" w:lineRule="auto"/>
        <w:ind w:firstLine="600"/>
        <w:jc w:val="left"/>
        <w:rPr>
          <w:rFonts w:hint="eastAsia" w:ascii="宋体" w:hAnsi="宋体" w:cs="宋体"/>
          <w:sz w:val="24"/>
          <w:highlight w:val="none"/>
          <w:u w:val="single"/>
        </w:rPr>
      </w:pPr>
      <w:r>
        <w:rPr>
          <w:rFonts w:hint="eastAsia" w:ascii="宋体" w:hAnsi="宋体" w:cs="宋体"/>
          <w:sz w:val="24"/>
          <w:highlight w:val="none"/>
          <w:u w:val="single"/>
        </w:rPr>
        <w:t>a、合同中有类似清单项目综合单价的，可以参照合同中类似项目的综合单价计算确定。</w:t>
      </w:r>
    </w:p>
    <w:p>
      <w:pPr>
        <w:tabs>
          <w:tab w:val="left" w:pos="3780"/>
        </w:tabs>
        <w:spacing w:line="336" w:lineRule="auto"/>
        <w:ind w:firstLine="600"/>
        <w:jc w:val="left"/>
        <w:rPr>
          <w:rFonts w:hint="eastAsia" w:ascii="宋体" w:hAnsi="宋体" w:cs="宋体"/>
          <w:sz w:val="24"/>
          <w:highlight w:val="none"/>
          <w:u w:val="single"/>
        </w:rPr>
      </w:pPr>
      <w:r>
        <w:rPr>
          <w:rFonts w:hint="eastAsia" w:ascii="宋体" w:hAnsi="宋体" w:cs="宋体"/>
          <w:sz w:val="24"/>
          <w:highlight w:val="none"/>
          <w:u w:val="single"/>
        </w:rPr>
        <w:t>b、合同中没有类似清单项目综合单价的，由承包人根据招标最高限价编制原则及中标下浮率</w:t>
      </w:r>
      <w:r>
        <w:rPr>
          <w:rFonts w:hint="eastAsia" w:ascii="宋体" w:hAnsi="宋体" w:cs="宋体"/>
          <w:b/>
          <w:sz w:val="24"/>
          <w:highlight w:val="none"/>
          <w:u w:val="single"/>
        </w:rPr>
        <w:t>[（1-中标价÷招标控制价）×100％]进行组价</w:t>
      </w:r>
      <w:r>
        <w:rPr>
          <w:rFonts w:hint="eastAsia" w:ascii="宋体" w:hAnsi="宋体" w:cs="宋体"/>
          <w:sz w:val="24"/>
          <w:highlight w:val="none"/>
          <w:u w:val="single"/>
        </w:rPr>
        <w:t>，</w:t>
      </w:r>
      <w:r>
        <w:rPr>
          <w:rFonts w:hint="eastAsia" w:ascii="宋体" w:hAnsi="宋体" w:cs="宋体"/>
          <w:b/>
          <w:sz w:val="24"/>
          <w:highlight w:val="none"/>
          <w:u w:val="single"/>
        </w:rPr>
        <w:t>组价出新的综合单价，</w:t>
      </w:r>
      <w:r>
        <w:rPr>
          <w:rFonts w:hint="eastAsia" w:ascii="宋体" w:hAnsi="宋体" w:cs="宋体"/>
          <w:sz w:val="24"/>
          <w:highlight w:val="none"/>
          <w:u w:val="single"/>
        </w:rPr>
        <w:t>报发包人确认后作为结算的依据，承包人自行漏项的不作调整。</w:t>
      </w:r>
    </w:p>
    <w:p>
      <w:pPr>
        <w:tabs>
          <w:tab w:val="left" w:pos="3780"/>
        </w:tabs>
        <w:spacing w:line="336" w:lineRule="auto"/>
        <w:ind w:firstLine="600"/>
        <w:jc w:val="left"/>
        <w:rPr>
          <w:rFonts w:hint="eastAsia" w:ascii="宋体" w:hAnsi="宋体" w:cs="宋体"/>
          <w:sz w:val="24"/>
          <w:highlight w:val="none"/>
          <w:u w:val="single"/>
        </w:rPr>
      </w:pPr>
      <w:r>
        <w:rPr>
          <w:rFonts w:hint="eastAsia" w:ascii="宋体" w:hAnsi="宋体" w:cs="宋体"/>
          <w:sz w:val="24"/>
          <w:highlight w:val="none"/>
          <w:u w:val="single"/>
        </w:rPr>
        <w:t>c、暂定价由发包人按签证列入结算价；无投标价的材料，结算时按有效施工期间的《金华市建设工程造价信息价》的平均价，无信息价材料由发包人签证后列入结算价；</w:t>
      </w:r>
    </w:p>
    <w:p>
      <w:pPr>
        <w:tabs>
          <w:tab w:val="left" w:pos="3780"/>
        </w:tabs>
        <w:spacing w:line="336" w:lineRule="auto"/>
        <w:ind w:firstLine="600"/>
        <w:jc w:val="left"/>
        <w:rPr>
          <w:rFonts w:hint="eastAsia" w:ascii="宋体" w:hAnsi="宋体" w:cs="宋体"/>
          <w:sz w:val="24"/>
          <w:highlight w:val="none"/>
          <w:u w:val="single"/>
        </w:rPr>
      </w:pPr>
      <w:r>
        <w:rPr>
          <w:rFonts w:hint="eastAsia" w:ascii="宋体" w:hAnsi="宋体" w:cs="宋体"/>
          <w:sz w:val="24"/>
          <w:highlight w:val="none"/>
          <w:u w:val="single"/>
        </w:rPr>
        <w:t>d、施工过程和工程结算期间，如遇国家及地方政策性调整，本工程概不考虑。</w:t>
      </w:r>
    </w:p>
    <w:p>
      <w:pPr>
        <w:tabs>
          <w:tab w:val="left" w:pos="3780"/>
        </w:tabs>
        <w:spacing w:line="336" w:lineRule="auto"/>
        <w:ind w:firstLine="600"/>
        <w:jc w:val="left"/>
        <w:rPr>
          <w:rFonts w:hint="eastAsia" w:ascii="宋体" w:hAnsi="宋体" w:cs="宋体"/>
          <w:sz w:val="24"/>
          <w:highlight w:val="none"/>
          <w:u w:val="single"/>
        </w:rPr>
      </w:pPr>
      <w:r>
        <w:rPr>
          <w:rFonts w:hint="eastAsia" w:ascii="宋体" w:hAnsi="宋体" w:cs="宋体"/>
          <w:sz w:val="24"/>
          <w:highlight w:val="none"/>
          <w:u w:val="single"/>
        </w:rPr>
        <w:t>e、投标报价中设立品牌、规格的材料设备，原则上不允许施工变更，确需变更的，发包人有权审查该材料设备报价的合理性，如有异常报价的，承包人应承担相应经济责任后。新增加材料设备按信息价（或市场价）乘以（1-投标下浮率）进行结算。</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10.5承包人的合理化建议</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监理人审查承包人合理化建议的期限：</w:t>
      </w:r>
      <w:r>
        <w:rPr>
          <w:rFonts w:hint="eastAsia" w:ascii="宋体" w:hAnsi="宋体" w:cs="宋体"/>
          <w:b/>
          <w:sz w:val="24"/>
          <w:highlight w:val="none"/>
          <w:u w:val="single"/>
        </w:rPr>
        <w:t>按《通用条款》执行</w:t>
      </w:r>
      <w:r>
        <w:rPr>
          <w:rFonts w:hint="eastAsia" w:ascii="宋体" w:hAnsi="宋体" w:cs="宋体"/>
          <w:sz w:val="24"/>
          <w:highlight w:val="none"/>
        </w:rPr>
        <w:t>。</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发包人审批承包人合理化建议的期限：</w:t>
      </w:r>
      <w:r>
        <w:rPr>
          <w:rFonts w:hint="eastAsia" w:ascii="宋体" w:hAnsi="宋体" w:cs="宋体"/>
          <w:b/>
          <w:sz w:val="24"/>
          <w:highlight w:val="none"/>
          <w:u w:val="single"/>
        </w:rPr>
        <w:t>按《通用条款》执行</w:t>
      </w:r>
      <w:r>
        <w:rPr>
          <w:rFonts w:hint="eastAsia" w:ascii="宋体" w:hAnsi="宋体" w:cs="宋体"/>
          <w:sz w:val="24"/>
          <w:highlight w:val="none"/>
        </w:rPr>
        <w:t>。</w:t>
      </w:r>
    </w:p>
    <w:p>
      <w:pPr>
        <w:spacing w:line="336" w:lineRule="auto"/>
        <w:ind w:firstLine="480" w:firstLineChars="200"/>
        <w:jc w:val="left"/>
        <w:rPr>
          <w:rFonts w:hint="eastAsia" w:ascii="宋体" w:hAnsi="宋体" w:cs="宋体"/>
          <w:sz w:val="24"/>
          <w:highlight w:val="none"/>
          <w:u w:val="single"/>
        </w:rPr>
      </w:pPr>
      <w:r>
        <w:rPr>
          <w:rFonts w:hint="eastAsia" w:ascii="宋体" w:hAnsi="宋体" w:cs="宋体"/>
          <w:sz w:val="24"/>
          <w:highlight w:val="none"/>
        </w:rPr>
        <w:t>承包人提出的合理化建议降低了合同价格或者提高了工程经济效益的奖励的方法和金额为：</w:t>
      </w:r>
      <w:r>
        <w:rPr>
          <w:rFonts w:hint="eastAsia" w:ascii="宋体" w:hAnsi="宋体" w:cs="宋体"/>
          <w:sz w:val="24"/>
          <w:highlight w:val="none"/>
          <w:u w:val="single"/>
        </w:rPr>
        <w:t xml:space="preserve">   /   </w:t>
      </w:r>
      <w:r>
        <w:rPr>
          <w:rFonts w:hint="eastAsia" w:ascii="宋体" w:hAnsi="宋体" w:cs="宋体"/>
          <w:sz w:val="24"/>
          <w:highlight w:val="none"/>
        </w:rPr>
        <w:t>。</w:t>
      </w:r>
    </w:p>
    <w:p>
      <w:pPr>
        <w:spacing w:after="120" w:line="336" w:lineRule="auto"/>
        <w:ind w:firstLine="480" w:firstLineChars="200"/>
        <w:outlineLvl w:val="0"/>
        <w:rPr>
          <w:rFonts w:hint="eastAsia" w:ascii="宋体" w:hAnsi="宋体" w:cs="宋体"/>
          <w:sz w:val="24"/>
          <w:highlight w:val="none"/>
        </w:rPr>
      </w:pPr>
      <w:bookmarkStart w:id="72" w:name="_Toc5100"/>
      <w:r>
        <w:rPr>
          <w:rFonts w:hint="eastAsia" w:ascii="宋体" w:hAnsi="宋体" w:cs="宋体"/>
          <w:sz w:val="24"/>
          <w:highlight w:val="none"/>
        </w:rPr>
        <w:t>10.7 暂估价</w:t>
      </w:r>
      <w:bookmarkEnd w:id="72"/>
    </w:p>
    <w:p>
      <w:pPr>
        <w:spacing w:line="336" w:lineRule="auto"/>
        <w:ind w:firstLine="480" w:firstLineChars="200"/>
        <w:jc w:val="left"/>
        <w:rPr>
          <w:rFonts w:hint="eastAsia" w:ascii="宋体" w:hAnsi="宋体" w:cs="宋体"/>
          <w:sz w:val="24"/>
          <w:highlight w:val="none"/>
        </w:rPr>
      </w:pPr>
      <w:r>
        <w:rPr>
          <w:rFonts w:hint="eastAsia" w:ascii="宋体" w:hAnsi="宋体" w:cs="宋体"/>
          <w:kern w:val="0"/>
          <w:sz w:val="24"/>
          <w:highlight w:val="none"/>
        </w:rPr>
        <w:t>暂</w:t>
      </w:r>
      <w:bookmarkStart w:id="73" w:name="_Toc318581176"/>
      <w:bookmarkStart w:id="74" w:name="_Toc312678034"/>
      <w:bookmarkStart w:id="75" w:name="_Toc312677508"/>
      <w:r>
        <w:rPr>
          <w:rFonts w:hint="eastAsia" w:ascii="宋体" w:hAnsi="宋体" w:cs="宋体"/>
          <w:kern w:val="0"/>
          <w:sz w:val="24"/>
          <w:highlight w:val="none"/>
        </w:rPr>
        <w:t>估价材料和工程设备的明细详见附件11：《</w:t>
      </w:r>
      <w:r>
        <w:rPr>
          <w:rFonts w:hint="eastAsia" w:ascii="宋体" w:hAnsi="宋体" w:cs="宋体"/>
          <w:sz w:val="24"/>
          <w:highlight w:val="none"/>
        </w:rPr>
        <w:t>暂估价一览表》</w:t>
      </w:r>
      <w:r>
        <w:rPr>
          <w:rFonts w:hint="eastAsia" w:ascii="宋体" w:hAnsi="宋体" w:cs="宋体"/>
          <w:kern w:val="0"/>
          <w:sz w:val="24"/>
          <w:highlight w:val="none"/>
        </w:rPr>
        <w:t>。</w:t>
      </w:r>
    </w:p>
    <w:bookmarkEnd w:id="73"/>
    <w:bookmarkEnd w:id="74"/>
    <w:bookmarkEnd w:id="75"/>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1</w:t>
      </w:r>
      <w:bookmarkStart w:id="76" w:name="_Toc312678035"/>
      <w:bookmarkStart w:id="77" w:name="_Toc318581177"/>
      <w:bookmarkStart w:id="78" w:name="_Toc312677509"/>
      <w:r>
        <w:rPr>
          <w:rFonts w:hint="eastAsia" w:ascii="宋体" w:hAnsi="宋体" w:cs="宋体"/>
          <w:sz w:val="24"/>
          <w:highlight w:val="none"/>
        </w:rPr>
        <w:t>0.7.1 依法必须招标的暂估价项目</w:t>
      </w:r>
    </w:p>
    <w:bookmarkEnd w:id="76"/>
    <w:bookmarkEnd w:id="77"/>
    <w:bookmarkEnd w:id="78"/>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对于依法必须招标的暂估价项目的确认和批准采取第</w:t>
      </w:r>
      <w:r>
        <w:rPr>
          <w:rFonts w:hint="eastAsia" w:ascii="宋体" w:hAnsi="宋体" w:cs="宋体"/>
          <w:sz w:val="24"/>
          <w:highlight w:val="none"/>
          <w:u w:val="single"/>
        </w:rPr>
        <w:t xml:space="preserve">  二  </w:t>
      </w:r>
      <w:r>
        <w:rPr>
          <w:rFonts w:hint="eastAsia" w:ascii="宋体" w:hAnsi="宋体" w:cs="宋体"/>
          <w:sz w:val="24"/>
          <w:highlight w:val="none"/>
        </w:rPr>
        <w:t>种方式确定。</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10.7.2 不属于依法必须招标的暂估价项目</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对于不属于依法必须招标的暂估价项目的确认和批准采取第</w:t>
      </w:r>
      <w:r>
        <w:rPr>
          <w:rFonts w:hint="eastAsia" w:ascii="宋体" w:hAnsi="宋体" w:cs="宋体"/>
          <w:sz w:val="24"/>
          <w:highlight w:val="none"/>
          <w:u w:val="single"/>
        </w:rPr>
        <w:t xml:space="preserve">  一 </w:t>
      </w:r>
      <w:r>
        <w:rPr>
          <w:rFonts w:hint="eastAsia" w:ascii="宋体" w:hAnsi="宋体" w:cs="宋体"/>
          <w:sz w:val="24"/>
          <w:highlight w:val="none"/>
        </w:rPr>
        <w:t xml:space="preserve"> 种方式确定。</w:t>
      </w:r>
    </w:p>
    <w:p>
      <w:pPr>
        <w:spacing w:line="336" w:lineRule="auto"/>
        <w:ind w:firstLine="480" w:firstLineChars="200"/>
        <w:jc w:val="left"/>
        <w:rPr>
          <w:rFonts w:hint="eastAsia" w:ascii="宋体" w:hAnsi="宋体" w:cs="宋体"/>
          <w:kern w:val="0"/>
          <w:sz w:val="24"/>
          <w:highlight w:val="none"/>
        </w:rPr>
      </w:pPr>
      <w:r>
        <w:rPr>
          <w:rFonts w:hint="eastAsia" w:ascii="宋体" w:hAnsi="宋体" w:cs="宋体"/>
          <w:sz w:val="24"/>
          <w:highlight w:val="none"/>
        </w:rPr>
        <w:t>第3种方式：</w:t>
      </w:r>
      <w:r>
        <w:rPr>
          <w:rFonts w:hint="eastAsia" w:ascii="宋体" w:hAnsi="宋体" w:cs="宋体"/>
          <w:kern w:val="0"/>
          <w:sz w:val="24"/>
          <w:highlight w:val="none"/>
        </w:rPr>
        <w:t>承包人直接实施的暂估价项目</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承包人直接实施的暂估价项目的约定：</w:t>
      </w:r>
      <w:r>
        <w:rPr>
          <w:rFonts w:hint="eastAsia" w:ascii="宋体" w:hAnsi="宋体" w:cs="宋体"/>
          <w:sz w:val="24"/>
          <w:highlight w:val="none"/>
          <w:u w:val="single"/>
        </w:rPr>
        <w:t xml:space="preserve">    /      </w:t>
      </w:r>
      <w:r>
        <w:rPr>
          <w:rFonts w:hint="eastAsia" w:ascii="宋体" w:hAnsi="宋体" w:cs="宋体"/>
          <w:sz w:val="24"/>
          <w:highlight w:val="none"/>
        </w:rPr>
        <w:t>。</w:t>
      </w:r>
    </w:p>
    <w:p>
      <w:pPr>
        <w:tabs>
          <w:tab w:val="left" w:pos="3780"/>
        </w:tabs>
        <w:spacing w:after="120" w:line="336" w:lineRule="auto"/>
        <w:ind w:firstLine="482" w:firstLineChars="200"/>
        <w:rPr>
          <w:rFonts w:hint="eastAsia" w:ascii="宋体" w:hAnsi="宋体" w:cs="宋体"/>
          <w:b/>
          <w:sz w:val="24"/>
          <w:highlight w:val="none"/>
        </w:rPr>
      </w:pPr>
      <w:r>
        <w:rPr>
          <w:rFonts w:hint="eastAsia" w:ascii="宋体" w:hAnsi="宋体" w:cs="宋体"/>
          <w:b/>
          <w:sz w:val="24"/>
          <w:highlight w:val="none"/>
        </w:rPr>
        <w:t>10.8 暂列金额</w:t>
      </w:r>
    </w:p>
    <w:p>
      <w:pPr>
        <w:tabs>
          <w:tab w:val="left" w:pos="3780"/>
        </w:tabs>
        <w:autoSpaceDE w:val="0"/>
        <w:autoSpaceDN w:val="0"/>
        <w:adjustRightInd w:val="0"/>
        <w:spacing w:line="336" w:lineRule="auto"/>
        <w:ind w:firstLine="480" w:firstLineChars="200"/>
        <w:jc w:val="left"/>
        <w:rPr>
          <w:rFonts w:hint="eastAsia" w:ascii="宋体" w:hAnsi="宋体" w:cs="宋体"/>
          <w:sz w:val="24"/>
          <w:highlight w:val="none"/>
          <w:u w:val="single"/>
        </w:rPr>
      </w:pPr>
      <w:r>
        <w:rPr>
          <w:rFonts w:hint="eastAsia" w:ascii="宋体" w:hAnsi="宋体" w:cs="宋体"/>
          <w:kern w:val="0"/>
          <w:sz w:val="24"/>
          <w:highlight w:val="none"/>
        </w:rPr>
        <w:t>合同当事人关于暂列金额使用的约定：</w:t>
      </w:r>
      <w:r>
        <w:rPr>
          <w:rFonts w:hint="eastAsia" w:ascii="宋体" w:hAnsi="宋体" w:cs="宋体"/>
          <w:sz w:val="24"/>
          <w:highlight w:val="none"/>
          <w:u w:val="single"/>
        </w:rPr>
        <w:t>暂列金额应按照发包人的要求使用</w:t>
      </w:r>
      <w:r>
        <w:rPr>
          <w:rFonts w:hint="eastAsia" w:ascii="宋体" w:hAnsi="宋体" w:cs="宋体"/>
          <w:kern w:val="0"/>
          <w:sz w:val="24"/>
          <w:highlight w:val="none"/>
        </w:rPr>
        <w:t>。</w:t>
      </w:r>
    </w:p>
    <w:p>
      <w:pPr>
        <w:keepNext/>
        <w:keepLines/>
        <w:spacing w:before="120" w:after="120" w:line="336" w:lineRule="auto"/>
        <w:outlineLvl w:val="3"/>
        <w:rPr>
          <w:rFonts w:hint="eastAsia" w:ascii="宋体" w:hAnsi="宋体" w:cs="宋体"/>
          <w:bCs/>
          <w:kern w:val="0"/>
          <w:sz w:val="24"/>
          <w:highlight w:val="none"/>
        </w:rPr>
      </w:pPr>
      <w:r>
        <w:rPr>
          <w:rFonts w:hint="eastAsia" w:ascii="宋体" w:hAnsi="宋体" w:cs="宋体"/>
          <w:bCs/>
          <w:kern w:val="0"/>
          <w:sz w:val="24"/>
          <w:highlight w:val="none"/>
        </w:rPr>
        <w:t>11. 价格调整</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11.1 市场价格波动引起的调整</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市场价格波动是否调</w:t>
      </w:r>
      <w:r>
        <w:rPr>
          <w:rFonts w:hint="eastAsia" w:ascii="宋体" w:hAnsi="宋体" w:cs="宋体"/>
          <w:kern w:val="0"/>
          <w:sz w:val="24"/>
          <w:highlight w:val="none"/>
        </w:rPr>
        <w:t>整合同价格的约定：</w:t>
      </w:r>
      <w:r>
        <w:rPr>
          <w:rFonts w:hint="eastAsia" w:ascii="宋体" w:hAnsi="宋体" w:cs="宋体"/>
          <w:kern w:val="0"/>
          <w:sz w:val="24"/>
          <w:highlight w:val="none"/>
          <w:u w:val="single"/>
        </w:rPr>
        <w:t>否</w:t>
      </w:r>
      <w:r>
        <w:rPr>
          <w:rFonts w:hint="eastAsia" w:ascii="宋体" w:hAnsi="宋体" w:cs="宋体"/>
          <w:sz w:val="24"/>
          <w:highlight w:val="none"/>
        </w:rPr>
        <w:t>。</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1、允许调整的内容:</w:t>
      </w:r>
      <w:r>
        <w:rPr>
          <w:rFonts w:hint="eastAsia" w:ascii="宋体" w:hAnsi="宋体" w:cs="宋体"/>
          <w:sz w:val="24"/>
          <w:highlight w:val="none"/>
          <w:u w:val="single"/>
        </w:rPr>
        <w:t xml:space="preserve">         /         </w:t>
      </w:r>
      <w:r>
        <w:rPr>
          <w:rFonts w:hint="eastAsia" w:ascii="宋体" w:hAnsi="宋体" w:cs="宋体"/>
          <w:sz w:val="24"/>
          <w:highlight w:val="none"/>
        </w:rPr>
        <w:t>；</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2、允许调整的范围:</w:t>
      </w:r>
      <w:r>
        <w:rPr>
          <w:rFonts w:hint="eastAsia" w:ascii="宋体" w:hAnsi="宋体" w:cs="宋体"/>
          <w:sz w:val="24"/>
          <w:highlight w:val="none"/>
          <w:u w:val="single"/>
        </w:rPr>
        <w:t xml:space="preserve">         /         </w:t>
      </w:r>
      <w:r>
        <w:rPr>
          <w:rFonts w:hint="eastAsia" w:ascii="宋体" w:hAnsi="宋体" w:cs="宋体"/>
          <w:sz w:val="24"/>
          <w:highlight w:val="none"/>
        </w:rPr>
        <w:t>；</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因市场价格波动调整合同价格，采用以下第 /种方式对合同价格进行调整：</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第1种方式：采用价格指数进行价格调整。</w:t>
      </w:r>
    </w:p>
    <w:p>
      <w:pPr>
        <w:spacing w:line="336" w:lineRule="auto"/>
        <w:ind w:firstLine="480" w:firstLineChars="200"/>
        <w:jc w:val="left"/>
        <w:rPr>
          <w:rFonts w:hint="eastAsia" w:ascii="宋体" w:hAnsi="宋体" w:cs="宋体"/>
          <w:sz w:val="24"/>
          <w:highlight w:val="none"/>
          <w:u w:val="single"/>
        </w:rPr>
      </w:pPr>
      <w:r>
        <w:rPr>
          <w:rFonts w:hint="eastAsia" w:ascii="宋体" w:hAnsi="宋体" w:cs="宋体"/>
          <w:sz w:val="24"/>
          <w:highlight w:val="none"/>
        </w:rPr>
        <w:t>关于各可调因子、定值和变值权重，以及基本价格指数及其来源的约定：</w:t>
      </w:r>
      <w:r>
        <w:rPr>
          <w:rFonts w:hint="eastAsia" w:ascii="宋体" w:hAnsi="宋体" w:cs="宋体"/>
          <w:sz w:val="24"/>
          <w:highlight w:val="none"/>
          <w:u w:val="single"/>
        </w:rPr>
        <w:t xml:space="preserve">         /         </w:t>
      </w:r>
      <w:r>
        <w:rPr>
          <w:rFonts w:hint="eastAsia" w:ascii="宋体" w:hAnsi="宋体" w:cs="宋体"/>
          <w:sz w:val="24"/>
          <w:highlight w:val="none"/>
        </w:rPr>
        <w:t>；</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第2种方式：采用造价信息进行价格调整计算方法:</w:t>
      </w:r>
      <w:r>
        <w:rPr>
          <w:rFonts w:hint="eastAsia" w:ascii="宋体" w:hAnsi="宋体" w:cs="宋体"/>
          <w:sz w:val="24"/>
          <w:highlight w:val="none"/>
          <w:u w:val="single"/>
        </w:rPr>
        <w:t xml:space="preserve">      /       </w:t>
      </w:r>
      <w:r>
        <w:rPr>
          <w:rFonts w:hint="eastAsia" w:ascii="宋体" w:hAnsi="宋体" w:cs="宋体"/>
          <w:sz w:val="24"/>
          <w:highlight w:val="none"/>
        </w:rPr>
        <w:t>。</w:t>
      </w:r>
    </w:p>
    <w:p>
      <w:pPr>
        <w:keepNext/>
        <w:keepLines/>
        <w:spacing w:before="120" w:after="120" w:line="336" w:lineRule="auto"/>
        <w:outlineLvl w:val="3"/>
        <w:rPr>
          <w:rFonts w:hint="eastAsia" w:ascii="宋体" w:hAnsi="宋体" w:cs="宋体"/>
          <w:bCs/>
          <w:kern w:val="0"/>
          <w:sz w:val="24"/>
          <w:highlight w:val="none"/>
        </w:rPr>
      </w:pPr>
      <w:bookmarkStart w:id="79" w:name="_Toc292559915"/>
      <w:bookmarkStart w:id="80" w:name="_Toc297048391"/>
      <w:bookmarkStart w:id="81" w:name="_Toc297120505"/>
      <w:bookmarkStart w:id="82" w:name="_Toc292559410"/>
      <w:bookmarkStart w:id="83" w:name="_Toc296346706"/>
      <w:bookmarkStart w:id="84" w:name="_Toc296891033"/>
      <w:bookmarkStart w:id="85" w:name="_Toc296891245"/>
      <w:bookmarkStart w:id="86" w:name="_Toc296503205"/>
      <w:bookmarkStart w:id="87" w:name="_Toc296347204"/>
      <w:bookmarkStart w:id="88" w:name="_Toc296944544"/>
      <w:bookmarkStart w:id="89" w:name="_Toc351203644"/>
      <w:bookmarkStart w:id="90" w:name="_Toc303539159"/>
      <w:bookmarkStart w:id="91" w:name="_Toc304295579"/>
      <w:bookmarkStart w:id="92" w:name="_Toc300935002"/>
      <w:bookmarkStart w:id="93" w:name="_Toc297216211"/>
      <w:bookmarkStart w:id="94" w:name="_Toc312678040"/>
      <w:bookmarkStart w:id="95" w:name="_Toc297123552"/>
      <w:r>
        <w:rPr>
          <w:rFonts w:hint="eastAsia" w:ascii="宋体" w:hAnsi="宋体" w:cs="宋体"/>
          <w:bCs/>
          <w:kern w:val="0"/>
          <w:sz w:val="24"/>
          <w:highlight w:val="none"/>
        </w:rPr>
        <w:t xml:space="preserve">12. </w:t>
      </w:r>
      <w:bookmarkEnd w:id="79"/>
      <w:bookmarkEnd w:id="80"/>
      <w:bookmarkEnd w:id="81"/>
      <w:bookmarkEnd w:id="82"/>
      <w:bookmarkEnd w:id="83"/>
      <w:bookmarkEnd w:id="84"/>
      <w:bookmarkEnd w:id="85"/>
      <w:bookmarkEnd w:id="86"/>
      <w:bookmarkEnd w:id="87"/>
      <w:bookmarkEnd w:id="88"/>
      <w:r>
        <w:rPr>
          <w:rFonts w:hint="eastAsia" w:ascii="宋体" w:hAnsi="宋体" w:cs="宋体"/>
          <w:bCs/>
          <w:kern w:val="0"/>
          <w:sz w:val="24"/>
          <w:highlight w:val="none"/>
        </w:rPr>
        <w:t>合同价格、计量与支付</w:t>
      </w:r>
      <w:bookmarkEnd w:id="89"/>
    </w:p>
    <w:bookmarkEnd w:id="90"/>
    <w:bookmarkEnd w:id="91"/>
    <w:bookmarkEnd w:id="92"/>
    <w:bookmarkEnd w:id="93"/>
    <w:bookmarkEnd w:id="94"/>
    <w:bookmarkEnd w:id="95"/>
    <w:p>
      <w:pPr>
        <w:spacing w:after="120" w:line="336" w:lineRule="auto"/>
        <w:ind w:firstLine="480" w:firstLineChars="200"/>
        <w:rPr>
          <w:rFonts w:hint="eastAsia" w:ascii="宋体" w:hAnsi="宋体" w:cs="宋体"/>
          <w:sz w:val="24"/>
          <w:highlight w:val="none"/>
        </w:rPr>
      </w:pPr>
      <w:r>
        <w:rPr>
          <w:rFonts w:hint="eastAsia" w:ascii="宋体" w:hAnsi="宋体" w:cs="宋体"/>
          <w:sz w:val="24"/>
          <w:highlight w:val="none"/>
        </w:rPr>
        <w:t>12.1 合同价格形式</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1、单价合同。</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综合单价包含的风险范围：</w:t>
      </w:r>
      <w:r>
        <w:rPr>
          <w:rFonts w:hint="eastAsia" w:ascii="宋体" w:hAnsi="宋体" w:cs="宋体"/>
          <w:sz w:val="24"/>
          <w:highlight w:val="none"/>
          <w:u w:val="single"/>
        </w:rPr>
        <w:t>一切风险</w:t>
      </w:r>
      <w:r>
        <w:rPr>
          <w:rFonts w:hint="eastAsia" w:ascii="宋体" w:hAnsi="宋体" w:cs="宋体"/>
          <w:sz w:val="24"/>
          <w:highlight w:val="none"/>
        </w:rPr>
        <w:t>。</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风险费用的计算方法：</w:t>
      </w:r>
      <w:r>
        <w:rPr>
          <w:rFonts w:hint="eastAsia" w:ascii="宋体" w:hAnsi="宋体" w:cs="宋体"/>
          <w:sz w:val="24"/>
          <w:highlight w:val="none"/>
          <w:u w:val="single"/>
        </w:rPr>
        <w:t xml:space="preserve">    /  </w:t>
      </w:r>
      <w:r>
        <w:rPr>
          <w:rFonts w:hint="eastAsia" w:ascii="宋体" w:hAnsi="宋体" w:cs="宋体"/>
          <w:sz w:val="24"/>
          <w:highlight w:val="none"/>
        </w:rPr>
        <w:t>。</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风险范围以外合同价格的调整方法：</w:t>
      </w:r>
      <w:r>
        <w:rPr>
          <w:rFonts w:hint="eastAsia" w:ascii="宋体" w:hAnsi="宋体" w:cs="宋体"/>
          <w:sz w:val="24"/>
          <w:highlight w:val="none"/>
          <w:u w:val="single"/>
        </w:rPr>
        <w:t xml:space="preserve">   /  </w:t>
      </w:r>
      <w:r>
        <w:rPr>
          <w:rFonts w:hint="eastAsia" w:ascii="宋体" w:hAnsi="宋体" w:cs="宋体"/>
          <w:sz w:val="24"/>
          <w:highlight w:val="none"/>
        </w:rPr>
        <w:t>。</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2、总价合同。</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总价包含的风险范围：</w:t>
      </w:r>
      <w:r>
        <w:rPr>
          <w:rFonts w:hint="eastAsia" w:ascii="宋体" w:hAnsi="宋体" w:cs="宋体"/>
          <w:sz w:val="24"/>
          <w:highlight w:val="none"/>
          <w:u w:val="single"/>
        </w:rPr>
        <w:t xml:space="preserve">   /  </w:t>
      </w:r>
      <w:r>
        <w:rPr>
          <w:rFonts w:hint="eastAsia" w:ascii="宋体" w:hAnsi="宋体" w:cs="宋体"/>
          <w:sz w:val="24"/>
          <w:highlight w:val="none"/>
        </w:rPr>
        <w:t>。</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风险费用的计算方法：</w:t>
      </w:r>
      <w:r>
        <w:rPr>
          <w:rFonts w:hint="eastAsia" w:ascii="宋体" w:hAnsi="宋体" w:cs="宋体"/>
          <w:sz w:val="24"/>
          <w:highlight w:val="none"/>
          <w:u w:val="single"/>
        </w:rPr>
        <w:t>/</w:t>
      </w:r>
      <w:r>
        <w:rPr>
          <w:rFonts w:hint="eastAsia" w:ascii="宋体" w:hAnsi="宋体" w:cs="宋体"/>
          <w:sz w:val="24"/>
          <w:highlight w:val="none"/>
        </w:rPr>
        <w:t>。</w:t>
      </w:r>
    </w:p>
    <w:p>
      <w:pPr>
        <w:tabs>
          <w:tab w:val="left" w:pos="3780"/>
        </w:tabs>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12.1.1竣工价款的结算：</w:t>
      </w:r>
    </w:p>
    <w:p>
      <w:pPr>
        <w:numPr>
          <w:ilvl w:val="0"/>
          <w:numId w:val="11"/>
        </w:numPr>
        <w:shd w:val="clear" w:color="auto" w:fill="auto"/>
        <w:tabs>
          <w:tab w:val="left" w:pos="3780"/>
        </w:tabs>
        <w:spacing w:line="336"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工程量确定：工程量根据竣工图及设计变更联系单，按照《建设工程工程量清单计价规范》GB50500-2013、《市政工程工程量计算规范》（GB50857-2013）及浙江省有关补充规定、《浙江省市政工程预算定额》（2018版）、《房屋建筑与装饰工程工程量计算规范》GB50854-2013、《园林绿化工程工程量计算规范（GB50858-2013）》</w:t>
      </w:r>
      <w:r>
        <w:rPr>
          <w:rFonts w:hint="eastAsia" w:ascii="宋体" w:hAnsi="宋体" w:eastAsia="宋体" w:cs="宋体"/>
          <w:sz w:val="24"/>
          <w:highlight w:val="none"/>
          <w:lang w:eastAsia="zh-CN"/>
        </w:rPr>
        <w:t>、《浙江省园林绿化及仿古建筑工程预算定额(2018版)》、</w:t>
      </w:r>
      <w:r>
        <w:rPr>
          <w:rFonts w:hint="eastAsia" w:ascii="宋体" w:hAnsi="宋体" w:eastAsia="宋体" w:cs="宋体"/>
          <w:sz w:val="24"/>
          <w:highlight w:val="none"/>
        </w:rPr>
        <w:t>《通用安装工程工程量计算规范》GB50856-2013、《浙江省房屋建筑与装饰工程预算定额》（2018版）、《浙江省通用安装工程预算定额》（2018版）、《浙江省建设工程计价规则》及浙江省有关补充规定计算工程量。</w:t>
      </w:r>
    </w:p>
    <w:p>
      <w:pPr>
        <w:tabs>
          <w:tab w:val="left" w:pos="3780"/>
        </w:tabs>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（2）综合单价的确定：</w:t>
      </w:r>
    </w:p>
    <w:p>
      <w:pPr>
        <w:tabs>
          <w:tab w:val="left" w:pos="3780"/>
        </w:tabs>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①发包人提供的工程量清单有数量误差，或设计变更引起工程量清单项目工程数量的增减，执行合同原有的价格。</w:t>
      </w:r>
    </w:p>
    <w:p>
      <w:pPr>
        <w:tabs>
          <w:tab w:val="left" w:pos="3780"/>
        </w:tabs>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②发包人提供的工程量清单项目漏项，或设计变更引起新的工程量清单项目，其相应综合单价的确定方法为：</w:t>
      </w:r>
    </w:p>
    <w:p>
      <w:pPr>
        <w:tabs>
          <w:tab w:val="left" w:pos="3780"/>
        </w:tabs>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a、合同中有类似清单项目综合单价的，可以参照合同中类似项目的综合单价计算确定。</w:t>
      </w:r>
    </w:p>
    <w:p>
      <w:pPr>
        <w:tabs>
          <w:tab w:val="left" w:pos="3780"/>
        </w:tabs>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b、合同中没有类似清单项目综合单价的，由承包人根据招标最高限价编制原则及中标下浮率</w:t>
      </w:r>
      <w:r>
        <w:rPr>
          <w:rFonts w:hint="eastAsia" w:ascii="宋体" w:hAnsi="宋体" w:cs="宋体"/>
          <w:b/>
          <w:sz w:val="24"/>
          <w:highlight w:val="none"/>
          <w:u w:val="single"/>
        </w:rPr>
        <w:t>[（1-中标价÷招标控制价）×100％]进行组价</w:t>
      </w:r>
      <w:r>
        <w:rPr>
          <w:rFonts w:hint="eastAsia" w:ascii="宋体" w:hAnsi="宋体" w:cs="宋体"/>
          <w:sz w:val="24"/>
          <w:highlight w:val="none"/>
        </w:rPr>
        <w:t>，</w:t>
      </w:r>
      <w:r>
        <w:rPr>
          <w:rFonts w:hint="eastAsia" w:ascii="宋体" w:hAnsi="宋体" w:cs="宋体"/>
          <w:b/>
          <w:sz w:val="24"/>
          <w:highlight w:val="none"/>
          <w:u w:val="single"/>
        </w:rPr>
        <w:t>组价出新的综合单价，</w:t>
      </w:r>
      <w:r>
        <w:rPr>
          <w:rFonts w:hint="eastAsia" w:ascii="宋体" w:hAnsi="宋体" w:cs="宋体"/>
          <w:sz w:val="24"/>
          <w:highlight w:val="none"/>
        </w:rPr>
        <w:t>报发包人确认后作为结算的依据，承包人自行漏项的不作调整</w:t>
      </w:r>
      <w:r>
        <w:rPr>
          <w:rFonts w:hint="eastAsia" w:ascii="宋体" w:hAnsi="宋体" w:cs="宋体"/>
          <w:b/>
          <w:sz w:val="24"/>
          <w:highlight w:val="none"/>
          <w:u w:val="single"/>
        </w:rPr>
        <w:t>（中标价及招标最高限价在计算中标下浮率时应扣除暂列金额，下同）</w:t>
      </w:r>
      <w:r>
        <w:rPr>
          <w:rFonts w:hint="eastAsia" w:ascii="宋体" w:hAnsi="宋体" w:cs="宋体"/>
          <w:sz w:val="24"/>
          <w:highlight w:val="none"/>
        </w:rPr>
        <w:t>。</w:t>
      </w:r>
    </w:p>
    <w:p>
      <w:pPr>
        <w:tabs>
          <w:tab w:val="left" w:pos="3780"/>
        </w:tabs>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c、暂定价由发包人按签证列入结算价；无投标价的材料，结算时按有效施工期间的</w:t>
      </w:r>
      <w:r>
        <w:rPr>
          <w:rFonts w:hint="eastAsia" w:ascii="宋体" w:hAnsi="宋体" w:cs="宋体"/>
          <w:b/>
          <w:sz w:val="24"/>
          <w:highlight w:val="none"/>
          <w:u w:val="single"/>
        </w:rPr>
        <w:t>《金华造价信息》</w:t>
      </w:r>
      <w:r>
        <w:rPr>
          <w:rFonts w:hint="eastAsia" w:ascii="宋体" w:hAnsi="宋体" w:cs="宋体"/>
          <w:sz w:val="24"/>
          <w:highlight w:val="none"/>
        </w:rPr>
        <w:t>的平均价，无信息价材料由发包人签证后列入结算价；</w:t>
      </w:r>
    </w:p>
    <w:p>
      <w:pPr>
        <w:tabs>
          <w:tab w:val="left" w:pos="3780"/>
        </w:tabs>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d、施工过程和工程结算期间，如遇国家及地方政策性调整，本工程概不考虑。</w:t>
      </w:r>
    </w:p>
    <w:p>
      <w:pPr>
        <w:tabs>
          <w:tab w:val="left" w:pos="3780"/>
        </w:tabs>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e、投标报价中设立品牌、规格的材料设备，原则上不允许施工变更，确需变更的，发包人有权审查该材料设备报价的合理性，如有异常报价的，承包人应承担相应经济责任后。新增加材料设备按信息价（或市场价）乘以（1-中标下浮率）进行结算。</w:t>
      </w:r>
    </w:p>
    <w:p>
      <w:pPr>
        <w:tabs>
          <w:tab w:val="left" w:pos="3780"/>
        </w:tabs>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③由于清单项目中项目特征或工程内容发生变更的，应以原综合单价为基础，仅就变更部分相应定额子目调整综合单价。</w:t>
      </w:r>
    </w:p>
    <w:p>
      <w:pPr>
        <w:tabs>
          <w:tab w:val="left" w:pos="3780"/>
        </w:tabs>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12.1.2竣工结算在以下情况下不能调整：</w:t>
      </w:r>
    </w:p>
    <w:p>
      <w:pPr>
        <w:tabs>
          <w:tab w:val="left" w:pos="3780"/>
        </w:tabs>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（1）承包人为方便施工而更改施工方案或施工方法而增加的费用。</w:t>
      </w:r>
    </w:p>
    <w:p>
      <w:pPr>
        <w:tabs>
          <w:tab w:val="left" w:pos="3780"/>
        </w:tabs>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2）承包人未填报单价的项目，视为其费用已包含在其他项目中，其费用不能调整；承包人未填报单价的项目，结算时有数量减少，其减少部分的费用按投标文件的组价原则结合省定额有关子项重新组价出综合单价进行调整。</w:t>
      </w:r>
    </w:p>
    <w:p>
      <w:pPr>
        <w:tabs>
          <w:tab w:val="left" w:pos="3780"/>
        </w:tabs>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（3）施工技术措施费中以“项”为单位报价的子项，按投标报价包干不得调整。</w:t>
      </w:r>
    </w:p>
    <w:p>
      <w:pPr>
        <w:tabs>
          <w:tab w:val="left" w:pos="3780"/>
        </w:tabs>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12.1.3人工、材料结算价格的调整：不调整。</w:t>
      </w:r>
    </w:p>
    <w:p>
      <w:pPr>
        <w:tabs>
          <w:tab w:val="left" w:pos="3780"/>
        </w:tabs>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12.1.4工程竣工结算审核追加费用：工程审价结束后，当核减金额超过5%以上的，超出部分的审价费由承包人承担，发包人从应付工程价款中代扣代缴。</w:t>
      </w:r>
    </w:p>
    <w:p>
      <w:pPr>
        <w:spacing w:after="120" w:line="336" w:lineRule="auto"/>
        <w:ind w:firstLine="480" w:firstLineChars="200"/>
        <w:rPr>
          <w:rFonts w:hint="eastAsia" w:ascii="宋体" w:hAnsi="宋体" w:cs="宋体"/>
          <w:sz w:val="24"/>
          <w:highlight w:val="none"/>
        </w:rPr>
      </w:pPr>
      <w:r>
        <w:rPr>
          <w:rFonts w:hint="eastAsia" w:ascii="宋体" w:hAnsi="宋体" w:cs="宋体"/>
          <w:sz w:val="24"/>
          <w:highlight w:val="none"/>
        </w:rPr>
        <w:t>12.2 预付款</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12.2.1 预付款的支付</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预付款支付比例或金额：</w:t>
      </w:r>
      <w:r>
        <w:rPr>
          <w:rFonts w:hint="eastAsia" w:ascii="宋体" w:hAnsi="宋体" w:cs="宋体"/>
          <w:sz w:val="24"/>
          <w:highlight w:val="none"/>
          <w:u w:val="single"/>
        </w:rPr>
        <w:t xml:space="preserve">          /                      </w:t>
      </w:r>
      <w:r>
        <w:rPr>
          <w:rFonts w:hint="eastAsia" w:ascii="宋体" w:hAnsi="宋体" w:cs="宋体"/>
          <w:sz w:val="24"/>
          <w:highlight w:val="none"/>
        </w:rPr>
        <w:t>。</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预付款支付期限：</w:t>
      </w:r>
      <w:r>
        <w:rPr>
          <w:rFonts w:hint="eastAsia" w:ascii="宋体" w:hAnsi="宋体" w:cs="宋体"/>
          <w:sz w:val="24"/>
          <w:highlight w:val="none"/>
          <w:u w:val="single"/>
        </w:rPr>
        <w:t xml:space="preserve">                /                      </w:t>
      </w:r>
      <w:r>
        <w:rPr>
          <w:rFonts w:hint="eastAsia" w:ascii="宋体" w:hAnsi="宋体" w:cs="宋体"/>
          <w:sz w:val="24"/>
          <w:highlight w:val="none"/>
        </w:rPr>
        <w:t>。</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预付款扣回的方式：</w:t>
      </w:r>
      <w:r>
        <w:rPr>
          <w:rFonts w:hint="eastAsia" w:ascii="宋体" w:hAnsi="宋体" w:cs="宋体"/>
          <w:sz w:val="24"/>
          <w:highlight w:val="none"/>
          <w:u w:val="single"/>
        </w:rPr>
        <w:t xml:space="preserve">              /                      </w:t>
      </w:r>
      <w:r>
        <w:rPr>
          <w:rFonts w:hint="eastAsia" w:ascii="宋体" w:hAnsi="宋体" w:cs="宋体"/>
          <w:sz w:val="24"/>
          <w:highlight w:val="none"/>
        </w:rPr>
        <w:t>。</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12.2.2 预付款担保</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承包人提交预付款担保的期限：</w:t>
      </w:r>
      <w:r>
        <w:rPr>
          <w:rFonts w:hint="eastAsia" w:ascii="宋体" w:hAnsi="宋体" w:cs="宋体"/>
          <w:sz w:val="24"/>
          <w:highlight w:val="none"/>
          <w:u w:val="single"/>
        </w:rPr>
        <w:t xml:space="preserve">       /                   </w:t>
      </w:r>
      <w:r>
        <w:rPr>
          <w:rFonts w:hint="eastAsia" w:ascii="宋体" w:hAnsi="宋体" w:cs="宋体"/>
          <w:sz w:val="24"/>
          <w:highlight w:val="none"/>
        </w:rPr>
        <w:t>。</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预付款担保的形式为：</w:t>
      </w:r>
      <w:r>
        <w:rPr>
          <w:rFonts w:hint="eastAsia" w:ascii="宋体" w:hAnsi="宋体" w:cs="宋体"/>
          <w:sz w:val="24"/>
          <w:highlight w:val="none"/>
          <w:u w:val="single"/>
        </w:rPr>
        <w:t xml:space="preserve">              /                    </w:t>
      </w:r>
      <w:r>
        <w:rPr>
          <w:rFonts w:hint="eastAsia" w:ascii="宋体" w:hAnsi="宋体" w:cs="宋体"/>
          <w:sz w:val="24"/>
          <w:highlight w:val="none"/>
        </w:rPr>
        <w:t>。</w:t>
      </w:r>
    </w:p>
    <w:p>
      <w:pPr>
        <w:spacing w:after="120" w:line="336" w:lineRule="auto"/>
        <w:ind w:firstLine="480" w:firstLineChars="200"/>
        <w:rPr>
          <w:rFonts w:hint="eastAsia" w:ascii="宋体" w:hAnsi="宋体" w:cs="宋体"/>
          <w:sz w:val="24"/>
          <w:highlight w:val="none"/>
        </w:rPr>
      </w:pPr>
      <w:r>
        <w:rPr>
          <w:rFonts w:hint="eastAsia" w:ascii="宋体" w:hAnsi="宋体" w:cs="宋体"/>
          <w:sz w:val="24"/>
          <w:highlight w:val="none"/>
        </w:rPr>
        <w:t>12.3 计量</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12.3.1 计量原则</w:t>
      </w:r>
    </w:p>
    <w:p>
      <w:pPr>
        <w:shd w:val="clear" w:color="auto" w:fill="auto"/>
        <w:spacing w:line="336" w:lineRule="auto"/>
        <w:ind w:firstLine="480" w:firstLineChars="200"/>
        <w:jc w:val="left"/>
        <w:rPr>
          <w:rFonts w:hint="eastAsia" w:ascii="宋体" w:hAnsi="宋体" w:eastAsia="宋体" w:cs="宋体"/>
          <w:b/>
          <w:sz w:val="24"/>
          <w:highlight w:val="none"/>
          <w:u w:val="single"/>
          <w:shd w:val="clear" w:color="auto" w:fill="auto"/>
        </w:rPr>
      </w:pPr>
      <w:r>
        <w:rPr>
          <w:rFonts w:hint="eastAsia" w:ascii="宋体" w:hAnsi="宋体" w:cs="宋体"/>
          <w:sz w:val="24"/>
          <w:highlight w:val="none"/>
        </w:rPr>
        <w:t>工程量计算规则：</w:t>
      </w:r>
      <w:r>
        <w:rPr>
          <w:rFonts w:hint="eastAsia" w:ascii="宋体" w:hAnsi="宋体" w:cs="宋体"/>
          <w:b/>
          <w:sz w:val="24"/>
          <w:highlight w:val="none"/>
          <w:u w:val="single"/>
          <w:shd w:val="clear" w:color="auto" w:fill="auto"/>
        </w:rPr>
        <w:t>工程量根据竣工图及设计变更联系单，</w:t>
      </w:r>
      <w:r>
        <w:rPr>
          <w:rFonts w:hint="eastAsia" w:ascii="宋体" w:hAnsi="宋体" w:eastAsia="宋体" w:cs="宋体"/>
          <w:b/>
          <w:sz w:val="24"/>
          <w:highlight w:val="none"/>
          <w:u w:val="single"/>
          <w:shd w:val="clear" w:color="auto" w:fill="auto"/>
        </w:rPr>
        <w:t>按照《建设工程工程量清单计价规范》GB50500-2013、《市政工程工程量计算规范》（GB50857-2013）、及浙江省有关补充规定、《浙江省市政工程预算定额》（2018版）、《房屋建筑与装饰工程工程量计算规范》GB50854-2013、《通用安装工程工程量计算规范》GB50856-2013、《浙江省房屋建筑与装饰工程预算定额》（2018版）、《园林绿化工程工程量计算规范（GB50858-2013）》</w:t>
      </w:r>
      <w:r>
        <w:rPr>
          <w:rFonts w:hint="eastAsia" w:ascii="宋体" w:hAnsi="宋体" w:eastAsia="宋体" w:cs="宋体"/>
          <w:b/>
          <w:sz w:val="24"/>
          <w:highlight w:val="none"/>
          <w:u w:val="single"/>
          <w:shd w:val="clear" w:color="auto" w:fill="auto"/>
          <w:lang w:eastAsia="zh-CN"/>
        </w:rPr>
        <w:t>、《浙江省园林绿化及仿古建筑工程预算定额(2018版)》、</w:t>
      </w:r>
      <w:r>
        <w:rPr>
          <w:rFonts w:hint="eastAsia" w:ascii="宋体" w:hAnsi="宋体" w:eastAsia="宋体" w:cs="宋体"/>
          <w:b/>
          <w:sz w:val="24"/>
          <w:highlight w:val="none"/>
          <w:u w:val="single"/>
          <w:shd w:val="clear" w:color="auto" w:fill="auto"/>
        </w:rPr>
        <w:t>《浙江省通用安装工程预算定额》（2018版）、《浙江省建设工程计价规则》及有关补充规定计算工程量  。</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12.3.2 计量周期</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关于计量周期的约定：</w:t>
      </w:r>
      <w:r>
        <w:rPr>
          <w:rFonts w:hint="eastAsia" w:ascii="宋体" w:hAnsi="宋体" w:cs="宋体"/>
          <w:sz w:val="24"/>
          <w:highlight w:val="none"/>
          <w:u w:val="single"/>
        </w:rPr>
        <w:t xml:space="preserve">            /                      </w:t>
      </w:r>
      <w:r>
        <w:rPr>
          <w:rFonts w:hint="eastAsia" w:ascii="宋体" w:hAnsi="宋体" w:cs="宋体"/>
          <w:sz w:val="24"/>
          <w:highlight w:val="none"/>
        </w:rPr>
        <w:t>。</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12.3.3 单价合同的计量</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关于单价合同计量的约定：</w:t>
      </w:r>
      <w:r>
        <w:rPr>
          <w:rFonts w:hint="eastAsia" w:ascii="宋体" w:hAnsi="宋体" w:cs="宋体"/>
          <w:sz w:val="24"/>
          <w:highlight w:val="none"/>
          <w:u w:val="single"/>
        </w:rPr>
        <w:t xml:space="preserve">           /                   </w:t>
      </w:r>
      <w:r>
        <w:rPr>
          <w:rFonts w:hint="eastAsia" w:ascii="宋体" w:hAnsi="宋体" w:cs="宋体"/>
          <w:sz w:val="24"/>
          <w:highlight w:val="none"/>
        </w:rPr>
        <w:t>。</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12.3.4 总价合同的计量</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关于总价合同计量的约定：</w:t>
      </w:r>
      <w:r>
        <w:rPr>
          <w:rFonts w:hint="eastAsia" w:ascii="宋体" w:hAnsi="宋体" w:cs="宋体"/>
          <w:sz w:val="24"/>
          <w:highlight w:val="none"/>
          <w:u w:val="single"/>
        </w:rPr>
        <w:t xml:space="preserve">           /                   </w:t>
      </w:r>
      <w:r>
        <w:rPr>
          <w:rFonts w:hint="eastAsia" w:ascii="宋体" w:hAnsi="宋体" w:cs="宋体"/>
          <w:sz w:val="24"/>
          <w:highlight w:val="none"/>
        </w:rPr>
        <w:t>。</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12.3.5总价合同采用支付分解表计量支付的，是否适用第</w:t>
      </w:r>
      <w:r>
        <w:rPr>
          <w:rFonts w:hint="eastAsia" w:ascii="宋体" w:hAnsi="宋体" w:cs="宋体"/>
          <w:kern w:val="0"/>
          <w:sz w:val="24"/>
          <w:highlight w:val="none"/>
        </w:rPr>
        <w:t xml:space="preserve">12.3.4 </w:t>
      </w:r>
      <w:r>
        <w:rPr>
          <w:rFonts w:hint="eastAsia" w:ascii="宋体" w:hAnsi="宋体" w:cs="宋体"/>
          <w:sz w:val="24"/>
          <w:highlight w:val="none"/>
        </w:rPr>
        <w:t>项</w:t>
      </w:r>
      <w:r>
        <w:rPr>
          <w:rFonts w:hint="eastAsia" w:ascii="宋体" w:hAnsi="宋体" w:cs="宋体"/>
          <w:kern w:val="0"/>
          <w:sz w:val="24"/>
          <w:highlight w:val="none"/>
        </w:rPr>
        <w:t>〔总价合同的计量〕</w:t>
      </w:r>
      <w:r>
        <w:rPr>
          <w:rFonts w:hint="eastAsia" w:ascii="宋体" w:hAnsi="宋体" w:cs="宋体"/>
          <w:sz w:val="24"/>
          <w:highlight w:val="none"/>
        </w:rPr>
        <w:t>约定进行计量：</w:t>
      </w:r>
      <w:r>
        <w:rPr>
          <w:rFonts w:hint="eastAsia" w:ascii="宋体" w:hAnsi="宋体" w:cs="宋体"/>
          <w:sz w:val="24"/>
          <w:highlight w:val="none"/>
          <w:u w:val="single"/>
        </w:rPr>
        <w:t xml:space="preserve"> / </w:t>
      </w:r>
      <w:r>
        <w:rPr>
          <w:rFonts w:hint="eastAsia" w:ascii="宋体" w:hAnsi="宋体" w:cs="宋体"/>
          <w:sz w:val="24"/>
          <w:highlight w:val="none"/>
        </w:rPr>
        <w:t>。</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12.3.6 其他价格形式合同的计量</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其他价格形式的计量方式和程序：</w:t>
      </w:r>
      <w:r>
        <w:rPr>
          <w:rFonts w:hint="eastAsia" w:ascii="宋体" w:hAnsi="宋体" w:cs="宋体"/>
          <w:sz w:val="24"/>
          <w:highlight w:val="none"/>
          <w:u w:val="single"/>
        </w:rPr>
        <w:t xml:space="preserve">        /          </w:t>
      </w:r>
      <w:r>
        <w:rPr>
          <w:rFonts w:hint="eastAsia" w:ascii="宋体" w:hAnsi="宋体" w:cs="宋体"/>
          <w:sz w:val="24"/>
          <w:highlight w:val="none"/>
        </w:rPr>
        <w:t>。</w:t>
      </w:r>
    </w:p>
    <w:p>
      <w:pPr>
        <w:tabs>
          <w:tab w:val="left" w:pos="3780"/>
        </w:tabs>
        <w:spacing w:after="120" w:line="336" w:lineRule="auto"/>
        <w:ind w:firstLine="482" w:firstLineChars="200"/>
        <w:rPr>
          <w:rFonts w:hint="eastAsia" w:ascii="宋体" w:hAnsi="宋体" w:cs="宋体"/>
          <w:b/>
          <w:sz w:val="24"/>
          <w:highlight w:val="none"/>
        </w:rPr>
      </w:pPr>
      <w:r>
        <w:rPr>
          <w:rFonts w:hint="eastAsia" w:ascii="宋体" w:hAnsi="宋体" w:cs="宋体"/>
          <w:b/>
          <w:sz w:val="24"/>
          <w:highlight w:val="none"/>
        </w:rPr>
        <w:t>12.4 工程进度款支付</w:t>
      </w:r>
    </w:p>
    <w:p>
      <w:pPr>
        <w:tabs>
          <w:tab w:val="left" w:pos="3780"/>
        </w:tabs>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12.4.1 付款周期</w:t>
      </w:r>
    </w:p>
    <w:p>
      <w:pPr>
        <w:tabs>
          <w:tab w:val="left" w:pos="3780"/>
        </w:tabs>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关于付款周期的约定：</w:t>
      </w:r>
    </w:p>
    <w:p>
      <w:pPr>
        <w:tabs>
          <w:tab w:val="left" w:pos="3780"/>
        </w:tabs>
        <w:spacing w:line="336" w:lineRule="auto"/>
        <w:ind w:firstLine="480" w:firstLineChars="200"/>
        <w:jc w:val="left"/>
        <w:rPr>
          <w:rFonts w:hint="eastAsia" w:ascii="宋体" w:hAnsi="宋体" w:eastAsia="宋体" w:cs="宋体"/>
          <w:sz w:val="24"/>
          <w:highlight w:val="none"/>
        </w:rPr>
      </w:pPr>
      <w:r>
        <w:rPr>
          <w:rFonts w:hint="eastAsia" w:ascii="宋体" w:hAnsi="宋体" w:cs="宋体"/>
          <w:sz w:val="24"/>
          <w:highlight w:val="none"/>
        </w:rPr>
        <w:t>（1）合同签订后，承包人施工队伍主要管理人员到位、具备安全开工条件，经承包人、发包人、监理单位签署开工报告后，发包人向承包人支付占合同价款总额（扣除含税暂列金额、预留金</w:t>
      </w:r>
      <w:r>
        <w:rPr>
          <w:rFonts w:hint="eastAsia" w:ascii="宋体" w:hAnsi="宋体" w:eastAsia="宋体" w:cs="宋体"/>
          <w:sz w:val="24"/>
          <w:highlight w:val="none"/>
        </w:rPr>
        <w:t>）30%的预付款。承包人需在收到预付款前 10 日内向发包人提交等额预付款保函且经发包人认可。</w:t>
      </w:r>
    </w:p>
    <w:p>
      <w:pPr>
        <w:tabs>
          <w:tab w:val="left" w:pos="3780"/>
        </w:tabs>
        <w:spacing w:line="336"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 xml:space="preserve">每月按经审核的招标清单完成实物量的 80%支付工程款（含支付至农民工专用账户的20%工资性工程款），若有违约金则予以扣除，在审核后 30 天内支付，每次付款同时扣回按经审核招标清单完成实物量的工程造价 30%的工程款预付款；每次付款金额计算如下： </w:t>
      </w:r>
    </w:p>
    <w:p>
      <w:pPr>
        <w:tabs>
          <w:tab w:val="left" w:pos="3780"/>
        </w:tabs>
        <w:spacing w:line="336"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 xml:space="preserve">工资性工程款=按经审核的招标清单完成实物量的工程造价×20% </w:t>
      </w:r>
    </w:p>
    <w:p>
      <w:pPr>
        <w:tabs>
          <w:tab w:val="left" w:pos="3780"/>
        </w:tabs>
        <w:spacing w:line="336"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 xml:space="preserve">工程性工程款=按经审核的招标清单完成实物量的工程造价×（80%-20%-30%） </w:t>
      </w:r>
    </w:p>
    <w:p>
      <w:pPr>
        <w:tabs>
          <w:tab w:val="left" w:pos="3780"/>
        </w:tabs>
        <w:spacing w:line="336"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 xml:space="preserve">（2）工程完工验收并达到合同约定质量等级标准后，工程款支付至实际完成合格工程量的 90%（含预付款及进度款）； </w:t>
      </w:r>
    </w:p>
    <w:p>
      <w:pPr>
        <w:tabs>
          <w:tab w:val="left" w:pos="3780"/>
        </w:tabs>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 xml:space="preserve">（3）其余工程款待完工结算审计完毕后并提供正式发票后付至100%。 </w:t>
      </w:r>
    </w:p>
    <w:p>
      <w:pPr>
        <w:tabs>
          <w:tab w:val="left" w:pos="3780"/>
        </w:tabs>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 xml:space="preserve">（4）以上价款的支付按照有关规定，由承包人提出申请，经监理工程师、跟踪审计和发包人（建设单位）审核后，报有关部门审核后支付。 </w:t>
      </w:r>
    </w:p>
    <w:p>
      <w:pPr>
        <w:tabs>
          <w:tab w:val="left" w:pos="3780"/>
        </w:tabs>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 xml:space="preserve">（5）超出合同总价款之外的部分，一律不支付工程进度款，待结算审计后一并支付。 </w:t>
      </w:r>
    </w:p>
    <w:p>
      <w:pPr>
        <w:tabs>
          <w:tab w:val="left" w:pos="3780"/>
        </w:tabs>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工程结算造价以相关审计单位出具的本工程结算审核报告审定的金额为准。</w:t>
      </w:r>
    </w:p>
    <w:p>
      <w:pPr>
        <w:tabs>
          <w:tab w:val="left" w:pos="3780"/>
        </w:tabs>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本款中“专用合同条款中规定的逾期付款违约金”为按中国人民银行规定的同期贷款最高利率计算的逾期付款金额的利息。</w:t>
      </w:r>
    </w:p>
    <w:p>
      <w:pPr>
        <w:tabs>
          <w:tab w:val="left" w:pos="3780"/>
        </w:tabs>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甲方每次付款前，乙方应向甲方提供9%的增值税专用发票，否则甲方有权暂停支付合同价款，直至乙方提供符合约定的发票后再按约定向乙方支付合同价款，同时甲方不承担逾期付款等违约责任。【如遇国家税务主管部门对增值税税率进行调整，则按新的文件执行，因乙方原因（包括但不限于延期开票等）导致乙方增值税增加或甲方取得的进项税减少的，相应部分均由乙方承担】。</w:t>
      </w:r>
    </w:p>
    <w:p>
      <w:pPr>
        <w:tabs>
          <w:tab w:val="left" w:pos="3780"/>
        </w:tabs>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支付工程款时承包人需提供符合发包人要求的增值税专用发票（9%，如遇政策调整，按新政策执行）。</w:t>
      </w:r>
    </w:p>
    <w:p>
      <w:pPr>
        <w:tabs>
          <w:tab w:val="left" w:pos="3780"/>
        </w:tabs>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本项目工程款实行工资款和其他工程款分账管理制度，具体按《关于在全市房屋建筑和市政基础设施工程项目全面实施工资款和其他工程款分账管理制度的通知》金市建建〔2017〕124 号文件执行，民工工资管理按（金市建建【2018】89 号）文件规定执行。</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12.4.2 进度付款申请单的编制</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关于进度付款申请单编制的约定：</w:t>
      </w:r>
      <w:r>
        <w:rPr>
          <w:rFonts w:hint="eastAsia" w:ascii="宋体" w:hAnsi="宋体" w:cs="宋体"/>
          <w:b/>
          <w:sz w:val="24"/>
          <w:highlight w:val="none"/>
          <w:u w:val="single"/>
        </w:rPr>
        <w:t xml:space="preserve">按《通用条款》执行 </w:t>
      </w:r>
      <w:r>
        <w:rPr>
          <w:rFonts w:hint="eastAsia" w:ascii="宋体" w:hAnsi="宋体" w:cs="宋体"/>
          <w:sz w:val="24"/>
          <w:highlight w:val="none"/>
        </w:rPr>
        <w:t>。</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12.4.3 进度付款申请单的提交</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（1）单价合同进度付款申请单提交的约定：</w:t>
      </w:r>
      <w:r>
        <w:rPr>
          <w:rFonts w:hint="eastAsia" w:ascii="宋体" w:hAnsi="宋体" w:cs="宋体"/>
          <w:sz w:val="24"/>
          <w:highlight w:val="none"/>
          <w:u w:val="single"/>
        </w:rPr>
        <w:t xml:space="preserve">     /     </w:t>
      </w:r>
      <w:r>
        <w:rPr>
          <w:rFonts w:hint="eastAsia" w:ascii="宋体" w:hAnsi="宋体" w:cs="宋体"/>
          <w:sz w:val="24"/>
          <w:highlight w:val="none"/>
        </w:rPr>
        <w:t>。</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（2）总价合同进度付款申请单提交的约定：</w:t>
      </w:r>
      <w:r>
        <w:rPr>
          <w:rFonts w:hint="eastAsia" w:ascii="宋体" w:hAnsi="宋体" w:cs="宋体"/>
          <w:sz w:val="24"/>
          <w:highlight w:val="none"/>
          <w:u w:val="single"/>
        </w:rPr>
        <w:t xml:space="preserve">     /          </w:t>
      </w:r>
      <w:r>
        <w:rPr>
          <w:rFonts w:hint="eastAsia" w:ascii="宋体" w:hAnsi="宋体" w:cs="宋体"/>
          <w:sz w:val="24"/>
          <w:highlight w:val="none"/>
        </w:rPr>
        <w:t>。</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（3）其他价格形式合同进度付款申请单提交的约定：</w:t>
      </w:r>
      <w:r>
        <w:rPr>
          <w:rFonts w:hint="eastAsia" w:ascii="宋体" w:hAnsi="宋体" w:cs="宋体"/>
          <w:sz w:val="24"/>
          <w:highlight w:val="none"/>
          <w:u w:val="single"/>
        </w:rPr>
        <w:t xml:space="preserve"> /    </w:t>
      </w:r>
      <w:r>
        <w:rPr>
          <w:rFonts w:hint="eastAsia" w:ascii="宋体" w:hAnsi="宋体" w:cs="宋体"/>
          <w:sz w:val="24"/>
          <w:highlight w:val="none"/>
        </w:rPr>
        <w:t>。</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12.4.4 进度款审核和支付</w:t>
      </w:r>
    </w:p>
    <w:p>
      <w:pPr>
        <w:spacing w:line="336" w:lineRule="auto"/>
        <w:ind w:firstLine="480" w:firstLineChars="200"/>
        <w:jc w:val="left"/>
        <w:rPr>
          <w:rFonts w:hint="eastAsia" w:ascii="宋体" w:hAnsi="宋体" w:cs="宋体"/>
          <w:sz w:val="24"/>
          <w:highlight w:val="none"/>
          <w:u w:val="single"/>
        </w:rPr>
      </w:pPr>
      <w:r>
        <w:rPr>
          <w:rFonts w:hint="eastAsia" w:ascii="宋体" w:hAnsi="宋体" w:cs="宋体"/>
          <w:sz w:val="24"/>
          <w:highlight w:val="none"/>
        </w:rPr>
        <w:t>（1）监理人审查并报送发包人的期限：</w:t>
      </w:r>
      <w:r>
        <w:rPr>
          <w:rFonts w:hint="eastAsia" w:ascii="宋体" w:hAnsi="宋体" w:cs="宋体"/>
          <w:sz w:val="24"/>
          <w:highlight w:val="none"/>
          <w:u w:val="single"/>
        </w:rPr>
        <w:t xml:space="preserve">        /          </w:t>
      </w:r>
      <w:r>
        <w:rPr>
          <w:rFonts w:hint="eastAsia" w:ascii="宋体" w:hAnsi="宋体" w:cs="宋体"/>
          <w:sz w:val="24"/>
          <w:highlight w:val="none"/>
        </w:rPr>
        <w:t>。</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发包人完成审批并签发进度款支付证书的期限：</w:t>
      </w:r>
      <w:r>
        <w:rPr>
          <w:rFonts w:hint="eastAsia" w:ascii="宋体" w:hAnsi="宋体" w:cs="宋体"/>
          <w:sz w:val="24"/>
          <w:highlight w:val="none"/>
          <w:u w:val="single"/>
        </w:rPr>
        <w:t xml:space="preserve">   /       </w:t>
      </w:r>
      <w:r>
        <w:rPr>
          <w:rFonts w:hint="eastAsia" w:ascii="宋体" w:hAnsi="宋体" w:cs="宋体"/>
          <w:sz w:val="24"/>
          <w:highlight w:val="none"/>
        </w:rPr>
        <w:t>。</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（2）发包人支付进度款的期限：</w:t>
      </w:r>
      <w:r>
        <w:rPr>
          <w:rFonts w:hint="eastAsia" w:ascii="宋体" w:hAnsi="宋体" w:cs="宋体"/>
          <w:sz w:val="24"/>
          <w:highlight w:val="none"/>
          <w:u w:val="single"/>
        </w:rPr>
        <w:t xml:space="preserve">            /            </w:t>
      </w:r>
      <w:r>
        <w:rPr>
          <w:rFonts w:hint="eastAsia" w:ascii="宋体" w:hAnsi="宋体" w:cs="宋体"/>
          <w:sz w:val="24"/>
          <w:highlight w:val="none"/>
        </w:rPr>
        <w:t>。</w:t>
      </w:r>
    </w:p>
    <w:p>
      <w:pPr>
        <w:spacing w:line="336" w:lineRule="auto"/>
        <w:ind w:firstLine="600" w:firstLineChars="250"/>
        <w:jc w:val="left"/>
        <w:rPr>
          <w:rFonts w:hint="eastAsia" w:ascii="宋体" w:hAnsi="宋体" w:cs="宋体"/>
          <w:sz w:val="24"/>
          <w:highlight w:val="none"/>
        </w:rPr>
      </w:pPr>
      <w:r>
        <w:rPr>
          <w:rFonts w:hint="eastAsia" w:ascii="宋体" w:hAnsi="宋体" w:cs="宋体"/>
          <w:sz w:val="24"/>
          <w:highlight w:val="none"/>
        </w:rPr>
        <w:t>发包人逾期支付进度款的违约金的计算方式：</w:t>
      </w:r>
      <w:r>
        <w:rPr>
          <w:rFonts w:hint="eastAsia" w:ascii="宋体" w:hAnsi="宋体" w:cs="宋体"/>
          <w:sz w:val="24"/>
          <w:highlight w:val="none"/>
          <w:u w:val="single"/>
        </w:rPr>
        <w:t xml:space="preserve">   /        </w:t>
      </w:r>
      <w:r>
        <w:rPr>
          <w:rFonts w:hint="eastAsia" w:ascii="宋体" w:hAnsi="宋体" w:cs="宋体"/>
          <w:sz w:val="24"/>
          <w:highlight w:val="none"/>
        </w:rPr>
        <w:t>。</w:t>
      </w:r>
    </w:p>
    <w:p>
      <w:pPr>
        <w:spacing w:line="336" w:lineRule="auto"/>
        <w:ind w:firstLine="600" w:firstLineChars="250"/>
        <w:jc w:val="left"/>
        <w:rPr>
          <w:rFonts w:hint="eastAsia" w:ascii="宋体" w:hAnsi="宋体" w:cs="宋体"/>
          <w:sz w:val="24"/>
          <w:highlight w:val="none"/>
        </w:rPr>
      </w:pPr>
      <w:r>
        <w:rPr>
          <w:rFonts w:hint="eastAsia" w:ascii="宋体" w:hAnsi="宋体" w:cs="宋体"/>
          <w:sz w:val="24"/>
          <w:highlight w:val="none"/>
        </w:rPr>
        <w:t>12.4.6 支付分解表的编制</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2、总价合同支付分解表的编制与审批：</w:t>
      </w:r>
      <w:r>
        <w:rPr>
          <w:rFonts w:hint="eastAsia" w:ascii="宋体" w:hAnsi="宋体" w:cs="宋体"/>
          <w:sz w:val="24"/>
          <w:highlight w:val="none"/>
          <w:u w:val="single"/>
        </w:rPr>
        <w:t xml:space="preserve">     /          </w:t>
      </w:r>
      <w:r>
        <w:rPr>
          <w:rFonts w:hint="eastAsia" w:ascii="宋体" w:hAnsi="宋体" w:cs="宋体"/>
          <w:sz w:val="24"/>
          <w:highlight w:val="none"/>
        </w:rPr>
        <w:t>。</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3、单价合同的总价项目支付分解表的编制与审批：</w:t>
      </w:r>
      <w:r>
        <w:rPr>
          <w:rFonts w:hint="eastAsia" w:ascii="宋体" w:hAnsi="宋体" w:cs="宋体"/>
          <w:sz w:val="24"/>
          <w:highlight w:val="none"/>
          <w:u w:val="single"/>
        </w:rPr>
        <w:t xml:space="preserve">  /     </w:t>
      </w:r>
      <w:r>
        <w:rPr>
          <w:rFonts w:hint="eastAsia" w:ascii="宋体" w:hAnsi="宋体" w:cs="宋体"/>
          <w:sz w:val="24"/>
          <w:highlight w:val="none"/>
        </w:rPr>
        <w:t>。</w:t>
      </w:r>
    </w:p>
    <w:p>
      <w:pPr>
        <w:keepNext/>
        <w:keepLines/>
        <w:spacing w:before="120" w:after="120" w:line="336" w:lineRule="auto"/>
        <w:outlineLvl w:val="3"/>
        <w:rPr>
          <w:rFonts w:hint="eastAsia" w:ascii="宋体" w:hAnsi="宋体" w:cs="宋体"/>
          <w:bCs/>
          <w:kern w:val="0"/>
          <w:sz w:val="24"/>
          <w:highlight w:val="none"/>
        </w:rPr>
      </w:pPr>
      <w:r>
        <w:rPr>
          <w:rFonts w:hint="eastAsia" w:ascii="宋体" w:hAnsi="宋体" w:cs="宋体"/>
          <w:bCs/>
          <w:kern w:val="0"/>
          <w:sz w:val="24"/>
          <w:highlight w:val="none"/>
        </w:rPr>
        <w:t>13. 验收和工程试车</w:t>
      </w:r>
    </w:p>
    <w:p>
      <w:pPr>
        <w:spacing w:after="120" w:line="336" w:lineRule="auto"/>
        <w:ind w:firstLine="480" w:firstLineChars="200"/>
        <w:rPr>
          <w:rFonts w:hint="eastAsia" w:ascii="宋体" w:hAnsi="宋体" w:cs="宋体"/>
          <w:sz w:val="24"/>
          <w:highlight w:val="none"/>
        </w:rPr>
      </w:pPr>
      <w:r>
        <w:rPr>
          <w:rFonts w:hint="eastAsia" w:ascii="宋体" w:hAnsi="宋体" w:cs="宋体"/>
          <w:sz w:val="24"/>
          <w:highlight w:val="none"/>
        </w:rPr>
        <w:t>13.1 分部分项工程验收</w:t>
      </w:r>
    </w:p>
    <w:p>
      <w:pPr>
        <w:spacing w:line="336" w:lineRule="auto"/>
        <w:ind w:firstLine="480" w:firstLineChars="200"/>
        <w:jc w:val="left"/>
        <w:rPr>
          <w:rFonts w:hint="eastAsia" w:ascii="宋体" w:hAnsi="宋体" w:eastAsia="宋体" w:cs="宋体"/>
          <w:sz w:val="24"/>
          <w:highlight w:val="none"/>
        </w:rPr>
      </w:pPr>
      <w:r>
        <w:rPr>
          <w:rFonts w:hint="eastAsia" w:ascii="宋体" w:hAnsi="宋体" w:cs="宋体"/>
          <w:sz w:val="24"/>
          <w:highlight w:val="none"/>
        </w:rPr>
        <w:t>13.1.2监理人</w:t>
      </w:r>
      <w:r>
        <w:rPr>
          <w:rFonts w:hint="eastAsia" w:ascii="宋体" w:hAnsi="宋体" w:eastAsia="宋体" w:cs="宋体"/>
          <w:sz w:val="24"/>
          <w:highlight w:val="none"/>
        </w:rPr>
        <w:t>不能按时进行验收时，应提前</w:t>
      </w:r>
      <w:r>
        <w:rPr>
          <w:rFonts w:hint="eastAsia" w:ascii="宋体" w:hAnsi="宋体" w:eastAsia="宋体" w:cs="宋体"/>
          <w:sz w:val="24"/>
          <w:highlight w:val="none"/>
          <w:u w:val="single"/>
        </w:rPr>
        <w:t xml:space="preserve">  24  </w:t>
      </w:r>
      <w:r>
        <w:rPr>
          <w:rFonts w:hint="eastAsia" w:ascii="宋体" w:hAnsi="宋体" w:eastAsia="宋体" w:cs="宋体"/>
          <w:sz w:val="24"/>
          <w:highlight w:val="none"/>
        </w:rPr>
        <w:t>小时提交书面延期要求。</w:t>
      </w:r>
    </w:p>
    <w:p>
      <w:pPr>
        <w:spacing w:line="336"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关于延期最长不得超过：</w:t>
      </w:r>
      <w:r>
        <w:rPr>
          <w:rFonts w:hint="eastAsia" w:ascii="宋体" w:hAnsi="宋体" w:eastAsia="宋体" w:cs="宋体"/>
          <w:sz w:val="24"/>
          <w:highlight w:val="none"/>
          <w:u w:val="single"/>
        </w:rPr>
        <w:t xml:space="preserve">  48   </w:t>
      </w:r>
      <w:r>
        <w:rPr>
          <w:rFonts w:hint="eastAsia" w:ascii="宋体" w:hAnsi="宋体" w:eastAsia="宋体" w:cs="宋体"/>
          <w:sz w:val="24"/>
          <w:highlight w:val="none"/>
        </w:rPr>
        <w:t>小时。</w:t>
      </w:r>
    </w:p>
    <w:p>
      <w:pPr>
        <w:spacing w:after="120" w:line="336" w:lineRule="auto"/>
        <w:ind w:firstLine="480" w:firstLineChars="200"/>
        <w:rPr>
          <w:rFonts w:hint="eastAsia" w:ascii="宋体" w:hAnsi="宋体" w:cs="宋体"/>
          <w:sz w:val="24"/>
          <w:highlight w:val="none"/>
        </w:rPr>
      </w:pPr>
      <w:r>
        <w:rPr>
          <w:rFonts w:hint="eastAsia" w:ascii="宋体" w:hAnsi="宋体" w:cs="宋体"/>
          <w:sz w:val="24"/>
          <w:highlight w:val="none"/>
        </w:rPr>
        <w:t>13.2 竣工验收</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13.2.2竣工验收程序</w:t>
      </w:r>
    </w:p>
    <w:p>
      <w:pPr>
        <w:spacing w:line="336" w:lineRule="auto"/>
        <w:ind w:firstLine="480" w:firstLineChars="200"/>
        <w:jc w:val="left"/>
        <w:rPr>
          <w:rFonts w:hint="eastAsia" w:ascii="宋体" w:hAnsi="宋体" w:cs="宋体"/>
          <w:sz w:val="24"/>
          <w:highlight w:val="none"/>
        </w:rPr>
      </w:pPr>
      <w:r>
        <w:rPr>
          <w:rFonts w:hint="eastAsia" w:ascii="宋体" w:hAnsi="宋体" w:cs="宋体"/>
          <w:kern w:val="0"/>
          <w:sz w:val="24"/>
          <w:highlight w:val="none"/>
        </w:rPr>
        <w:t>关于竣工验收程序的约定：</w:t>
      </w:r>
      <w:r>
        <w:rPr>
          <w:rFonts w:hint="eastAsia" w:ascii="宋体" w:hAnsi="宋体" w:cs="宋体"/>
          <w:b/>
          <w:sz w:val="24"/>
          <w:highlight w:val="none"/>
          <w:u w:val="single"/>
        </w:rPr>
        <w:t>按《通用条款》执行</w:t>
      </w:r>
      <w:r>
        <w:rPr>
          <w:rFonts w:hint="eastAsia" w:ascii="宋体" w:hAnsi="宋体" w:cs="宋体"/>
          <w:sz w:val="24"/>
          <w:highlight w:val="none"/>
        </w:rPr>
        <w:t>。</w:t>
      </w:r>
    </w:p>
    <w:p>
      <w:pPr>
        <w:spacing w:line="336" w:lineRule="auto"/>
        <w:ind w:firstLine="480" w:firstLineChars="200"/>
        <w:jc w:val="left"/>
        <w:rPr>
          <w:rFonts w:hint="eastAsia" w:ascii="宋体" w:hAnsi="宋体" w:cs="宋体"/>
          <w:sz w:val="24"/>
          <w:highlight w:val="none"/>
        </w:rPr>
      </w:pPr>
      <w:r>
        <w:rPr>
          <w:rFonts w:hint="eastAsia" w:ascii="宋体" w:hAnsi="宋体" w:cs="宋体"/>
          <w:kern w:val="0"/>
          <w:sz w:val="24"/>
          <w:highlight w:val="none"/>
        </w:rPr>
        <w:t>发包人不按照本项约定组织竣工验收、颁发工程接收证书的违约金的计算方法：</w:t>
      </w:r>
      <w:r>
        <w:rPr>
          <w:rFonts w:hint="eastAsia" w:ascii="宋体" w:hAnsi="宋体" w:cs="宋体"/>
          <w:b/>
          <w:sz w:val="24"/>
          <w:highlight w:val="none"/>
          <w:u w:val="single"/>
        </w:rPr>
        <w:t>按《通用条款》执行</w:t>
      </w:r>
      <w:r>
        <w:rPr>
          <w:rFonts w:hint="eastAsia" w:ascii="宋体" w:hAnsi="宋体" w:cs="宋体"/>
          <w:sz w:val="24"/>
          <w:highlight w:val="none"/>
        </w:rPr>
        <w:t>。</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13.2.5移交、接收全部与部分工程</w:t>
      </w:r>
    </w:p>
    <w:p>
      <w:pPr>
        <w:spacing w:line="336"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承包人向发包人移交工程的期限：</w:t>
      </w:r>
      <w:r>
        <w:rPr>
          <w:rFonts w:hint="eastAsia" w:ascii="宋体" w:hAnsi="宋体" w:cs="宋体"/>
          <w:b/>
          <w:sz w:val="24"/>
          <w:highlight w:val="none"/>
          <w:u w:val="single"/>
        </w:rPr>
        <w:t>按《通用条款》执行</w:t>
      </w:r>
      <w:r>
        <w:rPr>
          <w:rFonts w:hint="eastAsia" w:ascii="宋体" w:hAnsi="宋体" w:cs="宋体"/>
          <w:sz w:val="24"/>
          <w:highlight w:val="none"/>
        </w:rPr>
        <w:t>。</w:t>
      </w:r>
    </w:p>
    <w:p>
      <w:pPr>
        <w:spacing w:line="336" w:lineRule="auto"/>
        <w:ind w:firstLine="480" w:firstLineChars="200"/>
        <w:jc w:val="left"/>
        <w:rPr>
          <w:rFonts w:hint="eastAsia" w:ascii="宋体" w:hAnsi="宋体" w:cs="宋体"/>
          <w:sz w:val="24"/>
          <w:highlight w:val="none"/>
          <w:u w:val="single"/>
        </w:rPr>
      </w:pPr>
      <w:r>
        <w:rPr>
          <w:rFonts w:hint="eastAsia" w:ascii="宋体" w:hAnsi="宋体" w:cs="宋体"/>
          <w:kern w:val="0"/>
          <w:sz w:val="24"/>
          <w:highlight w:val="none"/>
        </w:rPr>
        <w:t>发包人未按本合同约定接收全部或部分工程的，违约金的计算方法为：</w:t>
      </w:r>
      <w:r>
        <w:rPr>
          <w:rFonts w:hint="eastAsia" w:ascii="宋体" w:hAnsi="宋体" w:cs="宋体"/>
          <w:b/>
          <w:sz w:val="24"/>
          <w:highlight w:val="none"/>
          <w:u w:val="single"/>
        </w:rPr>
        <w:t>按《通用条款》执行</w:t>
      </w:r>
      <w:r>
        <w:rPr>
          <w:rFonts w:hint="eastAsia" w:ascii="宋体" w:hAnsi="宋体" w:cs="宋体"/>
          <w:sz w:val="24"/>
          <w:highlight w:val="none"/>
        </w:rPr>
        <w:t>。</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承包人未按时移交工程的，违约金的计算方法为：</w:t>
      </w:r>
      <w:r>
        <w:rPr>
          <w:rFonts w:hint="eastAsia" w:ascii="宋体" w:hAnsi="宋体" w:cs="宋体"/>
          <w:b/>
          <w:sz w:val="24"/>
          <w:highlight w:val="none"/>
          <w:u w:val="single"/>
        </w:rPr>
        <w:t>按《通用条款》执行</w:t>
      </w:r>
      <w:r>
        <w:rPr>
          <w:rFonts w:hint="eastAsia" w:ascii="宋体" w:hAnsi="宋体" w:cs="宋体"/>
          <w:sz w:val="24"/>
          <w:highlight w:val="none"/>
        </w:rPr>
        <w:t>。</w:t>
      </w:r>
    </w:p>
    <w:p>
      <w:pPr>
        <w:spacing w:after="120" w:line="336" w:lineRule="auto"/>
        <w:ind w:firstLine="480" w:firstLineChars="200"/>
        <w:rPr>
          <w:rFonts w:hint="eastAsia" w:ascii="宋体" w:hAnsi="宋体" w:cs="宋体"/>
          <w:sz w:val="24"/>
          <w:highlight w:val="none"/>
        </w:rPr>
      </w:pPr>
      <w:r>
        <w:rPr>
          <w:rFonts w:hint="eastAsia" w:ascii="宋体" w:hAnsi="宋体" w:cs="宋体"/>
          <w:sz w:val="24"/>
          <w:highlight w:val="none"/>
        </w:rPr>
        <w:t>13.3 工程试车</w:t>
      </w:r>
    </w:p>
    <w:p>
      <w:pPr>
        <w:spacing w:line="336"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13.3.1 试车程序</w:t>
      </w:r>
    </w:p>
    <w:p>
      <w:pPr>
        <w:spacing w:line="336"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工程试车内容：</w:t>
      </w:r>
      <w:r>
        <w:rPr>
          <w:rFonts w:hint="eastAsia" w:ascii="宋体" w:hAnsi="宋体" w:cs="宋体"/>
          <w:b/>
          <w:sz w:val="24"/>
          <w:highlight w:val="none"/>
          <w:u w:val="single"/>
        </w:rPr>
        <w:t>按《通用条款》执行</w:t>
      </w:r>
      <w:r>
        <w:rPr>
          <w:rFonts w:hint="eastAsia" w:ascii="宋体" w:hAnsi="宋体" w:cs="宋体"/>
          <w:sz w:val="24"/>
          <w:highlight w:val="none"/>
        </w:rPr>
        <w:t>。</w:t>
      </w:r>
    </w:p>
    <w:p>
      <w:pPr>
        <w:spacing w:line="336"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（1）单机无负荷试车费用由</w:t>
      </w:r>
      <w:r>
        <w:rPr>
          <w:rFonts w:hint="eastAsia" w:ascii="宋体" w:hAnsi="宋体" w:cs="宋体"/>
          <w:sz w:val="24"/>
          <w:highlight w:val="none"/>
          <w:u w:val="single"/>
        </w:rPr>
        <w:t xml:space="preserve">            /         </w:t>
      </w:r>
      <w:r>
        <w:rPr>
          <w:rFonts w:hint="eastAsia" w:ascii="宋体" w:hAnsi="宋体" w:cs="宋体"/>
          <w:kern w:val="0"/>
          <w:sz w:val="24"/>
          <w:highlight w:val="none"/>
        </w:rPr>
        <w:t>承担；</w:t>
      </w:r>
    </w:p>
    <w:p>
      <w:pPr>
        <w:spacing w:line="336"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（2）无负荷联动试车费用由</w:t>
      </w:r>
      <w:r>
        <w:rPr>
          <w:rFonts w:hint="eastAsia" w:ascii="宋体" w:hAnsi="宋体" w:cs="宋体"/>
          <w:sz w:val="24"/>
          <w:highlight w:val="none"/>
          <w:u w:val="single"/>
        </w:rPr>
        <w:t xml:space="preserve">            /         </w:t>
      </w:r>
      <w:r>
        <w:rPr>
          <w:rFonts w:hint="eastAsia" w:ascii="宋体" w:hAnsi="宋体" w:cs="宋体"/>
          <w:kern w:val="0"/>
          <w:sz w:val="24"/>
          <w:highlight w:val="none"/>
        </w:rPr>
        <w:t>承担。</w:t>
      </w:r>
    </w:p>
    <w:p>
      <w:pPr>
        <w:spacing w:line="336"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13.3.3 投料试车</w:t>
      </w:r>
    </w:p>
    <w:p>
      <w:pPr>
        <w:spacing w:line="336"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关于投料试车相关事项的约定：</w:t>
      </w:r>
      <w:r>
        <w:rPr>
          <w:rFonts w:hint="eastAsia" w:ascii="宋体" w:hAnsi="宋体" w:cs="宋体"/>
          <w:b/>
          <w:sz w:val="24"/>
          <w:highlight w:val="none"/>
          <w:u w:val="single"/>
        </w:rPr>
        <w:t>按《通用条款》执行</w:t>
      </w:r>
      <w:r>
        <w:rPr>
          <w:rFonts w:hint="eastAsia" w:ascii="宋体" w:hAnsi="宋体" w:cs="宋体"/>
          <w:sz w:val="24"/>
          <w:highlight w:val="none"/>
        </w:rPr>
        <w:t>。</w:t>
      </w:r>
    </w:p>
    <w:p>
      <w:pPr>
        <w:spacing w:after="120" w:line="336" w:lineRule="auto"/>
        <w:ind w:firstLine="480" w:firstLineChars="200"/>
        <w:outlineLvl w:val="0"/>
        <w:rPr>
          <w:rFonts w:hint="eastAsia" w:ascii="宋体" w:hAnsi="宋体" w:cs="宋体"/>
          <w:sz w:val="24"/>
          <w:highlight w:val="none"/>
        </w:rPr>
      </w:pPr>
      <w:bookmarkStart w:id="96" w:name="_Toc14477"/>
      <w:r>
        <w:rPr>
          <w:rFonts w:hint="eastAsia" w:ascii="宋体" w:hAnsi="宋体" w:cs="宋体"/>
          <w:sz w:val="24"/>
          <w:highlight w:val="none"/>
        </w:rPr>
        <w:t>13.6 竣工退场</w:t>
      </w:r>
      <w:bookmarkEnd w:id="96"/>
    </w:p>
    <w:p>
      <w:pPr>
        <w:spacing w:line="336"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13.6.1 竣工退场</w:t>
      </w:r>
    </w:p>
    <w:p>
      <w:pPr>
        <w:spacing w:line="336"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承包人完成竣工退场的期限：</w:t>
      </w:r>
      <w:r>
        <w:rPr>
          <w:rFonts w:hint="eastAsia" w:ascii="宋体" w:hAnsi="宋体" w:cs="宋体"/>
          <w:b/>
          <w:sz w:val="24"/>
          <w:highlight w:val="none"/>
          <w:u w:val="single"/>
        </w:rPr>
        <w:t>按《通用条款》执行</w:t>
      </w:r>
      <w:r>
        <w:rPr>
          <w:rFonts w:hint="eastAsia" w:ascii="宋体" w:hAnsi="宋体" w:cs="宋体"/>
          <w:kern w:val="0"/>
          <w:sz w:val="24"/>
          <w:highlight w:val="none"/>
        </w:rPr>
        <w:t>。</w:t>
      </w:r>
    </w:p>
    <w:p>
      <w:pPr>
        <w:keepNext/>
        <w:keepLines/>
        <w:spacing w:before="120" w:after="120" w:line="336" w:lineRule="auto"/>
        <w:outlineLvl w:val="3"/>
        <w:rPr>
          <w:rFonts w:hint="eastAsia" w:ascii="宋体" w:hAnsi="宋体" w:cs="宋体"/>
          <w:bCs/>
          <w:kern w:val="0"/>
          <w:sz w:val="24"/>
          <w:highlight w:val="none"/>
        </w:rPr>
      </w:pPr>
      <w:r>
        <w:rPr>
          <w:rFonts w:hint="eastAsia" w:ascii="宋体" w:hAnsi="宋体" w:cs="宋体"/>
          <w:bCs/>
          <w:kern w:val="0"/>
          <w:sz w:val="24"/>
          <w:highlight w:val="none"/>
        </w:rPr>
        <w:t>14. 竣工结算</w:t>
      </w:r>
    </w:p>
    <w:p>
      <w:pPr>
        <w:spacing w:after="120" w:line="336" w:lineRule="auto"/>
        <w:ind w:firstLine="480" w:firstLineChars="200"/>
        <w:rPr>
          <w:rFonts w:hint="eastAsia" w:ascii="宋体" w:hAnsi="宋体" w:cs="宋体"/>
          <w:sz w:val="24"/>
          <w:highlight w:val="none"/>
        </w:rPr>
      </w:pPr>
      <w:r>
        <w:rPr>
          <w:rFonts w:hint="eastAsia" w:ascii="宋体" w:hAnsi="宋体" w:cs="宋体"/>
          <w:sz w:val="24"/>
          <w:highlight w:val="none"/>
        </w:rPr>
        <w:t>14.1 竣工结算申请</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承包人提交竣工结算申请单的期限：</w:t>
      </w:r>
      <w:r>
        <w:rPr>
          <w:rFonts w:hint="eastAsia" w:ascii="宋体" w:hAnsi="宋体" w:cs="宋体"/>
          <w:b/>
          <w:sz w:val="24"/>
          <w:highlight w:val="none"/>
          <w:u w:val="single"/>
        </w:rPr>
        <w:t>按《通用条款》执行</w:t>
      </w:r>
      <w:r>
        <w:rPr>
          <w:rFonts w:hint="eastAsia" w:ascii="宋体" w:hAnsi="宋体" w:cs="宋体"/>
          <w:sz w:val="24"/>
          <w:highlight w:val="none"/>
        </w:rPr>
        <w:t>。</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竣工结算申请单应包括的内容：</w:t>
      </w:r>
      <w:r>
        <w:rPr>
          <w:rFonts w:hint="eastAsia" w:ascii="宋体" w:hAnsi="宋体" w:cs="宋体"/>
          <w:b/>
          <w:sz w:val="24"/>
          <w:highlight w:val="none"/>
          <w:u w:val="single"/>
        </w:rPr>
        <w:t>按《通用条款》执行</w:t>
      </w:r>
      <w:r>
        <w:rPr>
          <w:rFonts w:hint="eastAsia" w:ascii="宋体" w:hAnsi="宋体" w:cs="宋体"/>
          <w:sz w:val="24"/>
          <w:highlight w:val="none"/>
        </w:rPr>
        <w:t>。</w:t>
      </w:r>
    </w:p>
    <w:p>
      <w:pPr>
        <w:spacing w:after="120" w:line="336" w:lineRule="auto"/>
        <w:ind w:firstLine="480" w:firstLineChars="200"/>
        <w:outlineLvl w:val="0"/>
        <w:rPr>
          <w:rFonts w:hint="eastAsia" w:ascii="宋体" w:hAnsi="宋体" w:cs="宋体"/>
          <w:sz w:val="24"/>
          <w:highlight w:val="none"/>
        </w:rPr>
      </w:pPr>
      <w:bookmarkStart w:id="97" w:name="_Toc17884"/>
      <w:r>
        <w:rPr>
          <w:rFonts w:hint="eastAsia" w:ascii="宋体" w:hAnsi="宋体" w:cs="宋体"/>
          <w:sz w:val="24"/>
          <w:highlight w:val="none"/>
        </w:rPr>
        <w:t>14.2 竣工结算审核</w:t>
      </w:r>
      <w:bookmarkEnd w:id="97"/>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发包人审批竣工付款申请单的期限：</w:t>
      </w:r>
      <w:r>
        <w:rPr>
          <w:rFonts w:hint="eastAsia" w:ascii="宋体" w:hAnsi="宋体" w:cs="宋体"/>
          <w:b/>
          <w:sz w:val="24"/>
          <w:highlight w:val="none"/>
          <w:u w:val="single"/>
        </w:rPr>
        <w:t>按《通用条款》执行</w:t>
      </w:r>
      <w:r>
        <w:rPr>
          <w:rFonts w:hint="eastAsia" w:ascii="宋体" w:hAnsi="宋体" w:cs="宋体"/>
          <w:sz w:val="24"/>
          <w:highlight w:val="none"/>
        </w:rPr>
        <w:t>。</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发包人完成竣工付款的期限：</w:t>
      </w:r>
      <w:r>
        <w:rPr>
          <w:rFonts w:hint="eastAsia" w:ascii="宋体" w:hAnsi="宋体" w:cs="宋体"/>
          <w:b/>
          <w:sz w:val="24"/>
          <w:highlight w:val="none"/>
          <w:u w:val="single"/>
        </w:rPr>
        <w:t>按《通用条款》执行</w:t>
      </w:r>
      <w:r>
        <w:rPr>
          <w:rFonts w:hint="eastAsia" w:ascii="宋体" w:hAnsi="宋体" w:cs="宋体"/>
          <w:sz w:val="24"/>
          <w:highlight w:val="none"/>
        </w:rPr>
        <w:t>。</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关于竣工付款证书异议部分复核的方式和程序：</w:t>
      </w:r>
      <w:r>
        <w:rPr>
          <w:rFonts w:hint="eastAsia" w:ascii="宋体" w:hAnsi="宋体" w:cs="宋体"/>
          <w:b/>
          <w:sz w:val="24"/>
          <w:highlight w:val="none"/>
          <w:u w:val="single"/>
        </w:rPr>
        <w:t>按《通用条款》执行</w:t>
      </w:r>
      <w:r>
        <w:rPr>
          <w:rFonts w:hint="eastAsia" w:ascii="宋体" w:hAnsi="宋体" w:cs="宋体"/>
          <w:sz w:val="24"/>
          <w:highlight w:val="none"/>
        </w:rPr>
        <w:t>。</w:t>
      </w:r>
    </w:p>
    <w:p>
      <w:pPr>
        <w:spacing w:after="120" w:line="336" w:lineRule="auto"/>
        <w:ind w:firstLine="480" w:firstLineChars="200"/>
        <w:rPr>
          <w:rFonts w:hint="eastAsia" w:ascii="宋体" w:hAnsi="宋体" w:cs="宋体"/>
          <w:sz w:val="24"/>
          <w:highlight w:val="none"/>
        </w:rPr>
      </w:pPr>
      <w:r>
        <w:rPr>
          <w:rFonts w:hint="eastAsia" w:ascii="宋体" w:hAnsi="宋体" w:cs="宋体"/>
          <w:sz w:val="24"/>
          <w:highlight w:val="none"/>
        </w:rPr>
        <w:t>14.4 最终结清</w:t>
      </w:r>
    </w:p>
    <w:p>
      <w:pPr>
        <w:spacing w:line="336"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14.4.1 最终结清申请单</w:t>
      </w:r>
    </w:p>
    <w:p>
      <w:pPr>
        <w:spacing w:line="336"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承包人提交最终结清申请单的份数：</w:t>
      </w:r>
      <w:r>
        <w:rPr>
          <w:rFonts w:hint="eastAsia" w:ascii="宋体" w:hAnsi="宋体" w:cs="宋体"/>
          <w:b/>
          <w:sz w:val="24"/>
          <w:highlight w:val="none"/>
          <w:u w:val="single"/>
        </w:rPr>
        <w:t xml:space="preserve">二份 </w:t>
      </w:r>
      <w:r>
        <w:rPr>
          <w:rFonts w:hint="eastAsia" w:ascii="宋体" w:hAnsi="宋体" w:cs="宋体"/>
          <w:sz w:val="24"/>
          <w:highlight w:val="none"/>
        </w:rPr>
        <w:t>。</w:t>
      </w:r>
    </w:p>
    <w:p>
      <w:pPr>
        <w:spacing w:line="336" w:lineRule="auto"/>
        <w:ind w:firstLine="480" w:firstLineChars="200"/>
        <w:jc w:val="left"/>
        <w:rPr>
          <w:rFonts w:hint="eastAsia" w:ascii="宋体" w:hAnsi="宋体" w:cs="宋体"/>
          <w:sz w:val="24"/>
          <w:highlight w:val="none"/>
        </w:rPr>
      </w:pPr>
      <w:r>
        <w:rPr>
          <w:rFonts w:hint="eastAsia" w:ascii="宋体" w:hAnsi="宋体" w:cs="宋体"/>
          <w:kern w:val="0"/>
          <w:sz w:val="24"/>
          <w:highlight w:val="none"/>
        </w:rPr>
        <w:t>承包人提交最终结算申请单的期限：</w:t>
      </w:r>
      <w:r>
        <w:rPr>
          <w:rFonts w:hint="eastAsia" w:ascii="宋体" w:hAnsi="宋体" w:cs="宋体"/>
          <w:b/>
          <w:sz w:val="24"/>
          <w:highlight w:val="none"/>
          <w:u w:val="single"/>
        </w:rPr>
        <w:t xml:space="preserve">缺陷责任期终止证书颁发后7天内 </w:t>
      </w:r>
      <w:r>
        <w:rPr>
          <w:rFonts w:hint="eastAsia" w:ascii="宋体" w:hAnsi="宋体" w:cs="宋体"/>
          <w:sz w:val="24"/>
          <w:highlight w:val="none"/>
        </w:rPr>
        <w:t xml:space="preserve">。 </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14.4.2 最终结清证书和支付</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（1）发包人完成最终结清申请单的审批并颁发最终结清证书的期限：</w:t>
      </w:r>
      <w:r>
        <w:rPr>
          <w:rFonts w:hint="eastAsia" w:ascii="宋体" w:hAnsi="宋体" w:cs="宋体"/>
          <w:b/>
          <w:sz w:val="24"/>
          <w:highlight w:val="none"/>
          <w:u w:val="single"/>
        </w:rPr>
        <w:t>按《通用条款》执行</w:t>
      </w:r>
      <w:r>
        <w:rPr>
          <w:rFonts w:hint="eastAsia" w:ascii="宋体" w:hAnsi="宋体" w:cs="宋体"/>
          <w:sz w:val="24"/>
          <w:highlight w:val="none"/>
        </w:rPr>
        <w:t>。</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（2）发包人完成支付的期限：</w:t>
      </w:r>
      <w:r>
        <w:rPr>
          <w:rFonts w:hint="eastAsia" w:ascii="宋体" w:hAnsi="宋体" w:cs="宋体"/>
          <w:b/>
          <w:sz w:val="24"/>
          <w:highlight w:val="none"/>
          <w:u w:val="single"/>
        </w:rPr>
        <w:t>按《通用条款》执行</w:t>
      </w:r>
      <w:r>
        <w:rPr>
          <w:rFonts w:hint="eastAsia" w:ascii="宋体" w:hAnsi="宋体" w:cs="宋体"/>
          <w:sz w:val="24"/>
          <w:highlight w:val="none"/>
        </w:rPr>
        <w:t>。</w:t>
      </w:r>
    </w:p>
    <w:p>
      <w:pPr>
        <w:keepNext/>
        <w:keepLines/>
        <w:spacing w:before="120" w:after="120" w:line="336" w:lineRule="auto"/>
        <w:outlineLvl w:val="3"/>
        <w:rPr>
          <w:rFonts w:hint="eastAsia" w:ascii="宋体" w:hAnsi="宋体" w:cs="宋体"/>
          <w:bCs/>
          <w:kern w:val="0"/>
          <w:sz w:val="24"/>
          <w:highlight w:val="none"/>
        </w:rPr>
      </w:pPr>
      <w:r>
        <w:rPr>
          <w:rFonts w:hint="eastAsia" w:ascii="宋体" w:hAnsi="宋体" w:cs="宋体"/>
          <w:bCs/>
          <w:kern w:val="0"/>
          <w:sz w:val="24"/>
          <w:highlight w:val="none"/>
        </w:rPr>
        <w:t>15. 缺陷责任期与保修</w:t>
      </w:r>
    </w:p>
    <w:p>
      <w:pPr>
        <w:spacing w:after="120" w:line="336" w:lineRule="auto"/>
        <w:ind w:firstLine="480" w:firstLineChars="200"/>
        <w:rPr>
          <w:rFonts w:hint="eastAsia" w:ascii="宋体" w:hAnsi="宋体" w:cs="宋体"/>
          <w:sz w:val="24"/>
          <w:highlight w:val="none"/>
        </w:rPr>
      </w:pPr>
      <w:r>
        <w:rPr>
          <w:rFonts w:hint="eastAsia" w:ascii="宋体" w:hAnsi="宋体" w:cs="宋体"/>
          <w:sz w:val="24"/>
          <w:highlight w:val="none"/>
        </w:rPr>
        <w:t>15.2缺陷责任期</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缺陷责任期的具体期限：</w:t>
      </w:r>
      <w:r>
        <w:rPr>
          <w:rFonts w:hint="eastAsia" w:ascii="宋体" w:hAnsi="宋体" w:cs="宋体"/>
          <w:b/>
          <w:sz w:val="24"/>
          <w:highlight w:val="none"/>
          <w:u w:val="single"/>
        </w:rPr>
        <w:t>24个月（缺陷责任期自工程通过竣工验收之日起计算）</w:t>
      </w:r>
      <w:r>
        <w:rPr>
          <w:rFonts w:hint="eastAsia" w:ascii="宋体" w:hAnsi="宋体" w:cs="宋体"/>
          <w:sz w:val="24"/>
          <w:highlight w:val="none"/>
        </w:rPr>
        <w:t>。</w:t>
      </w:r>
    </w:p>
    <w:p>
      <w:pPr>
        <w:spacing w:after="120" w:line="336" w:lineRule="auto"/>
        <w:ind w:firstLine="480" w:firstLineChars="200"/>
        <w:outlineLvl w:val="0"/>
        <w:rPr>
          <w:rFonts w:hint="eastAsia" w:ascii="宋体" w:hAnsi="宋体" w:cs="宋体"/>
          <w:sz w:val="24"/>
          <w:highlight w:val="none"/>
        </w:rPr>
      </w:pPr>
      <w:bookmarkStart w:id="98" w:name="_Toc8392"/>
      <w:r>
        <w:rPr>
          <w:rFonts w:hint="eastAsia" w:ascii="宋体" w:hAnsi="宋体" w:cs="宋体"/>
          <w:sz w:val="24"/>
          <w:highlight w:val="none"/>
        </w:rPr>
        <w:t>15.3 质量保证金</w:t>
      </w:r>
      <w:bookmarkEnd w:id="98"/>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关于是否扣留质量保证金的约定：</w:t>
      </w:r>
      <w:r>
        <w:rPr>
          <w:rFonts w:hint="eastAsia" w:ascii="宋体" w:hAnsi="宋体" w:cs="宋体"/>
          <w:b/>
          <w:sz w:val="24"/>
          <w:highlight w:val="none"/>
          <w:u w:val="single"/>
        </w:rPr>
        <w:t xml:space="preserve"> 否</w:t>
      </w:r>
      <w:r>
        <w:rPr>
          <w:rFonts w:hint="eastAsia" w:ascii="宋体" w:hAnsi="宋体" w:cs="宋体"/>
          <w:sz w:val="24"/>
          <w:highlight w:val="none"/>
        </w:rPr>
        <w:t>。在工程项目竣工前，承包人按专用合同条款第3.7条提供履约担保的，发包人不得同时预留工程质量保证金。</w:t>
      </w:r>
    </w:p>
    <w:p>
      <w:pPr>
        <w:spacing w:after="120" w:line="336" w:lineRule="auto"/>
        <w:ind w:firstLine="480" w:firstLineChars="200"/>
        <w:rPr>
          <w:rFonts w:hint="eastAsia" w:ascii="宋体" w:hAnsi="宋体" w:cs="宋体"/>
          <w:sz w:val="24"/>
          <w:highlight w:val="none"/>
        </w:rPr>
      </w:pPr>
      <w:r>
        <w:rPr>
          <w:rFonts w:hint="eastAsia" w:ascii="宋体" w:hAnsi="宋体" w:cs="宋体"/>
          <w:sz w:val="24"/>
          <w:highlight w:val="none"/>
        </w:rPr>
        <w:t>15.4保修</w:t>
      </w:r>
    </w:p>
    <w:p>
      <w:pPr>
        <w:spacing w:line="336" w:lineRule="auto"/>
        <w:ind w:firstLine="468" w:firstLineChars="195"/>
        <w:jc w:val="left"/>
        <w:rPr>
          <w:rFonts w:hint="eastAsia" w:ascii="宋体" w:hAnsi="宋体" w:cs="宋体"/>
          <w:sz w:val="24"/>
          <w:highlight w:val="none"/>
        </w:rPr>
      </w:pPr>
      <w:r>
        <w:rPr>
          <w:rFonts w:hint="eastAsia" w:ascii="宋体" w:hAnsi="宋体" w:cs="宋体"/>
          <w:sz w:val="24"/>
          <w:highlight w:val="none"/>
        </w:rPr>
        <w:t>15.4.1 保修责任</w:t>
      </w:r>
    </w:p>
    <w:p>
      <w:pPr>
        <w:spacing w:line="336" w:lineRule="auto"/>
        <w:ind w:firstLine="468" w:firstLineChars="195"/>
        <w:jc w:val="left"/>
        <w:rPr>
          <w:rFonts w:hint="eastAsia" w:ascii="宋体" w:hAnsi="宋体" w:cs="宋体"/>
          <w:kern w:val="0"/>
          <w:sz w:val="24"/>
          <w:highlight w:val="none"/>
        </w:rPr>
      </w:pPr>
      <w:r>
        <w:rPr>
          <w:rFonts w:hint="eastAsia" w:ascii="宋体" w:hAnsi="宋体" w:cs="宋体"/>
          <w:sz w:val="24"/>
          <w:highlight w:val="none"/>
        </w:rPr>
        <w:t>工程保修期为：</w:t>
      </w:r>
      <w:r>
        <w:rPr>
          <w:rFonts w:hint="eastAsia" w:ascii="宋体" w:hAnsi="宋体" w:cs="宋体"/>
          <w:b/>
          <w:sz w:val="24"/>
          <w:highlight w:val="none"/>
          <w:u w:val="single"/>
        </w:rPr>
        <w:t>不少于《工程质量保修书》约定的保修期限</w:t>
      </w:r>
      <w:r>
        <w:rPr>
          <w:rFonts w:hint="eastAsia" w:ascii="宋体" w:hAnsi="宋体" w:cs="宋体"/>
          <w:kern w:val="0"/>
          <w:sz w:val="24"/>
          <w:highlight w:val="none"/>
        </w:rPr>
        <w:t>。</w:t>
      </w:r>
    </w:p>
    <w:p>
      <w:pPr>
        <w:spacing w:line="336" w:lineRule="auto"/>
        <w:ind w:firstLine="468" w:firstLineChars="195"/>
        <w:jc w:val="left"/>
        <w:rPr>
          <w:rFonts w:hint="eastAsia" w:ascii="宋体" w:hAnsi="宋体" w:cs="宋体"/>
          <w:sz w:val="24"/>
          <w:highlight w:val="none"/>
        </w:rPr>
      </w:pPr>
      <w:r>
        <w:rPr>
          <w:rFonts w:hint="eastAsia" w:ascii="宋体" w:hAnsi="宋体" w:cs="宋体"/>
          <w:sz w:val="24"/>
          <w:highlight w:val="none"/>
        </w:rPr>
        <w:t>15.4.3 修复通知</w:t>
      </w:r>
    </w:p>
    <w:p>
      <w:pPr>
        <w:spacing w:line="336" w:lineRule="auto"/>
        <w:ind w:firstLine="468" w:firstLineChars="195"/>
        <w:jc w:val="left"/>
        <w:rPr>
          <w:rFonts w:hint="eastAsia" w:ascii="宋体" w:hAnsi="宋体" w:cs="宋体"/>
          <w:kern w:val="0"/>
          <w:sz w:val="24"/>
          <w:highlight w:val="none"/>
        </w:rPr>
      </w:pPr>
      <w:r>
        <w:rPr>
          <w:rFonts w:hint="eastAsia" w:ascii="宋体" w:hAnsi="宋体" w:cs="宋体"/>
          <w:kern w:val="0"/>
          <w:sz w:val="24"/>
          <w:highlight w:val="none"/>
        </w:rPr>
        <w:t>承包人收到保修通知并到达工程现场的合理时间：</w:t>
      </w:r>
      <w:r>
        <w:rPr>
          <w:rFonts w:hint="eastAsia" w:ascii="宋体" w:hAnsi="宋体" w:cs="宋体"/>
          <w:b/>
          <w:kern w:val="0"/>
          <w:sz w:val="24"/>
          <w:highlight w:val="none"/>
          <w:u w:val="single"/>
        </w:rPr>
        <w:t>承包人派员驻点维修，及时处理解决</w:t>
      </w:r>
      <w:r>
        <w:rPr>
          <w:rFonts w:hint="eastAsia" w:ascii="宋体" w:hAnsi="宋体" w:cs="宋体"/>
          <w:kern w:val="0"/>
          <w:sz w:val="24"/>
          <w:highlight w:val="none"/>
        </w:rPr>
        <w:t>。</w:t>
      </w:r>
    </w:p>
    <w:p>
      <w:pPr>
        <w:keepNext/>
        <w:keepLines/>
        <w:spacing w:before="120" w:after="120" w:line="336" w:lineRule="auto"/>
        <w:outlineLvl w:val="3"/>
        <w:rPr>
          <w:rFonts w:hint="eastAsia" w:ascii="宋体" w:hAnsi="宋体" w:cs="宋体"/>
          <w:bCs/>
          <w:kern w:val="0"/>
          <w:sz w:val="24"/>
          <w:highlight w:val="none"/>
        </w:rPr>
      </w:pPr>
      <w:r>
        <w:rPr>
          <w:rFonts w:hint="eastAsia" w:ascii="宋体" w:hAnsi="宋体" w:cs="宋体"/>
          <w:bCs/>
          <w:kern w:val="0"/>
          <w:sz w:val="24"/>
          <w:highlight w:val="none"/>
        </w:rPr>
        <w:t>16. 违约</w:t>
      </w:r>
    </w:p>
    <w:p>
      <w:pPr>
        <w:spacing w:after="120" w:line="336" w:lineRule="auto"/>
        <w:ind w:firstLine="480" w:firstLineChars="200"/>
        <w:outlineLvl w:val="0"/>
        <w:rPr>
          <w:rFonts w:hint="eastAsia" w:ascii="宋体" w:hAnsi="宋体" w:cs="宋体"/>
          <w:sz w:val="24"/>
          <w:highlight w:val="none"/>
        </w:rPr>
      </w:pPr>
      <w:bookmarkStart w:id="99" w:name="_Toc27179"/>
      <w:r>
        <w:rPr>
          <w:rFonts w:hint="eastAsia" w:ascii="宋体" w:hAnsi="宋体" w:cs="宋体"/>
          <w:sz w:val="24"/>
          <w:highlight w:val="none"/>
        </w:rPr>
        <w:t>16.1 发包人违约</w:t>
      </w:r>
      <w:bookmarkEnd w:id="99"/>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16.1.1发包人违约的情形</w:t>
      </w:r>
    </w:p>
    <w:p>
      <w:pPr>
        <w:spacing w:line="336"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发包人违约的其他情形：</w:t>
      </w:r>
      <w:r>
        <w:rPr>
          <w:rFonts w:hint="eastAsia" w:ascii="宋体" w:hAnsi="宋体" w:cs="宋体"/>
          <w:b/>
          <w:sz w:val="24"/>
          <w:highlight w:val="none"/>
          <w:u w:val="single"/>
        </w:rPr>
        <w:t>详见《通用条款》各条约定</w:t>
      </w:r>
      <w:r>
        <w:rPr>
          <w:rFonts w:hint="eastAsia" w:ascii="宋体" w:hAnsi="宋体" w:cs="宋体"/>
          <w:kern w:val="0"/>
          <w:sz w:val="24"/>
          <w:highlight w:val="none"/>
        </w:rPr>
        <w:t>。</w:t>
      </w:r>
    </w:p>
    <w:p>
      <w:pPr>
        <w:spacing w:line="336" w:lineRule="auto"/>
        <w:ind w:left="1200" w:hanging="1200" w:hangingChars="500"/>
        <w:jc w:val="left"/>
        <w:rPr>
          <w:rFonts w:hint="eastAsia" w:ascii="宋体" w:hAnsi="宋体" w:cs="宋体"/>
          <w:kern w:val="0"/>
          <w:sz w:val="24"/>
          <w:highlight w:val="none"/>
        </w:rPr>
      </w:pPr>
      <w:r>
        <w:rPr>
          <w:rFonts w:hint="eastAsia" w:ascii="宋体" w:hAnsi="宋体" w:cs="宋体"/>
          <w:kern w:val="0"/>
          <w:sz w:val="24"/>
          <w:highlight w:val="none"/>
        </w:rPr>
        <w:t xml:space="preserve">    16.1.2 发包人违约的责任</w:t>
      </w:r>
    </w:p>
    <w:p>
      <w:pPr>
        <w:spacing w:line="336"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发包人违约责任的承担方式和计算方法：</w:t>
      </w:r>
    </w:p>
    <w:p>
      <w:pPr>
        <w:spacing w:line="336" w:lineRule="auto"/>
        <w:ind w:firstLine="480" w:firstLineChars="200"/>
        <w:jc w:val="left"/>
        <w:rPr>
          <w:rFonts w:hint="eastAsia" w:ascii="宋体" w:hAnsi="宋体" w:cs="宋体"/>
          <w:kern w:val="0"/>
          <w:sz w:val="24"/>
          <w:highlight w:val="none"/>
          <w:u w:val="single"/>
        </w:rPr>
      </w:pPr>
      <w:r>
        <w:rPr>
          <w:rFonts w:hint="eastAsia" w:ascii="宋体" w:hAnsi="宋体" w:cs="宋体"/>
          <w:kern w:val="0"/>
          <w:sz w:val="24"/>
          <w:highlight w:val="none"/>
        </w:rPr>
        <w:t>（1）因发包人原因未能在计划开工日期前7天内下达开工通知的违约责任：</w:t>
      </w:r>
      <w:r>
        <w:rPr>
          <w:rFonts w:hint="eastAsia" w:ascii="宋体" w:hAnsi="宋体" w:cs="宋体"/>
          <w:b/>
          <w:sz w:val="24"/>
          <w:highlight w:val="none"/>
          <w:u w:val="single"/>
        </w:rPr>
        <w:t>详见《通用条款》各条约定</w:t>
      </w:r>
      <w:r>
        <w:rPr>
          <w:rFonts w:hint="eastAsia" w:ascii="宋体" w:hAnsi="宋体" w:cs="宋体"/>
          <w:kern w:val="0"/>
          <w:sz w:val="24"/>
          <w:highlight w:val="none"/>
        </w:rPr>
        <w:t>。</w:t>
      </w:r>
    </w:p>
    <w:p>
      <w:pPr>
        <w:spacing w:line="336"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（2）因发包人原因未能按合同约定支付合同价款的违约责任：</w:t>
      </w:r>
      <w:r>
        <w:rPr>
          <w:rFonts w:hint="eastAsia" w:ascii="宋体" w:hAnsi="宋体" w:cs="宋体"/>
          <w:b/>
          <w:sz w:val="24"/>
          <w:highlight w:val="none"/>
          <w:u w:val="single"/>
        </w:rPr>
        <w:t>详见《通用条款》各条约定</w:t>
      </w:r>
      <w:r>
        <w:rPr>
          <w:rFonts w:hint="eastAsia" w:ascii="宋体" w:hAnsi="宋体" w:cs="宋体"/>
          <w:kern w:val="0"/>
          <w:sz w:val="24"/>
          <w:highlight w:val="none"/>
        </w:rPr>
        <w:t>。</w:t>
      </w:r>
    </w:p>
    <w:p>
      <w:pPr>
        <w:spacing w:line="336"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（3）发包人违反第10.1款〔变更的范围〕第（2）项约定，自行实施被取消的工作或转由他人实施的违约责任：</w:t>
      </w:r>
      <w:r>
        <w:rPr>
          <w:rFonts w:hint="eastAsia" w:ascii="宋体" w:hAnsi="宋体" w:cs="宋体"/>
          <w:b/>
          <w:sz w:val="24"/>
          <w:highlight w:val="none"/>
          <w:u w:val="single"/>
        </w:rPr>
        <w:t>详见《通用条款》各条约定</w:t>
      </w:r>
      <w:r>
        <w:rPr>
          <w:rFonts w:hint="eastAsia" w:ascii="宋体" w:hAnsi="宋体" w:cs="宋体"/>
          <w:kern w:val="0"/>
          <w:sz w:val="24"/>
          <w:highlight w:val="none"/>
        </w:rPr>
        <w:t>。</w:t>
      </w:r>
    </w:p>
    <w:p>
      <w:pPr>
        <w:spacing w:line="336"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（4）发包人提供的材料、工程设备的规格、数量或质量不符合合同约定，或因发包人原因导致交货日期延误或交货地点变更等情况的违约责任：</w:t>
      </w:r>
      <w:r>
        <w:rPr>
          <w:rFonts w:hint="eastAsia" w:ascii="宋体" w:hAnsi="宋体" w:cs="宋体"/>
          <w:b/>
          <w:sz w:val="24"/>
          <w:highlight w:val="none"/>
          <w:u w:val="single"/>
        </w:rPr>
        <w:t xml:space="preserve">工期顺延 </w:t>
      </w:r>
      <w:r>
        <w:rPr>
          <w:rFonts w:hint="eastAsia" w:ascii="宋体" w:hAnsi="宋体" w:cs="宋体"/>
          <w:kern w:val="0"/>
          <w:sz w:val="24"/>
          <w:highlight w:val="none"/>
        </w:rPr>
        <w:t>。</w:t>
      </w:r>
    </w:p>
    <w:p>
      <w:pPr>
        <w:spacing w:line="336"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（5）因发包人违反合同约定造成暂停施工的违约责任：</w:t>
      </w:r>
      <w:r>
        <w:rPr>
          <w:rFonts w:hint="eastAsia" w:ascii="宋体" w:hAnsi="宋体" w:cs="宋体"/>
          <w:b/>
          <w:sz w:val="24"/>
          <w:highlight w:val="none"/>
          <w:u w:val="single"/>
        </w:rPr>
        <w:t>详见《通用条款》各条约定</w:t>
      </w:r>
      <w:r>
        <w:rPr>
          <w:rFonts w:hint="eastAsia" w:ascii="宋体" w:hAnsi="宋体" w:cs="宋体"/>
          <w:kern w:val="0"/>
          <w:sz w:val="24"/>
          <w:highlight w:val="none"/>
        </w:rPr>
        <w:t>。</w:t>
      </w:r>
    </w:p>
    <w:p>
      <w:pPr>
        <w:spacing w:line="336"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（6）发包人无正当理由没有在约定期限内发出复工指示，导致承包人无法复工的违约责任：</w:t>
      </w:r>
      <w:r>
        <w:rPr>
          <w:rFonts w:hint="eastAsia" w:ascii="宋体" w:hAnsi="宋体" w:cs="宋体"/>
          <w:b/>
          <w:sz w:val="24"/>
          <w:highlight w:val="none"/>
          <w:u w:val="single"/>
        </w:rPr>
        <w:t>详见《通用条款》各条约定</w:t>
      </w:r>
      <w:r>
        <w:rPr>
          <w:rFonts w:hint="eastAsia" w:ascii="宋体" w:hAnsi="宋体" w:cs="宋体"/>
          <w:kern w:val="0"/>
          <w:sz w:val="24"/>
          <w:highlight w:val="none"/>
        </w:rPr>
        <w:t>。</w:t>
      </w:r>
    </w:p>
    <w:p>
      <w:pPr>
        <w:spacing w:line="336"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（7）其他：</w:t>
      </w:r>
      <w:r>
        <w:rPr>
          <w:rFonts w:hint="eastAsia" w:ascii="宋体" w:hAnsi="宋体" w:cs="宋体"/>
          <w:kern w:val="0"/>
          <w:sz w:val="24"/>
          <w:highlight w:val="none"/>
          <w:u w:val="single"/>
        </w:rPr>
        <w:t xml:space="preserve">             /              </w:t>
      </w:r>
      <w:r>
        <w:rPr>
          <w:rFonts w:hint="eastAsia" w:ascii="宋体" w:hAnsi="宋体" w:cs="宋体"/>
          <w:kern w:val="0"/>
          <w:sz w:val="24"/>
          <w:highlight w:val="none"/>
        </w:rPr>
        <w:t>。</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16.1.3 因发包人违约解除合同</w:t>
      </w:r>
    </w:p>
    <w:p>
      <w:pPr>
        <w:autoSpaceDE w:val="0"/>
        <w:autoSpaceDN w:val="0"/>
        <w:adjustRightInd w:val="0"/>
        <w:spacing w:line="336"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承包人按16.1.1项〔发包人违约的情形〕约定暂停施工满</w:t>
      </w:r>
      <w:r>
        <w:rPr>
          <w:rFonts w:hint="eastAsia" w:ascii="宋体" w:hAnsi="宋体" w:cs="宋体"/>
          <w:kern w:val="0"/>
          <w:sz w:val="24"/>
          <w:highlight w:val="none"/>
          <w:u w:val="single"/>
        </w:rPr>
        <w:t xml:space="preserve">  30  </w:t>
      </w:r>
      <w:r>
        <w:rPr>
          <w:rFonts w:hint="eastAsia" w:ascii="宋体" w:hAnsi="宋体" w:cs="宋体"/>
          <w:kern w:val="0"/>
          <w:sz w:val="24"/>
          <w:highlight w:val="none"/>
        </w:rPr>
        <w:t>天后发包人仍不纠正其违约行为并致使合同目的不能实现的，承包人有权解除合同。</w:t>
      </w:r>
    </w:p>
    <w:p>
      <w:pPr>
        <w:spacing w:after="120" w:line="336" w:lineRule="auto"/>
        <w:ind w:firstLine="480" w:firstLineChars="200"/>
        <w:outlineLvl w:val="0"/>
        <w:rPr>
          <w:rFonts w:hint="eastAsia" w:ascii="宋体" w:hAnsi="宋体" w:cs="宋体"/>
          <w:sz w:val="24"/>
          <w:highlight w:val="none"/>
        </w:rPr>
      </w:pPr>
      <w:bookmarkStart w:id="100" w:name="_Toc6018"/>
      <w:r>
        <w:rPr>
          <w:rFonts w:hint="eastAsia" w:ascii="宋体" w:hAnsi="宋体" w:cs="宋体"/>
          <w:sz w:val="24"/>
          <w:highlight w:val="none"/>
        </w:rPr>
        <w:t>16.2 承包人违约</w:t>
      </w:r>
      <w:bookmarkEnd w:id="100"/>
    </w:p>
    <w:p>
      <w:pPr>
        <w:spacing w:line="336"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16.2.1 承包人违约的情形</w:t>
      </w:r>
    </w:p>
    <w:p>
      <w:pPr>
        <w:spacing w:line="336"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承包人违约的其他情形：</w:t>
      </w:r>
      <w:r>
        <w:rPr>
          <w:rFonts w:hint="eastAsia" w:ascii="宋体" w:hAnsi="宋体" w:cs="宋体"/>
          <w:b/>
          <w:sz w:val="24"/>
          <w:highlight w:val="none"/>
          <w:u w:val="single"/>
        </w:rPr>
        <w:t>按《通用条款》执行</w:t>
      </w:r>
      <w:r>
        <w:rPr>
          <w:rFonts w:hint="eastAsia" w:ascii="宋体" w:hAnsi="宋体" w:cs="宋体"/>
          <w:kern w:val="0"/>
          <w:sz w:val="24"/>
          <w:highlight w:val="none"/>
        </w:rPr>
        <w:t>。</w:t>
      </w:r>
    </w:p>
    <w:p>
      <w:pPr>
        <w:spacing w:line="336"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16.2.2承包人违约的责任</w:t>
      </w:r>
    </w:p>
    <w:p>
      <w:pPr>
        <w:spacing w:line="336" w:lineRule="auto"/>
        <w:ind w:firstLine="480" w:firstLineChars="200"/>
        <w:jc w:val="left"/>
        <w:rPr>
          <w:rFonts w:hint="eastAsia" w:ascii="宋体" w:hAnsi="宋体" w:cs="宋体"/>
          <w:kern w:val="0"/>
          <w:sz w:val="24"/>
          <w:highlight w:val="none"/>
          <w:u w:val="single"/>
        </w:rPr>
      </w:pPr>
      <w:r>
        <w:rPr>
          <w:rFonts w:hint="eastAsia" w:ascii="宋体" w:hAnsi="宋体" w:cs="宋体"/>
          <w:kern w:val="0"/>
          <w:sz w:val="24"/>
          <w:highlight w:val="none"/>
        </w:rPr>
        <w:t>承包人违约责任的承担方式和计算方法：</w:t>
      </w:r>
      <w:r>
        <w:rPr>
          <w:rFonts w:hint="eastAsia" w:ascii="宋体" w:hAnsi="宋体" w:cs="宋体"/>
          <w:b/>
          <w:sz w:val="24"/>
          <w:highlight w:val="none"/>
          <w:u w:val="single"/>
        </w:rPr>
        <w:t>如发现转包或违法分包或偷工减料或以次充好的行为，发包人有权单方终止合同，同时由承包人承担全部直接和间接经济损失，其余按通用条款执行</w:t>
      </w:r>
      <w:r>
        <w:rPr>
          <w:rFonts w:hint="eastAsia" w:ascii="宋体" w:hAnsi="宋体" w:cs="宋体"/>
          <w:kern w:val="0"/>
          <w:sz w:val="24"/>
          <w:highlight w:val="none"/>
        </w:rPr>
        <w:t>。</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16.2.3 因承包人违约解除合同</w:t>
      </w:r>
    </w:p>
    <w:p>
      <w:pPr>
        <w:spacing w:before="120" w:after="120" w:line="336"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关于承包人违约解除合同的特别约定：</w:t>
      </w:r>
      <w:r>
        <w:rPr>
          <w:rFonts w:hint="eastAsia" w:ascii="宋体" w:hAnsi="宋体" w:cs="宋体"/>
          <w:b/>
          <w:sz w:val="24"/>
          <w:highlight w:val="none"/>
          <w:u w:val="single"/>
        </w:rPr>
        <w:t>按《通用条款》执行</w:t>
      </w:r>
      <w:r>
        <w:rPr>
          <w:rFonts w:hint="eastAsia" w:ascii="宋体" w:hAnsi="宋体" w:cs="宋体"/>
          <w:kern w:val="0"/>
          <w:sz w:val="24"/>
          <w:highlight w:val="none"/>
        </w:rPr>
        <w:t>。</w:t>
      </w:r>
    </w:p>
    <w:p>
      <w:pPr>
        <w:spacing w:before="120" w:after="120" w:line="336"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发包人继续使用承包人在施工现场的材料、设备、临时工程、承包人文件和由承包人或以其名义编制的其他文件的费用承担方式：</w:t>
      </w:r>
      <w:r>
        <w:rPr>
          <w:rFonts w:hint="eastAsia" w:ascii="宋体" w:hAnsi="宋体" w:cs="宋体"/>
          <w:b/>
          <w:sz w:val="24"/>
          <w:highlight w:val="none"/>
          <w:u w:val="single"/>
        </w:rPr>
        <w:t>按《通用条款》执行</w:t>
      </w:r>
      <w:r>
        <w:rPr>
          <w:rFonts w:hint="eastAsia" w:ascii="宋体" w:hAnsi="宋体" w:cs="宋体"/>
          <w:kern w:val="0"/>
          <w:sz w:val="24"/>
          <w:highlight w:val="none"/>
        </w:rPr>
        <w:t>。</w:t>
      </w:r>
    </w:p>
    <w:p>
      <w:pPr>
        <w:keepNext/>
        <w:keepLines/>
        <w:spacing w:before="120" w:after="120" w:line="336" w:lineRule="auto"/>
        <w:outlineLvl w:val="3"/>
        <w:rPr>
          <w:rFonts w:hint="eastAsia" w:ascii="宋体" w:hAnsi="宋体" w:cs="宋体"/>
          <w:bCs/>
          <w:kern w:val="0"/>
          <w:sz w:val="24"/>
          <w:highlight w:val="none"/>
        </w:rPr>
      </w:pPr>
      <w:r>
        <w:rPr>
          <w:rFonts w:hint="eastAsia" w:ascii="宋体" w:hAnsi="宋体" w:cs="宋体"/>
          <w:bCs/>
          <w:kern w:val="0"/>
          <w:sz w:val="24"/>
          <w:highlight w:val="none"/>
        </w:rPr>
        <w:t>17. 不可抗力</w:t>
      </w:r>
    </w:p>
    <w:p>
      <w:pPr>
        <w:spacing w:after="120" w:line="336" w:lineRule="auto"/>
        <w:ind w:firstLine="480" w:firstLineChars="200"/>
        <w:rPr>
          <w:rFonts w:hint="eastAsia" w:ascii="宋体" w:hAnsi="宋体" w:cs="宋体"/>
          <w:sz w:val="24"/>
          <w:highlight w:val="none"/>
        </w:rPr>
      </w:pPr>
      <w:r>
        <w:rPr>
          <w:rFonts w:hint="eastAsia" w:ascii="宋体" w:hAnsi="宋体" w:cs="宋体"/>
          <w:sz w:val="24"/>
          <w:highlight w:val="none"/>
        </w:rPr>
        <w:t>17.1 不可抗力的确认</w:t>
      </w:r>
    </w:p>
    <w:p>
      <w:pPr>
        <w:spacing w:line="336" w:lineRule="auto"/>
        <w:ind w:firstLine="480" w:firstLineChars="200"/>
        <w:jc w:val="left"/>
        <w:rPr>
          <w:rFonts w:hint="eastAsia" w:ascii="宋体" w:hAnsi="宋体" w:cs="宋体"/>
          <w:kern w:val="0"/>
          <w:sz w:val="24"/>
          <w:highlight w:val="none"/>
          <w:u w:val="single"/>
        </w:rPr>
      </w:pPr>
      <w:r>
        <w:rPr>
          <w:rFonts w:hint="eastAsia" w:ascii="宋体" w:hAnsi="宋体" w:cs="宋体"/>
          <w:sz w:val="24"/>
          <w:highlight w:val="none"/>
        </w:rPr>
        <w:t xml:space="preserve">除通用合同条款约定的不可抗力事件之外，视为不可抗力的其他情形： </w:t>
      </w:r>
      <w:r>
        <w:rPr>
          <w:rFonts w:hint="eastAsia" w:ascii="宋体" w:hAnsi="宋体" w:cs="宋体"/>
          <w:b/>
          <w:sz w:val="24"/>
          <w:highlight w:val="none"/>
          <w:u w:val="single"/>
        </w:rPr>
        <w:t>按《通用条款》执行</w:t>
      </w:r>
      <w:r>
        <w:rPr>
          <w:rFonts w:hint="eastAsia" w:ascii="宋体" w:hAnsi="宋体" w:cs="宋体"/>
          <w:kern w:val="0"/>
          <w:sz w:val="24"/>
          <w:highlight w:val="none"/>
        </w:rPr>
        <w:t>。</w:t>
      </w:r>
    </w:p>
    <w:p>
      <w:pPr>
        <w:spacing w:after="120" w:line="336" w:lineRule="auto"/>
        <w:ind w:firstLine="480" w:firstLineChars="200"/>
        <w:outlineLvl w:val="0"/>
        <w:rPr>
          <w:rFonts w:hint="eastAsia" w:ascii="宋体" w:hAnsi="宋体" w:cs="宋体"/>
          <w:sz w:val="24"/>
          <w:highlight w:val="none"/>
        </w:rPr>
      </w:pPr>
      <w:bookmarkStart w:id="101" w:name="_Toc27435"/>
      <w:r>
        <w:rPr>
          <w:rFonts w:hint="eastAsia" w:ascii="宋体" w:hAnsi="宋体" w:cs="宋体"/>
          <w:sz w:val="24"/>
          <w:highlight w:val="none"/>
        </w:rPr>
        <w:t>17.4 因不可抗力解除合同</w:t>
      </w:r>
      <w:bookmarkEnd w:id="101"/>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合同解除后，发包人应在商定或确定发包人应支付款项后</w:t>
      </w:r>
      <w:r>
        <w:rPr>
          <w:rFonts w:hint="eastAsia" w:ascii="宋体" w:hAnsi="宋体" w:cs="宋体"/>
          <w:sz w:val="24"/>
          <w:highlight w:val="none"/>
          <w:u w:val="single"/>
        </w:rPr>
        <w:t xml:space="preserve">   30 </w:t>
      </w:r>
      <w:r>
        <w:rPr>
          <w:rFonts w:hint="eastAsia" w:ascii="宋体" w:hAnsi="宋体" w:cs="宋体"/>
          <w:sz w:val="24"/>
          <w:highlight w:val="none"/>
        </w:rPr>
        <w:t>天内完成款项的支付。</w:t>
      </w:r>
    </w:p>
    <w:p>
      <w:pPr>
        <w:keepNext/>
        <w:keepLines/>
        <w:spacing w:before="120" w:after="120" w:line="336" w:lineRule="auto"/>
        <w:outlineLvl w:val="3"/>
        <w:rPr>
          <w:rFonts w:hint="eastAsia" w:ascii="宋体" w:hAnsi="宋体" w:cs="宋体"/>
          <w:bCs/>
          <w:kern w:val="0"/>
          <w:sz w:val="24"/>
          <w:highlight w:val="none"/>
        </w:rPr>
      </w:pPr>
      <w:r>
        <w:rPr>
          <w:rFonts w:hint="eastAsia" w:ascii="宋体" w:hAnsi="宋体" w:cs="宋体"/>
          <w:bCs/>
          <w:kern w:val="0"/>
          <w:sz w:val="24"/>
          <w:highlight w:val="none"/>
        </w:rPr>
        <w:t>18. 保险</w:t>
      </w:r>
    </w:p>
    <w:p>
      <w:pPr>
        <w:spacing w:after="120" w:line="336" w:lineRule="auto"/>
        <w:ind w:firstLine="480" w:firstLineChars="200"/>
        <w:rPr>
          <w:rFonts w:hint="eastAsia" w:ascii="宋体" w:hAnsi="宋体" w:cs="宋体"/>
          <w:sz w:val="24"/>
          <w:highlight w:val="none"/>
        </w:rPr>
      </w:pPr>
      <w:r>
        <w:rPr>
          <w:rFonts w:hint="eastAsia" w:ascii="宋体" w:hAnsi="宋体" w:cs="宋体"/>
          <w:sz w:val="24"/>
          <w:highlight w:val="none"/>
        </w:rPr>
        <w:t>18.1 工程保险</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关于工程保险的特别约定：</w:t>
      </w:r>
      <w:r>
        <w:rPr>
          <w:rFonts w:hint="eastAsia" w:ascii="宋体" w:hAnsi="宋体" w:cs="宋体"/>
          <w:b/>
          <w:sz w:val="24"/>
          <w:highlight w:val="none"/>
          <w:u w:val="single"/>
        </w:rPr>
        <w:t>按《通用条款》执行</w:t>
      </w:r>
      <w:r>
        <w:rPr>
          <w:rFonts w:hint="eastAsia" w:ascii="宋体" w:hAnsi="宋体" w:cs="宋体"/>
          <w:kern w:val="0"/>
          <w:sz w:val="24"/>
          <w:highlight w:val="none"/>
        </w:rPr>
        <w:t>。</w:t>
      </w:r>
    </w:p>
    <w:p>
      <w:pPr>
        <w:spacing w:after="120" w:line="336" w:lineRule="auto"/>
        <w:ind w:firstLine="480" w:firstLineChars="200"/>
        <w:outlineLvl w:val="0"/>
        <w:rPr>
          <w:rFonts w:hint="eastAsia" w:ascii="宋体" w:hAnsi="宋体" w:cs="宋体"/>
          <w:sz w:val="24"/>
          <w:highlight w:val="none"/>
        </w:rPr>
      </w:pPr>
      <w:bookmarkStart w:id="102" w:name="_Toc13460"/>
      <w:r>
        <w:rPr>
          <w:rFonts w:hint="eastAsia" w:ascii="宋体" w:hAnsi="宋体" w:cs="宋体"/>
          <w:sz w:val="24"/>
          <w:highlight w:val="none"/>
        </w:rPr>
        <w:t>18.3 其他保险</w:t>
      </w:r>
      <w:bookmarkEnd w:id="102"/>
    </w:p>
    <w:p>
      <w:pPr>
        <w:spacing w:line="336" w:lineRule="auto"/>
        <w:ind w:firstLine="480" w:firstLineChars="200"/>
        <w:jc w:val="left"/>
        <w:rPr>
          <w:rFonts w:hint="eastAsia" w:ascii="宋体" w:hAnsi="宋体" w:cs="宋体"/>
          <w:kern w:val="0"/>
          <w:sz w:val="24"/>
          <w:highlight w:val="none"/>
        </w:rPr>
      </w:pPr>
      <w:r>
        <w:rPr>
          <w:rFonts w:hint="eastAsia" w:ascii="宋体" w:hAnsi="宋体" w:cs="宋体"/>
          <w:sz w:val="24"/>
          <w:highlight w:val="none"/>
        </w:rPr>
        <w:t>关于其他保险的约定：</w:t>
      </w:r>
      <w:r>
        <w:rPr>
          <w:rFonts w:hint="eastAsia" w:ascii="宋体" w:hAnsi="宋体" w:cs="宋体"/>
          <w:b/>
          <w:sz w:val="24"/>
          <w:highlight w:val="none"/>
          <w:u w:val="single"/>
        </w:rPr>
        <w:t>按《通用条款》执行</w:t>
      </w:r>
      <w:r>
        <w:rPr>
          <w:rFonts w:hint="eastAsia" w:ascii="宋体" w:hAnsi="宋体" w:cs="宋体"/>
          <w:kern w:val="0"/>
          <w:sz w:val="24"/>
          <w:highlight w:val="none"/>
        </w:rPr>
        <w:t>。</w:t>
      </w:r>
    </w:p>
    <w:p>
      <w:pPr>
        <w:spacing w:line="336" w:lineRule="auto"/>
        <w:ind w:firstLine="480" w:firstLineChars="200"/>
        <w:jc w:val="left"/>
        <w:rPr>
          <w:rFonts w:hint="eastAsia" w:ascii="宋体" w:hAnsi="宋体" w:cs="宋体"/>
          <w:kern w:val="0"/>
          <w:sz w:val="24"/>
          <w:highlight w:val="none"/>
        </w:rPr>
      </w:pPr>
      <w:r>
        <w:rPr>
          <w:rFonts w:hint="eastAsia" w:ascii="宋体" w:hAnsi="宋体" w:cs="宋体"/>
          <w:sz w:val="24"/>
          <w:highlight w:val="none"/>
        </w:rPr>
        <w:t>承包人是否应为其施工设备等办理财产保险：</w:t>
      </w:r>
      <w:r>
        <w:rPr>
          <w:rFonts w:hint="eastAsia" w:ascii="宋体" w:hAnsi="宋体" w:cs="宋体"/>
          <w:b/>
          <w:sz w:val="24"/>
          <w:highlight w:val="none"/>
          <w:u w:val="single"/>
        </w:rPr>
        <w:t>按《通用条款》执行</w:t>
      </w:r>
      <w:r>
        <w:rPr>
          <w:rFonts w:hint="eastAsia" w:ascii="宋体" w:hAnsi="宋体" w:cs="宋体"/>
          <w:sz w:val="24"/>
          <w:highlight w:val="none"/>
        </w:rPr>
        <w:t>。</w:t>
      </w:r>
    </w:p>
    <w:p>
      <w:pPr>
        <w:spacing w:after="120" w:line="336" w:lineRule="auto"/>
        <w:ind w:firstLine="480" w:firstLineChars="200"/>
        <w:rPr>
          <w:rFonts w:hint="eastAsia" w:ascii="宋体" w:hAnsi="宋体" w:cs="宋体"/>
          <w:sz w:val="24"/>
          <w:highlight w:val="none"/>
        </w:rPr>
      </w:pPr>
      <w:r>
        <w:rPr>
          <w:rFonts w:hint="eastAsia" w:ascii="宋体" w:hAnsi="宋体" w:cs="宋体"/>
          <w:sz w:val="24"/>
          <w:highlight w:val="none"/>
        </w:rPr>
        <w:t>18.7 通知义务</w:t>
      </w:r>
    </w:p>
    <w:p>
      <w:pPr>
        <w:spacing w:line="336" w:lineRule="auto"/>
        <w:ind w:firstLine="480" w:firstLineChars="200"/>
        <w:jc w:val="left"/>
        <w:rPr>
          <w:rFonts w:hint="eastAsia" w:ascii="宋体" w:hAnsi="宋体" w:cs="宋体"/>
          <w:sz w:val="24"/>
          <w:highlight w:val="none"/>
        </w:rPr>
      </w:pPr>
      <w:r>
        <w:rPr>
          <w:rFonts w:hint="eastAsia" w:ascii="宋体" w:hAnsi="宋体" w:cs="宋体"/>
          <w:kern w:val="0"/>
          <w:sz w:val="24"/>
          <w:highlight w:val="none"/>
        </w:rPr>
        <w:t>关于变更保险合同时的通知义务的约定：</w:t>
      </w:r>
      <w:r>
        <w:rPr>
          <w:rFonts w:hint="eastAsia" w:ascii="宋体" w:hAnsi="宋体" w:cs="宋体"/>
          <w:b/>
          <w:sz w:val="24"/>
          <w:highlight w:val="none"/>
          <w:u w:val="single"/>
        </w:rPr>
        <w:t>按《通用条款》执行</w:t>
      </w:r>
      <w:r>
        <w:rPr>
          <w:rFonts w:hint="eastAsia" w:ascii="宋体" w:hAnsi="宋体" w:cs="宋体"/>
          <w:sz w:val="24"/>
          <w:highlight w:val="none"/>
        </w:rPr>
        <w:t>。</w:t>
      </w:r>
    </w:p>
    <w:p>
      <w:pPr>
        <w:keepNext/>
        <w:keepLines/>
        <w:spacing w:before="120" w:after="120" w:line="336" w:lineRule="auto"/>
        <w:outlineLvl w:val="3"/>
        <w:rPr>
          <w:rFonts w:hint="eastAsia" w:ascii="宋体" w:hAnsi="宋体" w:cs="宋体"/>
          <w:bCs/>
          <w:kern w:val="0"/>
          <w:sz w:val="24"/>
          <w:highlight w:val="none"/>
        </w:rPr>
      </w:pPr>
      <w:r>
        <w:rPr>
          <w:rFonts w:hint="eastAsia" w:ascii="宋体" w:hAnsi="宋体" w:cs="宋体"/>
          <w:bCs/>
          <w:kern w:val="0"/>
          <w:sz w:val="24"/>
          <w:highlight w:val="none"/>
        </w:rPr>
        <w:t>20. 争议解决</w:t>
      </w:r>
    </w:p>
    <w:p>
      <w:pPr>
        <w:spacing w:after="120" w:line="336" w:lineRule="auto"/>
        <w:ind w:firstLine="480" w:firstLineChars="200"/>
        <w:outlineLvl w:val="0"/>
        <w:rPr>
          <w:rFonts w:hint="eastAsia" w:ascii="宋体" w:hAnsi="宋体" w:cs="宋体"/>
          <w:sz w:val="24"/>
          <w:highlight w:val="none"/>
        </w:rPr>
      </w:pPr>
      <w:bookmarkStart w:id="103" w:name="_Toc17632"/>
      <w:r>
        <w:rPr>
          <w:rFonts w:hint="eastAsia" w:ascii="宋体" w:hAnsi="宋体" w:cs="宋体"/>
          <w:sz w:val="24"/>
          <w:highlight w:val="none"/>
        </w:rPr>
        <w:t>20.3 争议评审</w:t>
      </w:r>
      <w:bookmarkEnd w:id="103"/>
    </w:p>
    <w:p>
      <w:pPr>
        <w:spacing w:line="336" w:lineRule="auto"/>
        <w:ind w:left="149" w:leftChars="71" w:firstLine="360" w:firstLineChars="150"/>
        <w:jc w:val="left"/>
        <w:rPr>
          <w:rFonts w:hint="eastAsia" w:ascii="宋体" w:hAnsi="宋体" w:cs="宋体"/>
          <w:sz w:val="24"/>
          <w:highlight w:val="none"/>
        </w:rPr>
      </w:pPr>
      <w:r>
        <w:rPr>
          <w:rFonts w:hint="eastAsia" w:ascii="宋体" w:hAnsi="宋体" w:cs="宋体"/>
          <w:sz w:val="24"/>
          <w:highlight w:val="none"/>
        </w:rPr>
        <w:t>合同当事人是否同意将工程争议提交争议评审小组决定：</w:t>
      </w:r>
      <w:r>
        <w:rPr>
          <w:rFonts w:hint="eastAsia" w:ascii="宋体" w:hAnsi="宋体" w:cs="宋体"/>
          <w:sz w:val="24"/>
          <w:highlight w:val="none"/>
          <w:u w:val="single"/>
        </w:rPr>
        <w:t xml:space="preserve"> / </w:t>
      </w:r>
      <w:r>
        <w:rPr>
          <w:rFonts w:hint="eastAsia" w:ascii="宋体" w:hAnsi="宋体" w:cs="宋体"/>
          <w:sz w:val="24"/>
          <w:highlight w:val="none"/>
        </w:rPr>
        <w:t xml:space="preserve">。  </w:t>
      </w:r>
    </w:p>
    <w:p>
      <w:pPr>
        <w:spacing w:line="336" w:lineRule="auto"/>
        <w:ind w:firstLine="480" w:firstLineChars="200"/>
        <w:jc w:val="left"/>
        <w:outlineLvl w:val="0"/>
        <w:rPr>
          <w:rFonts w:hint="eastAsia" w:ascii="宋体" w:hAnsi="宋体" w:cs="宋体"/>
          <w:sz w:val="24"/>
          <w:highlight w:val="none"/>
        </w:rPr>
      </w:pPr>
      <w:bookmarkStart w:id="104" w:name="_Toc24915"/>
      <w:r>
        <w:rPr>
          <w:rFonts w:hint="eastAsia" w:ascii="宋体" w:hAnsi="宋体" w:cs="宋体"/>
          <w:sz w:val="24"/>
          <w:highlight w:val="none"/>
        </w:rPr>
        <w:t>20.3.1 争议评审小组的确定</w:t>
      </w:r>
      <w:bookmarkEnd w:id="104"/>
    </w:p>
    <w:p>
      <w:pPr>
        <w:spacing w:line="336" w:lineRule="auto"/>
        <w:ind w:firstLine="480" w:firstLineChars="200"/>
        <w:jc w:val="left"/>
        <w:rPr>
          <w:rFonts w:hint="eastAsia" w:ascii="宋体" w:hAnsi="宋体" w:cs="宋体"/>
          <w:sz w:val="24"/>
          <w:highlight w:val="none"/>
          <w:u w:val="single"/>
        </w:rPr>
      </w:pPr>
      <w:r>
        <w:rPr>
          <w:rFonts w:hint="eastAsia" w:ascii="宋体" w:hAnsi="宋体" w:cs="宋体"/>
          <w:sz w:val="24"/>
          <w:highlight w:val="none"/>
        </w:rPr>
        <w:t>争议评审小组成员的确定：</w:t>
      </w:r>
      <w:r>
        <w:rPr>
          <w:rFonts w:hint="eastAsia" w:ascii="宋体" w:hAnsi="宋体" w:cs="宋体"/>
          <w:sz w:val="24"/>
          <w:highlight w:val="none"/>
          <w:u w:val="single"/>
        </w:rPr>
        <w:t xml:space="preserve">           /                  </w:t>
      </w:r>
      <w:r>
        <w:rPr>
          <w:rFonts w:hint="eastAsia" w:ascii="宋体" w:hAnsi="宋体" w:cs="宋体"/>
          <w:sz w:val="24"/>
          <w:highlight w:val="none"/>
        </w:rPr>
        <w:t>。</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选定争议评审员的期限：</w:t>
      </w:r>
      <w:r>
        <w:rPr>
          <w:rFonts w:hint="eastAsia" w:ascii="宋体" w:hAnsi="宋体" w:cs="宋体"/>
          <w:sz w:val="24"/>
          <w:highlight w:val="none"/>
          <w:u w:val="single"/>
        </w:rPr>
        <w:t xml:space="preserve">              /                 </w:t>
      </w:r>
      <w:r>
        <w:rPr>
          <w:rFonts w:hint="eastAsia" w:ascii="宋体" w:hAnsi="宋体" w:cs="宋体"/>
          <w:sz w:val="24"/>
          <w:highlight w:val="none"/>
        </w:rPr>
        <w:t>。</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争议评审小组成员的报酬承担方式：</w:t>
      </w:r>
      <w:r>
        <w:rPr>
          <w:rFonts w:hint="eastAsia" w:ascii="宋体" w:hAnsi="宋体" w:cs="宋体"/>
          <w:sz w:val="24"/>
          <w:highlight w:val="none"/>
          <w:u w:val="single"/>
        </w:rPr>
        <w:t xml:space="preserve">        /             </w:t>
      </w:r>
      <w:r>
        <w:rPr>
          <w:rFonts w:hint="eastAsia" w:ascii="宋体" w:hAnsi="宋体" w:cs="宋体"/>
          <w:sz w:val="24"/>
          <w:highlight w:val="none"/>
        </w:rPr>
        <w:t>。</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其他事项的约定：</w:t>
      </w:r>
      <w:r>
        <w:rPr>
          <w:rFonts w:hint="eastAsia" w:ascii="宋体" w:hAnsi="宋体" w:cs="宋体"/>
          <w:sz w:val="24"/>
          <w:highlight w:val="none"/>
          <w:u w:val="single"/>
        </w:rPr>
        <w:t xml:space="preserve">                      /               </w:t>
      </w:r>
      <w:r>
        <w:rPr>
          <w:rFonts w:hint="eastAsia" w:ascii="宋体" w:hAnsi="宋体" w:cs="宋体"/>
          <w:sz w:val="24"/>
          <w:highlight w:val="none"/>
        </w:rPr>
        <w:t>。</w:t>
      </w:r>
    </w:p>
    <w:p>
      <w:pPr>
        <w:autoSpaceDE w:val="0"/>
        <w:autoSpaceDN w:val="0"/>
        <w:adjustRightInd w:val="0"/>
        <w:spacing w:line="336" w:lineRule="auto"/>
        <w:ind w:firstLine="480" w:firstLineChars="200"/>
        <w:jc w:val="left"/>
        <w:outlineLvl w:val="0"/>
        <w:rPr>
          <w:rFonts w:hint="eastAsia" w:ascii="宋体" w:hAnsi="宋体" w:cs="宋体"/>
          <w:kern w:val="0"/>
          <w:sz w:val="24"/>
          <w:highlight w:val="none"/>
        </w:rPr>
      </w:pPr>
      <w:bookmarkStart w:id="105" w:name="_Toc11043"/>
      <w:r>
        <w:rPr>
          <w:rFonts w:hint="eastAsia" w:ascii="宋体" w:hAnsi="宋体" w:cs="宋体"/>
          <w:kern w:val="0"/>
          <w:sz w:val="24"/>
          <w:highlight w:val="none"/>
        </w:rPr>
        <w:t>20.3.2 争议评审小组的决定</w:t>
      </w:r>
      <w:bookmarkEnd w:id="105"/>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合同当事人关于本项的约定：</w:t>
      </w:r>
      <w:r>
        <w:rPr>
          <w:rFonts w:hint="eastAsia" w:ascii="宋体" w:hAnsi="宋体" w:cs="宋体"/>
          <w:sz w:val="24"/>
          <w:highlight w:val="none"/>
          <w:u w:val="single"/>
        </w:rPr>
        <w:t xml:space="preserve">            /               </w:t>
      </w:r>
      <w:r>
        <w:rPr>
          <w:rFonts w:hint="eastAsia" w:ascii="宋体" w:hAnsi="宋体" w:cs="宋体"/>
          <w:sz w:val="24"/>
          <w:highlight w:val="none"/>
        </w:rPr>
        <w:t>。</w:t>
      </w:r>
    </w:p>
    <w:p>
      <w:pPr>
        <w:spacing w:after="120" w:line="336" w:lineRule="auto"/>
        <w:ind w:firstLine="480" w:firstLineChars="200"/>
        <w:outlineLvl w:val="0"/>
        <w:rPr>
          <w:rFonts w:hint="eastAsia" w:ascii="宋体" w:hAnsi="宋体" w:cs="宋体"/>
          <w:sz w:val="24"/>
          <w:highlight w:val="none"/>
        </w:rPr>
      </w:pPr>
      <w:bookmarkStart w:id="106" w:name="_Toc6827"/>
      <w:r>
        <w:rPr>
          <w:rFonts w:hint="eastAsia" w:ascii="宋体" w:hAnsi="宋体" w:cs="宋体"/>
          <w:sz w:val="24"/>
          <w:highlight w:val="none"/>
        </w:rPr>
        <w:t>20.4仲裁或诉讼</w:t>
      </w:r>
      <w:bookmarkEnd w:id="106"/>
    </w:p>
    <w:p>
      <w:pPr>
        <w:spacing w:after="120" w:line="336" w:lineRule="auto"/>
        <w:ind w:firstLine="480" w:firstLineChars="200"/>
        <w:rPr>
          <w:rFonts w:hint="eastAsia" w:ascii="宋体" w:hAnsi="宋体" w:cs="宋体"/>
          <w:sz w:val="24"/>
          <w:highlight w:val="none"/>
        </w:rPr>
      </w:pPr>
      <w:r>
        <w:rPr>
          <w:rFonts w:hint="eastAsia" w:ascii="宋体" w:hAnsi="宋体" w:cs="宋体"/>
          <w:sz w:val="24"/>
          <w:highlight w:val="none"/>
        </w:rPr>
        <w:t>因合同及合同有关事项发生的争议，按下列第</w:t>
      </w:r>
      <w:r>
        <w:rPr>
          <w:rFonts w:hint="eastAsia" w:ascii="宋体" w:hAnsi="宋体" w:cs="宋体"/>
          <w:sz w:val="24"/>
          <w:highlight w:val="none"/>
          <w:u w:val="single"/>
        </w:rPr>
        <w:t xml:space="preserve">  （2）   </w:t>
      </w:r>
      <w:r>
        <w:rPr>
          <w:rFonts w:hint="eastAsia" w:ascii="宋体" w:hAnsi="宋体" w:cs="宋体"/>
          <w:sz w:val="24"/>
          <w:highlight w:val="none"/>
        </w:rPr>
        <w:t>种方式解决：</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（1）向仲裁委员会申请仲裁；</w:t>
      </w:r>
    </w:p>
    <w:p>
      <w:pPr>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（2）向</w:t>
      </w:r>
      <w:r>
        <w:rPr>
          <w:rFonts w:hint="eastAsia" w:ascii="宋体" w:hAnsi="宋体" w:cs="宋体"/>
          <w:sz w:val="24"/>
          <w:highlight w:val="none"/>
          <w:u w:val="single"/>
        </w:rPr>
        <w:t xml:space="preserve">  金华市婺城区  </w:t>
      </w:r>
      <w:r>
        <w:rPr>
          <w:rFonts w:hint="eastAsia" w:ascii="宋体" w:hAnsi="宋体" w:cs="宋体"/>
          <w:sz w:val="24"/>
          <w:highlight w:val="none"/>
        </w:rPr>
        <w:t>人民法院起诉。</w:t>
      </w:r>
    </w:p>
    <w:p>
      <w:pPr>
        <w:tabs>
          <w:tab w:val="left" w:pos="3780"/>
        </w:tabs>
        <w:spacing w:after="120" w:line="336" w:lineRule="auto"/>
        <w:ind w:firstLine="482" w:firstLineChars="200"/>
        <w:rPr>
          <w:rFonts w:hint="eastAsia" w:ascii="宋体" w:hAnsi="宋体" w:cs="宋体"/>
          <w:b/>
          <w:sz w:val="24"/>
          <w:highlight w:val="none"/>
        </w:rPr>
      </w:pPr>
      <w:r>
        <w:rPr>
          <w:rFonts w:hint="eastAsia" w:ascii="宋体" w:hAnsi="宋体" w:cs="宋体"/>
          <w:b/>
          <w:sz w:val="24"/>
          <w:highlight w:val="none"/>
        </w:rPr>
        <w:t>其它有关说明</w:t>
      </w:r>
    </w:p>
    <w:p>
      <w:pPr>
        <w:tabs>
          <w:tab w:val="left" w:pos="3780"/>
        </w:tabs>
        <w:autoSpaceDE w:val="0"/>
        <w:autoSpaceDN w:val="0"/>
        <w:adjustRightInd w:val="0"/>
        <w:spacing w:line="336"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1、如因工程质量不能保证，经发包人对承包人作出相应处罚后责令其更换项目班子成员，承包人应无条件配合，如更换后的项目班子仍不能对工程有改观的，发包人有权单方中止合同，其一切损失均由承包人承担。</w:t>
      </w:r>
    </w:p>
    <w:p>
      <w:pPr>
        <w:tabs>
          <w:tab w:val="left" w:pos="3780"/>
        </w:tabs>
        <w:autoSpaceDE w:val="0"/>
        <w:autoSpaceDN w:val="0"/>
        <w:adjustRightInd w:val="0"/>
        <w:spacing w:line="336"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2、对项目经理每月出勤比率少于30%的，发包人有权单方中止合同的履行，其一切损失均由承包人承担，并不再支付工程款。</w:t>
      </w:r>
    </w:p>
    <w:p>
      <w:pPr>
        <w:tabs>
          <w:tab w:val="left" w:pos="3780"/>
        </w:tabs>
        <w:autoSpaceDE w:val="0"/>
        <w:autoSpaceDN w:val="0"/>
        <w:adjustRightInd w:val="0"/>
        <w:spacing w:line="336"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3、每天上、下班时间到工地基建办或监理办签到，作为缺勤处罚依据。</w:t>
      </w:r>
    </w:p>
    <w:p>
      <w:pPr>
        <w:tabs>
          <w:tab w:val="left" w:pos="3780"/>
        </w:tabs>
        <w:autoSpaceDE w:val="0"/>
        <w:autoSpaceDN w:val="0"/>
        <w:adjustRightInd w:val="0"/>
        <w:spacing w:line="336"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4、承包人不得以任何形式转包，一经发现，发包人有权终止合同，所造成的一切损失均由承包人负责。</w:t>
      </w:r>
    </w:p>
    <w:p>
      <w:pPr>
        <w:tabs>
          <w:tab w:val="left" w:pos="3780"/>
        </w:tabs>
        <w:autoSpaceDE w:val="0"/>
        <w:autoSpaceDN w:val="0"/>
        <w:adjustRightInd w:val="0"/>
        <w:spacing w:line="336"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5、民工工资问题，按有关文件规定执行。</w:t>
      </w:r>
    </w:p>
    <w:p>
      <w:pPr>
        <w:tabs>
          <w:tab w:val="left" w:pos="3780"/>
        </w:tabs>
        <w:autoSpaceDE w:val="0"/>
        <w:autoSpaceDN w:val="0"/>
        <w:adjustRightInd w:val="0"/>
        <w:spacing w:line="336"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6、工程竣工验收后，承包人须提交工程竣工图及其它有关资料；工程保修按国家有关规定执行。</w:t>
      </w:r>
    </w:p>
    <w:p>
      <w:pPr>
        <w:spacing w:line="336" w:lineRule="auto"/>
        <w:ind w:firstLine="480" w:firstLineChars="200"/>
        <w:rPr>
          <w:rFonts w:hint="eastAsia" w:ascii="宋体" w:hAnsi="宋体" w:cs="宋体"/>
          <w:sz w:val="24"/>
          <w:highlight w:val="none"/>
        </w:rPr>
      </w:pPr>
      <w:r>
        <w:rPr>
          <w:rFonts w:hint="eastAsia" w:ascii="宋体" w:hAnsi="宋体" w:cs="宋体"/>
          <w:kern w:val="0"/>
          <w:sz w:val="24"/>
          <w:highlight w:val="none"/>
        </w:rPr>
        <w:t>7、未尽事宜，由发包人、承包人结合国家、浙江省及金华市有关规定共同协商。</w:t>
      </w:r>
    </w:p>
    <w:p>
      <w:pPr>
        <w:spacing w:line="336"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8、关于竣工结算审核相关规定执行金市财建[2016]183号文件。</w:t>
      </w:r>
    </w:p>
    <w:p>
      <w:pPr>
        <w:tabs>
          <w:tab w:val="left" w:pos="3780"/>
        </w:tabs>
        <w:autoSpaceDE w:val="0"/>
        <w:autoSpaceDN w:val="0"/>
        <w:adjustRightInd w:val="0"/>
        <w:spacing w:line="336"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9、如工程施工处在疫情防控期间，相关防疫费用根据金市建建【2020】8号《金华市住房和城乡建设局关于新型冠状病毒疫情期间在建工程施工工期延期及费用索赔问题的指导意见》处理。</w:t>
      </w:r>
    </w:p>
    <w:p>
      <w:pPr>
        <w:spacing w:line="440" w:lineRule="exact"/>
        <w:ind w:firstLine="420" w:firstLineChars="200"/>
        <w:rPr>
          <w:rFonts w:hint="eastAsia" w:eastAsia="仿宋_GB2312"/>
          <w:szCs w:val="21"/>
          <w:highlight w:val="none"/>
        </w:rPr>
      </w:pPr>
    </w:p>
    <w:bookmarkEnd w:id="32"/>
    <w:p>
      <w:pPr>
        <w:pStyle w:val="19"/>
        <w:snapToGrid w:val="0"/>
        <w:spacing w:line="400" w:lineRule="exact"/>
        <w:jc w:val="center"/>
        <w:rPr>
          <w:rFonts w:ascii="宋体" w:hAnsi="宋体" w:cs="宋体"/>
          <w:sz w:val="28"/>
          <w:szCs w:val="28"/>
          <w:highlight w:val="none"/>
        </w:rPr>
      </w:pPr>
      <w:bookmarkStart w:id="107" w:name="_Toc370283428"/>
      <w:r>
        <w:rPr>
          <w:rFonts w:eastAsia="黑体"/>
          <w:b/>
          <w:bCs/>
          <w:szCs w:val="30"/>
          <w:highlight w:val="none"/>
        </w:rPr>
        <w:br w:type="page"/>
      </w:r>
      <w:bookmarkEnd w:id="107"/>
      <w:r>
        <w:rPr>
          <w:rFonts w:hint="eastAsia" w:ascii="宋体" w:hAnsi="宋体" w:cs="宋体"/>
          <w:b/>
          <w:bCs/>
          <w:sz w:val="28"/>
          <w:szCs w:val="28"/>
          <w:highlight w:val="none"/>
        </w:rPr>
        <w:t>廉政责任书（格式）</w:t>
      </w:r>
    </w:p>
    <w:p>
      <w:pPr>
        <w:pStyle w:val="19"/>
        <w:tabs>
          <w:tab w:val="left" w:pos="1368"/>
        </w:tabs>
        <w:spacing w:line="400" w:lineRule="exact"/>
        <w:ind w:firstLine="480" w:firstLineChars="200"/>
        <w:jc w:val="left"/>
        <w:rPr>
          <w:rFonts w:ascii="宋体" w:hAnsi="宋体" w:cs="宋体"/>
          <w:highlight w:val="none"/>
        </w:rPr>
      </w:pPr>
      <w:r>
        <w:rPr>
          <w:rFonts w:hint="eastAsia" w:ascii="宋体" w:hAnsi="宋体" w:cs="宋体"/>
          <w:highlight w:val="none"/>
        </w:rPr>
        <w:t>为加强工程建设中的廉政建设，保证工程建设高效优质完成，保证建设资金的安全和有效用，工程的项目法人</w:t>
      </w:r>
      <w:r>
        <w:rPr>
          <w:rFonts w:hint="eastAsia" w:ascii="宋体" w:hAnsi="宋体" w:cs="宋体"/>
          <w:highlight w:val="none"/>
          <w:u w:val="single"/>
        </w:rPr>
        <w:t xml:space="preserve">                  </w:t>
      </w:r>
      <w:r>
        <w:rPr>
          <w:rFonts w:hint="eastAsia" w:ascii="宋体" w:hAnsi="宋体" w:cs="宋体"/>
          <w:highlight w:val="none"/>
        </w:rPr>
        <w:t>(以下称甲方)与承包商</w:t>
      </w:r>
      <w:r>
        <w:rPr>
          <w:rFonts w:hint="eastAsia" w:ascii="宋体" w:hAnsi="宋体" w:cs="宋体"/>
          <w:highlight w:val="none"/>
          <w:u w:val="single"/>
        </w:rPr>
        <w:t xml:space="preserve">                        </w:t>
      </w:r>
      <w:r>
        <w:rPr>
          <w:rFonts w:hint="eastAsia" w:ascii="宋体" w:hAnsi="宋体" w:cs="宋体"/>
          <w:highlight w:val="none"/>
        </w:rPr>
        <w:t>（以下称乙方），特订立如下责任书。</w:t>
      </w:r>
    </w:p>
    <w:p>
      <w:pPr>
        <w:pStyle w:val="19"/>
        <w:tabs>
          <w:tab w:val="left" w:pos="1353"/>
        </w:tabs>
        <w:spacing w:line="400" w:lineRule="exact"/>
        <w:ind w:firstLine="482" w:firstLineChars="200"/>
        <w:rPr>
          <w:rFonts w:ascii="宋体" w:hAnsi="宋体" w:cs="宋体"/>
          <w:b/>
          <w:highlight w:val="none"/>
        </w:rPr>
      </w:pPr>
      <w:r>
        <w:rPr>
          <w:rFonts w:hint="eastAsia" w:ascii="宋体" w:hAnsi="宋体" w:cs="宋体"/>
          <w:b/>
          <w:highlight w:val="none"/>
        </w:rPr>
        <w:t>第一条  甲乙双方的权利和义务</w:t>
      </w:r>
    </w:p>
    <w:p>
      <w:pPr>
        <w:pStyle w:val="19"/>
        <w:tabs>
          <w:tab w:val="left" w:pos="1368"/>
        </w:tabs>
        <w:spacing w:line="400" w:lineRule="exact"/>
        <w:ind w:firstLine="480" w:firstLineChars="200"/>
        <w:rPr>
          <w:rFonts w:ascii="宋体" w:hAnsi="宋体" w:cs="宋体"/>
          <w:highlight w:val="none"/>
        </w:rPr>
      </w:pPr>
      <w:r>
        <w:rPr>
          <w:rFonts w:hint="eastAsia" w:ascii="宋体" w:hAnsi="宋体" w:cs="宋体"/>
          <w:highlight w:val="none"/>
        </w:rPr>
        <w:t>（一）严格遵守党和国家工程建设的有关法律法规及水利部门的有关规定。</w:t>
      </w:r>
    </w:p>
    <w:p>
      <w:pPr>
        <w:pStyle w:val="19"/>
        <w:tabs>
          <w:tab w:val="left" w:pos="1368"/>
          <w:tab w:val="left" w:pos="3365"/>
        </w:tabs>
        <w:spacing w:line="400" w:lineRule="exact"/>
        <w:ind w:firstLine="480" w:firstLineChars="200"/>
        <w:rPr>
          <w:rFonts w:ascii="宋体" w:hAnsi="宋体" w:cs="宋体"/>
          <w:highlight w:val="none"/>
        </w:rPr>
      </w:pPr>
      <w:r>
        <w:rPr>
          <w:rFonts w:hint="eastAsia" w:ascii="宋体" w:hAnsi="宋体" w:cs="宋体"/>
          <w:highlight w:val="none"/>
        </w:rPr>
        <w:t>（二）严格执行</w:t>
      </w:r>
      <w:r>
        <w:rPr>
          <w:rFonts w:hint="eastAsia" w:ascii="宋体" w:hAnsi="宋体" w:cs="宋体"/>
          <w:highlight w:val="none"/>
          <w:u w:val="single"/>
        </w:rPr>
        <w:tab/>
      </w:r>
      <w:r>
        <w:rPr>
          <w:rFonts w:hint="eastAsia" w:ascii="宋体" w:hAnsi="宋体" w:cs="宋体"/>
          <w:highlight w:val="none"/>
        </w:rPr>
        <w:t>工程的合同文件，自觉按合同办事。</w:t>
      </w:r>
    </w:p>
    <w:p>
      <w:pPr>
        <w:pStyle w:val="19"/>
        <w:tabs>
          <w:tab w:val="left" w:pos="1368"/>
        </w:tabs>
        <w:spacing w:line="400" w:lineRule="exact"/>
        <w:ind w:firstLine="480" w:firstLineChars="200"/>
        <w:rPr>
          <w:rFonts w:ascii="宋体" w:hAnsi="宋体" w:cs="宋体"/>
          <w:highlight w:val="none"/>
        </w:rPr>
      </w:pPr>
      <w:r>
        <w:rPr>
          <w:rFonts w:hint="eastAsia" w:ascii="宋体" w:hAnsi="宋体" w:cs="宋体"/>
          <w:highlight w:val="none"/>
        </w:rPr>
        <w:t>（三）双方的业务活动坚持公开、公平、公正、诚</w:t>
      </w:r>
      <w:r>
        <w:rPr>
          <w:rFonts w:hint="eastAsia" w:ascii="宋体" w:hAnsi="宋体" w:cs="宋体"/>
          <w:spacing w:val="-16"/>
          <w:highlight w:val="none"/>
        </w:rPr>
        <w:t>信</w:t>
      </w:r>
      <w:r>
        <w:rPr>
          <w:rFonts w:hint="eastAsia" w:ascii="宋体" w:hAnsi="宋体" w:cs="宋体"/>
          <w:highlight w:val="none"/>
        </w:rPr>
        <w:t>、透明的原则（除法律认定的商业秘密和合同文件另有规定之外</w:t>
      </w:r>
      <w:r>
        <w:rPr>
          <w:rFonts w:hint="eastAsia" w:ascii="宋体" w:hAnsi="宋体" w:cs="宋体"/>
          <w:spacing w:val="-108"/>
          <w:highlight w:val="none"/>
        </w:rPr>
        <w:t>）</w:t>
      </w:r>
      <w:r>
        <w:rPr>
          <w:rFonts w:hint="eastAsia" w:ascii="宋体" w:hAnsi="宋体" w:cs="宋体"/>
          <w:highlight w:val="none"/>
        </w:rPr>
        <w:t>，不得损害国家和集体利益，违反工程建设管理规定。</w:t>
      </w:r>
    </w:p>
    <w:p>
      <w:pPr>
        <w:pStyle w:val="19"/>
        <w:tabs>
          <w:tab w:val="left" w:pos="1368"/>
        </w:tabs>
        <w:spacing w:line="400" w:lineRule="exact"/>
        <w:ind w:firstLine="480" w:firstLineChars="200"/>
        <w:rPr>
          <w:rFonts w:ascii="宋体" w:hAnsi="宋体" w:cs="宋体"/>
          <w:highlight w:val="none"/>
        </w:rPr>
      </w:pPr>
      <w:r>
        <w:rPr>
          <w:rFonts w:hint="eastAsia" w:ascii="宋体" w:hAnsi="宋体" w:cs="宋体"/>
          <w:highlight w:val="none"/>
        </w:rPr>
        <w:t>（四）建立健全廉政制度</w:t>
      </w:r>
      <w:r>
        <w:rPr>
          <w:rFonts w:hint="eastAsia" w:ascii="宋体" w:hAnsi="宋体" w:cs="宋体"/>
          <w:spacing w:val="-16"/>
          <w:highlight w:val="none"/>
        </w:rPr>
        <w:t>、</w:t>
      </w:r>
      <w:r>
        <w:rPr>
          <w:rFonts w:hint="eastAsia" w:ascii="宋体" w:hAnsi="宋体" w:cs="宋体"/>
          <w:highlight w:val="none"/>
        </w:rPr>
        <w:t>监督制度和处罚制度</w:t>
      </w:r>
      <w:r>
        <w:rPr>
          <w:rFonts w:hint="eastAsia" w:ascii="宋体" w:hAnsi="宋体" w:cs="宋体"/>
          <w:spacing w:val="-16"/>
          <w:highlight w:val="none"/>
        </w:rPr>
        <w:t>，</w:t>
      </w:r>
      <w:r>
        <w:rPr>
          <w:rFonts w:hint="eastAsia" w:ascii="宋体" w:hAnsi="宋体" w:cs="宋体"/>
          <w:highlight w:val="none"/>
        </w:rPr>
        <w:t>开展廉政教</w:t>
      </w:r>
      <w:r>
        <w:rPr>
          <w:rFonts w:hint="eastAsia" w:ascii="宋体" w:hAnsi="宋体" w:cs="宋体"/>
          <w:spacing w:val="15"/>
          <w:highlight w:val="none"/>
        </w:rPr>
        <w:t>育</w:t>
      </w:r>
      <w:r>
        <w:rPr>
          <w:rFonts w:hint="eastAsia" w:ascii="宋体" w:hAnsi="宋体" w:cs="宋体"/>
          <w:spacing w:val="-16"/>
          <w:highlight w:val="none"/>
        </w:rPr>
        <w:t>，</w:t>
      </w:r>
      <w:r>
        <w:rPr>
          <w:rFonts w:hint="eastAsia" w:ascii="宋体" w:hAnsi="宋体" w:cs="宋体"/>
          <w:highlight w:val="none"/>
        </w:rPr>
        <w:t>设立廉政告示牌</w:t>
      </w:r>
      <w:r>
        <w:rPr>
          <w:rFonts w:hint="eastAsia" w:ascii="宋体" w:hAnsi="宋体" w:cs="宋体"/>
          <w:spacing w:val="-16"/>
          <w:highlight w:val="none"/>
        </w:rPr>
        <w:t>，</w:t>
      </w:r>
      <w:r>
        <w:rPr>
          <w:rFonts w:hint="eastAsia" w:ascii="宋体" w:hAnsi="宋体" w:cs="宋体"/>
          <w:highlight w:val="none"/>
        </w:rPr>
        <w:t>公布举报电话。</w:t>
      </w:r>
    </w:p>
    <w:p>
      <w:pPr>
        <w:pStyle w:val="19"/>
        <w:tabs>
          <w:tab w:val="left" w:pos="1368"/>
        </w:tabs>
        <w:spacing w:line="400" w:lineRule="exact"/>
        <w:ind w:firstLine="480" w:firstLineChars="200"/>
        <w:rPr>
          <w:rFonts w:ascii="宋体" w:hAnsi="宋体" w:cs="宋体"/>
          <w:highlight w:val="none"/>
        </w:rPr>
      </w:pPr>
      <w:r>
        <w:rPr>
          <w:rFonts w:hint="eastAsia" w:ascii="宋体" w:hAnsi="宋体" w:cs="宋体"/>
          <w:highlight w:val="none"/>
        </w:rPr>
        <w:t>（五）发现对方在业务活动中有违反廉政规定的行为</w:t>
      </w:r>
      <w:r>
        <w:rPr>
          <w:rFonts w:hint="eastAsia" w:ascii="宋体" w:hAnsi="宋体" w:cs="宋体"/>
          <w:spacing w:val="-30"/>
          <w:highlight w:val="none"/>
        </w:rPr>
        <w:t>，</w:t>
      </w:r>
      <w:r>
        <w:rPr>
          <w:rFonts w:hint="eastAsia" w:ascii="宋体" w:hAnsi="宋体" w:cs="宋体"/>
          <w:highlight w:val="none"/>
        </w:rPr>
        <w:t>有及时提醒对方纠正的权利和义务。</w:t>
      </w:r>
    </w:p>
    <w:p>
      <w:pPr>
        <w:pStyle w:val="19"/>
        <w:tabs>
          <w:tab w:val="left" w:pos="1368"/>
        </w:tabs>
        <w:spacing w:line="400" w:lineRule="exact"/>
        <w:ind w:firstLine="480" w:firstLineChars="200"/>
        <w:rPr>
          <w:rFonts w:ascii="宋体" w:hAnsi="宋体" w:cs="宋体"/>
          <w:highlight w:val="none"/>
        </w:rPr>
      </w:pPr>
      <w:r>
        <w:rPr>
          <w:rFonts w:hint="eastAsia" w:ascii="宋体" w:hAnsi="宋体" w:cs="宋体"/>
          <w:highlight w:val="none"/>
        </w:rPr>
        <w:t>（六）发现对方严重违反本责任书义务条款的行为</w:t>
      </w:r>
      <w:r>
        <w:rPr>
          <w:rFonts w:hint="eastAsia" w:ascii="宋体" w:hAnsi="宋体" w:cs="宋体"/>
          <w:spacing w:val="-16"/>
          <w:highlight w:val="none"/>
        </w:rPr>
        <w:t>，</w:t>
      </w:r>
      <w:r>
        <w:rPr>
          <w:rFonts w:hint="eastAsia" w:ascii="宋体" w:hAnsi="宋体" w:cs="宋体"/>
          <w:highlight w:val="none"/>
        </w:rPr>
        <w:t>有向其上级有关部门举报</w:t>
      </w:r>
      <w:r>
        <w:rPr>
          <w:rFonts w:hint="eastAsia" w:ascii="宋体" w:hAnsi="宋体" w:cs="宋体"/>
          <w:spacing w:val="-16"/>
          <w:highlight w:val="none"/>
        </w:rPr>
        <w:t>、</w:t>
      </w:r>
      <w:r>
        <w:rPr>
          <w:rFonts w:hint="eastAsia" w:ascii="宋体" w:hAnsi="宋体" w:cs="宋体"/>
          <w:highlight w:val="none"/>
        </w:rPr>
        <w:t>建议给予处理并要求告知处理结果的权利。</w:t>
      </w:r>
    </w:p>
    <w:p>
      <w:pPr>
        <w:pStyle w:val="19"/>
        <w:tabs>
          <w:tab w:val="left" w:pos="1353"/>
        </w:tabs>
        <w:spacing w:line="400" w:lineRule="exact"/>
        <w:ind w:firstLine="482" w:firstLineChars="200"/>
        <w:rPr>
          <w:rFonts w:ascii="宋体" w:hAnsi="宋体" w:cs="宋体"/>
          <w:b/>
          <w:highlight w:val="none"/>
        </w:rPr>
      </w:pPr>
      <w:r>
        <w:rPr>
          <w:rFonts w:hint="eastAsia" w:ascii="宋体" w:hAnsi="宋体" w:cs="宋体"/>
          <w:b/>
          <w:highlight w:val="none"/>
        </w:rPr>
        <w:t>第二条  甲方的义务</w:t>
      </w:r>
    </w:p>
    <w:p>
      <w:pPr>
        <w:pStyle w:val="19"/>
        <w:tabs>
          <w:tab w:val="left" w:pos="1368"/>
        </w:tabs>
        <w:spacing w:line="400" w:lineRule="exact"/>
        <w:ind w:firstLine="480" w:firstLineChars="200"/>
        <w:rPr>
          <w:rFonts w:ascii="宋体" w:hAnsi="宋体" w:cs="宋体"/>
          <w:highlight w:val="none"/>
        </w:rPr>
      </w:pPr>
      <w:r>
        <w:rPr>
          <w:rFonts w:hint="eastAsia" w:ascii="宋体" w:hAnsi="宋体" w:cs="宋体"/>
          <w:highlight w:val="none"/>
        </w:rPr>
        <w:t>（一）甲方及其工作人员不得索要或接受乙方的礼金</w:t>
      </w:r>
      <w:r>
        <w:rPr>
          <w:rFonts w:hint="eastAsia" w:ascii="宋体" w:hAnsi="宋体" w:cs="宋体"/>
          <w:spacing w:val="-16"/>
          <w:highlight w:val="none"/>
        </w:rPr>
        <w:t>、</w:t>
      </w:r>
      <w:r>
        <w:rPr>
          <w:rFonts w:hint="eastAsia" w:ascii="宋体" w:hAnsi="宋体" w:cs="宋体"/>
          <w:highlight w:val="none"/>
        </w:rPr>
        <w:t>礼券</w:t>
      </w:r>
      <w:r>
        <w:rPr>
          <w:rFonts w:hint="eastAsia" w:ascii="宋体" w:hAnsi="宋体" w:cs="宋体"/>
          <w:spacing w:val="-16"/>
          <w:highlight w:val="none"/>
        </w:rPr>
        <w:t>、</w:t>
      </w:r>
      <w:r>
        <w:rPr>
          <w:rFonts w:hint="eastAsia" w:ascii="宋体" w:hAnsi="宋体" w:cs="宋体"/>
          <w:highlight w:val="none"/>
        </w:rPr>
        <w:t>有价证券和物品</w:t>
      </w:r>
      <w:r>
        <w:rPr>
          <w:rFonts w:hint="eastAsia" w:ascii="宋体" w:hAnsi="宋体" w:cs="宋体"/>
          <w:spacing w:val="-16"/>
          <w:highlight w:val="none"/>
        </w:rPr>
        <w:t>，</w:t>
      </w:r>
      <w:r>
        <w:rPr>
          <w:rFonts w:hint="eastAsia" w:ascii="宋体" w:hAnsi="宋体" w:cs="宋体"/>
          <w:highlight w:val="none"/>
        </w:rPr>
        <w:t>不得到乙方报销任何由甲方或个人支付的费用等。</w:t>
      </w:r>
    </w:p>
    <w:p>
      <w:pPr>
        <w:pStyle w:val="19"/>
        <w:tabs>
          <w:tab w:val="left" w:pos="1368"/>
        </w:tabs>
        <w:spacing w:line="400" w:lineRule="exact"/>
        <w:ind w:firstLine="480" w:firstLineChars="200"/>
        <w:rPr>
          <w:rFonts w:ascii="宋体" w:hAnsi="宋体" w:cs="宋体"/>
          <w:highlight w:val="none"/>
        </w:rPr>
      </w:pPr>
      <w:r>
        <w:rPr>
          <w:rFonts w:hint="eastAsia" w:ascii="宋体" w:hAnsi="宋体" w:cs="宋体"/>
          <w:highlight w:val="none"/>
        </w:rPr>
        <w:t>（二）甲方不得有意刁难、拖延承包商工程款，不得违反规定批拨工程建设费用等。</w:t>
      </w:r>
    </w:p>
    <w:p>
      <w:pPr>
        <w:pStyle w:val="19"/>
        <w:tabs>
          <w:tab w:val="left" w:pos="1368"/>
        </w:tabs>
        <w:spacing w:line="400" w:lineRule="exact"/>
        <w:ind w:firstLine="480" w:firstLineChars="200"/>
        <w:rPr>
          <w:rFonts w:ascii="宋体" w:hAnsi="宋体" w:cs="宋体"/>
          <w:highlight w:val="none"/>
        </w:rPr>
      </w:pPr>
      <w:r>
        <w:rPr>
          <w:rFonts w:hint="eastAsia" w:ascii="宋体" w:hAnsi="宋体" w:cs="宋体"/>
          <w:highlight w:val="none"/>
        </w:rPr>
        <w:t>（三）甲方工作人员不得参加乙方安排的宴请和娱乐活动</w:t>
      </w:r>
      <w:r>
        <w:rPr>
          <w:rFonts w:hint="eastAsia" w:ascii="宋体" w:hAnsi="宋体" w:cs="宋体"/>
          <w:spacing w:val="-30"/>
          <w:highlight w:val="none"/>
        </w:rPr>
        <w:t>；</w:t>
      </w:r>
      <w:r>
        <w:rPr>
          <w:rFonts w:hint="eastAsia" w:ascii="宋体" w:hAnsi="宋体" w:cs="宋体"/>
          <w:highlight w:val="none"/>
        </w:rPr>
        <w:t>不得接受乙方提供的通讯工具、交通工具和高档办公用品等。</w:t>
      </w:r>
    </w:p>
    <w:p>
      <w:pPr>
        <w:pStyle w:val="19"/>
        <w:tabs>
          <w:tab w:val="left" w:pos="1368"/>
        </w:tabs>
        <w:spacing w:line="400" w:lineRule="exact"/>
        <w:ind w:firstLine="480" w:firstLineChars="200"/>
        <w:rPr>
          <w:rFonts w:ascii="宋体" w:hAnsi="宋体" w:cs="宋体"/>
          <w:highlight w:val="none"/>
        </w:rPr>
      </w:pPr>
      <w:r>
        <w:rPr>
          <w:rFonts w:hint="eastAsia" w:ascii="宋体" w:hAnsi="宋体" w:cs="宋体"/>
          <w:highlight w:val="none"/>
        </w:rPr>
        <w:t>（四）甲方及其工作人员不得要求或者接受乙方为其住房装修</w:t>
      </w:r>
      <w:r>
        <w:rPr>
          <w:rFonts w:hint="eastAsia" w:ascii="宋体" w:hAnsi="宋体" w:cs="宋体"/>
          <w:spacing w:val="-16"/>
          <w:highlight w:val="none"/>
        </w:rPr>
        <w:t>、</w:t>
      </w:r>
      <w:r>
        <w:rPr>
          <w:rFonts w:hint="eastAsia" w:ascii="宋体" w:hAnsi="宋体" w:cs="宋体"/>
          <w:highlight w:val="none"/>
        </w:rPr>
        <w:t>操办婚丧嫁娶</w:t>
      </w:r>
      <w:r>
        <w:rPr>
          <w:rFonts w:hint="eastAsia" w:ascii="宋体" w:hAnsi="宋体" w:cs="宋体"/>
          <w:spacing w:val="-16"/>
          <w:highlight w:val="none"/>
        </w:rPr>
        <w:t>、</w:t>
      </w:r>
      <w:r>
        <w:rPr>
          <w:rFonts w:hint="eastAsia" w:ascii="宋体" w:hAnsi="宋体" w:cs="宋体"/>
          <w:highlight w:val="none"/>
        </w:rPr>
        <w:t>安排配偶子女的工作以及出国出境、旅游等。</w:t>
      </w:r>
    </w:p>
    <w:p>
      <w:pPr>
        <w:pStyle w:val="19"/>
        <w:tabs>
          <w:tab w:val="left" w:pos="1368"/>
        </w:tabs>
        <w:spacing w:line="400" w:lineRule="exact"/>
        <w:ind w:firstLine="480" w:firstLineChars="200"/>
        <w:rPr>
          <w:rFonts w:ascii="宋体" w:hAnsi="宋体" w:cs="宋体"/>
          <w:highlight w:val="none"/>
        </w:rPr>
      </w:pPr>
      <w:r>
        <w:rPr>
          <w:rFonts w:hint="eastAsia" w:ascii="宋体" w:hAnsi="宋体" w:cs="宋体"/>
          <w:highlight w:val="none"/>
        </w:rPr>
        <w:t>（五）甲方工作人员的配偶</w:t>
      </w:r>
      <w:r>
        <w:rPr>
          <w:rFonts w:hint="eastAsia" w:ascii="宋体" w:hAnsi="宋体" w:cs="宋体"/>
          <w:spacing w:val="15"/>
          <w:highlight w:val="none"/>
        </w:rPr>
        <w:t>、</w:t>
      </w:r>
      <w:r>
        <w:rPr>
          <w:rFonts w:hint="eastAsia" w:ascii="宋体" w:hAnsi="宋体" w:cs="宋体"/>
          <w:highlight w:val="none"/>
        </w:rPr>
        <w:t>子女及下属单</w:t>
      </w:r>
      <w:r>
        <w:rPr>
          <w:rFonts w:hint="eastAsia" w:ascii="宋体" w:hAnsi="宋体" w:cs="宋体"/>
          <w:spacing w:val="15"/>
          <w:highlight w:val="none"/>
        </w:rPr>
        <w:t>位</w:t>
      </w:r>
      <w:r>
        <w:rPr>
          <w:rFonts w:hint="eastAsia" w:ascii="宋体" w:hAnsi="宋体" w:cs="宋体"/>
          <w:highlight w:val="none"/>
        </w:rPr>
        <w:t>不得从事与</w:t>
      </w:r>
      <w:r>
        <w:rPr>
          <w:rFonts w:hint="eastAsia" w:ascii="宋体" w:hAnsi="宋体" w:cs="宋体"/>
          <w:spacing w:val="15"/>
          <w:highlight w:val="none"/>
        </w:rPr>
        <w:t>甲</w:t>
      </w:r>
      <w:r>
        <w:rPr>
          <w:rFonts w:hint="eastAsia" w:ascii="宋体" w:hAnsi="宋体" w:cs="宋体"/>
          <w:highlight w:val="none"/>
        </w:rPr>
        <w:t>方工程有关的</w:t>
      </w:r>
      <w:r>
        <w:rPr>
          <w:rFonts w:hint="eastAsia" w:ascii="宋体" w:hAnsi="宋体" w:cs="宋体"/>
          <w:spacing w:val="15"/>
          <w:highlight w:val="none"/>
        </w:rPr>
        <w:t>材</w:t>
      </w:r>
      <w:r>
        <w:rPr>
          <w:rFonts w:hint="eastAsia" w:ascii="宋体" w:hAnsi="宋体" w:cs="宋体"/>
          <w:highlight w:val="none"/>
        </w:rPr>
        <w:t>料设备供应、工程分包、劳务等经济活动。</w:t>
      </w:r>
    </w:p>
    <w:p>
      <w:pPr>
        <w:pStyle w:val="19"/>
        <w:tabs>
          <w:tab w:val="left" w:pos="1368"/>
        </w:tabs>
        <w:spacing w:line="400" w:lineRule="exact"/>
        <w:ind w:firstLine="480" w:firstLineChars="200"/>
        <w:rPr>
          <w:rFonts w:ascii="宋体" w:hAnsi="宋体" w:cs="宋体"/>
          <w:highlight w:val="none"/>
        </w:rPr>
      </w:pPr>
      <w:r>
        <w:rPr>
          <w:rFonts w:hint="eastAsia" w:ascii="宋体" w:hAnsi="宋体" w:cs="宋体"/>
          <w:highlight w:val="none"/>
        </w:rPr>
        <w:t>（六）甲方及其工作人员不得以任何理由向乙方推荐分包单位</w:t>
      </w:r>
      <w:r>
        <w:rPr>
          <w:rFonts w:hint="eastAsia" w:ascii="宋体" w:hAnsi="宋体" w:cs="宋体"/>
          <w:spacing w:val="-30"/>
          <w:highlight w:val="none"/>
        </w:rPr>
        <w:t>，</w:t>
      </w:r>
      <w:r>
        <w:rPr>
          <w:rFonts w:hint="eastAsia" w:ascii="宋体" w:hAnsi="宋体" w:cs="宋体"/>
          <w:highlight w:val="none"/>
        </w:rPr>
        <w:t>不得要求乙方购买合同规定外的材料和设备。</w:t>
      </w:r>
    </w:p>
    <w:p>
      <w:pPr>
        <w:pStyle w:val="19"/>
        <w:tabs>
          <w:tab w:val="left" w:pos="1368"/>
        </w:tabs>
        <w:spacing w:line="400" w:lineRule="exact"/>
        <w:ind w:firstLine="482" w:firstLineChars="200"/>
        <w:rPr>
          <w:rFonts w:ascii="宋体" w:hAnsi="宋体" w:cs="宋体"/>
          <w:b/>
          <w:highlight w:val="none"/>
        </w:rPr>
      </w:pPr>
      <w:r>
        <w:rPr>
          <w:rFonts w:hint="eastAsia" w:ascii="宋体" w:hAnsi="宋体" w:cs="宋体"/>
          <w:b/>
          <w:highlight w:val="none"/>
        </w:rPr>
        <w:t>第三条  乙方义</w:t>
      </w:r>
      <w:r>
        <w:rPr>
          <w:rFonts w:hint="eastAsia" w:ascii="宋体" w:hAnsi="宋体" w:cs="宋体"/>
          <w:b/>
          <w:spacing w:val="-15"/>
          <w:highlight w:val="none"/>
        </w:rPr>
        <w:t>务</w:t>
      </w:r>
    </w:p>
    <w:p>
      <w:pPr>
        <w:pStyle w:val="19"/>
        <w:spacing w:line="400" w:lineRule="exact"/>
        <w:ind w:firstLine="480" w:firstLineChars="200"/>
        <w:rPr>
          <w:rFonts w:ascii="宋体" w:hAnsi="宋体" w:cs="宋体"/>
          <w:highlight w:val="none"/>
        </w:rPr>
      </w:pPr>
      <w:r>
        <w:rPr>
          <w:rFonts w:hint="eastAsia" w:ascii="宋体" w:hAnsi="宋体" w:cs="宋体"/>
          <w:highlight w:val="none"/>
        </w:rPr>
        <w:t>（一）乙方不得以任何理由向甲方及其工作人员行贿或馈赠礼金、礼券、有价证券、礼品。</w:t>
      </w:r>
    </w:p>
    <w:p>
      <w:pPr>
        <w:pStyle w:val="19"/>
        <w:spacing w:line="400" w:lineRule="exact"/>
        <w:ind w:firstLine="480" w:firstLineChars="200"/>
        <w:rPr>
          <w:rFonts w:ascii="宋体" w:hAnsi="宋体" w:cs="宋体"/>
          <w:highlight w:val="none"/>
        </w:rPr>
      </w:pPr>
      <w:r>
        <w:rPr>
          <w:rFonts w:hint="eastAsia" w:ascii="宋体" w:hAnsi="宋体" w:cs="宋体"/>
          <w:highlight w:val="none"/>
        </w:rPr>
        <w:t>（二）乙方不得以任何名义为甲方及其工作人员报销应由甲方单位或个人支付的任何费用。</w:t>
      </w:r>
    </w:p>
    <w:p>
      <w:pPr>
        <w:pStyle w:val="19"/>
        <w:spacing w:line="400" w:lineRule="exact"/>
        <w:ind w:firstLine="480" w:firstLineChars="200"/>
        <w:rPr>
          <w:rFonts w:ascii="宋体" w:hAnsi="宋体" w:cs="宋体"/>
          <w:highlight w:val="none"/>
        </w:rPr>
      </w:pPr>
      <w:r>
        <w:rPr>
          <w:rFonts w:hint="eastAsia" w:ascii="宋体" w:hAnsi="宋体" w:cs="宋体"/>
          <w:highlight w:val="none"/>
        </w:rPr>
        <w:t>（三）乙方不得要求甲方违反规定，批拨、追加工程建设费用等。</w:t>
      </w:r>
    </w:p>
    <w:p>
      <w:pPr>
        <w:pStyle w:val="19"/>
        <w:spacing w:line="400" w:lineRule="exact"/>
        <w:ind w:firstLine="480" w:firstLineChars="200"/>
        <w:rPr>
          <w:rFonts w:ascii="宋体" w:hAnsi="宋体" w:cs="宋体"/>
          <w:highlight w:val="none"/>
        </w:rPr>
      </w:pPr>
      <w:r>
        <w:rPr>
          <w:rFonts w:hint="eastAsia" w:ascii="宋体" w:hAnsi="宋体" w:cs="宋体"/>
          <w:highlight w:val="none"/>
        </w:rPr>
        <w:t>（四）乙方不得以任何理由安排甲方工作人员参加宴请及娱乐活动。</w:t>
      </w:r>
    </w:p>
    <w:p>
      <w:pPr>
        <w:pStyle w:val="19"/>
        <w:tabs>
          <w:tab w:val="left" w:pos="1473"/>
        </w:tabs>
        <w:spacing w:line="400" w:lineRule="exact"/>
        <w:ind w:firstLine="480" w:firstLineChars="200"/>
        <w:rPr>
          <w:rFonts w:ascii="宋体" w:hAnsi="宋体" w:cs="宋体"/>
          <w:highlight w:val="none"/>
        </w:rPr>
      </w:pPr>
      <w:r>
        <w:rPr>
          <w:rFonts w:hint="eastAsia" w:ascii="宋体" w:hAnsi="宋体" w:cs="宋体"/>
          <w:highlight w:val="none"/>
        </w:rPr>
        <w:t>（五</w:t>
      </w:r>
      <w:r>
        <w:rPr>
          <w:rFonts w:hint="eastAsia" w:ascii="宋体" w:hAnsi="宋体" w:cs="宋体"/>
          <w:spacing w:val="15"/>
          <w:highlight w:val="none"/>
        </w:rPr>
        <w:t>）</w:t>
      </w:r>
      <w:r>
        <w:rPr>
          <w:rFonts w:hint="eastAsia" w:ascii="宋体" w:hAnsi="宋体" w:cs="宋体"/>
          <w:highlight w:val="none"/>
        </w:rPr>
        <w:t>乙方不得为甲方单位和个人购置或提供通讯工具、交通工具和高档办公室用品等。</w:t>
      </w:r>
    </w:p>
    <w:p>
      <w:pPr>
        <w:pStyle w:val="19"/>
        <w:tabs>
          <w:tab w:val="left" w:pos="1473"/>
        </w:tabs>
        <w:spacing w:line="400" w:lineRule="exact"/>
        <w:ind w:firstLine="482" w:firstLineChars="200"/>
        <w:rPr>
          <w:rFonts w:ascii="宋体" w:hAnsi="宋体" w:cs="宋体"/>
          <w:b/>
          <w:highlight w:val="none"/>
        </w:rPr>
      </w:pPr>
      <w:r>
        <w:rPr>
          <w:rFonts w:hint="eastAsia" w:ascii="宋体" w:hAnsi="宋体" w:cs="宋体"/>
          <w:b/>
          <w:highlight w:val="none"/>
        </w:rPr>
        <w:t>第四条  违约责任</w:t>
      </w:r>
    </w:p>
    <w:p>
      <w:pPr>
        <w:pStyle w:val="19"/>
        <w:spacing w:line="400" w:lineRule="exact"/>
        <w:ind w:firstLine="480" w:firstLineChars="200"/>
        <w:rPr>
          <w:rFonts w:ascii="宋体" w:hAnsi="宋体" w:cs="宋体"/>
          <w:highlight w:val="none"/>
        </w:rPr>
      </w:pPr>
      <w:r>
        <w:rPr>
          <w:rFonts w:hint="eastAsia" w:ascii="宋体" w:hAnsi="宋体" w:cs="宋体"/>
          <w:highlight w:val="none"/>
        </w:rPr>
        <w:t>（一）甲方及其工作人员违反本责任书第一、二条，按管理权限，依据有关规定给予党纪、政纪或组织处理；涉嫌犯罪的，移送司法机关追究刑事责任；给乙方单位造成经济损失的，应予以赔偿。</w:t>
      </w:r>
    </w:p>
    <w:p>
      <w:pPr>
        <w:pStyle w:val="19"/>
        <w:spacing w:line="400" w:lineRule="exact"/>
        <w:ind w:firstLine="480" w:firstLineChars="200"/>
        <w:rPr>
          <w:rFonts w:ascii="宋体" w:hAnsi="宋体" w:cs="宋体"/>
          <w:highlight w:val="none"/>
        </w:rPr>
      </w:pPr>
      <w:r>
        <w:rPr>
          <w:rFonts w:hint="eastAsia" w:ascii="宋体" w:hAnsi="宋体" w:cs="宋体"/>
          <w:highlight w:val="none"/>
        </w:rPr>
        <w:t>（二）乙方及其工作人员违反本责任书第一、三条，按管理权限，依据有关规定，给予党纪、政纪、组织处理或停止承接业务处理；给甲方单位造成经济损失的，应予以赔偿；情节严</w:t>
      </w:r>
      <w:r>
        <w:rPr>
          <w:rFonts w:hint="eastAsia" w:ascii="宋体" w:hAnsi="宋体" w:cs="宋体"/>
          <w:spacing w:val="-8"/>
          <w:highlight w:val="none"/>
        </w:rPr>
        <w:t>重的，甲方建议有关工程建设主管部门给予乙方一至三年内不得参与工程建设项目投标的处罚。</w:t>
      </w:r>
    </w:p>
    <w:p>
      <w:pPr>
        <w:pStyle w:val="19"/>
        <w:spacing w:line="400" w:lineRule="exact"/>
        <w:ind w:firstLine="482" w:firstLineChars="200"/>
        <w:rPr>
          <w:rFonts w:ascii="宋体" w:hAnsi="宋体" w:cs="宋体"/>
          <w:b/>
          <w:highlight w:val="none"/>
        </w:rPr>
      </w:pPr>
      <w:r>
        <w:rPr>
          <w:rFonts w:hint="eastAsia" w:ascii="宋体" w:hAnsi="宋体" w:cs="宋体"/>
          <w:b/>
          <w:highlight w:val="none"/>
        </w:rPr>
        <w:t>第五条  双方约定</w:t>
      </w:r>
    </w:p>
    <w:p>
      <w:pPr>
        <w:pStyle w:val="19"/>
        <w:spacing w:line="400" w:lineRule="exact"/>
        <w:ind w:firstLine="480" w:firstLineChars="200"/>
        <w:rPr>
          <w:rFonts w:ascii="宋体" w:hAnsi="宋体" w:cs="宋体"/>
          <w:highlight w:val="none"/>
        </w:rPr>
      </w:pPr>
      <w:r>
        <w:rPr>
          <w:rFonts w:hint="eastAsia" w:ascii="宋体" w:hAnsi="宋体" w:cs="宋体"/>
          <w:highlight w:val="none"/>
        </w:rPr>
        <w:t>本责任书由纪委监委负责监督执行。纪委监委对本责任书执行情况进行抽查。提出属于本责任书规定范围的处理意见。</w:t>
      </w:r>
    </w:p>
    <w:p>
      <w:pPr>
        <w:pStyle w:val="19"/>
        <w:tabs>
          <w:tab w:val="left" w:pos="1473"/>
        </w:tabs>
        <w:spacing w:line="400" w:lineRule="exact"/>
        <w:ind w:firstLine="482" w:firstLineChars="200"/>
        <w:rPr>
          <w:rFonts w:ascii="宋体" w:hAnsi="宋体" w:cs="宋体"/>
          <w:highlight w:val="none"/>
        </w:rPr>
      </w:pPr>
      <w:r>
        <w:rPr>
          <w:rFonts w:hint="eastAsia" w:ascii="宋体" w:hAnsi="宋体" w:cs="宋体"/>
          <w:b/>
          <w:highlight w:val="none"/>
        </w:rPr>
        <w:t xml:space="preserve">第六条 </w:t>
      </w:r>
      <w:r>
        <w:rPr>
          <w:rFonts w:hint="eastAsia" w:ascii="宋体" w:hAnsi="宋体" w:cs="宋体"/>
          <w:highlight w:val="none"/>
        </w:rPr>
        <w:t xml:space="preserve"> 本责任书有效期同甲乙双方签署之日起至该工程项目工程款支付完结时止。</w:t>
      </w:r>
    </w:p>
    <w:p>
      <w:pPr>
        <w:pStyle w:val="19"/>
        <w:tabs>
          <w:tab w:val="left" w:pos="1473"/>
        </w:tabs>
        <w:spacing w:line="400" w:lineRule="exact"/>
        <w:ind w:firstLine="482" w:firstLineChars="200"/>
        <w:rPr>
          <w:rFonts w:ascii="宋体" w:hAnsi="宋体" w:cs="宋体"/>
          <w:highlight w:val="none"/>
        </w:rPr>
      </w:pPr>
      <w:r>
        <w:rPr>
          <w:rFonts w:hint="eastAsia" w:ascii="宋体" w:hAnsi="宋体" w:cs="宋体"/>
          <w:b/>
          <w:highlight w:val="none"/>
        </w:rPr>
        <w:t xml:space="preserve">第七条 </w:t>
      </w:r>
      <w:r>
        <w:rPr>
          <w:rFonts w:hint="eastAsia" w:ascii="宋体" w:hAnsi="宋体" w:cs="宋体"/>
          <w:highlight w:val="none"/>
        </w:rPr>
        <w:t xml:space="preserve"> 本责任书作为本工程施工承包合同的附件</w:t>
      </w:r>
      <w:r>
        <w:rPr>
          <w:rFonts w:hint="eastAsia" w:ascii="宋体" w:hAnsi="宋体" w:cs="宋体"/>
          <w:spacing w:val="-46"/>
          <w:highlight w:val="none"/>
        </w:rPr>
        <w:t>，</w:t>
      </w:r>
      <w:r>
        <w:rPr>
          <w:rFonts w:hint="eastAsia" w:ascii="宋体" w:hAnsi="宋体" w:cs="宋体"/>
          <w:highlight w:val="none"/>
        </w:rPr>
        <w:t>与</w:t>
      </w:r>
      <w:r>
        <w:rPr>
          <w:rFonts w:hint="eastAsia" w:ascii="宋体" w:hAnsi="宋体" w:cs="宋体"/>
          <w:spacing w:val="-5"/>
          <w:highlight w:val="none"/>
        </w:rPr>
        <w:t>工</w:t>
      </w:r>
      <w:r>
        <w:rPr>
          <w:rFonts w:hint="eastAsia" w:ascii="宋体" w:hAnsi="宋体" w:cs="宋体"/>
          <w:highlight w:val="none"/>
        </w:rPr>
        <w:t>程施工合同具有同等的法律效力， 经甲、乙双方签署后生效。</w:t>
      </w:r>
    </w:p>
    <w:p>
      <w:pPr>
        <w:pStyle w:val="19"/>
        <w:tabs>
          <w:tab w:val="left" w:pos="1473"/>
        </w:tabs>
        <w:spacing w:line="400" w:lineRule="exact"/>
        <w:ind w:firstLine="482" w:firstLineChars="200"/>
        <w:rPr>
          <w:rFonts w:ascii="宋体" w:hAnsi="宋体" w:cs="宋体"/>
          <w:highlight w:val="none"/>
        </w:rPr>
      </w:pPr>
      <w:r>
        <w:rPr>
          <w:rFonts w:hint="eastAsia" w:ascii="宋体" w:hAnsi="宋体" w:cs="宋体"/>
          <w:b/>
          <w:highlight w:val="none"/>
        </w:rPr>
        <w:t>第八条</w:t>
      </w:r>
      <w:r>
        <w:rPr>
          <w:rFonts w:hint="eastAsia" w:ascii="宋体" w:hAnsi="宋体" w:cs="宋体"/>
          <w:highlight w:val="none"/>
        </w:rPr>
        <w:t xml:space="preserve">  本责任书甲、乙双方各执一份，送交监督单位一份。</w:t>
      </w:r>
    </w:p>
    <w:p>
      <w:pPr>
        <w:pStyle w:val="19"/>
        <w:tabs>
          <w:tab w:val="left" w:pos="1998"/>
          <w:tab w:val="left" w:pos="5047"/>
          <w:tab w:val="left" w:pos="6414"/>
        </w:tabs>
        <w:spacing w:line="400" w:lineRule="exact"/>
        <w:rPr>
          <w:rFonts w:ascii="宋体" w:hAnsi="宋体" w:cs="宋体"/>
          <w:highlight w:val="none"/>
        </w:rPr>
      </w:pPr>
    </w:p>
    <w:p>
      <w:pPr>
        <w:pStyle w:val="19"/>
        <w:tabs>
          <w:tab w:val="left" w:pos="1998"/>
          <w:tab w:val="left" w:pos="5047"/>
          <w:tab w:val="left" w:pos="6414"/>
        </w:tabs>
        <w:spacing w:line="400" w:lineRule="exact"/>
        <w:rPr>
          <w:rFonts w:ascii="宋体" w:hAnsi="宋体" w:cs="宋体"/>
          <w:highlight w:val="none"/>
        </w:rPr>
      </w:pPr>
    </w:p>
    <w:p>
      <w:pPr>
        <w:pStyle w:val="19"/>
        <w:tabs>
          <w:tab w:val="left" w:pos="1998"/>
          <w:tab w:val="left" w:pos="5047"/>
          <w:tab w:val="left" w:pos="6414"/>
        </w:tabs>
        <w:spacing w:line="400" w:lineRule="exact"/>
        <w:rPr>
          <w:rFonts w:ascii="宋体" w:hAnsi="宋体" w:cs="宋体"/>
          <w:highlight w:val="none"/>
        </w:rPr>
      </w:pPr>
      <w:r>
        <w:rPr>
          <w:rFonts w:hint="eastAsia" w:ascii="宋体" w:hAnsi="宋体" w:cs="宋体"/>
          <w:highlight w:val="none"/>
        </w:rPr>
        <w:t>甲方单位：（盖章）                      乙方单位：（盖章）</w:t>
      </w:r>
    </w:p>
    <w:p>
      <w:pPr>
        <w:pStyle w:val="19"/>
        <w:tabs>
          <w:tab w:val="left" w:pos="5047"/>
        </w:tabs>
        <w:spacing w:line="400" w:lineRule="exact"/>
        <w:rPr>
          <w:rFonts w:ascii="宋体" w:hAnsi="宋体" w:cs="宋体"/>
          <w:highlight w:val="none"/>
        </w:rPr>
      </w:pPr>
      <w:r>
        <w:rPr>
          <w:rFonts w:hint="eastAsia" w:ascii="宋体" w:hAnsi="宋体" w:cs="宋体"/>
          <w:highlight w:val="none"/>
        </w:rPr>
        <w:t>法定代表人：                            法定代表人：</w:t>
      </w:r>
    </w:p>
    <w:p>
      <w:pPr>
        <w:pStyle w:val="19"/>
        <w:tabs>
          <w:tab w:val="left" w:pos="5047"/>
        </w:tabs>
        <w:spacing w:line="400" w:lineRule="exact"/>
        <w:rPr>
          <w:rFonts w:ascii="宋体" w:hAnsi="宋体" w:cs="宋体"/>
          <w:highlight w:val="none"/>
        </w:rPr>
      </w:pPr>
      <w:r>
        <w:rPr>
          <w:rFonts w:hint="eastAsia" w:ascii="宋体" w:hAnsi="宋体" w:cs="宋体"/>
          <w:highlight w:val="none"/>
        </w:rPr>
        <w:t>地址：                                  地址：</w:t>
      </w:r>
    </w:p>
    <w:p>
      <w:pPr>
        <w:pStyle w:val="19"/>
        <w:tabs>
          <w:tab w:val="left" w:pos="5047"/>
        </w:tabs>
        <w:spacing w:line="400" w:lineRule="exact"/>
        <w:rPr>
          <w:rFonts w:ascii="宋体" w:hAnsi="宋体" w:cs="宋体"/>
          <w:highlight w:val="none"/>
        </w:rPr>
      </w:pPr>
      <w:r>
        <w:rPr>
          <w:rFonts w:hint="eastAsia" w:ascii="宋体" w:hAnsi="宋体" w:cs="宋体"/>
          <w:highlight w:val="none"/>
        </w:rPr>
        <w:t>电话：                                  电话：</w:t>
      </w:r>
    </w:p>
    <w:p>
      <w:pPr>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    年    月    日                         年    月    日</w:t>
      </w:r>
    </w:p>
    <w:p>
      <w:pPr>
        <w:jc w:val="center"/>
        <w:rPr>
          <w:rFonts w:ascii="宋体" w:hAnsi="宋体" w:cs="宋体"/>
          <w:sz w:val="28"/>
          <w:szCs w:val="28"/>
          <w:highlight w:val="none"/>
        </w:rPr>
      </w:pPr>
      <w:r>
        <w:rPr>
          <w:rFonts w:hint="eastAsia" w:ascii="仿宋_GB2312" w:eastAsia="仿宋_GB2312"/>
          <w:highlight w:val="none"/>
        </w:rPr>
        <w:br w:type="page"/>
      </w:r>
      <w:r>
        <w:rPr>
          <w:rFonts w:hint="eastAsia" w:ascii="宋体" w:hAnsi="宋体" w:cs="宋体"/>
          <w:b/>
          <w:bCs/>
          <w:sz w:val="28"/>
          <w:szCs w:val="28"/>
          <w:highlight w:val="none"/>
        </w:rPr>
        <w:t>安全生产协议书</w:t>
      </w:r>
    </w:p>
    <w:p>
      <w:pPr>
        <w:pStyle w:val="19"/>
        <w:tabs>
          <w:tab w:val="left" w:pos="5783"/>
        </w:tabs>
        <w:spacing w:line="312" w:lineRule="auto"/>
        <w:ind w:firstLine="480" w:firstLineChars="200"/>
        <w:rPr>
          <w:rFonts w:ascii="宋体" w:hAnsi="宋体" w:cs="宋体"/>
          <w:highlight w:val="none"/>
        </w:rPr>
      </w:pPr>
      <w:r>
        <w:rPr>
          <w:rFonts w:hint="eastAsia" w:ascii="宋体" w:hAnsi="宋体" w:cs="宋体"/>
          <w:highlight w:val="none"/>
        </w:rPr>
        <w:t>为在</w:t>
      </w:r>
      <w:r>
        <w:rPr>
          <w:rFonts w:hint="eastAsia" w:ascii="宋体" w:hAnsi="宋体" w:cs="宋体"/>
          <w:highlight w:val="none"/>
          <w:u w:val="single"/>
        </w:rPr>
        <w:t xml:space="preserve">                 </w:t>
      </w:r>
      <w:r>
        <w:rPr>
          <w:rFonts w:hint="eastAsia" w:ascii="宋体" w:hAnsi="宋体" w:cs="宋体"/>
          <w:highlight w:val="none"/>
        </w:rPr>
        <w:t>施工合同的实施过程中创造安全、高效的施工环境，切实搞好本项目的安全管理工作，本项目的建设单位</w:t>
      </w:r>
      <w:r>
        <w:rPr>
          <w:rFonts w:hint="eastAsia" w:ascii="宋体" w:hAnsi="宋体" w:cs="宋体"/>
          <w:highlight w:val="none"/>
          <w:u w:val="single"/>
        </w:rPr>
        <w:t xml:space="preserve">             </w:t>
      </w:r>
      <w:r>
        <w:rPr>
          <w:rFonts w:hint="eastAsia" w:ascii="宋体" w:hAnsi="宋体" w:cs="宋体"/>
          <w:highlight w:val="none"/>
        </w:rPr>
        <w:t>（以下简称“甲方”）与施工单位</w:t>
      </w:r>
      <w:r>
        <w:rPr>
          <w:rFonts w:hint="eastAsia" w:ascii="宋体" w:hAnsi="宋体" w:cs="宋体"/>
          <w:highlight w:val="none"/>
          <w:u w:val="single"/>
        </w:rPr>
        <w:t xml:space="preserve">         </w:t>
      </w:r>
      <w:r>
        <w:rPr>
          <w:rFonts w:hint="eastAsia" w:ascii="宋体" w:hAnsi="宋体" w:cs="宋体"/>
          <w:highlight w:val="none"/>
        </w:rPr>
        <w:t>（以下简称“乙方”），特此签订安全生产协议书：</w:t>
      </w:r>
    </w:p>
    <w:p>
      <w:pPr>
        <w:pStyle w:val="19"/>
        <w:tabs>
          <w:tab w:val="left" w:pos="1788"/>
        </w:tabs>
        <w:spacing w:line="312" w:lineRule="auto"/>
        <w:ind w:firstLine="482" w:firstLineChars="200"/>
        <w:rPr>
          <w:rFonts w:ascii="宋体" w:hAnsi="宋体" w:cs="宋体"/>
          <w:b/>
          <w:highlight w:val="none"/>
        </w:rPr>
      </w:pPr>
      <w:r>
        <w:rPr>
          <w:rFonts w:hint="eastAsia" w:ascii="宋体" w:hAnsi="宋体" w:cs="宋体"/>
          <w:b/>
          <w:highlight w:val="none"/>
        </w:rPr>
        <w:t>第一条  甲方职责</w:t>
      </w:r>
    </w:p>
    <w:p>
      <w:pPr>
        <w:pStyle w:val="19"/>
        <w:spacing w:line="312" w:lineRule="auto"/>
        <w:ind w:firstLine="480" w:firstLineChars="200"/>
        <w:rPr>
          <w:rFonts w:ascii="宋体" w:hAnsi="宋体" w:cs="宋体"/>
          <w:highlight w:val="none"/>
        </w:rPr>
      </w:pPr>
      <w:r>
        <w:rPr>
          <w:rFonts w:hint="eastAsia" w:ascii="宋体" w:hAnsi="宋体" w:cs="宋体"/>
          <w:highlight w:val="none"/>
        </w:rPr>
        <w:t>（一）遵守国家有关安全生产的法律法规，认真执行工程承包合同中的有关安全要求。</w:t>
      </w:r>
    </w:p>
    <w:p>
      <w:pPr>
        <w:pStyle w:val="19"/>
        <w:spacing w:line="312" w:lineRule="auto"/>
        <w:ind w:firstLine="480" w:firstLineChars="200"/>
        <w:rPr>
          <w:rFonts w:ascii="宋体" w:hAnsi="宋体" w:cs="宋体"/>
          <w:highlight w:val="none"/>
        </w:rPr>
      </w:pPr>
      <w:r>
        <w:rPr>
          <w:rFonts w:hint="eastAsia" w:ascii="宋体" w:hAnsi="宋体" w:cs="宋体"/>
          <w:highlight w:val="none"/>
        </w:rPr>
        <w:t>（二）按照“安全第一、预防为主、综合治理”和坚持“管业务必须管安全、管行业必须管安全、管生产经营必须管安全”的原则进行安全生产管理， 做到生产与安全工作同时计划、布置、检查、总结和评比。</w:t>
      </w:r>
    </w:p>
    <w:p>
      <w:pPr>
        <w:pStyle w:val="19"/>
        <w:spacing w:line="312" w:lineRule="auto"/>
        <w:ind w:firstLine="480" w:firstLineChars="200"/>
        <w:rPr>
          <w:rFonts w:ascii="宋体" w:hAnsi="宋体" w:cs="宋体"/>
          <w:highlight w:val="none"/>
        </w:rPr>
      </w:pPr>
      <w:r>
        <w:rPr>
          <w:rFonts w:hint="eastAsia" w:ascii="宋体" w:hAnsi="宋体" w:cs="宋体"/>
          <w:highlight w:val="none"/>
        </w:rPr>
        <w:t>（三）重要的安全设施必须坚持与主体工程“三同时”的原则，即：同时设计、审批，同时施工，同时验收、投入使用。</w:t>
      </w:r>
    </w:p>
    <w:p>
      <w:pPr>
        <w:pStyle w:val="19"/>
        <w:spacing w:line="312" w:lineRule="auto"/>
        <w:ind w:firstLine="480" w:firstLineChars="200"/>
        <w:rPr>
          <w:rFonts w:ascii="宋体" w:hAnsi="宋体" w:cs="宋体"/>
          <w:highlight w:val="none"/>
        </w:rPr>
      </w:pPr>
      <w:r>
        <w:rPr>
          <w:rFonts w:hint="eastAsia" w:ascii="宋体" w:hAnsi="宋体" w:cs="宋体"/>
          <w:highlight w:val="none"/>
        </w:rPr>
        <w:t>（四）定期召开安全生产调度会，及时传达中央及地方有关安全生产的精神。</w:t>
      </w:r>
    </w:p>
    <w:p>
      <w:pPr>
        <w:pStyle w:val="19"/>
        <w:tabs>
          <w:tab w:val="left" w:pos="1788"/>
        </w:tabs>
        <w:spacing w:line="312" w:lineRule="auto"/>
        <w:ind w:firstLine="480" w:firstLineChars="200"/>
        <w:rPr>
          <w:rFonts w:ascii="宋体" w:hAnsi="宋体" w:cs="宋体"/>
          <w:highlight w:val="none"/>
        </w:rPr>
      </w:pPr>
      <w:r>
        <w:rPr>
          <w:rFonts w:hint="eastAsia" w:ascii="宋体" w:hAnsi="宋体" w:cs="宋体"/>
          <w:highlight w:val="none"/>
        </w:rPr>
        <w:t>（五）组织对乙方施工现场安全生产检查，监督乙方及时处理发现的各种安全隐患。</w:t>
      </w:r>
    </w:p>
    <w:p>
      <w:pPr>
        <w:pStyle w:val="19"/>
        <w:tabs>
          <w:tab w:val="left" w:pos="1788"/>
        </w:tabs>
        <w:spacing w:line="312" w:lineRule="auto"/>
        <w:ind w:firstLine="482" w:firstLineChars="200"/>
        <w:rPr>
          <w:rFonts w:ascii="宋体" w:hAnsi="宋体" w:cs="宋体"/>
          <w:b/>
          <w:highlight w:val="none"/>
        </w:rPr>
      </w:pPr>
      <w:r>
        <w:rPr>
          <w:rFonts w:hint="eastAsia" w:ascii="宋体" w:hAnsi="宋体" w:cs="宋体"/>
          <w:b/>
          <w:highlight w:val="none"/>
        </w:rPr>
        <w:t>第二条  乙方职责</w:t>
      </w:r>
    </w:p>
    <w:p>
      <w:pPr>
        <w:pStyle w:val="19"/>
        <w:spacing w:line="312" w:lineRule="auto"/>
        <w:ind w:firstLine="480" w:firstLineChars="200"/>
        <w:rPr>
          <w:rFonts w:ascii="宋体" w:hAnsi="宋体" w:cs="宋体"/>
          <w:highlight w:val="none"/>
        </w:rPr>
      </w:pPr>
      <w:r>
        <w:rPr>
          <w:rFonts w:hint="eastAsia" w:ascii="宋体" w:hAnsi="宋体" w:cs="宋体"/>
          <w:highlight w:val="none"/>
        </w:rPr>
        <w:t>（一）严格遵守国家有关安全生产的法律法规、住建部及水利部颁发的有关工程施工安全技术规程的安全生产规定，认真执行工程承包合同中的有关安全要求。</w:t>
      </w:r>
    </w:p>
    <w:p>
      <w:pPr>
        <w:pStyle w:val="19"/>
        <w:spacing w:line="312" w:lineRule="auto"/>
        <w:ind w:firstLine="480" w:firstLineChars="200"/>
        <w:rPr>
          <w:rFonts w:ascii="宋体" w:hAnsi="宋体" w:cs="宋体"/>
          <w:highlight w:val="none"/>
        </w:rPr>
      </w:pPr>
      <w:r>
        <w:rPr>
          <w:rFonts w:hint="eastAsia" w:ascii="宋体" w:hAnsi="宋体" w:cs="宋体"/>
          <w:highlight w:val="none"/>
        </w:rPr>
        <w:t>（二）按照“安全第一、预防为主、综合治理”和坚持“管业务必须管安全、管行业必须管安全、管生产经营必须管安全”的原则，加强安全生产宣传教育， 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pStyle w:val="19"/>
        <w:spacing w:line="312" w:lineRule="auto"/>
        <w:ind w:firstLine="480" w:firstLineChars="200"/>
        <w:rPr>
          <w:rFonts w:ascii="宋体" w:hAnsi="宋体" w:cs="宋体"/>
          <w:highlight w:val="none"/>
        </w:rPr>
      </w:pPr>
      <w:r>
        <w:rPr>
          <w:rFonts w:hint="eastAsia" w:ascii="宋体" w:hAnsi="宋体" w:cs="宋体"/>
          <w:highlight w:val="none"/>
        </w:rPr>
        <w:t>（三）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 1%—3%配备安全员，专职负责所有员工的安全和治安保卫工作及预防事故的发生。安全机构人员，有权按有关规定发布指令，并采取保护性措施防止事故发生。</w:t>
      </w:r>
    </w:p>
    <w:p>
      <w:pPr>
        <w:pStyle w:val="19"/>
        <w:spacing w:line="312" w:lineRule="auto"/>
        <w:ind w:firstLine="480" w:firstLineChars="200"/>
        <w:rPr>
          <w:rFonts w:ascii="宋体" w:hAnsi="宋体" w:cs="宋体"/>
          <w:highlight w:val="none"/>
        </w:rPr>
      </w:pPr>
      <w:r>
        <w:rPr>
          <w:rFonts w:hint="eastAsia" w:ascii="宋体" w:hAnsi="宋体" w:cs="宋体"/>
          <w:highlight w:val="none"/>
        </w:rPr>
        <w:t>（四）乙方在任何时候都应采取各种合理的预防措施，防止其员工发生任何违法、违禁、暴力或妨碍治安的行为。</w:t>
      </w:r>
    </w:p>
    <w:p>
      <w:pPr>
        <w:pStyle w:val="19"/>
        <w:spacing w:line="312" w:lineRule="auto"/>
        <w:ind w:firstLine="480" w:firstLineChars="200"/>
        <w:rPr>
          <w:rFonts w:ascii="宋体" w:hAnsi="宋体" w:cs="宋体"/>
          <w:highlight w:val="none"/>
        </w:rPr>
      </w:pPr>
      <w:r>
        <w:rPr>
          <w:rFonts w:hint="eastAsia" w:ascii="宋体" w:hAnsi="宋体" w:cs="宋体"/>
          <w:highlight w:val="none"/>
        </w:rPr>
        <w:t>（五）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驾驶、爆破等特殊工种的人员，需经过专业培训，获得《安全操作合格证》后，方准持证上岗。施工现场如出现特种作业无证操作现象时，项目负责人（项目负责人）必须承担管理责任。</w:t>
      </w:r>
    </w:p>
    <w:p>
      <w:pPr>
        <w:pStyle w:val="19"/>
        <w:spacing w:line="312" w:lineRule="auto"/>
        <w:ind w:firstLine="480" w:firstLineChars="200"/>
        <w:rPr>
          <w:rFonts w:ascii="宋体" w:hAnsi="宋体" w:cs="宋体"/>
          <w:highlight w:val="none"/>
        </w:rPr>
      </w:pPr>
      <w:r>
        <w:rPr>
          <w:rFonts w:hint="eastAsia" w:ascii="宋体" w:hAnsi="宋体" w:cs="宋体"/>
          <w:highlight w:val="none"/>
        </w:rPr>
        <w:t>（六）对于易燃易爆的材料除应专门妥善保管之外，还应配备有足够的消防设施，所有施工人员都应熟悉消防设备的性能和使用方法；乙方不得将任何种类的给予、易货或以其他方式转让给任何人，或允许、容忍上述同样行为。</w:t>
      </w:r>
    </w:p>
    <w:p>
      <w:pPr>
        <w:pStyle w:val="19"/>
        <w:spacing w:line="312" w:lineRule="auto"/>
        <w:ind w:firstLine="480" w:firstLineChars="200"/>
        <w:rPr>
          <w:rFonts w:ascii="宋体" w:hAnsi="宋体" w:cs="宋体"/>
          <w:highlight w:val="none"/>
        </w:rPr>
      </w:pPr>
      <w:r>
        <w:rPr>
          <w:rFonts w:hint="eastAsia" w:ascii="宋体" w:hAnsi="宋体" w:cs="宋体"/>
          <w:highlight w:val="none"/>
        </w:rPr>
        <w:t>（七）操作人员上岗，必须按规定穿戴防护用品。施工负责人和安全检查员应随时检查劳动防护用品的穿戴情况，不按规定穿戴防护用品的人员不得上岗。</w:t>
      </w:r>
    </w:p>
    <w:p>
      <w:pPr>
        <w:pStyle w:val="19"/>
        <w:spacing w:line="312" w:lineRule="auto"/>
        <w:ind w:firstLine="480" w:firstLineChars="200"/>
        <w:rPr>
          <w:rFonts w:ascii="宋体" w:hAnsi="宋体" w:cs="宋体"/>
          <w:highlight w:val="none"/>
        </w:rPr>
      </w:pPr>
      <w:r>
        <w:rPr>
          <w:rFonts w:hint="eastAsia" w:ascii="宋体" w:hAnsi="宋体" w:cs="宋体"/>
          <w:highlight w:val="none"/>
        </w:rPr>
        <w:t>（八）所有施工机具设备和高空作业的设备均应定期检查，并有安全员的签字记录，保证其经</w:t>
      </w:r>
    </w:p>
    <w:p>
      <w:pPr>
        <w:pStyle w:val="19"/>
        <w:spacing w:line="312" w:lineRule="auto"/>
        <w:ind w:firstLine="480" w:firstLineChars="200"/>
        <w:rPr>
          <w:rFonts w:ascii="宋体" w:hAnsi="宋体" w:cs="宋体"/>
          <w:highlight w:val="none"/>
        </w:rPr>
      </w:pPr>
      <w:r>
        <w:rPr>
          <w:rFonts w:hint="eastAsia" w:ascii="宋体" w:hAnsi="宋体" w:cs="宋体"/>
          <w:highlight w:val="none"/>
        </w:rPr>
        <w:t>常处于完好状态；不合格的机具、设备和劳动保护用品严禁使用。</w:t>
      </w:r>
    </w:p>
    <w:p>
      <w:pPr>
        <w:pStyle w:val="19"/>
        <w:spacing w:line="312" w:lineRule="auto"/>
        <w:ind w:firstLine="480" w:firstLineChars="200"/>
        <w:rPr>
          <w:rFonts w:ascii="宋体" w:hAnsi="宋体" w:cs="宋体"/>
          <w:highlight w:val="none"/>
        </w:rPr>
      </w:pPr>
      <w:r>
        <w:rPr>
          <w:rFonts w:hint="eastAsia" w:ascii="宋体" w:hAnsi="宋体" w:cs="宋体"/>
          <w:highlight w:val="none"/>
        </w:rPr>
        <w:t>（九）所有施工中采用新技术，新工艺、新设备、新材料时，必须制定相应的安全技术措施， 施工现场必须具有相关的安全标志牌。</w:t>
      </w:r>
    </w:p>
    <w:p>
      <w:pPr>
        <w:pStyle w:val="19"/>
        <w:spacing w:line="312" w:lineRule="auto"/>
        <w:ind w:firstLine="480" w:firstLineChars="200"/>
        <w:rPr>
          <w:rFonts w:ascii="宋体" w:hAnsi="宋体" w:cs="宋体"/>
          <w:highlight w:val="none"/>
        </w:rPr>
      </w:pPr>
      <w:r>
        <w:rPr>
          <w:rFonts w:hint="eastAsia" w:ascii="宋体" w:hAnsi="宋体" w:cs="宋体"/>
          <w:highlight w:val="none"/>
        </w:rPr>
        <w:t>（十）乙方必须按照本工程项目特点，组织制定本工程实施中的生产安全事故应急救援预案； 如果发生安全事故，应按照《国务院关于特大安全事故行政责任追究的规定》以及其它有关规定， 及时上报有关部门，并坚持“四不放过”的原则，严肃处理相关责任人。</w:t>
      </w:r>
    </w:p>
    <w:p>
      <w:pPr>
        <w:pStyle w:val="19"/>
        <w:tabs>
          <w:tab w:val="left" w:pos="1788"/>
        </w:tabs>
        <w:spacing w:line="312" w:lineRule="auto"/>
        <w:ind w:firstLine="482" w:firstLineChars="200"/>
        <w:rPr>
          <w:rFonts w:ascii="宋体" w:hAnsi="宋体" w:cs="宋体"/>
          <w:b/>
          <w:highlight w:val="none"/>
        </w:rPr>
      </w:pPr>
      <w:r>
        <w:rPr>
          <w:rFonts w:hint="eastAsia" w:ascii="宋体" w:hAnsi="宋体" w:cs="宋体"/>
          <w:b/>
          <w:highlight w:val="none"/>
        </w:rPr>
        <w:t>第三条 违约责任</w:t>
      </w:r>
    </w:p>
    <w:p>
      <w:pPr>
        <w:pStyle w:val="19"/>
        <w:spacing w:line="312" w:lineRule="auto"/>
        <w:ind w:firstLine="480" w:firstLineChars="200"/>
        <w:rPr>
          <w:rFonts w:ascii="宋体" w:hAnsi="宋体" w:cs="宋体"/>
          <w:highlight w:val="none"/>
        </w:rPr>
      </w:pPr>
      <w:r>
        <w:rPr>
          <w:rFonts w:hint="eastAsia" w:ascii="宋体" w:hAnsi="宋体" w:cs="宋体"/>
          <w:highlight w:val="none"/>
        </w:rPr>
        <w:t>如因甲方或乙方违约造成安全事故，将依法追究责任，并视事故轻重扣除一定比例的安全保证金。</w:t>
      </w:r>
    </w:p>
    <w:p>
      <w:pPr>
        <w:pStyle w:val="19"/>
        <w:tabs>
          <w:tab w:val="left" w:pos="3413"/>
          <w:tab w:val="left" w:pos="6837"/>
        </w:tabs>
        <w:spacing w:line="312" w:lineRule="auto"/>
        <w:ind w:firstLine="480" w:firstLineChars="200"/>
        <w:rPr>
          <w:rFonts w:ascii="宋体" w:hAnsi="宋体" w:cs="宋体"/>
          <w:highlight w:val="none"/>
        </w:rPr>
      </w:pPr>
      <w:r>
        <w:rPr>
          <w:rFonts w:hint="eastAsia" w:ascii="宋体" w:hAnsi="宋体" w:cs="宋体"/>
          <w:highlight w:val="none"/>
        </w:rPr>
        <w:t>本合同正本一式二份，副本</w:t>
      </w:r>
      <w:r>
        <w:rPr>
          <w:rFonts w:hint="eastAsia" w:ascii="宋体" w:hAnsi="宋体" w:cs="宋体"/>
          <w:highlight w:val="none"/>
          <w:u w:val="single"/>
        </w:rPr>
        <w:tab/>
      </w:r>
      <w:r>
        <w:rPr>
          <w:rFonts w:hint="eastAsia" w:ascii="宋体" w:hAnsi="宋体" w:cs="宋体"/>
          <w:highlight w:val="none"/>
        </w:rPr>
        <w:t>份，合同双方各执正本一份，副本</w:t>
      </w:r>
      <w:r>
        <w:rPr>
          <w:rFonts w:hint="eastAsia" w:ascii="宋体" w:hAnsi="宋体" w:cs="宋体"/>
          <w:highlight w:val="none"/>
          <w:u w:val="single"/>
        </w:rPr>
        <w:tab/>
      </w:r>
      <w:r>
        <w:rPr>
          <w:rFonts w:hint="eastAsia" w:ascii="宋体" w:hAnsi="宋体" w:cs="宋体"/>
          <w:highlight w:val="none"/>
        </w:rPr>
        <w:t>份。由双方法定代表人或其授权的代理人签署与加盖公章后生效，全部工程竣工验收后失效。</w:t>
      </w:r>
    </w:p>
    <w:p>
      <w:pPr>
        <w:pStyle w:val="19"/>
        <w:spacing w:line="360" w:lineRule="auto"/>
        <w:ind w:firstLine="480" w:firstLineChars="200"/>
        <w:rPr>
          <w:rFonts w:ascii="宋体" w:hAnsi="宋体" w:cs="宋体"/>
          <w:highlight w:val="none"/>
        </w:rPr>
      </w:pPr>
    </w:p>
    <w:p>
      <w:pPr>
        <w:pStyle w:val="19"/>
        <w:tabs>
          <w:tab w:val="left" w:pos="3413"/>
          <w:tab w:val="left" w:pos="6837"/>
        </w:tabs>
        <w:spacing w:line="360" w:lineRule="auto"/>
        <w:ind w:firstLine="480" w:firstLineChars="200"/>
        <w:rPr>
          <w:rFonts w:ascii="宋体" w:hAnsi="宋体" w:cs="宋体"/>
          <w:highlight w:val="none"/>
        </w:rPr>
      </w:pPr>
      <w:r>
        <w:rPr>
          <w:rFonts w:hint="eastAsia" w:ascii="宋体" w:hAnsi="宋体" w:cs="宋体"/>
          <w:highlight w:val="none"/>
        </w:rPr>
        <w:t xml:space="preserve">发 包 人： （盖单位章）             承 包 人： （盖单位章）    </w:t>
      </w:r>
    </w:p>
    <w:p>
      <w:pPr>
        <w:pStyle w:val="19"/>
        <w:tabs>
          <w:tab w:val="left" w:pos="3413"/>
          <w:tab w:val="left" w:pos="6837"/>
        </w:tabs>
        <w:spacing w:line="360" w:lineRule="auto"/>
        <w:ind w:firstLine="480" w:firstLineChars="200"/>
        <w:rPr>
          <w:rFonts w:ascii="宋体" w:hAnsi="宋体" w:cs="宋体"/>
          <w:w w:val="75"/>
          <w:highlight w:val="none"/>
        </w:rPr>
      </w:pPr>
      <w:r>
        <w:rPr>
          <w:rFonts w:hint="eastAsia" w:ascii="宋体" w:hAnsi="宋体" w:cs="宋体"/>
          <w:highlight w:val="none"/>
        </w:rPr>
        <w:t xml:space="preserve">法定代表人或其委托代理人：（签字）    法定代表人或其委托代理人：（签字） </w:t>
      </w:r>
    </w:p>
    <w:p>
      <w:pPr>
        <w:pStyle w:val="19"/>
        <w:tabs>
          <w:tab w:val="left" w:pos="1473"/>
          <w:tab w:val="left" w:pos="2103"/>
          <w:tab w:val="left" w:pos="5242"/>
          <w:tab w:val="left" w:pos="5888"/>
          <w:tab w:val="left" w:pos="6519"/>
        </w:tabs>
        <w:spacing w:line="360" w:lineRule="auto"/>
        <w:ind w:firstLine="480" w:firstLineChars="200"/>
        <w:rPr>
          <w:rFonts w:ascii="宋体" w:hAnsi="宋体" w:cs="宋体"/>
          <w:sz w:val="22"/>
          <w:szCs w:val="21"/>
          <w:highlight w:val="none"/>
        </w:rPr>
      </w:pPr>
      <w:r>
        <w:rPr>
          <w:rFonts w:hint="eastAsia" w:ascii="宋体" w:hAnsi="宋体" w:cs="宋体"/>
          <w:highlight w:val="none"/>
          <w:u w:val="single"/>
        </w:rPr>
        <w:t xml:space="preserve">    </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rPr>
        <w:t>月</w:t>
      </w:r>
      <w:r>
        <w:rPr>
          <w:rFonts w:hint="eastAsia" w:ascii="宋体" w:hAnsi="宋体" w:cs="宋体"/>
          <w:highlight w:val="none"/>
          <w:u w:val="single"/>
        </w:rPr>
        <w:t xml:space="preserve">    </w:t>
      </w:r>
      <w:r>
        <w:rPr>
          <w:rFonts w:hint="eastAsia" w:ascii="宋体" w:hAnsi="宋体" w:cs="宋体"/>
          <w:highlight w:val="none"/>
        </w:rPr>
        <w:t xml:space="preserve">日                          </w:t>
      </w:r>
      <w:r>
        <w:rPr>
          <w:rFonts w:hint="eastAsia" w:ascii="宋体" w:hAnsi="宋体" w:cs="宋体"/>
          <w:highlight w:val="none"/>
          <w:u w:val="single"/>
        </w:rPr>
        <w:t xml:space="preserve">    </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rPr>
        <w:t>月</w:t>
      </w:r>
      <w:r>
        <w:rPr>
          <w:rFonts w:hint="eastAsia" w:ascii="宋体" w:hAnsi="宋体" w:cs="宋体"/>
          <w:highlight w:val="none"/>
          <w:u w:val="single"/>
        </w:rPr>
        <w:t xml:space="preserve">    </w:t>
      </w:r>
      <w:r>
        <w:rPr>
          <w:rFonts w:hint="eastAsia" w:ascii="宋体" w:hAnsi="宋体" w:cs="宋体"/>
          <w:highlight w:val="none"/>
        </w:rPr>
        <w:t>日</w:t>
      </w:r>
    </w:p>
    <w:p>
      <w:pPr>
        <w:pStyle w:val="8"/>
        <w:jc w:val="center"/>
        <w:rPr>
          <w:rFonts w:hint="eastAsia"/>
          <w:highlight w:val="none"/>
        </w:rPr>
      </w:pPr>
      <w:bookmarkStart w:id="108" w:name="_Toc9690"/>
      <w:r>
        <w:rPr>
          <w:rFonts w:hint="eastAsia"/>
          <w:highlight w:val="none"/>
        </w:rPr>
        <w:br w:type="page"/>
      </w:r>
      <w:r>
        <w:rPr>
          <w:rFonts w:hint="eastAsia"/>
          <w:highlight w:val="none"/>
        </w:rPr>
        <w:t xml:space="preserve">第四章 </w:t>
      </w:r>
      <w:bookmarkStart w:id="109" w:name="_Toc13757"/>
      <w:r>
        <w:rPr>
          <w:rFonts w:hint="eastAsia"/>
          <w:highlight w:val="none"/>
        </w:rPr>
        <w:t>招标内容及需求</w:t>
      </w:r>
      <w:bookmarkEnd w:id="108"/>
      <w:bookmarkEnd w:id="109"/>
    </w:p>
    <w:p>
      <w:pPr>
        <w:pStyle w:val="19"/>
        <w:snapToGrid w:val="0"/>
        <w:spacing w:line="360" w:lineRule="auto"/>
        <w:ind w:firstLine="482" w:firstLineChars="200"/>
        <w:jc w:val="left"/>
        <w:rPr>
          <w:rFonts w:hint="eastAsia" w:ascii="宋体" w:hAnsi="宋体" w:cs="宋体"/>
          <w:b/>
          <w:bCs/>
          <w:highlight w:val="none"/>
        </w:rPr>
      </w:pPr>
      <w:r>
        <w:rPr>
          <w:rFonts w:hint="eastAsia" w:ascii="宋体" w:hAnsi="宋体" w:cs="宋体"/>
          <w:b/>
          <w:bCs/>
          <w:highlight w:val="none"/>
        </w:rPr>
        <w:t>一、</w:t>
      </w:r>
      <w:r>
        <w:rPr>
          <w:rFonts w:hint="eastAsia" w:ascii="宋体" w:hAnsi="宋体" w:cs="宋体"/>
          <w:b/>
          <w:bCs/>
          <w:highlight w:val="none"/>
          <w:lang w:val="zh-CN"/>
        </w:rPr>
        <w:t>项目</w:t>
      </w:r>
      <w:r>
        <w:rPr>
          <w:rFonts w:hint="eastAsia" w:ascii="宋体" w:hAnsi="宋体" w:cs="宋体"/>
          <w:b/>
          <w:bCs/>
          <w:highlight w:val="none"/>
        </w:rPr>
        <w:t>概况</w:t>
      </w:r>
    </w:p>
    <w:p>
      <w:pPr>
        <w:pStyle w:val="19"/>
        <w:snapToGrid w:val="0"/>
        <w:spacing w:line="360" w:lineRule="auto"/>
        <w:ind w:firstLine="482" w:firstLineChars="200"/>
        <w:jc w:val="left"/>
        <w:rPr>
          <w:rFonts w:hint="eastAsia" w:ascii="宋体" w:hAnsi="宋体" w:cs="宋体"/>
          <w:b/>
          <w:bCs/>
          <w:highlight w:val="none"/>
        </w:rPr>
      </w:pPr>
      <w:r>
        <w:rPr>
          <w:rFonts w:hint="eastAsia" w:ascii="宋体" w:hAnsi="宋体" w:cs="宋体"/>
          <w:b/>
          <w:bCs/>
          <w:highlight w:val="none"/>
        </w:rPr>
        <w:t>1、项目名称：</w:t>
      </w:r>
      <w:r>
        <w:rPr>
          <w:rFonts w:hint="eastAsia" w:ascii="宋体" w:hAnsi="宋体" w:cs="宋体"/>
          <w:highlight w:val="none"/>
        </w:rPr>
        <w:t>金华市安地灌区续建配套与节水改造项目（2021-2022年）调增项目灌溉节水宣传馆</w:t>
      </w:r>
    </w:p>
    <w:p>
      <w:pPr>
        <w:pStyle w:val="19"/>
        <w:snapToGrid w:val="0"/>
        <w:spacing w:line="360" w:lineRule="auto"/>
        <w:ind w:firstLine="482" w:firstLineChars="200"/>
        <w:jc w:val="left"/>
        <w:rPr>
          <w:rFonts w:hint="eastAsia" w:ascii="宋体" w:hAnsi="宋体" w:cs="宋体"/>
          <w:highlight w:val="none"/>
        </w:rPr>
      </w:pPr>
      <w:r>
        <w:rPr>
          <w:rFonts w:hint="eastAsia" w:ascii="宋体" w:hAnsi="宋体" w:cs="宋体"/>
          <w:b/>
          <w:bCs/>
          <w:highlight w:val="none"/>
        </w:rPr>
        <w:t>2、项目编号：</w:t>
      </w:r>
      <w:r>
        <w:rPr>
          <w:rFonts w:hint="eastAsia" w:ascii="宋体" w:hAnsi="宋体" w:cs="宋体"/>
          <w:highlight w:val="none"/>
        </w:rPr>
        <w:t xml:space="preserve">ZJJS2023-ZFCG001 </w:t>
      </w:r>
    </w:p>
    <w:p>
      <w:pPr>
        <w:pStyle w:val="19"/>
        <w:snapToGrid w:val="0"/>
        <w:spacing w:line="360" w:lineRule="auto"/>
        <w:ind w:firstLine="482" w:firstLineChars="200"/>
        <w:jc w:val="left"/>
        <w:rPr>
          <w:rFonts w:hint="eastAsia" w:ascii="宋体" w:hAnsi="宋体" w:cs="宋体"/>
          <w:highlight w:val="none"/>
        </w:rPr>
      </w:pPr>
      <w:r>
        <w:rPr>
          <w:rFonts w:hint="eastAsia" w:ascii="宋体" w:hAnsi="宋体" w:cs="宋体"/>
          <w:b/>
          <w:bCs/>
          <w:highlight w:val="none"/>
        </w:rPr>
        <w:t>3、项目详细清单：</w:t>
      </w:r>
      <w:r>
        <w:rPr>
          <w:rFonts w:hint="eastAsia" w:ascii="宋体" w:hAnsi="宋体" w:cs="宋体"/>
          <w:highlight w:val="none"/>
        </w:rPr>
        <w:t>详见附件：招标控制价及施工图纸。</w:t>
      </w:r>
    </w:p>
    <w:p>
      <w:pPr>
        <w:spacing w:line="360" w:lineRule="auto"/>
        <w:ind w:firstLine="482" w:firstLineChars="200"/>
        <w:jc w:val="left"/>
        <w:rPr>
          <w:rFonts w:hint="eastAsia" w:ascii="宋体" w:hAnsi="宋体" w:cs="宋体"/>
          <w:b/>
          <w:bCs/>
          <w:sz w:val="24"/>
          <w:highlight w:val="none"/>
        </w:rPr>
      </w:pPr>
      <w:r>
        <w:rPr>
          <w:rFonts w:hint="eastAsia" w:ascii="宋体" w:hAnsi="宋体" w:cs="宋体"/>
          <w:b/>
          <w:bCs/>
          <w:sz w:val="24"/>
          <w:highlight w:val="none"/>
        </w:rPr>
        <w:t>二、项目总体方案</w:t>
      </w:r>
    </w:p>
    <w:p>
      <w:pPr>
        <w:spacing w:line="360" w:lineRule="auto"/>
        <w:ind w:firstLine="482" w:firstLineChars="200"/>
        <w:jc w:val="left"/>
        <w:rPr>
          <w:rFonts w:ascii="宋体" w:hAnsi="宋体" w:cs="宋体"/>
          <w:b/>
          <w:bCs/>
          <w:sz w:val="24"/>
          <w:highlight w:val="none"/>
        </w:rPr>
      </w:pPr>
      <w:r>
        <w:rPr>
          <w:rFonts w:hint="eastAsia" w:ascii="宋体" w:hAnsi="宋体" w:cs="宋体"/>
          <w:b/>
          <w:bCs/>
          <w:sz w:val="24"/>
          <w:highlight w:val="none"/>
        </w:rPr>
        <w:t>（一）目标定位</w:t>
      </w:r>
    </w:p>
    <w:p>
      <w:pPr>
        <w:pStyle w:val="19"/>
        <w:snapToGrid w:val="0"/>
        <w:spacing w:line="360" w:lineRule="auto"/>
        <w:ind w:firstLine="480" w:firstLineChars="200"/>
        <w:jc w:val="left"/>
        <w:rPr>
          <w:rFonts w:ascii="宋体" w:hAnsi="宋体" w:cs="宋体"/>
          <w:highlight w:val="none"/>
        </w:rPr>
      </w:pPr>
      <w:r>
        <w:rPr>
          <w:rFonts w:ascii="宋体" w:hAnsi="宋体" w:cs="宋体"/>
          <w:highlight w:val="none"/>
        </w:rPr>
        <w:t>以习近平生态文明思想为指导，积极践行“节水优先、空间均衡、系统治理、两手发力”治水思路，认真落实《国家节水行动方案》，立足金华水情和安地灌区实际，以智慧灌溉、高效节水为主题，以“省内一流，全国领先”为建设目标，</w:t>
      </w:r>
      <w:r>
        <w:rPr>
          <w:rFonts w:hint="eastAsia" w:ascii="宋体" w:hAnsi="宋体" w:cs="宋体"/>
          <w:highlight w:val="none"/>
        </w:rPr>
        <w:t>从水的根源出发，追寻灌区发展轨迹，展示农业节水发展历程，展望农业高效节水前景，</w:t>
      </w:r>
      <w:r>
        <w:rPr>
          <w:rFonts w:ascii="宋体" w:hAnsi="宋体" w:cs="宋体"/>
          <w:highlight w:val="none"/>
        </w:rPr>
        <w:t>综合展陈、科普、宣传、教育、研究、交流和休闲等功能</w:t>
      </w:r>
      <w:r>
        <w:rPr>
          <w:rFonts w:hint="eastAsia" w:ascii="宋体" w:hAnsi="宋体" w:cs="宋体"/>
          <w:highlight w:val="none"/>
        </w:rPr>
        <w:t>，</w:t>
      </w:r>
      <w:r>
        <w:rPr>
          <w:rFonts w:ascii="宋体" w:hAnsi="宋体" w:cs="宋体"/>
          <w:highlight w:val="none"/>
        </w:rPr>
        <w:t>采用“声、光、电、影”等多媒体手段和模型</w:t>
      </w:r>
      <w:r>
        <w:rPr>
          <w:rFonts w:hint="eastAsia" w:ascii="宋体" w:hAnsi="宋体" w:cs="宋体"/>
          <w:highlight w:val="none"/>
        </w:rPr>
        <w:t>演示、实物展示、互动展项等展览技术，突出水文化、水资源、水法规、水生态、水利用、水科技、水教育，全面展示</w:t>
      </w:r>
      <w:r>
        <w:rPr>
          <w:rFonts w:ascii="宋体" w:hAnsi="宋体" w:cs="宋体"/>
          <w:highlight w:val="none"/>
        </w:rPr>
        <w:t>金华市</w:t>
      </w:r>
      <w:r>
        <w:rPr>
          <w:rFonts w:hint="eastAsia" w:ascii="宋体" w:hAnsi="宋体" w:cs="宋体"/>
          <w:highlight w:val="none"/>
        </w:rPr>
        <w:t>水情</w:t>
      </w:r>
      <w:r>
        <w:rPr>
          <w:rFonts w:ascii="宋体" w:hAnsi="宋体" w:cs="宋体"/>
          <w:highlight w:val="none"/>
        </w:rPr>
        <w:t>历史</w:t>
      </w:r>
      <w:r>
        <w:rPr>
          <w:rFonts w:hint="eastAsia" w:ascii="宋体" w:hAnsi="宋体" w:cs="宋体"/>
          <w:highlight w:val="none"/>
        </w:rPr>
        <w:t>、</w:t>
      </w:r>
      <w:r>
        <w:rPr>
          <w:rFonts w:ascii="宋体" w:hAnsi="宋体" w:cs="宋体"/>
          <w:highlight w:val="none"/>
        </w:rPr>
        <w:t>安地灌区主水源水资源利用</w:t>
      </w:r>
      <w:r>
        <w:rPr>
          <w:rFonts w:hint="eastAsia" w:ascii="宋体" w:hAnsi="宋体" w:cs="宋体"/>
          <w:highlight w:val="none"/>
        </w:rPr>
        <w:t>、</w:t>
      </w:r>
      <w:r>
        <w:rPr>
          <w:rFonts w:ascii="宋体" w:hAnsi="宋体" w:cs="宋体"/>
          <w:highlight w:val="none"/>
        </w:rPr>
        <w:t>智慧灌区发展等</w:t>
      </w:r>
      <w:r>
        <w:rPr>
          <w:rFonts w:hint="eastAsia" w:ascii="宋体" w:hAnsi="宋体" w:cs="宋体"/>
          <w:highlight w:val="none"/>
        </w:rPr>
        <w:t>内容，</w:t>
      </w:r>
      <w:r>
        <w:rPr>
          <w:rFonts w:ascii="宋体" w:hAnsi="宋体" w:cs="宋体"/>
          <w:highlight w:val="none"/>
        </w:rPr>
        <w:t>打造集中展示南方丘陵地区智慧</w:t>
      </w:r>
      <w:r>
        <w:rPr>
          <w:rFonts w:hint="eastAsia" w:ascii="宋体" w:hAnsi="宋体" w:cs="宋体"/>
          <w:highlight w:val="none"/>
        </w:rPr>
        <w:t>灌区</w:t>
      </w:r>
      <w:r>
        <w:rPr>
          <w:rFonts w:ascii="宋体" w:hAnsi="宋体" w:cs="宋体"/>
          <w:highlight w:val="none"/>
        </w:rPr>
        <w:t>建设</w:t>
      </w:r>
      <w:r>
        <w:rPr>
          <w:rFonts w:hint="eastAsia" w:ascii="宋体" w:hAnsi="宋体" w:cs="宋体"/>
          <w:highlight w:val="none"/>
        </w:rPr>
        <w:t>、</w:t>
      </w:r>
      <w:r>
        <w:rPr>
          <w:rFonts w:ascii="宋体" w:hAnsi="宋体" w:cs="宋体"/>
          <w:highlight w:val="none"/>
        </w:rPr>
        <w:t>农业高效节水成效的水情教育示范基地</w:t>
      </w:r>
      <w:r>
        <w:rPr>
          <w:rFonts w:hint="eastAsia" w:ascii="宋体" w:hAnsi="宋体" w:cs="宋体"/>
          <w:highlight w:val="none"/>
        </w:rPr>
        <w:t>。</w:t>
      </w:r>
    </w:p>
    <w:p>
      <w:pPr>
        <w:pStyle w:val="19"/>
        <w:snapToGrid w:val="0"/>
        <w:spacing w:line="360" w:lineRule="auto"/>
        <w:ind w:firstLine="480" w:firstLineChars="200"/>
        <w:jc w:val="left"/>
        <w:rPr>
          <w:rFonts w:ascii="宋体" w:hAnsi="宋体" w:cs="宋体"/>
          <w:highlight w:val="none"/>
        </w:rPr>
      </w:pPr>
      <w:r>
        <w:rPr>
          <w:rFonts w:hint="eastAsia" w:ascii="宋体" w:hAnsi="宋体" w:cs="宋体"/>
          <w:highlight w:val="none"/>
        </w:rPr>
        <w:t>展馆以</w:t>
      </w:r>
      <w:r>
        <w:rPr>
          <w:rFonts w:ascii="宋体" w:hAnsi="宋体" w:cs="宋体"/>
          <w:highlight w:val="none"/>
        </w:rPr>
        <w:t>全市水利系统</w:t>
      </w:r>
      <w:r>
        <w:rPr>
          <w:rFonts w:hint="eastAsia" w:ascii="宋体" w:hAnsi="宋体" w:cs="宋体"/>
          <w:highlight w:val="none"/>
        </w:rPr>
        <w:t>、大</w:t>
      </w:r>
      <w:r>
        <w:rPr>
          <w:rFonts w:ascii="宋体" w:hAnsi="宋体" w:cs="宋体"/>
          <w:highlight w:val="none"/>
        </w:rPr>
        <w:t>中小学生</w:t>
      </w:r>
      <w:r>
        <w:rPr>
          <w:rFonts w:hint="eastAsia" w:ascii="宋体" w:hAnsi="宋体" w:cs="宋体"/>
          <w:highlight w:val="none"/>
        </w:rPr>
        <w:t>、</w:t>
      </w:r>
      <w:r>
        <w:rPr>
          <w:rFonts w:ascii="宋体" w:hAnsi="宋体" w:cs="宋体"/>
          <w:highlight w:val="none"/>
        </w:rPr>
        <w:t>社会各界团体等为服务对象</w:t>
      </w:r>
      <w:r>
        <w:rPr>
          <w:rFonts w:hint="eastAsia" w:ascii="宋体" w:hAnsi="宋体" w:cs="宋体"/>
          <w:highlight w:val="none"/>
        </w:rPr>
        <w:t>，</w:t>
      </w:r>
      <w:r>
        <w:rPr>
          <w:rFonts w:ascii="宋体" w:hAnsi="宋体" w:cs="宋体"/>
          <w:highlight w:val="none"/>
        </w:rPr>
        <w:t>通过</w:t>
      </w:r>
      <w:r>
        <w:rPr>
          <w:rFonts w:hint="eastAsia" w:ascii="宋体" w:hAnsi="宋体" w:cs="宋体"/>
          <w:highlight w:val="none"/>
        </w:rPr>
        <w:t>开展</w:t>
      </w:r>
      <w:r>
        <w:rPr>
          <w:rFonts w:ascii="宋体" w:hAnsi="宋体" w:cs="宋体"/>
          <w:highlight w:val="none"/>
        </w:rPr>
        <w:t>水情教育</w:t>
      </w:r>
      <w:r>
        <w:rPr>
          <w:rFonts w:hint="eastAsia" w:ascii="宋体" w:hAnsi="宋体" w:cs="宋体"/>
          <w:highlight w:val="none"/>
        </w:rPr>
        <w:t>、</w:t>
      </w:r>
      <w:r>
        <w:rPr>
          <w:rFonts w:ascii="宋体" w:hAnsi="宋体" w:cs="宋体"/>
          <w:highlight w:val="none"/>
        </w:rPr>
        <w:t>普及节水知识</w:t>
      </w:r>
      <w:r>
        <w:rPr>
          <w:rFonts w:hint="eastAsia" w:ascii="宋体" w:hAnsi="宋体" w:cs="宋体"/>
          <w:highlight w:val="none"/>
        </w:rPr>
        <w:t>、</w:t>
      </w:r>
      <w:r>
        <w:rPr>
          <w:rFonts w:ascii="宋体" w:hAnsi="宋体" w:cs="宋体"/>
          <w:highlight w:val="none"/>
        </w:rPr>
        <w:t>推广节水技术</w:t>
      </w:r>
      <w:r>
        <w:rPr>
          <w:rFonts w:hint="eastAsia" w:ascii="宋体" w:hAnsi="宋体" w:cs="宋体"/>
          <w:highlight w:val="none"/>
        </w:rPr>
        <w:t>、</w:t>
      </w:r>
      <w:r>
        <w:rPr>
          <w:rFonts w:ascii="宋体" w:hAnsi="宋体" w:cs="宋体"/>
          <w:highlight w:val="none"/>
        </w:rPr>
        <w:t>传播科学用水文化</w:t>
      </w:r>
      <w:r>
        <w:rPr>
          <w:rFonts w:hint="eastAsia" w:ascii="宋体" w:hAnsi="宋体" w:cs="宋体"/>
          <w:highlight w:val="none"/>
        </w:rPr>
        <w:t>，增强社会各界珍惜和爱护水资源的意识，营造人人节水护水的浓厚氛围。展馆建成后，将成为金华市水情宣传教育的基地、节水知识科普的平台、节水技术推广的窗口。</w:t>
      </w:r>
    </w:p>
    <w:p>
      <w:pPr>
        <w:pStyle w:val="19"/>
        <w:snapToGrid w:val="0"/>
        <w:spacing w:line="360" w:lineRule="auto"/>
        <w:ind w:firstLine="482" w:firstLineChars="200"/>
        <w:jc w:val="left"/>
        <w:rPr>
          <w:rFonts w:ascii="宋体" w:hAnsi="宋体" w:cs="宋体"/>
          <w:b/>
          <w:highlight w:val="none"/>
        </w:rPr>
      </w:pPr>
      <w:r>
        <w:rPr>
          <w:rFonts w:hint="eastAsia" w:ascii="宋体" w:hAnsi="宋体" w:cs="宋体"/>
          <w:b/>
          <w:highlight w:val="none"/>
        </w:rPr>
        <w:t>（二）总体布局</w:t>
      </w:r>
    </w:p>
    <w:p>
      <w:pPr>
        <w:pStyle w:val="19"/>
        <w:snapToGrid w:val="0"/>
        <w:spacing w:line="360" w:lineRule="auto"/>
        <w:ind w:firstLine="480" w:firstLineChars="200"/>
        <w:jc w:val="left"/>
        <w:rPr>
          <w:rFonts w:ascii="宋体" w:hAnsi="宋体"/>
          <w:szCs w:val="28"/>
          <w:highlight w:val="none"/>
        </w:rPr>
      </w:pPr>
      <w:r>
        <w:rPr>
          <w:rFonts w:ascii="宋体" w:hAnsi="宋体" w:cs="宋体"/>
          <w:highlight w:val="none"/>
        </w:rPr>
        <w:t>灌溉节水</w:t>
      </w:r>
      <w:r>
        <w:rPr>
          <w:rFonts w:ascii="宋体" w:hAnsi="宋体"/>
          <w:szCs w:val="28"/>
          <w:highlight w:val="none"/>
        </w:rPr>
        <w:t>宣传馆分为</w:t>
      </w:r>
      <w:r>
        <w:rPr>
          <w:rFonts w:hint="eastAsia" w:ascii="宋体" w:hAnsi="宋体"/>
          <w:szCs w:val="28"/>
          <w:highlight w:val="none"/>
        </w:rPr>
        <w:t>室内、室外两部分。室内部分位于安地灌区管理单位金华市梅溪流域管理中心闲置办公楼，现状3层框架结构，建筑面积9</w:t>
      </w:r>
      <w:r>
        <w:rPr>
          <w:rFonts w:ascii="宋体" w:hAnsi="宋体"/>
          <w:szCs w:val="28"/>
          <w:highlight w:val="none"/>
        </w:rPr>
        <w:t>84</w:t>
      </w:r>
      <w:r>
        <w:rPr>
          <w:rFonts w:hint="eastAsia" w:ascii="宋体" w:hAnsi="宋体"/>
          <w:szCs w:val="28"/>
          <w:highlight w:val="none"/>
        </w:rPr>
        <w:t>㎡；</w:t>
      </w:r>
      <w:r>
        <w:rPr>
          <w:rFonts w:ascii="宋体" w:hAnsi="宋体"/>
          <w:szCs w:val="28"/>
          <w:highlight w:val="none"/>
        </w:rPr>
        <w:t>室外部分位于该闲置办公楼西南侧</w:t>
      </w:r>
      <w:r>
        <w:rPr>
          <w:rFonts w:hint="eastAsia" w:ascii="宋体" w:hAnsi="宋体"/>
          <w:szCs w:val="28"/>
          <w:highlight w:val="none"/>
        </w:rPr>
        <w:t>，</w:t>
      </w:r>
      <w:r>
        <w:rPr>
          <w:rFonts w:ascii="宋体" w:hAnsi="宋体"/>
          <w:szCs w:val="28"/>
          <w:highlight w:val="none"/>
        </w:rPr>
        <w:t>现状为绿化杂树</w:t>
      </w:r>
      <w:r>
        <w:rPr>
          <w:rFonts w:hint="eastAsia" w:ascii="宋体" w:hAnsi="宋体"/>
          <w:szCs w:val="28"/>
          <w:highlight w:val="none"/>
        </w:rPr>
        <w:t>、</w:t>
      </w:r>
      <w:r>
        <w:rPr>
          <w:rFonts w:ascii="宋体" w:hAnsi="宋体"/>
          <w:szCs w:val="28"/>
          <w:highlight w:val="none"/>
        </w:rPr>
        <w:t>道路等</w:t>
      </w:r>
      <w:r>
        <w:rPr>
          <w:rFonts w:hint="eastAsia" w:ascii="宋体" w:hAnsi="宋体"/>
          <w:szCs w:val="28"/>
          <w:highlight w:val="none"/>
        </w:rPr>
        <w:t>，</w:t>
      </w:r>
      <w:r>
        <w:rPr>
          <w:rFonts w:ascii="宋体" w:hAnsi="宋体"/>
          <w:szCs w:val="28"/>
          <w:highlight w:val="none"/>
        </w:rPr>
        <w:t>占地面积约</w:t>
      </w:r>
      <w:r>
        <w:rPr>
          <w:rFonts w:hint="eastAsia" w:ascii="宋体" w:hAnsi="宋体"/>
          <w:szCs w:val="28"/>
          <w:highlight w:val="none"/>
        </w:rPr>
        <w:t>5</w:t>
      </w:r>
      <w:r>
        <w:rPr>
          <w:rFonts w:ascii="宋体" w:hAnsi="宋体"/>
          <w:szCs w:val="28"/>
          <w:highlight w:val="none"/>
        </w:rPr>
        <w:t>600</w:t>
      </w:r>
      <w:r>
        <w:rPr>
          <w:rFonts w:hint="eastAsia" w:ascii="宋体" w:hAnsi="宋体"/>
          <w:szCs w:val="28"/>
          <w:highlight w:val="none"/>
        </w:rPr>
        <w:t>㎡。展</w:t>
      </w:r>
      <w:r>
        <w:rPr>
          <w:rFonts w:ascii="宋体" w:hAnsi="宋体"/>
          <w:szCs w:val="28"/>
          <w:highlight w:val="none"/>
        </w:rPr>
        <w:t>馆综合了展陈、科普、宣传、教育、研究、交流和休闲等功能，展馆室内共三层，主体分别为</w:t>
      </w:r>
      <w:r>
        <w:rPr>
          <w:rFonts w:hint="eastAsia" w:ascii="宋体" w:hAnsi="宋体"/>
          <w:szCs w:val="28"/>
          <w:highlight w:val="none"/>
        </w:rPr>
        <w:t>梅溪印象、八婺秀水、数字灌区</w:t>
      </w:r>
      <w:r>
        <w:rPr>
          <w:rFonts w:ascii="宋体" w:hAnsi="宋体"/>
          <w:szCs w:val="28"/>
          <w:highlight w:val="none"/>
        </w:rPr>
        <w:t>三大主题。展馆户外共设置户外安地灌区模型展示区</w:t>
      </w:r>
      <w:r>
        <w:rPr>
          <w:rFonts w:hint="eastAsia" w:ascii="宋体" w:hAnsi="宋体"/>
          <w:szCs w:val="28"/>
          <w:highlight w:val="none"/>
        </w:rPr>
        <w:t>、</w:t>
      </w:r>
      <w:r>
        <w:rPr>
          <w:rFonts w:ascii="宋体" w:hAnsi="宋体"/>
          <w:szCs w:val="28"/>
          <w:highlight w:val="none"/>
        </w:rPr>
        <w:t>公共停车区</w:t>
      </w:r>
      <w:r>
        <w:rPr>
          <w:rFonts w:hint="eastAsia" w:ascii="宋体" w:hAnsi="宋体"/>
          <w:szCs w:val="28"/>
          <w:highlight w:val="none"/>
        </w:rPr>
        <w:t>、道路及绿化区。</w:t>
      </w:r>
    </w:p>
    <w:p>
      <w:pPr>
        <w:pStyle w:val="19"/>
        <w:snapToGrid w:val="0"/>
        <w:spacing w:line="360" w:lineRule="auto"/>
        <w:ind w:firstLine="482" w:firstLineChars="200"/>
        <w:jc w:val="left"/>
        <w:rPr>
          <w:rFonts w:ascii="宋体" w:hAnsi="宋体"/>
          <w:b/>
          <w:szCs w:val="28"/>
          <w:highlight w:val="none"/>
        </w:rPr>
      </w:pPr>
      <w:r>
        <w:rPr>
          <w:rFonts w:hint="eastAsia" w:ascii="宋体" w:hAnsi="宋体"/>
          <w:b/>
          <w:szCs w:val="28"/>
          <w:highlight w:val="none"/>
        </w:rPr>
        <w:t>1</w:t>
      </w:r>
      <w:r>
        <w:rPr>
          <w:rFonts w:ascii="宋体" w:hAnsi="宋体"/>
          <w:b/>
          <w:szCs w:val="28"/>
          <w:highlight w:val="none"/>
        </w:rPr>
        <w:t>.展区一楼：梅溪印象</w:t>
      </w:r>
    </w:p>
    <w:p>
      <w:pPr>
        <w:pStyle w:val="19"/>
        <w:snapToGrid w:val="0"/>
        <w:spacing w:line="360" w:lineRule="auto"/>
        <w:ind w:firstLine="480" w:firstLineChars="200"/>
        <w:jc w:val="left"/>
        <w:rPr>
          <w:rFonts w:ascii="宋体" w:hAnsi="宋体"/>
          <w:szCs w:val="28"/>
          <w:highlight w:val="none"/>
        </w:rPr>
      </w:pPr>
      <w:r>
        <w:rPr>
          <w:rFonts w:hint="eastAsia" w:ascii="宋体" w:hAnsi="宋体"/>
          <w:szCs w:val="28"/>
          <w:highlight w:val="none"/>
        </w:rPr>
        <w:t>一楼展</w:t>
      </w:r>
      <w:r>
        <w:rPr>
          <w:rFonts w:ascii="宋体" w:hAnsi="宋体"/>
          <w:szCs w:val="28"/>
          <w:highlight w:val="none"/>
        </w:rPr>
        <w:t>区设序厅</w:t>
      </w:r>
      <w:r>
        <w:rPr>
          <w:rFonts w:hint="eastAsia" w:ascii="宋体" w:hAnsi="宋体"/>
          <w:szCs w:val="28"/>
          <w:highlight w:val="none"/>
        </w:rPr>
        <w:t>、</w:t>
      </w:r>
      <w:r>
        <w:rPr>
          <w:rFonts w:ascii="宋体" w:hAnsi="宋体"/>
          <w:szCs w:val="28"/>
          <w:highlight w:val="none"/>
        </w:rPr>
        <w:t>梅溪印象展厅，采用</w:t>
      </w:r>
      <w:r>
        <w:rPr>
          <w:rFonts w:hint="eastAsia" w:ascii="宋体" w:hAnsi="宋体"/>
          <w:szCs w:val="28"/>
          <w:highlight w:val="none"/>
        </w:rPr>
        <w:t>实物</w:t>
      </w:r>
      <w:r>
        <w:rPr>
          <w:rFonts w:ascii="宋体" w:hAnsi="宋体"/>
          <w:szCs w:val="28"/>
          <w:highlight w:val="none"/>
        </w:rPr>
        <w:t>陈列、图文展示、视频演绎和多媒体特效等五位一体的模式，生动展现梅溪流域的水文化内蕴</w:t>
      </w:r>
      <w:r>
        <w:rPr>
          <w:rFonts w:hint="eastAsia" w:ascii="宋体" w:hAnsi="宋体"/>
          <w:szCs w:val="28"/>
          <w:highlight w:val="none"/>
        </w:rPr>
        <w:t>、</w:t>
      </w:r>
      <w:r>
        <w:rPr>
          <w:rFonts w:ascii="宋体" w:hAnsi="宋体"/>
          <w:szCs w:val="28"/>
          <w:highlight w:val="none"/>
        </w:rPr>
        <w:t>流域机构的发展历程</w:t>
      </w:r>
      <w:r>
        <w:rPr>
          <w:rFonts w:hint="eastAsia" w:ascii="宋体" w:hAnsi="宋体"/>
          <w:szCs w:val="28"/>
          <w:highlight w:val="none"/>
        </w:rPr>
        <w:t>、党建形象和成果荣誉等内容。</w:t>
      </w:r>
    </w:p>
    <w:p>
      <w:pPr>
        <w:pStyle w:val="19"/>
        <w:snapToGrid w:val="0"/>
        <w:spacing w:line="360" w:lineRule="auto"/>
        <w:ind w:firstLine="482" w:firstLineChars="200"/>
        <w:jc w:val="left"/>
        <w:rPr>
          <w:rFonts w:ascii="宋体" w:hAnsi="宋体"/>
          <w:b/>
          <w:szCs w:val="28"/>
          <w:highlight w:val="none"/>
        </w:rPr>
      </w:pPr>
      <w:r>
        <w:rPr>
          <w:rFonts w:hint="eastAsia" w:ascii="宋体" w:hAnsi="宋体"/>
          <w:b/>
          <w:szCs w:val="28"/>
          <w:highlight w:val="none"/>
        </w:rPr>
        <w:t>2</w:t>
      </w:r>
      <w:r>
        <w:rPr>
          <w:rFonts w:ascii="宋体" w:hAnsi="宋体"/>
          <w:b/>
          <w:szCs w:val="28"/>
          <w:highlight w:val="none"/>
        </w:rPr>
        <w:t>.展区二楼：</w:t>
      </w:r>
      <w:r>
        <w:rPr>
          <w:rFonts w:hint="eastAsia" w:ascii="宋体" w:hAnsi="宋体"/>
          <w:b/>
          <w:szCs w:val="28"/>
          <w:highlight w:val="none"/>
        </w:rPr>
        <w:t>八婺秀水</w:t>
      </w:r>
    </w:p>
    <w:p>
      <w:pPr>
        <w:pStyle w:val="19"/>
        <w:snapToGrid w:val="0"/>
        <w:spacing w:line="360" w:lineRule="auto"/>
        <w:ind w:firstLine="480" w:firstLineChars="200"/>
        <w:jc w:val="left"/>
        <w:rPr>
          <w:rFonts w:ascii="宋体" w:hAnsi="宋体"/>
          <w:szCs w:val="28"/>
          <w:highlight w:val="none"/>
        </w:rPr>
      </w:pPr>
      <w:r>
        <w:rPr>
          <w:rFonts w:hint="eastAsia" w:ascii="宋体" w:hAnsi="宋体"/>
          <w:szCs w:val="28"/>
          <w:highlight w:val="none"/>
        </w:rPr>
        <w:t>二楼</w:t>
      </w:r>
      <w:r>
        <w:rPr>
          <w:rFonts w:ascii="宋体" w:hAnsi="宋体"/>
          <w:szCs w:val="28"/>
          <w:highlight w:val="none"/>
        </w:rPr>
        <w:t>展区设八婺秀水展厅</w:t>
      </w:r>
      <w:r>
        <w:rPr>
          <w:rFonts w:hint="eastAsia" w:ascii="宋体" w:hAnsi="宋体"/>
          <w:szCs w:val="28"/>
          <w:highlight w:val="none"/>
        </w:rPr>
        <w:t>，采用场景模拟、沙盘动画、互动游戏、AR沉浸式体验等方式，展示金华市水资源、大中型灌区分布和灌区输水工程、计量、农业节水等设施，突出农业节水的重要性、紧迫性。</w:t>
      </w:r>
    </w:p>
    <w:p>
      <w:pPr>
        <w:pStyle w:val="19"/>
        <w:snapToGrid w:val="0"/>
        <w:spacing w:line="360" w:lineRule="auto"/>
        <w:ind w:firstLine="482" w:firstLineChars="200"/>
        <w:jc w:val="left"/>
        <w:rPr>
          <w:rFonts w:ascii="宋体" w:hAnsi="宋体"/>
          <w:b/>
          <w:szCs w:val="28"/>
          <w:highlight w:val="none"/>
        </w:rPr>
      </w:pPr>
      <w:r>
        <w:rPr>
          <w:rFonts w:hint="eastAsia" w:ascii="宋体" w:hAnsi="宋体"/>
          <w:b/>
          <w:szCs w:val="28"/>
          <w:highlight w:val="none"/>
        </w:rPr>
        <w:t>3</w:t>
      </w:r>
      <w:r>
        <w:rPr>
          <w:rFonts w:ascii="宋体" w:hAnsi="宋体"/>
          <w:b/>
          <w:szCs w:val="28"/>
          <w:highlight w:val="none"/>
        </w:rPr>
        <w:t>.展区三楼：数字灌区</w:t>
      </w:r>
    </w:p>
    <w:p>
      <w:pPr>
        <w:pStyle w:val="19"/>
        <w:snapToGrid w:val="0"/>
        <w:spacing w:line="360" w:lineRule="auto"/>
        <w:ind w:firstLine="480" w:firstLineChars="200"/>
        <w:jc w:val="left"/>
        <w:rPr>
          <w:rFonts w:ascii="宋体" w:hAnsi="宋体"/>
          <w:szCs w:val="28"/>
          <w:highlight w:val="none"/>
        </w:rPr>
      </w:pPr>
      <w:r>
        <w:rPr>
          <w:rFonts w:ascii="宋体" w:hAnsi="宋体"/>
          <w:szCs w:val="28"/>
          <w:highlight w:val="none"/>
        </w:rPr>
        <w:t>三楼展区设数字灌区展厅</w:t>
      </w:r>
      <w:r>
        <w:rPr>
          <w:rFonts w:hint="eastAsia" w:ascii="宋体" w:hAnsi="宋体"/>
          <w:szCs w:val="28"/>
          <w:highlight w:val="none"/>
        </w:rPr>
        <w:t>，采用三维数字映射、LED大屏等方式展示安地数字灌区，接入灌区空天地感知监测数据，同时布设开放节水课堂，进一步深化对农业灌溉工程的认识。</w:t>
      </w:r>
    </w:p>
    <w:p>
      <w:pPr>
        <w:pStyle w:val="19"/>
        <w:snapToGrid w:val="0"/>
        <w:spacing w:line="360" w:lineRule="auto"/>
        <w:ind w:firstLine="482" w:firstLineChars="200"/>
        <w:jc w:val="left"/>
        <w:rPr>
          <w:rFonts w:ascii="宋体" w:hAnsi="宋体"/>
          <w:b/>
          <w:szCs w:val="28"/>
          <w:highlight w:val="none"/>
        </w:rPr>
      </w:pPr>
      <w:r>
        <w:rPr>
          <w:rFonts w:hint="eastAsia" w:ascii="宋体" w:hAnsi="宋体"/>
          <w:b/>
          <w:szCs w:val="28"/>
          <w:highlight w:val="none"/>
        </w:rPr>
        <w:t>4</w:t>
      </w:r>
      <w:r>
        <w:rPr>
          <w:rFonts w:ascii="宋体" w:hAnsi="宋体"/>
          <w:b/>
          <w:szCs w:val="28"/>
          <w:highlight w:val="none"/>
        </w:rPr>
        <w:t>.</w:t>
      </w:r>
      <w:r>
        <w:rPr>
          <w:rFonts w:hint="eastAsia" w:ascii="宋体" w:hAnsi="宋体"/>
          <w:b/>
          <w:szCs w:val="28"/>
          <w:highlight w:val="none"/>
        </w:rPr>
        <w:t>户外展区</w:t>
      </w:r>
    </w:p>
    <w:p>
      <w:pPr>
        <w:pStyle w:val="19"/>
        <w:snapToGrid w:val="0"/>
        <w:spacing w:line="360" w:lineRule="auto"/>
        <w:ind w:firstLine="480" w:firstLineChars="200"/>
        <w:jc w:val="left"/>
        <w:rPr>
          <w:rFonts w:ascii="宋体" w:hAnsi="宋体"/>
          <w:szCs w:val="28"/>
          <w:highlight w:val="none"/>
        </w:rPr>
      </w:pPr>
      <w:r>
        <w:rPr>
          <w:rFonts w:hint="eastAsia" w:ascii="宋体" w:hAnsi="宋体"/>
          <w:szCs w:val="28"/>
          <w:highlight w:val="none"/>
        </w:rPr>
        <w:t>户外区域设置停车区、展示区和绿化区。展示区、绿化区以安地灌区为原型，采用等比例缩放构建微型灌区，从停车场路口开始，以实景模拟方式展示安地灌区水源、渠系、输水建筑物等全貌，并在部分节点配置工程实物，让参观者对灌溉工程有初步的认识和了解；公共停车区设置若干大巴、中巴、轿车停车位；道路及绿化区主要结合展示馆总体布局合理配置绿植、布设通道等。</w:t>
      </w:r>
    </w:p>
    <w:p>
      <w:pPr>
        <w:pStyle w:val="19"/>
        <w:snapToGrid w:val="0"/>
        <w:spacing w:line="360" w:lineRule="auto"/>
        <w:ind w:firstLine="482" w:firstLineChars="200"/>
        <w:jc w:val="center"/>
        <w:rPr>
          <w:rFonts w:ascii="宋体" w:hAnsi="宋体"/>
          <w:b/>
          <w:szCs w:val="28"/>
          <w:highlight w:val="none"/>
        </w:rPr>
      </w:pPr>
      <w:r>
        <w:rPr>
          <w:rFonts w:hint="eastAsia" w:ascii="宋体" w:hAnsi="宋体"/>
          <w:b/>
          <w:szCs w:val="28"/>
          <w:highlight w:val="none"/>
        </w:rPr>
        <w:t>灌溉节水宣传馆（室内）总体布局</w:t>
      </w:r>
    </w:p>
    <w:tbl>
      <w:tblPr>
        <w:tblStyle w:val="40"/>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23"/>
        <w:gridCol w:w="859"/>
        <w:gridCol w:w="1287"/>
        <w:gridCol w:w="628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blHeader/>
        </w:trPr>
        <w:tc>
          <w:tcPr>
            <w:tcW w:w="445" w:type="pct"/>
            <w:noWrap w:val="0"/>
            <w:vAlign w:val="center"/>
          </w:tcPr>
          <w:p>
            <w:pPr>
              <w:widowControl/>
              <w:adjustRightInd w:val="0"/>
              <w:snapToGrid w:val="0"/>
              <w:jc w:val="center"/>
              <w:rPr>
                <w:rFonts w:ascii="宋体" w:hAnsi="宋体" w:cs="宋体"/>
                <w:kern w:val="0"/>
                <w:sz w:val="24"/>
                <w:highlight w:val="none"/>
              </w:rPr>
            </w:pPr>
            <w:r>
              <w:rPr>
                <w:rFonts w:hint="eastAsia" w:ascii="宋体" w:hAnsi="宋体" w:cs="宋体"/>
                <w:kern w:val="0"/>
                <w:sz w:val="24"/>
                <w:highlight w:val="none"/>
              </w:rPr>
              <w:t>展厅区域</w:t>
            </w:r>
          </w:p>
        </w:tc>
        <w:tc>
          <w:tcPr>
            <w:tcW w:w="464" w:type="pct"/>
            <w:noWrap w:val="0"/>
            <w:vAlign w:val="center"/>
          </w:tcPr>
          <w:p>
            <w:pPr>
              <w:widowControl/>
              <w:adjustRightInd w:val="0"/>
              <w:snapToGrid w:val="0"/>
              <w:jc w:val="center"/>
              <w:rPr>
                <w:rFonts w:ascii="宋体" w:hAnsi="宋体" w:cs="宋体"/>
                <w:kern w:val="0"/>
                <w:sz w:val="24"/>
                <w:highlight w:val="none"/>
              </w:rPr>
            </w:pPr>
            <w:r>
              <w:rPr>
                <w:rFonts w:hint="eastAsia" w:ascii="宋体" w:hAnsi="宋体" w:cs="宋体"/>
                <w:kern w:val="0"/>
                <w:sz w:val="24"/>
                <w:highlight w:val="none"/>
              </w:rPr>
              <w:t>主题</w:t>
            </w:r>
          </w:p>
        </w:tc>
        <w:tc>
          <w:tcPr>
            <w:tcW w:w="695" w:type="pct"/>
            <w:noWrap w:val="0"/>
            <w:vAlign w:val="center"/>
          </w:tcPr>
          <w:p>
            <w:pPr>
              <w:widowControl/>
              <w:adjustRightInd w:val="0"/>
              <w:snapToGrid w:val="0"/>
              <w:jc w:val="center"/>
              <w:rPr>
                <w:rFonts w:ascii="宋体" w:hAnsi="宋体" w:cs="宋体"/>
                <w:kern w:val="0"/>
                <w:sz w:val="24"/>
                <w:highlight w:val="none"/>
              </w:rPr>
            </w:pPr>
            <w:r>
              <w:rPr>
                <w:rFonts w:hint="eastAsia" w:ascii="宋体" w:hAnsi="宋体" w:cs="宋体"/>
                <w:kern w:val="0"/>
                <w:sz w:val="24"/>
                <w:highlight w:val="none"/>
              </w:rPr>
              <w:t>区域主题</w:t>
            </w:r>
          </w:p>
        </w:tc>
        <w:tc>
          <w:tcPr>
            <w:tcW w:w="3396" w:type="pct"/>
            <w:noWrap w:val="0"/>
            <w:vAlign w:val="center"/>
          </w:tcPr>
          <w:p>
            <w:pPr>
              <w:widowControl/>
              <w:adjustRightInd w:val="0"/>
              <w:snapToGrid w:val="0"/>
              <w:jc w:val="center"/>
              <w:rPr>
                <w:rFonts w:ascii="宋体" w:hAnsi="宋体" w:cs="宋体"/>
                <w:kern w:val="0"/>
                <w:sz w:val="24"/>
                <w:highlight w:val="none"/>
              </w:rPr>
            </w:pPr>
            <w:r>
              <w:rPr>
                <w:rFonts w:hint="eastAsia" w:ascii="宋体" w:hAnsi="宋体" w:cs="宋体"/>
                <w:kern w:val="0"/>
                <w:sz w:val="24"/>
                <w:highlight w:val="none"/>
              </w:rPr>
              <w:t>主要内容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5" w:type="pct"/>
            <w:vMerge w:val="restart"/>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一楼</w:t>
            </w:r>
          </w:p>
        </w:tc>
        <w:tc>
          <w:tcPr>
            <w:tcW w:w="464" w:type="pct"/>
            <w:noWrap w:val="0"/>
            <w:vAlign w:val="center"/>
          </w:tcPr>
          <w:p>
            <w:pPr>
              <w:widowControl/>
              <w:jc w:val="center"/>
              <w:rPr>
                <w:rFonts w:ascii="宋体" w:hAnsi="宋体" w:cs="宋体"/>
                <w:kern w:val="0"/>
                <w:sz w:val="24"/>
                <w:highlight w:val="none"/>
              </w:rPr>
            </w:pPr>
            <w:r>
              <w:rPr>
                <w:rFonts w:ascii="宋体" w:hAnsi="宋体" w:cs="宋体"/>
                <w:kern w:val="0"/>
                <w:sz w:val="24"/>
                <w:highlight w:val="none"/>
              </w:rPr>
              <w:t>序厅</w:t>
            </w:r>
          </w:p>
        </w:tc>
        <w:tc>
          <w:tcPr>
            <w:tcW w:w="695" w:type="pct"/>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不争之水</w:t>
            </w:r>
          </w:p>
        </w:tc>
        <w:tc>
          <w:tcPr>
            <w:tcW w:w="3396" w:type="pct"/>
            <w:noWrap w:val="0"/>
            <w:vAlign w:val="center"/>
          </w:tcPr>
          <w:p>
            <w:pPr>
              <w:widowControl/>
              <w:adjustRightInd w:val="0"/>
              <w:snapToGrid w:val="0"/>
              <w:jc w:val="left"/>
              <w:rPr>
                <w:rFonts w:ascii="宋体" w:hAnsi="宋体" w:cs="宋体"/>
                <w:kern w:val="0"/>
                <w:sz w:val="24"/>
                <w:highlight w:val="none"/>
              </w:rPr>
            </w:pPr>
            <w:r>
              <w:rPr>
                <w:rFonts w:hint="eastAsia" w:ascii="宋体" w:hAnsi="宋体" w:cs="宋体"/>
                <w:kern w:val="0"/>
                <w:sz w:val="24"/>
                <w:highlight w:val="none"/>
              </w:rPr>
              <w:t>以水滴形象突出节水展示馆主题形象，LED大屏可根据参观对象播放相应的内容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445" w:type="pct"/>
            <w:vMerge w:val="continue"/>
            <w:noWrap w:val="0"/>
            <w:vAlign w:val="center"/>
          </w:tcPr>
          <w:p>
            <w:pPr>
              <w:widowControl/>
              <w:jc w:val="left"/>
              <w:rPr>
                <w:rFonts w:ascii="宋体" w:hAnsi="宋体" w:cs="宋体"/>
                <w:kern w:val="0"/>
                <w:sz w:val="24"/>
                <w:highlight w:val="none"/>
              </w:rPr>
            </w:pPr>
          </w:p>
        </w:tc>
        <w:tc>
          <w:tcPr>
            <w:tcW w:w="464" w:type="pct"/>
            <w:vMerge w:val="restart"/>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梅溪印象</w:t>
            </w:r>
          </w:p>
        </w:tc>
        <w:tc>
          <w:tcPr>
            <w:tcW w:w="695" w:type="pct"/>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治水思路</w:t>
            </w:r>
          </w:p>
        </w:tc>
        <w:tc>
          <w:tcPr>
            <w:tcW w:w="3396" w:type="pct"/>
            <w:noWrap w:val="0"/>
            <w:vAlign w:val="center"/>
          </w:tcPr>
          <w:p>
            <w:pPr>
              <w:widowControl/>
              <w:adjustRightInd w:val="0"/>
              <w:snapToGrid w:val="0"/>
              <w:jc w:val="left"/>
              <w:rPr>
                <w:rFonts w:ascii="宋体" w:hAnsi="宋体" w:cs="宋体"/>
                <w:kern w:val="0"/>
                <w:sz w:val="24"/>
                <w:highlight w:val="none"/>
              </w:rPr>
            </w:pPr>
            <w:r>
              <w:rPr>
                <w:rFonts w:hint="eastAsia" w:ascii="宋体" w:hAnsi="宋体" w:cs="宋体"/>
                <w:kern w:val="0"/>
                <w:sz w:val="24"/>
                <w:highlight w:val="none"/>
              </w:rPr>
              <w:t>新中国成立以来党和国家主要领导人关于治水、节水的重要论述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5" w:type="pct"/>
            <w:vMerge w:val="continue"/>
            <w:noWrap w:val="0"/>
            <w:vAlign w:val="center"/>
          </w:tcPr>
          <w:p>
            <w:pPr>
              <w:widowControl/>
              <w:jc w:val="left"/>
              <w:rPr>
                <w:rFonts w:ascii="宋体" w:hAnsi="宋体" w:cs="宋体"/>
                <w:kern w:val="0"/>
                <w:sz w:val="24"/>
                <w:highlight w:val="none"/>
              </w:rPr>
            </w:pPr>
          </w:p>
        </w:tc>
        <w:tc>
          <w:tcPr>
            <w:tcW w:w="464" w:type="pct"/>
            <w:vMerge w:val="continue"/>
            <w:noWrap w:val="0"/>
            <w:vAlign w:val="center"/>
          </w:tcPr>
          <w:p>
            <w:pPr>
              <w:widowControl/>
              <w:jc w:val="left"/>
              <w:rPr>
                <w:rFonts w:ascii="宋体" w:hAnsi="宋体" w:cs="宋体"/>
                <w:kern w:val="0"/>
                <w:sz w:val="24"/>
                <w:highlight w:val="none"/>
              </w:rPr>
            </w:pPr>
          </w:p>
        </w:tc>
        <w:tc>
          <w:tcPr>
            <w:tcW w:w="695" w:type="pct"/>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领导关怀</w:t>
            </w:r>
          </w:p>
        </w:tc>
        <w:tc>
          <w:tcPr>
            <w:tcW w:w="3396" w:type="pct"/>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展示各级领导考察、调研、指导安地灌区的影像资料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5" w:type="pct"/>
            <w:vMerge w:val="continue"/>
            <w:noWrap w:val="0"/>
            <w:vAlign w:val="center"/>
          </w:tcPr>
          <w:p>
            <w:pPr>
              <w:widowControl/>
              <w:jc w:val="left"/>
              <w:rPr>
                <w:rFonts w:ascii="宋体" w:hAnsi="宋体" w:cs="宋体"/>
                <w:kern w:val="0"/>
                <w:sz w:val="24"/>
                <w:highlight w:val="none"/>
              </w:rPr>
            </w:pPr>
          </w:p>
        </w:tc>
        <w:tc>
          <w:tcPr>
            <w:tcW w:w="464" w:type="pct"/>
            <w:vMerge w:val="continue"/>
            <w:noWrap w:val="0"/>
            <w:vAlign w:val="center"/>
          </w:tcPr>
          <w:p>
            <w:pPr>
              <w:widowControl/>
              <w:jc w:val="left"/>
              <w:rPr>
                <w:rFonts w:ascii="宋体" w:hAnsi="宋体" w:cs="宋体"/>
                <w:kern w:val="0"/>
                <w:sz w:val="24"/>
                <w:highlight w:val="none"/>
              </w:rPr>
            </w:pPr>
          </w:p>
        </w:tc>
        <w:tc>
          <w:tcPr>
            <w:tcW w:w="695" w:type="pct"/>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党建品牌</w:t>
            </w:r>
          </w:p>
        </w:tc>
        <w:tc>
          <w:tcPr>
            <w:tcW w:w="3396" w:type="pct"/>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展示灌区管理单位党建品牌形象——“金水缸”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5" w:type="pct"/>
            <w:vMerge w:val="continue"/>
            <w:noWrap w:val="0"/>
            <w:vAlign w:val="center"/>
          </w:tcPr>
          <w:p>
            <w:pPr>
              <w:widowControl/>
              <w:jc w:val="left"/>
              <w:rPr>
                <w:rFonts w:ascii="宋体" w:hAnsi="宋体" w:cs="宋体"/>
                <w:kern w:val="0"/>
                <w:sz w:val="24"/>
                <w:highlight w:val="none"/>
              </w:rPr>
            </w:pPr>
          </w:p>
        </w:tc>
        <w:tc>
          <w:tcPr>
            <w:tcW w:w="464" w:type="pct"/>
            <w:vMerge w:val="continue"/>
            <w:noWrap w:val="0"/>
            <w:vAlign w:val="center"/>
          </w:tcPr>
          <w:p>
            <w:pPr>
              <w:widowControl/>
              <w:jc w:val="left"/>
              <w:rPr>
                <w:rFonts w:ascii="宋体" w:hAnsi="宋体" w:cs="宋体"/>
                <w:kern w:val="0"/>
                <w:sz w:val="24"/>
                <w:highlight w:val="none"/>
              </w:rPr>
            </w:pPr>
          </w:p>
        </w:tc>
        <w:tc>
          <w:tcPr>
            <w:tcW w:w="695" w:type="pct"/>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发展历程</w:t>
            </w:r>
          </w:p>
        </w:tc>
        <w:tc>
          <w:tcPr>
            <w:tcW w:w="3396" w:type="pct"/>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展示灌区管理单位发展历程、大事记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5" w:type="pct"/>
            <w:vMerge w:val="continue"/>
            <w:noWrap w:val="0"/>
            <w:vAlign w:val="center"/>
          </w:tcPr>
          <w:p>
            <w:pPr>
              <w:widowControl/>
              <w:jc w:val="left"/>
              <w:rPr>
                <w:rFonts w:ascii="宋体" w:hAnsi="宋体" w:cs="宋体"/>
                <w:kern w:val="0"/>
                <w:sz w:val="24"/>
                <w:highlight w:val="none"/>
              </w:rPr>
            </w:pPr>
          </w:p>
        </w:tc>
        <w:tc>
          <w:tcPr>
            <w:tcW w:w="464" w:type="pct"/>
            <w:vMerge w:val="continue"/>
            <w:noWrap w:val="0"/>
            <w:vAlign w:val="center"/>
          </w:tcPr>
          <w:p>
            <w:pPr>
              <w:widowControl/>
              <w:jc w:val="left"/>
              <w:rPr>
                <w:rFonts w:ascii="宋体" w:hAnsi="宋体" w:cs="宋体"/>
                <w:kern w:val="0"/>
                <w:sz w:val="24"/>
                <w:highlight w:val="none"/>
              </w:rPr>
            </w:pPr>
          </w:p>
        </w:tc>
        <w:tc>
          <w:tcPr>
            <w:tcW w:w="695" w:type="pct"/>
            <w:vMerge w:val="restart"/>
            <w:noWrap/>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发展成果</w:t>
            </w:r>
          </w:p>
        </w:tc>
        <w:tc>
          <w:tcPr>
            <w:tcW w:w="3396" w:type="pct"/>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展示灌区建设、历次改造等情况和成效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5" w:type="pct"/>
            <w:vMerge w:val="continue"/>
            <w:noWrap w:val="0"/>
            <w:vAlign w:val="center"/>
          </w:tcPr>
          <w:p>
            <w:pPr>
              <w:widowControl/>
              <w:jc w:val="left"/>
              <w:rPr>
                <w:rFonts w:ascii="宋体" w:hAnsi="宋体" w:cs="宋体"/>
                <w:kern w:val="0"/>
                <w:sz w:val="24"/>
                <w:highlight w:val="none"/>
              </w:rPr>
            </w:pPr>
          </w:p>
        </w:tc>
        <w:tc>
          <w:tcPr>
            <w:tcW w:w="464" w:type="pct"/>
            <w:vMerge w:val="continue"/>
            <w:noWrap w:val="0"/>
            <w:vAlign w:val="center"/>
          </w:tcPr>
          <w:p>
            <w:pPr>
              <w:widowControl/>
              <w:jc w:val="left"/>
              <w:rPr>
                <w:rFonts w:ascii="宋体" w:hAnsi="宋体" w:cs="宋体"/>
                <w:kern w:val="0"/>
                <w:sz w:val="24"/>
                <w:highlight w:val="none"/>
              </w:rPr>
            </w:pPr>
          </w:p>
        </w:tc>
        <w:tc>
          <w:tcPr>
            <w:tcW w:w="695" w:type="pct"/>
            <w:vMerge w:val="continue"/>
            <w:noWrap w:val="0"/>
            <w:vAlign w:val="center"/>
          </w:tcPr>
          <w:p>
            <w:pPr>
              <w:widowControl/>
              <w:jc w:val="center"/>
              <w:rPr>
                <w:rFonts w:ascii="宋体" w:hAnsi="宋体" w:cs="宋体"/>
                <w:kern w:val="0"/>
                <w:sz w:val="24"/>
                <w:highlight w:val="none"/>
              </w:rPr>
            </w:pPr>
          </w:p>
        </w:tc>
        <w:tc>
          <w:tcPr>
            <w:tcW w:w="3396" w:type="pct"/>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展示获得的相关奖杯、荣誉、奖状等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5" w:type="pct"/>
            <w:vMerge w:val="restart"/>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二楼</w:t>
            </w:r>
          </w:p>
        </w:tc>
        <w:tc>
          <w:tcPr>
            <w:tcW w:w="464" w:type="pct"/>
            <w:vMerge w:val="restart"/>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八婺秀水</w:t>
            </w:r>
          </w:p>
        </w:tc>
        <w:tc>
          <w:tcPr>
            <w:tcW w:w="695" w:type="pct"/>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水润八婺</w:t>
            </w:r>
          </w:p>
        </w:tc>
        <w:tc>
          <w:tcPr>
            <w:tcW w:w="3396" w:type="pct"/>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以水为媒，展示依托水系、渠系发展经济社会的主题形象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5" w:type="pct"/>
            <w:vMerge w:val="continue"/>
            <w:noWrap w:val="0"/>
            <w:vAlign w:val="center"/>
          </w:tcPr>
          <w:p>
            <w:pPr>
              <w:widowControl/>
              <w:jc w:val="left"/>
              <w:rPr>
                <w:rFonts w:ascii="宋体" w:hAnsi="宋体" w:cs="宋体"/>
                <w:kern w:val="0"/>
                <w:sz w:val="24"/>
                <w:highlight w:val="none"/>
              </w:rPr>
            </w:pPr>
          </w:p>
        </w:tc>
        <w:tc>
          <w:tcPr>
            <w:tcW w:w="464" w:type="pct"/>
            <w:vMerge w:val="continue"/>
            <w:noWrap w:val="0"/>
            <w:vAlign w:val="center"/>
          </w:tcPr>
          <w:p>
            <w:pPr>
              <w:widowControl/>
              <w:jc w:val="left"/>
              <w:rPr>
                <w:rFonts w:ascii="宋体" w:hAnsi="宋体" w:cs="宋体"/>
                <w:kern w:val="0"/>
                <w:sz w:val="24"/>
                <w:highlight w:val="none"/>
              </w:rPr>
            </w:pPr>
          </w:p>
        </w:tc>
        <w:tc>
          <w:tcPr>
            <w:tcW w:w="695" w:type="pct"/>
            <w:noWrap w:val="0"/>
            <w:vAlign w:val="center"/>
          </w:tcPr>
          <w:p>
            <w:pPr>
              <w:widowControl/>
              <w:jc w:val="center"/>
              <w:rPr>
                <w:rFonts w:ascii="宋体" w:hAnsi="宋体" w:cs="宋体"/>
                <w:kern w:val="0"/>
                <w:sz w:val="24"/>
                <w:highlight w:val="none"/>
              </w:rPr>
            </w:pPr>
            <w:r>
              <w:rPr>
                <w:rFonts w:ascii="宋体" w:hAnsi="宋体" w:cs="宋体"/>
                <w:kern w:val="0"/>
                <w:sz w:val="24"/>
                <w:highlight w:val="none"/>
              </w:rPr>
              <w:t>水情特征</w:t>
            </w:r>
          </w:p>
        </w:tc>
        <w:tc>
          <w:tcPr>
            <w:tcW w:w="3396" w:type="pct"/>
            <w:noWrap w:val="0"/>
            <w:vAlign w:val="center"/>
          </w:tcPr>
          <w:p>
            <w:pPr>
              <w:widowControl/>
              <w:adjustRightInd w:val="0"/>
              <w:snapToGrid w:val="0"/>
              <w:jc w:val="left"/>
              <w:rPr>
                <w:rFonts w:ascii="宋体" w:hAnsi="宋体" w:cs="宋体"/>
                <w:kern w:val="0"/>
                <w:sz w:val="24"/>
                <w:highlight w:val="none"/>
              </w:rPr>
            </w:pPr>
            <w:r>
              <w:rPr>
                <w:rFonts w:hint="eastAsia" w:ascii="宋体" w:hAnsi="宋体" w:cs="宋体"/>
                <w:kern w:val="0"/>
                <w:sz w:val="24"/>
                <w:highlight w:val="none"/>
              </w:rPr>
              <w:t>展示全市各（县、市、区）水资源情况、用水情况及变化趋势，引出农业节水潜力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5" w:type="pct"/>
            <w:vMerge w:val="continue"/>
            <w:noWrap w:val="0"/>
            <w:vAlign w:val="center"/>
          </w:tcPr>
          <w:p>
            <w:pPr>
              <w:widowControl/>
              <w:jc w:val="left"/>
              <w:rPr>
                <w:rFonts w:ascii="宋体" w:hAnsi="宋体" w:cs="宋体"/>
                <w:kern w:val="0"/>
                <w:sz w:val="24"/>
                <w:highlight w:val="none"/>
              </w:rPr>
            </w:pPr>
          </w:p>
        </w:tc>
        <w:tc>
          <w:tcPr>
            <w:tcW w:w="464" w:type="pct"/>
            <w:vMerge w:val="continue"/>
            <w:noWrap w:val="0"/>
            <w:vAlign w:val="center"/>
          </w:tcPr>
          <w:p>
            <w:pPr>
              <w:widowControl/>
              <w:jc w:val="left"/>
              <w:rPr>
                <w:rFonts w:ascii="宋体" w:hAnsi="宋体" w:cs="宋体"/>
                <w:kern w:val="0"/>
                <w:sz w:val="24"/>
                <w:highlight w:val="none"/>
              </w:rPr>
            </w:pPr>
          </w:p>
        </w:tc>
        <w:tc>
          <w:tcPr>
            <w:tcW w:w="695" w:type="pct"/>
            <w:noWrap w:val="0"/>
            <w:vAlign w:val="center"/>
          </w:tcPr>
          <w:p>
            <w:pPr>
              <w:widowControl/>
              <w:jc w:val="center"/>
              <w:rPr>
                <w:rFonts w:ascii="宋体" w:hAnsi="宋体" w:cs="宋体"/>
                <w:kern w:val="0"/>
                <w:sz w:val="24"/>
                <w:highlight w:val="none"/>
              </w:rPr>
            </w:pPr>
            <w:r>
              <w:rPr>
                <w:rFonts w:ascii="宋体" w:hAnsi="宋体" w:cs="宋体"/>
                <w:kern w:val="0"/>
                <w:sz w:val="24"/>
                <w:highlight w:val="none"/>
              </w:rPr>
              <w:t>灌区分布</w:t>
            </w:r>
          </w:p>
        </w:tc>
        <w:tc>
          <w:tcPr>
            <w:tcW w:w="3396" w:type="pct"/>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展示金华市大中型灌区（含水源）分布情况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5" w:type="pct"/>
            <w:vMerge w:val="continue"/>
            <w:noWrap w:val="0"/>
            <w:vAlign w:val="center"/>
          </w:tcPr>
          <w:p>
            <w:pPr>
              <w:widowControl/>
              <w:jc w:val="left"/>
              <w:rPr>
                <w:rFonts w:ascii="宋体" w:hAnsi="宋体" w:cs="宋体"/>
                <w:kern w:val="0"/>
                <w:sz w:val="24"/>
                <w:highlight w:val="none"/>
              </w:rPr>
            </w:pPr>
          </w:p>
        </w:tc>
        <w:tc>
          <w:tcPr>
            <w:tcW w:w="464" w:type="pct"/>
            <w:vMerge w:val="continue"/>
            <w:noWrap w:val="0"/>
            <w:vAlign w:val="center"/>
          </w:tcPr>
          <w:p>
            <w:pPr>
              <w:widowControl/>
              <w:jc w:val="left"/>
              <w:rPr>
                <w:rFonts w:ascii="宋体" w:hAnsi="宋体" w:cs="宋体"/>
                <w:kern w:val="0"/>
                <w:sz w:val="24"/>
                <w:highlight w:val="none"/>
              </w:rPr>
            </w:pPr>
          </w:p>
        </w:tc>
        <w:tc>
          <w:tcPr>
            <w:tcW w:w="695" w:type="pct"/>
            <w:noWrap w:val="0"/>
            <w:vAlign w:val="center"/>
          </w:tcPr>
          <w:p>
            <w:pPr>
              <w:widowControl/>
              <w:jc w:val="center"/>
              <w:rPr>
                <w:rFonts w:ascii="宋体" w:hAnsi="宋体" w:cs="宋体"/>
                <w:kern w:val="0"/>
                <w:sz w:val="24"/>
                <w:highlight w:val="none"/>
              </w:rPr>
            </w:pPr>
            <w:r>
              <w:rPr>
                <w:rFonts w:ascii="宋体" w:hAnsi="宋体" w:cs="宋体"/>
                <w:kern w:val="0"/>
                <w:sz w:val="24"/>
                <w:highlight w:val="none"/>
              </w:rPr>
              <w:t>水的一生</w:t>
            </w:r>
          </w:p>
        </w:tc>
        <w:tc>
          <w:tcPr>
            <w:tcW w:w="3396" w:type="pct"/>
            <w:noWrap w:val="0"/>
            <w:vAlign w:val="center"/>
          </w:tcPr>
          <w:p>
            <w:pPr>
              <w:widowControl/>
              <w:adjustRightInd w:val="0"/>
              <w:snapToGrid w:val="0"/>
              <w:jc w:val="left"/>
              <w:rPr>
                <w:rFonts w:ascii="宋体" w:hAnsi="宋体" w:cs="宋体"/>
                <w:kern w:val="0"/>
                <w:sz w:val="24"/>
                <w:highlight w:val="none"/>
              </w:rPr>
            </w:pPr>
            <w:r>
              <w:rPr>
                <w:rFonts w:hint="eastAsia" w:ascii="宋体" w:hAnsi="宋体" w:cs="宋体"/>
                <w:kern w:val="0"/>
                <w:sz w:val="24"/>
                <w:highlight w:val="none"/>
              </w:rPr>
              <w:t>以安地水库水为例，以无限符号形式展示水循环（水的蒸发、水汽输送、凝结降落、下渗和径流等），同时对生活、生产、生态利用过程进行科普（安地水库的水在生活、生产、农业的中各自一生的故事）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5" w:type="pct"/>
            <w:vMerge w:val="continue"/>
            <w:noWrap w:val="0"/>
            <w:vAlign w:val="center"/>
          </w:tcPr>
          <w:p>
            <w:pPr>
              <w:widowControl/>
              <w:jc w:val="left"/>
              <w:rPr>
                <w:rFonts w:ascii="宋体" w:hAnsi="宋体" w:cs="宋体"/>
                <w:kern w:val="0"/>
                <w:sz w:val="24"/>
                <w:highlight w:val="none"/>
              </w:rPr>
            </w:pPr>
          </w:p>
        </w:tc>
        <w:tc>
          <w:tcPr>
            <w:tcW w:w="464" w:type="pct"/>
            <w:vMerge w:val="continue"/>
            <w:noWrap w:val="0"/>
            <w:vAlign w:val="center"/>
          </w:tcPr>
          <w:p>
            <w:pPr>
              <w:widowControl/>
              <w:jc w:val="left"/>
              <w:rPr>
                <w:rFonts w:ascii="宋体" w:hAnsi="宋体" w:cs="宋体"/>
                <w:kern w:val="0"/>
                <w:sz w:val="24"/>
                <w:highlight w:val="none"/>
              </w:rPr>
            </w:pPr>
          </w:p>
        </w:tc>
        <w:tc>
          <w:tcPr>
            <w:tcW w:w="695" w:type="pct"/>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渠系输水</w:t>
            </w:r>
          </w:p>
        </w:tc>
        <w:tc>
          <w:tcPr>
            <w:tcW w:w="3396" w:type="pct"/>
            <w:noWrap w:val="0"/>
            <w:vAlign w:val="center"/>
          </w:tcPr>
          <w:p>
            <w:pPr>
              <w:widowControl/>
              <w:adjustRightInd w:val="0"/>
              <w:snapToGrid w:val="0"/>
              <w:jc w:val="left"/>
              <w:rPr>
                <w:rFonts w:ascii="宋体" w:hAnsi="宋体" w:cs="宋体"/>
                <w:kern w:val="0"/>
                <w:sz w:val="24"/>
                <w:highlight w:val="none"/>
              </w:rPr>
            </w:pPr>
            <w:r>
              <w:rPr>
                <w:rFonts w:hint="eastAsia" w:ascii="宋体" w:hAnsi="宋体" w:cs="宋体"/>
                <w:kern w:val="0"/>
                <w:sz w:val="24"/>
                <w:highlight w:val="none"/>
              </w:rPr>
              <w:t>不同渠道防渗处理的渗水比较，干、支、斗、农、毛5级渠道功能介绍等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5" w:type="pct"/>
            <w:vMerge w:val="continue"/>
            <w:noWrap w:val="0"/>
            <w:vAlign w:val="center"/>
          </w:tcPr>
          <w:p>
            <w:pPr>
              <w:widowControl/>
              <w:jc w:val="left"/>
              <w:rPr>
                <w:rFonts w:ascii="宋体" w:hAnsi="宋体" w:cs="宋体"/>
                <w:kern w:val="0"/>
                <w:sz w:val="24"/>
                <w:highlight w:val="none"/>
              </w:rPr>
            </w:pPr>
          </w:p>
        </w:tc>
        <w:tc>
          <w:tcPr>
            <w:tcW w:w="464" w:type="pct"/>
            <w:vMerge w:val="continue"/>
            <w:noWrap w:val="0"/>
            <w:vAlign w:val="center"/>
          </w:tcPr>
          <w:p>
            <w:pPr>
              <w:widowControl/>
              <w:jc w:val="left"/>
              <w:rPr>
                <w:rFonts w:ascii="宋体" w:hAnsi="宋体" w:cs="宋体"/>
                <w:kern w:val="0"/>
                <w:sz w:val="24"/>
                <w:highlight w:val="none"/>
              </w:rPr>
            </w:pPr>
          </w:p>
        </w:tc>
        <w:tc>
          <w:tcPr>
            <w:tcW w:w="695" w:type="pct"/>
            <w:noWrap w:val="0"/>
            <w:vAlign w:val="center"/>
          </w:tcPr>
          <w:p>
            <w:pPr>
              <w:widowControl/>
              <w:jc w:val="center"/>
              <w:rPr>
                <w:rFonts w:ascii="宋体" w:hAnsi="宋体" w:cs="宋体"/>
                <w:kern w:val="0"/>
                <w:sz w:val="24"/>
                <w:highlight w:val="none"/>
              </w:rPr>
            </w:pPr>
            <w:r>
              <w:rPr>
                <w:rFonts w:ascii="宋体" w:hAnsi="宋体" w:cs="宋体"/>
                <w:kern w:val="0"/>
                <w:sz w:val="24"/>
                <w:highlight w:val="none"/>
              </w:rPr>
              <w:t>灌溉工程</w:t>
            </w:r>
          </w:p>
        </w:tc>
        <w:tc>
          <w:tcPr>
            <w:tcW w:w="3396" w:type="pct"/>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展示不同渠系建筑物的类型、功能、造价等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5" w:type="pct"/>
            <w:vMerge w:val="continue"/>
            <w:noWrap w:val="0"/>
            <w:vAlign w:val="center"/>
          </w:tcPr>
          <w:p>
            <w:pPr>
              <w:widowControl/>
              <w:jc w:val="left"/>
              <w:rPr>
                <w:rFonts w:ascii="宋体" w:hAnsi="宋体" w:cs="宋体"/>
                <w:kern w:val="0"/>
                <w:sz w:val="24"/>
                <w:highlight w:val="none"/>
              </w:rPr>
            </w:pPr>
          </w:p>
        </w:tc>
        <w:tc>
          <w:tcPr>
            <w:tcW w:w="464" w:type="pct"/>
            <w:vMerge w:val="continue"/>
            <w:noWrap w:val="0"/>
            <w:vAlign w:val="center"/>
          </w:tcPr>
          <w:p>
            <w:pPr>
              <w:widowControl/>
              <w:jc w:val="left"/>
              <w:rPr>
                <w:rFonts w:ascii="宋体" w:hAnsi="宋体" w:cs="宋体"/>
                <w:kern w:val="0"/>
                <w:sz w:val="24"/>
                <w:highlight w:val="none"/>
              </w:rPr>
            </w:pPr>
          </w:p>
        </w:tc>
        <w:tc>
          <w:tcPr>
            <w:tcW w:w="695" w:type="pct"/>
            <w:noWrap w:val="0"/>
            <w:vAlign w:val="center"/>
          </w:tcPr>
          <w:p>
            <w:pPr>
              <w:widowControl/>
              <w:jc w:val="center"/>
              <w:rPr>
                <w:rFonts w:ascii="宋体" w:hAnsi="宋体" w:cs="宋体"/>
                <w:kern w:val="0"/>
                <w:sz w:val="24"/>
                <w:highlight w:val="none"/>
              </w:rPr>
            </w:pPr>
            <w:r>
              <w:rPr>
                <w:rFonts w:ascii="宋体" w:hAnsi="宋体" w:cs="宋体"/>
                <w:kern w:val="0"/>
                <w:sz w:val="24"/>
                <w:highlight w:val="none"/>
              </w:rPr>
              <w:t>农业灌溉</w:t>
            </w:r>
          </w:p>
        </w:tc>
        <w:tc>
          <w:tcPr>
            <w:tcW w:w="3396" w:type="pct"/>
            <w:noWrap w:val="0"/>
            <w:vAlign w:val="center"/>
          </w:tcPr>
          <w:p>
            <w:pPr>
              <w:widowControl/>
              <w:adjustRightInd w:val="0"/>
              <w:snapToGrid w:val="0"/>
              <w:jc w:val="left"/>
              <w:rPr>
                <w:rFonts w:ascii="宋体" w:hAnsi="宋体" w:cs="宋体"/>
                <w:kern w:val="0"/>
                <w:sz w:val="24"/>
                <w:highlight w:val="none"/>
              </w:rPr>
            </w:pPr>
            <w:r>
              <w:rPr>
                <w:rFonts w:hint="eastAsia" w:ascii="宋体" w:hAnsi="宋体" w:cs="宋体"/>
                <w:kern w:val="0"/>
                <w:sz w:val="24"/>
                <w:highlight w:val="none"/>
              </w:rPr>
              <w:t>以水稻、果树为例，展示不同灌溉方式（薄露灌溉、间歇灌溉，滴灌、喷灌、微喷、管灌），以及农作物全生长周期用水量，宣传农业节水知识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5" w:type="pct"/>
            <w:vMerge w:val="continue"/>
            <w:noWrap w:val="0"/>
            <w:vAlign w:val="center"/>
          </w:tcPr>
          <w:p>
            <w:pPr>
              <w:widowControl/>
              <w:jc w:val="left"/>
              <w:rPr>
                <w:rFonts w:ascii="宋体" w:hAnsi="宋体" w:cs="宋体"/>
                <w:kern w:val="0"/>
                <w:sz w:val="24"/>
                <w:highlight w:val="none"/>
              </w:rPr>
            </w:pPr>
          </w:p>
        </w:tc>
        <w:tc>
          <w:tcPr>
            <w:tcW w:w="464" w:type="pct"/>
            <w:vMerge w:val="continue"/>
            <w:noWrap w:val="0"/>
            <w:vAlign w:val="center"/>
          </w:tcPr>
          <w:p>
            <w:pPr>
              <w:widowControl/>
              <w:jc w:val="left"/>
              <w:rPr>
                <w:rFonts w:ascii="宋体" w:hAnsi="宋体" w:cs="宋体"/>
                <w:kern w:val="0"/>
                <w:sz w:val="24"/>
                <w:highlight w:val="none"/>
              </w:rPr>
            </w:pPr>
          </w:p>
        </w:tc>
        <w:tc>
          <w:tcPr>
            <w:tcW w:w="695" w:type="pct"/>
            <w:noWrap w:val="0"/>
            <w:vAlign w:val="center"/>
          </w:tcPr>
          <w:p>
            <w:pPr>
              <w:widowControl/>
              <w:jc w:val="center"/>
              <w:rPr>
                <w:rFonts w:ascii="宋体" w:hAnsi="宋体" w:cs="宋体"/>
                <w:kern w:val="0"/>
                <w:sz w:val="24"/>
                <w:highlight w:val="none"/>
              </w:rPr>
            </w:pPr>
            <w:r>
              <w:rPr>
                <w:rFonts w:ascii="宋体" w:hAnsi="宋体" w:cs="宋体"/>
                <w:kern w:val="0"/>
                <w:sz w:val="24"/>
                <w:highlight w:val="none"/>
              </w:rPr>
              <w:t>水足迹</w:t>
            </w:r>
          </w:p>
        </w:tc>
        <w:tc>
          <w:tcPr>
            <w:tcW w:w="3396" w:type="pct"/>
            <w:noWrap w:val="0"/>
            <w:vAlign w:val="center"/>
          </w:tcPr>
          <w:p>
            <w:pPr>
              <w:widowControl/>
              <w:adjustRightInd w:val="0"/>
              <w:snapToGrid w:val="0"/>
              <w:jc w:val="left"/>
              <w:rPr>
                <w:rFonts w:ascii="宋体" w:hAnsi="宋体" w:cs="宋体"/>
                <w:kern w:val="0"/>
                <w:sz w:val="24"/>
                <w:highlight w:val="none"/>
              </w:rPr>
            </w:pPr>
            <w:r>
              <w:rPr>
                <w:rFonts w:hint="eastAsia" w:ascii="宋体" w:hAnsi="宋体" w:cs="宋体"/>
                <w:kern w:val="0"/>
                <w:sz w:val="24"/>
                <w:highlight w:val="none"/>
              </w:rPr>
              <w:t>个人用水体检：根据参观者的身高、体重、年龄等条件，自动分析参观者一天的用水量（直接用水量+间接用水量），给予相应评价等次和合理的用水建议。</w:t>
            </w:r>
          </w:p>
          <w:p>
            <w:pPr>
              <w:widowControl/>
              <w:adjustRightInd w:val="0"/>
              <w:snapToGrid w:val="0"/>
              <w:jc w:val="left"/>
              <w:rPr>
                <w:rFonts w:ascii="宋体" w:hAnsi="宋体" w:cs="宋体"/>
                <w:kern w:val="0"/>
                <w:sz w:val="24"/>
                <w:highlight w:val="none"/>
              </w:rPr>
            </w:pPr>
            <w:r>
              <w:rPr>
                <w:rFonts w:hint="eastAsia" w:ascii="宋体" w:hAnsi="宋体" w:cs="宋体"/>
                <w:kern w:val="0"/>
                <w:sz w:val="24"/>
                <w:highlight w:val="none"/>
              </w:rPr>
              <w:t>产品水足迹：以转盘与天秤为载体，左侧砝码代表各种常见商品，右侧砝码代表耗水量，通过平衡天秤计算出不同商品背后看不见的水消耗量（墙面对应知识问答）。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5" w:type="pct"/>
            <w:vMerge w:val="continue"/>
            <w:noWrap w:val="0"/>
            <w:vAlign w:val="center"/>
          </w:tcPr>
          <w:p>
            <w:pPr>
              <w:widowControl/>
              <w:jc w:val="left"/>
              <w:rPr>
                <w:rFonts w:ascii="宋体" w:hAnsi="宋体" w:cs="宋体"/>
                <w:kern w:val="0"/>
                <w:sz w:val="24"/>
                <w:highlight w:val="none"/>
              </w:rPr>
            </w:pPr>
          </w:p>
        </w:tc>
        <w:tc>
          <w:tcPr>
            <w:tcW w:w="464" w:type="pct"/>
            <w:vMerge w:val="continue"/>
            <w:noWrap w:val="0"/>
            <w:vAlign w:val="center"/>
          </w:tcPr>
          <w:p>
            <w:pPr>
              <w:widowControl/>
              <w:jc w:val="left"/>
              <w:rPr>
                <w:rFonts w:ascii="宋体" w:hAnsi="宋体" w:cs="宋体"/>
                <w:kern w:val="0"/>
                <w:sz w:val="24"/>
                <w:highlight w:val="none"/>
              </w:rPr>
            </w:pPr>
          </w:p>
        </w:tc>
        <w:tc>
          <w:tcPr>
            <w:tcW w:w="695" w:type="pct"/>
            <w:noWrap w:val="0"/>
            <w:vAlign w:val="center"/>
          </w:tcPr>
          <w:p>
            <w:pPr>
              <w:widowControl/>
              <w:jc w:val="center"/>
              <w:rPr>
                <w:rFonts w:ascii="宋体" w:hAnsi="宋体" w:cs="宋体"/>
                <w:kern w:val="0"/>
                <w:sz w:val="24"/>
                <w:highlight w:val="none"/>
              </w:rPr>
            </w:pPr>
            <w:r>
              <w:rPr>
                <w:rFonts w:ascii="宋体" w:hAnsi="宋体" w:cs="宋体"/>
                <w:kern w:val="0"/>
                <w:sz w:val="24"/>
                <w:highlight w:val="none"/>
              </w:rPr>
              <w:t>冒险之旅</w:t>
            </w:r>
          </w:p>
        </w:tc>
        <w:tc>
          <w:tcPr>
            <w:tcW w:w="3396" w:type="pct"/>
            <w:noWrap w:val="0"/>
            <w:vAlign w:val="center"/>
          </w:tcPr>
          <w:p>
            <w:pPr>
              <w:widowControl/>
              <w:adjustRightInd w:val="0"/>
              <w:snapToGrid w:val="0"/>
              <w:jc w:val="left"/>
              <w:rPr>
                <w:rFonts w:ascii="宋体" w:hAnsi="宋体" w:cs="宋体"/>
                <w:kern w:val="0"/>
                <w:sz w:val="24"/>
                <w:highlight w:val="none"/>
              </w:rPr>
            </w:pPr>
            <w:r>
              <w:rPr>
                <w:rFonts w:hint="eastAsia" w:ascii="宋体" w:hAnsi="宋体" w:cs="宋体"/>
                <w:kern w:val="0"/>
                <w:sz w:val="24"/>
                <w:highlight w:val="none"/>
              </w:rPr>
              <w:t>以安地灌区为原型场景建模（安地水库大坝、发电隧洞、渠系建筑物），体验者通过VR体验水从水库流入灌区的冒险之旅，根据不同场景，座位可晃动、听力感官有变化，以此来展示渠道水流状态并表达防溺水的重要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5" w:type="pct"/>
            <w:vMerge w:val="restart"/>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三楼</w:t>
            </w:r>
          </w:p>
        </w:tc>
        <w:tc>
          <w:tcPr>
            <w:tcW w:w="464" w:type="pct"/>
            <w:vMerge w:val="restart"/>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数字灌区</w:t>
            </w:r>
          </w:p>
        </w:tc>
        <w:tc>
          <w:tcPr>
            <w:tcW w:w="695" w:type="pct"/>
            <w:noWrap w:val="0"/>
            <w:vAlign w:val="center"/>
          </w:tcPr>
          <w:p>
            <w:pPr>
              <w:widowControl/>
              <w:jc w:val="center"/>
              <w:rPr>
                <w:rFonts w:ascii="宋体" w:hAnsi="宋体" w:cs="宋体"/>
                <w:kern w:val="0"/>
                <w:sz w:val="24"/>
                <w:highlight w:val="none"/>
              </w:rPr>
            </w:pPr>
            <w:r>
              <w:rPr>
                <w:rFonts w:hint="eastAsia" w:ascii="宋体" w:hAnsi="宋体"/>
                <w:kern w:val="0"/>
                <w:sz w:val="24"/>
                <w:highlight w:val="none"/>
              </w:rPr>
              <w:t>科技赋能</w:t>
            </w:r>
          </w:p>
        </w:tc>
        <w:tc>
          <w:tcPr>
            <w:tcW w:w="3396" w:type="pct"/>
            <w:noWrap w:val="0"/>
            <w:vAlign w:val="center"/>
          </w:tcPr>
          <w:p>
            <w:pPr>
              <w:widowControl/>
              <w:jc w:val="left"/>
              <w:rPr>
                <w:rFonts w:ascii="宋体" w:hAnsi="宋体" w:cs="宋体"/>
                <w:kern w:val="0"/>
                <w:sz w:val="24"/>
                <w:highlight w:val="none"/>
              </w:rPr>
            </w:pPr>
            <w:r>
              <w:rPr>
                <w:rFonts w:hint="eastAsia" w:ascii="宋体" w:hAnsi="宋体"/>
                <w:kern w:val="0"/>
                <w:sz w:val="24"/>
                <w:highlight w:val="none"/>
              </w:rPr>
              <w:t>用主题墙的形式意象化展示数字灌区的概念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5" w:type="pct"/>
            <w:vMerge w:val="continue"/>
            <w:noWrap w:val="0"/>
            <w:vAlign w:val="center"/>
          </w:tcPr>
          <w:p>
            <w:pPr>
              <w:widowControl/>
              <w:jc w:val="left"/>
              <w:rPr>
                <w:rFonts w:ascii="宋体" w:hAnsi="宋体" w:cs="宋体"/>
                <w:kern w:val="0"/>
                <w:sz w:val="24"/>
                <w:highlight w:val="none"/>
              </w:rPr>
            </w:pPr>
          </w:p>
        </w:tc>
        <w:tc>
          <w:tcPr>
            <w:tcW w:w="464" w:type="pct"/>
            <w:vMerge w:val="continue"/>
            <w:noWrap w:val="0"/>
            <w:vAlign w:val="center"/>
          </w:tcPr>
          <w:p>
            <w:pPr>
              <w:widowControl/>
              <w:jc w:val="left"/>
              <w:rPr>
                <w:rFonts w:ascii="宋体" w:hAnsi="宋体" w:cs="宋体"/>
                <w:kern w:val="0"/>
                <w:sz w:val="24"/>
                <w:highlight w:val="none"/>
              </w:rPr>
            </w:pPr>
          </w:p>
        </w:tc>
        <w:tc>
          <w:tcPr>
            <w:tcW w:w="695" w:type="pct"/>
            <w:noWrap w:val="0"/>
            <w:vAlign w:val="center"/>
          </w:tcPr>
          <w:p>
            <w:pPr>
              <w:widowControl/>
              <w:jc w:val="center"/>
              <w:rPr>
                <w:rFonts w:ascii="宋体" w:hAnsi="宋体"/>
                <w:kern w:val="0"/>
                <w:sz w:val="24"/>
                <w:highlight w:val="none"/>
              </w:rPr>
            </w:pPr>
            <w:r>
              <w:rPr>
                <w:rFonts w:hint="eastAsia" w:ascii="宋体" w:hAnsi="宋体"/>
                <w:kern w:val="0"/>
                <w:sz w:val="24"/>
                <w:highlight w:val="none"/>
              </w:rPr>
              <w:t>开放课堂</w:t>
            </w:r>
          </w:p>
        </w:tc>
        <w:tc>
          <w:tcPr>
            <w:tcW w:w="3396" w:type="pct"/>
            <w:noWrap w:val="0"/>
            <w:vAlign w:val="center"/>
          </w:tcPr>
          <w:p>
            <w:pPr>
              <w:widowControl/>
              <w:adjustRightInd w:val="0"/>
              <w:snapToGrid w:val="0"/>
              <w:jc w:val="left"/>
              <w:rPr>
                <w:rFonts w:ascii="宋体" w:hAnsi="宋体" w:cs="宋体"/>
                <w:kern w:val="0"/>
                <w:sz w:val="24"/>
                <w:highlight w:val="none"/>
              </w:rPr>
            </w:pPr>
            <w:r>
              <w:rPr>
                <w:rFonts w:hint="eastAsia" w:ascii="宋体" w:hAnsi="宋体" w:cs="宋体"/>
                <w:kern w:val="0"/>
                <w:sz w:val="24"/>
                <w:highlight w:val="none"/>
              </w:rPr>
              <w:t>通过灌区教育短片，配合互动小实验深入了解灌区及节水知识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5" w:type="pct"/>
            <w:vMerge w:val="continue"/>
            <w:noWrap w:val="0"/>
            <w:vAlign w:val="center"/>
          </w:tcPr>
          <w:p>
            <w:pPr>
              <w:widowControl/>
              <w:jc w:val="left"/>
              <w:rPr>
                <w:rFonts w:ascii="宋体" w:hAnsi="宋体" w:cs="宋体"/>
                <w:kern w:val="0"/>
                <w:sz w:val="24"/>
                <w:highlight w:val="none"/>
              </w:rPr>
            </w:pPr>
          </w:p>
        </w:tc>
        <w:tc>
          <w:tcPr>
            <w:tcW w:w="464" w:type="pct"/>
            <w:vMerge w:val="continue"/>
            <w:noWrap w:val="0"/>
            <w:vAlign w:val="center"/>
          </w:tcPr>
          <w:p>
            <w:pPr>
              <w:widowControl/>
              <w:jc w:val="left"/>
              <w:rPr>
                <w:rFonts w:ascii="宋体" w:hAnsi="宋体" w:cs="宋体"/>
                <w:kern w:val="0"/>
                <w:sz w:val="24"/>
                <w:highlight w:val="none"/>
              </w:rPr>
            </w:pPr>
          </w:p>
        </w:tc>
        <w:tc>
          <w:tcPr>
            <w:tcW w:w="695" w:type="pct"/>
            <w:noWrap w:val="0"/>
            <w:vAlign w:val="center"/>
          </w:tcPr>
          <w:p>
            <w:pPr>
              <w:widowControl/>
              <w:jc w:val="center"/>
              <w:rPr>
                <w:rFonts w:ascii="宋体" w:hAnsi="宋体"/>
                <w:kern w:val="0"/>
                <w:sz w:val="24"/>
                <w:highlight w:val="none"/>
              </w:rPr>
            </w:pPr>
            <w:r>
              <w:rPr>
                <w:rFonts w:hint="eastAsia" w:ascii="宋体" w:hAnsi="宋体"/>
                <w:kern w:val="0"/>
                <w:sz w:val="24"/>
                <w:highlight w:val="none"/>
              </w:rPr>
              <w:t>所思所得</w:t>
            </w:r>
          </w:p>
        </w:tc>
        <w:tc>
          <w:tcPr>
            <w:tcW w:w="3396" w:type="pct"/>
            <w:noWrap w:val="0"/>
            <w:vAlign w:val="center"/>
          </w:tcPr>
          <w:p>
            <w:pPr>
              <w:widowControl/>
              <w:adjustRightInd w:val="0"/>
              <w:snapToGrid w:val="0"/>
              <w:jc w:val="left"/>
              <w:rPr>
                <w:rFonts w:ascii="宋体" w:hAnsi="宋体" w:cs="宋体"/>
                <w:kern w:val="0"/>
                <w:sz w:val="24"/>
                <w:highlight w:val="none"/>
              </w:rPr>
            </w:pPr>
            <w:r>
              <w:rPr>
                <w:rFonts w:hint="eastAsia" w:ascii="宋体" w:hAnsi="宋体" w:cs="宋体"/>
                <w:kern w:val="0"/>
                <w:sz w:val="24"/>
                <w:highlight w:val="none"/>
              </w:rPr>
              <w:t>基于之前有关灌区和农业节水知识学习，以互动游戏的形式，通过屏幕互动拖动模块，建设灌区及农田灌溉设施，由系统作出建设经济性、节水性评价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5" w:type="pct"/>
            <w:vMerge w:val="continue"/>
            <w:noWrap w:val="0"/>
            <w:vAlign w:val="center"/>
          </w:tcPr>
          <w:p>
            <w:pPr>
              <w:widowControl/>
              <w:jc w:val="left"/>
              <w:rPr>
                <w:rFonts w:ascii="宋体" w:hAnsi="宋体" w:cs="宋体"/>
                <w:kern w:val="0"/>
                <w:sz w:val="24"/>
                <w:highlight w:val="none"/>
              </w:rPr>
            </w:pPr>
          </w:p>
        </w:tc>
        <w:tc>
          <w:tcPr>
            <w:tcW w:w="464" w:type="pct"/>
            <w:vMerge w:val="continue"/>
            <w:noWrap w:val="0"/>
            <w:vAlign w:val="center"/>
          </w:tcPr>
          <w:p>
            <w:pPr>
              <w:widowControl/>
              <w:jc w:val="left"/>
              <w:rPr>
                <w:rFonts w:ascii="宋体" w:hAnsi="宋体" w:cs="宋体"/>
                <w:kern w:val="0"/>
                <w:sz w:val="24"/>
                <w:highlight w:val="none"/>
              </w:rPr>
            </w:pPr>
          </w:p>
        </w:tc>
        <w:tc>
          <w:tcPr>
            <w:tcW w:w="695" w:type="pct"/>
            <w:noWrap w:val="0"/>
            <w:vAlign w:val="center"/>
          </w:tcPr>
          <w:p>
            <w:pPr>
              <w:widowControl/>
              <w:jc w:val="center"/>
              <w:rPr>
                <w:rFonts w:ascii="宋体" w:hAnsi="宋体"/>
                <w:kern w:val="0"/>
                <w:sz w:val="24"/>
                <w:highlight w:val="none"/>
              </w:rPr>
            </w:pPr>
            <w:r>
              <w:rPr>
                <w:rFonts w:hint="eastAsia" w:ascii="宋体" w:hAnsi="宋体"/>
                <w:kern w:val="0"/>
                <w:sz w:val="24"/>
                <w:highlight w:val="none"/>
              </w:rPr>
              <w:t>智慧教引</w:t>
            </w:r>
          </w:p>
        </w:tc>
        <w:tc>
          <w:tcPr>
            <w:tcW w:w="3396" w:type="pct"/>
            <w:noWrap w:val="0"/>
            <w:vAlign w:val="center"/>
          </w:tcPr>
          <w:p>
            <w:pPr>
              <w:adjustRightInd w:val="0"/>
              <w:snapToGrid w:val="0"/>
              <w:jc w:val="left"/>
              <w:rPr>
                <w:rFonts w:ascii="宋体" w:hAnsi="宋体" w:cs="宋体"/>
                <w:kern w:val="0"/>
                <w:sz w:val="24"/>
                <w:highlight w:val="none"/>
              </w:rPr>
            </w:pPr>
            <w:r>
              <w:rPr>
                <w:rFonts w:hint="eastAsia" w:ascii="宋体" w:hAnsi="宋体" w:cs="宋体"/>
                <w:kern w:val="0"/>
                <w:sz w:val="24"/>
                <w:highlight w:val="none"/>
              </w:rPr>
              <w:t>通过对灌区内的地形地貌、周边环境、信息化设备进行建模，完全还原真实场景。使用数字孪生技术，从灌区全貌、功能建设、设备运行、输配水过程、灌排过程等多个维度数字化映射。通过虚实交互的方式，孪生仿真模拟灌区建设的整体进程，让灌区运行可操控、可分析、可预测。</w:t>
            </w:r>
          </w:p>
        </w:tc>
      </w:tr>
    </w:tbl>
    <w:p>
      <w:pPr>
        <w:pStyle w:val="19"/>
        <w:snapToGrid w:val="0"/>
        <w:spacing w:line="360" w:lineRule="auto"/>
        <w:ind w:firstLine="480" w:firstLineChars="200"/>
        <w:jc w:val="left"/>
        <w:rPr>
          <w:rFonts w:ascii="宋体" w:hAnsi="宋体"/>
          <w:szCs w:val="28"/>
          <w:highlight w:val="none"/>
        </w:rPr>
      </w:pPr>
    </w:p>
    <w:p>
      <w:pPr>
        <w:pStyle w:val="19"/>
        <w:snapToGrid w:val="0"/>
        <w:spacing w:line="360" w:lineRule="auto"/>
        <w:ind w:firstLine="482" w:firstLineChars="200"/>
        <w:jc w:val="left"/>
        <w:rPr>
          <w:rFonts w:ascii="宋体" w:hAnsi="宋体"/>
          <w:b/>
          <w:szCs w:val="28"/>
          <w:highlight w:val="none"/>
        </w:rPr>
      </w:pPr>
      <w:r>
        <w:rPr>
          <w:rFonts w:hint="eastAsia" w:ascii="宋体" w:hAnsi="宋体"/>
          <w:b/>
          <w:szCs w:val="28"/>
          <w:highlight w:val="none"/>
        </w:rPr>
        <w:t>（三）建设内容</w:t>
      </w:r>
    </w:p>
    <w:p>
      <w:pPr>
        <w:pStyle w:val="19"/>
        <w:snapToGrid w:val="0"/>
        <w:spacing w:line="360" w:lineRule="auto"/>
        <w:ind w:firstLine="482" w:firstLineChars="200"/>
        <w:jc w:val="left"/>
        <w:rPr>
          <w:rFonts w:ascii="宋体" w:hAnsi="宋体"/>
          <w:b/>
          <w:szCs w:val="28"/>
          <w:highlight w:val="none"/>
        </w:rPr>
      </w:pPr>
      <w:r>
        <w:rPr>
          <w:rFonts w:hint="eastAsia" w:ascii="宋体" w:hAnsi="宋体"/>
          <w:b/>
          <w:szCs w:val="28"/>
          <w:highlight w:val="none"/>
        </w:rPr>
        <w:t>1</w:t>
      </w:r>
      <w:r>
        <w:rPr>
          <w:rFonts w:ascii="宋体" w:hAnsi="宋体"/>
          <w:b/>
          <w:szCs w:val="28"/>
          <w:highlight w:val="none"/>
        </w:rPr>
        <w:t>.</w:t>
      </w:r>
      <w:r>
        <w:rPr>
          <w:rFonts w:hint="eastAsia" w:ascii="宋体" w:hAnsi="宋体"/>
          <w:b/>
          <w:szCs w:val="28"/>
          <w:highlight w:val="none"/>
        </w:rPr>
        <w:t>展示馆改造装饰</w:t>
      </w:r>
    </w:p>
    <w:p>
      <w:pPr>
        <w:pStyle w:val="19"/>
        <w:snapToGrid w:val="0"/>
        <w:spacing w:line="360" w:lineRule="auto"/>
        <w:ind w:firstLine="480" w:firstLineChars="200"/>
        <w:jc w:val="left"/>
        <w:rPr>
          <w:rFonts w:ascii="宋体" w:hAnsi="宋体"/>
          <w:szCs w:val="28"/>
          <w:highlight w:val="none"/>
        </w:rPr>
      </w:pPr>
      <w:r>
        <w:rPr>
          <w:rFonts w:hint="eastAsia" w:ascii="宋体" w:hAnsi="宋体"/>
          <w:szCs w:val="28"/>
          <w:highlight w:val="none"/>
        </w:rPr>
        <w:t>（1）展示馆</w:t>
      </w:r>
      <w:r>
        <w:rPr>
          <w:rFonts w:ascii="宋体" w:hAnsi="宋体"/>
          <w:szCs w:val="28"/>
          <w:highlight w:val="none"/>
        </w:rPr>
        <w:t>外立面改造</w:t>
      </w:r>
    </w:p>
    <w:p>
      <w:pPr>
        <w:pStyle w:val="19"/>
        <w:snapToGrid w:val="0"/>
        <w:spacing w:line="360" w:lineRule="auto"/>
        <w:ind w:firstLine="480" w:firstLineChars="200"/>
        <w:jc w:val="left"/>
        <w:rPr>
          <w:rFonts w:ascii="宋体" w:hAnsi="宋体"/>
          <w:szCs w:val="28"/>
          <w:highlight w:val="none"/>
        </w:rPr>
      </w:pPr>
      <w:r>
        <w:rPr>
          <w:rFonts w:ascii="宋体" w:hAnsi="宋体"/>
          <w:szCs w:val="28"/>
          <w:highlight w:val="none"/>
        </w:rPr>
        <w:t>整体外观为白墙黑瓦的婺派建筑风格</w:t>
      </w:r>
      <w:r>
        <w:rPr>
          <w:rFonts w:hint="eastAsia" w:ascii="宋体" w:hAnsi="宋体"/>
          <w:szCs w:val="28"/>
          <w:highlight w:val="none"/>
        </w:rPr>
        <w:t>，</w:t>
      </w:r>
      <w:r>
        <w:rPr>
          <w:rFonts w:ascii="宋体" w:hAnsi="宋体"/>
          <w:szCs w:val="28"/>
          <w:highlight w:val="none"/>
        </w:rPr>
        <w:t>配适当的彩绘图案</w:t>
      </w:r>
      <w:r>
        <w:rPr>
          <w:rFonts w:hint="eastAsia" w:ascii="宋体" w:hAnsi="宋体"/>
          <w:szCs w:val="28"/>
          <w:highlight w:val="none"/>
        </w:rPr>
        <w:t>。</w:t>
      </w:r>
      <w:r>
        <w:rPr>
          <w:rFonts w:ascii="宋体" w:hAnsi="宋体"/>
          <w:szCs w:val="28"/>
          <w:highlight w:val="none"/>
        </w:rPr>
        <w:t>三层露台按阳光房等方式改为室内</w:t>
      </w:r>
      <w:r>
        <w:rPr>
          <w:rFonts w:hint="eastAsia" w:ascii="宋体" w:hAnsi="宋体"/>
          <w:szCs w:val="28"/>
          <w:highlight w:val="none"/>
        </w:rPr>
        <w:t>，</w:t>
      </w:r>
      <w:r>
        <w:rPr>
          <w:rFonts w:ascii="宋体" w:hAnsi="宋体"/>
          <w:szCs w:val="28"/>
          <w:highlight w:val="none"/>
        </w:rPr>
        <w:t>保持完整建筑格局</w:t>
      </w:r>
      <w:r>
        <w:rPr>
          <w:rFonts w:hint="eastAsia" w:ascii="宋体" w:hAnsi="宋体"/>
          <w:szCs w:val="28"/>
          <w:highlight w:val="none"/>
        </w:rPr>
        <w:t>。</w:t>
      </w:r>
      <w:r>
        <w:rPr>
          <w:rFonts w:ascii="宋体" w:hAnsi="宋体"/>
          <w:szCs w:val="28"/>
          <w:highlight w:val="none"/>
        </w:rPr>
        <w:t>三层</w:t>
      </w:r>
      <w:r>
        <w:rPr>
          <w:rFonts w:hint="eastAsia" w:ascii="宋体" w:hAnsi="宋体"/>
          <w:szCs w:val="28"/>
          <w:highlight w:val="none"/>
        </w:rPr>
        <w:t>东</w:t>
      </w:r>
      <w:r>
        <w:rPr>
          <w:rFonts w:ascii="宋体" w:hAnsi="宋体"/>
          <w:szCs w:val="28"/>
          <w:highlight w:val="none"/>
        </w:rPr>
        <w:t>北侧外立面设置钢结构消防楼梯</w:t>
      </w:r>
      <w:r>
        <w:rPr>
          <w:rFonts w:hint="eastAsia" w:ascii="宋体" w:hAnsi="宋体"/>
          <w:szCs w:val="28"/>
          <w:highlight w:val="none"/>
        </w:rPr>
        <w:t>，</w:t>
      </w:r>
      <w:r>
        <w:rPr>
          <w:rFonts w:ascii="宋体" w:hAnsi="宋体"/>
          <w:szCs w:val="28"/>
          <w:highlight w:val="none"/>
        </w:rPr>
        <w:t>宽度</w:t>
      </w:r>
      <w:r>
        <w:rPr>
          <w:rFonts w:hint="eastAsia" w:ascii="宋体" w:hAnsi="宋体"/>
          <w:szCs w:val="28"/>
          <w:highlight w:val="none"/>
        </w:rPr>
        <w:t>、坡度等满足规范要求。</w:t>
      </w:r>
    </w:p>
    <w:p>
      <w:pPr>
        <w:pStyle w:val="19"/>
        <w:snapToGrid w:val="0"/>
        <w:spacing w:line="360" w:lineRule="auto"/>
        <w:ind w:firstLine="480" w:firstLineChars="200"/>
        <w:jc w:val="left"/>
        <w:rPr>
          <w:rFonts w:ascii="宋体" w:hAnsi="宋体"/>
          <w:szCs w:val="28"/>
          <w:highlight w:val="none"/>
        </w:rPr>
      </w:pPr>
      <w:r>
        <w:rPr>
          <w:rFonts w:hint="eastAsia" w:ascii="宋体" w:hAnsi="宋体"/>
          <w:szCs w:val="28"/>
          <w:highlight w:val="none"/>
        </w:rPr>
        <w:t>（2）</w:t>
      </w:r>
      <w:r>
        <w:rPr>
          <w:rFonts w:ascii="宋体" w:hAnsi="宋体"/>
          <w:szCs w:val="28"/>
          <w:highlight w:val="none"/>
        </w:rPr>
        <w:t>内部改造装饰</w:t>
      </w:r>
    </w:p>
    <w:p>
      <w:pPr>
        <w:pStyle w:val="19"/>
        <w:snapToGrid w:val="0"/>
        <w:spacing w:line="360" w:lineRule="auto"/>
        <w:ind w:firstLine="480" w:firstLineChars="200"/>
        <w:jc w:val="left"/>
        <w:rPr>
          <w:rFonts w:ascii="宋体" w:hAnsi="宋体"/>
          <w:szCs w:val="28"/>
          <w:highlight w:val="none"/>
        </w:rPr>
      </w:pPr>
      <w:r>
        <w:rPr>
          <w:rFonts w:hint="eastAsia" w:ascii="宋体" w:hAnsi="宋体"/>
          <w:szCs w:val="28"/>
          <w:highlight w:val="none"/>
        </w:rPr>
        <w:t>采用极致白+高级灰+石材+科技蓝相结合，黑白灰色调，突出现代简约风。卫生间设在一楼，由原卫生间扩建至原机房，采用节水器具；机房设在一楼，由原**室部分与走廊合围；中央空调系统，外机统一放置室外，</w:t>
      </w:r>
      <w:r>
        <w:rPr>
          <w:rFonts w:ascii="宋体" w:hAnsi="宋体"/>
          <w:szCs w:val="28"/>
          <w:highlight w:val="none"/>
        </w:rPr>
        <w:t>每个楼层独立控制系统</w:t>
      </w:r>
      <w:r>
        <w:rPr>
          <w:rFonts w:hint="eastAsia" w:ascii="宋体" w:hAnsi="宋体"/>
          <w:szCs w:val="28"/>
          <w:highlight w:val="none"/>
        </w:rPr>
        <w:t>，</w:t>
      </w:r>
      <w:r>
        <w:rPr>
          <w:rFonts w:ascii="宋体" w:hAnsi="宋体"/>
          <w:szCs w:val="28"/>
          <w:highlight w:val="none"/>
        </w:rPr>
        <w:t>按需配置空</w:t>
      </w:r>
      <w:r>
        <w:rPr>
          <w:rFonts w:hint="eastAsia" w:ascii="宋体" w:hAnsi="宋体"/>
          <w:szCs w:val="28"/>
          <w:highlight w:val="none"/>
        </w:rPr>
        <w:t>调</w:t>
      </w:r>
      <w:r>
        <w:rPr>
          <w:rFonts w:ascii="宋体" w:hAnsi="宋体"/>
          <w:szCs w:val="28"/>
          <w:highlight w:val="none"/>
        </w:rPr>
        <w:t>末端</w:t>
      </w:r>
      <w:r>
        <w:rPr>
          <w:rFonts w:hint="eastAsia" w:ascii="宋体" w:hAnsi="宋体"/>
          <w:szCs w:val="28"/>
          <w:highlight w:val="none"/>
        </w:rPr>
        <w:t>；电气、消防、安防系统根据实际统一配置。灌溉试验站办公室、分析室设在一楼东侧南北两间，与展示馆完全隔离，独立空调系统。</w:t>
      </w:r>
    </w:p>
    <w:p>
      <w:pPr>
        <w:pStyle w:val="19"/>
        <w:snapToGrid w:val="0"/>
        <w:spacing w:line="360" w:lineRule="auto"/>
        <w:ind w:firstLine="480" w:firstLineChars="200"/>
        <w:jc w:val="left"/>
        <w:rPr>
          <w:rFonts w:ascii="宋体" w:hAnsi="宋体"/>
          <w:szCs w:val="28"/>
          <w:highlight w:val="none"/>
        </w:rPr>
      </w:pPr>
      <w:r>
        <w:rPr>
          <w:rFonts w:hint="eastAsia" w:ascii="宋体" w:hAnsi="宋体"/>
          <w:szCs w:val="28"/>
          <w:highlight w:val="none"/>
        </w:rPr>
        <w:t>（3）展示馆布展施工</w:t>
      </w:r>
    </w:p>
    <w:p>
      <w:pPr>
        <w:pStyle w:val="19"/>
        <w:snapToGrid w:val="0"/>
        <w:spacing w:line="360" w:lineRule="auto"/>
        <w:ind w:firstLine="480" w:firstLineChars="200"/>
        <w:jc w:val="left"/>
        <w:rPr>
          <w:rFonts w:ascii="宋体" w:hAnsi="宋体"/>
          <w:szCs w:val="28"/>
          <w:highlight w:val="none"/>
        </w:rPr>
      </w:pPr>
      <w:r>
        <w:rPr>
          <w:rFonts w:hint="eastAsia" w:ascii="宋体" w:hAnsi="宋体"/>
          <w:szCs w:val="28"/>
          <w:highlight w:val="none"/>
        </w:rPr>
        <w:t>包括展台、展板、模型、多媒体展示（含相关影片制作），综合布线、设备（含备品备件、特殊工具）、多媒体系统集成的采购及安装（含移动导览、智能展示系统、查询系统、投影演示系统、专业灯光及音响系统、中央控制系统）、实体模型（展示影院、影片制作等重点展项相关工作）、互动软件开发、平面设计制作等确保整个展示馆各项功能使用的全部内容。</w:t>
      </w:r>
    </w:p>
    <w:p>
      <w:pPr>
        <w:pStyle w:val="19"/>
        <w:snapToGrid w:val="0"/>
        <w:spacing w:line="360" w:lineRule="auto"/>
        <w:ind w:firstLine="480" w:firstLineChars="200"/>
        <w:jc w:val="left"/>
        <w:rPr>
          <w:rFonts w:ascii="宋体" w:hAnsi="宋体"/>
          <w:szCs w:val="28"/>
          <w:highlight w:val="none"/>
        </w:rPr>
      </w:pPr>
      <w:r>
        <w:rPr>
          <w:rFonts w:hint="eastAsia" w:ascii="宋体" w:hAnsi="宋体"/>
          <w:szCs w:val="28"/>
          <w:highlight w:val="none"/>
        </w:rPr>
        <w:t>中央控制系统包含控制端、中控服务器、控制组件，控制端是用户可以通过电脑、移动端等设备控制展馆，控制组件包括调光控制模块、电器开关控制模块、多媒体控制模块、摄像采集模块、电脑控制模块、智能遥控模块、传感采集模块等组件，控制展馆的多媒体声光电设备。</w:t>
      </w:r>
    </w:p>
    <w:p>
      <w:pPr>
        <w:pStyle w:val="19"/>
        <w:snapToGrid w:val="0"/>
        <w:spacing w:line="360" w:lineRule="auto"/>
        <w:ind w:firstLine="480" w:firstLineChars="200"/>
        <w:jc w:val="left"/>
        <w:rPr>
          <w:rFonts w:ascii="宋体" w:hAnsi="宋体"/>
          <w:szCs w:val="28"/>
          <w:highlight w:val="none"/>
        </w:rPr>
      </w:pPr>
      <w:r>
        <w:rPr>
          <w:rFonts w:hint="eastAsia" w:ascii="宋体" w:hAnsi="宋体"/>
          <w:szCs w:val="28"/>
          <w:highlight w:val="none"/>
        </w:rPr>
        <w:t>（4）其它</w:t>
      </w:r>
    </w:p>
    <w:p>
      <w:pPr>
        <w:pStyle w:val="19"/>
        <w:snapToGrid w:val="0"/>
        <w:spacing w:line="360" w:lineRule="auto"/>
        <w:ind w:firstLine="480" w:firstLineChars="200"/>
        <w:jc w:val="left"/>
        <w:rPr>
          <w:rFonts w:ascii="宋体" w:hAnsi="宋体"/>
          <w:szCs w:val="28"/>
          <w:highlight w:val="none"/>
        </w:rPr>
      </w:pPr>
      <w:r>
        <w:rPr>
          <w:rFonts w:hint="eastAsia" w:ascii="宋体" w:hAnsi="宋体"/>
          <w:szCs w:val="28"/>
          <w:highlight w:val="none"/>
        </w:rPr>
        <w:t>设计（馆标Logo设计、展馆宣传册&lt;片、物&gt;制作等），展馆的文案制作（基础资料收集及图纸、图片等专业美编处理）等工程涉及的其它所有工作。</w:t>
      </w:r>
    </w:p>
    <w:p>
      <w:pPr>
        <w:pStyle w:val="19"/>
        <w:snapToGrid w:val="0"/>
        <w:spacing w:line="360" w:lineRule="auto"/>
        <w:ind w:firstLine="482" w:firstLineChars="200"/>
        <w:jc w:val="left"/>
        <w:rPr>
          <w:rFonts w:ascii="宋体" w:hAnsi="宋体"/>
          <w:b/>
          <w:szCs w:val="28"/>
          <w:highlight w:val="none"/>
        </w:rPr>
      </w:pPr>
      <w:r>
        <w:rPr>
          <w:rFonts w:ascii="宋体" w:hAnsi="宋体"/>
          <w:b/>
          <w:szCs w:val="28"/>
          <w:highlight w:val="none"/>
        </w:rPr>
        <w:t>2.户外展区建设</w:t>
      </w:r>
    </w:p>
    <w:p>
      <w:pPr>
        <w:pStyle w:val="19"/>
        <w:snapToGrid w:val="0"/>
        <w:spacing w:line="360" w:lineRule="auto"/>
        <w:ind w:firstLine="480" w:firstLineChars="200"/>
        <w:jc w:val="left"/>
        <w:rPr>
          <w:rFonts w:ascii="宋体" w:hAnsi="宋体"/>
          <w:szCs w:val="28"/>
          <w:highlight w:val="none"/>
        </w:rPr>
      </w:pPr>
      <w:r>
        <w:rPr>
          <w:rFonts w:ascii="宋体" w:hAnsi="宋体"/>
          <w:szCs w:val="28"/>
          <w:highlight w:val="none"/>
        </w:rPr>
        <w:t>展示馆室外场地面积约</w:t>
      </w:r>
      <w:r>
        <w:rPr>
          <w:rFonts w:hint="eastAsia" w:ascii="宋体" w:hAnsi="宋体"/>
          <w:szCs w:val="28"/>
          <w:highlight w:val="none"/>
        </w:rPr>
        <w:t>5</w:t>
      </w:r>
      <w:r>
        <w:rPr>
          <w:rFonts w:ascii="宋体" w:hAnsi="宋体"/>
          <w:szCs w:val="28"/>
          <w:highlight w:val="none"/>
        </w:rPr>
        <w:t>600</w:t>
      </w:r>
      <w:r>
        <w:rPr>
          <w:rFonts w:hint="eastAsia" w:ascii="宋体" w:hAnsi="宋体"/>
          <w:szCs w:val="28"/>
          <w:highlight w:val="none"/>
        </w:rPr>
        <w:t>m</w:t>
      </w:r>
      <w:r>
        <w:rPr>
          <w:rFonts w:ascii="宋体" w:hAnsi="宋体"/>
          <w:szCs w:val="28"/>
          <w:highlight w:val="none"/>
          <w:vertAlign w:val="superscript"/>
        </w:rPr>
        <w:t>2</w:t>
      </w:r>
      <w:r>
        <w:rPr>
          <w:rFonts w:hint="eastAsia" w:ascii="宋体" w:hAnsi="宋体"/>
          <w:szCs w:val="28"/>
          <w:highlight w:val="none"/>
        </w:rPr>
        <w:t>，设置安地灌区户外模型区3</w:t>
      </w:r>
      <w:r>
        <w:rPr>
          <w:rFonts w:ascii="宋体" w:hAnsi="宋体"/>
          <w:szCs w:val="28"/>
          <w:highlight w:val="none"/>
        </w:rPr>
        <w:t>000</w:t>
      </w:r>
      <w:r>
        <w:rPr>
          <w:rFonts w:hint="eastAsia" w:ascii="宋体" w:hAnsi="宋体"/>
          <w:szCs w:val="28"/>
          <w:highlight w:val="none"/>
        </w:rPr>
        <w:t>m</w:t>
      </w:r>
      <w:r>
        <w:rPr>
          <w:rFonts w:ascii="宋体" w:hAnsi="宋体"/>
          <w:szCs w:val="28"/>
          <w:highlight w:val="none"/>
          <w:vertAlign w:val="superscript"/>
        </w:rPr>
        <w:t>2</w:t>
      </w:r>
      <w:r>
        <w:rPr>
          <w:rFonts w:hint="eastAsia" w:ascii="宋体" w:hAnsi="宋体"/>
          <w:szCs w:val="28"/>
          <w:highlight w:val="none"/>
        </w:rPr>
        <w:t>、公共停车区</w:t>
      </w:r>
      <w:r>
        <w:rPr>
          <w:rFonts w:ascii="宋体" w:hAnsi="宋体"/>
          <w:szCs w:val="28"/>
          <w:highlight w:val="none"/>
        </w:rPr>
        <w:t>700</w:t>
      </w:r>
      <w:r>
        <w:rPr>
          <w:rFonts w:hint="eastAsia" w:ascii="宋体" w:hAnsi="宋体"/>
          <w:szCs w:val="28"/>
          <w:highlight w:val="none"/>
        </w:rPr>
        <w:t>m</w:t>
      </w:r>
      <w:r>
        <w:rPr>
          <w:rFonts w:ascii="宋体" w:hAnsi="宋体"/>
          <w:szCs w:val="28"/>
          <w:highlight w:val="none"/>
          <w:vertAlign w:val="superscript"/>
        </w:rPr>
        <w:t>2</w:t>
      </w:r>
      <w:r>
        <w:rPr>
          <w:rFonts w:hint="eastAsia" w:ascii="宋体" w:hAnsi="宋体"/>
          <w:szCs w:val="28"/>
          <w:highlight w:val="none"/>
        </w:rPr>
        <w:t>、道路及绿化区1</w:t>
      </w:r>
      <w:r>
        <w:rPr>
          <w:rFonts w:ascii="宋体" w:hAnsi="宋体"/>
          <w:szCs w:val="28"/>
          <w:highlight w:val="none"/>
        </w:rPr>
        <w:t>900</w:t>
      </w:r>
      <w:r>
        <w:rPr>
          <w:rFonts w:hint="eastAsia" w:ascii="宋体" w:hAnsi="宋体"/>
          <w:szCs w:val="28"/>
          <w:highlight w:val="none"/>
        </w:rPr>
        <w:t>m</w:t>
      </w:r>
      <w:r>
        <w:rPr>
          <w:rFonts w:ascii="宋体" w:hAnsi="宋体"/>
          <w:szCs w:val="28"/>
          <w:highlight w:val="none"/>
          <w:vertAlign w:val="superscript"/>
        </w:rPr>
        <w:t>2</w:t>
      </w:r>
      <w:r>
        <w:rPr>
          <w:rFonts w:hint="eastAsia" w:ascii="宋体" w:hAnsi="宋体"/>
          <w:szCs w:val="28"/>
          <w:highlight w:val="none"/>
        </w:rPr>
        <w:t>。</w:t>
      </w:r>
    </w:p>
    <w:p>
      <w:pPr>
        <w:pStyle w:val="19"/>
        <w:snapToGrid w:val="0"/>
        <w:spacing w:line="360" w:lineRule="auto"/>
        <w:ind w:firstLine="480" w:firstLineChars="200"/>
        <w:jc w:val="left"/>
        <w:rPr>
          <w:rFonts w:ascii="宋体" w:hAnsi="宋体"/>
          <w:szCs w:val="28"/>
          <w:highlight w:val="none"/>
        </w:rPr>
      </w:pPr>
      <w:r>
        <w:rPr>
          <w:rFonts w:hint="eastAsia" w:ascii="宋体" w:hAnsi="宋体"/>
          <w:szCs w:val="28"/>
          <w:highlight w:val="none"/>
        </w:rPr>
        <w:t>安地</w:t>
      </w:r>
      <w:r>
        <w:rPr>
          <w:rFonts w:ascii="宋体" w:hAnsi="宋体"/>
          <w:szCs w:val="28"/>
          <w:highlight w:val="none"/>
        </w:rPr>
        <w:t>灌区</w:t>
      </w:r>
      <w:r>
        <w:rPr>
          <w:rFonts w:hint="eastAsia" w:ascii="宋体" w:hAnsi="宋体"/>
          <w:szCs w:val="28"/>
          <w:highlight w:val="none"/>
        </w:rPr>
        <w:t>户外</w:t>
      </w:r>
      <w:r>
        <w:rPr>
          <w:rFonts w:ascii="宋体" w:hAnsi="宋体"/>
          <w:szCs w:val="28"/>
          <w:highlight w:val="none"/>
        </w:rPr>
        <w:t>模型区位于展馆正门前方区块</w:t>
      </w:r>
      <w:r>
        <w:rPr>
          <w:rFonts w:hint="eastAsia" w:ascii="宋体" w:hAnsi="宋体"/>
          <w:szCs w:val="28"/>
          <w:highlight w:val="none"/>
        </w:rPr>
        <w:t>，按照安地灌区主体等比例缩放设置，</w:t>
      </w:r>
      <w:r>
        <w:rPr>
          <w:rFonts w:ascii="宋体" w:hAnsi="宋体"/>
          <w:szCs w:val="28"/>
          <w:highlight w:val="none"/>
        </w:rPr>
        <w:t>从远端至近端</w:t>
      </w:r>
      <w:r>
        <w:rPr>
          <w:rFonts w:hint="eastAsia" w:ascii="宋体" w:hAnsi="宋体"/>
          <w:szCs w:val="28"/>
          <w:highlight w:val="none"/>
        </w:rPr>
        <w:t>，</w:t>
      </w:r>
      <w:r>
        <w:rPr>
          <w:rFonts w:ascii="宋体" w:hAnsi="宋体"/>
          <w:szCs w:val="28"/>
          <w:highlight w:val="none"/>
        </w:rPr>
        <w:t>按上游水源沿渠系布设各类输水工程</w:t>
      </w:r>
      <w:r>
        <w:rPr>
          <w:rFonts w:hint="eastAsia" w:ascii="宋体" w:hAnsi="宋体"/>
          <w:szCs w:val="28"/>
          <w:highlight w:val="none"/>
        </w:rPr>
        <w:t>、</w:t>
      </w:r>
      <w:r>
        <w:rPr>
          <w:rFonts w:ascii="宋体" w:hAnsi="宋体"/>
          <w:szCs w:val="28"/>
          <w:highlight w:val="none"/>
        </w:rPr>
        <w:t>附属建筑物等微型模型</w:t>
      </w:r>
      <w:r>
        <w:rPr>
          <w:rFonts w:hint="eastAsia" w:ascii="宋体" w:hAnsi="宋体"/>
          <w:szCs w:val="28"/>
          <w:highlight w:val="none"/>
        </w:rPr>
        <w:t>，</w:t>
      </w:r>
      <w:r>
        <w:rPr>
          <w:rFonts w:ascii="宋体" w:hAnsi="宋体"/>
          <w:szCs w:val="28"/>
          <w:highlight w:val="none"/>
        </w:rPr>
        <w:t>最终出水汇入</w:t>
      </w:r>
      <w:r>
        <w:rPr>
          <w:rFonts w:hint="eastAsia" w:ascii="宋体" w:hAnsi="宋体"/>
          <w:szCs w:val="28"/>
          <w:highlight w:val="none"/>
        </w:rPr>
        <w:t>水生态修复池。部分重要节点布设渡槽等实物。突出灌溉节水展示馆的主题印象。</w:t>
      </w:r>
    </w:p>
    <w:p>
      <w:pPr>
        <w:pStyle w:val="19"/>
        <w:snapToGrid w:val="0"/>
        <w:spacing w:line="360" w:lineRule="auto"/>
        <w:ind w:firstLine="480" w:firstLineChars="200"/>
        <w:jc w:val="left"/>
        <w:rPr>
          <w:rFonts w:ascii="宋体" w:hAnsi="宋体"/>
          <w:szCs w:val="28"/>
          <w:highlight w:val="none"/>
        </w:rPr>
      </w:pPr>
      <w:r>
        <w:rPr>
          <w:rFonts w:hint="eastAsia" w:ascii="宋体" w:hAnsi="宋体"/>
          <w:szCs w:val="28"/>
          <w:highlight w:val="none"/>
        </w:rPr>
        <w:t>公共停车区设置大巴车停车位4个，每个车位4m</w:t>
      </w:r>
      <w:r>
        <w:rPr>
          <w:rFonts w:ascii="宋体" w:hAnsi="宋体"/>
          <w:szCs w:val="28"/>
          <w:highlight w:val="none"/>
        </w:rPr>
        <w:t>*12</w:t>
      </w:r>
      <w:r>
        <w:rPr>
          <w:rFonts w:hint="eastAsia" w:ascii="宋体" w:hAnsi="宋体"/>
          <w:szCs w:val="28"/>
          <w:highlight w:val="none"/>
        </w:rPr>
        <w:t>m，</w:t>
      </w:r>
      <w:r>
        <w:rPr>
          <w:rFonts w:ascii="宋体" w:hAnsi="宋体"/>
          <w:szCs w:val="28"/>
          <w:highlight w:val="none"/>
        </w:rPr>
        <w:t>共</w:t>
      </w:r>
      <w:r>
        <w:rPr>
          <w:rFonts w:hint="eastAsia" w:ascii="宋体" w:hAnsi="宋体"/>
          <w:szCs w:val="28"/>
          <w:highlight w:val="none"/>
        </w:rPr>
        <w:t>1</w:t>
      </w:r>
      <w:r>
        <w:rPr>
          <w:rFonts w:ascii="宋体" w:hAnsi="宋体"/>
          <w:szCs w:val="28"/>
          <w:highlight w:val="none"/>
        </w:rPr>
        <w:t>92</w:t>
      </w:r>
      <w:r>
        <w:rPr>
          <w:rFonts w:hint="eastAsia" w:ascii="宋体" w:hAnsi="宋体"/>
          <w:szCs w:val="28"/>
          <w:highlight w:val="none"/>
        </w:rPr>
        <w:t>m</w:t>
      </w:r>
      <w:r>
        <w:rPr>
          <w:rFonts w:ascii="宋体" w:hAnsi="宋体"/>
          <w:szCs w:val="28"/>
          <w:highlight w:val="none"/>
          <w:vertAlign w:val="superscript"/>
        </w:rPr>
        <w:t>2</w:t>
      </w:r>
      <w:r>
        <w:rPr>
          <w:rFonts w:hint="eastAsia" w:ascii="宋体" w:hAnsi="宋体"/>
          <w:szCs w:val="28"/>
          <w:highlight w:val="none"/>
        </w:rPr>
        <w:t>；</w:t>
      </w:r>
      <w:r>
        <w:rPr>
          <w:rFonts w:ascii="宋体" w:hAnsi="宋体"/>
          <w:szCs w:val="28"/>
          <w:highlight w:val="none"/>
        </w:rPr>
        <w:t>设置中巴车停车位</w:t>
      </w:r>
      <w:r>
        <w:rPr>
          <w:rFonts w:hint="eastAsia" w:ascii="宋体" w:hAnsi="宋体"/>
          <w:szCs w:val="28"/>
          <w:highlight w:val="none"/>
        </w:rPr>
        <w:t>4个，每个车位3m*</w:t>
      </w:r>
      <w:r>
        <w:rPr>
          <w:rFonts w:ascii="宋体" w:hAnsi="宋体"/>
          <w:szCs w:val="28"/>
          <w:highlight w:val="none"/>
        </w:rPr>
        <w:t>6</w:t>
      </w:r>
      <w:r>
        <w:rPr>
          <w:rFonts w:hint="eastAsia" w:ascii="宋体" w:hAnsi="宋体"/>
          <w:szCs w:val="28"/>
          <w:highlight w:val="none"/>
        </w:rPr>
        <w:t>m，</w:t>
      </w:r>
      <w:r>
        <w:rPr>
          <w:rFonts w:ascii="宋体" w:hAnsi="宋体"/>
          <w:szCs w:val="28"/>
          <w:highlight w:val="none"/>
        </w:rPr>
        <w:t>共</w:t>
      </w:r>
      <w:r>
        <w:rPr>
          <w:rFonts w:hint="eastAsia" w:ascii="宋体" w:hAnsi="宋体"/>
          <w:szCs w:val="28"/>
          <w:highlight w:val="none"/>
        </w:rPr>
        <w:t>7</w:t>
      </w:r>
      <w:r>
        <w:rPr>
          <w:rFonts w:ascii="宋体" w:hAnsi="宋体"/>
          <w:szCs w:val="28"/>
          <w:highlight w:val="none"/>
        </w:rPr>
        <w:t>2</w:t>
      </w:r>
      <w:r>
        <w:rPr>
          <w:rFonts w:hint="eastAsia" w:ascii="宋体" w:hAnsi="宋体"/>
          <w:szCs w:val="28"/>
          <w:highlight w:val="none"/>
        </w:rPr>
        <w:t>m</w:t>
      </w:r>
      <w:r>
        <w:rPr>
          <w:rFonts w:ascii="宋体" w:hAnsi="宋体"/>
          <w:szCs w:val="28"/>
          <w:highlight w:val="none"/>
          <w:vertAlign w:val="superscript"/>
        </w:rPr>
        <w:t>2</w:t>
      </w:r>
      <w:r>
        <w:rPr>
          <w:rFonts w:hint="eastAsia" w:ascii="宋体" w:hAnsi="宋体"/>
          <w:szCs w:val="28"/>
          <w:highlight w:val="none"/>
        </w:rPr>
        <w:t>；</w:t>
      </w:r>
      <w:r>
        <w:rPr>
          <w:rFonts w:ascii="宋体" w:hAnsi="宋体"/>
          <w:szCs w:val="28"/>
          <w:highlight w:val="none"/>
        </w:rPr>
        <w:t>设置轿车停车位</w:t>
      </w:r>
      <w:r>
        <w:rPr>
          <w:rFonts w:hint="eastAsia" w:ascii="宋体" w:hAnsi="宋体"/>
          <w:szCs w:val="28"/>
          <w:highlight w:val="none"/>
        </w:rPr>
        <w:t>1</w:t>
      </w:r>
      <w:r>
        <w:rPr>
          <w:rFonts w:ascii="宋体" w:hAnsi="宋体"/>
          <w:szCs w:val="28"/>
          <w:highlight w:val="none"/>
        </w:rPr>
        <w:t>5个</w:t>
      </w:r>
      <w:r>
        <w:rPr>
          <w:rFonts w:hint="eastAsia" w:ascii="宋体" w:hAnsi="宋体"/>
          <w:szCs w:val="28"/>
          <w:highlight w:val="none"/>
        </w:rPr>
        <w:t>，</w:t>
      </w:r>
      <w:r>
        <w:rPr>
          <w:rFonts w:ascii="宋体" w:hAnsi="宋体"/>
          <w:szCs w:val="28"/>
          <w:highlight w:val="none"/>
        </w:rPr>
        <w:t>每个车位</w:t>
      </w:r>
      <w:r>
        <w:rPr>
          <w:rFonts w:hint="eastAsia" w:ascii="宋体" w:hAnsi="宋体"/>
          <w:szCs w:val="28"/>
          <w:highlight w:val="none"/>
        </w:rPr>
        <w:t>2</w:t>
      </w:r>
      <w:r>
        <w:rPr>
          <w:rFonts w:ascii="宋体" w:hAnsi="宋体"/>
          <w:szCs w:val="28"/>
          <w:highlight w:val="none"/>
        </w:rPr>
        <w:t>.5</w:t>
      </w:r>
      <w:r>
        <w:rPr>
          <w:rFonts w:hint="eastAsia" w:ascii="宋体" w:hAnsi="宋体"/>
          <w:szCs w:val="28"/>
          <w:highlight w:val="none"/>
        </w:rPr>
        <w:t>m</w:t>
      </w:r>
      <w:r>
        <w:rPr>
          <w:rFonts w:ascii="宋体" w:hAnsi="宋体"/>
          <w:szCs w:val="28"/>
          <w:highlight w:val="none"/>
        </w:rPr>
        <w:t>*5.4m</w:t>
      </w:r>
      <w:r>
        <w:rPr>
          <w:rFonts w:hint="eastAsia" w:ascii="宋体" w:hAnsi="宋体"/>
          <w:szCs w:val="28"/>
          <w:highlight w:val="none"/>
        </w:rPr>
        <w:t>，</w:t>
      </w:r>
      <w:r>
        <w:rPr>
          <w:rFonts w:ascii="宋体" w:hAnsi="宋体"/>
          <w:szCs w:val="28"/>
          <w:highlight w:val="none"/>
        </w:rPr>
        <w:t>共</w:t>
      </w:r>
      <w:r>
        <w:rPr>
          <w:rFonts w:hint="eastAsia" w:ascii="宋体" w:hAnsi="宋体"/>
          <w:szCs w:val="28"/>
          <w:highlight w:val="none"/>
        </w:rPr>
        <w:t>2</w:t>
      </w:r>
      <w:r>
        <w:rPr>
          <w:rFonts w:ascii="宋体" w:hAnsi="宋体"/>
          <w:szCs w:val="28"/>
          <w:highlight w:val="none"/>
        </w:rPr>
        <w:t>02.5</w:t>
      </w:r>
      <w:r>
        <w:rPr>
          <w:rFonts w:hint="eastAsia" w:ascii="宋体" w:hAnsi="宋体"/>
          <w:szCs w:val="28"/>
          <w:highlight w:val="none"/>
        </w:rPr>
        <w:t>m</w:t>
      </w:r>
      <w:r>
        <w:rPr>
          <w:rFonts w:ascii="宋体" w:hAnsi="宋体"/>
          <w:szCs w:val="28"/>
          <w:highlight w:val="none"/>
          <w:vertAlign w:val="superscript"/>
        </w:rPr>
        <w:t>2</w:t>
      </w:r>
      <w:r>
        <w:rPr>
          <w:rFonts w:hint="eastAsia" w:ascii="宋体" w:hAnsi="宋体"/>
          <w:szCs w:val="28"/>
          <w:highlight w:val="none"/>
        </w:rPr>
        <w:t>；</w:t>
      </w:r>
      <w:r>
        <w:rPr>
          <w:rFonts w:ascii="宋体" w:hAnsi="宋体"/>
          <w:szCs w:val="28"/>
          <w:highlight w:val="none"/>
        </w:rPr>
        <w:t>通道等</w:t>
      </w:r>
      <w:r>
        <w:rPr>
          <w:rFonts w:hint="eastAsia" w:ascii="宋体" w:hAnsi="宋体"/>
          <w:szCs w:val="28"/>
          <w:highlight w:val="none"/>
        </w:rPr>
        <w:t>2</w:t>
      </w:r>
      <w:r>
        <w:rPr>
          <w:rFonts w:ascii="宋体" w:hAnsi="宋体"/>
          <w:szCs w:val="28"/>
          <w:highlight w:val="none"/>
        </w:rPr>
        <w:t>33.5</w:t>
      </w:r>
      <w:r>
        <w:rPr>
          <w:rFonts w:hint="eastAsia" w:ascii="宋体" w:hAnsi="宋体"/>
          <w:szCs w:val="28"/>
          <w:highlight w:val="none"/>
        </w:rPr>
        <w:t>m</w:t>
      </w:r>
      <w:r>
        <w:rPr>
          <w:rFonts w:ascii="宋体" w:hAnsi="宋体"/>
          <w:szCs w:val="28"/>
          <w:highlight w:val="none"/>
          <w:vertAlign w:val="superscript"/>
        </w:rPr>
        <w:t>2</w:t>
      </w:r>
      <w:r>
        <w:rPr>
          <w:rFonts w:hint="eastAsia" w:ascii="宋体" w:hAnsi="宋体"/>
          <w:szCs w:val="28"/>
          <w:highlight w:val="none"/>
        </w:rPr>
        <w:t>。</w:t>
      </w:r>
    </w:p>
    <w:p>
      <w:pPr>
        <w:pStyle w:val="19"/>
        <w:snapToGrid w:val="0"/>
        <w:spacing w:line="360" w:lineRule="auto"/>
        <w:ind w:firstLine="480" w:firstLineChars="200"/>
        <w:jc w:val="left"/>
        <w:rPr>
          <w:rFonts w:ascii="宋体" w:hAnsi="宋体"/>
          <w:szCs w:val="28"/>
          <w:highlight w:val="none"/>
        </w:rPr>
      </w:pPr>
      <w:r>
        <w:rPr>
          <w:rFonts w:hint="eastAsia" w:ascii="宋体" w:hAnsi="宋体"/>
          <w:szCs w:val="28"/>
          <w:highlight w:val="none"/>
        </w:rPr>
        <w:t>道路及绿化区为其余空地。</w:t>
      </w:r>
      <w:r>
        <w:rPr>
          <w:rFonts w:ascii="宋体" w:hAnsi="宋体"/>
          <w:szCs w:val="28"/>
          <w:highlight w:val="none"/>
        </w:rPr>
        <w:t>道路采用沥青路面</w:t>
      </w:r>
      <w:r>
        <w:rPr>
          <w:rFonts w:hint="eastAsia" w:ascii="宋体" w:hAnsi="宋体"/>
          <w:szCs w:val="28"/>
          <w:highlight w:val="none"/>
        </w:rPr>
        <w:t>，</w:t>
      </w:r>
      <w:r>
        <w:rPr>
          <w:rFonts w:ascii="宋体" w:hAnsi="宋体"/>
          <w:szCs w:val="28"/>
          <w:highlight w:val="none"/>
        </w:rPr>
        <w:t>宽度与市梅溪中心办公管理范围内现有道路衔接</w:t>
      </w:r>
      <w:r>
        <w:rPr>
          <w:rFonts w:hint="eastAsia" w:ascii="宋体" w:hAnsi="宋体"/>
          <w:szCs w:val="28"/>
          <w:highlight w:val="none"/>
        </w:rPr>
        <w:t>；</w:t>
      </w:r>
      <w:r>
        <w:rPr>
          <w:rFonts w:ascii="宋体" w:hAnsi="宋体"/>
          <w:szCs w:val="28"/>
          <w:highlight w:val="none"/>
        </w:rPr>
        <w:t>绿化根据实际布置相应造型</w:t>
      </w:r>
      <w:r>
        <w:rPr>
          <w:rFonts w:hint="eastAsia" w:ascii="宋体" w:hAnsi="宋体"/>
          <w:szCs w:val="28"/>
          <w:highlight w:val="none"/>
        </w:rPr>
        <w:t>，</w:t>
      </w:r>
      <w:r>
        <w:rPr>
          <w:rFonts w:ascii="宋体" w:hAnsi="宋体"/>
          <w:szCs w:val="28"/>
          <w:highlight w:val="none"/>
        </w:rPr>
        <w:t>以桂花</w:t>
      </w:r>
      <w:r>
        <w:rPr>
          <w:rFonts w:hint="eastAsia" w:ascii="宋体" w:hAnsi="宋体"/>
          <w:szCs w:val="28"/>
          <w:highlight w:val="none"/>
        </w:rPr>
        <w:t>、</w:t>
      </w:r>
      <w:r>
        <w:rPr>
          <w:rFonts w:ascii="宋体" w:hAnsi="宋体"/>
          <w:szCs w:val="28"/>
          <w:highlight w:val="none"/>
        </w:rPr>
        <w:t>茶叶树</w:t>
      </w:r>
      <w:r>
        <w:rPr>
          <w:rFonts w:hint="eastAsia" w:ascii="宋体" w:hAnsi="宋体"/>
          <w:szCs w:val="28"/>
          <w:highlight w:val="none"/>
        </w:rPr>
        <w:t>、</w:t>
      </w:r>
      <w:r>
        <w:rPr>
          <w:rFonts w:ascii="宋体" w:hAnsi="宋体"/>
          <w:szCs w:val="28"/>
          <w:highlight w:val="none"/>
        </w:rPr>
        <w:t>红叶石楠</w:t>
      </w:r>
      <w:r>
        <w:rPr>
          <w:rFonts w:hint="eastAsia" w:ascii="宋体" w:hAnsi="宋体"/>
          <w:szCs w:val="28"/>
          <w:highlight w:val="none"/>
        </w:rPr>
        <w:t>等搭配。</w:t>
      </w:r>
    </w:p>
    <w:p>
      <w:pPr>
        <w:spacing w:line="360" w:lineRule="auto"/>
        <w:ind w:firstLine="482" w:firstLineChars="200"/>
        <w:jc w:val="left"/>
        <w:rPr>
          <w:rFonts w:hint="eastAsia" w:ascii="宋体" w:hAnsi="宋体" w:cs="宋体"/>
          <w:b/>
          <w:bCs/>
          <w:sz w:val="24"/>
          <w:highlight w:val="none"/>
        </w:rPr>
      </w:pPr>
      <w:r>
        <w:rPr>
          <w:rFonts w:hint="eastAsia" w:ascii="宋体" w:hAnsi="宋体" w:cs="宋体"/>
          <w:b/>
          <w:bCs/>
          <w:sz w:val="24"/>
          <w:highlight w:val="none"/>
        </w:rPr>
        <w:t>三、项目管理要求</w:t>
      </w:r>
    </w:p>
    <w:p>
      <w:pPr>
        <w:spacing w:line="360" w:lineRule="auto"/>
        <w:ind w:firstLine="482" w:firstLineChars="200"/>
        <w:jc w:val="left"/>
        <w:rPr>
          <w:rFonts w:hint="eastAsia" w:ascii="宋体" w:hAnsi="宋体" w:cs="宋体"/>
          <w:sz w:val="24"/>
          <w:highlight w:val="none"/>
        </w:rPr>
      </w:pPr>
      <w:r>
        <w:rPr>
          <w:rFonts w:hint="eastAsia" w:ascii="宋体" w:hAnsi="宋体" w:cs="宋体"/>
          <w:b/>
          <w:bCs/>
          <w:sz w:val="24"/>
          <w:highlight w:val="none"/>
        </w:rPr>
        <w:t>1、</w:t>
      </w:r>
      <w:r>
        <w:rPr>
          <w:rFonts w:hint="eastAsia" w:ascii="宋体" w:hAnsi="宋体" w:cs="宋体"/>
          <w:sz w:val="24"/>
          <w:highlight w:val="none"/>
        </w:rPr>
        <w:t>中标人在施工过程中，要严格按深化并经招标人确认后的设计图纸要求施工，应重视质量通病的防治，对质量通病必须根据技术规范要求制定预控措施。要认真做好材料和成品保护，以保证产品不受损坏和污染，如有损坏和污染的由中标人负责修复、更换、恢复原样或照价赔偿。因失窃失火或其他非采购方原因（除不可抗力外）而造成的损失均由中标人自负，凡由此损及采购方利益时，中标人应负责赔偿采购方的损失。</w:t>
      </w:r>
    </w:p>
    <w:p>
      <w:pPr>
        <w:spacing w:line="360" w:lineRule="auto"/>
        <w:ind w:firstLine="482" w:firstLineChars="200"/>
        <w:jc w:val="left"/>
        <w:rPr>
          <w:rFonts w:hint="eastAsia" w:ascii="宋体" w:hAnsi="宋体" w:cs="宋体"/>
          <w:sz w:val="24"/>
          <w:highlight w:val="none"/>
        </w:rPr>
      </w:pPr>
      <w:r>
        <w:rPr>
          <w:rFonts w:hint="eastAsia" w:ascii="宋体" w:hAnsi="宋体" w:cs="宋体"/>
          <w:b/>
          <w:bCs/>
          <w:sz w:val="24"/>
          <w:highlight w:val="none"/>
        </w:rPr>
        <w:t>2、</w:t>
      </w:r>
      <w:r>
        <w:rPr>
          <w:rFonts w:hint="eastAsia" w:ascii="宋体" w:hAnsi="宋体" w:cs="宋体"/>
          <w:sz w:val="24"/>
          <w:highlight w:val="none"/>
        </w:rPr>
        <w:t>施工期间须配备电管人员和安全员，全面负责用电、施工管理，确保安全生产。在施工过程中发生一切安全事故和其他责任事故均由中标人承担全部经济和法律责任。</w:t>
      </w:r>
    </w:p>
    <w:p>
      <w:pPr>
        <w:spacing w:line="360" w:lineRule="auto"/>
        <w:ind w:firstLine="482" w:firstLineChars="200"/>
        <w:jc w:val="left"/>
        <w:rPr>
          <w:rFonts w:hint="eastAsia" w:ascii="宋体" w:hAnsi="宋体" w:cs="宋体"/>
          <w:sz w:val="24"/>
          <w:highlight w:val="none"/>
        </w:rPr>
      </w:pPr>
      <w:r>
        <w:rPr>
          <w:rFonts w:hint="eastAsia" w:ascii="宋体" w:hAnsi="宋体" w:cs="宋体"/>
          <w:b/>
          <w:bCs/>
          <w:sz w:val="24"/>
          <w:highlight w:val="none"/>
        </w:rPr>
        <w:t>3、</w:t>
      </w:r>
      <w:r>
        <w:rPr>
          <w:rFonts w:hint="eastAsia" w:ascii="宋体" w:hAnsi="宋体" w:cs="宋体"/>
          <w:sz w:val="24"/>
          <w:highlight w:val="none"/>
        </w:rPr>
        <w:t>水、电接口，由中标人自行负责，并做好接入口的安全防护措施，接线费用由中标人自理，施工及养护期间用水、用电费用由中标人负责。</w:t>
      </w:r>
    </w:p>
    <w:p>
      <w:pPr>
        <w:spacing w:line="360" w:lineRule="auto"/>
        <w:ind w:firstLine="482" w:firstLineChars="200"/>
        <w:jc w:val="left"/>
        <w:rPr>
          <w:rFonts w:hint="eastAsia" w:ascii="宋体" w:hAnsi="宋体" w:cs="宋体"/>
          <w:sz w:val="24"/>
          <w:highlight w:val="none"/>
        </w:rPr>
      </w:pPr>
      <w:r>
        <w:rPr>
          <w:rFonts w:hint="eastAsia" w:ascii="宋体" w:hAnsi="宋体" w:cs="宋体"/>
          <w:b/>
          <w:bCs/>
          <w:sz w:val="24"/>
          <w:highlight w:val="none"/>
        </w:rPr>
        <w:t>4、</w:t>
      </w:r>
      <w:r>
        <w:rPr>
          <w:rFonts w:hint="eastAsia" w:ascii="宋体" w:hAnsi="宋体" w:cs="宋体"/>
          <w:sz w:val="24"/>
          <w:highlight w:val="none"/>
        </w:rPr>
        <w:t>项目所用材料进场前须先经采购方或监理人认可、验收，通过后方可使用。</w:t>
      </w:r>
    </w:p>
    <w:p>
      <w:pPr>
        <w:spacing w:line="360" w:lineRule="auto"/>
        <w:ind w:firstLine="482" w:firstLineChars="200"/>
        <w:jc w:val="left"/>
        <w:rPr>
          <w:rFonts w:hint="eastAsia" w:ascii="宋体" w:hAnsi="宋体" w:cs="宋体"/>
          <w:sz w:val="24"/>
          <w:highlight w:val="none"/>
        </w:rPr>
      </w:pPr>
      <w:r>
        <w:rPr>
          <w:rFonts w:hint="eastAsia" w:ascii="宋体" w:hAnsi="宋体" w:cs="宋体"/>
          <w:b/>
          <w:bCs/>
          <w:sz w:val="24"/>
          <w:highlight w:val="none"/>
        </w:rPr>
        <w:t>5、</w:t>
      </w:r>
      <w:r>
        <w:rPr>
          <w:rFonts w:hint="eastAsia" w:ascii="宋体" w:hAnsi="宋体" w:cs="宋体"/>
          <w:sz w:val="24"/>
          <w:highlight w:val="none"/>
        </w:rPr>
        <w:t>项目施工过程中，每进入下道施工工序之前，须经采购方验收，通过后方可进入下道工序。</w:t>
      </w:r>
    </w:p>
    <w:p>
      <w:pPr>
        <w:spacing w:line="360" w:lineRule="auto"/>
        <w:ind w:firstLine="482" w:firstLineChars="200"/>
        <w:jc w:val="left"/>
        <w:rPr>
          <w:rFonts w:hint="eastAsia" w:ascii="宋体" w:hAnsi="宋体" w:cs="宋体"/>
          <w:sz w:val="24"/>
          <w:highlight w:val="none"/>
        </w:rPr>
      </w:pPr>
      <w:r>
        <w:rPr>
          <w:rFonts w:hint="eastAsia" w:ascii="宋体" w:hAnsi="宋体" w:cs="宋体"/>
          <w:b/>
          <w:bCs/>
          <w:sz w:val="24"/>
          <w:highlight w:val="none"/>
        </w:rPr>
        <w:t>6、</w:t>
      </w:r>
      <w:r>
        <w:rPr>
          <w:rFonts w:hint="eastAsia" w:ascii="宋体" w:hAnsi="宋体" w:cs="宋体"/>
          <w:sz w:val="24"/>
          <w:highlight w:val="none"/>
        </w:rPr>
        <w:t>中标人在项目完工时必须做到工完场清、料清、障清，如未在采购方指定时间内做到工完场清、料清、障清，采购方有权在履约保证金中扣罚5000元整，中标人须无条件接受。</w:t>
      </w:r>
    </w:p>
    <w:p>
      <w:pPr>
        <w:spacing w:line="360" w:lineRule="auto"/>
        <w:ind w:firstLine="482" w:firstLineChars="200"/>
        <w:jc w:val="left"/>
        <w:rPr>
          <w:rFonts w:hint="eastAsia" w:ascii="宋体" w:hAnsi="宋体" w:cs="宋体"/>
          <w:sz w:val="24"/>
          <w:highlight w:val="none"/>
        </w:rPr>
      </w:pPr>
      <w:r>
        <w:rPr>
          <w:rFonts w:hint="eastAsia" w:ascii="宋体" w:hAnsi="宋体" w:cs="宋体"/>
          <w:b/>
          <w:bCs/>
          <w:sz w:val="24"/>
          <w:highlight w:val="none"/>
        </w:rPr>
        <w:t>7、</w:t>
      </w:r>
      <w:r>
        <w:rPr>
          <w:rFonts w:hint="eastAsia" w:ascii="宋体" w:hAnsi="宋体" w:cs="宋体"/>
          <w:sz w:val="24"/>
          <w:highlight w:val="none"/>
        </w:rPr>
        <w:t>中标人应自费与施工进程同步形成、积累、整理及保管项目进度、隐蔽工程、试验报告、障碍物拆除以及所有影响工程的记录（包括资料、设备的来源），以备需要评定工程进度和工程质量时查阅。</w:t>
      </w:r>
    </w:p>
    <w:p>
      <w:pPr>
        <w:pStyle w:val="24"/>
        <w:spacing w:line="360" w:lineRule="auto"/>
        <w:ind w:firstLine="482" w:firstLineChars="200"/>
        <w:jc w:val="left"/>
        <w:rPr>
          <w:rFonts w:hint="eastAsia" w:hAnsi="宋体" w:cs="宋体"/>
          <w:b/>
          <w:bCs/>
          <w:sz w:val="24"/>
          <w:szCs w:val="24"/>
          <w:highlight w:val="none"/>
        </w:rPr>
      </w:pPr>
      <w:r>
        <w:rPr>
          <w:rFonts w:hint="eastAsia" w:hAnsi="宋体" w:cs="宋体"/>
          <w:b/>
          <w:bCs/>
          <w:sz w:val="24"/>
          <w:szCs w:val="24"/>
          <w:highlight w:val="none"/>
        </w:rPr>
        <w:t>四、其他维护和商务要求：</w:t>
      </w:r>
    </w:p>
    <w:p>
      <w:pPr>
        <w:pStyle w:val="24"/>
        <w:spacing w:line="360" w:lineRule="auto"/>
        <w:ind w:firstLine="482" w:firstLineChars="200"/>
        <w:jc w:val="left"/>
        <w:rPr>
          <w:rFonts w:hint="eastAsia" w:hAnsi="宋体" w:cs="宋体"/>
          <w:b/>
          <w:bCs/>
          <w:sz w:val="24"/>
          <w:szCs w:val="24"/>
          <w:highlight w:val="none"/>
        </w:rPr>
      </w:pPr>
      <w:r>
        <w:rPr>
          <w:rFonts w:hint="eastAsia" w:hAnsi="宋体" w:cs="宋体"/>
          <w:b/>
          <w:bCs/>
          <w:sz w:val="24"/>
          <w:szCs w:val="24"/>
          <w:highlight w:val="none"/>
        </w:rPr>
        <w:t>1、实施要求：</w:t>
      </w:r>
    </w:p>
    <w:p>
      <w:pPr>
        <w:pStyle w:val="24"/>
        <w:spacing w:line="360" w:lineRule="auto"/>
        <w:ind w:firstLine="480" w:firstLineChars="200"/>
        <w:jc w:val="left"/>
        <w:rPr>
          <w:rFonts w:hint="eastAsia" w:hAnsi="宋体" w:cs="宋体"/>
          <w:sz w:val="24"/>
          <w:szCs w:val="24"/>
          <w:highlight w:val="none"/>
        </w:rPr>
      </w:pPr>
      <w:r>
        <w:rPr>
          <w:rFonts w:hint="eastAsia" w:hAnsi="宋体" w:cs="宋体"/>
          <w:sz w:val="24"/>
          <w:szCs w:val="24"/>
          <w:highlight w:val="none"/>
        </w:rPr>
        <w:t xml:space="preserve">（1）项目组织形式：项目实施人员按照投标文件承诺的人员、数量，到采购人指定的地点进行现场驻场实施。如要进行人员调整时，必须事先向中标人提出书面申请，征得采购人书面同意后方可替换。 </w:t>
      </w:r>
    </w:p>
    <w:p>
      <w:pPr>
        <w:pStyle w:val="24"/>
        <w:spacing w:line="360" w:lineRule="auto"/>
        <w:ind w:firstLine="480" w:firstLineChars="200"/>
        <w:jc w:val="left"/>
        <w:rPr>
          <w:rFonts w:hint="eastAsia" w:hAnsi="宋体" w:cs="宋体"/>
          <w:sz w:val="24"/>
          <w:szCs w:val="24"/>
          <w:highlight w:val="none"/>
        </w:rPr>
      </w:pPr>
      <w:r>
        <w:rPr>
          <w:rFonts w:hint="eastAsia" w:hAnsi="宋体" w:cs="宋体"/>
          <w:sz w:val="24"/>
          <w:szCs w:val="24"/>
          <w:highlight w:val="none"/>
        </w:rPr>
        <w:t xml:space="preserve">（2）项目实施人员费用：中标人应自行承担选派专业人员的住宿、就餐和交通等费用。 </w:t>
      </w:r>
    </w:p>
    <w:p>
      <w:pPr>
        <w:pStyle w:val="24"/>
        <w:spacing w:line="360" w:lineRule="auto"/>
        <w:ind w:firstLine="480" w:firstLineChars="200"/>
        <w:jc w:val="left"/>
        <w:rPr>
          <w:rFonts w:hint="eastAsia" w:hAnsi="宋体" w:cs="宋体"/>
          <w:sz w:val="24"/>
          <w:szCs w:val="24"/>
          <w:highlight w:val="none"/>
        </w:rPr>
      </w:pPr>
      <w:r>
        <w:rPr>
          <w:rFonts w:hint="eastAsia" w:hAnsi="宋体" w:cs="宋体"/>
          <w:sz w:val="24"/>
          <w:szCs w:val="24"/>
          <w:highlight w:val="none"/>
        </w:rPr>
        <w:t xml:space="preserve">（3）项目实施人员要求：中标人应根据项目维护需求，派出从事具有相关项目工作经验的项目负责人、项目技术负责人和项目组成员，以保证在规定的时间内高质量完成各项维护工作，在实施过程中，项目负责人对运维全过程负责，如要进行人员调整时，必须事先由中标人提出书面申请，征得采购人书面同意后方可替换。 </w:t>
      </w:r>
    </w:p>
    <w:p>
      <w:pPr>
        <w:pStyle w:val="24"/>
        <w:spacing w:line="360" w:lineRule="auto"/>
        <w:ind w:firstLine="482" w:firstLineChars="200"/>
        <w:jc w:val="left"/>
        <w:rPr>
          <w:rFonts w:hint="eastAsia" w:hAnsi="宋体" w:cs="宋体"/>
          <w:b/>
          <w:bCs/>
          <w:sz w:val="24"/>
          <w:szCs w:val="24"/>
          <w:highlight w:val="none"/>
        </w:rPr>
      </w:pPr>
      <w:r>
        <w:rPr>
          <w:rFonts w:hint="eastAsia" w:hAnsi="宋体" w:cs="宋体"/>
          <w:b/>
          <w:bCs/>
          <w:sz w:val="24"/>
          <w:szCs w:val="24"/>
          <w:highlight w:val="none"/>
        </w:rPr>
        <w:t xml:space="preserve">2、安装、调试和工期要求： </w:t>
      </w:r>
    </w:p>
    <w:p>
      <w:pPr>
        <w:spacing w:line="360" w:lineRule="auto"/>
        <w:ind w:firstLine="482" w:firstLineChars="200"/>
        <w:jc w:val="left"/>
        <w:rPr>
          <w:rFonts w:hint="eastAsia" w:ascii="宋体" w:hAnsi="宋体" w:cs="宋体"/>
          <w:b/>
          <w:bCs/>
          <w:sz w:val="24"/>
          <w:highlight w:val="none"/>
        </w:rPr>
      </w:pPr>
      <w:r>
        <w:rPr>
          <w:rFonts w:hint="eastAsia" w:ascii="宋体" w:hAnsi="宋体" w:cs="宋体"/>
          <w:b/>
          <w:bCs/>
          <w:sz w:val="24"/>
          <w:highlight w:val="none"/>
        </w:rPr>
        <w:t>（1）工期要求：自签订合同起</w:t>
      </w:r>
      <w:r>
        <w:rPr>
          <w:rFonts w:ascii="宋体" w:hAnsi="宋体" w:cs="宋体"/>
          <w:b/>
          <w:bCs/>
          <w:sz w:val="24"/>
          <w:highlight w:val="none"/>
        </w:rPr>
        <w:t>90个日</w:t>
      </w:r>
      <w:r>
        <w:rPr>
          <w:rFonts w:hint="eastAsia" w:ascii="宋体" w:hAnsi="宋体" w:cs="宋体"/>
          <w:b/>
          <w:bCs/>
          <w:sz w:val="24"/>
          <w:highlight w:val="none"/>
        </w:rPr>
        <w:t>历天。</w:t>
      </w:r>
    </w:p>
    <w:p>
      <w:pPr>
        <w:spacing w:line="360" w:lineRule="auto"/>
        <w:ind w:firstLine="480" w:firstLineChars="200"/>
        <w:jc w:val="left"/>
        <w:rPr>
          <w:rFonts w:hint="eastAsia" w:ascii="宋体" w:hAnsi="宋体" w:cs="宋体"/>
          <w:sz w:val="24"/>
          <w:highlight w:val="none"/>
        </w:rPr>
      </w:pPr>
      <w:r>
        <w:rPr>
          <w:rFonts w:hint="eastAsia" w:ascii="宋体" w:hAnsi="宋体" w:cs="宋体"/>
          <w:bCs/>
          <w:sz w:val="24"/>
          <w:highlight w:val="none"/>
        </w:rPr>
        <w:t>除不可抗力因素外，不得因其他任何理由延误</w:t>
      </w:r>
      <w:r>
        <w:rPr>
          <w:rFonts w:hint="eastAsia" w:ascii="宋体" w:hAnsi="宋体" w:cs="宋体"/>
          <w:sz w:val="24"/>
          <w:highlight w:val="none"/>
        </w:rPr>
        <w:t>工期</w:t>
      </w:r>
      <w:r>
        <w:rPr>
          <w:rFonts w:hint="eastAsia" w:ascii="宋体" w:hAnsi="宋体" w:cs="宋体"/>
          <w:bCs/>
          <w:sz w:val="24"/>
          <w:highlight w:val="none"/>
        </w:rPr>
        <w:t>。因</w:t>
      </w:r>
      <w:r>
        <w:rPr>
          <w:rFonts w:hint="eastAsia" w:ascii="宋体" w:hAnsi="宋体" w:cs="宋体"/>
          <w:sz w:val="24"/>
          <w:highlight w:val="none"/>
        </w:rPr>
        <w:t>中标人</w:t>
      </w:r>
      <w:r>
        <w:rPr>
          <w:rFonts w:hint="eastAsia" w:ascii="宋体" w:hAnsi="宋体" w:cs="宋体"/>
          <w:bCs/>
          <w:sz w:val="24"/>
          <w:highlight w:val="none"/>
        </w:rPr>
        <w:t>原因延误工期的（采购单位要求推迟的除</w:t>
      </w:r>
      <w:r>
        <w:rPr>
          <w:rFonts w:hint="eastAsia" w:ascii="宋体" w:hAnsi="宋体" w:cs="宋体"/>
          <w:sz w:val="24"/>
          <w:highlight w:val="none"/>
        </w:rPr>
        <w:t xml:space="preserve">外），采购单位有权终止合同，并由中标人承担由此产生的一切损失和费用。 </w:t>
      </w:r>
    </w:p>
    <w:p>
      <w:pPr>
        <w:pStyle w:val="24"/>
        <w:spacing w:line="360" w:lineRule="auto"/>
        <w:ind w:firstLine="480" w:firstLineChars="200"/>
        <w:jc w:val="left"/>
        <w:rPr>
          <w:rFonts w:hint="eastAsia" w:hAnsi="宋体" w:cs="宋体"/>
          <w:sz w:val="24"/>
          <w:szCs w:val="24"/>
          <w:highlight w:val="none"/>
        </w:rPr>
      </w:pPr>
      <w:r>
        <w:rPr>
          <w:rFonts w:hint="eastAsia" w:hAnsi="宋体" w:cs="宋体"/>
          <w:sz w:val="24"/>
          <w:szCs w:val="24"/>
          <w:highlight w:val="none"/>
        </w:rPr>
        <w:t>（2）中标人应派经采购人认可的有经验和能力、具有相应资质的技术人员，负责本项目的工作，在项目实施期间应充分了解项目进度要求，解决过程中出现的技术问题。</w:t>
      </w:r>
    </w:p>
    <w:p>
      <w:pPr>
        <w:pStyle w:val="24"/>
        <w:spacing w:line="360" w:lineRule="auto"/>
        <w:ind w:firstLine="480" w:firstLineChars="200"/>
        <w:jc w:val="left"/>
        <w:rPr>
          <w:rFonts w:hint="eastAsia" w:hAnsi="宋体" w:cs="宋体"/>
          <w:sz w:val="24"/>
          <w:szCs w:val="24"/>
          <w:highlight w:val="none"/>
        </w:rPr>
      </w:pPr>
      <w:r>
        <w:rPr>
          <w:rFonts w:hint="eastAsia" w:hAnsi="宋体" w:cs="宋体"/>
          <w:sz w:val="24"/>
          <w:szCs w:val="24"/>
          <w:highlight w:val="none"/>
        </w:rPr>
        <w:t>（3）调试所需专用工具设施物料由中标人自备、自费运到现场，完工后自费搬走。</w:t>
      </w:r>
    </w:p>
    <w:p>
      <w:pPr>
        <w:pStyle w:val="24"/>
        <w:spacing w:line="360" w:lineRule="auto"/>
        <w:ind w:firstLine="482" w:firstLineChars="200"/>
        <w:jc w:val="left"/>
        <w:rPr>
          <w:rFonts w:hint="eastAsia" w:hAnsi="宋体" w:cs="宋体"/>
          <w:b/>
          <w:bCs/>
          <w:sz w:val="24"/>
          <w:szCs w:val="24"/>
          <w:highlight w:val="none"/>
        </w:rPr>
      </w:pPr>
      <w:r>
        <w:rPr>
          <w:rFonts w:hint="eastAsia" w:hAnsi="宋体" w:cs="宋体"/>
          <w:b/>
          <w:bCs/>
          <w:sz w:val="24"/>
          <w:szCs w:val="24"/>
          <w:highlight w:val="none"/>
        </w:rPr>
        <w:t>3、验收要求：</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项目必须符合招标文件要求并不低于国家有关标准；施工及验收的要求和程序均按照国家、区域、行业颁发的现行标准、规范、程序和要求进行，并以采购方验收合格为准，成交供应商应按相应要求组织实施。</w:t>
      </w:r>
    </w:p>
    <w:p>
      <w:pPr>
        <w:pStyle w:val="24"/>
        <w:spacing w:line="360" w:lineRule="auto"/>
        <w:ind w:firstLine="480" w:firstLineChars="200"/>
        <w:jc w:val="left"/>
        <w:rPr>
          <w:rFonts w:hint="eastAsia" w:hAnsi="宋体" w:cs="宋体"/>
          <w:sz w:val="24"/>
          <w:szCs w:val="24"/>
          <w:highlight w:val="none"/>
        </w:rPr>
      </w:pPr>
      <w:r>
        <w:rPr>
          <w:rFonts w:hint="eastAsia" w:hAnsi="宋体" w:cs="宋体"/>
          <w:sz w:val="24"/>
          <w:szCs w:val="24"/>
          <w:highlight w:val="none"/>
        </w:rPr>
        <w:t>（2）验收时间：中标人按采购单位指定的地点实施完毕后，应按照项目实施进度提出验收申请并提供完整的验收资料，由采购人组织专家进行分项验收，验收后按要求进入项目维保期或质保期。</w:t>
      </w:r>
    </w:p>
    <w:p>
      <w:pPr>
        <w:pStyle w:val="24"/>
        <w:spacing w:line="360" w:lineRule="auto"/>
        <w:ind w:firstLine="480" w:firstLineChars="200"/>
        <w:jc w:val="left"/>
        <w:rPr>
          <w:rFonts w:hint="eastAsia" w:hAnsi="宋体" w:cs="宋体"/>
          <w:sz w:val="24"/>
          <w:szCs w:val="24"/>
          <w:highlight w:val="none"/>
        </w:rPr>
      </w:pPr>
      <w:r>
        <w:rPr>
          <w:rFonts w:hint="eastAsia" w:hAnsi="宋体" w:cs="宋体"/>
          <w:sz w:val="24"/>
          <w:szCs w:val="24"/>
          <w:highlight w:val="none"/>
        </w:rPr>
        <w:t>（3）质量符合国际或国家通用标准，满足招标文件技术要求中所规定的全部功能。如出现质量问题或系假冒伪劣产品，中标人负责包退、包换，因此而涉及的全部违约责任和费用均由中标人承担。</w:t>
      </w:r>
    </w:p>
    <w:p>
      <w:pPr>
        <w:pStyle w:val="35"/>
        <w:spacing w:line="360" w:lineRule="auto"/>
        <w:ind w:left="0" w:firstLine="482" w:firstLineChars="200"/>
        <w:rPr>
          <w:rFonts w:hint="eastAsia" w:ascii="宋体" w:hAnsi="宋体" w:cs="宋体"/>
          <w:smallCaps w:val="0"/>
          <w:sz w:val="24"/>
          <w:szCs w:val="24"/>
          <w:highlight w:val="none"/>
        </w:rPr>
      </w:pPr>
      <w:r>
        <w:rPr>
          <w:rFonts w:hint="eastAsia" w:ascii="宋体" w:hAnsi="宋体" w:cs="宋体"/>
          <w:b/>
          <w:bCs/>
          <w:smallCaps w:val="0"/>
          <w:sz w:val="24"/>
          <w:szCs w:val="24"/>
          <w:highlight w:val="none"/>
        </w:rPr>
        <w:t>4、质保期：</w:t>
      </w:r>
      <w:r>
        <w:rPr>
          <w:rFonts w:hint="eastAsia" w:ascii="宋体" w:hAnsi="宋体" w:cs="宋体"/>
          <w:smallCaps w:val="0"/>
          <w:sz w:val="24"/>
          <w:szCs w:val="24"/>
          <w:highlight w:val="none"/>
        </w:rPr>
        <w:t>本项目缺陷责任期（工程质量保修期）：2年（质量保修期后，软件维护服务期1年）。</w:t>
      </w:r>
    </w:p>
    <w:p>
      <w:pPr>
        <w:pStyle w:val="24"/>
        <w:spacing w:line="360" w:lineRule="auto"/>
        <w:ind w:firstLine="482" w:firstLineChars="200"/>
        <w:jc w:val="left"/>
        <w:rPr>
          <w:rFonts w:hint="eastAsia" w:hAnsi="宋体" w:cs="宋体"/>
          <w:sz w:val="24"/>
          <w:szCs w:val="24"/>
          <w:highlight w:val="none"/>
        </w:rPr>
      </w:pPr>
      <w:r>
        <w:rPr>
          <w:rFonts w:hint="eastAsia" w:hAnsi="宋体" w:cs="宋体"/>
          <w:b/>
          <w:bCs/>
          <w:sz w:val="24"/>
          <w:szCs w:val="24"/>
          <w:highlight w:val="none"/>
        </w:rPr>
        <w:t>5、资料要求：</w:t>
      </w:r>
      <w:r>
        <w:rPr>
          <w:rFonts w:hint="eastAsia" w:hAnsi="宋体" w:cs="宋体"/>
          <w:sz w:val="24"/>
          <w:szCs w:val="24"/>
          <w:highlight w:val="none"/>
        </w:rPr>
        <w:t>中标人应提供项目实施所必须的技术文件。</w:t>
      </w:r>
    </w:p>
    <w:p>
      <w:pPr>
        <w:pStyle w:val="24"/>
        <w:spacing w:line="360" w:lineRule="auto"/>
        <w:ind w:firstLine="482" w:firstLineChars="200"/>
        <w:jc w:val="left"/>
        <w:rPr>
          <w:rFonts w:hint="eastAsia" w:hAnsi="宋体" w:cs="宋体"/>
          <w:b/>
          <w:bCs/>
          <w:sz w:val="24"/>
          <w:szCs w:val="24"/>
          <w:highlight w:val="none"/>
        </w:rPr>
      </w:pPr>
      <w:r>
        <w:rPr>
          <w:rFonts w:hint="eastAsia" w:hAnsi="宋体" w:cs="宋体"/>
          <w:b/>
          <w:bCs/>
          <w:sz w:val="24"/>
          <w:szCs w:val="24"/>
          <w:highlight w:val="none"/>
        </w:rPr>
        <w:t>6、需注意的其他事项：</w:t>
      </w:r>
    </w:p>
    <w:p>
      <w:pPr>
        <w:pStyle w:val="24"/>
        <w:spacing w:line="360" w:lineRule="auto"/>
        <w:ind w:firstLine="480" w:firstLineChars="200"/>
        <w:jc w:val="left"/>
        <w:rPr>
          <w:rFonts w:hint="eastAsia" w:hAnsi="宋体" w:cs="宋体"/>
          <w:sz w:val="24"/>
          <w:szCs w:val="24"/>
          <w:highlight w:val="none"/>
        </w:rPr>
      </w:pPr>
      <w:r>
        <w:rPr>
          <w:rFonts w:hint="eastAsia" w:hAnsi="宋体" w:cs="宋体"/>
          <w:sz w:val="24"/>
          <w:szCs w:val="24"/>
          <w:highlight w:val="none"/>
        </w:rPr>
        <w:t>（1）中标人需文明施工，保证安全，如在施工过程中发生事故，一切责任由中标人承担。</w:t>
      </w:r>
    </w:p>
    <w:p>
      <w:pPr>
        <w:pStyle w:val="24"/>
        <w:spacing w:line="360" w:lineRule="auto"/>
        <w:ind w:firstLine="480" w:firstLineChars="200"/>
        <w:jc w:val="left"/>
        <w:rPr>
          <w:rFonts w:hint="eastAsia" w:hAnsi="宋体" w:cs="宋体"/>
          <w:sz w:val="24"/>
          <w:szCs w:val="24"/>
          <w:highlight w:val="none"/>
        </w:rPr>
      </w:pPr>
      <w:r>
        <w:rPr>
          <w:rFonts w:hint="eastAsia" w:hAnsi="宋体" w:cs="宋体"/>
          <w:sz w:val="24"/>
          <w:szCs w:val="24"/>
          <w:highlight w:val="none"/>
        </w:rPr>
        <w:t>（2）施工期间，中标人应妥善保管各种材料和器材，如有被盗和其它损失的，采购人不承担任何责任。</w:t>
      </w:r>
    </w:p>
    <w:p>
      <w:pPr>
        <w:pStyle w:val="24"/>
        <w:spacing w:line="360" w:lineRule="auto"/>
        <w:ind w:firstLine="480" w:firstLineChars="200"/>
        <w:jc w:val="left"/>
        <w:rPr>
          <w:rFonts w:hint="eastAsia" w:hAnsi="宋体" w:cs="宋体"/>
          <w:sz w:val="24"/>
          <w:szCs w:val="24"/>
          <w:highlight w:val="none"/>
        </w:rPr>
      </w:pPr>
      <w:r>
        <w:rPr>
          <w:rFonts w:hint="eastAsia" w:hAnsi="宋体" w:cs="宋体"/>
          <w:sz w:val="24"/>
          <w:szCs w:val="24"/>
          <w:highlight w:val="none"/>
        </w:rPr>
        <w:t>（3）在施工过程中如对采购人的设施设备造成损坏的，中标人须负责赔偿或免费修复。</w:t>
      </w:r>
    </w:p>
    <w:p>
      <w:pPr>
        <w:pStyle w:val="24"/>
        <w:spacing w:line="360" w:lineRule="auto"/>
        <w:ind w:firstLine="480" w:firstLineChars="200"/>
        <w:jc w:val="left"/>
        <w:rPr>
          <w:rFonts w:hint="eastAsia" w:hAnsi="宋体" w:cs="宋体"/>
          <w:sz w:val="24"/>
          <w:szCs w:val="24"/>
          <w:highlight w:val="none"/>
        </w:rPr>
      </w:pPr>
      <w:r>
        <w:rPr>
          <w:rFonts w:hint="eastAsia" w:hAnsi="宋体" w:cs="宋体"/>
          <w:sz w:val="24"/>
          <w:szCs w:val="24"/>
          <w:highlight w:val="none"/>
        </w:rPr>
        <w:t xml:space="preserve">（4）投标人所提供的软、硬件产品应当来源合法，不得侵犯第三方知识版权。硬件产品应在金华市本级地区设有备件仓库，能提供7*24小时的技术及备件支持。所有货物到达现场应有完整的包装，随机技术、维护性资料和软件齐全。 </w:t>
      </w:r>
    </w:p>
    <w:p>
      <w:pPr>
        <w:pStyle w:val="24"/>
        <w:spacing w:line="360" w:lineRule="auto"/>
        <w:ind w:firstLine="480" w:firstLineChars="200"/>
        <w:jc w:val="left"/>
        <w:rPr>
          <w:rFonts w:hint="eastAsia" w:hAnsi="宋体" w:cs="宋体"/>
          <w:sz w:val="24"/>
          <w:szCs w:val="24"/>
          <w:highlight w:val="none"/>
        </w:rPr>
      </w:pPr>
      <w:r>
        <w:rPr>
          <w:rFonts w:hint="eastAsia" w:hAnsi="宋体" w:cs="宋体"/>
          <w:sz w:val="24"/>
          <w:szCs w:val="24"/>
          <w:highlight w:val="none"/>
        </w:rPr>
        <w:t>（5）第四章“招标内容及需求”是采购人需求的最基本描述，投标人不得擅自改动或删减。投标人如认为采购内容中缺少了满足采购要求所必需的设备、材料或其他工作内容，投标人应在投标时自行补充并说明具体理由，所需费用包含在报价内。</w:t>
      </w:r>
    </w:p>
    <w:p>
      <w:pPr>
        <w:pStyle w:val="24"/>
        <w:spacing w:line="360" w:lineRule="auto"/>
        <w:ind w:firstLine="480" w:firstLineChars="200"/>
        <w:jc w:val="left"/>
        <w:rPr>
          <w:rFonts w:hint="eastAsia" w:hAnsi="宋体" w:cs="宋体"/>
          <w:sz w:val="24"/>
          <w:szCs w:val="24"/>
          <w:highlight w:val="none"/>
        </w:rPr>
      </w:pPr>
      <w:r>
        <w:rPr>
          <w:rFonts w:hint="eastAsia" w:hAnsi="宋体" w:cs="宋体"/>
          <w:sz w:val="24"/>
          <w:szCs w:val="24"/>
          <w:highlight w:val="none"/>
        </w:rPr>
        <w:t xml:space="preserve">（6）投标人应当完整、明确的逐条对照采购要求作出响应，响应缺项或因复制粘贴采购要求导致响应不明确的，均按负偏离认定；响应前后矛盾导致评标委员会有疑问的，评标委员会认为必要时可以要求投标人在规定的时间内提供相关技术证明材料，投标人不能按时提供相关技术证明材料的视为“未响应”作负偏离处理。  </w:t>
      </w:r>
    </w:p>
    <w:p>
      <w:pPr>
        <w:pStyle w:val="24"/>
        <w:spacing w:line="360" w:lineRule="auto"/>
        <w:ind w:firstLine="482" w:firstLineChars="200"/>
        <w:jc w:val="left"/>
        <w:rPr>
          <w:rFonts w:hint="eastAsia" w:hAnsi="宋体" w:cs="宋体"/>
          <w:sz w:val="24"/>
          <w:szCs w:val="24"/>
          <w:highlight w:val="none"/>
        </w:rPr>
      </w:pPr>
      <w:r>
        <w:rPr>
          <w:rFonts w:hint="eastAsia" w:hAnsi="宋体" w:cs="宋体"/>
          <w:b/>
          <w:bCs/>
          <w:sz w:val="24"/>
          <w:szCs w:val="24"/>
          <w:highlight w:val="none"/>
        </w:rPr>
        <w:t>7、付款方式：</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（1）合同签订后，承包人施工队伍主要管理人员到位、具备安全开工条件，经承包 人、发包人、监理单位签署开工报告后，发包人向承包人支付占合同价款总额（扣除含税暂列金额、预留金）30%的预付款。承包人需在收到预付款前10日内向发包人提交等额预付款保函且经发包人认可。 </w:t>
      </w:r>
    </w:p>
    <w:p>
      <w:pPr>
        <w:spacing w:line="360" w:lineRule="auto"/>
        <w:ind w:firstLine="480" w:firstLineChars="200"/>
        <w:rPr>
          <w:rFonts w:hint="eastAsia" w:ascii="宋体" w:hAnsi="宋体" w:cs="宋体"/>
          <w:color w:val="FF0000"/>
          <w:sz w:val="24"/>
          <w:highlight w:val="none"/>
        </w:rPr>
      </w:pPr>
      <w:r>
        <w:rPr>
          <w:rFonts w:hint="eastAsia" w:ascii="宋体" w:hAnsi="宋体" w:cs="宋体"/>
          <w:sz w:val="24"/>
          <w:highlight w:val="none"/>
        </w:rPr>
        <w:t>每月按经审核的招标清单完成实物量的 80%支付工程款（含支付至农民工专用账户的 20%工资性工程款），若有违约金则予以扣除，在审核后 30 天内支付</w:t>
      </w:r>
      <w:r>
        <w:rPr>
          <w:rFonts w:hint="eastAsia" w:ascii="宋体" w:hAnsi="宋体" w:cs="宋体"/>
          <w:color w:val="FF0000"/>
          <w:sz w:val="24"/>
          <w:highlight w:val="none"/>
        </w:rPr>
        <w:t>，每次付款同时扣回按经审核招标清单完成实物量的工程造价</w:t>
      </w:r>
      <w:r>
        <w:rPr>
          <w:rFonts w:ascii="宋体" w:hAnsi="宋体" w:cs="宋体"/>
          <w:color w:val="FF0000"/>
          <w:sz w:val="24"/>
          <w:highlight w:val="none"/>
        </w:rPr>
        <w:t>3</w:t>
      </w:r>
      <w:r>
        <w:rPr>
          <w:rFonts w:hint="eastAsia" w:ascii="宋体" w:hAnsi="宋体" w:cs="宋体"/>
          <w:color w:val="FF0000"/>
          <w:sz w:val="24"/>
          <w:highlight w:val="none"/>
        </w:rPr>
        <w:t xml:space="preserve">0%的工程款预付款；每次付款金额计算如下： </w:t>
      </w:r>
    </w:p>
    <w:p>
      <w:pPr>
        <w:spacing w:line="360" w:lineRule="auto"/>
        <w:ind w:firstLine="480" w:firstLineChars="200"/>
        <w:rPr>
          <w:rFonts w:hint="eastAsia" w:ascii="宋体" w:hAnsi="宋体" w:cs="宋体"/>
          <w:color w:val="FF0000"/>
          <w:sz w:val="24"/>
          <w:highlight w:val="none"/>
        </w:rPr>
      </w:pPr>
      <w:r>
        <w:rPr>
          <w:rFonts w:hint="eastAsia" w:ascii="宋体" w:hAnsi="宋体" w:cs="宋体"/>
          <w:color w:val="FF0000"/>
          <w:sz w:val="24"/>
          <w:highlight w:val="none"/>
        </w:rPr>
        <w:t xml:space="preserve">工资性工程款=按经审核的招标清单完成实物量的工程造价×20% </w:t>
      </w:r>
    </w:p>
    <w:p>
      <w:pPr>
        <w:spacing w:line="360" w:lineRule="auto"/>
        <w:ind w:firstLine="480" w:firstLineChars="200"/>
        <w:rPr>
          <w:rFonts w:hint="eastAsia" w:ascii="宋体" w:hAnsi="宋体" w:cs="宋体"/>
          <w:color w:val="FF0000"/>
          <w:sz w:val="24"/>
          <w:highlight w:val="none"/>
        </w:rPr>
      </w:pPr>
      <w:r>
        <w:rPr>
          <w:rFonts w:hint="eastAsia" w:ascii="宋体" w:hAnsi="宋体" w:cs="宋体"/>
          <w:color w:val="FF0000"/>
          <w:sz w:val="24"/>
          <w:highlight w:val="none"/>
        </w:rPr>
        <w:t>工程性工程款=按经审核的招标清单完成实物量的工程造价×（80%-20%-</w:t>
      </w:r>
      <w:r>
        <w:rPr>
          <w:rFonts w:ascii="宋体" w:hAnsi="宋体" w:cs="宋体"/>
          <w:color w:val="FF0000"/>
          <w:sz w:val="24"/>
          <w:highlight w:val="none"/>
        </w:rPr>
        <w:t>3</w:t>
      </w:r>
      <w:r>
        <w:rPr>
          <w:rFonts w:hint="eastAsia" w:ascii="宋体" w:hAnsi="宋体" w:cs="宋体"/>
          <w:color w:val="FF0000"/>
          <w:sz w:val="24"/>
          <w:highlight w:val="none"/>
        </w:rPr>
        <w:t xml:space="preserve">0%） </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（2）工程完工验收并达到合同约定质量等级标准后，工程款支付至实际完成合格工程量的 90%（含预付款及进度款）； </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（3）其余工程款待完工结算审计完毕后提供正式发票后付至100%。 </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（4）以上价款的支付按照有关规定，由承包人提出申请，经监理工程师、跟踪审计和发包人（建设单位）审核后，报有关部门审核后支付。 </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（5）超出合同总价款之外的部分，一律不支付工程进度款，待结算审计后一并支付。 </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工程结算造价以相关审计单位出具的本工程结算审核报告审定的金额为准。</w:t>
      </w:r>
    </w:p>
    <w:p>
      <w:pPr>
        <w:pStyle w:val="24"/>
        <w:spacing w:line="360" w:lineRule="auto"/>
        <w:ind w:firstLine="482" w:firstLineChars="200"/>
        <w:jc w:val="left"/>
        <w:rPr>
          <w:rFonts w:hint="eastAsia" w:hAnsi="宋体" w:cs="宋体"/>
          <w:b/>
          <w:bCs/>
          <w:sz w:val="24"/>
          <w:szCs w:val="24"/>
          <w:highlight w:val="none"/>
        </w:rPr>
      </w:pPr>
      <w:r>
        <w:rPr>
          <w:rFonts w:hint="eastAsia" w:hAnsi="宋体" w:cs="宋体"/>
          <w:b/>
          <w:bCs/>
          <w:sz w:val="24"/>
          <w:szCs w:val="24"/>
          <w:highlight w:val="none"/>
        </w:rPr>
        <w:t>注：以上为最低施工、商务承诺要求，投标人参与投标时必须对以上相关内容通晓熟知并作出书面承诺，在此基础上投标人可提供其他更多的维护承诺（如应急保障措施、优惠条款等），并提供详细的施工计划书。</w:t>
      </w:r>
    </w:p>
    <w:p>
      <w:pPr>
        <w:pStyle w:val="24"/>
        <w:snapToGrid w:val="0"/>
        <w:spacing w:line="360" w:lineRule="auto"/>
        <w:jc w:val="center"/>
        <w:outlineLvl w:val="0"/>
        <w:rPr>
          <w:rFonts w:hint="eastAsia" w:hAnsi="宋体" w:cs="宋体"/>
          <w:b/>
          <w:sz w:val="36"/>
          <w:szCs w:val="36"/>
          <w:highlight w:val="none"/>
        </w:rPr>
      </w:pPr>
      <w:r>
        <w:rPr>
          <w:rFonts w:hint="eastAsia" w:ascii="黑体" w:hAnsi="黑体" w:eastAsia="黑体" w:cs="黑体"/>
          <w:b/>
          <w:sz w:val="36"/>
          <w:szCs w:val="36"/>
          <w:highlight w:val="none"/>
        </w:rPr>
        <w:br w:type="page"/>
      </w:r>
      <w:bookmarkStart w:id="110" w:name="_Toc29804"/>
      <w:bookmarkStart w:id="111" w:name="_Toc29929"/>
      <w:r>
        <w:rPr>
          <w:rStyle w:val="55"/>
          <w:rFonts w:hint="eastAsia"/>
          <w:highlight w:val="none"/>
        </w:rPr>
        <w:t>第五章 评标办法及评分标准</w:t>
      </w:r>
      <w:bookmarkEnd w:id="110"/>
      <w:bookmarkEnd w:id="111"/>
    </w:p>
    <w:p>
      <w:pPr>
        <w:pStyle w:val="24"/>
        <w:snapToGrid w:val="0"/>
        <w:spacing w:line="384" w:lineRule="auto"/>
        <w:ind w:firstLine="482" w:firstLineChars="200"/>
        <w:rPr>
          <w:rFonts w:hint="eastAsia" w:hAnsi="宋体" w:cs="宋体"/>
          <w:b/>
          <w:sz w:val="24"/>
          <w:szCs w:val="24"/>
          <w:highlight w:val="none"/>
        </w:rPr>
      </w:pPr>
      <w:r>
        <w:rPr>
          <w:rFonts w:hint="eastAsia" w:hAnsi="宋体" w:cs="宋体"/>
          <w:b/>
          <w:sz w:val="24"/>
          <w:szCs w:val="24"/>
          <w:highlight w:val="none"/>
        </w:rPr>
        <w:t>本评标办法遵照《中华人民共和国政府采购法》有关规定，并结合本项目的具体情况制定。</w:t>
      </w:r>
    </w:p>
    <w:p>
      <w:pPr>
        <w:pStyle w:val="24"/>
        <w:snapToGrid w:val="0"/>
        <w:spacing w:line="384" w:lineRule="auto"/>
        <w:ind w:firstLine="482" w:firstLineChars="200"/>
        <w:rPr>
          <w:rFonts w:hint="eastAsia" w:hAnsi="宋体" w:cs="宋体"/>
          <w:b/>
          <w:sz w:val="24"/>
          <w:szCs w:val="24"/>
          <w:highlight w:val="none"/>
        </w:rPr>
      </w:pPr>
      <w:r>
        <w:rPr>
          <w:rFonts w:hint="eastAsia" w:hAnsi="宋体" w:cs="宋体"/>
          <w:b/>
          <w:sz w:val="24"/>
          <w:szCs w:val="24"/>
          <w:highlight w:val="none"/>
        </w:rPr>
        <w:t>一、评标原则</w:t>
      </w:r>
    </w:p>
    <w:p>
      <w:pPr>
        <w:snapToGrid w:val="0"/>
        <w:spacing w:line="384" w:lineRule="auto"/>
        <w:ind w:firstLine="480" w:firstLineChars="200"/>
        <w:rPr>
          <w:rFonts w:hint="eastAsia" w:ascii="宋体" w:hAnsi="宋体" w:cs="宋体"/>
          <w:sz w:val="24"/>
          <w:highlight w:val="none"/>
          <w:lang w:val="zh-CN"/>
        </w:rPr>
      </w:pPr>
      <w:r>
        <w:rPr>
          <w:rFonts w:hint="eastAsia" w:ascii="宋体" w:hAnsi="宋体" w:cs="宋体"/>
          <w:sz w:val="24"/>
          <w:highlight w:val="none"/>
          <w:lang w:val="zh-CN"/>
        </w:rPr>
        <w:t>本次招标以</w:t>
      </w:r>
      <w:r>
        <w:rPr>
          <w:rFonts w:hint="eastAsia" w:ascii="宋体" w:hAnsi="宋体" w:cs="宋体"/>
          <w:b/>
          <w:bCs/>
          <w:sz w:val="24"/>
          <w:highlight w:val="none"/>
          <w:lang w:val="zh-CN"/>
        </w:rPr>
        <w:t>综合评分法</w:t>
      </w:r>
      <w:r>
        <w:rPr>
          <w:rFonts w:hint="eastAsia" w:ascii="宋体" w:hAnsi="宋体" w:cs="宋体"/>
          <w:sz w:val="24"/>
          <w:highlight w:val="none"/>
          <w:lang w:val="zh-CN"/>
        </w:rPr>
        <w:t xml:space="preserve">对项目的投标人依次作出评标结论。评标委员会必须公平、公正、客观，不带任何倾向性和启发性，不得向外界透露任何与评标有关的内容；任何单位和个人不得干扰、影响评标的正常进行；评标委员会及有关工作人员不得私下与投标人接触；在评标期间，评标委员及相关工作人员必须严格遵守保密规定，不得泄露评标的有关情况。 </w:t>
      </w:r>
    </w:p>
    <w:p>
      <w:pPr>
        <w:snapToGrid w:val="0"/>
        <w:spacing w:line="384" w:lineRule="auto"/>
        <w:ind w:firstLine="480" w:firstLineChars="200"/>
        <w:rPr>
          <w:rFonts w:hint="eastAsia" w:ascii="宋体" w:hAnsi="宋体" w:cs="宋体"/>
          <w:sz w:val="24"/>
          <w:highlight w:val="none"/>
          <w:lang w:val="zh-CN"/>
        </w:rPr>
      </w:pPr>
      <w:r>
        <w:rPr>
          <w:rFonts w:hint="eastAsia" w:ascii="宋体" w:hAnsi="宋体" w:cs="宋体"/>
          <w:sz w:val="24"/>
          <w:highlight w:val="none"/>
          <w:lang w:val="zh-CN"/>
        </w:rPr>
        <w:t>评标委员会成员对需要共同认定的事项存在争议的，应当按照少数服从多数的原则作出结论。持不同意见的评标委员会成员应当在评标报告上签署不同意见及理由，否则视为同意评标报告。</w:t>
      </w:r>
    </w:p>
    <w:p>
      <w:pPr>
        <w:pStyle w:val="24"/>
        <w:snapToGrid w:val="0"/>
        <w:spacing w:line="384" w:lineRule="auto"/>
        <w:ind w:firstLine="482" w:firstLineChars="200"/>
        <w:rPr>
          <w:rFonts w:hint="eastAsia" w:hAnsi="宋体" w:cs="宋体"/>
          <w:b/>
          <w:sz w:val="24"/>
          <w:szCs w:val="24"/>
          <w:highlight w:val="none"/>
        </w:rPr>
      </w:pPr>
      <w:r>
        <w:rPr>
          <w:rFonts w:hint="eastAsia" w:hAnsi="宋体" w:cs="宋体"/>
          <w:b/>
          <w:sz w:val="24"/>
          <w:szCs w:val="24"/>
          <w:highlight w:val="none"/>
        </w:rPr>
        <w:t>二、评标组织</w:t>
      </w:r>
    </w:p>
    <w:p>
      <w:pPr>
        <w:snapToGrid w:val="0"/>
        <w:spacing w:line="384" w:lineRule="auto"/>
        <w:ind w:firstLine="480" w:firstLineChars="200"/>
        <w:rPr>
          <w:rFonts w:hint="eastAsia" w:hAnsi="宋体" w:cs="宋体"/>
          <w:b/>
          <w:sz w:val="24"/>
          <w:highlight w:val="none"/>
        </w:rPr>
      </w:pPr>
      <w:r>
        <w:rPr>
          <w:rFonts w:hint="eastAsia" w:ascii="宋体" w:hAnsi="宋体" w:cs="宋体"/>
          <w:sz w:val="24"/>
          <w:highlight w:val="none"/>
        </w:rPr>
        <w:t xml:space="preserve">评标工作由采购人依法组建的评标委员会负责。评标委员会负责审标、询标、评审等工作，并向采购人提出评审意见和评标报告。 </w:t>
      </w:r>
    </w:p>
    <w:p>
      <w:pPr>
        <w:pStyle w:val="24"/>
        <w:snapToGrid w:val="0"/>
        <w:spacing w:line="384" w:lineRule="auto"/>
        <w:ind w:firstLine="482" w:firstLineChars="200"/>
        <w:rPr>
          <w:rFonts w:hint="eastAsia" w:hAnsi="宋体" w:cs="宋体"/>
          <w:b/>
          <w:sz w:val="24"/>
          <w:szCs w:val="24"/>
          <w:highlight w:val="none"/>
        </w:rPr>
      </w:pPr>
      <w:r>
        <w:rPr>
          <w:rFonts w:hint="eastAsia" w:hAnsi="宋体" w:cs="宋体"/>
          <w:b/>
          <w:sz w:val="24"/>
          <w:szCs w:val="24"/>
          <w:highlight w:val="none"/>
        </w:rPr>
        <w:t>三、评标办法：采用综合评分法总得分为100分，其中技术得分70分，价格得分30分</w:t>
      </w:r>
    </w:p>
    <w:p>
      <w:pPr>
        <w:snapToGrid w:val="0"/>
        <w:spacing w:line="384" w:lineRule="auto"/>
        <w:ind w:firstLine="482" w:firstLineChars="200"/>
        <w:rPr>
          <w:rFonts w:hint="eastAsia" w:ascii="宋体" w:hAnsi="宋体" w:cs="宋体"/>
          <w:b/>
          <w:bCs/>
          <w:sz w:val="24"/>
          <w:highlight w:val="none"/>
          <w:lang w:val="zh-CN"/>
        </w:rPr>
      </w:pPr>
      <w:r>
        <w:rPr>
          <w:rFonts w:hint="eastAsia" w:ascii="宋体" w:hAnsi="宋体" w:cs="宋体"/>
          <w:b/>
          <w:bCs/>
          <w:sz w:val="24"/>
          <w:highlight w:val="none"/>
          <w:lang w:val="zh-CN"/>
        </w:rPr>
        <w:t>（一）评标要求</w:t>
      </w:r>
    </w:p>
    <w:p>
      <w:pPr>
        <w:snapToGrid w:val="0"/>
        <w:spacing w:line="384" w:lineRule="auto"/>
        <w:ind w:firstLine="480" w:firstLineChars="200"/>
        <w:rPr>
          <w:rFonts w:hint="eastAsia" w:ascii="宋体" w:hAnsi="宋体" w:cs="宋体"/>
          <w:sz w:val="24"/>
          <w:highlight w:val="none"/>
          <w:lang w:val="zh-CN"/>
        </w:rPr>
      </w:pPr>
      <w:r>
        <w:rPr>
          <w:rFonts w:hint="eastAsia" w:ascii="宋体" w:hAnsi="宋体" w:cs="宋体"/>
          <w:sz w:val="24"/>
          <w:highlight w:val="none"/>
          <w:lang w:val="zh-CN"/>
        </w:rPr>
        <w:t>1、评标委员会将对投标文件的内容进行评审，凡投标文件实质性内容不响应招标文件要求和关键格式不符合招标文件规定的，经评标委员会认定作为无效标处理。评标委员会经过审标、询标，在对各投标人及其投标文件进行充分分析、评议的基础上进行打分。</w:t>
      </w:r>
    </w:p>
    <w:p>
      <w:pPr>
        <w:snapToGrid w:val="0"/>
        <w:spacing w:line="384" w:lineRule="auto"/>
        <w:ind w:firstLine="480" w:firstLineChars="200"/>
        <w:rPr>
          <w:rFonts w:hint="eastAsia" w:ascii="宋体" w:hAnsi="宋体" w:cs="宋体"/>
          <w:sz w:val="24"/>
          <w:highlight w:val="none"/>
          <w:lang w:val="zh-CN"/>
        </w:rPr>
      </w:pPr>
      <w:r>
        <w:rPr>
          <w:rFonts w:hint="eastAsia" w:ascii="宋体" w:hAnsi="宋体" w:cs="宋体"/>
          <w:sz w:val="24"/>
          <w:highlight w:val="none"/>
          <w:lang w:val="zh-CN"/>
        </w:rPr>
        <w:t>2、总得分为100分。在规定的分值范围内由评委自行评定打分，如某个单项的打分超过所规定的分值范围，则该项打分无效。</w:t>
      </w:r>
    </w:p>
    <w:p>
      <w:pPr>
        <w:snapToGrid w:val="0"/>
        <w:spacing w:line="384" w:lineRule="auto"/>
        <w:ind w:firstLine="480" w:firstLineChars="200"/>
        <w:rPr>
          <w:rFonts w:hint="eastAsia" w:ascii="宋体" w:hAnsi="宋体" w:cs="宋体"/>
          <w:sz w:val="24"/>
          <w:highlight w:val="none"/>
          <w:lang w:val="zh-CN"/>
        </w:rPr>
      </w:pPr>
      <w:r>
        <w:rPr>
          <w:rFonts w:hint="eastAsia" w:ascii="宋体" w:hAnsi="宋体" w:cs="宋体"/>
          <w:sz w:val="24"/>
          <w:highlight w:val="none"/>
          <w:lang w:val="zh-CN"/>
        </w:rPr>
        <w:t>3、根据评委打分累计后再取平均分作为投标人的最终得分。</w:t>
      </w:r>
    </w:p>
    <w:p>
      <w:pPr>
        <w:snapToGrid w:val="0"/>
        <w:spacing w:line="384" w:lineRule="auto"/>
        <w:ind w:firstLine="480" w:firstLineChars="200"/>
        <w:rPr>
          <w:rFonts w:hint="eastAsia" w:ascii="宋体" w:hAnsi="宋体" w:cs="宋体"/>
          <w:sz w:val="24"/>
          <w:highlight w:val="none"/>
          <w:lang w:val="zh-CN"/>
        </w:rPr>
      </w:pPr>
      <w:r>
        <w:rPr>
          <w:rFonts w:hint="eastAsia" w:ascii="宋体" w:hAnsi="宋体" w:cs="宋体"/>
          <w:sz w:val="24"/>
          <w:highlight w:val="none"/>
          <w:lang w:val="zh-CN"/>
        </w:rPr>
        <w:t>4、所有计算结果小数点后保留2位，第3位四舍五入。</w:t>
      </w:r>
    </w:p>
    <w:p>
      <w:pPr>
        <w:snapToGrid w:val="0"/>
        <w:spacing w:line="384" w:lineRule="auto"/>
        <w:ind w:firstLine="482" w:firstLineChars="200"/>
        <w:rPr>
          <w:rFonts w:hint="eastAsia" w:ascii="宋体" w:hAnsi="宋体" w:cs="宋体"/>
          <w:b/>
          <w:bCs/>
          <w:sz w:val="24"/>
          <w:highlight w:val="none"/>
          <w:lang w:val="zh-CN"/>
        </w:rPr>
      </w:pPr>
      <w:r>
        <w:rPr>
          <w:rFonts w:hint="eastAsia" w:ascii="宋体" w:hAnsi="宋体" w:cs="宋体"/>
          <w:b/>
          <w:bCs/>
          <w:sz w:val="24"/>
          <w:highlight w:val="none"/>
          <w:lang w:val="zh-CN"/>
        </w:rPr>
        <w:t>（二）评标</w:t>
      </w:r>
    </w:p>
    <w:p>
      <w:pPr>
        <w:snapToGrid w:val="0"/>
        <w:spacing w:line="384" w:lineRule="auto"/>
        <w:ind w:firstLine="482" w:firstLineChars="200"/>
        <w:rPr>
          <w:rFonts w:hint="eastAsia" w:ascii="宋体" w:hAnsi="宋体" w:cs="宋体"/>
          <w:b/>
          <w:bCs/>
          <w:sz w:val="24"/>
          <w:highlight w:val="none"/>
          <w:lang w:val="zh-CN"/>
        </w:rPr>
      </w:pPr>
      <w:r>
        <w:rPr>
          <w:rFonts w:hint="eastAsia" w:ascii="宋体" w:hAnsi="宋体" w:cs="宋体"/>
          <w:b/>
          <w:bCs/>
          <w:sz w:val="24"/>
          <w:highlight w:val="none"/>
          <w:lang w:val="zh-CN"/>
        </w:rPr>
        <w:t>1、资格审查</w:t>
      </w:r>
    </w:p>
    <w:p>
      <w:pPr>
        <w:snapToGrid w:val="0"/>
        <w:spacing w:line="384" w:lineRule="auto"/>
        <w:ind w:firstLine="480" w:firstLineChars="200"/>
        <w:rPr>
          <w:rFonts w:hint="eastAsia" w:ascii="宋体" w:hAnsi="宋体" w:cs="宋体"/>
          <w:sz w:val="24"/>
          <w:highlight w:val="none"/>
          <w:lang w:val="zh-CN"/>
        </w:rPr>
      </w:pPr>
      <w:r>
        <w:rPr>
          <w:rFonts w:hint="eastAsia" w:ascii="宋体" w:hAnsi="宋体" w:cs="宋体"/>
          <w:sz w:val="24"/>
          <w:highlight w:val="none"/>
          <w:lang w:val="zh-CN"/>
        </w:rPr>
        <w:t>采购人代表和代理机构工作人员对投标人的资格审查文件的完整性、合法性、资格条件等进行审查。合格的进入商务技术文件评审，不合格的按无效标处理不再进入商务技术文件评审。</w:t>
      </w:r>
    </w:p>
    <w:p>
      <w:pPr>
        <w:snapToGrid w:val="0"/>
        <w:spacing w:line="384" w:lineRule="auto"/>
        <w:ind w:firstLine="482" w:firstLineChars="200"/>
        <w:rPr>
          <w:rFonts w:ascii="宋体" w:hAnsi="宋体" w:cs="宋体"/>
          <w:b/>
          <w:bCs/>
          <w:sz w:val="24"/>
          <w:highlight w:val="none"/>
        </w:rPr>
      </w:pPr>
      <w:r>
        <w:rPr>
          <w:rFonts w:hint="eastAsia" w:ascii="宋体" w:hAnsi="宋体" w:cs="宋体"/>
          <w:b/>
          <w:bCs/>
          <w:sz w:val="24"/>
          <w:highlight w:val="none"/>
          <w:lang w:val="zh-CN"/>
        </w:rPr>
        <w:t>2、</w:t>
      </w:r>
      <w:r>
        <w:rPr>
          <w:rFonts w:hint="eastAsia" w:ascii="宋体" w:hAnsi="宋体" w:cs="宋体"/>
          <w:b/>
          <w:bCs/>
          <w:sz w:val="24"/>
          <w:highlight w:val="none"/>
        </w:rPr>
        <w:t>符合性审查</w:t>
      </w:r>
    </w:p>
    <w:p>
      <w:pPr>
        <w:snapToGrid w:val="0"/>
        <w:spacing w:line="384" w:lineRule="auto"/>
        <w:ind w:firstLine="480" w:firstLineChars="200"/>
        <w:rPr>
          <w:rFonts w:hint="eastAsia"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rPr>
        <w:t>1</w:t>
      </w:r>
      <w:r>
        <w:rPr>
          <w:rFonts w:hint="eastAsia" w:ascii="宋体" w:hAnsi="宋体" w:cs="宋体"/>
          <w:sz w:val="24"/>
          <w:highlight w:val="none"/>
          <w:lang w:val="zh-CN"/>
        </w:rPr>
        <w:t>）评标委员会对</w:t>
      </w:r>
      <w:r>
        <w:rPr>
          <w:rFonts w:hint="eastAsia" w:ascii="宋体" w:hAnsi="宋体" w:cs="宋体"/>
          <w:sz w:val="24"/>
          <w:highlight w:val="none"/>
        </w:rPr>
        <w:t>商务技术文件</w:t>
      </w:r>
      <w:r>
        <w:rPr>
          <w:rFonts w:hint="eastAsia" w:ascii="宋体" w:hAnsi="宋体" w:cs="宋体"/>
          <w:sz w:val="24"/>
          <w:highlight w:val="none"/>
          <w:lang w:val="zh-CN"/>
        </w:rPr>
        <w:t>依据招标文件</w:t>
      </w:r>
      <w:r>
        <w:rPr>
          <w:rFonts w:hint="eastAsia" w:ascii="宋体" w:hAnsi="宋体" w:cs="宋体"/>
          <w:sz w:val="24"/>
          <w:highlight w:val="none"/>
        </w:rPr>
        <w:t>的</w:t>
      </w:r>
      <w:r>
        <w:rPr>
          <w:rFonts w:hint="eastAsia" w:ascii="宋体" w:hAnsi="宋体" w:cs="宋体"/>
          <w:sz w:val="24"/>
          <w:highlight w:val="none"/>
          <w:lang w:val="zh-CN"/>
        </w:rPr>
        <w:t>规定进行符合性审查。如果商务技术文件实质上不响应招标文件各项要求，评标委员会将按无效标处理。</w:t>
      </w:r>
    </w:p>
    <w:p>
      <w:pPr>
        <w:snapToGrid w:val="0"/>
        <w:spacing w:line="384" w:lineRule="auto"/>
        <w:ind w:firstLine="480" w:firstLineChars="200"/>
        <w:rPr>
          <w:rFonts w:hint="eastAsia"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 xml:space="preserve">）技术得分计算方法如下： </w:t>
      </w:r>
    </w:p>
    <w:p>
      <w:pPr>
        <w:snapToGrid w:val="0"/>
        <w:spacing w:line="384" w:lineRule="auto"/>
        <w:ind w:firstLine="480" w:firstLineChars="200"/>
        <w:rPr>
          <w:rFonts w:hint="eastAsia" w:ascii="宋体" w:hAnsi="宋体" w:cs="宋体"/>
          <w:sz w:val="24"/>
          <w:highlight w:val="none"/>
          <w:lang w:val="zh-CN"/>
        </w:rPr>
      </w:pPr>
      <w:r>
        <w:rPr>
          <w:rFonts w:hint="eastAsia" w:ascii="宋体" w:hAnsi="宋体" w:cs="宋体"/>
          <w:sz w:val="24"/>
          <w:highlight w:val="none"/>
        </w:rPr>
        <w:t>2.1）</w:t>
      </w:r>
      <w:r>
        <w:rPr>
          <w:rFonts w:hint="eastAsia" w:ascii="宋体" w:hAnsi="宋体" w:cs="宋体"/>
          <w:b/>
          <w:bCs/>
          <w:sz w:val="24"/>
          <w:highlight w:val="none"/>
        </w:rPr>
        <w:t>技术评定分值为70分。</w:t>
      </w:r>
    </w:p>
    <w:p>
      <w:pPr>
        <w:snapToGrid w:val="0"/>
        <w:spacing w:line="384" w:lineRule="auto"/>
        <w:ind w:firstLine="480" w:firstLineChars="200"/>
        <w:rPr>
          <w:rFonts w:hint="eastAsia" w:ascii="宋体" w:hAnsi="宋体" w:cs="宋体"/>
          <w:sz w:val="24"/>
          <w:highlight w:val="none"/>
          <w:lang w:val="zh-CN"/>
        </w:rPr>
      </w:pPr>
      <w:r>
        <w:rPr>
          <w:rFonts w:hint="eastAsia" w:ascii="宋体" w:hAnsi="宋体" w:cs="宋体"/>
          <w:sz w:val="24"/>
          <w:highlight w:val="none"/>
        </w:rPr>
        <w:t>2.2）</w:t>
      </w:r>
      <w:r>
        <w:rPr>
          <w:rFonts w:hint="eastAsia" w:ascii="宋体" w:hAnsi="宋体" w:cs="宋体"/>
          <w:sz w:val="24"/>
          <w:highlight w:val="none"/>
          <w:lang w:val="zh-CN"/>
        </w:rPr>
        <w:t>评标委员会按评分标准（详见表）中的内容，对各投标人商务技术文件在分值范围内独立评分（具体分值设定详见表格），小数点后最多保留一位小数，合计得出各投标人的技术得分。</w:t>
      </w:r>
    </w:p>
    <w:p>
      <w:pPr>
        <w:snapToGrid w:val="0"/>
        <w:spacing w:line="384" w:lineRule="auto"/>
        <w:ind w:firstLine="480" w:firstLineChars="200"/>
        <w:rPr>
          <w:rFonts w:hint="eastAsia" w:ascii="宋体" w:hAnsi="宋体" w:cs="宋体"/>
          <w:sz w:val="24"/>
          <w:highlight w:val="none"/>
          <w:lang w:val="zh-CN"/>
        </w:rPr>
      </w:pPr>
      <w:r>
        <w:rPr>
          <w:rFonts w:hint="eastAsia" w:ascii="宋体" w:hAnsi="宋体" w:cs="宋体"/>
          <w:sz w:val="24"/>
          <w:highlight w:val="none"/>
        </w:rPr>
        <w:t>2.3）</w:t>
      </w:r>
      <w:r>
        <w:rPr>
          <w:rFonts w:hint="eastAsia" w:ascii="宋体" w:hAnsi="宋体" w:cs="宋体"/>
          <w:sz w:val="24"/>
          <w:highlight w:val="none"/>
          <w:lang w:val="zh-CN"/>
        </w:rPr>
        <w:t>各投标人技术得分由评委自行评议，技术得分评分的最终得分为所有评委打分汇总后的算术平均值。</w:t>
      </w:r>
    </w:p>
    <w:p>
      <w:pPr>
        <w:pStyle w:val="2"/>
        <w:spacing w:after="0" w:line="360" w:lineRule="auto"/>
        <w:ind w:left="0" w:leftChars="0" w:firstLine="482"/>
        <w:rPr>
          <w:rFonts w:hint="eastAsia" w:cs="宋体"/>
          <w:b/>
          <w:bCs/>
          <w:sz w:val="24"/>
          <w:szCs w:val="24"/>
          <w:highlight w:val="none"/>
        </w:rPr>
      </w:pPr>
      <w:r>
        <w:rPr>
          <w:rFonts w:hint="eastAsia" w:ascii="黑体" w:hAnsi="黑体" w:eastAsia="黑体" w:cs="黑体"/>
          <w:b/>
          <w:bCs/>
          <w:sz w:val="24"/>
          <w:szCs w:val="24"/>
          <w:highlight w:val="none"/>
        </w:rPr>
        <w:t>评分细则（70分）：</w:t>
      </w:r>
    </w:p>
    <w:tbl>
      <w:tblPr>
        <w:tblStyle w:val="40"/>
        <w:tblW w:w="9886" w:type="dxa"/>
        <w:tblInd w:w="6"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42"/>
        <w:gridCol w:w="1004"/>
        <w:gridCol w:w="7450"/>
        <w:gridCol w:w="79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wAfter w:w="0" w:type="auto"/>
          <w:trHeight w:val="295" w:hRule="atLeast"/>
        </w:trPr>
        <w:tc>
          <w:tcPr>
            <w:tcW w:w="642" w:type="dxa"/>
            <w:noWrap w:val="0"/>
            <w:vAlign w:val="center"/>
          </w:tcPr>
          <w:p>
            <w:pPr>
              <w:jc w:val="center"/>
              <w:rPr>
                <w:rFonts w:hint="eastAsia" w:ascii="宋体" w:hAnsi="宋体" w:cs="宋体"/>
                <w:b/>
                <w:szCs w:val="21"/>
                <w:highlight w:val="none"/>
              </w:rPr>
            </w:pPr>
            <w:r>
              <w:rPr>
                <w:rFonts w:hint="eastAsia" w:ascii="宋体" w:hAnsi="宋体" w:cs="宋体"/>
                <w:b/>
                <w:szCs w:val="21"/>
                <w:highlight w:val="none"/>
              </w:rPr>
              <w:t>序号</w:t>
            </w:r>
          </w:p>
        </w:tc>
        <w:tc>
          <w:tcPr>
            <w:tcW w:w="1004" w:type="dxa"/>
            <w:noWrap w:val="0"/>
            <w:vAlign w:val="center"/>
          </w:tcPr>
          <w:p>
            <w:pPr>
              <w:jc w:val="center"/>
              <w:rPr>
                <w:rFonts w:hint="eastAsia" w:ascii="宋体" w:hAnsi="宋体" w:cs="宋体"/>
                <w:b/>
                <w:szCs w:val="21"/>
                <w:highlight w:val="none"/>
              </w:rPr>
            </w:pPr>
            <w:r>
              <w:rPr>
                <w:rFonts w:hint="eastAsia" w:ascii="宋体" w:hAnsi="宋体" w:cs="宋体"/>
                <w:b/>
                <w:bCs/>
                <w:szCs w:val="21"/>
                <w:highlight w:val="none"/>
              </w:rPr>
              <w:t>评分因素</w:t>
            </w:r>
          </w:p>
        </w:tc>
        <w:tc>
          <w:tcPr>
            <w:tcW w:w="7450" w:type="dxa"/>
            <w:noWrap w:val="0"/>
            <w:vAlign w:val="center"/>
          </w:tcPr>
          <w:p>
            <w:pPr>
              <w:jc w:val="center"/>
              <w:rPr>
                <w:rFonts w:hint="eastAsia" w:ascii="宋体" w:hAnsi="宋体" w:cs="宋体"/>
                <w:b/>
                <w:szCs w:val="21"/>
                <w:highlight w:val="none"/>
              </w:rPr>
            </w:pPr>
            <w:r>
              <w:rPr>
                <w:rFonts w:hint="eastAsia" w:ascii="宋体" w:hAnsi="宋体" w:cs="宋体"/>
                <w:b/>
                <w:bCs/>
                <w:szCs w:val="21"/>
                <w:highlight w:val="none"/>
              </w:rPr>
              <w:t>评审标准</w:t>
            </w:r>
          </w:p>
        </w:tc>
        <w:tc>
          <w:tcPr>
            <w:tcW w:w="790" w:type="dxa"/>
            <w:noWrap w:val="0"/>
            <w:vAlign w:val="center"/>
          </w:tcPr>
          <w:p>
            <w:pPr>
              <w:jc w:val="center"/>
              <w:rPr>
                <w:rFonts w:hint="eastAsia" w:ascii="宋体" w:hAnsi="宋体" w:cs="宋体"/>
                <w:b/>
                <w:szCs w:val="21"/>
                <w:highlight w:val="none"/>
              </w:rPr>
            </w:pPr>
            <w:r>
              <w:rPr>
                <w:rFonts w:hint="eastAsia" w:ascii="宋体" w:hAnsi="宋体" w:cs="宋体"/>
                <w:b/>
                <w:szCs w:val="21"/>
                <w:highlight w:val="none"/>
              </w:rPr>
              <w:t>分值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wAfter w:w="0" w:type="auto"/>
          <w:trHeight w:val="864" w:hRule="atLeast"/>
        </w:trPr>
        <w:tc>
          <w:tcPr>
            <w:tcW w:w="642" w:type="dxa"/>
            <w:vMerge w:val="restart"/>
            <w:noWrap w:val="0"/>
            <w:vAlign w:val="center"/>
          </w:tcPr>
          <w:p>
            <w:pPr>
              <w:widowControl/>
              <w:spacing w:line="360" w:lineRule="auto"/>
              <w:ind w:left="105" w:leftChars="50" w:right="105" w:rightChars="50"/>
              <w:jc w:val="center"/>
              <w:rPr>
                <w:rFonts w:ascii="宋体" w:hAnsi="宋体" w:cs="宋体"/>
                <w:szCs w:val="21"/>
                <w:highlight w:val="none"/>
              </w:rPr>
            </w:pPr>
            <w:r>
              <w:rPr>
                <w:rFonts w:hint="eastAsia" w:ascii="宋体" w:hAnsi="宋体" w:cs="宋体"/>
                <w:szCs w:val="21"/>
                <w:highlight w:val="none"/>
              </w:rPr>
              <w:t>1</w:t>
            </w:r>
          </w:p>
        </w:tc>
        <w:tc>
          <w:tcPr>
            <w:tcW w:w="1004" w:type="dxa"/>
            <w:vMerge w:val="restart"/>
            <w:noWrap w:val="0"/>
            <w:vAlign w:val="center"/>
          </w:tcPr>
          <w:p>
            <w:pPr>
              <w:pStyle w:val="122"/>
              <w:adjustRightInd w:val="0"/>
              <w:snapToGrid w:val="0"/>
              <w:spacing w:before="0" w:beforeAutospacing="0" w:after="0" w:afterAutospacing="0"/>
              <w:jc w:val="center"/>
              <w:rPr>
                <w:sz w:val="21"/>
                <w:szCs w:val="21"/>
                <w:highlight w:val="none"/>
              </w:rPr>
            </w:pPr>
            <w:r>
              <w:rPr>
                <w:rFonts w:hint="eastAsia"/>
                <w:sz w:val="21"/>
                <w:szCs w:val="21"/>
                <w:highlight w:val="none"/>
              </w:rPr>
              <w:t>综合实力</w:t>
            </w:r>
          </w:p>
        </w:tc>
        <w:tc>
          <w:tcPr>
            <w:tcW w:w="7450" w:type="dxa"/>
            <w:noWrap w:val="0"/>
            <w:vAlign w:val="center"/>
          </w:tcPr>
          <w:p>
            <w:pPr>
              <w:rPr>
                <w:rFonts w:hint="eastAsia"/>
                <w:highlight w:val="none"/>
                <w:lang w:val="zh-CN"/>
              </w:rPr>
            </w:pPr>
            <w:r>
              <w:rPr>
                <w:rFonts w:hint="eastAsia"/>
                <w:highlight w:val="none"/>
              </w:rPr>
              <w:t>投标人（联合体成员）具有ISO9001质量管理认证体系、ISO14001环境认证体系、职业健康管理系统认证体系，每项得1分。本项最高得3分。（需提供扫描件，不提供或不在有效期内的不得分）</w:t>
            </w:r>
          </w:p>
        </w:tc>
        <w:tc>
          <w:tcPr>
            <w:tcW w:w="790" w:type="dxa"/>
            <w:noWrap w:val="0"/>
            <w:vAlign w:val="center"/>
          </w:tcPr>
          <w:p>
            <w:pPr>
              <w:widowControl/>
              <w:spacing w:line="460" w:lineRule="exact"/>
              <w:jc w:val="center"/>
              <w:rPr>
                <w:rFonts w:hint="eastAsia" w:ascii="宋体" w:hAnsi="宋体" w:cs="宋体"/>
                <w:szCs w:val="21"/>
                <w:highlight w:val="none"/>
              </w:rPr>
            </w:pPr>
            <w:r>
              <w:rPr>
                <w:rFonts w:hint="eastAsia" w:ascii="宋体" w:hAnsi="宋体" w:cs="宋体"/>
                <w:kern w:val="0"/>
                <w:szCs w:val="21"/>
                <w:highlight w:val="none"/>
              </w:rPr>
              <w:t>0-3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wAfter w:w="0" w:type="auto"/>
          <w:trHeight w:val="646" w:hRule="atLeast"/>
        </w:trPr>
        <w:tc>
          <w:tcPr>
            <w:tcW w:w="642" w:type="dxa"/>
            <w:vMerge w:val="continue"/>
            <w:noWrap w:val="0"/>
            <w:vAlign w:val="center"/>
          </w:tcPr>
          <w:p>
            <w:pPr>
              <w:widowControl/>
              <w:spacing w:line="360" w:lineRule="auto"/>
              <w:ind w:left="105" w:leftChars="50" w:right="105" w:rightChars="50"/>
              <w:jc w:val="center"/>
              <w:rPr>
                <w:rFonts w:ascii="宋体" w:hAnsi="宋体" w:cs="宋体"/>
                <w:szCs w:val="21"/>
                <w:highlight w:val="none"/>
              </w:rPr>
            </w:pPr>
          </w:p>
        </w:tc>
        <w:tc>
          <w:tcPr>
            <w:tcW w:w="1004" w:type="dxa"/>
            <w:vMerge w:val="continue"/>
            <w:noWrap w:val="0"/>
            <w:vAlign w:val="center"/>
          </w:tcPr>
          <w:p>
            <w:pPr>
              <w:widowControl/>
              <w:spacing w:line="360" w:lineRule="auto"/>
              <w:ind w:left="105" w:leftChars="50" w:right="105" w:rightChars="50"/>
              <w:jc w:val="center"/>
              <w:rPr>
                <w:rFonts w:hint="eastAsia" w:ascii="宋体" w:hAnsi="宋体" w:cs="宋体"/>
                <w:kern w:val="0"/>
                <w:szCs w:val="21"/>
                <w:highlight w:val="none"/>
                <w:lang w:val="zh-CN"/>
              </w:rPr>
            </w:pPr>
          </w:p>
        </w:tc>
        <w:tc>
          <w:tcPr>
            <w:tcW w:w="7450" w:type="dxa"/>
            <w:noWrap w:val="0"/>
            <w:vAlign w:val="center"/>
          </w:tcPr>
          <w:p>
            <w:pPr>
              <w:rPr>
                <w:highlight w:val="none"/>
              </w:rPr>
            </w:pPr>
            <w:r>
              <w:rPr>
                <w:rFonts w:hint="eastAsia"/>
                <w:highlight w:val="none"/>
              </w:rPr>
              <w:t>投标人（联合体成员）具有建筑装修装饰工程专业承包二级及以上、中国展览馆协会颁发的展览陈列工程设计施工一体化二级及以上资质的，每项得</w:t>
            </w:r>
            <w:r>
              <w:rPr>
                <w:highlight w:val="none"/>
              </w:rPr>
              <w:t>1</w:t>
            </w:r>
            <w:r>
              <w:rPr>
                <w:rFonts w:hint="eastAsia"/>
                <w:highlight w:val="none"/>
              </w:rPr>
              <w:t>分。本项最高得2分。（需提供扫描件，不提供或不在有效期内的不得分）</w:t>
            </w:r>
          </w:p>
        </w:tc>
        <w:tc>
          <w:tcPr>
            <w:tcW w:w="790" w:type="dxa"/>
            <w:tcBorders>
              <w:bottom w:val="single" w:color="auto" w:sz="4" w:space="0"/>
            </w:tcBorders>
            <w:noWrap w:val="0"/>
            <w:vAlign w:val="center"/>
          </w:tcPr>
          <w:p>
            <w:pPr>
              <w:widowControl/>
              <w:spacing w:line="360" w:lineRule="auto"/>
              <w:ind w:left="105" w:leftChars="50" w:right="105" w:rightChars="50"/>
              <w:jc w:val="center"/>
              <w:rPr>
                <w:rFonts w:ascii="宋体" w:hAnsi="宋体" w:cs="宋体"/>
                <w:szCs w:val="21"/>
                <w:highlight w:val="none"/>
              </w:rPr>
            </w:pPr>
            <w:r>
              <w:rPr>
                <w:rFonts w:hint="eastAsia" w:ascii="宋体" w:hAnsi="宋体" w:cs="宋体"/>
                <w:szCs w:val="21"/>
                <w:highlight w:val="none"/>
              </w:rPr>
              <w:t>0-2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wAfter w:w="0" w:type="auto"/>
          <w:trHeight w:val="869" w:hRule="atLeast"/>
        </w:trPr>
        <w:tc>
          <w:tcPr>
            <w:tcW w:w="642" w:type="dxa"/>
            <w:vMerge w:val="restart"/>
            <w:tcBorders>
              <w:top w:val="single" w:color="auto" w:sz="4" w:space="0"/>
            </w:tcBorders>
            <w:noWrap w:val="0"/>
            <w:vAlign w:val="center"/>
          </w:tcPr>
          <w:p>
            <w:pPr>
              <w:widowControl/>
              <w:spacing w:line="360" w:lineRule="auto"/>
              <w:ind w:left="105" w:leftChars="50" w:right="105" w:rightChars="50"/>
              <w:jc w:val="center"/>
              <w:rPr>
                <w:rFonts w:ascii="宋体" w:hAnsi="宋体" w:cs="宋体"/>
                <w:szCs w:val="21"/>
                <w:highlight w:val="none"/>
              </w:rPr>
            </w:pPr>
            <w:r>
              <w:rPr>
                <w:rFonts w:hint="eastAsia" w:ascii="宋体" w:hAnsi="宋体" w:cs="宋体"/>
                <w:szCs w:val="21"/>
                <w:highlight w:val="none"/>
              </w:rPr>
              <w:t>2</w:t>
            </w:r>
          </w:p>
        </w:tc>
        <w:tc>
          <w:tcPr>
            <w:tcW w:w="1004" w:type="dxa"/>
            <w:vMerge w:val="restart"/>
            <w:tcBorders>
              <w:top w:val="single" w:color="auto" w:sz="4" w:space="0"/>
            </w:tcBorders>
            <w:noWrap w:val="0"/>
            <w:vAlign w:val="center"/>
          </w:tcPr>
          <w:p>
            <w:pPr>
              <w:widowControl/>
              <w:spacing w:line="360" w:lineRule="auto"/>
              <w:ind w:left="105" w:leftChars="50" w:right="105" w:rightChars="50"/>
              <w:jc w:val="center"/>
              <w:rPr>
                <w:rFonts w:hint="eastAsia" w:ascii="宋体" w:hAnsi="宋体" w:cs="宋体"/>
                <w:szCs w:val="21"/>
                <w:highlight w:val="none"/>
                <w:lang w:val="zh-CN"/>
              </w:rPr>
            </w:pPr>
            <w:r>
              <w:rPr>
                <w:rFonts w:hint="eastAsia" w:ascii="宋体" w:hAnsi="宋体" w:cs="宋体"/>
                <w:szCs w:val="21"/>
                <w:highlight w:val="none"/>
                <w:lang w:val="zh-CN"/>
              </w:rPr>
              <w:t>业绩</w:t>
            </w:r>
          </w:p>
        </w:tc>
        <w:tc>
          <w:tcPr>
            <w:tcW w:w="7450" w:type="dxa"/>
            <w:tcBorders>
              <w:top w:val="single" w:color="auto" w:sz="4" w:space="0"/>
            </w:tcBorders>
            <w:noWrap w:val="0"/>
            <w:vAlign w:val="center"/>
          </w:tcPr>
          <w:p>
            <w:pPr>
              <w:rPr>
                <w:rFonts w:hint="eastAsia"/>
                <w:highlight w:val="none"/>
                <w:lang w:val="zh-CN"/>
              </w:rPr>
            </w:pPr>
            <w:r>
              <w:rPr>
                <w:rFonts w:hint="eastAsia"/>
                <w:highlight w:val="none"/>
              </w:rPr>
              <w:t>投标人（联合体成员）2018年1月1日至今（时间以合同签订日为准）完成过同类项目业绩的，每个得1分。本项最高得2分。（需提供合同、竣工或完工验收资料扫描件，不提供不得分。是否同类业绩以评标委员会一致判定为准。）</w:t>
            </w:r>
          </w:p>
        </w:tc>
        <w:tc>
          <w:tcPr>
            <w:tcW w:w="790" w:type="dxa"/>
            <w:tcBorders>
              <w:top w:val="single" w:color="auto" w:sz="4" w:space="0"/>
            </w:tcBorders>
            <w:noWrap w:val="0"/>
            <w:vAlign w:val="center"/>
          </w:tcPr>
          <w:p>
            <w:pPr>
              <w:widowControl/>
              <w:spacing w:line="360" w:lineRule="auto"/>
              <w:ind w:left="105" w:leftChars="50" w:right="105" w:rightChars="50"/>
              <w:jc w:val="center"/>
              <w:rPr>
                <w:rFonts w:hint="eastAsia" w:ascii="宋体" w:hAnsi="宋体" w:cs="宋体"/>
                <w:szCs w:val="21"/>
                <w:highlight w:val="none"/>
              </w:rPr>
            </w:pPr>
            <w:r>
              <w:rPr>
                <w:rFonts w:hint="eastAsia" w:ascii="宋体" w:hAnsi="宋体" w:cs="宋体"/>
                <w:szCs w:val="21"/>
                <w:highlight w:val="none"/>
              </w:rPr>
              <w:t>0-2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wAfter w:w="0" w:type="auto"/>
          <w:trHeight w:val="248" w:hRule="atLeast"/>
        </w:trPr>
        <w:tc>
          <w:tcPr>
            <w:tcW w:w="642" w:type="dxa"/>
            <w:vMerge w:val="continue"/>
            <w:noWrap w:val="0"/>
            <w:vAlign w:val="center"/>
          </w:tcPr>
          <w:p>
            <w:pPr>
              <w:widowControl/>
              <w:spacing w:line="360" w:lineRule="auto"/>
              <w:ind w:left="105" w:leftChars="50" w:right="105" w:rightChars="50"/>
              <w:jc w:val="center"/>
              <w:rPr>
                <w:rFonts w:hint="eastAsia" w:ascii="宋体" w:hAnsi="宋体" w:cs="宋体"/>
                <w:szCs w:val="21"/>
                <w:highlight w:val="none"/>
                <w:lang w:val="zh-CN"/>
              </w:rPr>
            </w:pPr>
          </w:p>
        </w:tc>
        <w:tc>
          <w:tcPr>
            <w:tcW w:w="1004" w:type="dxa"/>
            <w:vMerge w:val="continue"/>
            <w:tcBorders>
              <w:top w:val="single" w:color="auto" w:sz="4" w:space="0"/>
            </w:tcBorders>
            <w:noWrap w:val="0"/>
            <w:vAlign w:val="center"/>
          </w:tcPr>
          <w:p>
            <w:pPr>
              <w:widowControl/>
              <w:spacing w:line="360" w:lineRule="auto"/>
              <w:ind w:left="105" w:leftChars="50" w:right="105" w:rightChars="50"/>
              <w:jc w:val="center"/>
              <w:rPr>
                <w:rFonts w:hint="eastAsia" w:ascii="宋体" w:hAnsi="宋体" w:cs="宋体"/>
                <w:szCs w:val="21"/>
                <w:highlight w:val="none"/>
                <w:lang w:val="zh-CN"/>
              </w:rPr>
            </w:pPr>
          </w:p>
        </w:tc>
        <w:tc>
          <w:tcPr>
            <w:tcW w:w="7450" w:type="dxa"/>
            <w:noWrap w:val="0"/>
            <w:vAlign w:val="center"/>
          </w:tcPr>
          <w:p>
            <w:pPr>
              <w:rPr>
                <w:rFonts w:hint="eastAsia"/>
                <w:highlight w:val="none"/>
                <w:lang w:val="zh-CN"/>
              </w:rPr>
            </w:pPr>
            <w:r>
              <w:rPr>
                <w:rFonts w:hint="eastAsia"/>
                <w:highlight w:val="none"/>
              </w:rPr>
              <w:t>拟派项目负责人以项目负责人或技术负责人（包括总承包项目中的施工负责人或施工技术负责人）身份自2018年1月1日以来（时间以合同签订时间为准）完成过同类项目业绩的得</w:t>
            </w:r>
            <w:r>
              <w:rPr>
                <w:highlight w:val="none"/>
              </w:rPr>
              <w:t>1</w:t>
            </w:r>
            <w:r>
              <w:rPr>
                <w:rFonts w:hint="eastAsia"/>
                <w:highlight w:val="none"/>
              </w:rPr>
              <w:t>分。本项最多得</w:t>
            </w:r>
            <w:r>
              <w:rPr>
                <w:highlight w:val="none"/>
              </w:rPr>
              <w:t>1</w:t>
            </w:r>
            <w:r>
              <w:rPr>
                <w:rFonts w:hint="eastAsia"/>
                <w:highlight w:val="none"/>
              </w:rPr>
              <w:t>分。（需提供合同、竣工或完工验收资料扫描件，不提供不得分。是否同类业绩以评标委员会一致判定为准。）</w:t>
            </w:r>
          </w:p>
        </w:tc>
        <w:tc>
          <w:tcPr>
            <w:tcW w:w="790" w:type="dxa"/>
            <w:noWrap w:val="0"/>
            <w:vAlign w:val="center"/>
          </w:tcPr>
          <w:p>
            <w:pPr>
              <w:widowControl/>
              <w:spacing w:line="360" w:lineRule="auto"/>
              <w:ind w:left="105" w:leftChars="50" w:right="105" w:rightChars="50"/>
              <w:jc w:val="center"/>
              <w:rPr>
                <w:rFonts w:ascii="宋体" w:hAnsi="宋体" w:cs="宋体"/>
                <w:szCs w:val="21"/>
                <w:highlight w:val="none"/>
              </w:rPr>
            </w:pPr>
            <w:r>
              <w:rPr>
                <w:rFonts w:hint="eastAsia" w:ascii="宋体" w:hAnsi="宋体" w:cs="宋体"/>
                <w:szCs w:val="21"/>
                <w:highlight w:val="none"/>
              </w:rPr>
              <w:t>0-</w:t>
            </w:r>
            <w:r>
              <w:rPr>
                <w:rFonts w:ascii="宋体" w:hAnsi="宋体" w:cs="宋体"/>
                <w:szCs w:val="21"/>
                <w:highlight w:val="none"/>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wAfter w:w="0" w:type="auto"/>
          <w:trHeight w:val="792" w:hRule="atLeast"/>
        </w:trPr>
        <w:tc>
          <w:tcPr>
            <w:tcW w:w="642" w:type="dxa"/>
            <w:vMerge w:val="restart"/>
            <w:noWrap w:val="0"/>
            <w:vAlign w:val="center"/>
          </w:tcPr>
          <w:p>
            <w:pPr>
              <w:widowControl/>
              <w:spacing w:line="360" w:lineRule="auto"/>
              <w:ind w:left="105" w:leftChars="50" w:right="105" w:rightChars="50"/>
              <w:jc w:val="center"/>
              <w:rPr>
                <w:rFonts w:ascii="宋体" w:hAnsi="宋体" w:cs="宋体"/>
                <w:szCs w:val="21"/>
                <w:highlight w:val="none"/>
              </w:rPr>
            </w:pPr>
            <w:r>
              <w:rPr>
                <w:rFonts w:hint="eastAsia" w:ascii="宋体" w:hAnsi="宋体" w:cs="宋体"/>
                <w:szCs w:val="21"/>
                <w:highlight w:val="none"/>
              </w:rPr>
              <w:t>3</w:t>
            </w:r>
          </w:p>
        </w:tc>
        <w:tc>
          <w:tcPr>
            <w:tcW w:w="1004" w:type="dxa"/>
            <w:vMerge w:val="restart"/>
            <w:noWrap w:val="0"/>
            <w:vAlign w:val="center"/>
          </w:tcPr>
          <w:p>
            <w:pPr>
              <w:pStyle w:val="122"/>
              <w:adjustRightInd w:val="0"/>
              <w:snapToGrid w:val="0"/>
              <w:spacing w:before="0" w:beforeAutospacing="0" w:after="0" w:afterAutospacing="0"/>
              <w:jc w:val="center"/>
              <w:rPr>
                <w:rFonts w:hint="eastAsia"/>
                <w:sz w:val="21"/>
                <w:szCs w:val="21"/>
                <w:highlight w:val="none"/>
                <w:lang w:val="zh-CN"/>
              </w:rPr>
            </w:pPr>
            <w:r>
              <w:rPr>
                <w:rFonts w:hint="eastAsia"/>
                <w:sz w:val="21"/>
                <w:szCs w:val="21"/>
                <w:highlight w:val="none"/>
              </w:rPr>
              <w:t>人员配备和专业配置</w:t>
            </w:r>
          </w:p>
        </w:tc>
        <w:tc>
          <w:tcPr>
            <w:tcW w:w="7450" w:type="dxa"/>
            <w:noWrap w:val="0"/>
            <w:vAlign w:val="center"/>
          </w:tcPr>
          <w:p>
            <w:pPr>
              <w:pStyle w:val="95"/>
              <w:adjustRightInd/>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拟派项目负责人具有</w:t>
            </w:r>
            <w:r>
              <w:rPr>
                <w:rFonts w:hint="eastAsia" w:ascii="宋体" w:hAnsi="宋体" w:eastAsia="宋体" w:cs="宋体"/>
                <w:color w:val="auto"/>
                <w:sz w:val="21"/>
                <w:szCs w:val="21"/>
                <w:highlight w:val="none"/>
                <w:lang w:val="zh-CN"/>
              </w:rPr>
              <w:t>建筑工程专业二级及以上资质的注册建造师资格的，得0</w:t>
            </w:r>
            <w:r>
              <w:rPr>
                <w:rFonts w:ascii="宋体" w:hAnsi="宋体" w:eastAsia="宋体" w:cs="宋体"/>
                <w:color w:val="auto"/>
                <w:sz w:val="21"/>
                <w:szCs w:val="21"/>
                <w:highlight w:val="none"/>
                <w:lang w:val="zh-CN"/>
              </w:rPr>
              <w:t>.5分</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拟派</w:t>
            </w:r>
            <w:r>
              <w:rPr>
                <w:rFonts w:hint="eastAsia" w:ascii="宋体" w:hAnsi="宋体" w:eastAsia="宋体" w:cs="宋体"/>
                <w:color w:val="auto"/>
                <w:sz w:val="21"/>
                <w:szCs w:val="21"/>
                <w:highlight w:val="none"/>
                <w:lang w:val="zh-CN"/>
              </w:rPr>
              <w:t>技术负责人须具有建筑</w:t>
            </w:r>
            <w:r>
              <w:rPr>
                <w:rFonts w:hint="eastAsia" w:ascii="宋体" w:hAnsi="宋体" w:eastAsia="宋体" w:cs="宋体"/>
                <w:color w:val="auto"/>
                <w:sz w:val="21"/>
                <w:szCs w:val="21"/>
                <w:highlight w:val="none"/>
              </w:rPr>
              <w:t>类专业中级及以上专业技术职称的，得0</w:t>
            </w:r>
            <w:r>
              <w:rPr>
                <w:rFonts w:ascii="宋体" w:hAnsi="宋体" w:eastAsia="宋体" w:cs="宋体"/>
                <w:color w:val="auto"/>
                <w:sz w:val="21"/>
                <w:szCs w:val="21"/>
                <w:highlight w:val="none"/>
              </w:rPr>
              <w:t>.5分</w:t>
            </w:r>
            <w:r>
              <w:rPr>
                <w:rFonts w:hint="eastAsia" w:ascii="宋体" w:hAnsi="宋体" w:eastAsia="宋体" w:cs="宋体"/>
                <w:color w:val="auto"/>
                <w:sz w:val="21"/>
                <w:szCs w:val="21"/>
                <w:highlight w:val="none"/>
              </w:rPr>
              <w:t>。本项最多得1分。（需提供人员社保缴纳记录、相关证书扫描件，不提供不得分）</w:t>
            </w:r>
          </w:p>
        </w:tc>
        <w:tc>
          <w:tcPr>
            <w:tcW w:w="790" w:type="dxa"/>
            <w:noWrap w:val="0"/>
            <w:vAlign w:val="center"/>
          </w:tcPr>
          <w:p>
            <w:pPr>
              <w:pStyle w:val="122"/>
              <w:adjustRightInd w:val="0"/>
              <w:snapToGrid w:val="0"/>
              <w:spacing w:before="0" w:beforeAutospacing="0" w:after="0" w:afterAutospacing="0"/>
              <w:jc w:val="center"/>
              <w:rPr>
                <w:sz w:val="21"/>
                <w:szCs w:val="21"/>
                <w:highlight w:val="none"/>
              </w:rPr>
            </w:pPr>
            <w:r>
              <w:rPr>
                <w:rFonts w:hint="eastAsia"/>
                <w:sz w:val="21"/>
                <w:szCs w:val="21"/>
                <w:highlight w:val="none"/>
              </w:rPr>
              <w:t>0</w:t>
            </w:r>
            <w:r>
              <w:rPr>
                <w:sz w:val="21"/>
                <w:szCs w:val="21"/>
                <w:highlight w:val="none"/>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wAfter w:w="0" w:type="auto"/>
          <w:trHeight w:val="320" w:hRule="atLeast"/>
        </w:trPr>
        <w:tc>
          <w:tcPr>
            <w:tcW w:w="642" w:type="dxa"/>
            <w:vMerge w:val="continue"/>
            <w:noWrap w:val="0"/>
            <w:vAlign w:val="center"/>
          </w:tcPr>
          <w:p>
            <w:pPr>
              <w:widowControl/>
              <w:spacing w:line="360" w:lineRule="auto"/>
              <w:ind w:left="105" w:leftChars="50" w:right="105" w:rightChars="50"/>
              <w:jc w:val="center"/>
              <w:rPr>
                <w:rFonts w:hint="eastAsia" w:ascii="宋体" w:hAnsi="宋体" w:cs="宋体"/>
                <w:szCs w:val="21"/>
                <w:highlight w:val="none"/>
              </w:rPr>
            </w:pPr>
          </w:p>
        </w:tc>
        <w:tc>
          <w:tcPr>
            <w:tcW w:w="1004" w:type="dxa"/>
            <w:vMerge w:val="continue"/>
            <w:noWrap w:val="0"/>
            <w:vAlign w:val="center"/>
          </w:tcPr>
          <w:p>
            <w:pPr>
              <w:pStyle w:val="122"/>
              <w:adjustRightInd w:val="0"/>
              <w:snapToGrid w:val="0"/>
              <w:spacing w:before="0" w:beforeAutospacing="0" w:after="0" w:afterAutospacing="0"/>
              <w:jc w:val="center"/>
              <w:rPr>
                <w:rFonts w:hint="eastAsia"/>
                <w:sz w:val="21"/>
                <w:szCs w:val="21"/>
                <w:highlight w:val="none"/>
              </w:rPr>
            </w:pPr>
          </w:p>
        </w:tc>
        <w:tc>
          <w:tcPr>
            <w:tcW w:w="7450" w:type="dxa"/>
            <w:noWrap w:val="0"/>
            <w:vAlign w:val="center"/>
          </w:tcPr>
          <w:p>
            <w:pPr>
              <w:pStyle w:val="95"/>
              <w:adjustRightInd/>
              <w:rPr>
                <w:rFonts w:hint="eastAsia" w:ascii="宋体" w:hAnsi="宋体" w:eastAsia="宋体" w:cs="宋体"/>
                <w:color w:val="auto"/>
                <w:sz w:val="21"/>
                <w:szCs w:val="21"/>
                <w:highlight w:val="none"/>
              </w:rPr>
            </w:pPr>
            <w:r>
              <w:rPr>
                <w:rFonts w:ascii="宋体" w:hAnsi="宋体" w:eastAsia="宋体" w:cs="宋体"/>
                <w:color w:val="auto"/>
                <w:sz w:val="21"/>
                <w:szCs w:val="21"/>
                <w:highlight w:val="none"/>
              </w:rPr>
              <w:t>拟派项目管理团队人数不少于</w:t>
            </w:r>
            <w:r>
              <w:rPr>
                <w:rFonts w:hint="eastAsia" w:ascii="宋体" w:hAnsi="宋体" w:eastAsia="宋体" w:cs="宋体"/>
                <w:color w:val="auto"/>
                <w:sz w:val="21"/>
                <w:szCs w:val="21"/>
                <w:highlight w:val="none"/>
              </w:rPr>
              <w:t>1</w:t>
            </w:r>
            <w:r>
              <w:rPr>
                <w:rFonts w:ascii="宋体" w:hAnsi="宋体" w:eastAsia="宋体" w:cs="宋体"/>
                <w:color w:val="auto"/>
                <w:sz w:val="21"/>
                <w:szCs w:val="21"/>
                <w:highlight w:val="none"/>
              </w:rPr>
              <w:t>0人的</w:t>
            </w: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得</w:t>
            </w:r>
            <w:r>
              <w:rPr>
                <w:rFonts w:hint="eastAsia" w:ascii="宋体" w:hAnsi="宋体" w:eastAsia="宋体" w:cs="宋体"/>
                <w:color w:val="auto"/>
                <w:sz w:val="21"/>
                <w:szCs w:val="21"/>
                <w:highlight w:val="none"/>
              </w:rPr>
              <w:t>0</w:t>
            </w:r>
            <w:r>
              <w:rPr>
                <w:rFonts w:ascii="宋体" w:hAnsi="宋体" w:eastAsia="宋体" w:cs="宋体"/>
                <w:color w:val="auto"/>
                <w:sz w:val="21"/>
                <w:szCs w:val="21"/>
                <w:highlight w:val="none"/>
              </w:rPr>
              <w:t>.5分</w:t>
            </w:r>
            <w:r>
              <w:rPr>
                <w:rFonts w:hint="eastAsia" w:ascii="宋体" w:hAnsi="宋体" w:eastAsia="宋体" w:cs="宋体"/>
                <w:color w:val="auto"/>
                <w:sz w:val="21"/>
                <w:szCs w:val="21"/>
                <w:highlight w:val="none"/>
              </w:rPr>
              <w:t>；除项目负责人、技术负责人外，具有土木建筑工程、建筑装饰、电气及自动化等专业中级及以上职称、环境艺术设计、陈设艺术、软件设计、多媒体等专业资格的，每名得0.</w:t>
            </w:r>
            <w:r>
              <w:rPr>
                <w:rFonts w:ascii="宋体" w:hAnsi="宋体" w:eastAsia="宋体" w:cs="宋体"/>
                <w:color w:val="auto"/>
                <w:sz w:val="21"/>
                <w:szCs w:val="21"/>
                <w:highlight w:val="none"/>
              </w:rPr>
              <w:t>5</w:t>
            </w:r>
            <w:r>
              <w:rPr>
                <w:rFonts w:hint="eastAsia" w:ascii="宋体" w:hAnsi="宋体" w:eastAsia="宋体" w:cs="宋体"/>
                <w:color w:val="auto"/>
                <w:sz w:val="21"/>
                <w:szCs w:val="21"/>
                <w:highlight w:val="none"/>
              </w:rPr>
              <w:t>分。本项最高得</w:t>
            </w:r>
            <w:r>
              <w:rPr>
                <w:rFonts w:ascii="宋体" w:hAnsi="宋体" w:eastAsia="宋体" w:cs="宋体"/>
                <w:color w:val="auto"/>
                <w:sz w:val="21"/>
                <w:szCs w:val="21"/>
                <w:highlight w:val="none"/>
              </w:rPr>
              <w:t>4</w:t>
            </w:r>
            <w:r>
              <w:rPr>
                <w:rFonts w:hint="eastAsia" w:ascii="宋体" w:hAnsi="宋体" w:eastAsia="宋体" w:cs="宋体"/>
                <w:color w:val="auto"/>
                <w:sz w:val="21"/>
                <w:szCs w:val="21"/>
                <w:highlight w:val="none"/>
              </w:rPr>
              <w:t>分。（需提供人员社保缴纳记录、相关证书扫描件，不提供不得分；每个专业、每名人员只记一次分，不重复计分）</w:t>
            </w:r>
          </w:p>
        </w:tc>
        <w:tc>
          <w:tcPr>
            <w:tcW w:w="790" w:type="dxa"/>
            <w:noWrap w:val="0"/>
            <w:vAlign w:val="center"/>
          </w:tcPr>
          <w:p>
            <w:pPr>
              <w:pStyle w:val="122"/>
              <w:adjustRightInd w:val="0"/>
              <w:snapToGrid w:val="0"/>
              <w:spacing w:before="0" w:beforeAutospacing="0" w:after="0" w:afterAutospacing="0"/>
              <w:jc w:val="center"/>
              <w:rPr>
                <w:rFonts w:hint="eastAsia"/>
                <w:sz w:val="21"/>
                <w:szCs w:val="21"/>
                <w:highlight w:val="none"/>
              </w:rPr>
            </w:pPr>
            <w:r>
              <w:rPr>
                <w:rFonts w:hint="eastAsia"/>
                <w:sz w:val="21"/>
                <w:szCs w:val="21"/>
                <w:highlight w:val="none"/>
              </w:rPr>
              <w:t>0-</w:t>
            </w:r>
            <w:r>
              <w:rPr>
                <w:sz w:val="21"/>
                <w:szCs w:val="21"/>
                <w:highlight w:val="none"/>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wAfter w:w="0" w:type="auto"/>
          <w:trHeight w:val="279" w:hRule="atLeast"/>
        </w:trPr>
        <w:tc>
          <w:tcPr>
            <w:tcW w:w="642" w:type="dxa"/>
            <w:noWrap w:val="0"/>
            <w:vAlign w:val="center"/>
          </w:tcPr>
          <w:p>
            <w:pPr>
              <w:widowControl/>
              <w:spacing w:line="360" w:lineRule="auto"/>
              <w:ind w:left="105" w:leftChars="50" w:right="105" w:rightChars="50"/>
              <w:jc w:val="center"/>
              <w:rPr>
                <w:rFonts w:ascii="宋体" w:hAnsi="宋体" w:cs="宋体"/>
                <w:szCs w:val="21"/>
                <w:highlight w:val="none"/>
              </w:rPr>
            </w:pPr>
            <w:r>
              <w:rPr>
                <w:rFonts w:hint="eastAsia" w:ascii="宋体" w:hAnsi="宋体" w:cs="宋体"/>
                <w:szCs w:val="21"/>
                <w:highlight w:val="none"/>
              </w:rPr>
              <w:t>4</w:t>
            </w:r>
          </w:p>
        </w:tc>
        <w:tc>
          <w:tcPr>
            <w:tcW w:w="1004" w:type="dxa"/>
            <w:noWrap w:val="0"/>
            <w:vAlign w:val="center"/>
          </w:tcPr>
          <w:p>
            <w:pPr>
              <w:pStyle w:val="122"/>
              <w:adjustRightInd w:val="0"/>
              <w:snapToGrid w:val="0"/>
              <w:spacing w:before="0" w:beforeAutospacing="0" w:after="0" w:afterAutospacing="0"/>
              <w:jc w:val="center"/>
              <w:rPr>
                <w:rFonts w:hint="eastAsia"/>
                <w:sz w:val="21"/>
                <w:szCs w:val="21"/>
                <w:highlight w:val="none"/>
                <w:lang w:val="zh-CN"/>
              </w:rPr>
            </w:pPr>
            <w:r>
              <w:rPr>
                <w:rFonts w:hint="eastAsia"/>
                <w:sz w:val="21"/>
                <w:szCs w:val="21"/>
                <w:highlight w:val="none"/>
              </w:rPr>
              <w:t>项目理解及深化</w:t>
            </w:r>
          </w:p>
        </w:tc>
        <w:tc>
          <w:tcPr>
            <w:tcW w:w="7450" w:type="dxa"/>
            <w:noWrap w:val="0"/>
            <w:vAlign w:val="center"/>
          </w:tcPr>
          <w:p>
            <w:pPr>
              <w:pStyle w:val="95"/>
              <w:adjustRightInd/>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根据本招标文件技术要求和标准、施工图纸，充分理解并深化项目设计方案，对灌溉节水宣传馆中的</w:t>
            </w:r>
            <w:r>
              <w:rPr>
                <w:rFonts w:hint="eastAsia" w:ascii="宋体" w:hAnsi="宋体" w:eastAsia="宋体" w:cs="宋体"/>
                <w:b/>
                <w:bCs/>
                <w:color w:val="auto"/>
                <w:sz w:val="21"/>
                <w:szCs w:val="21"/>
                <w:highlight w:val="none"/>
              </w:rPr>
              <w:t>序厅（0-2分）</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水的一生（0-2分）</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农业灌溉（0-2分）</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冒险之旅（0-2分）</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所思所得（0-2分）</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安地灌区户外模型区（0-2分）</w:t>
            </w:r>
            <w:r>
              <w:rPr>
                <w:rFonts w:hint="eastAsia" w:ascii="宋体" w:hAnsi="宋体" w:eastAsia="宋体" w:cs="宋体"/>
                <w:color w:val="auto"/>
                <w:sz w:val="21"/>
                <w:szCs w:val="21"/>
                <w:highlight w:val="none"/>
              </w:rPr>
              <w:t>等场景还原及多媒体互动效果技术路线进行说明和效果展示，要求展陈手段新颖有特色、互动性强并深化至创作稿、效果表现及施工节点图，完整展示各场景的空间效果理念、设计创意、灯光氛围情绪等（含户外日景）。（由评标委员会横向比较打分；按节点分6项，单项最高2</w:t>
            </w:r>
            <w:r>
              <w:rPr>
                <w:rFonts w:ascii="宋体" w:hAnsi="宋体" w:eastAsia="宋体" w:cs="宋体"/>
                <w:color w:val="auto"/>
                <w:sz w:val="21"/>
                <w:szCs w:val="21"/>
                <w:highlight w:val="none"/>
              </w:rPr>
              <w:t>分</w:t>
            </w:r>
            <w:r>
              <w:rPr>
                <w:rFonts w:hint="eastAsia" w:ascii="宋体" w:hAnsi="宋体" w:eastAsia="宋体" w:cs="宋体"/>
                <w:color w:val="auto"/>
                <w:sz w:val="21"/>
                <w:szCs w:val="21"/>
                <w:highlight w:val="none"/>
              </w:rPr>
              <w:t>；缺项不得分）</w:t>
            </w:r>
          </w:p>
        </w:tc>
        <w:tc>
          <w:tcPr>
            <w:tcW w:w="790" w:type="dxa"/>
            <w:noWrap w:val="0"/>
            <w:vAlign w:val="center"/>
          </w:tcPr>
          <w:p>
            <w:pPr>
              <w:pStyle w:val="122"/>
              <w:adjustRightInd w:val="0"/>
              <w:snapToGrid w:val="0"/>
              <w:spacing w:before="0" w:beforeAutospacing="0" w:after="0" w:afterAutospacing="0"/>
              <w:jc w:val="center"/>
              <w:rPr>
                <w:sz w:val="21"/>
                <w:szCs w:val="21"/>
                <w:highlight w:val="none"/>
              </w:rPr>
            </w:pPr>
            <w:r>
              <w:rPr>
                <w:rFonts w:hint="eastAsia"/>
                <w:sz w:val="21"/>
                <w:szCs w:val="21"/>
                <w:highlight w:val="none"/>
              </w:rPr>
              <w:t>0-12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wAfter w:w="0" w:type="auto"/>
          <w:trHeight w:val="1293" w:hRule="atLeast"/>
        </w:trPr>
        <w:tc>
          <w:tcPr>
            <w:tcW w:w="642" w:type="dxa"/>
            <w:noWrap w:val="0"/>
            <w:vAlign w:val="center"/>
          </w:tcPr>
          <w:p>
            <w:pPr>
              <w:widowControl/>
              <w:spacing w:line="360" w:lineRule="auto"/>
              <w:ind w:left="105" w:leftChars="50" w:right="105" w:rightChars="50"/>
              <w:jc w:val="center"/>
              <w:rPr>
                <w:rFonts w:hint="eastAsia" w:ascii="宋体" w:hAnsi="宋体" w:cs="宋体"/>
                <w:szCs w:val="21"/>
                <w:highlight w:val="none"/>
              </w:rPr>
            </w:pPr>
            <w:r>
              <w:rPr>
                <w:rFonts w:hint="eastAsia" w:ascii="宋体" w:hAnsi="宋体" w:cs="宋体"/>
                <w:szCs w:val="21"/>
                <w:highlight w:val="none"/>
              </w:rPr>
              <w:t>5</w:t>
            </w:r>
          </w:p>
        </w:tc>
        <w:tc>
          <w:tcPr>
            <w:tcW w:w="1004" w:type="dxa"/>
            <w:noWrap w:val="0"/>
            <w:vAlign w:val="center"/>
          </w:tcPr>
          <w:p>
            <w:pPr>
              <w:pStyle w:val="122"/>
              <w:adjustRightInd w:val="0"/>
              <w:snapToGrid w:val="0"/>
              <w:spacing w:before="0" w:beforeAutospacing="0" w:after="0" w:afterAutospacing="0"/>
              <w:jc w:val="center"/>
              <w:rPr>
                <w:rFonts w:hint="eastAsia"/>
                <w:sz w:val="21"/>
                <w:szCs w:val="21"/>
                <w:highlight w:val="none"/>
              </w:rPr>
            </w:pPr>
            <w:r>
              <w:rPr>
                <w:rFonts w:hint="eastAsia"/>
                <w:sz w:val="21"/>
                <w:szCs w:val="21"/>
                <w:highlight w:val="none"/>
              </w:rPr>
              <w:t>展馆整体演示</w:t>
            </w:r>
          </w:p>
        </w:tc>
        <w:tc>
          <w:tcPr>
            <w:tcW w:w="7450" w:type="dxa"/>
            <w:noWrap w:val="0"/>
            <w:vAlign w:val="center"/>
          </w:tcPr>
          <w:p>
            <w:pPr>
              <w:pStyle w:val="95"/>
              <w:adjustRightInd/>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根据本招标文件技术要求和标准、施工图纸，结合深化设计方案，采取三维漫游演示方式，阐述安地灌区灌溉节水宣传馆主要内容，录制展馆整体演示视频（格式为AVI、MPEG-1、DVD、MP4、RMVB中任一种），并制作成U盘，视频演示时间宜控制在</w:t>
            </w:r>
            <w:r>
              <w:rPr>
                <w:rFonts w:ascii="宋体" w:hAnsi="宋体" w:eastAsia="宋体" w:cs="宋体"/>
                <w:color w:val="FF0000"/>
                <w:sz w:val="21"/>
                <w:szCs w:val="21"/>
                <w:highlight w:val="none"/>
              </w:rPr>
              <w:t>10</w:t>
            </w:r>
            <w:r>
              <w:rPr>
                <w:rFonts w:hint="eastAsia" w:ascii="宋体" w:hAnsi="宋体" w:eastAsia="宋体" w:cs="宋体"/>
                <w:color w:val="FF0000"/>
                <w:sz w:val="21"/>
                <w:szCs w:val="21"/>
                <w:highlight w:val="none"/>
              </w:rPr>
              <w:t>分</w:t>
            </w:r>
            <w:r>
              <w:rPr>
                <w:rFonts w:hint="eastAsia" w:ascii="宋体" w:hAnsi="宋体" w:eastAsia="宋体" w:cs="宋体"/>
                <w:color w:val="auto"/>
                <w:sz w:val="21"/>
                <w:szCs w:val="21"/>
                <w:highlight w:val="none"/>
              </w:rPr>
              <w:t>钟左右。演示视频将在投标截止时间后由评标委员会开启并进行评审，投标人邮寄U盘前请自行检查是否刻录成功，</w:t>
            </w:r>
            <w:r>
              <w:rPr>
                <w:rFonts w:hint="eastAsia" w:ascii="宋体" w:hAnsi="宋体" w:eastAsia="宋体" w:cs="宋体"/>
                <w:b/>
                <w:color w:val="auto"/>
                <w:sz w:val="21"/>
                <w:szCs w:val="21"/>
                <w:highlight w:val="none"/>
              </w:rPr>
              <w:t>若评审现场无法读取视为0分</w:t>
            </w:r>
            <w:r>
              <w:rPr>
                <w:rFonts w:hint="eastAsia" w:ascii="宋体" w:hAnsi="宋体" w:eastAsia="宋体" w:cs="宋体"/>
                <w:color w:val="auto"/>
                <w:sz w:val="21"/>
                <w:szCs w:val="21"/>
                <w:highlight w:val="none"/>
              </w:rPr>
              <w:t>。演示要求及内容需包含：</w:t>
            </w:r>
          </w:p>
          <w:p>
            <w:pPr>
              <w:pStyle w:val="95"/>
              <w:adjustRightInd/>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ascii="宋体" w:hAnsi="宋体" w:eastAsia="宋体" w:cs="宋体"/>
                <w:color w:val="auto"/>
                <w:sz w:val="21"/>
                <w:szCs w:val="21"/>
                <w:highlight w:val="none"/>
              </w:rPr>
              <w:t>.</w:t>
            </w:r>
            <w:r>
              <w:rPr>
                <w:rFonts w:hint="eastAsia" w:ascii="宋体" w:hAnsi="宋体" w:eastAsia="宋体" w:cs="宋体"/>
                <w:color w:val="auto"/>
                <w:sz w:val="21"/>
                <w:szCs w:val="21"/>
                <w:highlight w:val="none"/>
              </w:rPr>
              <w:t>演示顺序从安地灌区户外模型区到室内一层、二层、三层展区，应包含各展项内容，体现各个展区的空间关系（地、顶和立面效果）。（0</w:t>
            </w:r>
            <w:r>
              <w:rPr>
                <w:rFonts w:ascii="宋体" w:hAnsi="宋体" w:eastAsia="宋体" w:cs="宋体"/>
                <w:color w:val="auto"/>
                <w:sz w:val="21"/>
                <w:szCs w:val="21"/>
                <w:highlight w:val="none"/>
              </w:rPr>
              <w:t>-3</w:t>
            </w:r>
            <w:r>
              <w:rPr>
                <w:rFonts w:hint="eastAsia" w:ascii="宋体" w:hAnsi="宋体" w:eastAsia="宋体" w:cs="宋体"/>
                <w:color w:val="auto"/>
                <w:sz w:val="21"/>
                <w:szCs w:val="21"/>
                <w:highlight w:val="none"/>
              </w:rPr>
              <w:t>分）</w:t>
            </w:r>
          </w:p>
          <w:p>
            <w:pPr>
              <w:pStyle w:val="95"/>
              <w:adjustRightInd/>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ascii="宋体" w:hAnsi="宋体" w:eastAsia="宋体" w:cs="宋体"/>
                <w:color w:val="auto"/>
                <w:sz w:val="21"/>
                <w:szCs w:val="21"/>
                <w:highlight w:val="none"/>
              </w:rPr>
              <w:t>.演示视频要配有相应的解说及字幕</w:t>
            </w: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互动项目要展现互动效果</w:t>
            </w:r>
            <w:r>
              <w:rPr>
                <w:rFonts w:hint="eastAsia" w:ascii="宋体" w:hAnsi="宋体" w:eastAsia="宋体" w:cs="宋体"/>
                <w:color w:val="auto"/>
                <w:sz w:val="21"/>
                <w:szCs w:val="21"/>
                <w:highlight w:val="none"/>
              </w:rPr>
              <w:t>。（0</w:t>
            </w:r>
            <w:r>
              <w:rPr>
                <w:rFonts w:ascii="宋体" w:hAnsi="宋体" w:eastAsia="宋体" w:cs="宋体"/>
                <w:color w:val="auto"/>
                <w:sz w:val="21"/>
                <w:szCs w:val="21"/>
                <w:highlight w:val="none"/>
              </w:rPr>
              <w:t>-3</w:t>
            </w:r>
            <w:r>
              <w:rPr>
                <w:rFonts w:hint="eastAsia" w:ascii="宋体" w:hAnsi="宋体" w:eastAsia="宋体" w:cs="宋体"/>
                <w:color w:val="auto"/>
                <w:sz w:val="21"/>
                <w:szCs w:val="21"/>
                <w:highlight w:val="none"/>
              </w:rPr>
              <w:t>分）</w:t>
            </w:r>
          </w:p>
          <w:p>
            <w:pPr>
              <w:pStyle w:val="95"/>
              <w:adjustRightInd/>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ascii="宋体" w:hAnsi="宋体" w:eastAsia="宋体" w:cs="宋体"/>
                <w:color w:val="auto"/>
                <w:sz w:val="21"/>
                <w:szCs w:val="21"/>
                <w:highlight w:val="none"/>
              </w:rPr>
              <w:t>.</w:t>
            </w:r>
            <w:r>
              <w:rPr>
                <w:rFonts w:hint="eastAsia" w:ascii="宋体" w:hAnsi="宋体" w:eastAsia="宋体" w:cs="宋体"/>
                <w:color w:val="auto"/>
                <w:sz w:val="21"/>
                <w:szCs w:val="21"/>
                <w:highlight w:val="none"/>
              </w:rPr>
              <w:t>以三维效果视频呈现</w:t>
            </w:r>
            <w:r>
              <w:rPr>
                <w:rFonts w:ascii="宋体" w:hAnsi="宋体" w:eastAsia="宋体" w:cs="宋体"/>
                <w:color w:val="auto"/>
                <w:sz w:val="21"/>
                <w:szCs w:val="21"/>
                <w:highlight w:val="none"/>
              </w:rPr>
              <w:t>重点展项</w:t>
            </w:r>
            <w:r>
              <w:rPr>
                <w:rFonts w:hint="eastAsia" w:ascii="宋体" w:hAnsi="宋体" w:eastAsia="宋体" w:cs="宋体"/>
                <w:color w:val="auto"/>
                <w:sz w:val="21"/>
                <w:szCs w:val="21"/>
                <w:highlight w:val="none"/>
              </w:rPr>
              <w:t>，包括：</w:t>
            </w:r>
          </w:p>
          <w:p>
            <w:pPr>
              <w:pStyle w:val="95"/>
              <w:adjustRightInd/>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（1）对“安地灌区户外模型区”的三维呈现效果进行视频演示。（0</w:t>
            </w:r>
            <w:r>
              <w:rPr>
                <w:rFonts w:ascii="宋体" w:hAnsi="宋体" w:eastAsia="宋体" w:cs="宋体"/>
                <w:color w:val="auto"/>
                <w:sz w:val="21"/>
                <w:szCs w:val="21"/>
                <w:highlight w:val="none"/>
              </w:rPr>
              <w:t>-2</w:t>
            </w:r>
            <w:r>
              <w:rPr>
                <w:rFonts w:hint="eastAsia" w:ascii="宋体" w:hAnsi="宋体" w:eastAsia="宋体" w:cs="宋体"/>
                <w:color w:val="auto"/>
                <w:sz w:val="21"/>
                <w:szCs w:val="21"/>
                <w:highlight w:val="none"/>
              </w:rPr>
              <w:t>分）</w:t>
            </w:r>
          </w:p>
          <w:p>
            <w:pPr>
              <w:pStyle w:val="95"/>
              <w:adjustRightInd/>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（2）对“水的一生”的三维呈现效果及互动内容进行视频演示。（0</w:t>
            </w:r>
            <w:r>
              <w:rPr>
                <w:rFonts w:ascii="宋体" w:hAnsi="宋体" w:eastAsia="宋体" w:cs="宋体"/>
                <w:color w:val="auto"/>
                <w:sz w:val="21"/>
                <w:szCs w:val="21"/>
                <w:highlight w:val="none"/>
              </w:rPr>
              <w:t>-2</w:t>
            </w:r>
            <w:r>
              <w:rPr>
                <w:rFonts w:hint="eastAsia" w:ascii="宋体" w:hAnsi="宋体" w:eastAsia="宋体" w:cs="宋体"/>
                <w:color w:val="auto"/>
                <w:sz w:val="21"/>
                <w:szCs w:val="21"/>
                <w:highlight w:val="none"/>
              </w:rPr>
              <w:t>分）</w:t>
            </w:r>
          </w:p>
          <w:p>
            <w:pPr>
              <w:pStyle w:val="95"/>
              <w:adjustRightInd/>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（3）对“农业灌溉”的三维呈现效果及互动内容进行视频演示。（0</w:t>
            </w:r>
            <w:r>
              <w:rPr>
                <w:rFonts w:ascii="宋体" w:hAnsi="宋体" w:eastAsia="宋体" w:cs="宋体"/>
                <w:color w:val="auto"/>
                <w:sz w:val="21"/>
                <w:szCs w:val="21"/>
                <w:highlight w:val="none"/>
              </w:rPr>
              <w:t>-2</w:t>
            </w:r>
            <w:r>
              <w:rPr>
                <w:rFonts w:hint="eastAsia" w:ascii="宋体" w:hAnsi="宋体" w:eastAsia="宋体" w:cs="宋体"/>
                <w:color w:val="auto"/>
                <w:sz w:val="21"/>
                <w:szCs w:val="21"/>
                <w:highlight w:val="none"/>
              </w:rPr>
              <w:t>分）</w:t>
            </w:r>
          </w:p>
          <w:p>
            <w:pPr>
              <w:pStyle w:val="95"/>
              <w:adjustRightInd/>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（由评标委员会根据演示内容完整性、动线合理性、画面清晰性、讲解情况、总体效果等横向比较打分；缺项不得分）</w:t>
            </w:r>
          </w:p>
        </w:tc>
        <w:tc>
          <w:tcPr>
            <w:tcW w:w="790" w:type="dxa"/>
            <w:noWrap w:val="0"/>
            <w:vAlign w:val="center"/>
          </w:tcPr>
          <w:p>
            <w:pPr>
              <w:pStyle w:val="122"/>
              <w:adjustRightInd w:val="0"/>
              <w:snapToGrid w:val="0"/>
              <w:spacing w:before="0" w:beforeAutospacing="0" w:after="0" w:afterAutospacing="0"/>
              <w:jc w:val="center"/>
              <w:rPr>
                <w:rFonts w:hint="eastAsia"/>
                <w:sz w:val="21"/>
                <w:szCs w:val="21"/>
                <w:highlight w:val="none"/>
              </w:rPr>
            </w:pPr>
            <w:r>
              <w:rPr>
                <w:rFonts w:hint="eastAsia"/>
                <w:sz w:val="21"/>
                <w:szCs w:val="21"/>
                <w:highlight w:val="none"/>
              </w:rPr>
              <w:t>0</w:t>
            </w:r>
            <w:r>
              <w:rPr>
                <w:sz w:val="21"/>
                <w:szCs w:val="21"/>
                <w:highlight w:val="none"/>
              </w:rPr>
              <w:t>-1</w:t>
            </w:r>
            <w:r>
              <w:rPr>
                <w:rFonts w:hint="eastAsia"/>
                <w:sz w:val="21"/>
                <w:szCs w:val="21"/>
                <w:highlight w:val="none"/>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wAfter w:w="0" w:type="auto"/>
          <w:trHeight w:val="23" w:hRule="atLeast"/>
        </w:trPr>
        <w:tc>
          <w:tcPr>
            <w:tcW w:w="642" w:type="dxa"/>
            <w:vMerge w:val="restart"/>
            <w:noWrap w:val="0"/>
            <w:vAlign w:val="center"/>
          </w:tcPr>
          <w:p>
            <w:pPr>
              <w:widowControl/>
              <w:spacing w:line="360" w:lineRule="auto"/>
              <w:ind w:left="105" w:leftChars="50" w:right="105" w:rightChars="50"/>
              <w:jc w:val="center"/>
              <w:rPr>
                <w:rFonts w:hint="eastAsia" w:ascii="宋体" w:hAnsi="宋体" w:cs="宋体"/>
                <w:szCs w:val="21"/>
                <w:highlight w:val="none"/>
              </w:rPr>
            </w:pPr>
            <w:r>
              <w:rPr>
                <w:rFonts w:hint="eastAsia" w:ascii="宋体" w:hAnsi="宋体" w:cs="宋体"/>
                <w:szCs w:val="21"/>
                <w:highlight w:val="none"/>
              </w:rPr>
              <w:t>6</w:t>
            </w:r>
          </w:p>
        </w:tc>
        <w:tc>
          <w:tcPr>
            <w:tcW w:w="1004" w:type="dxa"/>
            <w:vMerge w:val="restart"/>
            <w:noWrap w:val="0"/>
            <w:vAlign w:val="center"/>
          </w:tcPr>
          <w:p>
            <w:pPr>
              <w:pStyle w:val="122"/>
              <w:adjustRightInd w:val="0"/>
              <w:snapToGrid w:val="0"/>
              <w:spacing w:before="0" w:beforeAutospacing="0" w:after="0" w:afterAutospacing="0"/>
              <w:jc w:val="center"/>
              <w:rPr>
                <w:rFonts w:hint="eastAsia"/>
                <w:sz w:val="21"/>
                <w:szCs w:val="21"/>
                <w:highlight w:val="none"/>
              </w:rPr>
            </w:pPr>
            <w:r>
              <w:rPr>
                <w:rFonts w:hint="eastAsia"/>
                <w:sz w:val="21"/>
                <w:szCs w:val="21"/>
                <w:highlight w:val="none"/>
              </w:rPr>
              <w:t>组织实施</w:t>
            </w:r>
          </w:p>
        </w:tc>
        <w:tc>
          <w:tcPr>
            <w:tcW w:w="7450" w:type="dxa"/>
            <w:noWrap w:val="0"/>
            <w:vAlign w:val="center"/>
          </w:tcPr>
          <w:p>
            <w:pPr>
              <w:pStyle w:val="95"/>
              <w:adjustRightInd/>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根据投标人提供的施工方案的科学性、严密性、合理性进行评定。施工方案全面合理，技术到位的得4-5分；方案不合理、不严密处每项扣 0.5-1分。扣完为止。</w:t>
            </w:r>
          </w:p>
        </w:tc>
        <w:tc>
          <w:tcPr>
            <w:tcW w:w="790" w:type="dxa"/>
            <w:vMerge w:val="restart"/>
            <w:noWrap w:val="0"/>
            <w:vAlign w:val="center"/>
          </w:tcPr>
          <w:p>
            <w:pPr>
              <w:pStyle w:val="122"/>
              <w:adjustRightInd w:val="0"/>
              <w:snapToGrid w:val="0"/>
              <w:spacing w:before="0" w:beforeAutospacing="0" w:after="0" w:afterAutospacing="0"/>
              <w:jc w:val="center"/>
              <w:rPr>
                <w:sz w:val="21"/>
                <w:szCs w:val="21"/>
                <w:highlight w:val="none"/>
              </w:rPr>
            </w:pPr>
            <w:r>
              <w:rPr>
                <w:rFonts w:hint="eastAsia"/>
                <w:sz w:val="21"/>
                <w:szCs w:val="21"/>
                <w:highlight w:val="none"/>
              </w:rPr>
              <w:t>0-20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wAfter w:w="0" w:type="auto"/>
          <w:trHeight w:val="23" w:hRule="atLeast"/>
        </w:trPr>
        <w:tc>
          <w:tcPr>
            <w:tcW w:w="642" w:type="dxa"/>
            <w:vMerge w:val="continue"/>
            <w:noWrap w:val="0"/>
            <w:vAlign w:val="center"/>
          </w:tcPr>
          <w:p>
            <w:pPr>
              <w:widowControl/>
              <w:spacing w:line="360" w:lineRule="auto"/>
              <w:ind w:left="105" w:leftChars="50" w:right="105" w:rightChars="50"/>
              <w:jc w:val="center"/>
              <w:rPr>
                <w:rFonts w:ascii="宋体" w:hAnsi="宋体" w:cs="宋体"/>
                <w:szCs w:val="21"/>
                <w:highlight w:val="none"/>
              </w:rPr>
            </w:pPr>
          </w:p>
        </w:tc>
        <w:tc>
          <w:tcPr>
            <w:tcW w:w="1004" w:type="dxa"/>
            <w:vMerge w:val="continue"/>
            <w:noWrap w:val="0"/>
            <w:vAlign w:val="center"/>
          </w:tcPr>
          <w:p>
            <w:pPr>
              <w:pStyle w:val="122"/>
              <w:adjustRightInd w:val="0"/>
              <w:snapToGrid w:val="0"/>
              <w:spacing w:before="0" w:beforeAutospacing="0" w:after="0" w:afterAutospacing="0"/>
              <w:jc w:val="center"/>
              <w:rPr>
                <w:rFonts w:hint="eastAsia"/>
                <w:sz w:val="21"/>
                <w:szCs w:val="21"/>
                <w:highlight w:val="none"/>
              </w:rPr>
            </w:pPr>
          </w:p>
        </w:tc>
        <w:tc>
          <w:tcPr>
            <w:tcW w:w="7450" w:type="dxa"/>
            <w:noWrap w:val="0"/>
            <w:vAlign w:val="center"/>
          </w:tcPr>
          <w:p>
            <w:pPr>
              <w:pStyle w:val="95"/>
              <w:adjustRightInd/>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根据投标人提供的施工质量的技术方案和措施进行综合评审：方案和措施一般的得1-2分；方案和措施可行的得3-4分。</w:t>
            </w:r>
          </w:p>
        </w:tc>
        <w:tc>
          <w:tcPr>
            <w:tcW w:w="790" w:type="dxa"/>
            <w:vMerge w:val="continue"/>
            <w:noWrap w:val="0"/>
            <w:vAlign w:val="center"/>
          </w:tcPr>
          <w:p>
            <w:pPr>
              <w:pStyle w:val="122"/>
              <w:adjustRightInd w:val="0"/>
              <w:snapToGrid w:val="0"/>
              <w:spacing w:before="0" w:beforeAutospacing="0" w:after="0" w:afterAutospacing="0"/>
              <w:jc w:val="center"/>
              <w:rPr>
                <w:rFonts w:hint="eastAsia"/>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wAfter w:w="0" w:type="auto"/>
          <w:trHeight w:val="23" w:hRule="atLeast"/>
        </w:trPr>
        <w:tc>
          <w:tcPr>
            <w:tcW w:w="642" w:type="dxa"/>
            <w:vMerge w:val="continue"/>
            <w:noWrap w:val="0"/>
            <w:vAlign w:val="center"/>
          </w:tcPr>
          <w:p>
            <w:pPr>
              <w:widowControl/>
              <w:spacing w:line="360" w:lineRule="auto"/>
              <w:ind w:left="105" w:leftChars="50" w:right="105" w:rightChars="50"/>
              <w:jc w:val="center"/>
              <w:rPr>
                <w:rFonts w:ascii="宋体" w:hAnsi="宋体" w:cs="宋体"/>
                <w:szCs w:val="21"/>
                <w:highlight w:val="none"/>
              </w:rPr>
            </w:pPr>
          </w:p>
        </w:tc>
        <w:tc>
          <w:tcPr>
            <w:tcW w:w="1004" w:type="dxa"/>
            <w:vMerge w:val="continue"/>
            <w:noWrap w:val="0"/>
            <w:vAlign w:val="center"/>
          </w:tcPr>
          <w:p>
            <w:pPr>
              <w:pStyle w:val="122"/>
              <w:adjustRightInd w:val="0"/>
              <w:snapToGrid w:val="0"/>
              <w:spacing w:before="0" w:beforeAutospacing="0" w:after="0" w:afterAutospacing="0"/>
              <w:jc w:val="center"/>
              <w:rPr>
                <w:rFonts w:hint="eastAsia"/>
                <w:sz w:val="21"/>
                <w:szCs w:val="21"/>
                <w:highlight w:val="none"/>
              </w:rPr>
            </w:pPr>
          </w:p>
        </w:tc>
        <w:tc>
          <w:tcPr>
            <w:tcW w:w="7450" w:type="dxa"/>
            <w:noWrap w:val="0"/>
            <w:vAlign w:val="center"/>
          </w:tcPr>
          <w:p>
            <w:pPr>
              <w:pStyle w:val="95"/>
              <w:adjustRightInd/>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根据投标人提供的工期和施工进度的方案和措施进行综合评审：方案和措施一般的得1-2分；方案和措施可行的得2-4分。</w:t>
            </w:r>
          </w:p>
        </w:tc>
        <w:tc>
          <w:tcPr>
            <w:tcW w:w="790" w:type="dxa"/>
            <w:vMerge w:val="continue"/>
            <w:noWrap w:val="0"/>
            <w:vAlign w:val="center"/>
          </w:tcPr>
          <w:p>
            <w:pPr>
              <w:pStyle w:val="122"/>
              <w:adjustRightInd w:val="0"/>
              <w:snapToGrid w:val="0"/>
              <w:spacing w:before="0" w:beforeAutospacing="0" w:after="0" w:afterAutospacing="0"/>
              <w:jc w:val="center"/>
              <w:rPr>
                <w:rFonts w:hint="eastAsia"/>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wAfter w:w="0" w:type="auto"/>
          <w:trHeight w:val="23" w:hRule="atLeast"/>
        </w:trPr>
        <w:tc>
          <w:tcPr>
            <w:tcW w:w="642" w:type="dxa"/>
            <w:vMerge w:val="continue"/>
            <w:noWrap w:val="0"/>
            <w:vAlign w:val="center"/>
          </w:tcPr>
          <w:p>
            <w:pPr>
              <w:widowControl/>
              <w:spacing w:line="360" w:lineRule="auto"/>
              <w:ind w:left="105" w:leftChars="50" w:right="105" w:rightChars="50"/>
              <w:jc w:val="center"/>
              <w:rPr>
                <w:rFonts w:ascii="宋体" w:hAnsi="宋体" w:cs="宋体"/>
                <w:szCs w:val="21"/>
                <w:highlight w:val="none"/>
              </w:rPr>
            </w:pPr>
          </w:p>
        </w:tc>
        <w:tc>
          <w:tcPr>
            <w:tcW w:w="1004" w:type="dxa"/>
            <w:vMerge w:val="continue"/>
            <w:noWrap w:val="0"/>
            <w:vAlign w:val="center"/>
          </w:tcPr>
          <w:p>
            <w:pPr>
              <w:pStyle w:val="122"/>
              <w:adjustRightInd w:val="0"/>
              <w:snapToGrid w:val="0"/>
              <w:spacing w:before="0" w:beforeAutospacing="0" w:after="0" w:afterAutospacing="0"/>
              <w:jc w:val="center"/>
              <w:rPr>
                <w:rFonts w:hint="eastAsia"/>
                <w:sz w:val="21"/>
                <w:szCs w:val="21"/>
                <w:highlight w:val="none"/>
              </w:rPr>
            </w:pPr>
          </w:p>
        </w:tc>
        <w:tc>
          <w:tcPr>
            <w:tcW w:w="7450" w:type="dxa"/>
            <w:noWrap w:val="0"/>
            <w:vAlign w:val="center"/>
          </w:tcPr>
          <w:p>
            <w:pPr>
              <w:pStyle w:val="95"/>
              <w:adjustRightInd/>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根据投标人提供的安全文明施工的方案和措施进行综合评审：方案和措施一般的得1-2分；方案和措施可行的得2-3分。</w:t>
            </w:r>
          </w:p>
        </w:tc>
        <w:tc>
          <w:tcPr>
            <w:tcW w:w="790" w:type="dxa"/>
            <w:vMerge w:val="continue"/>
            <w:noWrap w:val="0"/>
            <w:vAlign w:val="center"/>
          </w:tcPr>
          <w:p>
            <w:pPr>
              <w:pStyle w:val="122"/>
              <w:adjustRightInd w:val="0"/>
              <w:snapToGrid w:val="0"/>
              <w:spacing w:before="0" w:beforeAutospacing="0" w:after="0" w:afterAutospacing="0"/>
              <w:jc w:val="center"/>
              <w:rPr>
                <w:rFonts w:hint="eastAsia"/>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wAfter w:w="0" w:type="auto"/>
          <w:trHeight w:val="23" w:hRule="atLeast"/>
        </w:trPr>
        <w:tc>
          <w:tcPr>
            <w:tcW w:w="642" w:type="dxa"/>
            <w:vMerge w:val="continue"/>
            <w:noWrap w:val="0"/>
            <w:vAlign w:val="center"/>
          </w:tcPr>
          <w:p>
            <w:pPr>
              <w:widowControl/>
              <w:spacing w:line="360" w:lineRule="auto"/>
              <w:ind w:left="105" w:leftChars="50" w:right="105" w:rightChars="50"/>
              <w:jc w:val="center"/>
              <w:rPr>
                <w:rFonts w:ascii="宋体" w:hAnsi="宋体" w:cs="宋体"/>
                <w:szCs w:val="21"/>
                <w:highlight w:val="none"/>
              </w:rPr>
            </w:pPr>
          </w:p>
        </w:tc>
        <w:tc>
          <w:tcPr>
            <w:tcW w:w="1004" w:type="dxa"/>
            <w:vMerge w:val="continue"/>
            <w:noWrap w:val="0"/>
            <w:vAlign w:val="center"/>
          </w:tcPr>
          <w:p>
            <w:pPr>
              <w:pStyle w:val="122"/>
              <w:adjustRightInd w:val="0"/>
              <w:snapToGrid w:val="0"/>
              <w:spacing w:before="0" w:beforeAutospacing="0" w:after="0" w:afterAutospacing="0"/>
              <w:jc w:val="center"/>
              <w:rPr>
                <w:rFonts w:hint="eastAsia"/>
                <w:sz w:val="21"/>
                <w:szCs w:val="21"/>
                <w:highlight w:val="none"/>
              </w:rPr>
            </w:pPr>
          </w:p>
        </w:tc>
        <w:tc>
          <w:tcPr>
            <w:tcW w:w="7450" w:type="dxa"/>
            <w:noWrap w:val="0"/>
            <w:vAlign w:val="center"/>
          </w:tcPr>
          <w:p>
            <w:pPr>
              <w:pStyle w:val="95"/>
              <w:adjustRightInd/>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根据投标人提供的成品保护方案和措施进行综合评审：方案和措施一般的得0-1分；方案和措施可行的得1-2分。</w:t>
            </w:r>
          </w:p>
        </w:tc>
        <w:tc>
          <w:tcPr>
            <w:tcW w:w="790" w:type="dxa"/>
            <w:vMerge w:val="continue"/>
            <w:noWrap w:val="0"/>
            <w:vAlign w:val="center"/>
          </w:tcPr>
          <w:p>
            <w:pPr>
              <w:pStyle w:val="122"/>
              <w:adjustRightInd w:val="0"/>
              <w:snapToGrid w:val="0"/>
              <w:spacing w:before="0" w:beforeAutospacing="0" w:after="0" w:afterAutospacing="0"/>
              <w:jc w:val="center"/>
              <w:rPr>
                <w:rFonts w:hint="eastAsia"/>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wAfter w:w="0" w:type="auto"/>
          <w:trHeight w:val="23" w:hRule="atLeast"/>
        </w:trPr>
        <w:tc>
          <w:tcPr>
            <w:tcW w:w="642" w:type="dxa"/>
            <w:vMerge w:val="continue"/>
            <w:noWrap w:val="0"/>
            <w:vAlign w:val="center"/>
          </w:tcPr>
          <w:p>
            <w:pPr>
              <w:widowControl/>
              <w:spacing w:line="360" w:lineRule="auto"/>
              <w:ind w:left="105" w:leftChars="50" w:right="105" w:rightChars="50"/>
              <w:jc w:val="center"/>
              <w:rPr>
                <w:rFonts w:ascii="宋体" w:hAnsi="宋体" w:cs="宋体"/>
                <w:szCs w:val="21"/>
                <w:highlight w:val="none"/>
              </w:rPr>
            </w:pPr>
          </w:p>
        </w:tc>
        <w:tc>
          <w:tcPr>
            <w:tcW w:w="1004" w:type="dxa"/>
            <w:vMerge w:val="continue"/>
            <w:noWrap w:val="0"/>
            <w:vAlign w:val="center"/>
          </w:tcPr>
          <w:p>
            <w:pPr>
              <w:pStyle w:val="122"/>
              <w:adjustRightInd w:val="0"/>
              <w:snapToGrid w:val="0"/>
              <w:spacing w:before="0" w:beforeAutospacing="0" w:after="0" w:afterAutospacing="0"/>
              <w:jc w:val="center"/>
              <w:rPr>
                <w:rFonts w:hint="eastAsia"/>
                <w:sz w:val="21"/>
                <w:szCs w:val="21"/>
                <w:highlight w:val="none"/>
              </w:rPr>
            </w:pPr>
          </w:p>
        </w:tc>
        <w:tc>
          <w:tcPr>
            <w:tcW w:w="7450" w:type="dxa"/>
            <w:noWrap w:val="0"/>
            <w:vAlign w:val="center"/>
          </w:tcPr>
          <w:p>
            <w:pPr>
              <w:pStyle w:val="95"/>
              <w:adjustRightInd/>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根据投标人提供的关键部位施工技术方案进行综合评审：方案和措施一般的得0-1分；方案和措施可行的得1-2分。</w:t>
            </w:r>
          </w:p>
        </w:tc>
        <w:tc>
          <w:tcPr>
            <w:tcW w:w="790" w:type="dxa"/>
            <w:vMerge w:val="continue"/>
            <w:noWrap w:val="0"/>
            <w:vAlign w:val="center"/>
          </w:tcPr>
          <w:p>
            <w:pPr>
              <w:pStyle w:val="122"/>
              <w:adjustRightInd w:val="0"/>
              <w:snapToGrid w:val="0"/>
              <w:spacing w:before="0" w:beforeAutospacing="0" w:after="0" w:afterAutospacing="0"/>
              <w:jc w:val="center"/>
              <w:rPr>
                <w:rFonts w:hint="eastAsia"/>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wAfter w:w="0" w:type="auto"/>
          <w:trHeight w:val="23" w:hRule="atLeast"/>
        </w:trPr>
        <w:tc>
          <w:tcPr>
            <w:tcW w:w="642" w:type="dxa"/>
            <w:noWrap w:val="0"/>
            <w:vAlign w:val="center"/>
          </w:tcPr>
          <w:p>
            <w:pPr>
              <w:widowControl/>
              <w:spacing w:line="360" w:lineRule="auto"/>
              <w:ind w:left="105" w:leftChars="50" w:right="105" w:rightChars="50"/>
              <w:jc w:val="center"/>
              <w:rPr>
                <w:rFonts w:hint="eastAsia" w:ascii="宋体" w:hAnsi="宋体" w:cs="宋体"/>
                <w:szCs w:val="21"/>
                <w:highlight w:val="none"/>
              </w:rPr>
            </w:pPr>
            <w:r>
              <w:rPr>
                <w:rFonts w:hint="eastAsia" w:ascii="宋体" w:hAnsi="宋体" w:cs="宋体"/>
                <w:szCs w:val="21"/>
                <w:highlight w:val="none"/>
              </w:rPr>
              <w:t>7</w:t>
            </w:r>
          </w:p>
        </w:tc>
        <w:tc>
          <w:tcPr>
            <w:tcW w:w="1004" w:type="dxa"/>
            <w:noWrap w:val="0"/>
            <w:vAlign w:val="center"/>
          </w:tcPr>
          <w:p>
            <w:pPr>
              <w:pStyle w:val="122"/>
              <w:adjustRightInd w:val="0"/>
              <w:snapToGrid w:val="0"/>
              <w:spacing w:before="0" w:beforeAutospacing="0" w:after="0" w:afterAutospacing="0"/>
              <w:jc w:val="center"/>
              <w:rPr>
                <w:sz w:val="21"/>
                <w:szCs w:val="21"/>
                <w:highlight w:val="none"/>
              </w:rPr>
            </w:pPr>
            <w:r>
              <w:rPr>
                <w:rFonts w:hint="eastAsia"/>
                <w:sz w:val="21"/>
                <w:szCs w:val="21"/>
                <w:highlight w:val="none"/>
              </w:rPr>
              <w:t>主要设备参数</w:t>
            </w:r>
          </w:p>
        </w:tc>
        <w:tc>
          <w:tcPr>
            <w:tcW w:w="7450" w:type="dxa"/>
            <w:noWrap w:val="0"/>
            <w:vAlign w:val="center"/>
          </w:tcPr>
          <w:p>
            <w:pPr>
              <w:pStyle w:val="95"/>
              <w:adjustRightInd/>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方为本项目配置的软硬件设备选型档次、设备性能指标与招标需求的符合性、系统配置的完整性及适配性、产品功能的先进性等进行综合评价，完全满足招标文件要求的得6分。关键性指标不允许负偏离，其他参数出现负偏离的每项扣0</w:t>
            </w:r>
            <w:r>
              <w:rPr>
                <w:rFonts w:ascii="宋体" w:hAnsi="宋体" w:eastAsia="宋体" w:cs="宋体"/>
                <w:color w:val="auto"/>
                <w:sz w:val="21"/>
                <w:szCs w:val="21"/>
                <w:highlight w:val="none"/>
              </w:rPr>
              <w:t>.5分</w:t>
            </w: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扣完为止</w:t>
            </w:r>
            <w:r>
              <w:rPr>
                <w:rFonts w:hint="eastAsia" w:ascii="宋体" w:hAnsi="宋体" w:eastAsia="宋体" w:cs="宋体"/>
                <w:color w:val="auto"/>
                <w:sz w:val="21"/>
                <w:szCs w:val="21"/>
                <w:highlight w:val="none"/>
              </w:rPr>
              <w:t>。</w:t>
            </w:r>
          </w:p>
        </w:tc>
        <w:tc>
          <w:tcPr>
            <w:tcW w:w="790" w:type="dxa"/>
            <w:noWrap w:val="0"/>
            <w:vAlign w:val="center"/>
          </w:tcPr>
          <w:p>
            <w:pPr>
              <w:pStyle w:val="122"/>
              <w:adjustRightInd w:val="0"/>
              <w:snapToGrid w:val="0"/>
              <w:spacing w:before="0" w:beforeAutospacing="0" w:after="0" w:afterAutospacing="0"/>
              <w:jc w:val="center"/>
              <w:rPr>
                <w:rFonts w:hint="eastAsia"/>
                <w:sz w:val="21"/>
                <w:szCs w:val="21"/>
                <w:highlight w:val="none"/>
              </w:rPr>
            </w:pPr>
            <w:r>
              <w:rPr>
                <w:rFonts w:hint="eastAsia"/>
                <w:sz w:val="21"/>
                <w:szCs w:val="21"/>
                <w:highlight w:val="none"/>
              </w:rPr>
              <w:t>0-6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wAfter w:w="0" w:type="auto"/>
          <w:trHeight w:val="90" w:hRule="atLeast"/>
        </w:trPr>
        <w:tc>
          <w:tcPr>
            <w:tcW w:w="642" w:type="dxa"/>
            <w:vMerge w:val="restart"/>
            <w:noWrap w:val="0"/>
            <w:vAlign w:val="center"/>
          </w:tcPr>
          <w:p>
            <w:pPr>
              <w:widowControl/>
              <w:spacing w:line="360" w:lineRule="auto"/>
              <w:ind w:left="105" w:leftChars="50" w:right="105" w:rightChars="50"/>
              <w:jc w:val="center"/>
              <w:rPr>
                <w:rFonts w:hint="eastAsia" w:ascii="宋体" w:hAnsi="宋体" w:cs="宋体"/>
                <w:szCs w:val="21"/>
                <w:highlight w:val="none"/>
              </w:rPr>
            </w:pPr>
            <w:r>
              <w:rPr>
                <w:rFonts w:hint="eastAsia" w:ascii="宋体" w:hAnsi="宋体" w:cs="宋体"/>
                <w:szCs w:val="21"/>
                <w:highlight w:val="none"/>
              </w:rPr>
              <w:t>8</w:t>
            </w:r>
          </w:p>
        </w:tc>
        <w:tc>
          <w:tcPr>
            <w:tcW w:w="1004" w:type="dxa"/>
            <w:vMerge w:val="restart"/>
            <w:noWrap w:val="0"/>
            <w:vAlign w:val="center"/>
          </w:tcPr>
          <w:p>
            <w:pPr>
              <w:pStyle w:val="122"/>
              <w:adjustRightInd w:val="0"/>
              <w:snapToGrid w:val="0"/>
              <w:spacing w:before="0" w:beforeAutospacing="0" w:after="0" w:afterAutospacing="0"/>
              <w:jc w:val="center"/>
              <w:rPr>
                <w:rFonts w:hint="eastAsia"/>
                <w:szCs w:val="21"/>
                <w:highlight w:val="none"/>
                <w:lang w:val="zh-CN"/>
              </w:rPr>
            </w:pPr>
            <w:r>
              <w:rPr>
                <w:rFonts w:hint="eastAsia"/>
                <w:sz w:val="21"/>
                <w:szCs w:val="21"/>
                <w:highlight w:val="none"/>
              </w:rPr>
              <w:t>售后服务</w:t>
            </w:r>
          </w:p>
        </w:tc>
        <w:tc>
          <w:tcPr>
            <w:tcW w:w="7450" w:type="dxa"/>
            <w:noWrap w:val="0"/>
            <w:vAlign w:val="center"/>
          </w:tcPr>
          <w:p>
            <w:pPr>
              <w:pStyle w:val="95"/>
              <w:adjustRightInd/>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根据售后服务计划的完整性、合理性，包括服务响应时间、解决问题方案、培训计划等进行打分（0-2分）。承诺提供操作手册的得1分，不提供则不得分，（由评标委员会横向比较打分，缺项不得分）</w:t>
            </w:r>
          </w:p>
        </w:tc>
        <w:tc>
          <w:tcPr>
            <w:tcW w:w="790" w:type="dxa"/>
            <w:noWrap w:val="0"/>
            <w:vAlign w:val="center"/>
          </w:tcPr>
          <w:p>
            <w:pPr>
              <w:pStyle w:val="122"/>
              <w:adjustRightInd w:val="0"/>
              <w:snapToGrid w:val="0"/>
              <w:spacing w:before="0" w:beforeAutospacing="0" w:after="0" w:afterAutospacing="0"/>
              <w:jc w:val="center"/>
              <w:rPr>
                <w:rFonts w:hint="eastAsia"/>
                <w:sz w:val="21"/>
                <w:szCs w:val="21"/>
                <w:highlight w:val="none"/>
              </w:rPr>
            </w:pPr>
            <w:r>
              <w:rPr>
                <w:rFonts w:hint="eastAsia"/>
                <w:sz w:val="21"/>
                <w:szCs w:val="21"/>
                <w:highlight w:val="none"/>
              </w:rPr>
              <w:t>0-3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wAfter w:w="0" w:type="auto"/>
          <w:trHeight w:val="267" w:hRule="atLeast"/>
        </w:trPr>
        <w:tc>
          <w:tcPr>
            <w:tcW w:w="642" w:type="dxa"/>
            <w:vMerge w:val="continue"/>
            <w:noWrap w:val="0"/>
            <w:vAlign w:val="center"/>
          </w:tcPr>
          <w:p>
            <w:pPr>
              <w:widowControl/>
              <w:spacing w:line="360" w:lineRule="auto"/>
              <w:ind w:left="105" w:leftChars="50" w:right="105" w:rightChars="50"/>
              <w:jc w:val="center"/>
              <w:rPr>
                <w:rFonts w:ascii="宋体" w:hAnsi="宋体" w:cs="宋体"/>
                <w:szCs w:val="21"/>
                <w:highlight w:val="none"/>
              </w:rPr>
            </w:pPr>
          </w:p>
        </w:tc>
        <w:tc>
          <w:tcPr>
            <w:tcW w:w="1004" w:type="dxa"/>
            <w:vMerge w:val="continue"/>
            <w:noWrap w:val="0"/>
            <w:vAlign w:val="center"/>
          </w:tcPr>
          <w:p>
            <w:pPr>
              <w:widowControl/>
              <w:spacing w:line="360" w:lineRule="auto"/>
              <w:ind w:left="105" w:leftChars="50" w:right="105" w:rightChars="50"/>
              <w:rPr>
                <w:rFonts w:hint="eastAsia" w:ascii="宋体" w:hAnsi="宋体" w:cs="宋体"/>
                <w:szCs w:val="21"/>
                <w:highlight w:val="none"/>
                <w:lang w:val="zh-CN"/>
              </w:rPr>
            </w:pPr>
          </w:p>
        </w:tc>
        <w:tc>
          <w:tcPr>
            <w:tcW w:w="7450" w:type="dxa"/>
            <w:noWrap w:val="0"/>
            <w:vAlign w:val="center"/>
          </w:tcPr>
          <w:p>
            <w:pPr>
              <w:pStyle w:val="95"/>
              <w:snapToGrid w:val="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主要设备质保期每延长1年，得1分，最多得</w:t>
            </w:r>
            <w:r>
              <w:rPr>
                <w:rFonts w:ascii="宋体" w:hAnsi="宋体" w:eastAsia="宋体" w:cs="宋体"/>
                <w:color w:val="auto"/>
                <w:sz w:val="21"/>
                <w:szCs w:val="21"/>
                <w:highlight w:val="none"/>
              </w:rPr>
              <w:t>2</w:t>
            </w:r>
            <w:r>
              <w:rPr>
                <w:rFonts w:hint="eastAsia" w:ascii="宋体" w:hAnsi="宋体" w:eastAsia="宋体" w:cs="宋体"/>
                <w:color w:val="auto"/>
                <w:sz w:val="21"/>
                <w:szCs w:val="21"/>
                <w:highlight w:val="none"/>
              </w:rPr>
              <w:t>分。</w:t>
            </w:r>
          </w:p>
        </w:tc>
        <w:tc>
          <w:tcPr>
            <w:tcW w:w="790" w:type="dxa"/>
            <w:noWrap w:val="0"/>
            <w:vAlign w:val="center"/>
          </w:tcPr>
          <w:p>
            <w:pPr>
              <w:widowControl/>
              <w:spacing w:line="360" w:lineRule="auto"/>
              <w:ind w:left="105" w:leftChars="50" w:right="105" w:rightChars="50"/>
              <w:jc w:val="center"/>
              <w:rPr>
                <w:rFonts w:ascii="宋体" w:hAnsi="宋体" w:cs="宋体"/>
                <w:szCs w:val="21"/>
                <w:highlight w:val="none"/>
              </w:rPr>
            </w:pPr>
            <w:r>
              <w:rPr>
                <w:rFonts w:hint="eastAsia" w:ascii="宋体" w:hAnsi="宋体" w:cs="宋体"/>
                <w:szCs w:val="21"/>
                <w:highlight w:val="none"/>
              </w:rPr>
              <w:t>0-</w:t>
            </w:r>
            <w:r>
              <w:rPr>
                <w:rFonts w:ascii="宋体" w:hAnsi="宋体" w:cs="宋体"/>
                <w:szCs w:val="21"/>
                <w:highlight w:val="none"/>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wAfter w:w="0" w:type="auto"/>
          <w:trHeight w:val="288" w:hRule="atLeast"/>
        </w:trPr>
        <w:tc>
          <w:tcPr>
            <w:tcW w:w="642" w:type="dxa"/>
            <w:noWrap w:val="0"/>
            <w:vAlign w:val="center"/>
          </w:tcPr>
          <w:p>
            <w:pPr>
              <w:widowControl/>
              <w:spacing w:line="360" w:lineRule="auto"/>
              <w:ind w:left="105" w:leftChars="50" w:right="105" w:rightChars="50"/>
              <w:jc w:val="center"/>
              <w:rPr>
                <w:rFonts w:hint="eastAsia" w:ascii="宋体" w:hAnsi="宋体" w:cs="宋体"/>
                <w:szCs w:val="21"/>
                <w:highlight w:val="none"/>
              </w:rPr>
            </w:pPr>
            <w:r>
              <w:rPr>
                <w:rFonts w:hint="eastAsia" w:ascii="宋体" w:hAnsi="宋体" w:cs="宋体"/>
                <w:szCs w:val="21"/>
                <w:highlight w:val="none"/>
              </w:rPr>
              <w:t>9</w:t>
            </w:r>
          </w:p>
        </w:tc>
        <w:tc>
          <w:tcPr>
            <w:tcW w:w="1004" w:type="dxa"/>
            <w:noWrap w:val="0"/>
            <w:vAlign w:val="center"/>
          </w:tcPr>
          <w:p>
            <w:pPr>
              <w:widowControl/>
              <w:spacing w:line="360" w:lineRule="auto"/>
              <w:ind w:left="105" w:leftChars="50" w:right="105" w:rightChars="50"/>
              <w:jc w:val="center"/>
              <w:rPr>
                <w:rFonts w:hint="eastAsia" w:ascii="宋体" w:hAnsi="宋体" w:cs="宋体"/>
                <w:szCs w:val="21"/>
                <w:highlight w:val="none"/>
              </w:rPr>
            </w:pPr>
            <w:r>
              <w:rPr>
                <w:rFonts w:hint="eastAsia" w:ascii="宋体" w:hAnsi="宋体" w:cs="宋体"/>
                <w:szCs w:val="21"/>
                <w:highlight w:val="none"/>
              </w:rPr>
              <w:t>政策分</w:t>
            </w:r>
          </w:p>
        </w:tc>
        <w:tc>
          <w:tcPr>
            <w:tcW w:w="7450" w:type="dxa"/>
            <w:noWrap w:val="0"/>
            <w:vAlign w:val="center"/>
          </w:tcPr>
          <w:p>
            <w:pPr>
              <w:pStyle w:val="95"/>
              <w:adjustRightInd/>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投标人符合《政府采购货物和服务招标投标管理办法》第五条规定，属“节约能源、保护环境、扶持不发达地区和少数民族地区等”政府采购政策扶持对象的，提供相关证明材料和政策依据，每符合一项得1分，最高可得2分；未提供相关证明材料和政策依据的不得分。</w:t>
            </w:r>
          </w:p>
        </w:tc>
        <w:tc>
          <w:tcPr>
            <w:tcW w:w="790" w:type="dxa"/>
            <w:noWrap w:val="0"/>
            <w:vAlign w:val="center"/>
          </w:tcPr>
          <w:p>
            <w:pPr>
              <w:widowControl/>
              <w:spacing w:line="360" w:lineRule="auto"/>
              <w:ind w:left="105" w:leftChars="50" w:right="105" w:rightChars="50"/>
              <w:jc w:val="center"/>
              <w:rPr>
                <w:rFonts w:ascii="宋体" w:hAnsi="宋体" w:cs="宋体"/>
                <w:szCs w:val="21"/>
                <w:highlight w:val="none"/>
              </w:rPr>
            </w:pPr>
            <w:r>
              <w:rPr>
                <w:rFonts w:hint="eastAsia" w:ascii="宋体" w:hAnsi="宋体" w:cs="宋体"/>
                <w:szCs w:val="21"/>
                <w:highlight w:val="none"/>
              </w:rPr>
              <w:t>0-2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wAfter w:w="0" w:type="auto"/>
          <w:trHeight w:val="488" w:hRule="atLeast"/>
        </w:trPr>
        <w:tc>
          <w:tcPr>
            <w:tcW w:w="1646" w:type="dxa"/>
            <w:gridSpan w:val="2"/>
            <w:noWrap w:val="0"/>
            <w:vAlign w:val="center"/>
          </w:tcPr>
          <w:p>
            <w:pPr>
              <w:spacing w:line="450" w:lineRule="exact"/>
              <w:jc w:val="center"/>
              <w:rPr>
                <w:rFonts w:hint="eastAsia" w:ascii="宋体" w:hAnsi="宋体" w:cs="宋体"/>
                <w:szCs w:val="21"/>
                <w:highlight w:val="none"/>
              </w:rPr>
            </w:pPr>
            <w:r>
              <w:rPr>
                <w:rFonts w:hint="eastAsia" w:ascii="宋体" w:hAnsi="宋体" w:cs="宋体"/>
                <w:szCs w:val="21"/>
                <w:highlight w:val="none"/>
              </w:rPr>
              <w:t>总分</w:t>
            </w:r>
          </w:p>
        </w:tc>
        <w:tc>
          <w:tcPr>
            <w:tcW w:w="8240" w:type="dxa"/>
            <w:gridSpan w:val="2"/>
            <w:noWrap w:val="0"/>
            <w:vAlign w:val="center"/>
          </w:tcPr>
          <w:p>
            <w:pPr>
              <w:spacing w:line="450" w:lineRule="exact"/>
              <w:jc w:val="center"/>
              <w:rPr>
                <w:rFonts w:ascii="宋体" w:hAnsi="宋体" w:cs="宋体"/>
                <w:szCs w:val="21"/>
                <w:highlight w:val="none"/>
              </w:rPr>
            </w:pPr>
            <w:r>
              <w:rPr>
                <w:rFonts w:hint="eastAsia" w:ascii="宋体" w:hAnsi="宋体" w:cs="宋体"/>
                <w:szCs w:val="21"/>
                <w:highlight w:val="none"/>
              </w:rPr>
              <w:t>70分</w:t>
            </w:r>
          </w:p>
        </w:tc>
      </w:tr>
    </w:tbl>
    <w:p>
      <w:pPr>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3、报价文件评审</w:t>
      </w:r>
    </w:p>
    <w:p>
      <w:pPr>
        <w:spacing w:line="312" w:lineRule="auto"/>
        <w:ind w:firstLine="480" w:firstLineChars="200"/>
        <w:rPr>
          <w:rFonts w:hint="eastAsia" w:ascii="宋体" w:hAnsi="宋体" w:cs="宋体"/>
          <w:sz w:val="24"/>
          <w:highlight w:val="none"/>
        </w:rPr>
      </w:pPr>
      <w:r>
        <w:rPr>
          <w:rFonts w:hint="eastAsia" w:ascii="宋体" w:hAnsi="宋体" w:cs="宋体"/>
          <w:sz w:val="24"/>
          <w:highlight w:val="none"/>
        </w:rPr>
        <w:t>（1）评标委员会对报价文件进行评审，如报价文件中出现下列情形的按无效报价处理，该报价得分为零分，不予推荐为中标候选供应商。</w:t>
      </w:r>
    </w:p>
    <w:p>
      <w:pPr>
        <w:spacing w:line="312" w:lineRule="auto"/>
        <w:ind w:firstLine="480" w:firstLineChars="200"/>
        <w:rPr>
          <w:rFonts w:hint="eastAsia" w:ascii="宋体" w:hAnsi="宋体" w:cs="宋体"/>
          <w:sz w:val="24"/>
          <w:highlight w:val="none"/>
        </w:rPr>
      </w:pPr>
      <w:r>
        <w:rPr>
          <w:rFonts w:hint="eastAsia" w:ascii="宋体" w:hAnsi="宋体" w:cs="宋体"/>
          <w:sz w:val="24"/>
          <w:highlight w:val="none"/>
        </w:rPr>
        <w:t>1.1）投标函、开标一览表、投标分项报价明细表内容填写不完整的；</w:t>
      </w:r>
    </w:p>
    <w:p>
      <w:pPr>
        <w:spacing w:line="312" w:lineRule="auto"/>
        <w:ind w:firstLine="480" w:firstLineChars="200"/>
        <w:rPr>
          <w:rFonts w:hint="eastAsia" w:ascii="宋体" w:hAnsi="宋体" w:cs="宋体"/>
          <w:sz w:val="24"/>
          <w:highlight w:val="none"/>
        </w:rPr>
      </w:pPr>
      <w:r>
        <w:rPr>
          <w:rFonts w:hint="eastAsia" w:ascii="宋体" w:hAnsi="宋体" w:cs="宋体"/>
          <w:sz w:val="24"/>
          <w:highlight w:val="none"/>
        </w:rPr>
        <w:t>1.2）如有效报价不足3家，评标委员会认为投标缺乏竞争的，有权作出否决全部投标的决定。</w:t>
      </w:r>
    </w:p>
    <w:p>
      <w:pPr>
        <w:spacing w:line="312" w:lineRule="auto"/>
        <w:ind w:firstLine="480" w:firstLineChars="200"/>
        <w:rPr>
          <w:rFonts w:hint="eastAsia" w:ascii="宋体" w:hAnsi="宋体" w:cs="宋体"/>
          <w:sz w:val="24"/>
          <w:highlight w:val="none"/>
        </w:rPr>
      </w:pPr>
      <w:r>
        <w:rPr>
          <w:rFonts w:hint="eastAsia" w:ascii="宋体" w:hAnsi="宋体" w:cs="宋体"/>
          <w:sz w:val="24"/>
          <w:highlight w:val="none"/>
        </w:rPr>
        <w:t>（2）报价得分计算方法如下：</w:t>
      </w:r>
    </w:p>
    <w:p>
      <w:pPr>
        <w:spacing w:line="312" w:lineRule="auto"/>
        <w:ind w:firstLine="480" w:firstLineChars="200"/>
        <w:rPr>
          <w:rFonts w:hint="eastAsia" w:ascii="宋体" w:hAnsi="宋体" w:cs="宋体"/>
          <w:sz w:val="24"/>
          <w:highlight w:val="none"/>
        </w:rPr>
      </w:pPr>
      <w:r>
        <w:rPr>
          <w:rFonts w:hint="eastAsia" w:ascii="宋体" w:hAnsi="宋体" w:cs="宋体"/>
          <w:sz w:val="24"/>
          <w:highlight w:val="none"/>
        </w:rPr>
        <w:t>2.1）</w:t>
      </w:r>
      <w:r>
        <w:rPr>
          <w:rFonts w:hint="eastAsia" w:ascii="宋体" w:hAnsi="宋体" w:cs="宋体"/>
          <w:b/>
          <w:bCs/>
          <w:sz w:val="24"/>
          <w:highlight w:val="none"/>
        </w:rPr>
        <w:t>价格评定分值为30分。</w:t>
      </w:r>
    </w:p>
    <w:p>
      <w:pPr>
        <w:spacing w:line="312" w:lineRule="auto"/>
        <w:ind w:firstLine="480" w:firstLineChars="200"/>
        <w:rPr>
          <w:rFonts w:hint="eastAsia" w:ascii="宋体" w:hAnsi="宋体" w:cs="宋体"/>
          <w:sz w:val="24"/>
          <w:highlight w:val="none"/>
        </w:rPr>
      </w:pPr>
      <w:r>
        <w:rPr>
          <w:rFonts w:hint="eastAsia" w:ascii="宋体" w:hAnsi="宋体" w:cs="宋体"/>
          <w:sz w:val="24"/>
          <w:highlight w:val="none"/>
        </w:rPr>
        <w:t>2.2）评标基准价的确定：</w:t>
      </w:r>
    </w:p>
    <w:p>
      <w:pPr>
        <w:spacing w:line="312" w:lineRule="auto"/>
        <w:ind w:firstLine="480" w:firstLineChars="200"/>
        <w:rPr>
          <w:rFonts w:hint="eastAsia" w:ascii="宋体" w:hAnsi="宋体" w:cs="宋体"/>
          <w:sz w:val="24"/>
          <w:highlight w:val="none"/>
        </w:rPr>
      </w:pPr>
      <w:r>
        <w:rPr>
          <w:rFonts w:hint="eastAsia" w:ascii="宋体" w:hAnsi="宋体" w:cs="宋体"/>
          <w:sz w:val="24"/>
          <w:highlight w:val="none"/>
        </w:rPr>
        <w:t>A、分析总报价是否合理，报价范围是否完整，有否重大错漏。本项目不接受低于成本的报价，价格评审过程中，如评标委员会一致认为投标人的报价明显不合理，有降低质量、不能诚信履约的可能时，评标委员会有权要求该投标人限期进行解释。如该投标人未在规定期限内作出解释，或所作解释不合理，经评标委员会取得一致意见后，可确定该投标无效。在有效投标人数满足法定人数的前提下，评标委员会依次确定满足招标文件要求且进行了政策性价格扣除后</w:t>
      </w:r>
      <w:r>
        <w:rPr>
          <w:rFonts w:hint="eastAsia" w:hAnsi="宋体" w:cs="宋体"/>
          <w:sz w:val="24"/>
          <w:highlight w:val="none"/>
        </w:rPr>
        <w:t>投标</w:t>
      </w:r>
      <w:r>
        <w:rPr>
          <w:rFonts w:hint="eastAsia" w:ascii="宋体" w:hAnsi="宋体" w:cs="宋体"/>
          <w:sz w:val="24"/>
          <w:highlight w:val="none"/>
        </w:rPr>
        <w:t>价格最低的有效投标报价为评标基准价。</w:t>
      </w:r>
    </w:p>
    <w:p>
      <w:pPr>
        <w:spacing w:line="312" w:lineRule="auto"/>
        <w:ind w:firstLine="482" w:firstLineChars="200"/>
        <w:rPr>
          <w:rFonts w:hint="eastAsia" w:ascii="宋体" w:hAnsi="宋体" w:cs="宋体"/>
          <w:b/>
          <w:bCs/>
          <w:sz w:val="24"/>
          <w:highlight w:val="none"/>
        </w:rPr>
      </w:pPr>
      <w:r>
        <w:rPr>
          <w:rFonts w:hint="eastAsia" w:ascii="宋体" w:hAnsi="宋体" w:cs="宋体"/>
          <w:b/>
          <w:bCs/>
          <w:sz w:val="24"/>
          <w:highlight w:val="none"/>
        </w:rPr>
        <w:t>B、价格分统一采用低价优先法计算,即：以满足招标文件要求以评审价格的最低价者定为评标基准价，其价格分为满分。其他投标人的价格分统一按照下列公式计算：</w:t>
      </w:r>
    </w:p>
    <w:p>
      <w:pPr>
        <w:spacing w:line="312" w:lineRule="auto"/>
        <w:ind w:firstLine="482" w:firstLineChars="200"/>
        <w:rPr>
          <w:rFonts w:hint="eastAsia" w:ascii="宋体" w:hAnsi="宋体" w:cs="宋体"/>
          <w:b/>
          <w:sz w:val="24"/>
          <w:highlight w:val="none"/>
        </w:rPr>
      </w:pPr>
      <w:r>
        <w:rPr>
          <w:rFonts w:hint="eastAsia" w:ascii="宋体" w:hAnsi="宋体" w:cs="宋体"/>
          <w:b/>
          <w:sz w:val="24"/>
          <w:highlight w:val="none"/>
        </w:rPr>
        <w:t>评审价格=1-投标下浮率</w:t>
      </w:r>
    </w:p>
    <w:p>
      <w:pPr>
        <w:widowControl/>
        <w:spacing w:line="312" w:lineRule="auto"/>
        <w:ind w:firstLine="482" w:firstLineChars="200"/>
        <w:jc w:val="left"/>
        <w:rPr>
          <w:rFonts w:ascii="宋体" w:hAnsi="宋体" w:cs="宋体"/>
          <w:b/>
          <w:sz w:val="24"/>
          <w:highlight w:val="none"/>
        </w:rPr>
      </w:pPr>
      <w:r>
        <w:rPr>
          <w:rFonts w:hint="eastAsia" w:ascii="宋体" w:hAnsi="宋体" w:cs="宋体"/>
          <w:b/>
          <w:sz w:val="24"/>
          <w:highlight w:val="none"/>
        </w:rPr>
        <w:t>报价得分=(评标基准价/评审价格)×30分，商务标得分保留2位小数，第三位四舍五入。</w:t>
      </w:r>
    </w:p>
    <w:p>
      <w:pPr>
        <w:pStyle w:val="24"/>
        <w:spacing w:line="312" w:lineRule="auto"/>
        <w:ind w:firstLine="480" w:firstLineChars="200"/>
        <w:rPr>
          <w:rFonts w:hint="eastAsia" w:hAnsi="宋体" w:cs="宋体"/>
          <w:sz w:val="24"/>
          <w:szCs w:val="24"/>
          <w:highlight w:val="none"/>
        </w:rPr>
      </w:pPr>
      <w:r>
        <w:rPr>
          <w:rFonts w:hint="eastAsia" w:hAnsi="宋体" w:cs="宋体"/>
          <w:sz w:val="24"/>
          <w:szCs w:val="24"/>
          <w:highlight w:val="none"/>
        </w:rPr>
        <w:t>C、政府采购政策及优惠：详见第二章“投标人须知”。</w:t>
      </w:r>
    </w:p>
    <w:p>
      <w:pPr>
        <w:spacing w:line="312" w:lineRule="auto"/>
        <w:ind w:firstLine="482" w:firstLineChars="200"/>
        <w:rPr>
          <w:rFonts w:hint="eastAsia" w:ascii="宋体" w:hAnsi="宋体" w:cs="宋体"/>
          <w:b/>
          <w:sz w:val="24"/>
          <w:highlight w:val="none"/>
        </w:rPr>
      </w:pPr>
      <w:r>
        <w:rPr>
          <w:rFonts w:hint="eastAsia" w:ascii="宋体" w:hAnsi="宋体" w:cs="宋体"/>
          <w:b/>
          <w:sz w:val="24"/>
          <w:highlight w:val="none"/>
        </w:rPr>
        <w:t>4、评委对各部分得分汇总,得出本项目各投标人的最终得分：</w:t>
      </w:r>
    </w:p>
    <w:p>
      <w:pPr>
        <w:spacing w:line="312" w:lineRule="auto"/>
        <w:ind w:firstLine="482" w:firstLineChars="200"/>
        <w:rPr>
          <w:rFonts w:hint="eastAsia" w:ascii="宋体" w:hAnsi="宋体" w:cs="宋体"/>
          <w:b/>
          <w:sz w:val="24"/>
          <w:highlight w:val="none"/>
        </w:rPr>
      </w:pPr>
      <w:r>
        <w:rPr>
          <w:rFonts w:hint="eastAsia" w:ascii="宋体" w:hAnsi="宋体" w:cs="宋体"/>
          <w:b/>
          <w:sz w:val="24"/>
          <w:highlight w:val="none"/>
        </w:rPr>
        <w:t>投标人的总得分=技术得分+报价得分</w:t>
      </w:r>
    </w:p>
    <w:p>
      <w:pPr>
        <w:spacing w:line="312" w:lineRule="auto"/>
        <w:ind w:firstLine="482" w:firstLineChars="200"/>
        <w:rPr>
          <w:rFonts w:hint="eastAsia" w:ascii="宋体" w:hAnsi="宋体" w:cs="宋体"/>
          <w:b/>
          <w:sz w:val="24"/>
          <w:highlight w:val="none"/>
        </w:rPr>
      </w:pPr>
      <w:r>
        <w:rPr>
          <w:rFonts w:hint="eastAsia" w:ascii="宋体" w:hAnsi="宋体" w:cs="宋体"/>
          <w:b/>
          <w:sz w:val="24"/>
          <w:highlight w:val="none"/>
        </w:rPr>
        <w:t>5、中标候选供应商的确定：</w:t>
      </w:r>
    </w:p>
    <w:p>
      <w:pPr>
        <w:spacing w:line="312" w:lineRule="auto"/>
        <w:ind w:firstLine="480" w:firstLineChars="200"/>
        <w:rPr>
          <w:rFonts w:hint="eastAsia" w:ascii="宋体" w:hAnsi="宋体" w:cs="宋体"/>
          <w:b/>
          <w:sz w:val="24"/>
          <w:highlight w:val="none"/>
        </w:rPr>
      </w:pPr>
      <w:r>
        <w:rPr>
          <w:rFonts w:hint="eastAsia" w:ascii="宋体" w:hAnsi="宋体" w:cs="宋体"/>
          <w:bCs/>
          <w:sz w:val="24"/>
          <w:highlight w:val="none"/>
        </w:rPr>
        <w:t>评标委员会按评标总得分由高到低顺序排列。</w:t>
      </w:r>
      <w:r>
        <w:rPr>
          <w:rFonts w:hint="eastAsia" w:ascii="宋体" w:hAnsi="宋体" w:cs="宋体"/>
          <w:b/>
          <w:sz w:val="24"/>
          <w:highlight w:val="none"/>
        </w:rPr>
        <w:t>推荐总得分最高的投标人为中标候选供应商，</w:t>
      </w:r>
      <w:r>
        <w:rPr>
          <w:rFonts w:hint="eastAsia" w:hAnsi="宋体" w:cs="仿宋"/>
          <w:b/>
          <w:sz w:val="24"/>
          <w:highlight w:val="none"/>
        </w:rPr>
        <w:t>如果第一名得分相同，以投标报价低的优先；投标报价也相同，则以政采云系统记录的投标文件解密时间排序在前面的优先</w:t>
      </w:r>
      <w:r>
        <w:rPr>
          <w:rFonts w:hint="eastAsia" w:ascii="宋体" w:hAnsi="宋体" w:cs="宋体"/>
          <w:b/>
          <w:sz w:val="24"/>
          <w:highlight w:val="none"/>
        </w:rPr>
        <w:t>。</w:t>
      </w:r>
    </w:p>
    <w:p>
      <w:pPr>
        <w:numPr>
          <w:ilvl w:val="0"/>
          <w:numId w:val="12"/>
        </w:numPr>
        <w:spacing w:line="312" w:lineRule="auto"/>
        <w:ind w:firstLine="482" w:firstLineChars="200"/>
        <w:jc w:val="left"/>
        <w:outlineLvl w:val="2"/>
        <w:rPr>
          <w:rFonts w:hint="eastAsia" w:hAnsi="宋体" w:cs="仿宋"/>
          <w:b/>
          <w:bCs/>
          <w:sz w:val="24"/>
          <w:highlight w:val="none"/>
        </w:rPr>
      </w:pPr>
      <w:r>
        <w:rPr>
          <w:rFonts w:hint="eastAsia" w:hAnsi="宋体" w:cs="仿宋"/>
          <w:b/>
          <w:bCs/>
          <w:sz w:val="24"/>
          <w:highlight w:val="none"/>
        </w:rPr>
        <w:t>评审纪律和要求：</w:t>
      </w:r>
    </w:p>
    <w:p>
      <w:pPr>
        <w:spacing w:line="312" w:lineRule="auto"/>
        <w:ind w:firstLine="480" w:firstLineChars="200"/>
        <w:jc w:val="left"/>
        <w:rPr>
          <w:rFonts w:hint="eastAsia" w:ascii="宋体" w:hAnsi="宋体" w:cs="宋体"/>
          <w:sz w:val="24"/>
          <w:highlight w:val="none"/>
        </w:rPr>
      </w:pPr>
      <w:r>
        <w:rPr>
          <w:rFonts w:hint="eastAsia" w:ascii="宋体" w:hAnsi="宋体" w:cs="宋体"/>
          <w:sz w:val="24"/>
          <w:highlight w:val="none"/>
        </w:rPr>
        <w:t>1.评审专家必须公平、公正评审，遵纪守法，客观、廉洁地履行职责。</w:t>
      </w:r>
    </w:p>
    <w:p>
      <w:pPr>
        <w:spacing w:line="312" w:lineRule="auto"/>
        <w:ind w:firstLine="480" w:firstLineChars="200"/>
        <w:jc w:val="left"/>
        <w:rPr>
          <w:rFonts w:hint="eastAsia" w:ascii="宋体" w:hAnsi="宋体" w:cs="宋体"/>
          <w:sz w:val="24"/>
          <w:highlight w:val="none"/>
        </w:rPr>
      </w:pPr>
      <w:r>
        <w:rPr>
          <w:rFonts w:hint="eastAsia" w:ascii="宋体" w:hAnsi="宋体" w:cs="宋体"/>
          <w:sz w:val="24"/>
          <w:highlight w:val="none"/>
        </w:rPr>
        <w:t>2.评审专家在评审开始前，应关闭并上交随身携带的各种通信工具。</w:t>
      </w:r>
    </w:p>
    <w:p>
      <w:pPr>
        <w:spacing w:line="312" w:lineRule="auto"/>
        <w:ind w:firstLine="480" w:firstLineChars="200"/>
        <w:jc w:val="left"/>
        <w:rPr>
          <w:rFonts w:hint="eastAsia" w:ascii="宋体" w:hAnsi="宋体" w:cs="宋体"/>
          <w:sz w:val="24"/>
          <w:highlight w:val="none"/>
        </w:rPr>
      </w:pPr>
      <w:r>
        <w:rPr>
          <w:rFonts w:hint="eastAsia" w:ascii="宋体" w:hAnsi="宋体" w:cs="宋体"/>
          <w:sz w:val="24"/>
          <w:highlight w:val="none"/>
        </w:rPr>
        <w:t>3.评审专家在评审过程中，未经许可不得中途离开评审现场，不得迟到早退。</w:t>
      </w:r>
    </w:p>
    <w:p>
      <w:pPr>
        <w:spacing w:line="312" w:lineRule="auto"/>
        <w:ind w:firstLine="480" w:firstLineChars="200"/>
        <w:jc w:val="left"/>
        <w:rPr>
          <w:rFonts w:hint="eastAsia" w:ascii="宋体" w:hAnsi="宋体" w:cs="宋体"/>
          <w:sz w:val="24"/>
          <w:highlight w:val="none"/>
        </w:rPr>
      </w:pPr>
      <w:r>
        <w:rPr>
          <w:rFonts w:hint="eastAsia" w:ascii="宋体" w:hAnsi="宋体" w:cs="宋体"/>
          <w:sz w:val="24"/>
          <w:highlight w:val="none"/>
        </w:rPr>
        <w:t>4.评审专家和工作人员不得透露评审过程中的讨论情况和评审结果。</w:t>
      </w:r>
    </w:p>
    <w:p>
      <w:pPr>
        <w:spacing w:line="312" w:lineRule="auto"/>
        <w:ind w:firstLine="480" w:firstLineChars="200"/>
        <w:jc w:val="left"/>
        <w:rPr>
          <w:rFonts w:hint="eastAsia" w:ascii="宋体" w:hAnsi="宋体" w:cs="宋体"/>
          <w:sz w:val="24"/>
          <w:highlight w:val="none"/>
        </w:rPr>
      </w:pPr>
      <w:r>
        <w:rPr>
          <w:rFonts w:hint="eastAsia" w:ascii="宋体" w:hAnsi="宋体" w:cs="宋体"/>
          <w:sz w:val="24"/>
          <w:highlight w:val="none"/>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pPr>
        <w:spacing w:line="312" w:lineRule="auto"/>
        <w:ind w:firstLine="480" w:firstLineChars="200"/>
        <w:jc w:val="left"/>
        <w:rPr>
          <w:rFonts w:hint="eastAsia" w:ascii="宋体" w:hAnsi="宋体" w:cs="宋体"/>
          <w:sz w:val="24"/>
          <w:highlight w:val="none"/>
        </w:rPr>
      </w:pPr>
      <w:r>
        <w:rPr>
          <w:rFonts w:hint="eastAsia" w:ascii="宋体" w:hAnsi="宋体" w:cs="宋体"/>
          <w:sz w:val="24"/>
          <w:highlight w:val="none"/>
        </w:rPr>
        <w:t>6.采购人、采购代理机构不得向评审委员会的评审专家作倾向性、误导性的解释或者说明。</w:t>
      </w:r>
    </w:p>
    <w:p>
      <w:pPr>
        <w:spacing w:line="312" w:lineRule="auto"/>
        <w:ind w:firstLine="480" w:firstLineChars="200"/>
        <w:jc w:val="left"/>
        <w:rPr>
          <w:rFonts w:hint="eastAsia" w:ascii="宋体" w:hAnsi="宋体" w:cs="宋体"/>
          <w:sz w:val="24"/>
          <w:highlight w:val="none"/>
        </w:rPr>
      </w:pPr>
      <w:r>
        <w:rPr>
          <w:rFonts w:hint="eastAsia" w:ascii="宋体" w:hAnsi="宋体" w:cs="宋体"/>
          <w:sz w:val="24"/>
          <w:highlight w:val="none"/>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pPr>
        <w:spacing w:line="312" w:lineRule="auto"/>
        <w:ind w:firstLine="480" w:firstLineChars="200"/>
        <w:jc w:val="left"/>
        <w:rPr>
          <w:rFonts w:hint="eastAsia" w:ascii="宋体" w:hAnsi="宋体" w:cs="宋体"/>
          <w:sz w:val="24"/>
          <w:highlight w:val="none"/>
        </w:rPr>
      </w:pPr>
      <w:r>
        <w:rPr>
          <w:rFonts w:hint="eastAsia" w:ascii="宋体" w:hAnsi="宋体" w:cs="宋体"/>
          <w:sz w:val="24"/>
          <w:highlight w:val="none"/>
        </w:rPr>
        <w:t>8.评审专家在评审过程中不得将自己的观点强加给其他评审专家，评审专家应自主发表见解，对评审意见承担个人责任。</w:t>
      </w:r>
    </w:p>
    <w:p>
      <w:pPr>
        <w:spacing w:line="312" w:lineRule="auto"/>
        <w:ind w:firstLine="480" w:firstLineChars="200"/>
        <w:jc w:val="left"/>
        <w:rPr>
          <w:rFonts w:hint="eastAsia" w:ascii="宋体" w:hAnsi="宋体" w:cs="宋体"/>
          <w:sz w:val="24"/>
          <w:highlight w:val="none"/>
        </w:rPr>
      </w:pPr>
      <w:r>
        <w:rPr>
          <w:rFonts w:hint="eastAsia" w:ascii="宋体" w:hAnsi="宋体" w:cs="宋体"/>
          <w:sz w:val="24"/>
          <w:highlight w:val="none"/>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pPr>
        <w:spacing w:line="312" w:lineRule="auto"/>
        <w:ind w:firstLine="480" w:firstLineChars="200"/>
        <w:jc w:val="left"/>
        <w:rPr>
          <w:rFonts w:hint="eastAsia" w:ascii="宋体" w:hAnsi="宋体" w:cs="宋体"/>
          <w:sz w:val="24"/>
          <w:highlight w:val="none"/>
        </w:rPr>
      </w:pPr>
      <w:r>
        <w:rPr>
          <w:rFonts w:hint="eastAsia" w:ascii="宋体" w:hAnsi="宋体" w:cs="宋体"/>
          <w:sz w:val="24"/>
          <w:highlight w:val="none"/>
        </w:rPr>
        <w:t>10.评审专家应当独立、客观、公正地提出评审意见，不得带有倾向性，不得影响其他评审专家评审，并在评审报告上签字；如对评审报告有异议的，可在报告上签署不同意见，并说明理由，否则将视为同意。</w:t>
      </w:r>
    </w:p>
    <w:p>
      <w:pPr>
        <w:spacing w:line="312" w:lineRule="auto"/>
        <w:ind w:firstLine="480" w:firstLineChars="200"/>
        <w:jc w:val="left"/>
        <w:rPr>
          <w:rFonts w:hint="eastAsia" w:ascii="宋体" w:hAnsi="宋体" w:cs="宋体"/>
          <w:sz w:val="24"/>
          <w:highlight w:val="none"/>
        </w:rPr>
      </w:pPr>
      <w:r>
        <w:rPr>
          <w:rFonts w:hint="eastAsia" w:ascii="宋体" w:hAnsi="宋体" w:cs="宋体"/>
          <w:sz w:val="24"/>
          <w:highlight w:val="none"/>
        </w:rPr>
        <w:t>11.评审专家应当遵守评审工作纪律，不得泄露评审文件、评审情况和评审中获悉的商业秘密。</w:t>
      </w:r>
    </w:p>
    <w:p>
      <w:pPr>
        <w:spacing w:line="312" w:lineRule="auto"/>
        <w:ind w:firstLine="480" w:firstLineChars="200"/>
        <w:jc w:val="left"/>
        <w:rPr>
          <w:rFonts w:hint="eastAsia" w:ascii="宋体" w:hAnsi="宋体" w:cs="宋体"/>
          <w:sz w:val="24"/>
          <w:highlight w:val="none"/>
        </w:rPr>
      </w:pPr>
      <w:r>
        <w:rPr>
          <w:rFonts w:hint="eastAsia" w:ascii="宋体" w:hAnsi="宋体" w:cs="宋体"/>
          <w:sz w:val="24"/>
          <w:highlight w:val="none"/>
        </w:rPr>
        <w:t>评审委员会在评审过程中发现投标人有行贿、提供虚假材料或者串通等违法行为的，应当及时向财政部门报告。</w:t>
      </w:r>
    </w:p>
    <w:p>
      <w:pPr>
        <w:spacing w:line="312" w:lineRule="auto"/>
        <w:ind w:firstLine="480" w:firstLineChars="200"/>
        <w:jc w:val="left"/>
        <w:rPr>
          <w:rFonts w:hint="eastAsia" w:ascii="宋体" w:hAnsi="宋体" w:cs="宋体"/>
          <w:sz w:val="24"/>
          <w:highlight w:val="none"/>
        </w:rPr>
      </w:pPr>
      <w:r>
        <w:rPr>
          <w:rFonts w:hint="eastAsia" w:ascii="宋体" w:hAnsi="宋体" w:cs="宋体"/>
          <w:sz w:val="24"/>
          <w:highlight w:val="none"/>
        </w:rPr>
        <w:t>12.招标文件内容违反国家有关强制性规定的，评审委员会应当停止评审并向采购代理机构说明情况。</w:t>
      </w:r>
    </w:p>
    <w:p>
      <w:pPr>
        <w:spacing w:line="312" w:lineRule="auto"/>
        <w:ind w:firstLine="480" w:firstLineChars="200"/>
        <w:jc w:val="left"/>
        <w:rPr>
          <w:rFonts w:hint="eastAsia" w:ascii="宋体" w:hAnsi="宋体" w:cs="宋体"/>
          <w:sz w:val="24"/>
          <w:highlight w:val="none"/>
        </w:rPr>
      </w:pPr>
      <w:r>
        <w:rPr>
          <w:rFonts w:hint="eastAsia" w:ascii="宋体" w:hAnsi="宋体" w:cs="宋体"/>
          <w:sz w:val="24"/>
          <w:highlight w:val="none"/>
        </w:rPr>
        <w:t>13.评审专家应当配合采购代理机构答复投标人提出的质疑。</w:t>
      </w:r>
    </w:p>
    <w:p>
      <w:pPr>
        <w:spacing w:line="312" w:lineRule="auto"/>
        <w:ind w:firstLine="480" w:firstLineChars="200"/>
        <w:jc w:val="left"/>
        <w:rPr>
          <w:rFonts w:hint="eastAsia" w:ascii="宋体" w:hAnsi="宋体" w:cs="宋体"/>
          <w:sz w:val="24"/>
          <w:highlight w:val="none"/>
        </w:rPr>
      </w:pPr>
      <w:r>
        <w:rPr>
          <w:rFonts w:hint="eastAsia" w:ascii="宋体" w:hAnsi="宋体" w:cs="宋体"/>
          <w:sz w:val="24"/>
          <w:highlight w:val="none"/>
        </w:rPr>
        <w:t>14.评审专家应当配合财政部门的投诉处理工作。</w:t>
      </w:r>
    </w:p>
    <w:p>
      <w:pPr>
        <w:spacing w:line="312" w:lineRule="auto"/>
        <w:ind w:firstLine="480" w:firstLineChars="200"/>
        <w:jc w:val="left"/>
        <w:rPr>
          <w:rFonts w:hint="eastAsia" w:ascii="宋体" w:hAnsi="宋体" w:cs="宋体"/>
          <w:sz w:val="24"/>
          <w:highlight w:val="none"/>
        </w:rPr>
      </w:pPr>
      <w:r>
        <w:rPr>
          <w:rFonts w:hint="eastAsia" w:ascii="宋体" w:hAnsi="宋体" w:cs="宋体"/>
          <w:sz w:val="24"/>
          <w:highlight w:val="none"/>
        </w:rPr>
        <w:t>15.评审专家有如下行为之一的，责令改正，给予警告，可以并处一千元以下的罚款：</w:t>
      </w:r>
    </w:p>
    <w:p>
      <w:pPr>
        <w:spacing w:line="312" w:lineRule="auto"/>
        <w:ind w:firstLine="480" w:firstLineChars="200"/>
        <w:jc w:val="left"/>
        <w:rPr>
          <w:rFonts w:hint="eastAsia" w:ascii="宋体" w:hAnsi="宋体" w:cs="宋体"/>
          <w:sz w:val="24"/>
          <w:highlight w:val="none"/>
        </w:rPr>
      </w:pPr>
      <w:r>
        <w:rPr>
          <w:rFonts w:hint="eastAsia" w:ascii="宋体" w:hAnsi="宋体" w:cs="宋体"/>
          <w:sz w:val="24"/>
          <w:highlight w:val="none"/>
        </w:rPr>
        <w:t>①明知应当回避而未主动回避的；</w:t>
      </w:r>
    </w:p>
    <w:p>
      <w:pPr>
        <w:spacing w:line="312" w:lineRule="auto"/>
        <w:ind w:firstLine="480" w:firstLineChars="200"/>
        <w:jc w:val="left"/>
        <w:rPr>
          <w:rFonts w:hint="eastAsia" w:ascii="宋体" w:hAnsi="宋体" w:cs="宋体"/>
          <w:sz w:val="24"/>
          <w:highlight w:val="none"/>
        </w:rPr>
      </w:pPr>
      <w:r>
        <w:rPr>
          <w:rFonts w:hint="eastAsia" w:ascii="宋体" w:hAnsi="宋体" w:cs="宋体"/>
          <w:sz w:val="24"/>
          <w:highlight w:val="none"/>
        </w:rPr>
        <w:t>②在得知自己为评审专家身份后至评审结束前时段内私下接触投标人的；</w:t>
      </w:r>
    </w:p>
    <w:p>
      <w:pPr>
        <w:spacing w:line="312" w:lineRule="auto"/>
        <w:ind w:firstLine="480" w:firstLineChars="200"/>
        <w:jc w:val="left"/>
        <w:rPr>
          <w:rFonts w:hint="eastAsia" w:ascii="宋体" w:hAnsi="宋体" w:cs="宋体"/>
          <w:sz w:val="24"/>
          <w:highlight w:val="none"/>
        </w:rPr>
      </w:pPr>
      <w:r>
        <w:rPr>
          <w:rFonts w:hint="eastAsia" w:ascii="宋体" w:hAnsi="宋体" w:cs="宋体"/>
          <w:sz w:val="24"/>
          <w:highlight w:val="none"/>
        </w:rPr>
        <w:t>③在评审过程中擅离职守，影响评审程序正常进行的；</w:t>
      </w:r>
    </w:p>
    <w:p>
      <w:pPr>
        <w:spacing w:line="312" w:lineRule="auto"/>
        <w:ind w:firstLine="480" w:firstLineChars="200"/>
        <w:jc w:val="left"/>
        <w:rPr>
          <w:rFonts w:hint="eastAsia" w:ascii="宋体" w:hAnsi="宋体" w:cs="宋体"/>
          <w:sz w:val="24"/>
          <w:highlight w:val="none"/>
        </w:rPr>
      </w:pPr>
      <w:r>
        <w:rPr>
          <w:rFonts w:hint="eastAsia" w:ascii="宋体" w:hAnsi="宋体" w:cs="宋体"/>
          <w:sz w:val="24"/>
          <w:highlight w:val="none"/>
        </w:rPr>
        <w:t>④在评审过程有明显不合理或者不正当倾向性的；</w:t>
      </w:r>
    </w:p>
    <w:p>
      <w:pPr>
        <w:spacing w:line="312" w:lineRule="auto"/>
        <w:ind w:firstLine="480" w:firstLineChars="200"/>
        <w:jc w:val="left"/>
        <w:rPr>
          <w:rFonts w:hint="eastAsia" w:ascii="宋体" w:hAnsi="宋体" w:cs="宋体"/>
          <w:sz w:val="24"/>
          <w:highlight w:val="none"/>
        </w:rPr>
      </w:pPr>
      <w:r>
        <w:rPr>
          <w:rFonts w:hint="eastAsia" w:ascii="宋体" w:hAnsi="宋体" w:cs="宋体"/>
          <w:sz w:val="24"/>
          <w:highlight w:val="none"/>
        </w:rPr>
        <w:t>⑤未按招标文件规定的评审方法和标准进行评审的。</w:t>
      </w:r>
    </w:p>
    <w:p>
      <w:pPr>
        <w:spacing w:line="312" w:lineRule="auto"/>
        <w:ind w:firstLine="480" w:firstLineChars="200"/>
        <w:jc w:val="left"/>
        <w:rPr>
          <w:rFonts w:hint="eastAsia" w:ascii="宋体" w:hAnsi="宋体" w:cs="宋体"/>
          <w:sz w:val="24"/>
          <w:highlight w:val="none"/>
        </w:rPr>
      </w:pPr>
      <w:r>
        <w:rPr>
          <w:rFonts w:hint="eastAsia" w:ascii="宋体" w:hAnsi="宋体" w:cs="宋体"/>
          <w:sz w:val="24"/>
          <w:highlight w:val="none"/>
        </w:rPr>
        <w:t>⑥上述①至⑤行为影响中标结果的，中标结果无效。</w:t>
      </w:r>
    </w:p>
    <w:p>
      <w:pPr>
        <w:spacing w:line="312" w:lineRule="auto"/>
        <w:ind w:firstLine="480" w:firstLineChars="200"/>
        <w:jc w:val="left"/>
        <w:rPr>
          <w:rFonts w:hint="eastAsia" w:ascii="宋体" w:hAnsi="宋体" w:cs="宋体"/>
          <w:sz w:val="24"/>
          <w:highlight w:val="none"/>
        </w:rPr>
      </w:pPr>
      <w:r>
        <w:rPr>
          <w:rFonts w:hint="eastAsia" w:ascii="宋体" w:hAnsi="宋体" w:cs="宋体"/>
          <w:sz w:val="24"/>
          <w:highlight w:val="none"/>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pPr>
        <w:spacing w:line="312" w:lineRule="auto"/>
        <w:ind w:firstLine="480" w:firstLineChars="200"/>
        <w:jc w:val="left"/>
        <w:rPr>
          <w:rFonts w:hint="eastAsia" w:ascii="宋体" w:hAnsi="宋体" w:cs="宋体"/>
          <w:sz w:val="24"/>
          <w:highlight w:val="none"/>
        </w:rPr>
      </w:pPr>
      <w:r>
        <w:rPr>
          <w:rFonts w:hint="eastAsia" w:ascii="宋体" w:hAnsi="宋体" w:cs="宋体"/>
          <w:sz w:val="24"/>
          <w:highlight w:val="none"/>
        </w:rPr>
        <w:t>政府采购评审专家与投标人存在利害关系未回避的，处2万元以上5万元以下的罚款，禁止其参加政府采购评审活动。</w:t>
      </w:r>
    </w:p>
    <w:p>
      <w:pPr>
        <w:spacing w:line="312" w:lineRule="auto"/>
        <w:ind w:firstLine="480" w:firstLineChars="200"/>
        <w:jc w:val="left"/>
        <w:rPr>
          <w:rFonts w:hint="eastAsia" w:ascii="宋体" w:hAnsi="宋体" w:cs="宋体"/>
          <w:sz w:val="24"/>
          <w:highlight w:val="none"/>
        </w:rPr>
      </w:pPr>
      <w:r>
        <w:rPr>
          <w:rFonts w:hint="eastAsia" w:ascii="宋体" w:hAnsi="宋体" w:cs="宋体"/>
          <w:sz w:val="24"/>
          <w:highlight w:val="none"/>
        </w:rPr>
        <w:t>政府采购评审专家收受采购人、采购代理机构、投标人贿赂或者获取其他不正当利益，构成犯罪的，依法追究刑事责任；尚不构成犯罪的，处2万元以上5万元以下的罚款，禁止其参加政府采购评审活动。</w:t>
      </w:r>
    </w:p>
    <w:p>
      <w:pPr>
        <w:spacing w:line="312" w:lineRule="auto"/>
        <w:ind w:firstLine="480" w:firstLineChars="200"/>
        <w:jc w:val="left"/>
        <w:rPr>
          <w:rFonts w:hint="eastAsia"/>
          <w:highlight w:val="none"/>
        </w:rPr>
      </w:pPr>
      <w:r>
        <w:rPr>
          <w:rFonts w:hint="eastAsia" w:ascii="宋体" w:hAnsi="宋体" w:cs="宋体"/>
          <w:sz w:val="24"/>
          <w:highlight w:val="none"/>
        </w:rPr>
        <w:t>政府采购评审专家有上述违法行为的，其评审意见无效，不得获取评审费；有违法所得的，没收违法所得；给他人造成损失的，依法承担民事责任。</w:t>
      </w:r>
    </w:p>
    <w:p>
      <w:pPr>
        <w:spacing w:line="312" w:lineRule="auto"/>
        <w:ind w:firstLine="482" w:firstLineChars="200"/>
        <w:jc w:val="left"/>
        <w:rPr>
          <w:rFonts w:hint="eastAsia" w:hAnsi="宋体" w:cs="仿宋"/>
          <w:b/>
          <w:bCs/>
          <w:sz w:val="24"/>
          <w:highlight w:val="none"/>
        </w:rPr>
      </w:pPr>
      <w:r>
        <w:rPr>
          <w:rFonts w:hint="eastAsia" w:hAnsi="宋体" w:cs="仿宋"/>
          <w:b/>
          <w:bCs/>
          <w:sz w:val="24"/>
          <w:highlight w:val="none"/>
        </w:rPr>
        <w:t xml:space="preserve">（四）重新评审 </w:t>
      </w:r>
    </w:p>
    <w:p>
      <w:pPr>
        <w:spacing w:line="312" w:lineRule="auto"/>
        <w:ind w:firstLine="480" w:firstLineChars="200"/>
        <w:jc w:val="left"/>
        <w:rPr>
          <w:rFonts w:hint="eastAsia" w:ascii="宋体" w:hAnsi="宋体" w:cs="宋体"/>
          <w:sz w:val="24"/>
          <w:highlight w:val="none"/>
        </w:rPr>
      </w:pPr>
      <w:r>
        <w:rPr>
          <w:rFonts w:hint="eastAsia" w:ascii="宋体" w:hAnsi="宋体" w:cs="宋体"/>
          <w:sz w:val="24"/>
          <w:highlight w:val="none"/>
        </w:rPr>
        <w:t xml:space="preserve">评审结果形成后，除下列情形外，任何人不得重新评审： </w:t>
      </w:r>
    </w:p>
    <w:p>
      <w:pPr>
        <w:spacing w:line="312" w:lineRule="auto"/>
        <w:ind w:firstLine="480" w:firstLineChars="200"/>
        <w:jc w:val="left"/>
        <w:rPr>
          <w:rFonts w:hint="eastAsia" w:ascii="宋体" w:hAnsi="宋体" w:cs="宋体"/>
          <w:sz w:val="24"/>
          <w:highlight w:val="none"/>
        </w:rPr>
      </w:pPr>
      <w:r>
        <w:rPr>
          <w:rFonts w:hint="eastAsia" w:ascii="宋体" w:hAnsi="宋体" w:cs="宋体"/>
          <w:sz w:val="24"/>
          <w:highlight w:val="none"/>
        </w:rPr>
        <w:t>1、分值汇总计算错误的；</w:t>
      </w:r>
    </w:p>
    <w:p>
      <w:pPr>
        <w:spacing w:line="312" w:lineRule="auto"/>
        <w:ind w:firstLine="480" w:firstLineChars="200"/>
        <w:jc w:val="left"/>
        <w:rPr>
          <w:rFonts w:hint="eastAsia" w:ascii="宋体" w:hAnsi="宋体" w:cs="宋体"/>
          <w:sz w:val="24"/>
          <w:highlight w:val="none"/>
        </w:rPr>
      </w:pPr>
      <w:r>
        <w:rPr>
          <w:rFonts w:hint="eastAsia" w:ascii="宋体" w:hAnsi="宋体" w:cs="宋体"/>
          <w:sz w:val="24"/>
          <w:highlight w:val="none"/>
        </w:rPr>
        <w:t xml:space="preserve">2、分项评分超出评分标准范围的； </w:t>
      </w:r>
    </w:p>
    <w:p>
      <w:pPr>
        <w:spacing w:line="312" w:lineRule="auto"/>
        <w:ind w:firstLine="480" w:firstLineChars="200"/>
        <w:jc w:val="left"/>
        <w:rPr>
          <w:rFonts w:hint="eastAsia" w:ascii="宋体" w:hAnsi="宋体" w:cs="宋体"/>
          <w:sz w:val="24"/>
          <w:highlight w:val="none"/>
        </w:rPr>
      </w:pPr>
      <w:r>
        <w:rPr>
          <w:rFonts w:hint="eastAsia" w:ascii="宋体" w:hAnsi="宋体" w:cs="宋体"/>
          <w:sz w:val="24"/>
          <w:highlight w:val="none"/>
        </w:rPr>
        <w:t>3、评标委员会成员对客观评审因素评分不一致的；</w:t>
      </w:r>
    </w:p>
    <w:p>
      <w:pPr>
        <w:spacing w:line="360" w:lineRule="auto"/>
        <w:ind w:firstLine="480" w:firstLineChars="200"/>
        <w:jc w:val="left"/>
        <w:rPr>
          <w:rFonts w:hint="eastAsia" w:ascii="宋体" w:hAnsi="宋体" w:cs="宋体"/>
          <w:b/>
          <w:sz w:val="36"/>
          <w:szCs w:val="36"/>
          <w:highlight w:val="none"/>
        </w:rPr>
      </w:pPr>
      <w:r>
        <w:rPr>
          <w:rFonts w:hint="eastAsia" w:ascii="宋体" w:hAnsi="宋体" w:cs="宋体"/>
          <w:sz w:val="24"/>
          <w:highlight w:val="none"/>
        </w:rPr>
        <w:t xml:space="preserve">4、经评标委员会认定评分畸高、畸低的。 </w:t>
      </w:r>
      <w:r>
        <w:rPr>
          <w:rFonts w:hint="eastAsia" w:ascii="仿宋" w:hAnsi="仿宋" w:eastAsia="仿宋" w:cs="仿宋"/>
          <w:b/>
          <w:sz w:val="24"/>
          <w:highlight w:val="none"/>
        </w:rPr>
        <w:br w:type="page"/>
      </w:r>
      <w:bookmarkStart w:id="112" w:name="_Toc31769"/>
      <w:bookmarkStart w:id="113" w:name="_Toc6861"/>
      <w:r>
        <w:rPr>
          <w:rStyle w:val="55"/>
          <w:rFonts w:hint="eastAsia"/>
          <w:highlight w:val="none"/>
        </w:rPr>
        <w:t>第六章  投标文件格式（部分）</w:t>
      </w:r>
      <w:bookmarkEnd w:id="112"/>
      <w:bookmarkEnd w:id="113"/>
    </w:p>
    <w:p>
      <w:pPr>
        <w:pStyle w:val="24"/>
        <w:spacing w:line="360" w:lineRule="auto"/>
        <w:ind w:firstLine="482" w:firstLineChars="200"/>
        <w:jc w:val="center"/>
        <w:rPr>
          <w:rFonts w:hint="eastAsia" w:hAnsi="宋体" w:cs="宋体"/>
          <w:b/>
          <w:bCs/>
          <w:sz w:val="24"/>
          <w:highlight w:val="none"/>
        </w:rPr>
      </w:pPr>
      <w:r>
        <w:rPr>
          <w:rFonts w:hint="eastAsia" w:hAnsi="宋体" w:cs="宋体"/>
          <w:b/>
          <w:bCs/>
          <w:sz w:val="24"/>
          <w:highlight w:val="none"/>
        </w:rPr>
        <w:t>目    录</w:t>
      </w:r>
    </w:p>
    <w:p>
      <w:pPr>
        <w:pStyle w:val="24"/>
        <w:spacing w:line="360" w:lineRule="auto"/>
        <w:ind w:firstLine="482" w:firstLineChars="200"/>
        <w:rPr>
          <w:rFonts w:hint="eastAsia" w:hAnsi="宋体" w:cs="宋体"/>
          <w:b/>
          <w:sz w:val="24"/>
          <w:highlight w:val="none"/>
        </w:rPr>
      </w:pPr>
      <w:r>
        <w:rPr>
          <w:rFonts w:hint="eastAsia" w:hAnsi="宋体" w:cs="宋体"/>
          <w:b/>
          <w:sz w:val="24"/>
          <w:highlight w:val="none"/>
        </w:rPr>
        <w:t>一、资格审查文件</w:t>
      </w:r>
    </w:p>
    <w:p>
      <w:pPr>
        <w:pStyle w:val="24"/>
        <w:spacing w:line="360" w:lineRule="auto"/>
        <w:ind w:firstLine="480" w:firstLineChars="200"/>
        <w:rPr>
          <w:rFonts w:hint="eastAsia" w:hAnsi="宋体" w:cs="宋体"/>
          <w:sz w:val="24"/>
          <w:highlight w:val="none"/>
        </w:rPr>
      </w:pPr>
      <w:r>
        <w:rPr>
          <w:rFonts w:hint="eastAsia" w:hAnsi="宋体" w:cs="宋体"/>
          <w:sz w:val="24"/>
          <w:highlight w:val="none"/>
        </w:rPr>
        <w:t>（1）法定代表人（负责人）授权委托书（格式见附件）；（法定代表人（负责人）作为投标人代表时，提供法定代表人（负责人）身份证明书即可，格式见附件)；</w:t>
      </w:r>
    </w:p>
    <w:p>
      <w:pPr>
        <w:pStyle w:val="24"/>
        <w:spacing w:line="360" w:lineRule="auto"/>
        <w:ind w:firstLine="480" w:firstLineChars="200"/>
        <w:rPr>
          <w:rFonts w:hint="eastAsia" w:hAnsi="宋体" w:cs="宋体"/>
          <w:sz w:val="24"/>
          <w:highlight w:val="none"/>
        </w:rPr>
      </w:pPr>
      <w:r>
        <w:rPr>
          <w:rFonts w:hint="eastAsia" w:hAnsi="宋体" w:cs="宋体"/>
          <w:sz w:val="24"/>
          <w:highlight w:val="none"/>
        </w:rPr>
        <w:t>（2）符合投标人资格条件的审查材料：</w:t>
      </w:r>
    </w:p>
    <w:p>
      <w:pPr>
        <w:pStyle w:val="24"/>
        <w:spacing w:line="360" w:lineRule="auto"/>
        <w:ind w:firstLine="480" w:firstLineChars="200"/>
        <w:rPr>
          <w:rFonts w:hint="eastAsia" w:hAnsi="宋体" w:cs="宋体"/>
          <w:sz w:val="24"/>
          <w:highlight w:val="none"/>
        </w:rPr>
      </w:pPr>
      <w:r>
        <w:rPr>
          <w:rFonts w:hint="eastAsia" w:hAnsi="宋体" w:cs="宋体"/>
          <w:sz w:val="24"/>
          <w:highlight w:val="none"/>
        </w:rPr>
        <w:t>2.1）营业执照（或事业法人登记证或其他工商等登记证明材料）；</w:t>
      </w:r>
    </w:p>
    <w:p>
      <w:pPr>
        <w:pStyle w:val="24"/>
        <w:spacing w:line="360" w:lineRule="auto"/>
        <w:ind w:firstLine="480" w:firstLineChars="200"/>
        <w:rPr>
          <w:rFonts w:hint="eastAsia" w:hAnsi="宋体" w:cs="宋体"/>
          <w:sz w:val="24"/>
          <w:highlight w:val="none"/>
        </w:rPr>
      </w:pPr>
      <w:r>
        <w:rPr>
          <w:rFonts w:hint="eastAsia" w:hAnsi="宋体" w:cs="宋体"/>
          <w:sz w:val="24"/>
          <w:highlight w:val="none"/>
        </w:rPr>
        <w:t>2.2) 符合参加政府采购活动应当具备的一般条件的承诺函；</w:t>
      </w:r>
    </w:p>
    <w:p>
      <w:pPr>
        <w:pStyle w:val="24"/>
        <w:spacing w:line="360" w:lineRule="auto"/>
        <w:ind w:firstLine="480" w:firstLineChars="200"/>
        <w:rPr>
          <w:rFonts w:hint="eastAsia" w:hAnsi="宋体" w:cs="宋体"/>
          <w:sz w:val="24"/>
          <w:highlight w:val="none"/>
        </w:rPr>
      </w:pPr>
      <w:r>
        <w:rPr>
          <w:rFonts w:hint="eastAsia" w:hAnsi="宋体" w:cs="宋体"/>
          <w:sz w:val="24"/>
          <w:highlight w:val="none"/>
        </w:rPr>
        <w:t>2.3）与参加本次项目同一合同项下政府采购活动的其他供应商不存在单位负责人为同一人或者直接控股、管理关系的声明函；</w:t>
      </w:r>
    </w:p>
    <w:p>
      <w:pPr>
        <w:pStyle w:val="24"/>
        <w:spacing w:line="360" w:lineRule="auto"/>
        <w:ind w:firstLine="480" w:firstLineChars="200"/>
        <w:rPr>
          <w:rFonts w:hint="eastAsia" w:hAnsi="宋体" w:cs="宋体"/>
          <w:sz w:val="24"/>
          <w:highlight w:val="none"/>
        </w:rPr>
      </w:pPr>
      <w:r>
        <w:rPr>
          <w:rFonts w:hint="eastAsia" w:hAnsi="宋体" w:cs="宋体"/>
          <w:sz w:val="24"/>
          <w:highlight w:val="none"/>
        </w:rPr>
        <w:t>2.4）“信用中国”（www.creditchina.gov.cn）；“中国政府采购网”（www.ccgp.gov.cn） 信用记录查询网页截图（招标公告发布之日至投标截止时间前查询均可）；</w:t>
      </w:r>
    </w:p>
    <w:p>
      <w:pPr>
        <w:pStyle w:val="24"/>
        <w:spacing w:line="360" w:lineRule="auto"/>
        <w:ind w:firstLine="480" w:firstLineChars="200"/>
        <w:rPr>
          <w:rFonts w:hint="eastAsia" w:hAnsi="宋体" w:cs="宋体"/>
          <w:sz w:val="24"/>
          <w:highlight w:val="none"/>
        </w:rPr>
      </w:pPr>
      <w:r>
        <w:rPr>
          <w:rFonts w:hint="eastAsia" w:hAnsi="宋体" w:cs="宋体"/>
          <w:bCs/>
          <w:sz w:val="24"/>
          <w:highlight w:val="none"/>
        </w:rPr>
        <w:t>2.5）</w:t>
      </w:r>
      <w:r>
        <w:rPr>
          <w:rFonts w:hint="eastAsia" w:hAnsi="宋体" w:cs="宋体"/>
          <w:sz w:val="24"/>
          <w:highlight w:val="none"/>
        </w:rPr>
        <w:t>中小企业申明函（格式见附件）；</w:t>
      </w:r>
    </w:p>
    <w:p>
      <w:pPr>
        <w:pStyle w:val="24"/>
        <w:spacing w:line="360" w:lineRule="auto"/>
        <w:ind w:firstLine="480" w:firstLineChars="200"/>
        <w:rPr>
          <w:rFonts w:hAnsi="宋体" w:cs="宋体"/>
          <w:sz w:val="24"/>
          <w:highlight w:val="none"/>
        </w:rPr>
      </w:pPr>
      <w:r>
        <w:rPr>
          <w:rFonts w:hint="eastAsia" w:hAnsi="宋体" w:cs="宋体"/>
          <w:sz w:val="24"/>
          <w:highlight w:val="none"/>
        </w:rPr>
        <w:t>2.6）联合体协议书（格式见附件）</w:t>
      </w:r>
    </w:p>
    <w:p>
      <w:pPr>
        <w:pStyle w:val="24"/>
        <w:spacing w:line="360" w:lineRule="auto"/>
        <w:ind w:firstLine="480" w:firstLineChars="200"/>
        <w:rPr>
          <w:rFonts w:hint="eastAsia" w:hAnsi="宋体" w:cs="宋体"/>
          <w:sz w:val="24"/>
          <w:highlight w:val="none"/>
        </w:rPr>
      </w:pPr>
      <w:r>
        <w:rPr>
          <w:rFonts w:hint="eastAsia" w:hAnsi="宋体" w:cs="宋体"/>
          <w:sz w:val="24"/>
          <w:highlight w:val="none"/>
        </w:rPr>
        <w:t>2.7）符合投标人特定资格条件的材料。</w:t>
      </w:r>
    </w:p>
    <w:p>
      <w:pPr>
        <w:pStyle w:val="24"/>
        <w:spacing w:line="360" w:lineRule="auto"/>
        <w:ind w:firstLine="482" w:firstLineChars="200"/>
        <w:rPr>
          <w:rFonts w:hint="eastAsia" w:hAnsi="宋体" w:cs="宋体"/>
          <w:b/>
          <w:sz w:val="24"/>
          <w:highlight w:val="none"/>
        </w:rPr>
      </w:pPr>
      <w:r>
        <w:rPr>
          <w:rFonts w:hint="eastAsia" w:hAnsi="宋体" w:cs="宋体"/>
          <w:b/>
          <w:sz w:val="24"/>
          <w:highlight w:val="none"/>
        </w:rPr>
        <w:t>二、商务技术文件（含展馆整体演示光盘）</w:t>
      </w:r>
    </w:p>
    <w:p>
      <w:pPr>
        <w:pStyle w:val="24"/>
        <w:spacing w:line="360" w:lineRule="auto"/>
        <w:ind w:firstLine="480" w:firstLineChars="200"/>
        <w:rPr>
          <w:rFonts w:hint="eastAsia" w:hAnsi="宋体" w:cs="宋体"/>
          <w:sz w:val="24"/>
          <w:highlight w:val="none"/>
        </w:rPr>
      </w:pPr>
      <w:r>
        <w:rPr>
          <w:rFonts w:hint="eastAsia" w:hAnsi="宋体" w:cs="宋体"/>
          <w:sz w:val="24"/>
          <w:highlight w:val="none"/>
        </w:rPr>
        <w:t>（1）专家评分索引表（格式见附件)；</w:t>
      </w:r>
    </w:p>
    <w:p>
      <w:pPr>
        <w:pStyle w:val="24"/>
        <w:spacing w:line="360" w:lineRule="auto"/>
        <w:ind w:firstLine="480" w:firstLineChars="200"/>
        <w:rPr>
          <w:rFonts w:hint="eastAsia" w:hAnsi="宋体" w:cs="宋体"/>
          <w:sz w:val="24"/>
          <w:highlight w:val="none"/>
        </w:rPr>
      </w:pPr>
      <w:r>
        <w:rPr>
          <w:rFonts w:hint="eastAsia" w:hAnsi="宋体" w:cs="宋体"/>
          <w:sz w:val="24"/>
          <w:highlight w:val="none"/>
        </w:rPr>
        <w:t>（2）投标声明书（格式见附件)；</w:t>
      </w:r>
    </w:p>
    <w:p>
      <w:pPr>
        <w:pStyle w:val="24"/>
        <w:spacing w:line="360" w:lineRule="auto"/>
        <w:ind w:firstLine="480" w:firstLineChars="200"/>
        <w:rPr>
          <w:rFonts w:hint="eastAsia" w:hAnsi="宋体" w:cs="宋体"/>
          <w:sz w:val="24"/>
          <w:highlight w:val="none"/>
        </w:rPr>
      </w:pPr>
      <w:r>
        <w:rPr>
          <w:rFonts w:hint="eastAsia" w:hAnsi="宋体" w:cs="宋体"/>
          <w:sz w:val="24"/>
          <w:highlight w:val="none"/>
        </w:rPr>
        <w:t>（3）综合实力（详见评分标准）；</w:t>
      </w:r>
    </w:p>
    <w:p>
      <w:pPr>
        <w:pStyle w:val="24"/>
        <w:spacing w:line="360" w:lineRule="auto"/>
        <w:ind w:firstLine="480" w:firstLineChars="200"/>
        <w:rPr>
          <w:rFonts w:hint="eastAsia" w:hAnsi="宋体" w:cs="宋体"/>
          <w:sz w:val="24"/>
          <w:highlight w:val="none"/>
        </w:rPr>
      </w:pPr>
      <w:r>
        <w:rPr>
          <w:rFonts w:hint="eastAsia" w:hAnsi="宋体" w:cs="宋体"/>
          <w:sz w:val="24"/>
          <w:highlight w:val="none"/>
        </w:rPr>
        <w:t>（4）2018年1月至今投标人完成的同类项目业绩（格式见附件，如有）；</w:t>
      </w:r>
    </w:p>
    <w:p>
      <w:pPr>
        <w:pStyle w:val="24"/>
        <w:spacing w:line="360" w:lineRule="auto"/>
        <w:ind w:firstLine="480" w:firstLineChars="200"/>
        <w:rPr>
          <w:rFonts w:hint="eastAsia" w:hAnsi="宋体" w:cs="宋体"/>
          <w:sz w:val="24"/>
          <w:highlight w:val="none"/>
        </w:rPr>
      </w:pPr>
      <w:r>
        <w:rPr>
          <w:rFonts w:hint="eastAsia" w:hAnsi="宋体" w:cs="宋体"/>
          <w:sz w:val="24"/>
          <w:highlight w:val="none"/>
        </w:rPr>
        <w:t>（5）人员配备情况表（格式自拟）；</w:t>
      </w:r>
    </w:p>
    <w:p>
      <w:pPr>
        <w:pStyle w:val="24"/>
        <w:spacing w:line="360" w:lineRule="auto"/>
        <w:ind w:firstLine="480" w:firstLineChars="200"/>
        <w:rPr>
          <w:rFonts w:hint="eastAsia" w:hAnsi="宋体" w:cs="宋体"/>
          <w:sz w:val="24"/>
          <w:highlight w:val="none"/>
        </w:rPr>
      </w:pPr>
      <w:r>
        <w:rPr>
          <w:rFonts w:hint="eastAsia" w:hAnsi="宋体" w:cs="宋体"/>
          <w:sz w:val="24"/>
          <w:highlight w:val="none"/>
        </w:rPr>
        <w:t>（6）项目理解及深化（格式自拟）；</w:t>
      </w:r>
    </w:p>
    <w:p>
      <w:pPr>
        <w:pStyle w:val="24"/>
        <w:spacing w:line="360" w:lineRule="auto"/>
        <w:ind w:firstLine="480" w:firstLineChars="200"/>
        <w:rPr>
          <w:rFonts w:hint="eastAsia" w:hAnsi="宋体" w:cs="宋体"/>
          <w:sz w:val="24"/>
          <w:highlight w:val="none"/>
        </w:rPr>
      </w:pPr>
      <w:r>
        <w:rPr>
          <w:rFonts w:hint="eastAsia" w:hAnsi="宋体" w:cs="宋体"/>
          <w:sz w:val="24"/>
          <w:highlight w:val="none"/>
        </w:rPr>
        <w:t>（7）展厅控制系统（格式自拟）；</w:t>
      </w:r>
    </w:p>
    <w:p>
      <w:pPr>
        <w:pStyle w:val="24"/>
        <w:spacing w:line="360" w:lineRule="auto"/>
        <w:ind w:firstLine="480" w:firstLineChars="200"/>
        <w:rPr>
          <w:rFonts w:hint="eastAsia" w:hAnsi="宋体" w:cs="宋体"/>
          <w:sz w:val="24"/>
          <w:highlight w:val="none"/>
        </w:rPr>
      </w:pPr>
      <w:r>
        <w:rPr>
          <w:rFonts w:hint="eastAsia" w:hAnsi="宋体" w:cs="宋体"/>
          <w:sz w:val="24"/>
          <w:highlight w:val="none"/>
        </w:rPr>
        <w:t>（8）组织实施（格式自拟）；</w:t>
      </w:r>
    </w:p>
    <w:p>
      <w:pPr>
        <w:pStyle w:val="24"/>
        <w:spacing w:line="360" w:lineRule="auto"/>
        <w:ind w:firstLine="480" w:firstLineChars="200"/>
        <w:rPr>
          <w:rFonts w:hint="eastAsia" w:hAnsi="宋体" w:cs="宋体"/>
          <w:sz w:val="24"/>
          <w:highlight w:val="none"/>
        </w:rPr>
      </w:pPr>
      <w:r>
        <w:rPr>
          <w:rFonts w:hint="eastAsia" w:hAnsi="宋体" w:cs="宋体"/>
          <w:sz w:val="24"/>
          <w:highlight w:val="none"/>
        </w:rPr>
        <w:t>（9）主要设备参数响应表（格式见附件）；</w:t>
      </w:r>
    </w:p>
    <w:p>
      <w:pPr>
        <w:pStyle w:val="24"/>
        <w:spacing w:line="360" w:lineRule="auto"/>
        <w:ind w:firstLine="480" w:firstLineChars="200"/>
        <w:rPr>
          <w:rFonts w:hint="eastAsia" w:hAnsi="宋体" w:cs="宋体"/>
          <w:sz w:val="24"/>
          <w:highlight w:val="none"/>
        </w:rPr>
      </w:pPr>
      <w:r>
        <w:rPr>
          <w:rFonts w:hint="eastAsia" w:hAnsi="宋体" w:cs="宋体"/>
          <w:sz w:val="24"/>
          <w:highlight w:val="none"/>
        </w:rPr>
        <w:t>（10）售后服务（格式自拟）；</w:t>
      </w:r>
    </w:p>
    <w:p>
      <w:pPr>
        <w:pStyle w:val="24"/>
        <w:spacing w:line="360" w:lineRule="auto"/>
        <w:ind w:firstLine="480" w:firstLineChars="200"/>
        <w:rPr>
          <w:rFonts w:hint="eastAsia" w:hAnsi="宋体" w:cs="宋体"/>
          <w:sz w:val="24"/>
          <w:highlight w:val="none"/>
        </w:rPr>
      </w:pPr>
      <w:r>
        <w:rPr>
          <w:rFonts w:hint="eastAsia" w:hAnsi="宋体" w:cs="宋体"/>
          <w:sz w:val="24"/>
          <w:highlight w:val="none"/>
        </w:rPr>
        <w:t>（11）政策分；</w:t>
      </w:r>
    </w:p>
    <w:p>
      <w:pPr>
        <w:pStyle w:val="24"/>
        <w:spacing w:line="360" w:lineRule="auto"/>
        <w:ind w:firstLine="480" w:firstLineChars="200"/>
        <w:rPr>
          <w:rFonts w:hint="eastAsia" w:hAnsi="宋体" w:cs="宋体"/>
          <w:sz w:val="24"/>
          <w:highlight w:val="none"/>
        </w:rPr>
      </w:pPr>
      <w:r>
        <w:rPr>
          <w:rFonts w:hint="eastAsia" w:hAnsi="宋体" w:cs="宋体"/>
          <w:sz w:val="24"/>
          <w:highlight w:val="none"/>
        </w:rPr>
        <w:t>（12）评分标准及投标人认为其他有必要提供的资料（格式自拟，如有）。</w:t>
      </w:r>
    </w:p>
    <w:p>
      <w:pPr>
        <w:pStyle w:val="24"/>
        <w:spacing w:line="360" w:lineRule="auto"/>
        <w:ind w:firstLine="482" w:firstLineChars="200"/>
        <w:rPr>
          <w:rFonts w:hint="eastAsia" w:hAnsi="宋体" w:cs="宋体"/>
          <w:sz w:val="24"/>
          <w:highlight w:val="none"/>
        </w:rPr>
      </w:pPr>
      <w:r>
        <w:rPr>
          <w:rFonts w:hint="eastAsia" w:hAnsi="宋体" w:cs="宋体"/>
          <w:b/>
          <w:sz w:val="24"/>
          <w:highlight w:val="none"/>
        </w:rPr>
        <w:t>注：商务技术文件内容不限于上述内容，各投标人可根据自身情况进一步细化及排序。</w:t>
      </w:r>
      <w:r>
        <w:rPr>
          <w:rFonts w:hint="eastAsia" w:hAnsi="宋体" w:cs="宋体"/>
          <w:b/>
          <w:bCs/>
          <w:sz w:val="24"/>
          <w:highlight w:val="none"/>
        </w:rPr>
        <w:t>展馆整体演示光盘单独递交，递交方式详见投标人须知。</w:t>
      </w:r>
    </w:p>
    <w:p>
      <w:pPr>
        <w:pStyle w:val="24"/>
        <w:spacing w:line="360" w:lineRule="auto"/>
        <w:ind w:firstLine="482" w:firstLineChars="200"/>
        <w:rPr>
          <w:rFonts w:hint="eastAsia" w:hAnsi="宋体" w:cs="宋体"/>
          <w:b/>
          <w:sz w:val="24"/>
          <w:highlight w:val="none"/>
        </w:rPr>
      </w:pPr>
      <w:r>
        <w:rPr>
          <w:rFonts w:hint="eastAsia" w:hAnsi="宋体" w:cs="宋体"/>
          <w:b/>
          <w:sz w:val="24"/>
          <w:highlight w:val="none"/>
        </w:rPr>
        <w:t>三、报价文件</w:t>
      </w:r>
    </w:p>
    <w:p>
      <w:pPr>
        <w:pStyle w:val="24"/>
        <w:spacing w:line="360" w:lineRule="auto"/>
        <w:ind w:firstLine="480" w:firstLineChars="200"/>
        <w:rPr>
          <w:rFonts w:hint="eastAsia" w:hAnsi="宋体" w:cs="宋体"/>
          <w:sz w:val="24"/>
          <w:highlight w:val="none"/>
        </w:rPr>
      </w:pPr>
      <w:r>
        <w:rPr>
          <w:rFonts w:hint="eastAsia" w:hAnsi="宋体" w:cs="宋体"/>
          <w:sz w:val="24"/>
          <w:highlight w:val="none"/>
        </w:rPr>
        <w:t>（1）投标函（格式见附件10）；</w:t>
      </w:r>
    </w:p>
    <w:p>
      <w:pPr>
        <w:pStyle w:val="24"/>
        <w:spacing w:line="360" w:lineRule="auto"/>
        <w:ind w:firstLine="480" w:firstLineChars="200"/>
        <w:rPr>
          <w:rFonts w:hint="eastAsia" w:hAnsi="宋体" w:cs="宋体"/>
          <w:sz w:val="24"/>
          <w:highlight w:val="none"/>
        </w:rPr>
      </w:pPr>
      <w:r>
        <w:rPr>
          <w:rFonts w:hint="eastAsia" w:hAnsi="宋体" w:cs="宋体"/>
          <w:sz w:val="24"/>
          <w:highlight w:val="none"/>
        </w:rPr>
        <w:t>（2）开标一览表（格式见附件11)；</w:t>
      </w:r>
    </w:p>
    <w:p>
      <w:pPr>
        <w:widowControl/>
        <w:spacing w:line="360" w:lineRule="auto"/>
        <w:ind w:firstLine="480" w:firstLineChars="200"/>
        <w:rPr>
          <w:rFonts w:hint="eastAsia" w:hAnsi="宋体" w:cs="宋体"/>
          <w:sz w:val="24"/>
          <w:highlight w:val="none"/>
        </w:rPr>
      </w:pPr>
      <w:r>
        <w:rPr>
          <w:rFonts w:hint="eastAsia" w:hAnsi="宋体" w:cs="宋体"/>
          <w:sz w:val="24"/>
          <w:highlight w:val="none"/>
        </w:rPr>
        <w:t>（3）中小企业申明函（服务类）（格式见附件12)；</w:t>
      </w:r>
    </w:p>
    <w:p>
      <w:pPr>
        <w:widowControl/>
        <w:spacing w:line="360" w:lineRule="auto"/>
        <w:ind w:firstLine="480" w:firstLineChars="200"/>
        <w:rPr>
          <w:rFonts w:hint="eastAsia" w:hAnsi="宋体" w:cs="宋体"/>
          <w:sz w:val="24"/>
          <w:highlight w:val="none"/>
        </w:rPr>
      </w:pPr>
      <w:r>
        <w:rPr>
          <w:rFonts w:hint="eastAsia" w:hAnsi="宋体" w:cs="宋体"/>
          <w:sz w:val="24"/>
          <w:highlight w:val="none"/>
        </w:rPr>
        <w:t>（4）投标人针对报价需要说明的其他文件和说明（如有）。</w:t>
      </w:r>
    </w:p>
    <w:p>
      <w:pPr>
        <w:spacing w:line="520" w:lineRule="exact"/>
        <w:ind w:left="17" w:hanging="16" w:hangingChars="6"/>
        <w:rPr>
          <w:rFonts w:hint="eastAsia" w:ascii="宋体" w:hAnsi="宋体" w:cs="宋体"/>
          <w:bCs/>
          <w:sz w:val="28"/>
          <w:szCs w:val="28"/>
          <w:highlight w:val="none"/>
        </w:rPr>
      </w:pPr>
      <w:r>
        <w:rPr>
          <w:rFonts w:hint="eastAsia" w:ascii="宋体" w:hAnsi="宋体" w:cs="宋体"/>
          <w:bCs/>
          <w:sz w:val="28"/>
          <w:szCs w:val="28"/>
          <w:highlight w:val="none"/>
        </w:rPr>
        <w:br w:type="page"/>
      </w:r>
      <w:r>
        <w:rPr>
          <w:rFonts w:hint="eastAsia" w:ascii="宋体" w:hAnsi="宋体" w:cs="宋体"/>
          <w:b/>
          <w:sz w:val="28"/>
          <w:szCs w:val="28"/>
          <w:highlight w:val="none"/>
        </w:rPr>
        <w:t>第 1 部分.资格审查文件封面格式（推荐）</w:t>
      </w:r>
    </w:p>
    <w:p>
      <w:pPr>
        <w:spacing w:line="520" w:lineRule="exact"/>
        <w:ind w:left="31" w:hanging="31" w:hangingChars="6"/>
        <w:jc w:val="center"/>
        <w:rPr>
          <w:rFonts w:hint="eastAsia" w:ascii="宋体" w:hAnsi="宋体" w:cs="宋体"/>
          <w:b/>
          <w:bCs/>
          <w:sz w:val="52"/>
          <w:szCs w:val="52"/>
          <w:highlight w:val="none"/>
        </w:rPr>
      </w:pPr>
    </w:p>
    <w:p>
      <w:pPr>
        <w:pStyle w:val="2"/>
        <w:ind w:firstLine="560"/>
        <w:rPr>
          <w:rFonts w:hint="eastAsia"/>
          <w:highlight w:val="none"/>
        </w:rPr>
      </w:pPr>
    </w:p>
    <w:p>
      <w:pPr>
        <w:spacing w:line="520" w:lineRule="exact"/>
        <w:ind w:left="26" w:hanging="27" w:hangingChars="6"/>
        <w:jc w:val="center"/>
        <w:rPr>
          <w:rFonts w:hint="eastAsia" w:ascii="宋体" w:hAnsi="宋体" w:cs="宋体"/>
          <w:b/>
          <w:bCs/>
          <w:sz w:val="44"/>
          <w:szCs w:val="44"/>
          <w:highlight w:val="none"/>
        </w:rPr>
      </w:pPr>
      <w:r>
        <w:rPr>
          <w:rFonts w:hint="eastAsia" w:ascii="宋体" w:hAnsi="宋体" w:cs="宋体"/>
          <w:b/>
          <w:bCs/>
          <w:sz w:val="44"/>
          <w:szCs w:val="44"/>
          <w:highlight w:val="none"/>
        </w:rPr>
        <w:t>金华市安地灌区续建配套与节水改造项目（2021-2022年）调增项目灌溉节水宣传馆</w:t>
      </w:r>
    </w:p>
    <w:p>
      <w:pPr>
        <w:spacing w:line="520" w:lineRule="exact"/>
        <w:ind w:left="17" w:hanging="16" w:hangingChars="6"/>
        <w:rPr>
          <w:rFonts w:hint="eastAsia" w:ascii="宋体" w:hAnsi="宋体" w:cs="宋体"/>
          <w:bCs/>
          <w:sz w:val="28"/>
          <w:szCs w:val="28"/>
          <w:highlight w:val="none"/>
        </w:rPr>
      </w:pPr>
    </w:p>
    <w:p>
      <w:pPr>
        <w:spacing w:line="520" w:lineRule="exact"/>
        <w:ind w:left="17" w:hanging="16" w:hangingChars="6"/>
        <w:rPr>
          <w:rFonts w:hint="eastAsia" w:ascii="宋体" w:hAnsi="宋体" w:cs="宋体"/>
          <w:bCs/>
          <w:sz w:val="28"/>
          <w:szCs w:val="28"/>
          <w:highlight w:val="none"/>
        </w:rPr>
      </w:pPr>
    </w:p>
    <w:p>
      <w:pPr>
        <w:pStyle w:val="2"/>
        <w:ind w:firstLine="560"/>
        <w:rPr>
          <w:rFonts w:hint="eastAsia" w:cs="宋体"/>
          <w:bCs/>
          <w:szCs w:val="28"/>
          <w:highlight w:val="none"/>
        </w:rPr>
      </w:pPr>
    </w:p>
    <w:p>
      <w:pPr>
        <w:pStyle w:val="5"/>
        <w:rPr>
          <w:rFonts w:hint="eastAsia"/>
          <w:highlight w:val="none"/>
        </w:rPr>
      </w:pPr>
    </w:p>
    <w:p>
      <w:pPr>
        <w:spacing w:line="520" w:lineRule="exact"/>
        <w:ind w:left="31" w:hanging="31" w:hangingChars="6"/>
        <w:jc w:val="center"/>
        <w:rPr>
          <w:rFonts w:hint="eastAsia" w:ascii="宋体" w:hAnsi="宋体" w:cs="宋体"/>
          <w:b/>
          <w:bCs/>
          <w:sz w:val="52"/>
          <w:szCs w:val="52"/>
          <w:highlight w:val="none"/>
        </w:rPr>
      </w:pPr>
      <w:r>
        <w:rPr>
          <w:rFonts w:hint="eastAsia" w:ascii="宋体" w:hAnsi="宋体" w:cs="宋体"/>
          <w:b/>
          <w:bCs/>
          <w:sz w:val="52"/>
          <w:szCs w:val="52"/>
          <w:highlight w:val="none"/>
        </w:rPr>
        <w:t>资格审查文件</w:t>
      </w:r>
    </w:p>
    <w:p>
      <w:pPr>
        <w:spacing w:line="520" w:lineRule="exact"/>
        <w:ind w:left="17" w:hanging="16" w:hangingChars="6"/>
        <w:rPr>
          <w:rFonts w:hint="eastAsia" w:ascii="宋体" w:hAnsi="宋体" w:cs="宋体"/>
          <w:bCs/>
          <w:sz w:val="28"/>
          <w:szCs w:val="28"/>
          <w:highlight w:val="none"/>
        </w:rPr>
      </w:pPr>
    </w:p>
    <w:p>
      <w:pPr>
        <w:spacing w:line="520" w:lineRule="exact"/>
        <w:ind w:left="17" w:hanging="16" w:hangingChars="6"/>
        <w:rPr>
          <w:rFonts w:hint="eastAsia" w:ascii="宋体" w:hAnsi="宋体" w:cs="宋体"/>
          <w:bCs/>
          <w:sz w:val="28"/>
          <w:szCs w:val="28"/>
          <w:highlight w:val="none"/>
        </w:rPr>
      </w:pPr>
    </w:p>
    <w:p>
      <w:pPr>
        <w:pStyle w:val="2"/>
        <w:ind w:firstLine="560"/>
        <w:rPr>
          <w:rFonts w:hint="eastAsia" w:cs="宋体"/>
          <w:bCs/>
          <w:szCs w:val="28"/>
          <w:highlight w:val="none"/>
        </w:rPr>
      </w:pPr>
    </w:p>
    <w:p>
      <w:pPr>
        <w:pStyle w:val="5"/>
        <w:rPr>
          <w:rFonts w:hint="eastAsia"/>
          <w:highlight w:val="none"/>
        </w:rPr>
      </w:pPr>
    </w:p>
    <w:p>
      <w:pPr>
        <w:spacing w:line="360" w:lineRule="auto"/>
        <w:ind w:left="17" w:hanging="16" w:hangingChars="6"/>
        <w:rPr>
          <w:rFonts w:hint="eastAsia" w:ascii="宋体" w:hAnsi="宋体" w:cs="宋体"/>
          <w:bCs/>
          <w:sz w:val="28"/>
          <w:szCs w:val="28"/>
          <w:highlight w:val="none"/>
        </w:rPr>
      </w:pPr>
    </w:p>
    <w:p>
      <w:pPr>
        <w:spacing w:line="360" w:lineRule="auto"/>
        <w:ind w:left="17" w:hanging="16" w:hangingChars="6"/>
        <w:jc w:val="left"/>
        <w:rPr>
          <w:rFonts w:hint="eastAsia" w:ascii="宋体" w:hAnsi="宋体" w:cs="宋体"/>
          <w:bCs/>
          <w:sz w:val="28"/>
          <w:szCs w:val="28"/>
          <w:highlight w:val="none"/>
        </w:rPr>
      </w:pPr>
      <w:r>
        <w:rPr>
          <w:rFonts w:hint="eastAsia" w:ascii="宋体" w:hAnsi="宋体" w:cs="宋体"/>
          <w:bCs/>
          <w:sz w:val="28"/>
          <w:szCs w:val="28"/>
          <w:highlight w:val="none"/>
        </w:rPr>
        <w:t xml:space="preserve">          项目编号：ZJJS2023-ZFCG001 </w:t>
      </w:r>
    </w:p>
    <w:p>
      <w:pPr>
        <w:spacing w:line="360" w:lineRule="auto"/>
        <w:ind w:left="279" w:leftChars="133" w:firstLine="1097" w:firstLineChars="392"/>
        <w:jc w:val="left"/>
        <w:rPr>
          <w:rFonts w:hint="eastAsia" w:ascii="宋体" w:hAnsi="宋体" w:cs="宋体"/>
          <w:bCs/>
          <w:sz w:val="28"/>
          <w:szCs w:val="28"/>
          <w:highlight w:val="none"/>
        </w:rPr>
      </w:pPr>
      <w:r>
        <w:rPr>
          <w:rFonts w:hint="eastAsia" w:ascii="宋体" w:hAnsi="宋体" w:cs="宋体"/>
          <w:bCs/>
          <w:sz w:val="28"/>
          <w:szCs w:val="28"/>
          <w:highlight w:val="none"/>
        </w:rPr>
        <w:t>投标供应商名称：</w:t>
      </w:r>
    </w:p>
    <w:p>
      <w:pPr>
        <w:spacing w:line="360" w:lineRule="auto"/>
        <w:ind w:left="17" w:hanging="16" w:hangingChars="6"/>
        <w:jc w:val="left"/>
        <w:rPr>
          <w:rFonts w:hint="eastAsia" w:ascii="宋体" w:hAnsi="宋体" w:cs="宋体"/>
          <w:bCs/>
          <w:sz w:val="28"/>
          <w:szCs w:val="28"/>
          <w:highlight w:val="none"/>
        </w:rPr>
      </w:pPr>
      <w:r>
        <w:rPr>
          <w:rFonts w:hint="eastAsia" w:ascii="宋体" w:hAnsi="宋体" w:cs="宋体"/>
          <w:bCs/>
          <w:sz w:val="28"/>
          <w:szCs w:val="28"/>
          <w:highlight w:val="none"/>
        </w:rPr>
        <w:t xml:space="preserve">          投标供应商地址：</w:t>
      </w:r>
    </w:p>
    <w:p>
      <w:pPr>
        <w:spacing w:line="360" w:lineRule="auto"/>
        <w:ind w:left="17" w:hanging="16" w:hangingChars="6"/>
        <w:jc w:val="left"/>
        <w:rPr>
          <w:rFonts w:hint="eastAsia" w:ascii="宋体" w:hAnsi="宋体" w:cs="宋体"/>
          <w:bCs/>
          <w:sz w:val="28"/>
          <w:szCs w:val="28"/>
          <w:highlight w:val="none"/>
        </w:rPr>
      </w:pPr>
      <w:r>
        <w:rPr>
          <w:rFonts w:hint="eastAsia" w:ascii="宋体" w:hAnsi="宋体" w:cs="宋体"/>
          <w:bCs/>
          <w:sz w:val="28"/>
          <w:szCs w:val="28"/>
          <w:highlight w:val="none"/>
        </w:rPr>
        <w:t xml:space="preserve">          联系电话：</w:t>
      </w:r>
    </w:p>
    <w:p>
      <w:pPr>
        <w:spacing w:line="360" w:lineRule="auto"/>
        <w:ind w:left="17" w:hanging="16" w:hangingChars="6"/>
        <w:jc w:val="left"/>
        <w:rPr>
          <w:rFonts w:hint="eastAsia" w:ascii="宋体" w:hAnsi="宋体" w:cs="宋体"/>
          <w:bCs/>
          <w:sz w:val="28"/>
          <w:szCs w:val="28"/>
          <w:highlight w:val="none"/>
        </w:rPr>
      </w:pPr>
      <w:r>
        <w:rPr>
          <w:rFonts w:hint="eastAsia" w:ascii="宋体" w:hAnsi="宋体" w:cs="宋体"/>
          <w:bCs/>
          <w:sz w:val="28"/>
          <w:szCs w:val="28"/>
          <w:highlight w:val="none"/>
        </w:rPr>
        <w:t xml:space="preserve">          法定代表人(负责人）或授权代表签字或盖章：</w:t>
      </w:r>
    </w:p>
    <w:p>
      <w:pPr>
        <w:spacing w:line="360" w:lineRule="auto"/>
        <w:ind w:left="17" w:hanging="16" w:hangingChars="6"/>
        <w:jc w:val="left"/>
        <w:rPr>
          <w:rFonts w:hint="eastAsia" w:ascii="宋体" w:hAnsi="宋体" w:cs="宋体"/>
          <w:bCs/>
          <w:sz w:val="28"/>
          <w:szCs w:val="28"/>
          <w:highlight w:val="none"/>
        </w:rPr>
      </w:pPr>
      <w:r>
        <w:rPr>
          <w:rFonts w:hint="eastAsia" w:ascii="宋体" w:hAnsi="宋体" w:cs="宋体"/>
          <w:bCs/>
          <w:sz w:val="28"/>
          <w:szCs w:val="28"/>
          <w:highlight w:val="none"/>
        </w:rPr>
        <w:t xml:space="preserve">            </w:t>
      </w:r>
    </w:p>
    <w:p>
      <w:pPr>
        <w:spacing w:line="520" w:lineRule="exact"/>
        <w:ind w:left="17" w:hanging="16" w:hangingChars="6"/>
        <w:jc w:val="right"/>
        <w:rPr>
          <w:rFonts w:hint="eastAsia" w:ascii="楷体" w:hAnsi="楷体" w:eastAsia="楷体" w:cs="仿宋"/>
          <w:bCs/>
          <w:sz w:val="28"/>
          <w:szCs w:val="28"/>
          <w:highlight w:val="none"/>
        </w:rPr>
      </w:pPr>
    </w:p>
    <w:p>
      <w:pPr>
        <w:spacing w:line="520" w:lineRule="exact"/>
        <w:ind w:left="17" w:hanging="16" w:hangingChars="6"/>
        <w:jc w:val="center"/>
        <w:rPr>
          <w:rFonts w:hint="eastAsia" w:ascii="黑体" w:hAnsi="黑体" w:eastAsia="黑体" w:cs="黑体"/>
          <w:b/>
          <w:sz w:val="32"/>
          <w:szCs w:val="32"/>
          <w:highlight w:val="none"/>
        </w:rPr>
      </w:pPr>
      <w:r>
        <w:rPr>
          <w:rFonts w:hint="eastAsia" w:ascii="楷体" w:hAnsi="楷体" w:eastAsia="楷体" w:cs="仿宋"/>
          <w:bCs/>
          <w:sz w:val="28"/>
          <w:szCs w:val="28"/>
          <w:highlight w:val="none"/>
        </w:rPr>
        <w:br w:type="page"/>
      </w:r>
      <w:r>
        <w:rPr>
          <w:rFonts w:hint="eastAsia" w:ascii="黑体" w:hAnsi="黑体" w:eastAsia="黑体" w:cs="黑体"/>
          <w:b/>
          <w:sz w:val="32"/>
          <w:szCs w:val="32"/>
          <w:highlight w:val="none"/>
        </w:rPr>
        <w:t>附件1、法定代表人（负责人）授权委托书</w:t>
      </w:r>
    </w:p>
    <w:p>
      <w:pPr>
        <w:spacing w:line="500" w:lineRule="exact"/>
        <w:ind w:left="26" w:hanging="26" w:hangingChars="6"/>
        <w:jc w:val="center"/>
        <w:rPr>
          <w:rFonts w:ascii="仿宋" w:hAnsi="仿宋" w:eastAsia="仿宋" w:cs="仿宋"/>
          <w:sz w:val="44"/>
          <w:szCs w:val="44"/>
          <w:highlight w:val="none"/>
        </w:rPr>
      </w:pPr>
    </w:p>
    <w:p>
      <w:pPr>
        <w:spacing w:line="312" w:lineRule="auto"/>
        <w:ind w:left="14" w:hanging="14" w:hangingChars="6"/>
        <w:rPr>
          <w:rFonts w:hint="eastAsia" w:ascii="宋体" w:hAnsi="宋体" w:cs="宋体"/>
          <w:sz w:val="24"/>
          <w:highlight w:val="none"/>
        </w:rPr>
      </w:pPr>
      <w:r>
        <w:rPr>
          <w:rFonts w:hint="eastAsia" w:ascii="宋体" w:hAnsi="宋体" w:cs="宋体"/>
          <w:sz w:val="24"/>
          <w:highlight w:val="none"/>
          <w:u w:val="single"/>
        </w:rPr>
        <w:t xml:space="preserve"> 金华市梅溪流域管理中心 </w:t>
      </w:r>
      <w:r>
        <w:rPr>
          <w:rFonts w:hint="eastAsia" w:ascii="宋体" w:hAnsi="宋体" w:cs="宋体"/>
          <w:sz w:val="24"/>
          <w:highlight w:val="none"/>
        </w:rPr>
        <w:t>：</w:t>
      </w:r>
    </w:p>
    <w:p>
      <w:pPr>
        <w:spacing w:after="312" w:afterLines="100" w:line="312" w:lineRule="auto"/>
        <w:ind w:left="14" w:hanging="14" w:hangingChars="6"/>
        <w:rPr>
          <w:rFonts w:hint="eastAsia" w:ascii="宋体" w:hAnsi="宋体" w:cs="宋体"/>
          <w:sz w:val="24"/>
          <w:highlight w:val="none"/>
        </w:rPr>
      </w:pPr>
      <w:r>
        <w:rPr>
          <w:rFonts w:hint="eastAsia" w:ascii="宋体" w:hAnsi="宋体" w:cs="宋体"/>
          <w:sz w:val="24"/>
          <w:highlight w:val="none"/>
          <w:u w:val="single"/>
        </w:rPr>
        <w:t xml:space="preserve"> 浙江金穗工程项目管理有限公司 </w:t>
      </w:r>
      <w:r>
        <w:rPr>
          <w:rFonts w:hint="eastAsia" w:ascii="宋体" w:hAnsi="宋体" w:cs="宋体"/>
          <w:sz w:val="24"/>
          <w:highlight w:val="none"/>
        </w:rPr>
        <w:t>：</w:t>
      </w:r>
    </w:p>
    <w:p>
      <w:pPr>
        <w:snapToGrid w:val="0"/>
        <w:spacing w:line="312" w:lineRule="auto"/>
        <w:ind w:left="14" w:firstLine="480" w:firstLineChars="200"/>
        <w:rPr>
          <w:rFonts w:hint="eastAsia" w:ascii="宋体" w:hAnsi="宋体" w:cs="宋体"/>
          <w:sz w:val="24"/>
          <w:highlight w:val="none"/>
        </w:rPr>
      </w:pPr>
      <w:r>
        <w:rPr>
          <w:rFonts w:hint="eastAsia" w:ascii="宋体" w:hAnsi="宋体" w:cs="宋体"/>
          <w:sz w:val="24"/>
          <w:highlight w:val="none"/>
        </w:rPr>
        <w:t>我</w:t>
      </w:r>
      <w:r>
        <w:rPr>
          <w:rFonts w:hint="eastAsia" w:ascii="宋体" w:hAnsi="宋体" w:cs="宋体"/>
          <w:sz w:val="24"/>
          <w:highlight w:val="none"/>
          <w:u w:val="single"/>
        </w:rPr>
        <w:t xml:space="preserve">           </w:t>
      </w:r>
      <w:r>
        <w:rPr>
          <w:rFonts w:hint="eastAsia" w:ascii="宋体" w:hAnsi="宋体" w:cs="宋体"/>
          <w:sz w:val="24"/>
          <w:highlight w:val="none"/>
        </w:rPr>
        <w:t>（姓名）系</w:t>
      </w:r>
      <w:r>
        <w:rPr>
          <w:rFonts w:hint="eastAsia" w:ascii="宋体" w:hAnsi="宋体" w:cs="宋体"/>
          <w:sz w:val="24"/>
          <w:highlight w:val="none"/>
          <w:u w:val="single"/>
        </w:rPr>
        <w:t xml:space="preserve">                </w:t>
      </w:r>
      <w:r>
        <w:rPr>
          <w:rFonts w:hint="eastAsia" w:ascii="宋体" w:hAnsi="宋体" w:cs="宋体"/>
          <w:sz w:val="24"/>
          <w:highlight w:val="none"/>
        </w:rPr>
        <w:t>（投标供应商名称）的法定代表人（负责人），现授权委托本单位在职职工</w:t>
      </w:r>
      <w:r>
        <w:rPr>
          <w:rFonts w:hint="eastAsia" w:ascii="宋体" w:hAnsi="宋体" w:cs="宋体"/>
          <w:sz w:val="24"/>
          <w:highlight w:val="none"/>
          <w:u w:val="single"/>
        </w:rPr>
        <w:t xml:space="preserve">        </w:t>
      </w:r>
      <w:r>
        <w:rPr>
          <w:rFonts w:hint="eastAsia" w:ascii="宋体" w:hAnsi="宋体" w:cs="宋体"/>
          <w:sz w:val="24"/>
          <w:highlight w:val="none"/>
        </w:rPr>
        <w:t>（姓名）以我方的名义参加</w:t>
      </w:r>
      <w:r>
        <w:rPr>
          <w:rFonts w:hint="eastAsia" w:ascii="宋体" w:hAnsi="宋体" w:cs="宋体"/>
          <w:sz w:val="24"/>
          <w:highlight w:val="none"/>
          <w:u w:val="single"/>
        </w:rPr>
        <w:t xml:space="preserve"> 金华市安地灌区续建配套与节水改造项目（2021-2022年）调增项目灌溉节水宣传馆</w:t>
      </w:r>
      <w:r>
        <w:rPr>
          <w:rFonts w:hint="eastAsia" w:ascii="宋体" w:hAnsi="宋体" w:cs="宋体"/>
          <w:sz w:val="24"/>
          <w:highlight w:val="none"/>
        </w:rPr>
        <w:t>的投标活动，并代表我方全权办理针对上述项目的投标、开标、评标、签约等具体事务和签署相关文件。</w:t>
      </w:r>
    </w:p>
    <w:p>
      <w:pPr>
        <w:snapToGrid w:val="0"/>
        <w:spacing w:line="312" w:lineRule="auto"/>
        <w:ind w:left="14" w:firstLine="480" w:firstLineChars="200"/>
        <w:rPr>
          <w:rFonts w:hint="eastAsia" w:ascii="宋体" w:hAnsi="宋体" w:cs="宋体"/>
          <w:sz w:val="24"/>
          <w:highlight w:val="none"/>
        </w:rPr>
      </w:pPr>
      <w:r>
        <w:rPr>
          <w:rFonts w:hint="eastAsia" w:ascii="宋体" w:hAnsi="宋体" w:cs="宋体"/>
          <w:sz w:val="24"/>
          <w:highlight w:val="none"/>
        </w:rPr>
        <w:t>我方对被授权人的签名负全部责任。</w:t>
      </w:r>
    </w:p>
    <w:p>
      <w:pPr>
        <w:spacing w:line="312" w:lineRule="auto"/>
        <w:ind w:left="14" w:firstLine="480" w:firstLineChars="200"/>
        <w:rPr>
          <w:rFonts w:hint="eastAsia" w:ascii="宋体" w:hAnsi="宋体" w:cs="宋体"/>
          <w:sz w:val="24"/>
          <w:highlight w:val="none"/>
        </w:rPr>
      </w:pPr>
      <w:r>
        <w:rPr>
          <w:rFonts w:hint="eastAsia" w:ascii="宋体" w:hAnsi="宋体" w:cs="宋体"/>
          <w:sz w:val="24"/>
          <w:highlight w:val="none"/>
        </w:rPr>
        <w:t>委托期限：</w:t>
      </w:r>
      <w:r>
        <w:rPr>
          <w:rFonts w:hint="eastAsia" w:ascii="宋体" w:hAnsi="宋体" w:cs="宋体"/>
          <w:sz w:val="24"/>
          <w:highlight w:val="none"/>
          <w:u w:val="single"/>
        </w:rPr>
        <w:t xml:space="preserve"> 在撤销授权的书面通知以前，本授权书一直有效 </w:t>
      </w:r>
      <w:r>
        <w:rPr>
          <w:rFonts w:hint="eastAsia" w:ascii="宋体" w:hAnsi="宋体" w:cs="宋体"/>
          <w:sz w:val="24"/>
          <w:highlight w:val="none"/>
        </w:rPr>
        <w:t>。被授权人在授权书有效期内签署的所有文件不因授权的撤销而失效。</w:t>
      </w:r>
    </w:p>
    <w:p>
      <w:pPr>
        <w:snapToGrid w:val="0"/>
        <w:spacing w:line="312" w:lineRule="auto"/>
        <w:ind w:left="14" w:firstLine="480" w:firstLineChars="200"/>
        <w:rPr>
          <w:rFonts w:hint="eastAsia" w:ascii="宋体" w:hAnsi="宋体" w:cs="宋体"/>
          <w:sz w:val="24"/>
          <w:highlight w:val="none"/>
        </w:rPr>
      </w:pPr>
      <w:r>
        <w:rPr>
          <w:rFonts w:hint="eastAsia" w:ascii="宋体" w:hAnsi="宋体" w:cs="宋体"/>
          <w:sz w:val="24"/>
          <w:highlight w:val="none"/>
        </w:rPr>
        <w:t>被授权人无转委托权，特此委托。</w:t>
      </w:r>
    </w:p>
    <w:p>
      <w:pPr>
        <w:spacing w:line="312" w:lineRule="auto"/>
        <w:ind w:left="17" w:hanging="16" w:hangingChars="6"/>
        <w:rPr>
          <w:rFonts w:hint="eastAsia" w:ascii="宋体" w:hAnsi="宋体" w:cs="宋体"/>
          <w:sz w:val="28"/>
          <w:szCs w:val="28"/>
          <w:highlight w:val="none"/>
        </w:rPr>
      </w:pPr>
    </w:p>
    <w:p>
      <w:pPr>
        <w:spacing w:line="312" w:lineRule="auto"/>
        <w:ind w:left="14" w:hanging="14" w:hangingChars="6"/>
        <w:rPr>
          <w:rFonts w:hint="eastAsia" w:ascii="宋体" w:hAnsi="宋体" w:cs="宋体"/>
          <w:sz w:val="24"/>
          <w:highlight w:val="none"/>
        </w:rPr>
      </w:pPr>
      <w:r>
        <w:rPr>
          <w:rFonts w:hint="eastAsia" w:ascii="宋体" w:hAnsi="宋体" w:cs="宋体"/>
          <w:sz w:val="24"/>
          <w:highlight w:val="none"/>
        </w:rPr>
        <w:t>投标供应商全称：</w:t>
      </w:r>
      <w:r>
        <w:rPr>
          <w:rFonts w:hint="eastAsia" w:ascii="宋体" w:hAnsi="宋体" w:cs="宋体"/>
          <w:sz w:val="24"/>
          <w:highlight w:val="none"/>
          <w:u w:val="single"/>
        </w:rPr>
        <w:t xml:space="preserve">                             </w:t>
      </w:r>
      <w:r>
        <w:rPr>
          <w:rFonts w:hint="eastAsia" w:ascii="宋体" w:hAnsi="宋体" w:cs="宋体"/>
          <w:sz w:val="24"/>
          <w:highlight w:val="none"/>
        </w:rPr>
        <w:t>（盖公章）</w:t>
      </w:r>
    </w:p>
    <w:p>
      <w:pPr>
        <w:spacing w:line="312" w:lineRule="auto"/>
        <w:ind w:left="14" w:hanging="14" w:hangingChars="6"/>
        <w:rPr>
          <w:rFonts w:hint="eastAsia" w:ascii="宋体" w:hAnsi="宋体" w:cs="宋体"/>
          <w:sz w:val="24"/>
          <w:highlight w:val="none"/>
        </w:rPr>
      </w:pPr>
      <w:r>
        <w:rPr>
          <w:rFonts w:hint="eastAsia" w:ascii="宋体" w:hAnsi="宋体" w:cs="宋体"/>
          <w:sz w:val="24"/>
          <w:highlight w:val="none"/>
        </w:rPr>
        <w:t>法定代表人（负责人）：</w:t>
      </w:r>
      <w:r>
        <w:rPr>
          <w:rFonts w:hint="eastAsia" w:ascii="宋体" w:hAnsi="宋体" w:cs="宋体"/>
          <w:sz w:val="24"/>
          <w:highlight w:val="none"/>
          <w:u w:val="single"/>
        </w:rPr>
        <w:t xml:space="preserve">                    </w:t>
      </w:r>
      <w:r>
        <w:rPr>
          <w:rFonts w:hint="eastAsia" w:ascii="宋体" w:hAnsi="宋体" w:cs="宋体"/>
          <w:sz w:val="24"/>
          <w:highlight w:val="none"/>
        </w:rPr>
        <w:t>（签字或盖章）</w:t>
      </w:r>
    </w:p>
    <w:p>
      <w:pPr>
        <w:spacing w:line="312" w:lineRule="auto"/>
        <w:ind w:left="14" w:hanging="14" w:hangingChars="6"/>
        <w:rPr>
          <w:rFonts w:hint="eastAsia" w:ascii="宋体" w:hAnsi="宋体" w:cs="宋体"/>
          <w:sz w:val="24"/>
          <w:highlight w:val="none"/>
        </w:rPr>
      </w:pPr>
      <w:r>
        <w:rPr>
          <w:rFonts w:hint="eastAsia" w:ascii="宋体" w:hAnsi="宋体" w:cs="宋体"/>
          <w:sz w:val="24"/>
          <w:highlight w:val="none"/>
        </w:rPr>
        <w:t>法定代表人（负责人）身份证复印件（正反面）：</w:t>
      </w:r>
      <w:r>
        <w:rPr>
          <w:rFonts w:hint="eastAsia" w:ascii="宋体" w:hAnsi="宋体" w:cs="宋体"/>
          <w:sz w:val="24"/>
          <w:highlight w:val="none"/>
          <w:u w:val="single"/>
        </w:rPr>
        <w:t xml:space="preserve">                                     </w:t>
      </w:r>
    </w:p>
    <w:p>
      <w:pPr>
        <w:spacing w:line="312" w:lineRule="auto"/>
        <w:ind w:left="14" w:hanging="14" w:hangingChars="6"/>
        <w:rPr>
          <w:rFonts w:hint="eastAsia" w:ascii="宋体" w:hAnsi="宋体" w:cs="宋体"/>
          <w:sz w:val="24"/>
          <w:highlight w:val="none"/>
        </w:rPr>
      </w:pPr>
      <w:r>
        <w:rPr>
          <w:rFonts w:hint="eastAsia" w:ascii="宋体" w:hAnsi="宋体" w:cs="宋体"/>
          <w:sz w:val="24"/>
          <w:highlight w:val="none"/>
        </w:rPr>
        <w:t xml:space="preserve">                                             </w:t>
      </w:r>
    </w:p>
    <w:p>
      <w:pPr>
        <w:spacing w:line="312" w:lineRule="auto"/>
        <w:ind w:left="14" w:hanging="14" w:hangingChars="6"/>
        <w:rPr>
          <w:rFonts w:hint="eastAsia" w:ascii="宋体" w:hAnsi="宋体" w:cs="宋体"/>
          <w:sz w:val="24"/>
          <w:highlight w:val="none"/>
        </w:rPr>
      </w:pPr>
      <w:r>
        <w:rPr>
          <w:rFonts w:hint="eastAsia" w:ascii="宋体" w:hAnsi="宋体" w:cs="宋体"/>
          <w:sz w:val="24"/>
          <w:highlight w:val="none"/>
        </w:rPr>
        <w:t>附：</w:t>
      </w:r>
    </w:p>
    <w:p>
      <w:pPr>
        <w:spacing w:line="312" w:lineRule="auto"/>
        <w:ind w:left="14" w:hanging="14" w:hangingChars="6"/>
        <w:rPr>
          <w:rFonts w:hint="eastAsia" w:ascii="宋体" w:hAnsi="宋体" w:cs="宋体"/>
          <w:sz w:val="24"/>
          <w:highlight w:val="none"/>
        </w:rPr>
      </w:pPr>
    </w:p>
    <w:p>
      <w:pPr>
        <w:spacing w:line="312" w:lineRule="auto"/>
        <w:ind w:left="14" w:hanging="14" w:hangingChars="6"/>
        <w:rPr>
          <w:rFonts w:hint="eastAsia" w:ascii="宋体" w:hAnsi="宋体" w:cs="宋体"/>
          <w:sz w:val="24"/>
          <w:highlight w:val="none"/>
        </w:rPr>
      </w:pPr>
      <w:r>
        <w:rPr>
          <w:rFonts w:hint="eastAsia" w:ascii="宋体" w:hAnsi="宋体" w:cs="宋体"/>
          <w:sz w:val="24"/>
          <w:highlight w:val="none"/>
        </w:rPr>
        <w:t xml:space="preserve">被授权人姓名：  </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pacing w:line="312" w:lineRule="auto"/>
        <w:ind w:left="14" w:hanging="14" w:hangingChars="6"/>
        <w:rPr>
          <w:rFonts w:hint="eastAsia" w:ascii="宋体" w:hAnsi="宋体" w:cs="宋体"/>
          <w:sz w:val="24"/>
          <w:highlight w:val="none"/>
        </w:rPr>
      </w:pPr>
      <w:r>
        <w:rPr>
          <w:rFonts w:hint="eastAsia" w:ascii="宋体" w:hAnsi="宋体" w:cs="宋体"/>
          <w:sz w:val="24"/>
          <w:highlight w:val="none"/>
        </w:rPr>
        <w:t xml:space="preserve">被授权人身份证复印件（正反面）：  </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pacing w:line="312" w:lineRule="auto"/>
        <w:ind w:left="14" w:hanging="14" w:hangingChars="6"/>
        <w:rPr>
          <w:rFonts w:hint="eastAsia" w:ascii="宋体" w:hAnsi="宋体" w:cs="宋体"/>
          <w:sz w:val="24"/>
          <w:highlight w:val="none"/>
        </w:rPr>
      </w:pPr>
      <w:r>
        <w:rPr>
          <w:rFonts w:hint="eastAsia" w:ascii="宋体" w:hAnsi="宋体" w:cs="宋体"/>
          <w:sz w:val="24"/>
          <w:highlight w:val="none"/>
        </w:rPr>
        <w:t xml:space="preserve">联系电话： </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pacing w:line="312" w:lineRule="auto"/>
        <w:ind w:left="14" w:hanging="14" w:hangingChars="6"/>
        <w:rPr>
          <w:rFonts w:hint="eastAsia" w:ascii="宋体" w:hAnsi="宋体" w:cs="宋体"/>
          <w:sz w:val="24"/>
          <w:highlight w:val="none"/>
        </w:rPr>
      </w:pPr>
      <w:r>
        <w:rPr>
          <w:rFonts w:hint="eastAsia" w:ascii="宋体" w:hAnsi="宋体" w:cs="宋体"/>
          <w:sz w:val="24"/>
          <w:highlight w:val="none"/>
        </w:rPr>
        <w:t xml:space="preserve"> </w:t>
      </w:r>
    </w:p>
    <w:p>
      <w:pPr>
        <w:spacing w:line="312" w:lineRule="auto"/>
        <w:ind w:left="14" w:hanging="14" w:hangingChars="6"/>
        <w:jc w:val="left"/>
        <w:rPr>
          <w:rFonts w:hint="eastAsia" w:ascii="宋体" w:hAnsi="宋体" w:cs="宋体"/>
          <w:sz w:val="24"/>
          <w:highlight w:val="none"/>
        </w:rPr>
      </w:pPr>
      <w:r>
        <w:rPr>
          <w:rFonts w:hint="eastAsia" w:ascii="宋体" w:hAnsi="宋体" w:cs="宋体"/>
          <w:sz w:val="24"/>
          <w:highlight w:val="none"/>
        </w:rPr>
        <w:t>日期：      年    月    日</w:t>
      </w:r>
    </w:p>
    <w:p>
      <w:pPr>
        <w:ind w:left="14" w:hanging="14" w:hangingChars="6"/>
        <w:rPr>
          <w:rFonts w:ascii="仿宋" w:hAnsi="仿宋" w:eastAsia="仿宋" w:cs="仿宋"/>
          <w:sz w:val="24"/>
          <w:highlight w:val="none"/>
        </w:rPr>
      </w:pPr>
    </w:p>
    <w:p>
      <w:pPr>
        <w:spacing w:line="500" w:lineRule="exact"/>
        <w:jc w:val="left"/>
        <w:rPr>
          <w:rFonts w:hint="eastAsia" w:ascii="黑体" w:hAnsi="黑体" w:eastAsia="黑体" w:cs="黑体"/>
          <w:b/>
          <w:bCs/>
          <w:sz w:val="24"/>
          <w:highlight w:val="none"/>
        </w:rPr>
      </w:pPr>
      <w:r>
        <w:rPr>
          <w:rFonts w:hint="eastAsia" w:ascii="黑体" w:hAnsi="黑体" w:eastAsia="黑体" w:cs="黑体"/>
          <w:b/>
          <w:bCs/>
          <w:sz w:val="24"/>
          <w:highlight w:val="none"/>
        </w:rPr>
        <w:t>注：如投标人代表不是法定代表人（负责人），提供法定代表人（负责人）出具的授权委托书。</w:t>
      </w:r>
    </w:p>
    <w:p>
      <w:pPr>
        <w:pStyle w:val="20"/>
        <w:ind w:firstLine="210"/>
        <w:jc w:val="center"/>
        <w:rPr>
          <w:rFonts w:hint="eastAsia" w:ascii="黑体" w:hAnsi="黑体" w:eastAsia="黑体" w:cs="黑体"/>
          <w:b/>
          <w:sz w:val="32"/>
          <w:szCs w:val="32"/>
          <w:highlight w:val="none"/>
        </w:rPr>
      </w:pPr>
      <w:r>
        <w:rPr>
          <w:rFonts w:hint="eastAsia"/>
          <w:highlight w:val="none"/>
        </w:rPr>
        <w:br w:type="page"/>
      </w:r>
      <w:r>
        <w:rPr>
          <w:rFonts w:hint="eastAsia" w:ascii="黑体" w:hAnsi="黑体" w:eastAsia="黑体" w:cs="黑体"/>
          <w:b/>
          <w:sz w:val="32"/>
          <w:szCs w:val="32"/>
          <w:highlight w:val="none"/>
        </w:rPr>
        <w:t>法定代表人（负责人）身份证明书</w:t>
      </w:r>
    </w:p>
    <w:p>
      <w:pPr>
        <w:spacing w:line="520" w:lineRule="exact"/>
        <w:rPr>
          <w:rFonts w:ascii="仿宋" w:hAnsi="仿宋" w:eastAsia="仿宋" w:cs="仿宋"/>
          <w:bCs/>
          <w:sz w:val="44"/>
          <w:szCs w:val="44"/>
          <w:highlight w:val="none"/>
        </w:rPr>
      </w:pPr>
    </w:p>
    <w:p>
      <w:pPr>
        <w:wordWrap w:val="0"/>
        <w:spacing w:line="54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投标供应商名称：</w:t>
      </w:r>
      <w:r>
        <w:rPr>
          <w:rFonts w:hint="eastAsia" w:ascii="宋体" w:hAnsi="宋体" w:cs="宋体"/>
          <w:sz w:val="24"/>
          <w:highlight w:val="none"/>
          <w:u w:val="single"/>
        </w:rPr>
        <w:t xml:space="preserve">                                                 .</w:t>
      </w:r>
    </w:p>
    <w:p>
      <w:pPr>
        <w:wordWrap w:val="0"/>
        <w:spacing w:line="54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地址：</w:t>
      </w:r>
      <w:r>
        <w:rPr>
          <w:rFonts w:hint="eastAsia" w:ascii="宋体" w:hAnsi="宋体" w:cs="宋体"/>
          <w:sz w:val="24"/>
          <w:highlight w:val="none"/>
          <w:u w:val="single"/>
        </w:rPr>
        <w:t xml:space="preserve">                                                           .</w:t>
      </w:r>
    </w:p>
    <w:p>
      <w:pPr>
        <w:wordWrap w:val="0"/>
        <w:spacing w:line="54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成立时间：</w:t>
      </w:r>
      <w:r>
        <w:rPr>
          <w:rFonts w:hint="eastAsia" w:ascii="宋体" w:hAnsi="宋体" w:cs="宋体"/>
          <w:sz w:val="24"/>
          <w:highlight w:val="none"/>
          <w:u w:val="single"/>
        </w:rPr>
        <w:t xml:space="preserve">            </w:t>
      </w:r>
      <w:r>
        <w:rPr>
          <w:rFonts w:hint="eastAsia" w:ascii="宋体" w:hAnsi="宋体" w:cs="宋体"/>
          <w:bCs/>
          <w:sz w:val="24"/>
          <w:highlight w:val="none"/>
        </w:rPr>
        <w:t xml:space="preserve"> 年</w:t>
      </w:r>
      <w:r>
        <w:rPr>
          <w:rFonts w:hint="eastAsia" w:ascii="宋体" w:hAnsi="宋体" w:cs="宋体"/>
          <w:sz w:val="24"/>
          <w:highlight w:val="none"/>
          <w:u w:val="single"/>
        </w:rPr>
        <w:t xml:space="preserve">          </w:t>
      </w:r>
      <w:r>
        <w:rPr>
          <w:rFonts w:hint="eastAsia" w:ascii="宋体" w:hAnsi="宋体" w:cs="宋体"/>
          <w:bCs/>
          <w:sz w:val="24"/>
          <w:highlight w:val="none"/>
        </w:rPr>
        <w:t>月</w:t>
      </w:r>
      <w:r>
        <w:rPr>
          <w:rFonts w:hint="eastAsia" w:ascii="宋体" w:hAnsi="宋体" w:cs="宋体"/>
          <w:sz w:val="24"/>
          <w:highlight w:val="none"/>
          <w:u w:val="single"/>
        </w:rPr>
        <w:t xml:space="preserve">           </w:t>
      </w:r>
      <w:r>
        <w:rPr>
          <w:rFonts w:hint="eastAsia" w:ascii="宋体" w:hAnsi="宋体" w:cs="宋体"/>
          <w:bCs/>
          <w:sz w:val="24"/>
          <w:highlight w:val="none"/>
        </w:rPr>
        <w:t>日</w:t>
      </w:r>
    </w:p>
    <w:p>
      <w:pPr>
        <w:wordWrap w:val="0"/>
        <w:spacing w:line="540" w:lineRule="exact"/>
        <w:ind w:firstLine="480" w:firstLineChars="200"/>
        <w:jc w:val="left"/>
        <w:rPr>
          <w:rFonts w:hint="eastAsia" w:ascii="宋体" w:hAnsi="宋体" w:cs="宋体"/>
          <w:sz w:val="24"/>
          <w:highlight w:val="none"/>
          <w:u w:val="single"/>
        </w:rPr>
      </w:pPr>
      <w:r>
        <w:rPr>
          <w:rFonts w:hint="eastAsia" w:ascii="宋体" w:hAnsi="宋体" w:cs="宋体"/>
          <w:bCs/>
          <w:sz w:val="24"/>
          <w:highlight w:val="none"/>
        </w:rPr>
        <w:t>经营期限：</w:t>
      </w:r>
      <w:r>
        <w:rPr>
          <w:rFonts w:hint="eastAsia" w:ascii="宋体" w:hAnsi="宋体" w:cs="宋体"/>
          <w:sz w:val="24"/>
          <w:highlight w:val="none"/>
          <w:u w:val="single"/>
        </w:rPr>
        <w:t xml:space="preserve">                                                       .</w:t>
      </w:r>
    </w:p>
    <w:p>
      <w:pPr>
        <w:wordWrap w:val="0"/>
        <w:spacing w:line="54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姓名：</w:t>
      </w:r>
      <w:r>
        <w:rPr>
          <w:rFonts w:hint="eastAsia" w:ascii="宋体" w:hAnsi="宋体" w:cs="宋体"/>
          <w:sz w:val="24"/>
          <w:highlight w:val="none"/>
          <w:u w:val="single"/>
        </w:rPr>
        <w:t xml:space="preserve">                  </w:t>
      </w:r>
      <w:r>
        <w:rPr>
          <w:rFonts w:hint="eastAsia" w:ascii="宋体" w:hAnsi="宋体" w:cs="宋体"/>
          <w:bCs/>
          <w:sz w:val="24"/>
          <w:highlight w:val="none"/>
        </w:rPr>
        <w:t>性别：</w:t>
      </w:r>
      <w:r>
        <w:rPr>
          <w:rFonts w:hint="eastAsia" w:ascii="宋体" w:hAnsi="宋体" w:cs="宋体"/>
          <w:sz w:val="24"/>
          <w:highlight w:val="none"/>
          <w:u w:val="single"/>
        </w:rPr>
        <w:t xml:space="preserve">           </w:t>
      </w:r>
      <w:r>
        <w:rPr>
          <w:rFonts w:hint="eastAsia" w:ascii="宋体" w:hAnsi="宋体" w:cs="宋体"/>
          <w:bCs/>
          <w:sz w:val="24"/>
          <w:highlight w:val="none"/>
        </w:rPr>
        <w:t>年龄：</w:t>
      </w:r>
      <w:r>
        <w:rPr>
          <w:rFonts w:hint="eastAsia" w:ascii="宋体" w:hAnsi="宋体" w:cs="宋体"/>
          <w:sz w:val="24"/>
          <w:highlight w:val="none"/>
          <w:u w:val="single"/>
        </w:rPr>
        <w:t xml:space="preserve">                  </w:t>
      </w:r>
      <w:r>
        <w:rPr>
          <w:rFonts w:hint="eastAsia" w:ascii="宋体" w:hAnsi="宋体" w:cs="宋体"/>
          <w:bCs/>
          <w:sz w:val="24"/>
          <w:highlight w:val="none"/>
          <w:u w:val="single"/>
        </w:rPr>
        <w:t>.</w:t>
      </w:r>
      <w:r>
        <w:rPr>
          <w:rFonts w:hint="eastAsia" w:ascii="宋体" w:hAnsi="宋体" w:cs="宋体"/>
          <w:bCs/>
          <w:sz w:val="24"/>
          <w:highlight w:val="none"/>
        </w:rPr>
        <w:t xml:space="preserve">    </w:t>
      </w:r>
    </w:p>
    <w:p>
      <w:pPr>
        <w:wordWrap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身份证号码：</w:t>
      </w:r>
      <w:r>
        <w:rPr>
          <w:rFonts w:hint="eastAsia" w:ascii="宋体" w:hAnsi="宋体" w:cs="宋体"/>
          <w:bCs/>
          <w:sz w:val="24"/>
          <w:highlight w:val="none"/>
          <w:u w:val="single"/>
        </w:rPr>
        <w:t xml:space="preserve"> </w:t>
      </w:r>
      <w:r>
        <w:rPr>
          <w:rFonts w:hint="eastAsia" w:ascii="宋体" w:hAnsi="宋体" w:cs="宋体"/>
          <w:sz w:val="24"/>
          <w:highlight w:val="none"/>
          <w:u w:val="single"/>
        </w:rPr>
        <w:t xml:space="preserve">                           </w:t>
      </w:r>
      <w:r>
        <w:rPr>
          <w:rFonts w:hint="eastAsia" w:ascii="宋体" w:hAnsi="宋体" w:cs="宋体"/>
          <w:bCs/>
          <w:sz w:val="24"/>
          <w:highlight w:val="none"/>
        </w:rPr>
        <w:t>职务：</w:t>
      </w:r>
      <w:r>
        <w:rPr>
          <w:rFonts w:hint="eastAsia" w:ascii="宋体" w:hAnsi="宋体" w:cs="宋体"/>
          <w:sz w:val="24"/>
          <w:highlight w:val="none"/>
          <w:u w:val="single"/>
        </w:rPr>
        <w:t xml:space="preserve">                   </w:t>
      </w:r>
      <w:r>
        <w:rPr>
          <w:rFonts w:hint="eastAsia" w:ascii="宋体" w:hAnsi="宋体" w:cs="宋体"/>
          <w:bCs/>
          <w:sz w:val="24"/>
          <w:highlight w:val="none"/>
          <w:u w:val="single"/>
        </w:rPr>
        <w:t>.</w:t>
      </w:r>
      <w:r>
        <w:rPr>
          <w:rFonts w:hint="eastAsia" w:ascii="宋体" w:hAnsi="宋体" w:cs="宋体"/>
          <w:bCs/>
          <w:sz w:val="24"/>
          <w:highlight w:val="none"/>
        </w:rPr>
        <w:t xml:space="preserve">           </w:t>
      </w:r>
    </w:p>
    <w:p>
      <w:pPr>
        <w:wordWrap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系</w:t>
      </w:r>
      <w:r>
        <w:rPr>
          <w:rFonts w:hint="eastAsia" w:ascii="宋体" w:hAnsi="宋体" w:cs="宋体"/>
          <w:sz w:val="24"/>
          <w:highlight w:val="none"/>
          <w:u w:val="single"/>
        </w:rPr>
        <w:t xml:space="preserve">                         </w:t>
      </w:r>
      <w:r>
        <w:rPr>
          <w:rFonts w:hint="eastAsia" w:ascii="宋体" w:hAnsi="宋体" w:cs="宋体"/>
          <w:bCs/>
          <w:sz w:val="24"/>
          <w:highlight w:val="none"/>
        </w:rPr>
        <w:t>（投标供应商名称）的法定代表人（负责人）。</w:t>
      </w:r>
    </w:p>
    <w:p>
      <w:pPr>
        <w:wordWrap w:val="0"/>
        <w:spacing w:line="360" w:lineRule="auto"/>
        <w:ind w:firstLine="480" w:firstLineChars="200"/>
        <w:jc w:val="left"/>
        <w:rPr>
          <w:rFonts w:hint="eastAsia" w:ascii="宋体" w:hAnsi="宋体" w:cs="宋体"/>
          <w:bCs/>
          <w:sz w:val="24"/>
          <w:highlight w:val="none"/>
        </w:rPr>
      </w:pPr>
    </w:p>
    <w:p>
      <w:pPr>
        <w:wordWrap w:val="0"/>
        <w:spacing w:line="360" w:lineRule="auto"/>
        <w:ind w:firstLine="480" w:firstLineChars="200"/>
        <w:jc w:val="left"/>
        <w:rPr>
          <w:rFonts w:hint="eastAsia" w:ascii="宋体" w:hAnsi="宋体" w:cs="宋体"/>
          <w:bCs/>
          <w:sz w:val="24"/>
          <w:highlight w:val="none"/>
        </w:rPr>
      </w:pPr>
    </w:p>
    <w:p>
      <w:pPr>
        <w:wordWrap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特此证明。</w:t>
      </w:r>
    </w:p>
    <w:p>
      <w:pPr>
        <w:wordWrap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法定代表人（负责人）身份证复印件（正反面）：</w:t>
      </w:r>
    </w:p>
    <w:p>
      <w:pPr>
        <w:wordWrap w:val="0"/>
        <w:spacing w:line="520" w:lineRule="exact"/>
        <w:ind w:firstLine="480" w:firstLineChars="200"/>
        <w:jc w:val="left"/>
        <w:rPr>
          <w:rFonts w:hint="eastAsia" w:ascii="宋体" w:hAnsi="宋体" w:cs="宋体"/>
          <w:bCs/>
          <w:sz w:val="24"/>
          <w:highlight w:val="none"/>
        </w:rPr>
      </w:pPr>
    </w:p>
    <w:p>
      <w:pPr>
        <w:wordWrap w:val="0"/>
        <w:spacing w:line="52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投标供应商全称：</w:t>
      </w:r>
      <w:r>
        <w:rPr>
          <w:rFonts w:hint="eastAsia" w:ascii="宋体" w:hAnsi="宋体" w:cs="宋体"/>
          <w:bCs/>
          <w:sz w:val="24"/>
          <w:highlight w:val="none"/>
          <w:u w:val="single"/>
        </w:rPr>
        <w:t xml:space="preserve"> </w:t>
      </w:r>
      <w:r>
        <w:rPr>
          <w:rFonts w:hint="eastAsia" w:ascii="宋体" w:hAnsi="宋体" w:cs="宋体"/>
          <w:sz w:val="24"/>
          <w:highlight w:val="none"/>
          <w:u w:val="single"/>
        </w:rPr>
        <w:t xml:space="preserve">                     </w:t>
      </w:r>
      <w:r>
        <w:rPr>
          <w:rFonts w:hint="eastAsia" w:ascii="宋体" w:hAnsi="宋体" w:cs="宋体"/>
          <w:bCs/>
          <w:sz w:val="24"/>
          <w:highlight w:val="none"/>
        </w:rPr>
        <w:t>（盖公章）</w:t>
      </w:r>
    </w:p>
    <w:p>
      <w:pPr>
        <w:wordWrap w:val="0"/>
        <w:spacing w:line="520" w:lineRule="exact"/>
        <w:ind w:firstLine="480" w:firstLineChars="200"/>
        <w:jc w:val="left"/>
        <w:rPr>
          <w:rFonts w:hint="eastAsia" w:ascii="宋体" w:hAnsi="宋体" w:cs="宋体"/>
          <w:sz w:val="24"/>
          <w:highlight w:val="none"/>
        </w:rPr>
      </w:pPr>
      <w:r>
        <w:rPr>
          <w:rFonts w:hint="eastAsia" w:ascii="宋体" w:hAnsi="宋体" w:cs="宋体"/>
          <w:sz w:val="24"/>
          <w:highlight w:val="none"/>
        </w:rPr>
        <w:t>日期：      年    月    日</w:t>
      </w:r>
    </w:p>
    <w:p>
      <w:pPr>
        <w:spacing w:line="460" w:lineRule="exact"/>
        <w:ind w:left="13" w:hanging="12" w:hangingChars="6"/>
        <w:rPr>
          <w:rFonts w:hint="eastAsia" w:ascii="仿宋" w:hAnsi="仿宋" w:eastAsia="仿宋" w:cs="仿宋"/>
          <w:bCs/>
          <w:highlight w:val="none"/>
        </w:rPr>
      </w:pPr>
    </w:p>
    <w:p>
      <w:pPr>
        <w:spacing w:line="500" w:lineRule="exact"/>
        <w:jc w:val="left"/>
        <w:rPr>
          <w:rFonts w:hint="eastAsia" w:ascii="黑体" w:hAnsi="黑体" w:eastAsia="黑体" w:cs="黑体"/>
          <w:b/>
          <w:bCs/>
          <w:szCs w:val="21"/>
          <w:highlight w:val="none"/>
        </w:rPr>
      </w:pPr>
      <w:r>
        <w:rPr>
          <w:rFonts w:hint="eastAsia" w:ascii="黑体" w:hAnsi="黑体" w:eastAsia="黑体" w:cs="黑体"/>
          <w:b/>
          <w:bCs/>
          <w:sz w:val="24"/>
          <w:highlight w:val="none"/>
        </w:rPr>
        <w:t>注：法定代表人（负责人）作为投标人代表时，提供法定代表人（负责人）身份证明书即可。</w:t>
      </w:r>
    </w:p>
    <w:p>
      <w:pPr>
        <w:spacing w:line="500" w:lineRule="exact"/>
        <w:ind w:left="19" w:hanging="19" w:hangingChars="6"/>
        <w:jc w:val="center"/>
        <w:rPr>
          <w:rFonts w:hint="eastAsia" w:ascii="黑体" w:hAnsi="黑体" w:eastAsia="黑体" w:cs="黑体"/>
          <w:b/>
          <w:sz w:val="32"/>
          <w:szCs w:val="32"/>
          <w:highlight w:val="none"/>
        </w:rPr>
      </w:pPr>
    </w:p>
    <w:p>
      <w:pPr>
        <w:snapToGrid w:val="0"/>
        <w:spacing w:before="50" w:after="156"/>
        <w:jc w:val="center"/>
        <w:rPr>
          <w:rFonts w:hint="eastAsia" w:ascii="宋体" w:hAnsi="宋体" w:cs="宋体"/>
          <w:sz w:val="32"/>
          <w:szCs w:val="20"/>
          <w:highlight w:val="none"/>
        </w:rPr>
      </w:pPr>
      <w:r>
        <w:rPr>
          <w:rFonts w:hint="eastAsia" w:ascii="黑体" w:hAnsi="黑体" w:eastAsia="黑体" w:cs="黑体"/>
          <w:b/>
          <w:sz w:val="32"/>
          <w:szCs w:val="32"/>
          <w:highlight w:val="none"/>
        </w:rPr>
        <w:br w:type="page"/>
      </w:r>
      <w:r>
        <w:rPr>
          <w:rFonts w:hint="eastAsia" w:ascii="黑体" w:hAnsi="黑体" w:eastAsia="黑体" w:cs="黑体"/>
          <w:b/>
          <w:sz w:val="32"/>
          <w:szCs w:val="32"/>
          <w:highlight w:val="none"/>
        </w:rPr>
        <w:t>附件2、符合参加政府采购活动应当具备的一般条件的承诺函；</w:t>
      </w:r>
    </w:p>
    <w:p>
      <w:pPr>
        <w:snapToGrid w:val="0"/>
        <w:spacing w:line="360" w:lineRule="auto"/>
        <w:ind w:firstLine="480" w:firstLineChars="200"/>
        <w:rPr>
          <w:sz w:val="24"/>
          <w:highlight w:val="none"/>
        </w:rPr>
      </w:pPr>
      <w:r>
        <w:rPr>
          <w:rFonts w:hint="eastAsia" w:cs="宋体"/>
          <w:sz w:val="24"/>
          <w:highlight w:val="none"/>
          <w:lang w:bidi="ar"/>
        </w:rPr>
        <w:t>我方参加</w:t>
      </w:r>
      <w:r>
        <w:rPr>
          <w:rFonts w:hint="eastAsia" w:cs="宋体"/>
          <w:sz w:val="24"/>
          <w:highlight w:val="none"/>
          <w:u w:val="single"/>
          <w:lang w:bidi="ar"/>
        </w:rPr>
        <w:t xml:space="preserve">                          </w:t>
      </w:r>
      <w:r>
        <w:rPr>
          <w:rFonts w:hint="eastAsia" w:ascii="宋体" w:hAnsi="宋体" w:cs="宋体"/>
          <w:b/>
          <w:sz w:val="24"/>
          <w:highlight w:val="none"/>
          <w:lang w:bidi="ar"/>
        </w:rPr>
        <w:t>（项目编号：</w:t>
      </w:r>
      <w:r>
        <w:rPr>
          <w:rFonts w:hint="eastAsia" w:ascii="宋体" w:hAnsi="宋体" w:cs="宋体"/>
          <w:b/>
          <w:sz w:val="24"/>
          <w:highlight w:val="none"/>
          <w:u w:val="single"/>
          <w:lang w:bidi="ar"/>
        </w:rPr>
        <w:t xml:space="preserve">                  </w:t>
      </w:r>
      <w:r>
        <w:rPr>
          <w:rFonts w:hint="eastAsia" w:ascii="宋体" w:hAnsi="宋体" w:cs="宋体"/>
          <w:b/>
          <w:sz w:val="24"/>
          <w:highlight w:val="none"/>
          <w:lang w:bidi="ar"/>
        </w:rPr>
        <w:t>）</w:t>
      </w:r>
      <w:r>
        <w:rPr>
          <w:rFonts w:hint="eastAsia" w:cs="宋体"/>
          <w:sz w:val="24"/>
          <w:highlight w:val="none"/>
          <w:lang w:bidi="ar"/>
        </w:rPr>
        <w:t>政府采购活动，郑重承诺如下：</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lang w:bidi="ar"/>
        </w:rPr>
        <w:t>（一）我方具备《中华人民共和国政府采购法》第二十二条规定的条件：</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lang w:bidi="ar"/>
        </w:rPr>
        <w:t>1.具有独立承担民事责任的能力；</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lang w:bidi="ar"/>
        </w:rPr>
        <w:t xml:space="preserve">2.具有良好的商业信誉和健全的财务会计制度； </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lang w:bidi="ar"/>
        </w:rPr>
        <w:t>3.具有履行合同所必需的设备和专业技术能力；</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lang w:bidi="ar"/>
        </w:rPr>
        <w:t>4.有依法缴纳税收和社会保障资金的良好记录；</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lang w:bidi="ar"/>
        </w:rPr>
        <w:t>5.参加政府采购活动前三年内，在经营活动中没有重大违法记录；</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lang w:bidi="ar"/>
        </w:rPr>
        <w:t>6.具有法律、行政法规规定的其他条件。</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lang w:bidi="ar"/>
        </w:rPr>
        <w:t>（二）我方未被信用中国（www.creditchina.gov.cn)、中国政府采购网（www.ccgp.gov.cn）列入失信被执行人、重大税收违法案件当事人名单、政府采购严重违法失信行为记录名单。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lang w:bidi="ar"/>
        </w:rPr>
        <w:t>（三）其他相关承诺：</w:t>
      </w:r>
    </w:p>
    <w:p>
      <w:pPr>
        <w:snapToGrid w:val="0"/>
        <w:spacing w:line="360" w:lineRule="auto"/>
        <w:ind w:firstLine="480" w:firstLineChars="200"/>
        <w:rPr>
          <w:rFonts w:hint="eastAsia" w:ascii="宋体" w:hAnsi="宋体" w:cs="宋体"/>
          <w:b/>
          <w:sz w:val="24"/>
          <w:highlight w:val="none"/>
        </w:rPr>
      </w:pPr>
      <w:r>
        <w:rPr>
          <w:rFonts w:hint="eastAsia" w:ascii="宋体" w:hAnsi="宋体" w:cs="宋体"/>
          <w:kern w:val="0"/>
          <w:sz w:val="24"/>
          <w:highlight w:val="none"/>
          <w:lang w:bidi="ar"/>
        </w:rPr>
        <w:t>1.我方与采购单位不存在利害关系，且</w:t>
      </w:r>
      <w:r>
        <w:rPr>
          <w:rFonts w:hint="eastAsia" w:ascii="宋体" w:hAnsi="宋体" w:cs="宋体"/>
          <w:sz w:val="24"/>
          <w:highlight w:val="none"/>
          <w:lang w:bidi="ar"/>
        </w:rPr>
        <w:t>与参加本次项目同一合同项下政府采购活动的其他供应商不存在单位负责人为同一人或者直接控股、管理关系或其他</w:t>
      </w:r>
      <w:r>
        <w:rPr>
          <w:rFonts w:hint="eastAsia" w:ascii="宋体" w:hAnsi="宋体" w:cs="宋体"/>
          <w:kern w:val="0"/>
          <w:sz w:val="24"/>
          <w:highlight w:val="none"/>
          <w:lang w:bidi="ar"/>
        </w:rPr>
        <w:t>利害关系</w:t>
      </w:r>
      <w:r>
        <w:rPr>
          <w:rFonts w:hint="eastAsia" w:ascii="宋体" w:hAnsi="宋体" w:cs="宋体"/>
          <w:sz w:val="24"/>
          <w:highlight w:val="none"/>
          <w:lang w:bidi="ar"/>
        </w:rPr>
        <w:t>。</w:t>
      </w:r>
    </w:p>
    <w:p>
      <w:pPr>
        <w:snapToGrid w:val="0"/>
        <w:spacing w:before="50" w:after="156" w:line="360" w:lineRule="auto"/>
        <w:ind w:firstLine="482" w:firstLineChars="200"/>
        <w:jc w:val="left"/>
        <w:rPr>
          <w:rFonts w:hint="eastAsia" w:ascii="宋体" w:hAnsi="宋体" w:cs="Courier New"/>
          <w:b/>
          <w:sz w:val="24"/>
          <w:highlight w:val="none"/>
          <w:lang w:bidi="ar"/>
        </w:rPr>
      </w:pPr>
      <w:r>
        <w:rPr>
          <w:rFonts w:hint="eastAsia" w:ascii="宋体" w:hAnsi="宋体" w:cs="Courier New"/>
          <w:b/>
          <w:sz w:val="24"/>
          <w:highlight w:val="none"/>
          <w:lang w:bidi="ar"/>
        </w:rPr>
        <w:t>2.我方不是为本项目提供规范编制或者项目管理、监理、检测等服务的单位。</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lang w:bidi="ar"/>
        </w:rPr>
        <w:t>（四）本文件中所提供的相关材料均真实有效，不存在虚假、造假行为。如有虚假或隐瞒，我单位自愿承担被取消中标资格等一切责任。</w:t>
      </w:r>
    </w:p>
    <w:p>
      <w:pPr>
        <w:pStyle w:val="37"/>
        <w:adjustRightInd w:val="0"/>
        <w:snapToGrid w:val="0"/>
        <w:spacing w:before="156" w:beforeLines="50" w:beforeAutospacing="0" w:after="156" w:afterLines="50" w:afterAutospacing="0" w:line="360" w:lineRule="auto"/>
        <w:ind w:firstLine="900" w:firstLineChars="375"/>
        <w:jc w:val="right"/>
        <w:rPr>
          <w:rFonts w:cs="Courier New"/>
          <w:highlight w:val="none"/>
        </w:rPr>
      </w:pPr>
      <w:r>
        <w:rPr>
          <w:rFonts w:hint="eastAsia" w:ascii="Times New Roman" w:hAnsi="Times New Roman" w:cs="Courier New"/>
          <w:kern w:val="2"/>
          <w:highlight w:val="none"/>
          <w:lang w:bidi="ar"/>
        </w:rPr>
        <w:t>供应商（电子签章）：</w:t>
      </w:r>
      <w:r>
        <w:rPr>
          <w:rFonts w:cs="Courier New"/>
          <w:kern w:val="2"/>
          <w:highlight w:val="none"/>
          <w:lang w:bidi="ar"/>
        </w:rPr>
        <w:t>__________________________</w:t>
      </w:r>
    </w:p>
    <w:p>
      <w:pPr>
        <w:pStyle w:val="37"/>
        <w:adjustRightInd w:val="0"/>
        <w:snapToGrid w:val="0"/>
        <w:spacing w:before="156" w:beforeLines="50" w:beforeAutospacing="0" w:after="156" w:afterLines="50" w:afterAutospacing="0" w:line="360" w:lineRule="auto"/>
        <w:ind w:firstLine="900" w:firstLineChars="375"/>
        <w:jc w:val="right"/>
        <w:rPr>
          <w:rFonts w:cs="Courier New"/>
          <w:highlight w:val="none"/>
        </w:rPr>
      </w:pPr>
      <w:r>
        <w:rPr>
          <w:rFonts w:hint="eastAsia" w:ascii="Times New Roman" w:hAnsi="Times New Roman" w:cs="Courier New"/>
          <w:kern w:val="2"/>
          <w:highlight w:val="none"/>
          <w:lang w:bidi="ar"/>
        </w:rPr>
        <w:t>日期：</w:t>
      </w:r>
      <w:r>
        <w:rPr>
          <w:rFonts w:cs="Courier New"/>
          <w:kern w:val="2"/>
          <w:highlight w:val="none"/>
          <w:lang w:bidi="ar"/>
        </w:rPr>
        <w:t>____</w:t>
      </w:r>
      <w:r>
        <w:rPr>
          <w:rFonts w:hint="eastAsia" w:ascii="Times New Roman" w:hAnsi="Times New Roman" w:cs="Courier New"/>
          <w:kern w:val="2"/>
          <w:highlight w:val="none"/>
          <w:lang w:bidi="ar"/>
        </w:rPr>
        <w:t>年</w:t>
      </w:r>
      <w:r>
        <w:rPr>
          <w:rFonts w:cs="Courier New"/>
          <w:kern w:val="2"/>
          <w:highlight w:val="none"/>
          <w:lang w:bidi="ar"/>
        </w:rPr>
        <w:t>____</w:t>
      </w:r>
      <w:r>
        <w:rPr>
          <w:rFonts w:hint="eastAsia" w:ascii="Times New Roman" w:hAnsi="Times New Roman" w:cs="Courier New"/>
          <w:kern w:val="2"/>
          <w:highlight w:val="none"/>
          <w:lang w:bidi="ar"/>
        </w:rPr>
        <w:t>月</w:t>
      </w:r>
      <w:r>
        <w:rPr>
          <w:rFonts w:cs="Courier New"/>
          <w:kern w:val="2"/>
          <w:highlight w:val="none"/>
          <w:lang w:bidi="ar"/>
        </w:rPr>
        <w:t>____</w:t>
      </w:r>
      <w:r>
        <w:rPr>
          <w:rFonts w:hint="eastAsia" w:ascii="Times New Roman" w:hAnsi="Times New Roman" w:cs="Courier New"/>
          <w:kern w:val="2"/>
          <w:highlight w:val="none"/>
          <w:lang w:bidi="ar"/>
        </w:rPr>
        <w:t>日</w:t>
      </w:r>
    </w:p>
    <w:p>
      <w:pPr>
        <w:snapToGrid w:val="0"/>
        <w:ind w:right="480"/>
        <w:jc w:val="center"/>
        <w:rPr>
          <w:rFonts w:hint="eastAsia" w:ascii="仿宋_GB2312" w:hAnsi="仿宋" w:eastAsia="仿宋_GB2312" w:cs="仿宋_GB2312"/>
          <w:b/>
          <w:szCs w:val="21"/>
          <w:highlight w:val="none"/>
        </w:rPr>
      </w:pPr>
      <w:r>
        <w:rPr>
          <w:rFonts w:hint="eastAsia" w:ascii="仿宋_GB2312" w:hAnsi="仿宋" w:eastAsia="仿宋_GB2312" w:cs="仿宋_GB2312"/>
          <w:b/>
          <w:szCs w:val="21"/>
          <w:highlight w:val="none"/>
          <w:lang w:bidi="ar"/>
        </w:rPr>
        <w:t>--------------------------------------------------------------------------------</w:t>
      </w:r>
    </w:p>
    <w:p>
      <w:pPr>
        <w:widowControl/>
        <w:jc w:val="left"/>
        <w:rPr>
          <w:rFonts w:hint="eastAsia" w:ascii="宋体" w:hAnsi="宋体" w:cs="宋体"/>
          <w:highlight w:val="none"/>
        </w:rPr>
      </w:pPr>
      <w:r>
        <w:rPr>
          <w:rFonts w:hint="eastAsia" w:ascii="宋体" w:hAnsi="宋体" w:cs="宋体"/>
          <w:szCs w:val="21"/>
          <w:highlight w:val="none"/>
          <w:lang w:bidi="ar"/>
        </w:rPr>
        <w:t>备注：根据《财政部关于&lt;中华人民共和国政府采购法实施条例&gt;第十九条第一款“较大数额罚款”具体适用问题的意见》（财库〔2022〕3号）明确《中华人民共和国政府采购法实施条例》第十九条第一款规定的“较大数额罚款”认定为200万元以上的罚款，法律、行政法规以及国务院有关部门明确规定相关领域“较大数额罚款”标准高于200万元的，从其规定。</w:t>
      </w:r>
    </w:p>
    <w:p>
      <w:pPr>
        <w:spacing w:line="500" w:lineRule="exact"/>
        <w:ind w:left="19" w:hanging="19" w:hangingChars="6"/>
        <w:jc w:val="center"/>
        <w:rPr>
          <w:rFonts w:ascii="黑体" w:hAnsi="黑体" w:eastAsia="黑体" w:cs="黑体"/>
          <w:b/>
          <w:sz w:val="32"/>
          <w:szCs w:val="32"/>
          <w:highlight w:val="none"/>
        </w:rPr>
      </w:pPr>
      <w:r>
        <w:rPr>
          <w:rFonts w:hint="eastAsia" w:ascii="黑体" w:hAnsi="黑体" w:eastAsia="黑体" w:cs="黑体"/>
          <w:b/>
          <w:sz w:val="32"/>
          <w:szCs w:val="32"/>
          <w:highlight w:val="none"/>
        </w:rPr>
        <w:br w:type="page"/>
      </w:r>
      <w:r>
        <w:rPr>
          <w:rFonts w:hint="eastAsia" w:ascii="黑体" w:hAnsi="黑体" w:eastAsia="黑体" w:cs="黑体"/>
          <w:b/>
          <w:sz w:val="32"/>
          <w:szCs w:val="32"/>
          <w:highlight w:val="none"/>
        </w:rPr>
        <w:t>附件3、与参加本次项目同一合同项下政府采购活动的其他供应商不存在单位负责人为同一人或者直接控股、管理关系的声明函</w:t>
      </w:r>
    </w:p>
    <w:p>
      <w:pPr>
        <w:spacing w:line="460" w:lineRule="exact"/>
        <w:ind w:left="14" w:hanging="14" w:hangingChars="6"/>
        <w:rPr>
          <w:rFonts w:hint="eastAsia" w:ascii="宋体" w:hAnsi="宋体" w:cs="仿宋"/>
          <w:bCs/>
          <w:sz w:val="24"/>
          <w:highlight w:val="none"/>
        </w:rPr>
      </w:pPr>
    </w:p>
    <w:p>
      <w:pPr>
        <w:spacing w:line="360" w:lineRule="auto"/>
        <w:ind w:left="14" w:hanging="14" w:hangingChars="6"/>
        <w:rPr>
          <w:rFonts w:hint="eastAsia" w:ascii="宋体" w:hAnsi="宋体" w:cs="宋体"/>
          <w:sz w:val="24"/>
          <w:highlight w:val="none"/>
          <w:u w:val="single"/>
        </w:rPr>
      </w:pPr>
    </w:p>
    <w:p>
      <w:pPr>
        <w:spacing w:line="360" w:lineRule="auto"/>
        <w:ind w:left="14" w:hanging="14" w:hangingChars="6"/>
        <w:rPr>
          <w:rFonts w:hint="eastAsia" w:ascii="宋体" w:hAnsi="宋体" w:cs="宋体"/>
          <w:sz w:val="24"/>
          <w:highlight w:val="none"/>
        </w:rPr>
      </w:pPr>
      <w:r>
        <w:rPr>
          <w:rFonts w:hint="eastAsia" w:ascii="宋体" w:hAnsi="宋体" w:cs="宋体"/>
          <w:sz w:val="24"/>
          <w:highlight w:val="none"/>
          <w:u w:val="single"/>
        </w:rPr>
        <w:t xml:space="preserve"> 金华市梅溪流域管理中心 </w:t>
      </w:r>
      <w:r>
        <w:rPr>
          <w:rFonts w:hint="eastAsia" w:ascii="宋体" w:hAnsi="宋体" w:cs="宋体"/>
          <w:sz w:val="24"/>
          <w:highlight w:val="none"/>
        </w:rPr>
        <w:t>：</w:t>
      </w:r>
    </w:p>
    <w:p>
      <w:pPr>
        <w:spacing w:after="156" w:afterLines="50" w:line="360" w:lineRule="auto"/>
        <w:ind w:left="14" w:hanging="14" w:hangingChars="6"/>
        <w:rPr>
          <w:rFonts w:hint="eastAsia" w:ascii="宋体" w:hAnsi="宋体" w:cs="宋体"/>
          <w:sz w:val="24"/>
          <w:highlight w:val="none"/>
        </w:rPr>
      </w:pPr>
      <w:r>
        <w:rPr>
          <w:rFonts w:hint="eastAsia" w:ascii="宋体" w:hAnsi="宋体" w:cs="宋体"/>
          <w:sz w:val="24"/>
          <w:highlight w:val="none"/>
          <w:u w:val="single"/>
        </w:rPr>
        <w:t xml:space="preserve"> 浙江金穗工程项目管理有限公司 </w:t>
      </w:r>
      <w:r>
        <w:rPr>
          <w:rFonts w:hint="eastAsia" w:ascii="宋体" w:hAnsi="宋体" w:cs="宋体"/>
          <w:sz w:val="24"/>
          <w:highlight w:val="none"/>
        </w:rPr>
        <w:t>：</w:t>
      </w:r>
    </w:p>
    <w:p>
      <w:pPr>
        <w:spacing w:line="460" w:lineRule="exact"/>
        <w:ind w:left="14" w:hanging="14" w:hangingChars="6"/>
        <w:rPr>
          <w:rFonts w:hint="eastAsia" w:ascii="宋体" w:hAnsi="宋体" w:cs="仿宋"/>
          <w:bCs/>
          <w:sz w:val="24"/>
          <w:highlight w:val="none"/>
        </w:rPr>
      </w:pPr>
      <w:r>
        <w:rPr>
          <w:rFonts w:hint="eastAsia" w:ascii="宋体" w:hAnsi="宋体" w:cs="仿宋"/>
          <w:bCs/>
          <w:sz w:val="24"/>
          <w:highlight w:val="none"/>
        </w:rPr>
        <w:t xml:space="preserve">    我公司郑重声明，我方此次参加</w:t>
      </w:r>
      <w:r>
        <w:rPr>
          <w:rFonts w:hint="eastAsia" w:ascii="宋体" w:hAnsi="宋体" w:cs="仿宋"/>
          <w:sz w:val="24"/>
          <w:highlight w:val="none"/>
          <w:u w:val="single"/>
        </w:rPr>
        <w:t>金华市安地灌区续建配套与节水改造项目（2021-2022年）调增项目灌溉节水宣传馆</w:t>
      </w:r>
      <w:r>
        <w:rPr>
          <w:rFonts w:hint="eastAsia" w:ascii="宋体" w:hAnsi="宋体" w:cs="仿宋"/>
          <w:bCs/>
          <w:sz w:val="24"/>
          <w:highlight w:val="none"/>
        </w:rPr>
        <w:t>的投标，与参加本次项目同一合同项下政府采购活动的其他供应商不存在单位负责人为同一人或者直接控股、管理关系。如有虚假或隐瞒，愿意承担一切后果。我方对上述声明的真实性负责。如有虚假，我公司自愿被取消中标资格并承担一切由此造成的责任，对此无任何异议。</w:t>
      </w:r>
    </w:p>
    <w:p>
      <w:pPr>
        <w:spacing w:line="460" w:lineRule="exact"/>
        <w:ind w:left="14" w:hanging="14" w:hangingChars="6"/>
        <w:rPr>
          <w:rFonts w:hint="eastAsia" w:ascii="宋体" w:hAnsi="宋体" w:cs="仿宋"/>
          <w:bCs/>
          <w:sz w:val="24"/>
          <w:highlight w:val="none"/>
        </w:rPr>
      </w:pPr>
    </w:p>
    <w:p>
      <w:pPr>
        <w:spacing w:line="460" w:lineRule="exact"/>
        <w:ind w:left="14" w:hanging="14" w:hangingChars="6"/>
        <w:rPr>
          <w:rFonts w:hint="eastAsia" w:ascii="宋体" w:hAnsi="宋体" w:cs="仿宋"/>
          <w:bCs/>
          <w:sz w:val="24"/>
          <w:highlight w:val="none"/>
        </w:rPr>
      </w:pPr>
    </w:p>
    <w:p>
      <w:pPr>
        <w:spacing w:line="460" w:lineRule="exact"/>
        <w:ind w:left="14" w:hanging="14" w:hangingChars="6"/>
        <w:rPr>
          <w:rFonts w:hint="eastAsia" w:ascii="宋体" w:hAnsi="宋体" w:cs="仿宋"/>
          <w:bCs/>
          <w:sz w:val="24"/>
          <w:highlight w:val="none"/>
        </w:rPr>
      </w:pPr>
      <w:r>
        <w:rPr>
          <w:rFonts w:hint="eastAsia" w:ascii="宋体" w:hAnsi="宋体" w:cs="仿宋"/>
          <w:bCs/>
          <w:sz w:val="24"/>
          <w:highlight w:val="none"/>
        </w:rPr>
        <w:t xml:space="preserve">特此声明 </w:t>
      </w:r>
    </w:p>
    <w:p>
      <w:pPr>
        <w:spacing w:line="460" w:lineRule="exact"/>
        <w:ind w:left="13" w:hanging="12" w:hangingChars="6"/>
        <w:jc w:val="left"/>
        <w:rPr>
          <w:rFonts w:hint="eastAsia"/>
          <w:highlight w:val="none"/>
        </w:rPr>
      </w:pPr>
    </w:p>
    <w:p>
      <w:pPr>
        <w:pStyle w:val="19"/>
        <w:rPr>
          <w:rFonts w:hint="eastAsia"/>
          <w:highlight w:val="none"/>
        </w:rPr>
      </w:pPr>
    </w:p>
    <w:p>
      <w:pPr>
        <w:pStyle w:val="20"/>
        <w:ind w:firstLine="210"/>
        <w:rPr>
          <w:rFonts w:hint="eastAsia"/>
          <w:highlight w:val="none"/>
        </w:rPr>
      </w:pPr>
    </w:p>
    <w:p>
      <w:pPr>
        <w:rPr>
          <w:rFonts w:hint="eastAsia"/>
          <w:highlight w:val="none"/>
        </w:rPr>
      </w:pPr>
    </w:p>
    <w:p>
      <w:pPr>
        <w:spacing w:line="460" w:lineRule="exact"/>
        <w:ind w:left="14" w:hanging="14" w:hangingChars="6"/>
        <w:jc w:val="left"/>
        <w:rPr>
          <w:rFonts w:hint="eastAsia" w:ascii="宋体" w:hAnsi="宋体" w:cs="仿宋"/>
          <w:bCs/>
          <w:sz w:val="24"/>
          <w:highlight w:val="none"/>
        </w:rPr>
      </w:pPr>
      <w:r>
        <w:rPr>
          <w:rFonts w:hint="eastAsia" w:ascii="宋体" w:hAnsi="宋体" w:cs="仿宋"/>
          <w:bCs/>
          <w:sz w:val="24"/>
          <w:highlight w:val="none"/>
        </w:rPr>
        <w:t>投标供应商全称（公章）：</w:t>
      </w:r>
    </w:p>
    <w:p>
      <w:pPr>
        <w:spacing w:line="460" w:lineRule="exact"/>
        <w:ind w:left="14" w:hanging="14" w:hangingChars="6"/>
        <w:jc w:val="left"/>
        <w:rPr>
          <w:rFonts w:hint="eastAsia" w:ascii="宋体" w:hAnsi="宋体" w:cs="仿宋"/>
          <w:bCs/>
          <w:sz w:val="24"/>
          <w:highlight w:val="none"/>
        </w:rPr>
      </w:pPr>
      <w:r>
        <w:rPr>
          <w:rFonts w:hint="eastAsia" w:ascii="宋体" w:hAnsi="宋体" w:cs="仿宋"/>
          <w:bCs/>
          <w:sz w:val="24"/>
          <w:highlight w:val="none"/>
        </w:rPr>
        <w:t>法定代表人(负责人）或授权代表（签字或盖章）：</w:t>
      </w:r>
    </w:p>
    <w:p>
      <w:pPr>
        <w:spacing w:line="460" w:lineRule="exact"/>
        <w:ind w:left="14" w:hanging="14" w:hangingChars="6"/>
        <w:jc w:val="left"/>
        <w:rPr>
          <w:rFonts w:hint="eastAsia" w:ascii="宋体" w:hAnsi="宋体" w:cs="仿宋"/>
          <w:bCs/>
          <w:sz w:val="24"/>
          <w:highlight w:val="none"/>
        </w:rPr>
      </w:pPr>
      <w:r>
        <w:rPr>
          <w:rFonts w:hint="eastAsia" w:ascii="宋体" w:hAnsi="宋体" w:cs="仿宋"/>
          <w:bCs/>
          <w:sz w:val="24"/>
          <w:highlight w:val="none"/>
        </w:rPr>
        <w:t>日期：      年    月    日</w:t>
      </w:r>
    </w:p>
    <w:p>
      <w:pPr>
        <w:spacing w:line="500" w:lineRule="exact"/>
        <w:jc w:val="left"/>
        <w:rPr>
          <w:rFonts w:hint="eastAsia" w:ascii="黑体" w:hAnsi="黑体" w:eastAsia="黑体" w:cs="黑体"/>
          <w:b/>
          <w:bCs/>
          <w:sz w:val="24"/>
          <w:highlight w:val="none"/>
        </w:rPr>
      </w:pPr>
    </w:p>
    <w:p>
      <w:pPr>
        <w:spacing w:line="500" w:lineRule="exact"/>
        <w:jc w:val="left"/>
        <w:rPr>
          <w:rFonts w:hint="eastAsia" w:ascii="黑体" w:hAnsi="黑体" w:eastAsia="黑体" w:cs="黑体"/>
          <w:b/>
          <w:bCs/>
          <w:sz w:val="24"/>
          <w:highlight w:val="none"/>
        </w:rPr>
      </w:pPr>
      <w:r>
        <w:rPr>
          <w:rFonts w:hint="eastAsia" w:ascii="黑体" w:hAnsi="黑体" w:eastAsia="黑体" w:cs="黑体"/>
          <w:b/>
          <w:bCs/>
          <w:sz w:val="24"/>
          <w:highlight w:val="none"/>
        </w:rPr>
        <w:t>注：投标人对其声明内容的真实性负责，声明函内容不实的，属于提供虚假材料谋取中标、成交，将依照《中华人民共和国政府采购法》等国家有关规定追究相应责任。</w:t>
      </w:r>
    </w:p>
    <w:p>
      <w:pPr>
        <w:spacing w:line="520" w:lineRule="exact"/>
        <w:ind w:left="17" w:hanging="16" w:hangingChars="6"/>
        <w:rPr>
          <w:rFonts w:hint="eastAsia" w:ascii="仿宋" w:hAnsi="仿宋" w:eastAsia="仿宋" w:cs="仿宋"/>
          <w:bCs/>
          <w:sz w:val="28"/>
          <w:szCs w:val="28"/>
          <w:highlight w:val="none"/>
        </w:rPr>
      </w:pPr>
    </w:p>
    <w:p>
      <w:pPr>
        <w:spacing w:line="520" w:lineRule="exact"/>
        <w:rPr>
          <w:rFonts w:hint="eastAsia" w:ascii="仿宋" w:hAnsi="仿宋" w:eastAsia="仿宋" w:cs="仿宋"/>
          <w:bCs/>
          <w:sz w:val="28"/>
          <w:szCs w:val="28"/>
          <w:highlight w:val="none"/>
        </w:rPr>
      </w:pPr>
    </w:p>
    <w:p>
      <w:pPr>
        <w:spacing w:line="520" w:lineRule="exact"/>
        <w:ind w:left="17" w:hanging="16" w:hangingChars="6"/>
        <w:rPr>
          <w:rFonts w:hint="eastAsia" w:ascii="仿宋" w:hAnsi="仿宋" w:eastAsia="仿宋" w:cs="仿宋"/>
          <w:bCs/>
          <w:sz w:val="28"/>
          <w:szCs w:val="28"/>
          <w:highlight w:val="none"/>
        </w:rPr>
      </w:pPr>
    </w:p>
    <w:p>
      <w:pPr>
        <w:spacing w:line="520" w:lineRule="exact"/>
        <w:ind w:left="17" w:hanging="16" w:hangingChars="6"/>
        <w:rPr>
          <w:rFonts w:hint="eastAsia" w:ascii="仿宋" w:hAnsi="仿宋" w:eastAsia="仿宋" w:cs="仿宋"/>
          <w:bCs/>
          <w:sz w:val="28"/>
          <w:szCs w:val="28"/>
          <w:highlight w:val="none"/>
        </w:rPr>
      </w:pPr>
    </w:p>
    <w:p>
      <w:pPr>
        <w:spacing w:line="520" w:lineRule="exact"/>
        <w:ind w:left="17" w:hanging="16" w:hangingChars="6"/>
        <w:rPr>
          <w:rFonts w:hint="eastAsia" w:ascii="仿宋" w:hAnsi="仿宋" w:eastAsia="仿宋" w:cs="仿宋"/>
          <w:bCs/>
          <w:sz w:val="28"/>
          <w:szCs w:val="28"/>
          <w:highlight w:val="none"/>
        </w:rPr>
      </w:pPr>
      <w:r>
        <w:rPr>
          <w:rFonts w:hint="eastAsia" w:ascii="仿宋" w:hAnsi="仿宋" w:eastAsia="仿宋" w:cs="仿宋"/>
          <w:bCs/>
          <w:sz w:val="28"/>
          <w:szCs w:val="28"/>
          <w:highlight w:val="none"/>
        </w:rPr>
        <w:br w:type="page"/>
      </w:r>
      <w:r>
        <w:rPr>
          <w:rFonts w:hint="eastAsia" w:ascii="仿宋" w:hAnsi="仿宋" w:eastAsia="仿宋" w:cs="仿宋"/>
          <w:b/>
          <w:sz w:val="28"/>
          <w:szCs w:val="28"/>
          <w:highlight w:val="none"/>
        </w:rPr>
        <w:t>第 2 部分.商务技术文件封面格式（推荐）</w:t>
      </w:r>
    </w:p>
    <w:p>
      <w:pPr>
        <w:spacing w:line="520" w:lineRule="exact"/>
        <w:ind w:left="17" w:hanging="16" w:hangingChars="6"/>
        <w:rPr>
          <w:rFonts w:hint="eastAsia" w:ascii="宋体" w:hAnsi="宋体" w:cs="宋体"/>
          <w:bCs/>
          <w:sz w:val="28"/>
          <w:szCs w:val="28"/>
          <w:highlight w:val="none"/>
        </w:rPr>
      </w:pPr>
    </w:p>
    <w:p>
      <w:pPr>
        <w:spacing w:line="520" w:lineRule="exact"/>
        <w:ind w:left="17" w:hanging="16" w:hangingChars="6"/>
        <w:rPr>
          <w:rFonts w:hint="eastAsia" w:ascii="宋体" w:hAnsi="宋体" w:cs="宋体"/>
          <w:bCs/>
          <w:sz w:val="28"/>
          <w:szCs w:val="28"/>
          <w:highlight w:val="none"/>
        </w:rPr>
      </w:pPr>
      <w:r>
        <w:rPr>
          <w:rFonts w:hint="eastAsia" w:ascii="宋体" w:hAnsi="宋体" w:cs="宋体"/>
          <w:bCs/>
          <w:sz w:val="28"/>
          <w:szCs w:val="28"/>
          <w:highlight w:val="none"/>
        </w:rPr>
        <w:t xml:space="preserve">                                                 </w:t>
      </w:r>
    </w:p>
    <w:p>
      <w:pPr>
        <w:spacing w:line="520" w:lineRule="exact"/>
        <w:ind w:left="26" w:hanging="27" w:hangingChars="6"/>
        <w:jc w:val="center"/>
        <w:rPr>
          <w:rFonts w:hint="eastAsia" w:ascii="宋体" w:hAnsi="宋体" w:cs="宋体"/>
          <w:b/>
          <w:bCs/>
          <w:sz w:val="44"/>
          <w:szCs w:val="44"/>
          <w:highlight w:val="none"/>
        </w:rPr>
      </w:pPr>
      <w:r>
        <w:rPr>
          <w:rFonts w:hint="eastAsia" w:ascii="宋体" w:hAnsi="宋体" w:cs="宋体"/>
          <w:b/>
          <w:bCs/>
          <w:sz w:val="44"/>
          <w:szCs w:val="44"/>
          <w:highlight w:val="none"/>
        </w:rPr>
        <w:t>金华市安地灌区续建配套与节水改造项目（2021-2022年）调增项目灌溉节水宣传馆</w:t>
      </w:r>
    </w:p>
    <w:p>
      <w:pPr>
        <w:spacing w:line="640" w:lineRule="exact"/>
        <w:ind w:left="31" w:hanging="31" w:hangingChars="6"/>
        <w:jc w:val="center"/>
        <w:rPr>
          <w:rFonts w:hint="eastAsia" w:ascii="宋体" w:hAnsi="宋体" w:cs="宋体"/>
          <w:b/>
          <w:sz w:val="52"/>
          <w:szCs w:val="52"/>
          <w:highlight w:val="none"/>
        </w:rPr>
      </w:pPr>
    </w:p>
    <w:p>
      <w:pPr>
        <w:pStyle w:val="2"/>
        <w:ind w:firstLine="560"/>
        <w:rPr>
          <w:rFonts w:hint="eastAsia"/>
          <w:highlight w:val="none"/>
        </w:rPr>
      </w:pPr>
    </w:p>
    <w:p>
      <w:pPr>
        <w:spacing w:line="520" w:lineRule="exact"/>
        <w:ind w:left="17" w:hanging="16" w:hangingChars="6"/>
        <w:rPr>
          <w:rFonts w:hint="eastAsia" w:ascii="宋体" w:hAnsi="宋体" w:cs="宋体"/>
          <w:bCs/>
          <w:sz w:val="28"/>
          <w:szCs w:val="28"/>
          <w:highlight w:val="none"/>
        </w:rPr>
      </w:pPr>
    </w:p>
    <w:p>
      <w:pPr>
        <w:spacing w:line="520" w:lineRule="exact"/>
        <w:ind w:left="17" w:hanging="16" w:hangingChars="6"/>
        <w:rPr>
          <w:rFonts w:hint="eastAsia" w:ascii="宋体" w:hAnsi="宋体" w:cs="宋体"/>
          <w:bCs/>
          <w:sz w:val="28"/>
          <w:szCs w:val="28"/>
          <w:highlight w:val="none"/>
        </w:rPr>
      </w:pPr>
    </w:p>
    <w:p>
      <w:pPr>
        <w:spacing w:line="520" w:lineRule="exact"/>
        <w:ind w:left="17" w:hanging="16" w:hangingChars="6"/>
        <w:rPr>
          <w:rFonts w:hint="eastAsia" w:ascii="宋体" w:hAnsi="宋体" w:cs="宋体"/>
          <w:bCs/>
          <w:sz w:val="28"/>
          <w:szCs w:val="28"/>
          <w:highlight w:val="none"/>
        </w:rPr>
      </w:pPr>
    </w:p>
    <w:p>
      <w:pPr>
        <w:spacing w:line="520" w:lineRule="exact"/>
        <w:ind w:left="31" w:hanging="31" w:hangingChars="6"/>
        <w:jc w:val="center"/>
        <w:rPr>
          <w:rFonts w:hint="eastAsia" w:ascii="宋体" w:hAnsi="宋体" w:cs="宋体"/>
          <w:b/>
          <w:bCs/>
          <w:sz w:val="52"/>
          <w:szCs w:val="52"/>
          <w:highlight w:val="none"/>
        </w:rPr>
      </w:pPr>
      <w:r>
        <w:rPr>
          <w:rFonts w:hint="eastAsia" w:ascii="宋体" w:hAnsi="宋体" w:cs="宋体"/>
          <w:b/>
          <w:bCs/>
          <w:sz w:val="52"/>
          <w:szCs w:val="52"/>
          <w:highlight w:val="none"/>
        </w:rPr>
        <w:t>商务技术文件</w:t>
      </w:r>
    </w:p>
    <w:p>
      <w:pPr>
        <w:spacing w:line="520" w:lineRule="exact"/>
        <w:ind w:left="17" w:hanging="16" w:hangingChars="6"/>
        <w:rPr>
          <w:rFonts w:hint="eastAsia" w:ascii="宋体" w:hAnsi="宋体" w:cs="宋体"/>
          <w:bCs/>
          <w:sz w:val="28"/>
          <w:szCs w:val="28"/>
          <w:highlight w:val="none"/>
        </w:rPr>
      </w:pPr>
    </w:p>
    <w:p>
      <w:pPr>
        <w:pStyle w:val="2"/>
        <w:ind w:firstLine="560"/>
        <w:rPr>
          <w:rFonts w:hint="eastAsia" w:cs="宋体"/>
          <w:bCs/>
          <w:szCs w:val="28"/>
          <w:highlight w:val="none"/>
        </w:rPr>
      </w:pPr>
    </w:p>
    <w:p>
      <w:pPr>
        <w:pStyle w:val="5"/>
        <w:rPr>
          <w:rFonts w:hint="eastAsia"/>
          <w:highlight w:val="none"/>
        </w:rPr>
      </w:pPr>
    </w:p>
    <w:p>
      <w:pPr>
        <w:spacing w:line="520" w:lineRule="exact"/>
        <w:ind w:left="17" w:hanging="16" w:hangingChars="6"/>
        <w:rPr>
          <w:rFonts w:hint="eastAsia" w:ascii="宋体" w:hAnsi="宋体" w:cs="宋体"/>
          <w:bCs/>
          <w:sz w:val="28"/>
          <w:szCs w:val="28"/>
          <w:highlight w:val="none"/>
        </w:rPr>
      </w:pPr>
    </w:p>
    <w:p>
      <w:pPr>
        <w:spacing w:line="520" w:lineRule="exact"/>
        <w:ind w:left="17" w:hanging="16" w:hangingChars="6"/>
        <w:rPr>
          <w:rFonts w:hint="eastAsia" w:ascii="宋体" w:hAnsi="宋体" w:cs="宋体"/>
          <w:bCs/>
          <w:sz w:val="28"/>
          <w:szCs w:val="28"/>
          <w:highlight w:val="none"/>
        </w:rPr>
      </w:pPr>
    </w:p>
    <w:p>
      <w:pPr>
        <w:spacing w:line="360" w:lineRule="auto"/>
        <w:ind w:left="17" w:hanging="16" w:hangingChars="6"/>
        <w:jc w:val="left"/>
        <w:rPr>
          <w:rFonts w:hint="eastAsia" w:ascii="宋体" w:hAnsi="宋体" w:cs="宋体"/>
          <w:bCs/>
          <w:sz w:val="28"/>
          <w:szCs w:val="28"/>
          <w:highlight w:val="none"/>
        </w:rPr>
      </w:pPr>
      <w:r>
        <w:rPr>
          <w:rFonts w:hint="eastAsia" w:ascii="宋体" w:hAnsi="宋体" w:cs="宋体"/>
          <w:bCs/>
          <w:sz w:val="28"/>
          <w:szCs w:val="28"/>
          <w:highlight w:val="none"/>
        </w:rPr>
        <w:t xml:space="preserve">          项目编号：ZJJS2023-ZFCG001  </w:t>
      </w:r>
    </w:p>
    <w:p>
      <w:pPr>
        <w:spacing w:line="360" w:lineRule="auto"/>
        <w:ind w:left="279" w:leftChars="133" w:firstLine="1097" w:firstLineChars="392"/>
        <w:jc w:val="left"/>
        <w:rPr>
          <w:rFonts w:hint="eastAsia" w:ascii="宋体" w:hAnsi="宋体" w:cs="宋体"/>
          <w:bCs/>
          <w:sz w:val="28"/>
          <w:szCs w:val="28"/>
          <w:highlight w:val="none"/>
        </w:rPr>
      </w:pPr>
      <w:r>
        <w:rPr>
          <w:rFonts w:hint="eastAsia" w:ascii="宋体" w:hAnsi="宋体" w:cs="宋体"/>
          <w:bCs/>
          <w:sz w:val="28"/>
          <w:szCs w:val="28"/>
          <w:highlight w:val="none"/>
        </w:rPr>
        <w:t>投标供应商名称：</w:t>
      </w:r>
    </w:p>
    <w:p>
      <w:pPr>
        <w:spacing w:line="360" w:lineRule="auto"/>
        <w:ind w:left="17" w:hanging="16" w:hangingChars="6"/>
        <w:jc w:val="left"/>
        <w:rPr>
          <w:rFonts w:hint="eastAsia" w:ascii="宋体" w:hAnsi="宋体" w:cs="宋体"/>
          <w:bCs/>
          <w:sz w:val="28"/>
          <w:szCs w:val="28"/>
          <w:highlight w:val="none"/>
        </w:rPr>
      </w:pPr>
      <w:r>
        <w:rPr>
          <w:rFonts w:hint="eastAsia" w:ascii="宋体" w:hAnsi="宋体" w:cs="宋体"/>
          <w:bCs/>
          <w:sz w:val="28"/>
          <w:szCs w:val="28"/>
          <w:highlight w:val="none"/>
        </w:rPr>
        <w:t xml:space="preserve">          投标供应商地址：</w:t>
      </w:r>
    </w:p>
    <w:p>
      <w:pPr>
        <w:spacing w:line="360" w:lineRule="auto"/>
        <w:ind w:left="17" w:hanging="16" w:hangingChars="6"/>
        <w:jc w:val="left"/>
        <w:rPr>
          <w:rFonts w:hint="eastAsia" w:ascii="宋体" w:hAnsi="宋体" w:cs="宋体"/>
          <w:bCs/>
          <w:sz w:val="28"/>
          <w:szCs w:val="28"/>
          <w:highlight w:val="none"/>
        </w:rPr>
      </w:pPr>
      <w:r>
        <w:rPr>
          <w:rFonts w:hint="eastAsia" w:ascii="宋体" w:hAnsi="宋体" w:cs="宋体"/>
          <w:bCs/>
          <w:sz w:val="28"/>
          <w:szCs w:val="28"/>
          <w:highlight w:val="none"/>
        </w:rPr>
        <w:t xml:space="preserve">          联系电话：</w:t>
      </w:r>
    </w:p>
    <w:p>
      <w:pPr>
        <w:spacing w:line="360" w:lineRule="auto"/>
        <w:ind w:left="17" w:hanging="16" w:hangingChars="6"/>
        <w:jc w:val="left"/>
        <w:rPr>
          <w:rFonts w:hint="eastAsia" w:ascii="宋体" w:hAnsi="宋体" w:cs="宋体"/>
          <w:bCs/>
          <w:sz w:val="28"/>
          <w:szCs w:val="28"/>
          <w:highlight w:val="none"/>
        </w:rPr>
      </w:pPr>
      <w:r>
        <w:rPr>
          <w:rFonts w:hint="eastAsia" w:ascii="宋体" w:hAnsi="宋体" w:cs="宋体"/>
          <w:bCs/>
          <w:sz w:val="28"/>
          <w:szCs w:val="28"/>
          <w:highlight w:val="none"/>
        </w:rPr>
        <w:t xml:space="preserve">          法定代表人(负责人）或授权代表签字或盖章：</w:t>
      </w:r>
    </w:p>
    <w:p>
      <w:pPr>
        <w:spacing w:line="360" w:lineRule="auto"/>
        <w:ind w:left="17" w:hanging="16" w:hangingChars="6"/>
        <w:jc w:val="left"/>
        <w:rPr>
          <w:rFonts w:hint="eastAsia" w:ascii="宋体" w:hAnsi="宋体" w:cs="宋体"/>
          <w:bCs/>
          <w:sz w:val="28"/>
          <w:szCs w:val="28"/>
          <w:highlight w:val="none"/>
        </w:rPr>
      </w:pPr>
      <w:r>
        <w:rPr>
          <w:rFonts w:hint="eastAsia" w:ascii="宋体" w:hAnsi="宋体" w:cs="宋体"/>
          <w:bCs/>
          <w:sz w:val="28"/>
          <w:szCs w:val="28"/>
          <w:highlight w:val="none"/>
        </w:rPr>
        <w:t xml:space="preserve">            </w:t>
      </w:r>
    </w:p>
    <w:p>
      <w:pPr>
        <w:pStyle w:val="2"/>
        <w:ind w:firstLine="560"/>
        <w:rPr>
          <w:rFonts w:hint="eastAsia"/>
          <w:highlight w:val="none"/>
        </w:rPr>
      </w:pPr>
    </w:p>
    <w:p>
      <w:pPr>
        <w:spacing w:after="312" w:afterLines="100" w:line="500" w:lineRule="exact"/>
        <w:ind w:left="19" w:hanging="19" w:hangingChars="6"/>
        <w:jc w:val="center"/>
        <w:rPr>
          <w:rFonts w:hint="eastAsia" w:ascii="黑体" w:hAnsi="黑体" w:eastAsia="黑体" w:cs="黑体"/>
          <w:b/>
          <w:sz w:val="32"/>
          <w:szCs w:val="32"/>
          <w:highlight w:val="none"/>
        </w:rPr>
      </w:pPr>
      <w:r>
        <w:rPr>
          <w:rFonts w:hint="eastAsia" w:ascii="黑体" w:hAnsi="黑体" w:eastAsia="黑体" w:cs="黑体"/>
          <w:b/>
          <w:sz w:val="32"/>
          <w:szCs w:val="32"/>
          <w:highlight w:val="none"/>
        </w:rPr>
        <w:br w:type="page"/>
      </w:r>
      <w:r>
        <w:rPr>
          <w:rFonts w:hint="eastAsia" w:ascii="黑体" w:hAnsi="黑体" w:eastAsia="黑体" w:cs="黑体"/>
          <w:b/>
          <w:sz w:val="32"/>
          <w:szCs w:val="32"/>
          <w:highlight w:val="none"/>
        </w:rPr>
        <w:t>附件4、专家评分索引表</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3896"/>
        <w:gridCol w:w="1120"/>
        <w:gridCol w:w="1010"/>
        <w:gridCol w:w="2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6" w:type="dxa"/>
            <w:noWrap w:val="0"/>
            <w:vAlign w:val="center"/>
          </w:tcPr>
          <w:p>
            <w:pPr>
              <w:spacing w:line="360" w:lineRule="exact"/>
              <w:ind w:left="13" w:hanging="13" w:hangingChars="6"/>
              <w:jc w:val="center"/>
              <w:rPr>
                <w:rFonts w:hint="eastAsia" w:ascii="宋体" w:hAnsi="宋体" w:cs="宋体"/>
                <w:b/>
                <w:szCs w:val="21"/>
                <w:highlight w:val="none"/>
              </w:rPr>
            </w:pPr>
            <w:r>
              <w:rPr>
                <w:rFonts w:hint="eastAsia" w:ascii="宋体" w:hAnsi="宋体" w:cs="宋体"/>
                <w:b/>
                <w:szCs w:val="21"/>
                <w:highlight w:val="none"/>
              </w:rPr>
              <w:t>序号</w:t>
            </w:r>
          </w:p>
        </w:tc>
        <w:tc>
          <w:tcPr>
            <w:tcW w:w="3896" w:type="dxa"/>
            <w:noWrap w:val="0"/>
            <w:vAlign w:val="center"/>
          </w:tcPr>
          <w:p>
            <w:pPr>
              <w:spacing w:line="360" w:lineRule="exact"/>
              <w:ind w:left="13" w:hanging="13" w:hangingChars="6"/>
              <w:jc w:val="center"/>
              <w:rPr>
                <w:rFonts w:hint="eastAsia" w:ascii="宋体" w:hAnsi="宋体" w:cs="宋体"/>
                <w:b/>
                <w:szCs w:val="21"/>
                <w:highlight w:val="none"/>
              </w:rPr>
            </w:pPr>
            <w:r>
              <w:rPr>
                <w:rFonts w:hint="eastAsia" w:ascii="宋体" w:hAnsi="宋体" w:cs="宋体"/>
                <w:b/>
                <w:szCs w:val="21"/>
                <w:highlight w:val="none"/>
              </w:rPr>
              <w:t>评分内容</w:t>
            </w:r>
          </w:p>
        </w:tc>
        <w:tc>
          <w:tcPr>
            <w:tcW w:w="1120" w:type="dxa"/>
            <w:noWrap w:val="0"/>
            <w:vAlign w:val="center"/>
          </w:tcPr>
          <w:p>
            <w:pPr>
              <w:spacing w:line="360" w:lineRule="exact"/>
              <w:ind w:left="13" w:hanging="13" w:hangingChars="6"/>
              <w:jc w:val="center"/>
              <w:rPr>
                <w:rFonts w:hint="eastAsia" w:ascii="宋体" w:hAnsi="宋体" w:cs="宋体"/>
                <w:b/>
                <w:szCs w:val="21"/>
                <w:highlight w:val="none"/>
              </w:rPr>
            </w:pPr>
            <w:r>
              <w:rPr>
                <w:rFonts w:hint="eastAsia" w:ascii="宋体" w:hAnsi="宋体" w:cs="宋体"/>
                <w:b/>
                <w:szCs w:val="21"/>
                <w:highlight w:val="none"/>
              </w:rPr>
              <w:t>标准分</w:t>
            </w:r>
          </w:p>
        </w:tc>
        <w:tc>
          <w:tcPr>
            <w:tcW w:w="1010" w:type="dxa"/>
            <w:noWrap w:val="0"/>
            <w:vAlign w:val="center"/>
          </w:tcPr>
          <w:p>
            <w:pPr>
              <w:spacing w:line="360" w:lineRule="exact"/>
              <w:ind w:left="13" w:hanging="13" w:hangingChars="6"/>
              <w:jc w:val="center"/>
              <w:rPr>
                <w:rFonts w:hint="eastAsia" w:ascii="宋体" w:hAnsi="宋体" w:cs="宋体"/>
                <w:b/>
                <w:szCs w:val="21"/>
                <w:highlight w:val="none"/>
              </w:rPr>
            </w:pPr>
            <w:r>
              <w:rPr>
                <w:rFonts w:hint="eastAsia" w:ascii="宋体" w:hAnsi="宋体" w:cs="宋体"/>
                <w:b/>
                <w:szCs w:val="21"/>
                <w:highlight w:val="none"/>
              </w:rPr>
              <w:t>自评分</w:t>
            </w:r>
          </w:p>
        </w:tc>
        <w:tc>
          <w:tcPr>
            <w:tcW w:w="2765" w:type="dxa"/>
            <w:noWrap w:val="0"/>
            <w:vAlign w:val="center"/>
          </w:tcPr>
          <w:p>
            <w:pPr>
              <w:spacing w:line="360" w:lineRule="exact"/>
              <w:ind w:left="13" w:hanging="13" w:hangingChars="6"/>
              <w:jc w:val="center"/>
              <w:rPr>
                <w:rFonts w:hint="eastAsia" w:ascii="宋体" w:hAnsi="宋体" w:cs="宋体"/>
                <w:b/>
                <w:szCs w:val="21"/>
                <w:highlight w:val="none"/>
              </w:rPr>
            </w:pPr>
            <w:r>
              <w:rPr>
                <w:rFonts w:hint="eastAsia" w:ascii="宋体" w:hAnsi="宋体" w:cs="宋体"/>
                <w:b/>
                <w:szCs w:val="21"/>
                <w:highlight w:val="none"/>
              </w:rPr>
              <w:t>在投标文件中所对应的页码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76" w:type="dxa"/>
            <w:noWrap w:val="0"/>
            <w:vAlign w:val="center"/>
          </w:tcPr>
          <w:p>
            <w:pPr>
              <w:spacing w:line="290" w:lineRule="exact"/>
              <w:ind w:left="13" w:hanging="12" w:hangingChars="6"/>
              <w:jc w:val="center"/>
              <w:rPr>
                <w:rFonts w:hint="eastAsia" w:ascii="宋体" w:hAnsi="宋体" w:cs="宋体"/>
                <w:snapToGrid w:val="0"/>
                <w:szCs w:val="21"/>
                <w:highlight w:val="none"/>
              </w:rPr>
            </w:pPr>
            <w:r>
              <w:rPr>
                <w:rFonts w:hint="eastAsia" w:ascii="宋体" w:hAnsi="宋体" w:cs="宋体"/>
                <w:highlight w:val="none"/>
              </w:rPr>
              <w:t>1</w:t>
            </w:r>
          </w:p>
        </w:tc>
        <w:tc>
          <w:tcPr>
            <w:tcW w:w="3896" w:type="dxa"/>
            <w:noWrap w:val="0"/>
            <w:vAlign w:val="center"/>
          </w:tcPr>
          <w:p>
            <w:pPr>
              <w:spacing w:line="290" w:lineRule="exact"/>
              <w:ind w:left="13" w:hanging="13" w:hangingChars="6"/>
              <w:jc w:val="center"/>
              <w:rPr>
                <w:rFonts w:hint="eastAsia" w:ascii="宋体" w:hAnsi="宋体" w:cs="宋体"/>
                <w:b/>
                <w:szCs w:val="21"/>
                <w:highlight w:val="none"/>
              </w:rPr>
            </w:pPr>
          </w:p>
        </w:tc>
        <w:tc>
          <w:tcPr>
            <w:tcW w:w="1120" w:type="dxa"/>
            <w:noWrap w:val="0"/>
            <w:vAlign w:val="center"/>
          </w:tcPr>
          <w:p>
            <w:pPr>
              <w:adjustRightInd w:val="0"/>
              <w:snapToGrid w:val="0"/>
              <w:spacing w:line="360" w:lineRule="exact"/>
              <w:ind w:left="13" w:hanging="12" w:hangingChars="6"/>
              <w:jc w:val="center"/>
              <w:rPr>
                <w:rFonts w:hint="eastAsia" w:ascii="宋体" w:hAnsi="宋体" w:cs="宋体"/>
                <w:szCs w:val="21"/>
                <w:highlight w:val="none"/>
              </w:rPr>
            </w:pPr>
          </w:p>
        </w:tc>
        <w:tc>
          <w:tcPr>
            <w:tcW w:w="1010" w:type="dxa"/>
            <w:noWrap w:val="0"/>
            <w:vAlign w:val="center"/>
          </w:tcPr>
          <w:p>
            <w:pPr>
              <w:adjustRightInd w:val="0"/>
              <w:snapToGrid w:val="0"/>
              <w:spacing w:line="360" w:lineRule="exact"/>
              <w:ind w:left="13" w:hanging="12" w:hangingChars="6"/>
              <w:jc w:val="center"/>
              <w:rPr>
                <w:rFonts w:hint="eastAsia" w:ascii="宋体" w:hAnsi="宋体" w:cs="宋体"/>
                <w:szCs w:val="21"/>
                <w:highlight w:val="none"/>
              </w:rPr>
            </w:pPr>
          </w:p>
        </w:tc>
        <w:tc>
          <w:tcPr>
            <w:tcW w:w="2765" w:type="dxa"/>
            <w:noWrap w:val="0"/>
            <w:vAlign w:val="center"/>
          </w:tcPr>
          <w:p>
            <w:pPr>
              <w:spacing w:line="360" w:lineRule="exact"/>
              <w:ind w:left="13" w:hanging="12" w:hangingChars="6"/>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76" w:type="dxa"/>
            <w:noWrap w:val="0"/>
            <w:vAlign w:val="center"/>
          </w:tcPr>
          <w:p>
            <w:pPr>
              <w:spacing w:line="290" w:lineRule="exact"/>
              <w:ind w:left="13" w:hanging="12" w:hangingChars="6"/>
              <w:jc w:val="center"/>
              <w:rPr>
                <w:rFonts w:hint="eastAsia" w:ascii="宋体" w:hAnsi="宋体" w:cs="宋体"/>
                <w:snapToGrid w:val="0"/>
                <w:szCs w:val="21"/>
                <w:highlight w:val="none"/>
              </w:rPr>
            </w:pPr>
            <w:r>
              <w:rPr>
                <w:rFonts w:hint="eastAsia" w:ascii="宋体" w:hAnsi="宋体" w:cs="宋体"/>
                <w:highlight w:val="none"/>
              </w:rPr>
              <w:t>2</w:t>
            </w:r>
          </w:p>
        </w:tc>
        <w:tc>
          <w:tcPr>
            <w:tcW w:w="3896" w:type="dxa"/>
            <w:noWrap w:val="0"/>
            <w:vAlign w:val="center"/>
          </w:tcPr>
          <w:p>
            <w:pPr>
              <w:spacing w:line="290" w:lineRule="exact"/>
              <w:ind w:left="13" w:hanging="13" w:hangingChars="6"/>
              <w:jc w:val="center"/>
              <w:rPr>
                <w:rFonts w:hint="eastAsia" w:ascii="宋体" w:hAnsi="宋体" w:cs="宋体"/>
                <w:b/>
                <w:szCs w:val="21"/>
                <w:highlight w:val="none"/>
              </w:rPr>
            </w:pPr>
          </w:p>
        </w:tc>
        <w:tc>
          <w:tcPr>
            <w:tcW w:w="1120" w:type="dxa"/>
            <w:noWrap w:val="0"/>
            <w:vAlign w:val="center"/>
          </w:tcPr>
          <w:p>
            <w:pPr>
              <w:adjustRightInd w:val="0"/>
              <w:snapToGrid w:val="0"/>
              <w:spacing w:line="360" w:lineRule="exact"/>
              <w:ind w:left="13" w:hanging="12" w:hangingChars="6"/>
              <w:jc w:val="center"/>
              <w:rPr>
                <w:rFonts w:hint="eastAsia" w:ascii="宋体" w:hAnsi="宋体" w:cs="宋体"/>
                <w:szCs w:val="21"/>
                <w:highlight w:val="none"/>
              </w:rPr>
            </w:pPr>
          </w:p>
        </w:tc>
        <w:tc>
          <w:tcPr>
            <w:tcW w:w="1010" w:type="dxa"/>
            <w:noWrap w:val="0"/>
            <w:vAlign w:val="center"/>
          </w:tcPr>
          <w:p>
            <w:pPr>
              <w:adjustRightInd w:val="0"/>
              <w:snapToGrid w:val="0"/>
              <w:spacing w:line="360" w:lineRule="exact"/>
              <w:ind w:left="13" w:hanging="12" w:hangingChars="6"/>
              <w:jc w:val="center"/>
              <w:rPr>
                <w:rFonts w:hint="eastAsia" w:ascii="宋体" w:hAnsi="宋体" w:cs="宋体"/>
                <w:szCs w:val="21"/>
                <w:highlight w:val="none"/>
              </w:rPr>
            </w:pPr>
          </w:p>
        </w:tc>
        <w:tc>
          <w:tcPr>
            <w:tcW w:w="2765" w:type="dxa"/>
            <w:noWrap w:val="0"/>
            <w:vAlign w:val="center"/>
          </w:tcPr>
          <w:p>
            <w:pPr>
              <w:spacing w:line="360" w:lineRule="exact"/>
              <w:ind w:left="13" w:hanging="12" w:hangingChars="6"/>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76" w:type="dxa"/>
            <w:noWrap w:val="0"/>
            <w:vAlign w:val="center"/>
          </w:tcPr>
          <w:p>
            <w:pPr>
              <w:spacing w:line="290" w:lineRule="exact"/>
              <w:ind w:left="13" w:hanging="12" w:hangingChars="6"/>
              <w:jc w:val="center"/>
              <w:rPr>
                <w:rFonts w:hint="eastAsia" w:ascii="宋体" w:hAnsi="宋体" w:cs="宋体"/>
                <w:snapToGrid w:val="0"/>
                <w:szCs w:val="21"/>
                <w:highlight w:val="none"/>
              </w:rPr>
            </w:pPr>
            <w:r>
              <w:rPr>
                <w:rFonts w:hint="eastAsia" w:ascii="宋体" w:hAnsi="宋体" w:cs="宋体"/>
                <w:highlight w:val="none"/>
              </w:rPr>
              <w:t>3</w:t>
            </w:r>
          </w:p>
        </w:tc>
        <w:tc>
          <w:tcPr>
            <w:tcW w:w="3896" w:type="dxa"/>
            <w:noWrap w:val="0"/>
            <w:vAlign w:val="center"/>
          </w:tcPr>
          <w:p>
            <w:pPr>
              <w:spacing w:line="290" w:lineRule="exact"/>
              <w:ind w:left="13" w:hanging="13" w:hangingChars="6"/>
              <w:jc w:val="center"/>
              <w:rPr>
                <w:rFonts w:hint="eastAsia" w:ascii="宋体" w:hAnsi="宋体" w:cs="宋体"/>
                <w:b/>
                <w:szCs w:val="21"/>
                <w:highlight w:val="none"/>
              </w:rPr>
            </w:pPr>
          </w:p>
        </w:tc>
        <w:tc>
          <w:tcPr>
            <w:tcW w:w="1120" w:type="dxa"/>
            <w:noWrap w:val="0"/>
            <w:vAlign w:val="center"/>
          </w:tcPr>
          <w:p>
            <w:pPr>
              <w:adjustRightInd w:val="0"/>
              <w:snapToGrid w:val="0"/>
              <w:spacing w:line="360" w:lineRule="exact"/>
              <w:ind w:left="13" w:hanging="12" w:hangingChars="6"/>
              <w:jc w:val="center"/>
              <w:rPr>
                <w:rFonts w:hint="eastAsia" w:ascii="宋体" w:hAnsi="宋体" w:cs="宋体"/>
                <w:szCs w:val="21"/>
                <w:highlight w:val="none"/>
              </w:rPr>
            </w:pPr>
          </w:p>
        </w:tc>
        <w:tc>
          <w:tcPr>
            <w:tcW w:w="1010" w:type="dxa"/>
            <w:noWrap w:val="0"/>
            <w:vAlign w:val="center"/>
          </w:tcPr>
          <w:p>
            <w:pPr>
              <w:adjustRightInd w:val="0"/>
              <w:snapToGrid w:val="0"/>
              <w:spacing w:line="360" w:lineRule="exact"/>
              <w:ind w:left="13" w:hanging="12" w:hangingChars="6"/>
              <w:jc w:val="center"/>
              <w:rPr>
                <w:rFonts w:hint="eastAsia" w:ascii="宋体" w:hAnsi="宋体" w:cs="宋体"/>
                <w:szCs w:val="21"/>
                <w:highlight w:val="none"/>
              </w:rPr>
            </w:pPr>
          </w:p>
        </w:tc>
        <w:tc>
          <w:tcPr>
            <w:tcW w:w="2765" w:type="dxa"/>
            <w:noWrap w:val="0"/>
            <w:vAlign w:val="center"/>
          </w:tcPr>
          <w:p>
            <w:pPr>
              <w:spacing w:line="360" w:lineRule="exact"/>
              <w:ind w:left="13" w:hanging="12" w:hangingChars="6"/>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76" w:type="dxa"/>
            <w:noWrap w:val="0"/>
            <w:vAlign w:val="center"/>
          </w:tcPr>
          <w:p>
            <w:pPr>
              <w:spacing w:line="290" w:lineRule="exact"/>
              <w:ind w:left="13" w:hanging="12" w:hangingChars="6"/>
              <w:jc w:val="center"/>
              <w:rPr>
                <w:rFonts w:hint="eastAsia" w:ascii="宋体" w:hAnsi="宋体" w:cs="宋体"/>
                <w:snapToGrid w:val="0"/>
                <w:szCs w:val="21"/>
                <w:highlight w:val="none"/>
              </w:rPr>
            </w:pPr>
            <w:r>
              <w:rPr>
                <w:rFonts w:hint="eastAsia" w:ascii="宋体" w:hAnsi="宋体" w:cs="宋体"/>
                <w:highlight w:val="none"/>
              </w:rPr>
              <w:t>4</w:t>
            </w:r>
          </w:p>
        </w:tc>
        <w:tc>
          <w:tcPr>
            <w:tcW w:w="3896" w:type="dxa"/>
            <w:noWrap w:val="0"/>
            <w:vAlign w:val="center"/>
          </w:tcPr>
          <w:p>
            <w:pPr>
              <w:spacing w:line="290" w:lineRule="exact"/>
              <w:ind w:left="13" w:hanging="13" w:hangingChars="6"/>
              <w:jc w:val="center"/>
              <w:rPr>
                <w:rFonts w:hint="eastAsia" w:ascii="宋体" w:hAnsi="宋体" w:cs="宋体"/>
                <w:b/>
                <w:szCs w:val="21"/>
                <w:highlight w:val="none"/>
              </w:rPr>
            </w:pPr>
          </w:p>
        </w:tc>
        <w:tc>
          <w:tcPr>
            <w:tcW w:w="1120" w:type="dxa"/>
            <w:noWrap w:val="0"/>
            <w:vAlign w:val="center"/>
          </w:tcPr>
          <w:p>
            <w:pPr>
              <w:adjustRightInd w:val="0"/>
              <w:snapToGrid w:val="0"/>
              <w:spacing w:line="360" w:lineRule="exact"/>
              <w:ind w:left="13" w:hanging="12" w:hangingChars="6"/>
              <w:jc w:val="center"/>
              <w:rPr>
                <w:rFonts w:hint="eastAsia" w:ascii="宋体" w:hAnsi="宋体" w:cs="宋体"/>
                <w:szCs w:val="21"/>
                <w:highlight w:val="none"/>
              </w:rPr>
            </w:pPr>
          </w:p>
        </w:tc>
        <w:tc>
          <w:tcPr>
            <w:tcW w:w="1010" w:type="dxa"/>
            <w:noWrap w:val="0"/>
            <w:vAlign w:val="center"/>
          </w:tcPr>
          <w:p>
            <w:pPr>
              <w:adjustRightInd w:val="0"/>
              <w:snapToGrid w:val="0"/>
              <w:spacing w:line="360" w:lineRule="exact"/>
              <w:ind w:left="13" w:hanging="12" w:hangingChars="6"/>
              <w:jc w:val="center"/>
              <w:rPr>
                <w:rFonts w:hint="eastAsia" w:ascii="宋体" w:hAnsi="宋体" w:cs="宋体"/>
                <w:szCs w:val="21"/>
                <w:highlight w:val="none"/>
              </w:rPr>
            </w:pPr>
          </w:p>
        </w:tc>
        <w:tc>
          <w:tcPr>
            <w:tcW w:w="2765" w:type="dxa"/>
            <w:noWrap w:val="0"/>
            <w:vAlign w:val="center"/>
          </w:tcPr>
          <w:p>
            <w:pPr>
              <w:spacing w:line="360" w:lineRule="exact"/>
              <w:ind w:left="13" w:hanging="12" w:hangingChars="6"/>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76" w:type="dxa"/>
            <w:noWrap w:val="0"/>
            <w:vAlign w:val="center"/>
          </w:tcPr>
          <w:p>
            <w:pPr>
              <w:spacing w:line="290" w:lineRule="exact"/>
              <w:ind w:left="13" w:hanging="12" w:hangingChars="6"/>
              <w:jc w:val="center"/>
              <w:rPr>
                <w:rFonts w:hint="eastAsia" w:ascii="宋体" w:hAnsi="宋体" w:cs="宋体"/>
                <w:snapToGrid w:val="0"/>
                <w:szCs w:val="21"/>
                <w:highlight w:val="none"/>
              </w:rPr>
            </w:pPr>
            <w:r>
              <w:rPr>
                <w:rFonts w:hint="eastAsia" w:ascii="宋体" w:hAnsi="宋体" w:cs="宋体"/>
                <w:highlight w:val="none"/>
              </w:rPr>
              <w:t>5</w:t>
            </w:r>
          </w:p>
        </w:tc>
        <w:tc>
          <w:tcPr>
            <w:tcW w:w="3896" w:type="dxa"/>
            <w:noWrap w:val="0"/>
            <w:vAlign w:val="center"/>
          </w:tcPr>
          <w:p>
            <w:pPr>
              <w:spacing w:line="290" w:lineRule="exact"/>
              <w:ind w:left="13" w:hanging="13" w:hangingChars="6"/>
              <w:jc w:val="center"/>
              <w:rPr>
                <w:rFonts w:hint="eastAsia" w:ascii="宋体" w:hAnsi="宋体" w:cs="宋体"/>
                <w:b/>
                <w:kern w:val="0"/>
                <w:highlight w:val="none"/>
              </w:rPr>
            </w:pPr>
          </w:p>
        </w:tc>
        <w:tc>
          <w:tcPr>
            <w:tcW w:w="1120" w:type="dxa"/>
            <w:noWrap w:val="0"/>
            <w:vAlign w:val="center"/>
          </w:tcPr>
          <w:p>
            <w:pPr>
              <w:adjustRightInd w:val="0"/>
              <w:snapToGrid w:val="0"/>
              <w:spacing w:line="360" w:lineRule="exact"/>
              <w:ind w:left="13" w:hanging="12" w:hangingChars="6"/>
              <w:jc w:val="center"/>
              <w:rPr>
                <w:rFonts w:hint="eastAsia" w:ascii="宋体" w:hAnsi="宋体" w:cs="宋体"/>
                <w:szCs w:val="21"/>
                <w:highlight w:val="none"/>
              </w:rPr>
            </w:pPr>
          </w:p>
        </w:tc>
        <w:tc>
          <w:tcPr>
            <w:tcW w:w="1010" w:type="dxa"/>
            <w:noWrap w:val="0"/>
            <w:vAlign w:val="center"/>
          </w:tcPr>
          <w:p>
            <w:pPr>
              <w:adjustRightInd w:val="0"/>
              <w:snapToGrid w:val="0"/>
              <w:spacing w:line="360" w:lineRule="exact"/>
              <w:ind w:left="13" w:hanging="12" w:hangingChars="6"/>
              <w:jc w:val="center"/>
              <w:rPr>
                <w:rFonts w:hint="eastAsia" w:ascii="宋体" w:hAnsi="宋体" w:cs="宋体"/>
                <w:szCs w:val="21"/>
                <w:highlight w:val="none"/>
              </w:rPr>
            </w:pPr>
          </w:p>
        </w:tc>
        <w:tc>
          <w:tcPr>
            <w:tcW w:w="2765" w:type="dxa"/>
            <w:noWrap w:val="0"/>
            <w:vAlign w:val="center"/>
          </w:tcPr>
          <w:p>
            <w:pPr>
              <w:spacing w:line="360" w:lineRule="exact"/>
              <w:ind w:left="13" w:hanging="12" w:hangingChars="6"/>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76" w:type="dxa"/>
            <w:noWrap w:val="0"/>
            <w:vAlign w:val="center"/>
          </w:tcPr>
          <w:p>
            <w:pPr>
              <w:spacing w:line="290" w:lineRule="exact"/>
              <w:ind w:left="13" w:hanging="12" w:hangingChars="6"/>
              <w:jc w:val="center"/>
              <w:rPr>
                <w:rFonts w:hint="eastAsia" w:ascii="宋体" w:hAnsi="宋体" w:cs="宋体"/>
                <w:snapToGrid w:val="0"/>
                <w:szCs w:val="21"/>
                <w:highlight w:val="none"/>
              </w:rPr>
            </w:pPr>
            <w:r>
              <w:rPr>
                <w:rFonts w:hint="eastAsia" w:ascii="宋体" w:hAnsi="宋体" w:cs="宋体"/>
                <w:highlight w:val="none"/>
              </w:rPr>
              <w:t>6</w:t>
            </w:r>
          </w:p>
        </w:tc>
        <w:tc>
          <w:tcPr>
            <w:tcW w:w="3896" w:type="dxa"/>
            <w:noWrap w:val="0"/>
            <w:vAlign w:val="center"/>
          </w:tcPr>
          <w:p>
            <w:pPr>
              <w:spacing w:line="290" w:lineRule="exact"/>
              <w:ind w:left="13" w:hanging="13" w:hangingChars="6"/>
              <w:jc w:val="center"/>
              <w:rPr>
                <w:rFonts w:hint="eastAsia" w:ascii="宋体" w:hAnsi="宋体" w:cs="宋体"/>
                <w:b/>
                <w:kern w:val="0"/>
                <w:highlight w:val="none"/>
              </w:rPr>
            </w:pPr>
          </w:p>
        </w:tc>
        <w:tc>
          <w:tcPr>
            <w:tcW w:w="1120" w:type="dxa"/>
            <w:noWrap w:val="0"/>
            <w:vAlign w:val="center"/>
          </w:tcPr>
          <w:p>
            <w:pPr>
              <w:adjustRightInd w:val="0"/>
              <w:snapToGrid w:val="0"/>
              <w:spacing w:line="360" w:lineRule="exact"/>
              <w:ind w:left="13" w:hanging="12" w:hangingChars="6"/>
              <w:jc w:val="center"/>
              <w:rPr>
                <w:rFonts w:hint="eastAsia" w:ascii="宋体" w:hAnsi="宋体" w:cs="宋体"/>
                <w:szCs w:val="21"/>
                <w:highlight w:val="none"/>
              </w:rPr>
            </w:pPr>
          </w:p>
        </w:tc>
        <w:tc>
          <w:tcPr>
            <w:tcW w:w="1010" w:type="dxa"/>
            <w:noWrap w:val="0"/>
            <w:vAlign w:val="center"/>
          </w:tcPr>
          <w:p>
            <w:pPr>
              <w:adjustRightInd w:val="0"/>
              <w:snapToGrid w:val="0"/>
              <w:spacing w:line="360" w:lineRule="exact"/>
              <w:ind w:left="13" w:hanging="12" w:hangingChars="6"/>
              <w:jc w:val="center"/>
              <w:rPr>
                <w:rFonts w:hint="eastAsia" w:ascii="宋体" w:hAnsi="宋体" w:cs="宋体"/>
                <w:szCs w:val="21"/>
                <w:highlight w:val="none"/>
              </w:rPr>
            </w:pPr>
          </w:p>
        </w:tc>
        <w:tc>
          <w:tcPr>
            <w:tcW w:w="2765" w:type="dxa"/>
            <w:noWrap w:val="0"/>
            <w:vAlign w:val="center"/>
          </w:tcPr>
          <w:p>
            <w:pPr>
              <w:spacing w:line="360" w:lineRule="exact"/>
              <w:ind w:left="13" w:hanging="12" w:hangingChars="6"/>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76" w:type="dxa"/>
            <w:noWrap w:val="0"/>
            <w:vAlign w:val="center"/>
          </w:tcPr>
          <w:p>
            <w:pPr>
              <w:spacing w:line="290" w:lineRule="exact"/>
              <w:ind w:left="13" w:hanging="12" w:hangingChars="6"/>
              <w:jc w:val="center"/>
              <w:rPr>
                <w:rFonts w:hint="eastAsia" w:ascii="宋体" w:hAnsi="宋体" w:cs="宋体"/>
                <w:snapToGrid w:val="0"/>
                <w:szCs w:val="21"/>
                <w:highlight w:val="none"/>
              </w:rPr>
            </w:pPr>
            <w:r>
              <w:rPr>
                <w:rFonts w:hint="eastAsia" w:ascii="宋体" w:hAnsi="宋体" w:cs="宋体"/>
                <w:highlight w:val="none"/>
              </w:rPr>
              <w:t>7</w:t>
            </w:r>
          </w:p>
        </w:tc>
        <w:tc>
          <w:tcPr>
            <w:tcW w:w="3896" w:type="dxa"/>
            <w:noWrap w:val="0"/>
            <w:vAlign w:val="center"/>
          </w:tcPr>
          <w:p>
            <w:pPr>
              <w:spacing w:line="290" w:lineRule="exact"/>
              <w:ind w:left="13" w:hanging="13" w:hangingChars="6"/>
              <w:jc w:val="center"/>
              <w:rPr>
                <w:rFonts w:hint="eastAsia" w:ascii="宋体" w:hAnsi="宋体" w:cs="宋体"/>
                <w:b/>
                <w:snapToGrid w:val="0"/>
                <w:szCs w:val="21"/>
                <w:highlight w:val="none"/>
              </w:rPr>
            </w:pPr>
          </w:p>
        </w:tc>
        <w:tc>
          <w:tcPr>
            <w:tcW w:w="1120" w:type="dxa"/>
            <w:noWrap w:val="0"/>
            <w:vAlign w:val="center"/>
          </w:tcPr>
          <w:p>
            <w:pPr>
              <w:adjustRightInd w:val="0"/>
              <w:snapToGrid w:val="0"/>
              <w:spacing w:line="360" w:lineRule="exact"/>
              <w:ind w:left="13" w:hanging="12" w:hangingChars="6"/>
              <w:jc w:val="center"/>
              <w:rPr>
                <w:rFonts w:hint="eastAsia" w:ascii="宋体" w:hAnsi="宋体" w:cs="宋体"/>
                <w:snapToGrid w:val="0"/>
                <w:szCs w:val="21"/>
                <w:highlight w:val="none"/>
              </w:rPr>
            </w:pPr>
          </w:p>
        </w:tc>
        <w:tc>
          <w:tcPr>
            <w:tcW w:w="1010" w:type="dxa"/>
            <w:noWrap w:val="0"/>
            <w:vAlign w:val="center"/>
          </w:tcPr>
          <w:p>
            <w:pPr>
              <w:adjustRightInd w:val="0"/>
              <w:snapToGrid w:val="0"/>
              <w:spacing w:line="360" w:lineRule="exact"/>
              <w:ind w:left="13" w:hanging="12" w:hangingChars="6"/>
              <w:jc w:val="center"/>
              <w:rPr>
                <w:rFonts w:hint="eastAsia" w:ascii="宋体" w:hAnsi="宋体" w:cs="宋体"/>
                <w:snapToGrid w:val="0"/>
                <w:szCs w:val="21"/>
                <w:highlight w:val="none"/>
              </w:rPr>
            </w:pPr>
          </w:p>
        </w:tc>
        <w:tc>
          <w:tcPr>
            <w:tcW w:w="2765" w:type="dxa"/>
            <w:noWrap w:val="0"/>
            <w:vAlign w:val="center"/>
          </w:tcPr>
          <w:p>
            <w:pPr>
              <w:spacing w:line="360" w:lineRule="exact"/>
              <w:ind w:left="13" w:hanging="12" w:hangingChars="6"/>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exact"/>
          <w:jc w:val="center"/>
        </w:trPr>
        <w:tc>
          <w:tcPr>
            <w:tcW w:w="876" w:type="dxa"/>
            <w:noWrap w:val="0"/>
            <w:vAlign w:val="center"/>
          </w:tcPr>
          <w:p>
            <w:pPr>
              <w:spacing w:line="290" w:lineRule="exact"/>
              <w:ind w:left="13" w:hanging="12" w:hangingChars="6"/>
              <w:jc w:val="center"/>
              <w:rPr>
                <w:rFonts w:hint="eastAsia" w:ascii="宋体" w:hAnsi="宋体" w:cs="宋体"/>
                <w:snapToGrid w:val="0"/>
                <w:szCs w:val="21"/>
                <w:highlight w:val="none"/>
              </w:rPr>
            </w:pPr>
            <w:r>
              <w:rPr>
                <w:rFonts w:hint="eastAsia" w:ascii="宋体" w:hAnsi="宋体" w:cs="宋体"/>
                <w:highlight w:val="none"/>
              </w:rPr>
              <w:t>8</w:t>
            </w:r>
          </w:p>
        </w:tc>
        <w:tc>
          <w:tcPr>
            <w:tcW w:w="3896" w:type="dxa"/>
            <w:noWrap w:val="0"/>
            <w:vAlign w:val="center"/>
          </w:tcPr>
          <w:p>
            <w:pPr>
              <w:spacing w:line="290" w:lineRule="exact"/>
              <w:ind w:left="13" w:hanging="13" w:hangingChars="6"/>
              <w:jc w:val="center"/>
              <w:rPr>
                <w:rFonts w:hint="eastAsia" w:ascii="宋体" w:hAnsi="宋体" w:cs="宋体"/>
                <w:b/>
                <w:szCs w:val="21"/>
                <w:highlight w:val="none"/>
              </w:rPr>
            </w:pPr>
          </w:p>
        </w:tc>
        <w:tc>
          <w:tcPr>
            <w:tcW w:w="1120" w:type="dxa"/>
            <w:noWrap w:val="0"/>
            <w:vAlign w:val="center"/>
          </w:tcPr>
          <w:p>
            <w:pPr>
              <w:adjustRightInd w:val="0"/>
              <w:snapToGrid w:val="0"/>
              <w:spacing w:line="360" w:lineRule="exact"/>
              <w:ind w:left="13" w:hanging="12" w:hangingChars="6"/>
              <w:jc w:val="center"/>
              <w:rPr>
                <w:rFonts w:hint="eastAsia" w:ascii="宋体" w:hAnsi="宋体" w:cs="宋体"/>
                <w:szCs w:val="21"/>
                <w:highlight w:val="none"/>
              </w:rPr>
            </w:pPr>
          </w:p>
        </w:tc>
        <w:tc>
          <w:tcPr>
            <w:tcW w:w="1010" w:type="dxa"/>
            <w:noWrap w:val="0"/>
            <w:vAlign w:val="center"/>
          </w:tcPr>
          <w:p>
            <w:pPr>
              <w:adjustRightInd w:val="0"/>
              <w:snapToGrid w:val="0"/>
              <w:spacing w:line="360" w:lineRule="exact"/>
              <w:ind w:left="13" w:hanging="12" w:hangingChars="6"/>
              <w:jc w:val="center"/>
              <w:rPr>
                <w:rFonts w:hint="eastAsia" w:ascii="宋体" w:hAnsi="宋体" w:cs="宋体"/>
                <w:szCs w:val="21"/>
                <w:highlight w:val="none"/>
              </w:rPr>
            </w:pPr>
          </w:p>
        </w:tc>
        <w:tc>
          <w:tcPr>
            <w:tcW w:w="2765" w:type="dxa"/>
            <w:noWrap w:val="0"/>
            <w:vAlign w:val="center"/>
          </w:tcPr>
          <w:p>
            <w:pPr>
              <w:spacing w:line="360" w:lineRule="exact"/>
              <w:ind w:left="13" w:hanging="12" w:hangingChars="6"/>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exact"/>
          <w:jc w:val="center"/>
        </w:trPr>
        <w:tc>
          <w:tcPr>
            <w:tcW w:w="876" w:type="dxa"/>
            <w:noWrap w:val="0"/>
            <w:vAlign w:val="center"/>
          </w:tcPr>
          <w:p>
            <w:pPr>
              <w:spacing w:line="290" w:lineRule="exact"/>
              <w:ind w:left="13" w:hanging="12" w:hangingChars="6"/>
              <w:jc w:val="center"/>
              <w:rPr>
                <w:rFonts w:hint="eastAsia" w:ascii="宋体" w:hAnsi="宋体" w:cs="宋体"/>
                <w:snapToGrid w:val="0"/>
                <w:szCs w:val="21"/>
                <w:highlight w:val="none"/>
              </w:rPr>
            </w:pPr>
            <w:r>
              <w:rPr>
                <w:rFonts w:hint="eastAsia" w:ascii="宋体" w:hAnsi="宋体" w:cs="宋体"/>
                <w:highlight w:val="none"/>
              </w:rPr>
              <w:t>9</w:t>
            </w:r>
          </w:p>
        </w:tc>
        <w:tc>
          <w:tcPr>
            <w:tcW w:w="3896" w:type="dxa"/>
            <w:noWrap w:val="0"/>
            <w:vAlign w:val="center"/>
          </w:tcPr>
          <w:p>
            <w:pPr>
              <w:spacing w:line="290" w:lineRule="exact"/>
              <w:ind w:left="13" w:hanging="13" w:hangingChars="6"/>
              <w:jc w:val="center"/>
              <w:rPr>
                <w:rFonts w:hint="eastAsia" w:ascii="宋体" w:hAnsi="宋体" w:cs="宋体"/>
                <w:b/>
                <w:snapToGrid w:val="0"/>
                <w:szCs w:val="21"/>
                <w:highlight w:val="none"/>
              </w:rPr>
            </w:pPr>
          </w:p>
        </w:tc>
        <w:tc>
          <w:tcPr>
            <w:tcW w:w="1120" w:type="dxa"/>
            <w:noWrap w:val="0"/>
            <w:vAlign w:val="center"/>
          </w:tcPr>
          <w:p>
            <w:pPr>
              <w:adjustRightInd w:val="0"/>
              <w:snapToGrid w:val="0"/>
              <w:spacing w:line="360" w:lineRule="exact"/>
              <w:ind w:left="13" w:hanging="12" w:hangingChars="6"/>
              <w:jc w:val="center"/>
              <w:rPr>
                <w:rFonts w:hint="eastAsia" w:ascii="宋体" w:hAnsi="宋体" w:cs="宋体"/>
                <w:szCs w:val="21"/>
                <w:highlight w:val="none"/>
              </w:rPr>
            </w:pPr>
          </w:p>
        </w:tc>
        <w:tc>
          <w:tcPr>
            <w:tcW w:w="1010" w:type="dxa"/>
            <w:noWrap w:val="0"/>
            <w:vAlign w:val="center"/>
          </w:tcPr>
          <w:p>
            <w:pPr>
              <w:adjustRightInd w:val="0"/>
              <w:snapToGrid w:val="0"/>
              <w:spacing w:line="360" w:lineRule="exact"/>
              <w:ind w:left="13" w:hanging="12" w:hangingChars="6"/>
              <w:jc w:val="center"/>
              <w:rPr>
                <w:rFonts w:hint="eastAsia" w:ascii="宋体" w:hAnsi="宋体" w:cs="宋体"/>
                <w:szCs w:val="21"/>
                <w:highlight w:val="none"/>
              </w:rPr>
            </w:pPr>
          </w:p>
        </w:tc>
        <w:tc>
          <w:tcPr>
            <w:tcW w:w="2765" w:type="dxa"/>
            <w:noWrap w:val="0"/>
            <w:vAlign w:val="center"/>
          </w:tcPr>
          <w:p>
            <w:pPr>
              <w:spacing w:line="360" w:lineRule="exact"/>
              <w:ind w:left="13" w:hanging="12" w:hangingChars="6"/>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exact"/>
          <w:jc w:val="center"/>
        </w:trPr>
        <w:tc>
          <w:tcPr>
            <w:tcW w:w="876" w:type="dxa"/>
            <w:noWrap w:val="0"/>
            <w:vAlign w:val="center"/>
          </w:tcPr>
          <w:p>
            <w:pPr>
              <w:spacing w:line="290" w:lineRule="exact"/>
              <w:ind w:left="13" w:hanging="12" w:hangingChars="6"/>
              <w:jc w:val="center"/>
              <w:rPr>
                <w:rFonts w:hint="eastAsia" w:ascii="宋体" w:hAnsi="宋体" w:cs="宋体"/>
                <w:snapToGrid w:val="0"/>
                <w:szCs w:val="21"/>
                <w:highlight w:val="none"/>
              </w:rPr>
            </w:pPr>
            <w:r>
              <w:rPr>
                <w:rFonts w:hint="eastAsia" w:ascii="宋体" w:hAnsi="宋体" w:cs="宋体"/>
                <w:highlight w:val="none"/>
              </w:rPr>
              <w:t>10</w:t>
            </w:r>
          </w:p>
        </w:tc>
        <w:tc>
          <w:tcPr>
            <w:tcW w:w="3896" w:type="dxa"/>
            <w:noWrap w:val="0"/>
            <w:vAlign w:val="center"/>
          </w:tcPr>
          <w:p>
            <w:pPr>
              <w:spacing w:line="290" w:lineRule="exact"/>
              <w:ind w:left="13" w:hanging="13" w:hangingChars="6"/>
              <w:jc w:val="center"/>
              <w:rPr>
                <w:rFonts w:hint="eastAsia" w:ascii="宋体" w:hAnsi="宋体" w:cs="宋体"/>
                <w:b/>
                <w:szCs w:val="21"/>
                <w:highlight w:val="none"/>
              </w:rPr>
            </w:pPr>
          </w:p>
        </w:tc>
        <w:tc>
          <w:tcPr>
            <w:tcW w:w="1120" w:type="dxa"/>
            <w:noWrap w:val="0"/>
            <w:vAlign w:val="center"/>
          </w:tcPr>
          <w:p>
            <w:pPr>
              <w:adjustRightInd w:val="0"/>
              <w:snapToGrid w:val="0"/>
              <w:spacing w:line="360" w:lineRule="exact"/>
              <w:ind w:left="13" w:hanging="12" w:hangingChars="6"/>
              <w:jc w:val="center"/>
              <w:rPr>
                <w:rFonts w:hint="eastAsia" w:ascii="宋体" w:hAnsi="宋体" w:cs="宋体"/>
                <w:snapToGrid w:val="0"/>
                <w:szCs w:val="21"/>
                <w:highlight w:val="none"/>
              </w:rPr>
            </w:pPr>
          </w:p>
        </w:tc>
        <w:tc>
          <w:tcPr>
            <w:tcW w:w="1010" w:type="dxa"/>
            <w:noWrap w:val="0"/>
            <w:vAlign w:val="center"/>
          </w:tcPr>
          <w:p>
            <w:pPr>
              <w:adjustRightInd w:val="0"/>
              <w:snapToGrid w:val="0"/>
              <w:spacing w:line="360" w:lineRule="exact"/>
              <w:ind w:left="13" w:hanging="12" w:hangingChars="6"/>
              <w:jc w:val="center"/>
              <w:rPr>
                <w:rFonts w:hint="eastAsia" w:ascii="宋体" w:hAnsi="宋体" w:cs="宋体"/>
                <w:snapToGrid w:val="0"/>
                <w:szCs w:val="21"/>
                <w:highlight w:val="none"/>
              </w:rPr>
            </w:pPr>
          </w:p>
        </w:tc>
        <w:tc>
          <w:tcPr>
            <w:tcW w:w="2765" w:type="dxa"/>
            <w:noWrap w:val="0"/>
            <w:vAlign w:val="center"/>
          </w:tcPr>
          <w:p>
            <w:pPr>
              <w:spacing w:line="360" w:lineRule="exact"/>
              <w:ind w:left="13" w:hanging="12" w:hangingChars="6"/>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exact"/>
          <w:jc w:val="center"/>
        </w:trPr>
        <w:tc>
          <w:tcPr>
            <w:tcW w:w="876" w:type="dxa"/>
            <w:noWrap w:val="0"/>
            <w:vAlign w:val="center"/>
          </w:tcPr>
          <w:p>
            <w:pPr>
              <w:spacing w:line="290" w:lineRule="exact"/>
              <w:ind w:left="13" w:hanging="12" w:hangingChars="6"/>
              <w:jc w:val="center"/>
              <w:rPr>
                <w:rFonts w:hint="eastAsia" w:ascii="宋体" w:hAnsi="宋体" w:cs="宋体"/>
                <w:snapToGrid w:val="0"/>
                <w:szCs w:val="21"/>
                <w:highlight w:val="none"/>
              </w:rPr>
            </w:pPr>
            <w:r>
              <w:rPr>
                <w:rFonts w:hint="eastAsia" w:ascii="宋体" w:hAnsi="宋体" w:cs="宋体"/>
                <w:highlight w:val="none"/>
              </w:rPr>
              <w:t>11</w:t>
            </w:r>
          </w:p>
        </w:tc>
        <w:tc>
          <w:tcPr>
            <w:tcW w:w="3896" w:type="dxa"/>
            <w:noWrap w:val="0"/>
            <w:vAlign w:val="center"/>
          </w:tcPr>
          <w:p>
            <w:pPr>
              <w:spacing w:line="290" w:lineRule="exact"/>
              <w:ind w:left="13" w:hanging="13" w:hangingChars="6"/>
              <w:jc w:val="center"/>
              <w:rPr>
                <w:rFonts w:hint="eastAsia" w:ascii="宋体" w:hAnsi="宋体" w:cs="宋体"/>
                <w:b/>
                <w:snapToGrid w:val="0"/>
                <w:szCs w:val="21"/>
                <w:highlight w:val="none"/>
              </w:rPr>
            </w:pPr>
          </w:p>
        </w:tc>
        <w:tc>
          <w:tcPr>
            <w:tcW w:w="1120" w:type="dxa"/>
            <w:noWrap w:val="0"/>
            <w:vAlign w:val="center"/>
          </w:tcPr>
          <w:p>
            <w:pPr>
              <w:adjustRightInd w:val="0"/>
              <w:snapToGrid w:val="0"/>
              <w:spacing w:line="360" w:lineRule="exact"/>
              <w:ind w:left="13" w:hanging="12" w:hangingChars="6"/>
              <w:jc w:val="center"/>
              <w:rPr>
                <w:rFonts w:hint="eastAsia" w:ascii="宋体" w:hAnsi="宋体" w:cs="宋体"/>
                <w:snapToGrid w:val="0"/>
                <w:szCs w:val="21"/>
                <w:highlight w:val="none"/>
              </w:rPr>
            </w:pPr>
          </w:p>
        </w:tc>
        <w:tc>
          <w:tcPr>
            <w:tcW w:w="1010" w:type="dxa"/>
            <w:noWrap w:val="0"/>
            <w:vAlign w:val="center"/>
          </w:tcPr>
          <w:p>
            <w:pPr>
              <w:adjustRightInd w:val="0"/>
              <w:snapToGrid w:val="0"/>
              <w:spacing w:line="360" w:lineRule="exact"/>
              <w:ind w:left="13" w:hanging="12" w:hangingChars="6"/>
              <w:jc w:val="center"/>
              <w:rPr>
                <w:rFonts w:hint="eastAsia" w:ascii="宋体" w:hAnsi="宋体" w:cs="宋体"/>
                <w:snapToGrid w:val="0"/>
                <w:szCs w:val="21"/>
                <w:highlight w:val="none"/>
              </w:rPr>
            </w:pPr>
          </w:p>
        </w:tc>
        <w:tc>
          <w:tcPr>
            <w:tcW w:w="2765" w:type="dxa"/>
            <w:noWrap w:val="0"/>
            <w:vAlign w:val="center"/>
          </w:tcPr>
          <w:p>
            <w:pPr>
              <w:spacing w:line="360" w:lineRule="exact"/>
              <w:ind w:left="13" w:hanging="12" w:hangingChars="6"/>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exact"/>
          <w:jc w:val="center"/>
        </w:trPr>
        <w:tc>
          <w:tcPr>
            <w:tcW w:w="876" w:type="dxa"/>
            <w:noWrap w:val="0"/>
            <w:vAlign w:val="center"/>
          </w:tcPr>
          <w:p>
            <w:pPr>
              <w:spacing w:line="290" w:lineRule="exact"/>
              <w:ind w:left="13" w:hanging="12" w:hangingChars="6"/>
              <w:jc w:val="center"/>
              <w:rPr>
                <w:rFonts w:hint="eastAsia" w:ascii="宋体" w:hAnsi="宋体" w:cs="宋体"/>
                <w:snapToGrid w:val="0"/>
                <w:szCs w:val="21"/>
                <w:highlight w:val="none"/>
              </w:rPr>
            </w:pPr>
            <w:r>
              <w:rPr>
                <w:rFonts w:hint="eastAsia" w:ascii="宋体" w:hAnsi="宋体" w:cs="宋体"/>
                <w:highlight w:val="none"/>
              </w:rPr>
              <w:t>12</w:t>
            </w:r>
          </w:p>
        </w:tc>
        <w:tc>
          <w:tcPr>
            <w:tcW w:w="3896" w:type="dxa"/>
            <w:noWrap w:val="0"/>
            <w:vAlign w:val="center"/>
          </w:tcPr>
          <w:p>
            <w:pPr>
              <w:spacing w:line="290" w:lineRule="exact"/>
              <w:ind w:left="13" w:hanging="13" w:hangingChars="6"/>
              <w:jc w:val="center"/>
              <w:rPr>
                <w:rFonts w:hint="eastAsia" w:ascii="宋体" w:hAnsi="宋体" w:cs="宋体"/>
                <w:b/>
                <w:szCs w:val="21"/>
                <w:highlight w:val="none"/>
              </w:rPr>
            </w:pPr>
          </w:p>
        </w:tc>
        <w:tc>
          <w:tcPr>
            <w:tcW w:w="1120" w:type="dxa"/>
            <w:noWrap w:val="0"/>
            <w:vAlign w:val="center"/>
          </w:tcPr>
          <w:p>
            <w:pPr>
              <w:adjustRightInd w:val="0"/>
              <w:snapToGrid w:val="0"/>
              <w:spacing w:line="360" w:lineRule="exact"/>
              <w:ind w:left="13" w:hanging="12" w:hangingChars="6"/>
              <w:jc w:val="center"/>
              <w:rPr>
                <w:rFonts w:hint="eastAsia" w:ascii="宋体" w:hAnsi="宋体" w:cs="宋体"/>
                <w:szCs w:val="21"/>
                <w:highlight w:val="none"/>
              </w:rPr>
            </w:pPr>
          </w:p>
        </w:tc>
        <w:tc>
          <w:tcPr>
            <w:tcW w:w="1010" w:type="dxa"/>
            <w:noWrap w:val="0"/>
            <w:vAlign w:val="center"/>
          </w:tcPr>
          <w:p>
            <w:pPr>
              <w:adjustRightInd w:val="0"/>
              <w:snapToGrid w:val="0"/>
              <w:spacing w:line="360" w:lineRule="exact"/>
              <w:ind w:left="13" w:hanging="12" w:hangingChars="6"/>
              <w:jc w:val="center"/>
              <w:rPr>
                <w:rFonts w:hint="eastAsia" w:ascii="宋体" w:hAnsi="宋体" w:cs="宋体"/>
                <w:szCs w:val="21"/>
                <w:highlight w:val="none"/>
              </w:rPr>
            </w:pPr>
          </w:p>
        </w:tc>
        <w:tc>
          <w:tcPr>
            <w:tcW w:w="2765" w:type="dxa"/>
            <w:noWrap w:val="0"/>
            <w:vAlign w:val="center"/>
          </w:tcPr>
          <w:p>
            <w:pPr>
              <w:spacing w:line="360" w:lineRule="exact"/>
              <w:ind w:left="13" w:hanging="12" w:hangingChars="6"/>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exact"/>
          <w:jc w:val="center"/>
        </w:trPr>
        <w:tc>
          <w:tcPr>
            <w:tcW w:w="876" w:type="dxa"/>
            <w:noWrap w:val="0"/>
            <w:vAlign w:val="center"/>
          </w:tcPr>
          <w:p>
            <w:pPr>
              <w:spacing w:line="290" w:lineRule="exact"/>
              <w:ind w:left="14" w:hanging="14" w:hangingChars="6"/>
              <w:jc w:val="center"/>
              <w:rPr>
                <w:rFonts w:hint="eastAsia" w:ascii="宋体" w:hAnsi="宋体" w:cs="宋体"/>
                <w:b/>
                <w:sz w:val="24"/>
                <w:highlight w:val="none"/>
              </w:rPr>
            </w:pPr>
            <w:r>
              <w:rPr>
                <w:rFonts w:hint="eastAsia" w:ascii="宋体" w:hAnsi="宋体" w:cs="宋体"/>
                <w:b/>
                <w:sz w:val="24"/>
                <w:highlight w:val="none"/>
              </w:rPr>
              <w:t>…</w:t>
            </w:r>
          </w:p>
        </w:tc>
        <w:tc>
          <w:tcPr>
            <w:tcW w:w="3896" w:type="dxa"/>
            <w:noWrap w:val="0"/>
            <w:vAlign w:val="center"/>
          </w:tcPr>
          <w:p>
            <w:pPr>
              <w:spacing w:line="290" w:lineRule="exact"/>
              <w:ind w:left="13" w:hanging="13" w:hangingChars="6"/>
              <w:jc w:val="center"/>
              <w:rPr>
                <w:rFonts w:hint="eastAsia" w:ascii="宋体" w:hAnsi="宋体" w:cs="宋体"/>
                <w:b/>
                <w:szCs w:val="21"/>
                <w:highlight w:val="none"/>
              </w:rPr>
            </w:pPr>
          </w:p>
        </w:tc>
        <w:tc>
          <w:tcPr>
            <w:tcW w:w="1120" w:type="dxa"/>
            <w:noWrap w:val="0"/>
            <w:vAlign w:val="center"/>
          </w:tcPr>
          <w:p>
            <w:pPr>
              <w:adjustRightInd w:val="0"/>
              <w:snapToGrid w:val="0"/>
              <w:spacing w:line="360" w:lineRule="exact"/>
              <w:ind w:left="13" w:hanging="12" w:hangingChars="6"/>
              <w:jc w:val="center"/>
              <w:rPr>
                <w:rFonts w:hint="eastAsia" w:ascii="宋体" w:hAnsi="宋体" w:cs="宋体"/>
                <w:szCs w:val="21"/>
                <w:highlight w:val="none"/>
              </w:rPr>
            </w:pPr>
          </w:p>
        </w:tc>
        <w:tc>
          <w:tcPr>
            <w:tcW w:w="1010" w:type="dxa"/>
            <w:noWrap w:val="0"/>
            <w:vAlign w:val="center"/>
          </w:tcPr>
          <w:p>
            <w:pPr>
              <w:adjustRightInd w:val="0"/>
              <w:snapToGrid w:val="0"/>
              <w:spacing w:line="360" w:lineRule="exact"/>
              <w:ind w:left="13" w:hanging="12" w:hangingChars="6"/>
              <w:jc w:val="center"/>
              <w:rPr>
                <w:rFonts w:hint="eastAsia" w:ascii="宋体" w:hAnsi="宋体" w:cs="宋体"/>
                <w:szCs w:val="21"/>
                <w:highlight w:val="none"/>
              </w:rPr>
            </w:pPr>
          </w:p>
        </w:tc>
        <w:tc>
          <w:tcPr>
            <w:tcW w:w="2765" w:type="dxa"/>
            <w:noWrap w:val="0"/>
            <w:vAlign w:val="center"/>
          </w:tcPr>
          <w:p>
            <w:pPr>
              <w:spacing w:line="360" w:lineRule="exact"/>
              <w:ind w:left="13" w:hanging="12" w:hangingChars="6"/>
              <w:rPr>
                <w:rFonts w:hint="eastAsia" w:ascii="宋体" w:hAnsi="宋体" w:cs="宋体"/>
                <w:szCs w:val="21"/>
                <w:highlight w:val="none"/>
              </w:rPr>
            </w:pPr>
          </w:p>
        </w:tc>
      </w:tr>
    </w:tbl>
    <w:p>
      <w:pPr>
        <w:spacing w:line="400" w:lineRule="exact"/>
        <w:ind w:left="13" w:hanging="13" w:hangingChars="6"/>
        <w:rPr>
          <w:rFonts w:hint="eastAsia" w:ascii="宋体" w:hAnsi="宋体" w:cs="宋体"/>
          <w:b/>
          <w:highlight w:val="none"/>
        </w:rPr>
      </w:pPr>
      <w:r>
        <w:rPr>
          <w:rFonts w:hint="eastAsia" w:ascii="宋体" w:hAnsi="宋体" w:cs="宋体"/>
          <w:b/>
          <w:highlight w:val="none"/>
        </w:rPr>
        <w:t>注：1、“专家评分索引表”装订在商务技术文件</w:t>
      </w:r>
      <w:r>
        <w:rPr>
          <w:rFonts w:hint="eastAsia" w:ascii="宋体" w:hAnsi="宋体" w:cs="宋体"/>
          <w:b/>
          <w:szCs w:val="21"/>
          <w:highlight w:val="none"/>
        </w:rPr>
        <w:t>首页。投标人应结合本招标文件评分标准认真填制相关内容，以</w:t>
      </w:r>
      <w:r>
        <w:rPr>
          <w:rFonts w:hint="eastAsia" w:ascii="宋体" w:hAnsi="宋体" w:cs="宋体"/>
          <w:b/>
          <w:highlight w:val="none"/>
        </w:rPr>
        <w:t>及在投标文件中所对应的页码，如未提供，评委有权认为不具备或不符合，有可能影响</w:t>
      </w:r>
      <w:r>
        <w:rPr>
          <w:rFonts w:hint="eastAsia" w:ascii="宋体" w:hAnsi="宋体" w:cs="宋体"/>
          <w:b/>
          <w:szCs w:val="21"/>
          <w:highlight w:val="none"/>
        </w:rPr>
        <w:t>投标</w:t>
      </w:r>
      <w:r>
        <w:rPr>
          <w:rFonts w:hint="eastAsia" w:ascii="宋体" w:hAnsi="宋体" w:cs="宋体"/>
          <w:b/>
          <w:highlight w:val="none"/>
        </w:rPr>
        <w:t>投标人的得分。</w:t>
      </w:r>
    </w:p>
    <w:p>
      <w:pPr>
        <w:spacing w:line="400" w:lineRule="exact"/>
        <w:ind w:left="13" w:hanging="13" w:hangingChars="6"/>
        <w:rPr>
          <w:rFonts w:hint="eastAsia" w:ascii="宋体" w:hAnsi="宋体" w:cs="宋体"/>
          <w:b/>
          <w:highlight w:val="none"/>
        </w:rPr>
      </w:pPr>
      <w:r>
        <w:rPr>
          <w:rFonts w:hint="eastAsia" w:ascii="宋体" w:hAnsi="宋体" w:cs="宋体"/>
          <w:b/>
          <w:highlight w:val="none"/>
        </w:rPr>
        <w:t>2、如本表格不适合</w:t>
      </w:r>
      <w:r>
        <w:rPr>
          <w:rFonts w:hint="eastAsia" w:ascii="宋体" w:hAnsi="宋体" w:cs="宋体"/>
          <w:b/>
          <w:szCs w:val="21"/>
          <w:highlight w:val="none"/>
        </w:rPr>
        <w:t>投标</w:t>
      </w:r>
      <w:r>
        <w:rPr>
          <w:rFonts w:hint="eastAsia" w:ascii="宋体" w:hAnsi="宋体" w:cs="宋体"/>
          <w:b/>
          <w:highlight w:val="none"/>
        </w:rPr>
        <w:t>投标人的实际情况，可根据本表格式自行制表填写。</w:t>
      </w:r>
    </w:p>
    <w:p>
      <w:pPr>
        <w:spacing w:line="400" w:lineRule="exact"/>
        <w:rPr>
          <w:rFonts w:hint="eastAsia" w:ascii="宋体" w:hAnsi="宋体" w:cs="宋体"/>
          <w:b/>
          <w:highlight w:val="none"/>
        </w:rPr>
      </w:pPr>
    </w:p>
    <w:p>
      <w:pPr>
        <w:spacing w:line="400" w:lineRule="exact"/>
        <w:ind w:left="13" w:hanging="13" w:hangingChars="6"/>
        <w:rPr>
          <w:rFonts w:hint="eastAsia" w:ascii="宋体" w:hAnsi="宋体" w:cs="宋体"/>
          <w:b/>
          <w:highlight w:val="none"/>
        </w:rPr>
      </w:pPr>
      <w:r>
        <w:rPr>
          <w:rFonts w:hint="eastAsia" w:ascii="宋体" w:hAnsi="宋体" w:cs="宋体"/>
          <w:b/>
          <w:highlight w:val="none"/>
        </w:rPr>
        <w:t>投标供应商全称（公章）：</w:t>
      </w:r>
    </w:p>
    <w:p>
      <w:pPr>
        <w:spacing w:line="400" w:lineRule="exact"/>
        <w:ind w:left="13" w:hanging="13" w:hangingChars="6"/>
        <w:rPr>
          <w:rFonts w:hint="eastAsia" w:ascii="宋体" w:hAnsi="宋体" w:cs="宋体"/>
          <w:b/>
          <w:highlight w:val="none"/>
        </w:rPr>
      </w:pPr>
      <w:r>
        <w:rPr>
          <w:rFonts w:hint="eastAsia" w:ascii="宋体" w:hAnsi="宋体" w:cs="宋体"/>
          <w:b/>
          <w:highlight w:val="none"/>
        </w:rPr>
        <w:t>法定代表人(负责人）或授权代表（签字或盖章）：</w:t>
      </w:r>
    </w:p>
    <w:p>
      <w:pPr>
        <w:spacing w:line="400" w:lineRule="exact"/>
        <w:ind w:left="13" w:hanging="13" w:hangingChars="6"/>
        <w:rPr>
          <w:rFonts w:hint="eastAsia" w:ascii="宋体" w:hAnsi="宋体" w:cs="宋体"/>
          <w:b/>
          <w:highlight w:val="none"/>
        </w:rPr>
      </w:pPr>
      <w:r>
        <w:rPr>
          <w:rFonts w:hint="eastAsia" w:ascii="宋体" w:hAnsi="宋体" w:cs="宋体"/>
          <w:b/>
          <w:highlight w:val="none"/>
        </w:rPr>
        <w:t>日期：      年    月    日</w:t>
      </w:r>
    </w:p>
    <w:p>
      <w:pPr>
        <w:spacing w:after="312" w:afterLines="100" w:line="500" w:lineRule="exact"/>
        <w:rPr>
          <w:rFonts w:hint="eastAsia" w:ascii="黑体" w:hAnsi="黑体" w:eastAsia="黑体" w:cs="黑体"/>
          <w:b/>
          <w:sz w:val="32"/>
          <w:szCs w:val="32"/>
          <w:highlight w:val="none"/>
        </w:rPr>
      </w:pPr>
    </w:p>
    <w:p>
      <w:pPr>
        <w:spacing w:line="500" w:lineRule="exact"/>
        <w:rPr>
          <w:rFonts w:hint="eastAsia" w:ascii="黑体" w:hAnsi="黑体" w:eastAsia="黑体" w:cs="黑体"/>
          <w:b/>
          <w:sz w:val="10"/>
          <w:szCs w:val="10"/>
          <w:highlight w:val="none"/>
        </w:rPr>
      </w:pPr>
    </w:p>
    <w:p>
      <w:pPr>
        <w:spacing w:after="312" w:afterLines="100" w:line="500" w:lineRule="exact"/>
        <w:ind w:left="19" w:hanging="19" w:hangingChars="6"/>
        <w:jc w:val="center"/>
        <w:rPr>
          <w:rFonts w:hint="eastAsia" w:ascii="黑体" w:hAnsi="黑体" w:eastAsia="黑体" w:cs="黑体"/>
          <w:b/>
          <w:sz w:val="32"/>
          <w:szCs w:val="32"/>
          <w:highlight w:val="none"/>
        </w:rPr>
      </w:pPr>
    </w:p>
    <w:p>
      <w:pPr>
        <w:spacing w:after="312" w:afterLines="100" w:line="500" w:lineRule="exact"/>
        <w:ind w:left="19" w:hanging="19" w:hangingChars="6"/>
        <w:jc w:val="center"/>
        <w:rPr>
          <w:rFonts w:hint="eastAsia" w:ascii="黑体" w:hAnsi="黑体" w:eastAsia="黑体" w:cs="黑体"/>
          <w:b/>
          <w:sz w:val="32"/>
          <w:szCs w:val="32"/>
          <w:highlight w:val="none"/>
        </w:rPr>
      </w:pPr>
      <w:r>
        <w:rPr>
          <w:rFonts w:hint="eastAsia" w:ascii="黑体" w:hAnsi="黑体" w:eastAsia="黑体" w:cs="黑体"/>
          <w:b/>
          <w:sz w:val="32"/>
          <w:szCs w:val="32"/>
          <w:highlight w:val="none"/>
        </w:rPr>
        <w:br w:type="page"/>
      </w:r>
      <w:r>
        <w:rPr>
          <w:rFonts w:hint="eastAsia" w:ascii="黑体" w:hAnsi="黑体" w:eastAsia="黑体" w:cs="黑体"/>
          <w:b/>
          <w:sz w:val="32"/>
          <w:szCs w:val="32"/>
          <w:highlight w:val="none"/>
        </w:rPr>
        <w:t>附件5、投标声明书</w:t>
      </w:r>
    </w:p>
    <w:p>
      <w:pPr>
        <w:spacing w:after="312" w:afterLines="100" w:line="312" w:lineRule="auto"/>
        <w:ind w:left="14" w:hanging="14" w:hangingChars="6"/>
        <w:rPr>
          <w:rFonts w:hint="eastAsia" w:ascii="宋体" w:hAnsi="宋体" w:cs="宋体"/>
          <w:sz w:val="24"/>
          <w:highlight w:val="none"/>
        </w:rPr>
      </w:pPr>
      <w:r>
        <w:rPr>
          <w:rFonts w:hint="eastAsia" w:ascii="宋体" w:hAnsi="宋体" w:cs="宋体"/>
          <w:sz w:val="24"/>
          <w:highlight w:val="none"/>
          <w:u w:val="single"/>
        </w:rPr>
        <w:t xml:space="preserve"> 金华市梅溪流域管理中心 </w:t>
      </w:r>
      <w:r>
        <w:rPr>
          <w:rFonts w:hint="eastAsia" w:ascii="宋体" w:hAnsi="宋体" w:cs="宋体"/>
          <w:sz w:val="24"/>
          <w:highlight w:val="none"/>
        </w:rPr>
        <w:t>：</w:t>
      </w:r>
    </w:p>
    <w:p>
      <w:pPr>
        <w:wordWrap w:val="0"/>
        <w:snapToGrid w:val="0"/>
        <w:spacing w:line="312" w:lineRule="auto"/>
        <w:ind w:firstLine="480" w:firstLineChars="200"/>
        <w:rPr>
          <w:rFonts w:hint="eastAsia"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（投标供应商名称）系中华人民共和国合法企业，经营地址</w:t>
      </w:r>
      <w:r>
        <w:rPr>
          <w:rFonts w:hint="eastAsia" w:ascii="宋体" w:hAnsi="宋体" w:cs="宋体"/>
          <w:sz w:val="24"/>
          <w:highlight w:val="none"/>
          <w:u w:val="single"/>
        </w:rPr>
        <w:t xml:space="preserve">            </w:t>
      </w:r>
      <w:r>
        <w:rPr>
          <w:rFonts w:hint="eastAsia" w:ascii="宋体" w:hAnsi="宋体" w:cs="宋体"/>
          <w:sz w:val="24"/>
          <w:highlight w:val="none"/>
        </w:rPr>
        <w:t>。</w:t>
      </w:r>
    </w:p>
    <w:p>
      <w:pPr>
        <w:wordWrap w:val="0"/>
        <w:snapToGrid w:val="0"/>
        <w:spacing w:line="312" w:lineRule="auto"/>
        <w:ind w:firstLine="480" w:firstLineChars="200"/>
        <w:rPr>
          <w:rFonts w:hint="eastAsia" w:ascii="宋体" w:hAnsi="宋体" w:cs="宋体"/>
          <w:sz w:val="24"/>
          <w:highlight w:val="none"/>
        </w:rPr>
      </w:pPr>
      <w:r>
        <w:rPr>
          <w:rFonts w:hint="eastAsia" w:ascii="宋体" w:hAnsi="宋体" w:cs="宋体"/>
          <w:sz w:val="24"/>
          <w:highlight w:val="none"/>
        </w:rPr>
        <w:t>我</w:t>
      </w:r>
      <w:r>
        <w:rPr>
          <w:rFonts w:hint="eastAsia" w:ascii="宋体" w:hAnsi="宋体" w:cs="宋体"/>
          <w:sz w:val="24"/>
          <w:highlight w:val="none"/>
          <w:u w:val="single"/>
        </w:rPr>
        <w:t xml:space="preserve">           </w:t>
      </w:r>
      <w:r>
        <w:rPr>
          <w:rFonts w:hint="eastAsia" w:ascii="宋体" w:hAnsi="宋体" w:cs="宋体"/>
          <w:sz w:val="24"/>
          <w:highlight w:val="none"/>
        </w:rPr>
        <w:t>（姓名）系</w:t>
      </w:r>
      <w:r>
        <w:rPr>
          <w:rFonts w:hint="eastAsia" w:ascii="宋体" w:hAnsi="宋体" w:cs="宋体"/>
          <w:sz w:val="24"/>
          <w:highlight w:val="none"/>
          <w:u w:val="single"/>
        </w:rPr>
        <w:t xml:space="preserve">                 </w:t>
      </w:r>
      <w:r>
        <w:rPr>
          <w:rFonts w:hint="eastAsia" w:ascii="宋体" w:hAnsi="宋体" w:cs="宋体"/>
          <w:sz w:val="24"/>
          <w:highlight w:val="none"/>
        </w:rPr>
        <w:t>（投标供应商名称）的法定代表人，我公司自愿参加贵方组织的</w:t>
      </w:r>
      <w:r>
        <w:rPr>
          <w:rFonts w:hint="eastAsia" w:ascii="宋体" w:hAnsi="宋体" w:cs="宋体"/>
          <w:sz w:val="24"/>
          <w:highlight w:val="none"/>
          <w:u w:val="single"/>
        </w:rPr>
        <w:t xml:space="preserve"> 金华市安地灌区续建配套与节水改造项目（2021-2022年）调增项目灌溉节水宣传馆 </w:t>
      </w:r>
      <w:r>
        <w:rPr>
          <w:rFonts w:hint="eastAsia" w:ascii="宋体" w:hAnsi="宋体" w:cs="宋体"/>
          <w:sz w:val="24"/>
          <w:highlight w:val="none"/>
        </w:rPr>
        <w:t>（编号为ZJJS2023-ZFCG001）的投标，为此，我公司就本次投标有关事项郑重声明如下：</w:t>
      </w:r>
    </w:p>
    <w:p>
      <w:pPr>
        <w:snapToGrid w:val="0"/>
        <w:spacing w:line="312" w:lineRule="auto"/>
        <w:ind w:firstLine="480" w:firstLineChars="200"/>
        <w:rPr>
          <w:rFonts w:hint="eastAsia" w:ascii="宋体" w:hAnsi="宋体" w:cs="宋体"/>
          <w:sz w:val="24"/>
          <w:highlight w:val="none"/>
        </w:rPr>
      </w:pPr>
      <w:r>
        <w:rPr>
          <w:rFonts w:hint="eastAsia" w:ascii="宋体" w:hAnsi="宋体" w:cs="宋体"/>
          <w:sz w:val="24"/>
          <w:highlight w:val="none"/>
        </w:rPr>
        <w:t>1、我方向贵方提交的所有投标文件、资料都是准确的和真实的。</w:t>
      </w:r>
    </w:p>
    <w:p>
      <w:pPr>
        <w:snapToGrid w:val="0"/>
        <w:spacing w:line="312" w:lineRule="auto"/>
        <w:ind w:firstLine="480" w:firstLineChars="200"/>
        <w:rPr>
          <w:rFonts w:hint="eastAsia" w:ascii="宋体" w:hAnsi="宋体" w:cs="宋体"/>
          <w:sz w:val="24"/>
          <w:highlight w:val="none"/>
        </w:rPr>
      </w:pPr>
      <w:r>
        <w:rPr>
          <w:rFonts w:hint="eastAsia" w:ascii="宋体" w:hAnsi="宋体" w:cs="宋体"/>
          <w:sz w:val="24"/>
          <w:highlight w:val="none"/>
        </w:rPr>
        <w:t>2、我方不是采购人的附属机构；在获知本项目采购信息后，与采购人聘请的为此项目提供咨询服务的公司及其附属机构没有任何联系。</w:t>
      </w:r>
    </w:p>
    <w:p>
      <w:pPr>
        <w:snapToGrid w:val="0"/>
        <w:spacing w:line="312" w:lineRule="auto"/>
        <w:ind w:firstLine="480" w:firstLineChars="200"/>
        <w:rPr>
          <w:rFonts w:hint="eastAsia" w:ascii="宋体" w:hAnsi="宋体" w:cs="宋体"/>
          <w:sz w:val="24"/>
          <w:highlight w:val="none"/>
        </w:rPr>
      </w:pPr>
      <w:r>
        <w:rPr>
          <w:rFonts w:hint="eastAsia" w:ascii="宋体" w:hAnsi="宋体" w:cs="宋体"/>
          <w:sz w:val="24"/>
          <w:highlight w:val="none"/>
        </w:rPr>
        <w:t>3、我方同意此次采购项目招标文件中的各项内容，并同意提供按照贵方可能要求的与投标有关的一切数据或资料等。</w:t>
      </w:r>
    </w:p>
    <w:p>
      <w:pPr>
        <w:snapToGrid w:val="0"/>
        <w:spacing w:line="312" w:lineRule="auto"/>
        <w:ind w:firstLine="480" w:firstLineChars="200"/>
        <w:rPr>
          <w:rFonts w:ascii="宋体" w:hAnsi="宋体" w:cs="宋体"/>
          <w:sz w:val="24"/>
          <w:highlight w:val="none"/>
        </w:rPr>
      </w:pPr>
      <w:r>
        <w:rPr>
          <w:rFonts w:hint="eastAsia" w:ascii="宋体" w:hAnsi="宋体" w:cs="宋体"/>
          <w:sz w:val="24"/>
          <w:highlight w:val="none"/>
        </w:rPr>
        <w:t>4、我方及由本人担任法定代表人的其他机构最近三年内（以法院判决日期为准）被通报（包括被处罚、行贿犯罪）的违法行为有：</w:t>
      </w:r>
      <w:r>
        <w:rPr>
          <w:rFonts w:hint="eastAsia" w:ascii="宋体" w:hAnsi="宋体" w:cs="宋体"/>
          <w:sz w:val="24"/>
          <w:highlight w:val="none"/>
          <w:u w:val="single"/>
        </w:rPr>
        <w:t xml:space="preserve">                       </w:t>
      </w:r>
      <w:r>
        <w:rPr>
          <w:rFonts w:hint="eastAsia" w:ascii="宋体" w:hAnsi="宋体" w:cs="宋体"/>
          <w:sz w:val="24"/>
          <w:highlight w:val="none"/>
        </w:rPr>
        <w:t>。</w:t>
      </w:r>
    </w:p>
    <w:p>
      <w:pPr>
        <w:snapToGrid w:val="0"/>
        <w:spacing w:line="312" w:lineRule="auto"/>
        <w:ind w:firstLine="480" w:firstLineChars="200"/>
        <w:rPr>
          <w:rFonts w:ascii="宋体" w:hAnsi="宋体" w:cs="宋体"/>
          <w:sz w:val="24"/>
          <w:highlight w:val="none"/>
        </w:rPr>
      </w:pPr>
      <w:r>
        <w:rPr>
          <w:rFonts w:hint="eastAsia" w:ascii="宋体" w:hAnsi="宋体" w:cs="宋体"/>
          <w:sz w:val="24"/>
          <w:highlight w:val="none"/>
        </w:rPr>
        <w:t xml:space="preserve">5、我方在这次投标过程中和中标后，我们将严格遵守国家法律法规要求，并郑重声明： 不向项目有关人员及部门赠送礼金礼物、有价证券、回扣以及中介费、介绍费、咨询费等好处费；不为项目有关人员及部门报销应由你方单位或个人支付的费用；不向项目有关人员及部门提供有可能影响公正的宴请和健身娱乐等活动；不为项目有关人员及部门出国（境）、旅游等提供方便；不为项目有关人员个人装修住房、婚丧嫁娶、配偶子女工作安排等提供好处。 </w:t>
      </w:r>
    </w:p>
    <w:p>
      <w:pPr>
        <w:snapToGrid w:val="0"/>
        <w:spacing w:line="312" w:lineRule="auto"/>
        <w:ind w:firstLine="480" w:firstLineChars="200"/>
        <w:rPr>
          <w:rFonts w:hint="eastAsia" w:ascii="宋体" w:hAnsi="宋体" w:cs="宋体"/>
          <w:sz w:val="24"/>
          <w:highlight w:val="none"/>
        </w:rPr>
      </w:pPr>
      <w:r>
        <w:rPr>
          <w:rFonts w:hint="eastAsia" w:ascii="宋体" w:hAnsi="宋体" w:cs="宋体"/>
          <w:sz w:val="24"/>
          <w:highlight w:val="none"/>
        </w:rPr>
        <w:t>6、我方如有幸中标，保证按照投标文件的承诺与贵方签订合同，保证履行合同条款。</w:t>
      </w:r>
    </w:p>
    <w:p>
      <w:pPr>
        <w:snapToGrid w:val="0"/>
        <w:spacing w:after="156" w:afterLines="50" w:line="312" w:lineRule="auto"/>
        <w:ind w:firstLine="480" w:firstLineChars="200"/>
        <w:rPr>
          <w:rFonts w:ascii="仿宋_GB2312" w:hAnsi="Courier New" w:eastAsia="仿宋_GB2312"/>
          <w:sz w:val="24"/>
          <w:highlight w:val="none"/>
        </w:rPr>
      </w:pPr>
      <w:r>
        <w:rPr>
          <w:rFonts w:hint="eastAsia" w:ascii="宋体" w:hAnsi="宋体" w:cs="宋体"/>
          <w:sz w:val="24"/>
          <w:highlight w:val="none"/>
        </w:rPr>
        <w:t>7、以上声明事项如有虚假或隐瞒，贵方有权立即取消我方投标、中标资格，由此引起的相应损失均由我方承担，并不再寻求任何旨在减轻或免除法律责任的辩解。</w:t>
      </w:r>
    </w:p>
    <w:p>
      <w:pPr>
        <w:spacing w:line="400" w:lineRule="exact"/>
        <w:ind w:left="14" w:hanging="14" w:hangingChars="6"/>
        <w:jc w:val="left"/>
        <w:rPr>
          <w:rFonts w:hint="eastAsia" w:ascii="宋体" w:hAnsi="宋体" w:cs="宋体"/>
          <w:bCs/>
          <w:sz w:val="24"/>
          <w:szCs w:val="32"/>
          <w:highlight w:val="none"/>
        </w:rPr>
      </w:pPr>
    </w:p>
    <w:p>
      <w:pPr>
        <w:spacing w:line="400" w:lineRule="exact"/>
        <w:ind w:left="14" w:hanging="14" w:hangingChars="6"/>
        <w:jc w:val="left"/>
        <w:rPr>
          <w:rFonts w:hint="eastAsia" w:ascii="宋体" w:hAnsi="宋体" w:cs="宋体"/>
          <w:bCs/>
          <w:sz w:val="24"/>
          <w:szCs w:val="32"/>
          <w:highlight w:val="none"/>
        </w:rPr>
      </w:pPr>
      <w:r>
        <w:rPr>
          <w:rFonts w:hint="eastAsia" w:ascii="宋体" w:hAnsi="宋体" w:cs="宋体"/>
          <w:bCs/>
          <w:sz w:val="24"/>
          <w:szCs w:val="32"/>
          <w:highlight w:val="none"/>
        </w:rPr>
        <w:t>投标供应商全称（公章）：</w:t>
      </w:r>
    </w:p>
    <w:p>
      <w:pPr>
        <w:spacing w:line="400" w:lineRule="exact"/>
        <w:ind w:left="14" w:hanging="14" w:hangingChars="6"/>
        <w:jc w:val="left"/>
        <w:rPr>
          <w:rFonts w:hint="eastAsia" w:ascii="宋体" w:hAnsi="宋体" w:cs="宋体"/>
          <w:bCs/>
          <w:sz w:val="24"/>
          <w:szCs w:val="32"/>
          <w:highlight w:val="none"/>
        </w:rPr>
      </w:pPr>
      <w:r>
        <w:rPr>
          <w:rFonts w:hint="eastAsia" w:ascii="宋体" w:hAnsi="宋体" w:cs="宋体"/>
          <w:bCs/>
          <w:sz w:val="24"/>
          <w:szCs w:val="32"/>
          <w:highlight w:val="none"/>
        </w:rPr>
        <w:t>法定代表人(负责人）或授权代表（签字或盖章）：</w:t>
      </w:r>
    </w:p>
    <w:p>
      <w:pPr>
        <w:spacing w:line="400" w:lineRule="exact"/>
        <w:ind w:left="14" w:hanging="14" w:hangingChars="6"/>
        <w:jc w:val="left"/>
        <w:rPr>
          <w:rFonts w:hint="eastAsia" w:ascii="宋体" w:hAnsi="宋体" w:cs="宋体"/>
          <w:bCs/>
          <w:sz w:val="24"/>
          <w:szCs w:val="32"/>
          <w:highlight w:val="none"/>
        </w:rPr>
      </w:pPr>
      <w:r>
        <w:rPr>
          <w:rFonts w:hint="eastAsia" w:ascii="宋体" w:hAnsi="宋体" w:cs="宋体"/>
          <w:bCs/>
          <w:sz w:val="24"/>
          <w:szCs w:val="32"/>
          <w:highlight w:val="none"/>
        </w:rPr>
        <w:t>日期：      年    月    日</w:t>
      </w:r>
    </w:p>
    <w:p>
      <w:pPr>
        <w:adjustRightInd w:val="0"/>
        <w:snapToGrid w:val="0"/>
        <w:spacing w:line="480" w:lineRule="auto"/>
        <w:ind w:firstLine="480" w:firstLineChars="200"/>
        <w:jc w:val="right"/>
        <w:rPr>
          <w:rFonts w:ascii="宋体" w:hAnsi="宋体" w:cs="仿宋_GB2312"/>
          <w:kern w:val="0"/>
          <w:sz w:val="24"/>
          <w:highlight w:val="none"/>
          <w:lang w:val="zh-CN"/>
        </w:rPr>
      </w:pPr>
    </w:p>
    <w:p>
      <w:pPr>
        <w:spacing w:after="312" w:afterLines="100" w:line="500" w:lineRule="exact"/>
        <w:rPr>
          <w:rFonts w:hint="eastAsia" w:ascii="黑体" w:hAnsi="黑体" w:eastAsia="黑体" w:cs="黑体"/>
          <w:b/>
          <w:sz w:val="32"/>
          <w:szCs w:val="32"/>
          <w:highlight w:val="none"/>
        </w:rPr>
      </w:pPr>
    </w:p>
    <w:p>
      <w:pPr>
        <w:spacing w:after="312" w:afterLines="100" w:line="500" w:lineRule="exact"/>
        <w:ind w:left="19" w:hanging="19" w:hangingChars="6"/>
        <w:jc w:val="center"/>
        <w:rPr>
          <w:rFonts w:hint="eastAsia" w:ascii="黑体" w:hAnsi="黑体" w:eastAsia="黑体" w:cs="黑体"/>
          <w:b/>
          <w:sz w:val="32"/>
          <w:szCs w:val="32"/>
          <w:highlight w:val="none"/>
        </w:rPr>
      </w:pPr>
      <w:r>
        <w:rPr>
          <w:rFonts w:hint="eastAsia" w:ascii="黑体" w:hAnsi="黑体" w:eastAsia="黑体" w:cs="黑体"/>
          <w:b/>
          <w:sz w:val="32"/>
          <w:szCs w:val="32"/>
          <w:highlight w:val="none"/>
        </w:rPr>
        <w:t>附件6、服务/商务条款偏离表</w:t>
      </w:r>
    </w:p>
    <w:tbl>
      <w:tblPr>
        <w:tblStyle w:val="40"/>
        <w:tblW w:w="96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2889"/>
        <w:gridCol w:w="3166"/>
        <w:gridCol w:w="2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0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3" w:hanging="13" w:hangingChars="6"/>
              <w:jc w:val="center"/>
              <w:rPr>
                <w:rFonts w:hint="eastAsia" w:ascii="宋体" w:hAnsi="宋体" w:cs="宋体"/>
                <w:b/>
                <w:bCs/>
                <w:highlight w:val="none"/>
              </w:rPr>
            </w:pPr>
            <w:r>
              <w:rPr>
                <w:rFonts w:hint="eastAsia" w:ascii="宋体" w:hAnsi="宋体" w:cs="宋体"/>
                <w:b/>
                <w:bCs/>
                <w:highlight w:val="none"/>
              </w:rPr>
              <w:t>序 号</w:t>
            </w:r>
          </w:p>
        </w:tc>
        <w:tc>
          <w:tcPr>
            <w:tcW w:w="2889" w:type="dxa"/>
            <w:tcBorders>
              <w:top w:val="single" w:color="auto" w:sz="4" w:space="0"/>
              <w:left w:val="single" w:color="auto" w:sz="4" w:space="0"/>
              <w:bottom w:val="single" w:color="auto" w:sz="4" w:space="0"/>
              <w:right w:val="single" w:color="auto" w:sz="4" w:space="0"/>
            </w:tcBorders>
            <w:noWrap w:val="0"/>
            <w:vAlign w:val="center"/>
          </w:tcPr>
          <w:p>
            <w:pPr>
              <w:ind w:left="13" w:hanging="13" w:hangingChars="6"/>
              <w:jc w:val="center"/>
              <w:rPr>
                <w:rFonts w:hint="eastAsia" w:ascii="宋体" w:hAnsi="宋体" w:cs="宋体"/>
                <w:b/>
                <w:bCs/>
                <w:highlight w:val="none"/>
              </w:rPr>
            </w:pPr>
            <w:r>
              <w:rPr>
                <w:rFonts w:hint="eastAsia" w:ascii="宋体" w:hAnsi="宋体" w:cs="宋体"/>
                <w:b/>
                <w:bCs/>
                <w:highlight w:val="none"/>
              </w:rPr>
              <w:t>招标文件规范要求</w:t>
            </w:r>
          </w:p>
        </w:tc>
        <w:tc>
          <w:tcPr>
            <w:tcW w:w="3166" w:type="dxa"/>
            <w:tcBorders>
              <w:top w:val="single" w:color="auto" w:sz="4" w:space="0"/>
              <w:left w:val="single" w:color="auto" w:sz="4" w:space="0"/>
              <w:bottom w:val="single" w:color="auto" w:sz="4" w:space="0"/>
              <w:right w:val="single" w:color="auto" w:sz="4" w:space="0"/>
            </w:tcBorders>
            <w:noWrap w:val="0"/>
            <w:vAlign w:val="center"/>
          </w:tcPr>
          <w:p>
            <w:pPr>
              <w:ind w:left="13" w:hanging="13" w:hangingChars="6"/>
              <w:jc w:val="center"/>
              <w:rPr>
                <w:rFonts w:ascii="宋体" w:hAnsi="宋体" w:cs="宋体"/>
                <w:b/>
                <w:bCs/>
                <w:highlight w:val="none"/>
              </w:rPr>
            </w:pPr>
            <w:r>
              <w:rPr>
                <w:rFonts w:hint="eastAsia" w:ascii="宋体" w:hAnsi="宋体" w:cs="宋体"/>
                <w:b/>
                <w:bCs/>
                <w:highlight w:val="none"/>
              </w:rPr>
              <w:t>投标人的承诺或响应说明</w:t>
            </w:r>
          </w:p>
        </w:tc>
        <w:tc>
          <w:tcPr>
            <w:tcW w:w="25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3" w:hanging="13" w:hangingChars="6"/>
              <w:jc w:val="center"/>
              <w:rPr>
                <w:rFonts w:ascii="宋体" w:hAnsi="宋体" w:cs="宋体"/>
                <w:b/>
                <w:bCs/>
                <w:highlight w:val="none"/>
              </w:rPr>
            </w:pPr>
            <w:r>
              <w:rPr>
                <w:rFonts w:hint="eastAsia" w:ascii="宋体" w:hAnsi="宋体" w:cs="宋体"/>
                <w:b/>
                <w:bCs/>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10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3" w:hanging="12" w:hangingChars="6"/>
              <w:jc w:val="center"/>
              <w:rPr>
                <w:rFonts w:hint="eastAsia" w:ascii="宋体" w:hAnsi="宋体" w:cs="宋体"/>
                <w:highlight w:val="none"/>
              </w:rPr>
            </w:pPr>
          </w:p>
        </w:tc>
        <w:tc>
          <w:tcPr>
            <w:tcW w:w="288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3" w:hanging="12" w:hangingChars="6"/>
              <w:jc w:val="center"/>
              <w:rPr>
                <w:rFonts w:hint="eastAsia" w:ascii="宋体" w:hAnsi="宋体" w:cs="宋体"/>
                <w:highlight w:val="none"/>
              </w:rPr>
            </w:pPr>
          </w:p>
        </w:tc>
        <w:tc>
          <w:tcPr>
            <w:tcW w:w="316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3" w:hanging="12" w:hangingChars="6"/>
              <w:rPr>
                <w:rFonts w:hint="eastAsia" w:ascii="宋体" w:hAnsi="宋体" w:cs="宋体"/>
                <w:highlight w:val="none"/>
              </w:rPr>
            </w:pPr>
          </w:p>
        </w:tc>
        <w:tc>
          <w:tcPr>
            <w:tcW w:w="254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3" w:hanging="12" w:hangingChars="6"/>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3" w:hanging="12" w:hangingChars="6"/>
              <w:jc w:val="center"/>
              <w:rPr>
                <w:rFonts w:hint="eastAsia" w:ascii="宋体" w:hAnsi="宋体" w:cs="宋体"/>
                <w:highlight w:val="none"/>
              </w:rPr>
            </w:pPr>
          </w:p>
        </w:tc>
        <w:tc>
          <w:tcPr>
            <w:tcW w:w="288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3" w:hanging="12" w:hangingChars="6"/>
              <w:jc w:val="center"/>
              <w:rPr>
                <w:rFonts w:hint="eastAsia" w:ascii="宋体" w:hAnsi="宋体" w:cs="宋体"/>
                <w:highlight w:val="none"/>
              </w:rPr>
            </w:pPr>
          </w:p>
        </w:tc>
        <w:tc>
          <w:tcPr>
            <w:tcW w:w="316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3" w:hanging="12" w:hangingChars="6"/>
              <w:rPr>
                <w:rFonts w:hint="eastAsia" w:ascii="宋体" w:hAnsi="宋体" w:cs="宋体"/>
                <w:highlight w:val="none"/>
              </w:rPr>
            </w:pPr>
          </w:p>
        </w:tc>
        <w:tc>
          <w:tcPr>
            <w:tcW w:w="254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3" w:hanging="12" w:hangingChars="6"/>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3" w:hanging="12" w:hangingChars="6"/>
              <w:jc w:val="center"/>
              <w:rPr>
                <w:rFonts w:hint="eastAsia" w:ascii="宋体" w:hAnsi="宋体" w:cs="宋体"/>
                <w:highlight w:val="none"/>
              </w:rPr>
            </w:pPr>
          </w:p>
        </w:tc>
        <w:tc>
          <w:tcPr>
            <w:tcW w:w="288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3" w:hanging="12" w:hangingChars="6"/>
              <w:rPr>
                <w:rFonts w:hint="eastAsia" w:ascii="宋体" w:hAnsi="宋体" w:cs="宋体"/>
                <w:highlight w:val="none"/>
              </w:rPr>
            </w:pPr>
          </w:p>
        </w:tc>
        <w:tc>
          <w:tcPr>
            <w:tcW w:w="316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3" w:hanging="12" w:hangingChars="6"/>
              <w:rPr>
                <w:rFonts w:hint="eastAsia" w:ascii="宋体" w:hAnsi="宋体" w:cs="宋体"/>
                <w:highlight w:val="none"/>
              </w:rPr>
            </w:pPr>
          </w:p>
        </w:tc>
        <w:tc>
          <w:tcPr>
            <w:tcW w:w="254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3" w:hanging="12" w:hangingChars="6"/>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3" w:hanging="12" w:hangingChars="6"/>
              <w:jc w:val="center"/>
              <w:rPr>
                <w:rFonts w:hint="eastAsia" w:ascii="宋体" w:hAnsi="宋体" w:cs="宋体"/>
                <w:highlight w:val="none"/>
              </w:rPr>
            </w:pPr>
          </w:p>
        </w:tc>
        <w:tc>
          <w:tcPr>
            <w:tcW w:w="288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3" w:hanging="12" w:hangingChars="6"/>
              <w:rPr>
                <w:rFonts w:hint="eastAsia" w:ascii="宋体" w:hAnsi="宋体" w:cs="宋体"/>
                <w:highlight w:val="none"/>
              </w:rPr>
            </w:pPr>
          </w:p>
        </w:tc>
        <w:tc>
          <w:tcPr>
            <w:tcW w:w="316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3" w:hanging="12" w:hangingChars="6"/>
              <w:rPr>
                <w:rFonts w:hint="eastAsia" w:ascii="宋体" w:hAnsi="宋体" w:cs="宋体"/>
                <w:highlight w:val="none"/>
              </w:rPr>
            </w:pPr>
          </w:p>
        </w:tc>
        <w:tc>
          <w:tcPr>
            <w:tcW w:w="254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3" w:hanging="12" w:hangingChars="6"/>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3" w:hanging="12" w:hangingChars="6"/>
              <w:jc w:val="center"/>
              <w:rPr>
                <w:rFonts w:hint="eastAsia" w:ascii="宋体" w:hAnsi="宋体" w:cs="宋体"/>
                <w:highlight w:val="none"/>
              </w:rPr>
            </w:pPr>
          </w:p>
        </w:tc>
        <w:tc>
          <w:tcPr>
            <w:tcW w:w="288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3" w:hanging="12" w:hangingChars="6"/>
              <w:rPr>
                <w:rFonts w:hint="eastAsia" w:ascii="宋体" w:hAnsi="宋体" w:cs="宋体"/>
                <w:highlight w:val="none"/>
              </w:rPr>
            </w:pPr>
          </w:p>
        </w:tc>
        <w:tc>
          <w:tcPr>
            <w:tcW w:w="316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3" w:hanging="12" w:hangingChars="6"/>
              <w:rPr>
                <w:rFonts w:hint="eastAsia" w:ascii="宋体" w:hAnsi="宋体" w:cs="宋体"/>
                <w:highlight w:val="none"/>
              </w:rPr>
            </w:pPr>
          </w:p>
        </w:tc>
        <w:tc>
          <w:tcPr>
            <w:tcW w:w="254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3" w:hanging="12" w:hangingChars="6"/>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3" w:hanging="12" w:hangingChars="6"/>
              <w:jc w:val="center"/>
              <w:rPr>
                <w:rFonts w:hint="eastAsia" w:ascii="宋体" w:hAnsi="宋体" w:cs="宋体"/>
                <w:highlight w:val="none"/>
              </w:rPr>
            </w:pPr>
          </w:p>
        </w:tc>
        <w:tc>
          <w:tcPr>
            <w:tcW w:w="288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3" w:hanging="12" w:hangingChars="6"/>
              <w:rPr>
                <w:rFonts w:hint="eastAsia" w:ascii="宋体" w:hAnsi="宋体" w:cs="宋体"/>
                <w:highlight w:val="none"/>
              </w:rPr>
            </w:pPr>
          </w:p>
        </w:tc>
        <w:tc>
          <w:tcPr>
            <w:tcW w:w="316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3" w:hanging="12" w:hangingChars="6"/>
              <w:rPr>
                <w:rFonts w:hint="eastAsia" w:ascii="宋体" w:hAnsi="宋体" w:cs="宋体"/>
                <w:highlight w:val="none"/>
              </w:rPr>
            </w:pPr>
          </w:p>
        </w:tc>
        <w:tc>
          <w:tcPr>
            <w:tcW w:w="254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3" w:hanging="12" w:hangingChars="6"/>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3" w:hanging="12" w:hangingChars="6"/>
              <w:jc w:val="center"/>
              <w:rPr>
                <w:rFonts w:hint="eastAsia" w:ascii="宋体" w:hAnsi="宋体" w:cs="宋体"/>
                <w:highlight w:val="none"/>
              </w:rPr>
            </w:pPr>
          </w:p>
        </w:tc>
        <w:tc>
          <w:tcPr>
            <w:tcW w:w="288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3" w:hanging="12" w:hangingChars="6"/>
              <w:rPr>
                <w:rFonts w:hint="eastAsia" w:ascii="宋体" w:hAnsi="宋体" w:cs="宋体"/>
                <w:highlight w:val="none"/>
              </w:rPr>
            </w:pPr>
          </w:p>
        </w:tc>
        <w:tc>
          <w:tcPr>
            <w:tcW w:w="316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3" w:hanging="12" w:hangingChars="6"/>
              <w:rPr>
                <w:rFonts w:hint="eastAsia" w:ascii="宋体" w:hAnsi="宋体" w:cs="宋体"/>
                <w:highlight w:val="none"/>
              </w:rPr>
            </w:pPr>
          </w:p>
        </w:tc>
        <w:tc>
          <w:tcPr>
            <w:tcW w:w="254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3" w:hanging="12" w:hangingChars="6"/>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3" w:hanging="12" w:hangingChars="6"/>
              <w:jc w:val="center"/>
              <w:rPr>
                <w:rFonts w:hint="eastAsia" w:ascii="宋体" w:hAnsi="宋体" w:cs="宋体"/>
                <w:highlight w:val="none"/>
              </w:rPr>
            </w:pPr>
          </w:p>
        </w:tc>
        <w:tc>
          <w:tcPr>
            <w:tcW w:w="288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3" w:hanging="12" w:hangingChars="6"/>
              <w:rPr>
                <w:rFonts w:hint="eastAsia" w:ascii="宋体" w:hAnsi="宋体" w:cs="宋体"/>
                <w:highlight w:val="none"/>
              </w:rPr>
            </w:pPr>
          </w:p>
        </w:tc>
        <w:tc>
          <w:tcPr>
            <w:tcW w:w="316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3" w:hanging="12" w:hangingChars="6"/>
              <w:rPr>
                <w:rFonts w:hint="eastAsia" w:ascii="宋体" w:hAnsi="宋体" w:cs="宋体"/>
                <w:highlight w:val="none"/>
              </w:rPr>
            </w:pPr>
          </w:p>
        </w:tc>
        <w:tc>
          <w:tcPr>
            <w:tcW w:w="254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3" w:hanging="12" w:hangingChars="6"/>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2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3" w:hanging="12" w:hangingChars="6"/>
              <w:rPr>
                <w:rFonts w:hint="eastAsia" w:ascii="宋体" w:hAnsi="宋体" w:cs="宋体"/>
                <w:highlight w:val="none"/>
              </w:rPr>
            </w:pPr>
          </w:p>
        </w:tc>
        <w:tc>
          <w:tcPr>
            <w:tcW w:w="288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3" w:hanging="12" w:hangingChars="6"/>
              <w:rPr>
                <w:rFonts w:hint="eastAsia" w:ascii="宋体" w:hAnsi="宋体" w:cs="宋体"/>
                <w:highlight w:val="none"/>
              </w:rPr>
            </w:pPr>
          </w:p>
        </w:tc>
        <w:tc>
          <w:tcPr>
            <w:tcW w:w="316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3" w:hanging="12" w:hangingChars="6"/>
              <w:rPr>
                <w:rFonts w:hint="eastAsia" w:ascii="宋体" w:hAnsi="宋体" w:cs="宋体"/>
                <w:highlight w:val="none"/>
              </w:rPr>
            </w:pPr>
          </w:p>
        </w:tc>
        <w:tc>
          <w:tcPr>
            <w:tcW w:w="254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3" w:hanging="12" w:hangingChars="6"/>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2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3" w:hanging="12" w:hangingChars="6"/>
              <w:rPr>
                <w:rFonts w:hint="eastAsia" w:ascii="宋体" w:hAnsi="宋体" w:cs="宋体"/>
                <w:highlight w:val="none"/>
              </w:rPr>
            </w:pPr>
          </w:p>
        </w:tc>
        <w:tc>
          <w:tcPr>
            <w:tcW w:w="288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3" w:hanging="12" w:hangingChars="6"/>
              <w:rPr>
                <w:rFonts w:hint="eastAsia" w:ascii="宋体" w:hAnsi="宋体" w:cs="宋体"/>
                <w:highlight w:val="none"/>
              </w:rPr>
            </w:pPr>
          </w:p>
        </w:tc>
        <w:tc>
          <w:tcPr>
            <w:tcW w:w="316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3" w:hanging="12" w:hangingChars="6"/>
              <w:rPr>
                <w:rFonts w:hint="eastAsia" w:ascii="宋体" w:hAnsi="宋体" w:cs="宋体"/>
                <w:highlight w:val="none"/>
              </w:rPr>
            </w:pPr>
          </w:p>
        </w:tc>
        <w:tc>
          <w:tcPr>
            <w:tcW w:w="254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3" w:hanging="12" w:hangingChars="6"/>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2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3" w:hanging="12" w:hangingChars="6"/>
              <w:rPr>
                <w:rFonts w:hint="eastAsia" w:ascii="宋体" w:hAnsi="宋体" w:cs="宋体"/>
                <w:highlight w:val="none"/>
              </w:rPr>
            </w:pPr>
          </w:p>
        </w:tc>
        <w:tc>
          <w:tcPr>
            <w:tcW w:w="288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3" w:hanging="12" w:hangingChars="6"/>
              <w:rPr>
                <w:rFonts w:hint="eastAsia" w:ascii="宋体" w:hAnsi="宋体" w:cs="宋体"/>
                <w:highlight w:val="none"/>
              </w:rPr>
            </w:pPr>
          </w:p>
        </w:tc>
        <w:tc>
          <w:tcPr>
            <w:tcW w:w="316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3" w:hanging="12" w:hangingChars="6"/>
              <w:rPr>
                <w:rFonts w:hint="eastAsia" w:ascii="宋体" w:hAnsi="宋体" w:cs="宋体"/>
                <w:highlight w:val="none"/>
              </w:rPr>
            </w:pPr>
          </w:p>
        </w:tc>
        <w:tc>
          <w:tcPr>
            <w:tcW w:w="254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3" w:hanging="12" w:hangingChars="6"/>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2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3" w:hanging="12" w:hangingChars="6"/>
              <w:rPr>
                <w:rFonts w:hint="eastAsia" w:ascii="宋体" w:hAnsi="宋体" w:cs="宋体"/>
                <w:highlight w:val="none"/>
              </w:rPr>
            </w:pPr>
          </w:p>
        </w:tc>
        <w:tc>
          <w:tcPr>
            <w:tcW w:w="288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3" w:hanging="12" w:hangingChars="6"/>
              <w:rPr>
                <w:rFonts w:hint="eastAsia" w:ascii="宋体" w:hAnsi="宋体" w:cs="宋体"/>
                <w:highlight w:val="none"/>
              </w:rPr>
            </w:pPr>
          </w:p>
        </w:tc>
        <w:tc>
          <w:tcPr>
            <w:tcW w:w="316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3" w:hanging="12" w:hangingChars="6"/>
              <w:rPr>
                <w:rFonts w:hint="eastAsia" w:ascii="宋体" w:hAnsi="宋体" w:cs="宋体"/>
                <w:highlight w:val="none"/>
              </w:rPr>
            </w:pPr>
          </w:p>
        </w:tc>
        <w:tc>
          <w:tcPr>
            <w:tcW w:w="254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3" w:hanging="12" w:hangingChars="6"/>
              <w:rPr>
                <w:rFonts w:hint="eastAsia" w:ascii="宋体" w:hAnsi="宋体" w:cs="宋体"/>
                <w:highlight w:val="none"/>
              </w:rPr>
            </w:pPr>
          </w:p>
        </w:tc>
      </w:tr>
    </w:tbl>
    <w:p>
      <w:pPr>
        <w:spacing w:line="360" w:lineRule="auto"/>
        <w:ind w:left="13" w:hanging="13" w:hangingChars="6"/>
        <w:rPr>
          <w:rFonts w:hint="eastAsia" w:ascii="宋体" w:hAnsi="宋体" w:cs="宋体"/>
          <w:b/>
          <w:highlight w:val="none"/>
        </w:rPr>
      </w:pPr>
      <w:r>
        <w:rPr>
          <w:rFonts w:hint="eastAsia" w:ascii="宋体" w:hAnsi="宋体" w:cs="宋体"/>
          <w:b/>
          <w:highlight w:val="none"/>
        </w:rPr>
        <w:t>注：1、招标文件规范要求按第四章“招标内容及需求”条款逐条填写，针对招标文件规范要求中所列的内容逐一在上表投标人的承诺或响应说明中明确答复或承诺，如有偏离的，须在本表偏离情况中列明（填写无偏离或正偏离或负偏离），如供应商未在本表中列出偏离情况说明，即使其在投标文件的其他部分说明与招标文件要求有所不同或回避不答，亦视为完全符合招标文件中所要求的最佳值并写入合同。若中标供应商在定标及合同签订前，以上述事项为借口而不履行合同签订手续及执行合同，则视作其放弃中标资格。</w:t>
      </w:r>
    </w:p>
    <w:p>
      <w:pPr>
        <w:spacing w:line="360" w:lineRule="auto"/>
        <w:ind w:left="13" w:hanging="13" w:hangingChars="6"/>
        <w:rPr>
          <w:rFonts w:hint="eastAsia" w:ascii="宋体" w:hAnsi="宋体" w:cs="宋体"/>
          <w:b/>
          <w:highlight w:val="none"/>
        </w:rPr>
      </w:pPr>
      <w:r>
        <w:rPr>
          <w:rFonts w:hint="eastAsia" w:ascii="宋体" w:hAnsi="宋体" w:cs="宋体"/>
          <w:b/>
          <w:highlight w:val="none"/>
        </w:rPr>
        <w:t>2、此表可在不改变格式的情况下自行制作。</w:t>
      </w:r>
    </w:p>
    <w:p>
      <w:pPr>
        <w:spacing w:line="360" w:lineRule="auto"/>
        <w:ind w:left="13" w:hanging="12" w:hangingChars="6"/>
        <w:rPr>
          <w:rFonts w:hint="eastAsia" w:ascii="宋体" w:hAnsi="宋体" w:cs="宋体"/>
          <w:highlight w:val="none"/>
        </w:rPr>
      </w:pPr>
      <w:r>
        <w:rPr>
          <w:rFonts w:hint="eastAsia" w:ascii="宋体" w:hAnsi="宋体" w:cs="宋体"/>
          <w:highlight w:val="none"/>
        </w:rPr>
        <w:t xml:space="preserve">                                           </w:t>
      </w:r>
    </w:p>
    <w:p>
      <w:pPr>
        <w:spacing w:line="360" w:lineRule="auto"/>
        <w:ind w:left="13" w:hanging="13" w:hangingChars="6"/>
        <w:rPr>
          <w:rFonts w:hint="eastAsia" w:ascii="宋体" w:hAnsi="宋体" w:cs="宋体"/>
          <w:b/>
          <w:highlight w:val="none"/>
        </w:rPr>
      </w:pPr>
      <w:r>
        <w:rPr>
          <w:rFonts w:hint="eastAsia" w:ascii="宋体" w:hAnsi="宋体" w:cs="宋体"/>
          <w:b/>
          <w:highlight w:val="none"/>
        </w:rPr>
        <w:t>投标供应商全称（公章）：</w:t>
      </w:r>
    </w:p>
    <w:p>
      <w:pPr>
        <w:spacing w:line="360" w:lineRule="auto"/>
        <w:ind w:left="13" w:hanging="13" w:hangingChars="6"/>
        <w:rPr>
          <w:rFonts w:hint="eastAsia" w:ascii="宋体" w:hAnsi="宋体" w:cs="宋体"/>
          <w:b/>
          <w:highlight w:val="none"/>
        </w:rPr>
      </w:pPr>
      <w:r>
        <w:rPr>
          <w:rFonts w:hint="eastAsia" w:ascii="宋体" w:hAnsi="宋体" w:cs="宋体"/>
          <w:b/>
          <w:highlight w:val="none"/>
        </w:rPr>
        <w:t>法定代表人(负责人）或授权代表（签字或盖章）：</w:t>
      </w:r>
    </w:p>
    <w:p>
      <w:pPr>
        <w:spacing w:line="360" w:lineRule="auto"/>
        <w:ind w:left="13" w:hanging="13" w:hangingChars="6"/>
        <w:rPr>
          <w:rFonts w:hint="eastAsia" w:ascii="宋体" w:hAnsi="宋体" w:cs="宋体"/>
          <w:b/>
          <w:highlight w:val="none"/>
        </w:rPr>
      </w:pPr>
      <w:r>
        <w:rPr>
          <w:rFonts w:hint="eastAsia" w:ascii="宋体" w:hAnsi="宋体" w:cs="宋体"/>
          <w:b/>
          <w:highlight w:val="none"/>
        </w:rPr>
        <w:t>日期：      年    月    日</w:t>
      </w:r>
    </w:p>
    <w:p>
      <w:pPr>
        <w:adjustRightInd w:val="0"/>
        <w:snapToGrid w:val="0"/>
        <w:spacing w:after="156" w:afterLines="50" w:line="360" w:lineRule="auto"/>
        <w:rPr>
          <w:rFonts w:hint="eastAsia" w:ascii="黑体" w:hAnsi="黑体" w:eastAsia="黑体" w:cs="黑体"/>
          <w:b/>
          <w:sz w:val="32"/>
          <w:szCs w:val="32"/>
          <w:highlight w:val="none"/>
        </w:rPr>
      </w:pPr>
    </w:p>
    <w:p>
      <w:pPr>
        <w:spacing w:line="500" w:lineRule="exact"/>
        <w:rPr>
          <w:rFonts w:hint="eastAsia" w:ascii="黑体" w:hAnsi="黑体" w:eastAsia="黑体" w:cs="黑体"/>
          <w:b/>
          <w:sz w:val="32"/>
          <w:szCs w:val="32"/>
          <w:highlight w:val="none"/>
        </w:rPr>
      </w:pPr>
    </w:p>
    <w:p>
      <w:pPr>
        <w:spacing w:after="312" w:afterLines="100" w:line="500" w:lineRule="exact"/>
        <w:ind w:left="19" w:hanging="19" w:hangingChars="6"/>
        <w:jc w:val="center"/>
        <w:rPr>
          <w:rFonts w:hint="eastAsia" w:ascii="黑体" w:hAnsi="黑体" w:eastAsia="黑体" w:cs="黑体"/>
          <w:b/>
          <w:sz w:val="32"/>
          <w:szCs w:val="32"/>
          <w:highlight w:val="none"/>
        </w:rPr>
      </w:pPr>
      <w:r>
        <w:rPr>
          <w:rFonts w:hint="eastAsia" w:ascii="黑体" w:hAnsi="黑体" w:eastAsia="黑体" w:cs="黑体"/>
          <w:b/>
          <w:sz w:val="32"/>
          <w:szCs w:val="32"/>
          <w:highlight w:val="none"/>
        </w:rPr>
        <w:br w:type="page"/>
      </w:r>
      <w:r>
        <w:rPr>
          <w:rFonts w:hint="eastAsia" w:ascii="黑体" w:hAnsi="黑体" w:eastAsia="黑体" w:cs="黑体"/>
          <w:b/>
          <w:sz w:val="32"/>
          <w:szCs w:val="32"/>
          <w:highlight w:val="none"/>
        </w:rPr>
        <w:t>附件8、2018年 1 月至今投标人完成的同类项目业绩</w:t>
      </w:r>
    </w:p>
    <w:tbl>
      <w:tblPr>
        <w:tblStyle w:val="40"/>
        <w:tblW w:w="0" w:type="auto"/>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149"/>
        <w:gridCol w:w="1421"/>
        <w:gridCol w:w="1066"/>
        <w:gridCol w:w="1632"/>
        <w:gridCol w:w="1268"/>
        <w:gridCol w:w="1099"/>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pPr>
              <w:spacing w:line="360" w:lineRule="auto"/>
              <w:jc w:val="center"/>
              <w:rPr>
                <w:rFonts w:hint="eastAsia"/>
                <w:highlight w:val="none"/>
              </w:rPr>
            </w:pPr>
            <w:r>
              <w:rPr>
                <w:rFonts w:hint="eastAsia" w:ascii="宋体" w:hAnsi="宋体" w:cs="宋体"/>
                <w:b/>
                <w:bCs/>
                <w:highlight w:val="none"/>
              </w:rPr>
              <w:t>序号</w:t>
            </w:r>
          </w:p>
        </w:tc>
        <w:tc>
          <w:tcPr>
            <w:tcW w:w="1223" w:type="dxa"/>
            <w:noWrap w:val="0"/>
            <w:vAlign w:val="center"/>
          </w:tcPr>
          <w:p>
            <w:pPr>
              <w:spacing w:line="360" w:lineRule="auto"/>
              <w:jc w:val="center"/>
              <w:rPr>
                <w:rFonts w:hint="eastAsia"/>
                <w:highlight w:val="none"/>
              </w:rPr>
            </w:pPr>
            <w:r>
              <w:rPr>
                <w:rFonts w:hint="eastAsia" w:ascii="宋体" w:hAnsi="宋体" w:cs="宋体"/>
                <w:b/>
                <w:bCs/>
                <w:highlight w:val="none"/>
              </w:rPr>
              <w:t>业主名称</w:t>
            </w:r>
          </w:p>
        </w:tc>
        <w:tc>
          <w:tcPr>
            <w:tcW w:w="1523" w:type="dxa"/>
            <w:noWrap w:val="0"/>
            <w:vAlign w:val="center"/>
          </w:tcPr>
          <w:p>
            <w:pPr>
              <w:spacing w:line="360" w:lineRule="auto"/>
              <w:jc w:val="center"/>
              <w:rPr>
                <w:highlight w:val="none"/>
              </w:rPr>
            </w:pPr>
            <w:r>
              <w:rPr>
                <w:rFonts w:hint="eastAsia" w:ascii="宋体" w:hAnsi="宋体" w:cs="宋体"/>
                <w:b/>
                <w:bCs/>
                <w:highlight w:val="none"/>
              </w:rPr>
              <w:t>合同项目特征</w:t>
            </w:r>
          </w:p>
        </w:tc>
        <w:tc>
          <w:tcPr>
            <w:tcW w:w="1132" w:type="dxa"/>
            <w:noWrap w:val="0"/>
            <w:vAlign w:val="center"/>
          </w:tcPr>
          <w:p>
            <w:pPr>
              <w:spacing w:line="360" w:lineRule="auto"/>
              <w:jc w:val="center"/>
              <w:rPr>
                <w:highlight w:val="none"/>
              </w:rPr>
            </w:pPr>
            <w:r>
              <w:rPr>
                <w:rFonts w:hint="eastAsia" w:ascii="宋体" w:hAnsi="宋体" w:cs="宋体"/>
                <w:b/>
                <w:bCs/>
                <w:highlight w:val="none"/>
              </w:rPr>
              <w:t>合同金额</w:t>
            </w:r>
          </w:p>
        </w:tc>
        <w:tc>
          <w:tcPr>
            <w:tcW w:w="1756" w:type="dxa"/>
            <w:noWrap w:val="0"/>
            <w:vAlign w:val="center"/>
          </w:tcPr>
          <w:p>
            <w:pPr>
              <w:spacing w:line="360" w:lineRule="auto"/>
              <w:jc w:val="center"/>
              <w:rPr>
                <w:highlight w:val="none"/>
              </w:rPr>
            </w:pPr>
            <w:r>
              <w:rPr>
                <w:rFonts w:hint="eastAsia" w:ascii="宋体" w:hAnsi="宋体" w:cs="宋体"/>
                <w:b/>
                <w:bCs/>
                <w:highlight w:val="none"/>
              </w:rPr>
              <w:t>签约及完成日期</w:t>
            </w:r>
          </w:p>
        </w:tc>
        <w:tc>
          <w:tcPr>
            <w:tcW w:w="1355" w:type="dxa"/>
            <w:noWrap w:val="0"/>
            <w:vAlign w:val="center"/>
          </w:tcPr>
          <w:p>
            <w:pPr>
              <w:spacing w:line="360" w:lineRule="auto"/>
              <w:jc w:val="center"/>
              <w:rPr>
                <w:highlight w:val="none"/>
              </w:rPr>
            </w:pPr>
            <w:r>
              <w:rPr>
                <w:rFonts w:hint="eastAsia" w:ascii="宋体" w:hAnsi="宋体" w:cs="宋体"/>
                <w:b/>
                <w:bCs/>
                <w:highlight w:val="none"/>
              </w:rPr>
              <w:t>业主联系人</w:t>
            </w:r>
          </w:p>
        </w:tc>
        <w:tc>
          <w:tcPr>
            <w:tcW w:w="1168" w:type="dxa"/>
            <w:noWrap w:val="0"/>
            <w:vAlign w:val="center"/>
          </w:tcPr>
          <w:p>
            <w:pPr>
              <w:spacing w:line="360" w:lineRule="auto"/>
              <w:jc w:val="center"/>
              <w:rPr>
                <w:highlight w:val="none"/>
              </w:rPr>
            </w:pPr>
            <w:r>
              <w:rPr>
                <w:rFonts w:hint="eastAsia" w:ascii="宋体" w:hAnsi="宋体" w:cs="宋体"/>
                <w:b/>
                <w:bCs/>
                <w:highlight w:val="none"/>
              </w:rPr>
              <w:t>联系电话</w:t>
            </w:r>
          </w:p>
        </w:tc>
        <w:tc>
          <w:tcPr>
            <w:tcW w:w="843" w:type="dxa"/>
            <w:noWrap w:val="0"/>
            <w:vAlign w:val="center"/>
          </w:tcPr>
          <w:p>
            <w:pPr>
              <w:spacing w:line="360" w:lineRule="auto"/>
              <w:jc w:val="center"/>
              <w:rPr>
                <w:rFonts w:hint="eastAsia"/>
                <w:highlight w:val="none"/>
              </w:rPr>
            </w:pPr>
            <w:r>
              <w:rPr>
                <w:rFonts w:hint="eastAsia" w:ascii="宋体" w:hAnsi="宋体" w:cs="宋体"/>
                <w:b/>
                <w:bCs/>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top"/>
          </w:tcPr>
          <w:p>
            <w:pPr>
              <w:pStyle w:val="20"/>
              <w:ind w:firstLine="0" w:firstLineChars="0"/>
              <w:rPr>
                <w:rFonts w:hint="eastAsia"/>
                <w:highlight w:val="none"/>
              </w:rPr>
            </w:pPr>
          </w:p>
        </w:tc>
        <w:tc>
          <w:tcPr>
            <w:tcW w:w="1223" w:type="dxa"/>
            <w:noWrap w:val="0"/>
            <w:vAlign w:val="top"/>
          </w:tcPr>
          <w:p>
            <w:pPr>
              <w:pStyle w:val="20"/>
              <w:ind w:firstLine="0" w:firstLineChars="0"/>
              <w:rPr>
                <w:rFonts w:hint="eastAsia"/>
                <w:highlight w:val="none"/>
              </w:rPr>
            </w:pPr>
          </w:p>
        </w:tc>
        <w:tc>
          <w:tcPr>
            <w:tcW w:w="1523" w:type="dxa"/>
            <w:noWrap w:val="0"/>
            <w:vAlign w:val="top"/>
          </w:tcPr>
          <w:p>
            <w:pPr>
              <w:pStyle w:val="20"/>
              <w:ind w:firstLine="0" w:firstLineChars="0"/>
              <w:rPr>
                <w:rFonts w:hint="eastAsia"/>
                <w:highlight w:val="none"/>
              </w:rPr>
            </w:pPr>
          </w:p>
        </w:tc>
        <w:tc>
          <w:tcPr>
            <w:tcW w:w="1132" w:type="dxa"/>
            <w:noWrap w:val="0"/>
            <w:vAlign w:val="top"/>
          </w:tcPr>
          <w:p>
            <w:pPr>
              <w:pStyle w:val="20"/>
              <w:ind w:firstLine="0" w:firstLineChars="0"/>
              <w:rPr>
                <w:rFonts w:hint="eastAsia"/>
                <w:highlight w:val="none"/>
              </w:rPr>
            </w:pPr>
          </w:p>
        </w:tc>
        <w:tc>
          <w:tcPr>
            <w:tcW w:w="1756" w:type="dxa"/>
            <w:noWrap w:val="0"/>
            <w:vAlign w:val="top"/>
          </w:tcPr>
          <w:p>
            <w:pPr>
              <w:pStyle w:val="20"/>
              <w:ind w:firstLine="0" w:firstLineChars="0"/>
              <w:rPr>
                <w:rFonts w:hint="eastAsia"/>
                <w:highlight w:val="none"/>
              </w:rPr>
            </w:pPr>
          </w:p>
        </w:tc>
        <w:tc>
          <w:tcPr>
            <w:tcW w:w="1355" w:type="dxa"/>
            <w:noWrap w:val="0"/>
            <w:vAlign w:val="top"/>
          </w:tcPr>
          <w:p>
            <w:pPr>
              <w:pStyle w:val="20"/>
              <w:ind w:firstLine="0" w:firstLineChars="0"/>
              <w:rPr>
                <w:rFonts w:hint="eastAsia"/>
                <w:highlight w:val="none"/>
              </w:rPr>
            </w:pPr>
          </w:p>
        </w:tc>
        <w:tc>
          <w:tcPr>
            <w:tcW w:w="1168" w:type="dxa"/>
            <w:noWrap w:val="0"/>
            <w:vAlign w:val="top"/>
          </w:tcPr>
          <w:p>
            <w:pPr>
              <w:pStyle w:val="20"/>
              <w:ind w:firstLine="0" w:firstLineChars="0"/>
              <w:rPr>
                <w:rFonts w:hint="eastAsia"/>
                <w:highlight w:val="none"/>
              </w:rPr>
            </w:pPr>
          </w:p>
        </w:tc>
        <w:tc>
          <w:tcPr>
            <w:tcW w:w="843" w:type="dxa"/>
            <w:noWrap w:val="0"/>
            <w:vAlign w:val="top"/>
          </w:tcPr>
          <w:p>
            <w:pPr>
              <w:pStyle w:val="20"/>
              <w:ind w:firstLine="0" w:firstLineChars="0"/>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top"/>
          </w:tcPr>
          <w:p>
            <w:pPr>
              <w:pStyle w:val="20"/>
              <w:ind w:firstLine="0" w:firstLineChars="0"/>
              <w:rPr>
                <w:rFonts w:hint="eastAsia"/>
                <w:highlight w:val="none"/>
              </w:rPr>
            </w:pPr>
          </w:p>
        </w:tc>
        <w:tc>
          <w:tcPr>
            <w:tcW w:w="1223" w:type="dxa"/>
            <w:noWrap w:val="0"/>
            <w:vAlign w:val="top"/>
          </w:tcPr>
          <w:p>
            <w:pPr>
              <w:pStyle w:val="20"/>
              <w:ind w:firstLine="0" w:firstLineChars="0"/>
              <w:rPr>
                <w:rFonts w:hint="eastAsia"/>
                <w:highlight w:val="none"/>
              </w:rPr>
            </w:pPr>
          </w:p>
        </w:tc>
        <w:tc>
          <w:tcPr>
            <w:tcW w:w="1523" w:type="dxa"/>
            <w:noWrap w:val="0"/>
            <w:vAlign w:val="top"/>
          </w:tcPr>
          <w:p>
            <w:pPr>
              <w:pStyle w:val="20"/>
              <w:ind w:firstLine="0" w:firstLineChars="0"/>
              <w:rPr>
                <w:rFonts w:hint="eastAsia"/>
                <w:highlight w:val="none"/>
              </w:rPr>
            </w:pPr>
          </w:p>
        </w:tc>
        <w:tc>
          <w:tcPr>
            <w:tcW w:w="1132" w:type="dxa"/>
            <w:noWrap w:val="0"/>
            <w:vAlign w:val="top"/>
          </w:tcPr>
          <w:p>
            <w:pPr>
              <w:pStyle w:val="20"/>
              <w:ind w:firstLine="0" w:firstLineChars="0"/>
              <w:rPr>
                <w:rFonts w:hint="eastAsia"/>
                <w:highlight w:val="none"/>
              </w:rPr>
            </w:pPr>
          </w:p>
        </w:tc>
        <w:tc>
          <w:tcPr>
            <w:tcW w:w="1756" w:type="dxa"/>
            <w:noWrap w:val="0"/>
            <w:vAlign w:val="top"/>
          </w:tcPr>
          <w:p>
            <w:pPr>
              <w:pStyle w:val="20"/>
              <w:ind w:firstLine="0" w:firstLineChars="0"/>
              <w:rPr>
                <w:rFonts w:hint="eastAsia"/>
                <w:highlight w:val="none"/>
              </w:rPr>
            </w:pPr>
          </w:p>
        </w:tc>
        <w:tc>
          <w:tcPr>
            <w:tcW w:w="1355" w:type="dxa"/>
            <w:noWrap w:val="0"/>
            <w:vAlign w:val="top"/>
          </w:tcPr>
          <w:p>
            <w:pPr>
              <w:pStyle w:val="20"/>
              <w:ind w:firstLine="0" w:firstLineChars="0"/>
              <w:rPr>
                <w:rFonts w:hint="eastAsia"/>
                <w:highlight w:val="none"/>
              </w:rPr>
            </w:pPr>
          </w:p>
        </w:tc>
        <w:tc>
          <w:tcPr>
            <w:tcW w:w="1168" w:type="dxa"/>
            <w:noWrap w:val="0"/>
            <w:vAlign w:val="top"/>
          </w:tcPr>
          <w:p>
            <w:pPr>
              <w:pStyle w:val="20"/>
              <w:ind w:firstLine="0" w:firstLineChars="0"/>
              <w:rPr>
                <w:rFonts w:hint="eastAsia"/>
                <w:highlight w:val="none"/>
              </w:rPr>
            </w:pPr>
          </w:p>
        </w:tc>
        <w:tc>
          <w:tcPr>
            <w:tcW w:w="843" w:type="dxa"/>
            <w:noWrap w:val="0"/>
            <w:vAlign w:val="top"/>
          </w:tcPr>
          <w:p>
            <w:pPr>
              <w:pStyle w:val="20"/>
              <w:ind w:firstLine="0" w:firstLineChars="0"/>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top"/>
          </w:tcPr>
          <w:p>
            <w:pPr>
              <w:pStyle w:val="20"/>
              <w:ind w:firstLine="0" w:firstLineChars="0"/>
              <w:rPr>
                <w:rFonts w:hint="eastAsia"/>
                <w:highlight w:val="none"/>
              </w:rPr>
            </w:pPr>
          </w:p>
        </w:tc>
        <w:tc>
          <w:tcPr>
            <w:tcW w:w="1223" w:type="dxa"/>
            <w:noWrap w:val="0"/>
            <w:vAlign w:val="top"/>
          </w:tcPr>
          <w:p>
            <w:pPr>
              <w:pStyle w:val="20"/>
              <w:ind w:firstLine="0" w:firstLineChars="0"/>
              <w:rPr>
                <w:rFonts w:hint="eastAsia"/>
                <w:highlight w:val="none"/>
              </w:rPr>
            </w:pPr>
          </w:p>
        </w:tc>
        <w:tc>
          <w:tcPr>
            <w:tcW w:w="1523" w:type="dxa"/>
            <w:noWrap w:val="0"/>
            <w:vAlign w:val="top"/>
          </w:tcPr>
          <w:p>
            <w:pPr>
              <w:pStyle w:val="20"/>
              <w:ind w:firstLine="0" w:firstLineChars="0"/>
              <w:rPr>
                <w:rFonts w:hint="eastAsia"/>
                <w:highlight w:val="none"/>
              </w:rPr>
            </w:pPr>
          </w:p>
        </w:tc>
        <w:tc>
          <w:tcPr>
            <w:tcW w:w="1132" w:type="dxa"/>
            <w:noWrap w:val="0"/>
            <w:vAlign w:val="top"/>
          </w:tcPr>
          <w:p>
            <w:pPr>
              <w:pStyle w:val="20"/>
              <w:ind w:firstLine="0" w:firstLineChars="0"/>
              <w:rPr>
                <w:rFonts w:hint="eastAsia"/>
                <w:highlight w:val="none"/>
              </w:rPr>
            </w:pPr>
          </w:p>
        </w:tc>
        <w:tc>
          <w:tcPr>
            <w:tcW w:w="1756" w:type="dxa"/>
            <w:noWrap w:val="0"/>
            <w:vAlign w:val="top"/>
          </w:tcPr>
          <w:p>
            <w:pPr>
              <w:pStyle w:val="20"/>
              <w:ind w:firstLine="0" w:firstLineChars="0"/>
              <w:rPr>
                <w:rFonts w:hint="eastAsia"/>
                <w:highlight w:val="none"/>
              </w:rPr>
            </w:pPr>
          </w:p>
        </w:tc>
        <w:tc>
          <w:tcPr>
            <w:tcW w:w="1355" w:type="dxa"/>
            <w:noWrap w:val="0"/>
            <w:vAlign w:val="top"/>
          </w:tcPr>
          <w:p>
            <w:pPr>
              <w:pStyle w:val="20"/>
              <w:ind w:firstLine="0" w:firstLineChars="0"/>
              <w:rPr>
                <w:rFonts w:hint="eastAsia"/>
                <w:highlight w:val="none"/>
              </w:rPr>
            </w:pPr>
          </w:p>
        </w:tc>
        <w:tc>
          <w:tcPr>
            <w:tcW w:w="1168" w:type="dxa"/>
            <w:noWrap w:val="0"/>
            <w:vAlign w:val="top"/>
          </w:tcPr>
          <w:p>
            <w:pPr>
              <w:pStyle w:val="20"/>
              <w:ind w:firstLine="0" w:firstLineChars="0"/>
              <w:rPr>
                <w:rFonts w:hint="eastAsia"/>
                <w:highlight w:val="none"/>
              </w:rPr>
            </w:pPr>
          </w:p>
        </w:tc>
        <w:tc>
          <w:tcPr>
            <w:tcW w:w="843" w:type="dxa"/>
            <w:noWrap w:val="0"/>
            <w:vAlign w:val="top"/>
          </w:tcPr>
          <w:p>
            <w:pPr>
              <w:pStyle w:val="20"/>
              <w:ind w:firstLine="0" w:firstLineChars="0"/>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top"/>
          </w:tcPr>
          <w:p>
            <w:pPr>
              <w:pStyle w:val="20"/>
              <w:ind w:firstLine="0" w:firstLineChars="0"/>
              <w:rPr>
                <w:rFonts w:hint="eastAsia"/>
                <w:highlight w:val="none"/>
              </w:rPr>
            </w:pPr>
          </w:p>
        </w:tc>
        <w:tc>
          <w:tcPr>
            <w:tcW w:w="1223" w:type="dxa"/>
            <w:noWrap w:val="0"/>
            <w:vAlign w:val="top"/>
          </w:tcPr>
          <w:p>
            <w:pPr>
              <w:pStyle w:val="20"/>
              <w:ind w:firstLine="0" w:firstLineChars="0"/>
              <w:rPr>
                <w:rFonts w:hint="eastAsia"/>
                <w:highlight w:val="none"/>
              </w:rPr>
            </w:pPr>
          </w:p>
        </w:tc>
        <w:tc>
          <w:tcPr>
            <w:tcW w:w="1523" w:type="dxa"/>
            <w:noWrap w:val="0"/>
            <w:vAlign w:val="top"/>
          </w:tcPr>
          <w:p>
            <w:pPr>
              <w:pStyle w:val="20"/>
              <w:ind w:firstLine="0" w:firstLineChars="0"/>
              <w:rPr>
                <w:rFonts w:hint="eastAsia"/>
                <w:highlight w:val="none"/>
              </w:rPr>
            </w:pPr>
          </w:p>
        </w:tc>
        <w:tc>
          <w:tcPr>
            <w:tcW w:w="1132" w:type="dxa"/>
            <w:noWrap w:val="0"/>
            <w:vAlign w:val="top"/>
          </w:tcPr>
          <w:p>
            <w:pPr>
              <w:pStyle w:val="20"/>
              <w:ind w:firstLine="0" w:firstLineChars="0"/>
              <w:rPr>
                <w:rFonts w:hint="eastAsia"/>
                <w:highlight w:val="none"/>
              </w:rPr>
            </w:pPr>
          </w:p>
        </w:tc>
        <w:tc>
          <w:tcPr>
            <w:tcW w:w="1756" w:type="dxa"/>
            <w:noWrap w:val="0"/>
            <w:vAlign w:val="top"/>
          </w:tcPr>
          <w:p>
            <w:pPr>
              <w:pStyle w:val="20"/>
              <w:ind w:firstLine="0" w:firstLineChars="0"/>
              <w:rPr>
                <w:rFonts w:hint="eastAsia"/>
                <w:highlight w:val="none"/>
              </w:rPr>
            </w:pPr>
          </w:p>
        </w:tc>
        <w:tc>
          <w:tcPr>
            <w:tcW w:w="1355" w:type="dxa"/>
            <w:noWrap w:val="0"/>
            <w:vAlign w:val="top"/>
          </w:tcPr>
          <w:p>
            <w:pPr>
              <w:pStyle w:val="20"/>
              <w:ind w:firstLine="0" w:firstLineChars="0"/>
              <w:rPr>
                <w:rFonts w:hint="eastAsia"/>
                <w:highlight w:val="none"/>
              </w:rPr>
            </w:pPr>
          </w:p>
        </w:tc>
        <w:tc>
          <w:tcPr>
            <w:tcW w:w="1168" w:type="dxa"/>
            <w:noWrap w:val="0"/>
            <w:vAlign w:val="top"/>
          </w:tcPr>
          <w:p>
            <w:pPr>
              <w:pStyle w:val="20"/>
              <w:ind w:firstLine="0" w:firstLineChars="0"/>
              <w:rPr>
                <w:rFonts w:hint="eastAsia"/>
                <w:highlight w:val="none"/>
              </w:rPr>
            </w:pPr>
          </w:p>
        </w:tc>
        <w:tc>
          <w:tcPr>
            <w:tcW w:w="843" w:type="dxa"/>
            <w:noWrap w:val="0"/>
            <w:vAlign w:val="top"/>
          </w:tcPr>
          <w:p>
            <w:pPr>
              <w:pStyle w:val="20"/>
              <w:ind w:firstLine="0" w:firstLineChars="0"/>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top"/>
          </w:tcPr>
          <w:p>
            <w:pPr>
              <w:pStyle w:val="20"/>
              <w:ind w:firstLine="0" w:firstLineChars="0"/>
              <w:rPr>
                <w:rFonts w:hint="eastAsia"/>
                <w:highlight w:val="none"/>
              </w:rPr>
            </w:pPr>
          </w:p>
        </w:tc>
        <w:tc>
          <w:tcPr>
            <w:tcW w:w="1223" w:type="dxa"/>
            <w:noWrap w:val="0"/>
            <w:vAlign w:val="top"/>
          </w:tcPr>
          <w:p>
            <w:pPr>
              <w:pStyle w:val="20"/>
              <w:ind w:firstLine="0" w:firstLineChars="0"/>
              <w:rPr>
                <w:rFonts w:hint="eastAsia"/>
                <w:highlight w:val="none"/>
              </w:rPr>
            </w:pPr>
          </w:p>
        </w:tc>
        <w:tc>
          <w:tcPr>
            <w:tcW w:w="1523" w:type="dxa"/>
            <w:noWrap w:val="0"/>
            <w:vAlign w:val="top"/>
          </w:tcPr>
          <w:p>
            <w:pPr>
              <w:pStyle w:val="20"/>
              <w:ind w:firstLine="0" w:firstLineChars="0"/>
              <w:rPr>
                <w:rFonts w:hint="eastAsia"/>
                <w:highlight w:val="none"/>
              </w:rPr>
            </w:pPr>
          </w:p>
        </w:tc>
        <w:tc>
          <w:tcPr>
            <w:tcW w:w="1132" w:type="dxa"/>
            <w:noWrap w:val="0"/>
            <w:vAlign w:val="top"/>
          </w:tcPr>
          <w:p>
            <w:pPr>
              <w:pStyle w:val="20"/>
              <w:ind w:firstLine="0" w:firstLineChars="0"/>
              <w:rPr>
                <w:rFonts w:hint="eastAsia"/>
                <w:highlight w:val="none"/>
              </w:rPr>
            </w:pPr>
          </w:p>
        </w:tc>
        <w:tc>
          <w:tcPr>
            <w:tcW w:w="1756" w:type="dxa"/>
            <w:noWrap w:val="0"/>
            <w:vAlign w:val="top"/>
          </w:tcPr>
          <w:p>
            <w:pPr>
              <w:pStyle w:val="20"/>
              <w:ind w:firstLine="0" w:firstLineChars="0"/>
              <w:rPr>
                <w:rFonts w:hint="eastAsia"/>
                <w:highlight w:val="none"/>
              </w:rPr>
            </w:pPr>
          </w:p>
        </w:tc>
        <w:tc>
          <w:tcPr>
            <w:tcW w:w="1355" w:type="dxa"/>
            <w:noWrap w:val="0"/>
            <w:vAlign w:val="top"/>
          </w:tcPr>
          <w:p>
            <w:pPr>
              <w:pStyle w:val="20"/>
              <w:ind w:firstLine="0" w:firstLineChars="0"/>
              <w:rPr>
                <w:rFonts w:hint="eastAsia"/>
                <w:highlight w:val="none"/>
              </w:rPr>
            </w:pPr>
          </w:p>
        </w:tc>
        <w:tc>
          <w:tcPr>
            <w:tcW w:w="1168" w:type="dxa"/>
            <w:noWrap w:val="0"/>
            <w:vAlign w:val="top"/>
          </w:tcPr>
          <w:p>
            <w:pPr>
              <w:pStyle w:val="20"/>
              <w:ind w:firstLine="0" w:firstLineChars="0"/>
              <w:rPr>
                <w:rFonts w:hint="eastAsia"/>
                <w:highlight w:val="none"/>
              </w:rPr>
            </w:pPr>
          </w:p>
        </w:tc>
        <w:tc>
          <w:tcPr>
            <w:tcW w:w="843" w:type="dxa"/>
            <w:noWrap w:val="0"/>
            <w:vAlign w:val="top"/>
          </w:tcPr>
          <w:p>
            <w:pPr>
              <w:pStyle w:val="20"/>
              <w:ind w:firstLine="0" w:firstLineChars="0"/>
              <w:rPr>
                <w:rFonts w:hint="eastAsia"/>
                <w:highlight w:val="none"/>
              </w:rPr>
            </w:pPr>
          </w:p>
        </w:tc>
      </w:tr>
    </w:tbl>
    <w:p>
      <w:pPr>
        <w:pStyle w:val="20"/>
        <w:ind w:firstLine="0" w:firstLineChars="0"/>
        <w:rPr>
          <w:rFonts w:hint="eastAsia"/>
          <w:highlight w:val="none"/>
        </w:rPr>
      </w:pPr>
    </w:p>
    <w:p>
      <w:pPr>
        <w:spacing w:line="480" w:lineRule="exact"/>
        <w:ind w:firstLine="422" w:firstLineChars="200"/>
        <w:rPr>
          <w:rFonts w:hint="eastAsia" w:ascii="宋体" w:hAnsi="宋体" w:cs="宋体"/>
          <w:b/>
          <w:bCs/>
          <w:highlight w:val="none"/>
        </w:rPr>
      </w:pPr>
      <w:r>
        <w:rPr>
          <w:rFonts w:hint="eastAsia" w:ascii="宋体" w:hAnsi="宋体" w:cs="宋体"/>
          <w:b/>
          <w:bCs/>
          <w:highlight w:val="none"/>
        </w:rPr>
        <w:t>填报说明：</w:t>
      </w:r>
    </w:p>
    <w:p>
      <w:pPr>
        <w:spacing w:line="480" w:lineRule="exact"/>
        <w:ind w:firstLine="840" w:firstLineChars="400"/>
        <w:rPr>
          <w:rFonts w:hint="eastAsia" w:ascii="宋体" w:hAnsi="宋体" w:cs="宋体"/>
          <w:highlight w:val="none"/>
        </w:rPr>
      </w:pPr>
      <w:r>
        <w:rPr>
          <w:rFonts w:hint="eastAsia" w:ascii="宋体" w:hAnsi="宋体" w:cs="宋体"/>
          <w:highlight w:val="none"/>
        </w:rPr>
        <w:t>1、此表不提供，可视为无业绩；</w:t>
      </w:r>
    </w:p>
    <w:p>
      <w:pPr>
        <w:spacing w:line="480" w:lineRule="exact"/>
        <w:ind w:firstLine="420" w:firstLineChars="200"/>
        <w:rPr>
          <w:rFonts w:hint="eastAsia" w:ascii="宋体" w:hAnsi="宋体" w:cs="宋体"/>
          <w:highlight w:val="none"/>
        </w:rPr>
      </w:pPr>
      <w:r>
        <w:rPr>
          <w:rFonts w:hint="eastAsia" w:ascii="宋体" w:hAnsi="宋体" w:cs="宋体"/>
          <w:highlight w:val="none"/>
        </w:rPr>
        <w:t xml:space="preserve">    2、表后附合同等相关证明材料；</w:t>
      </w:r>
    </w:p>
    <w:p>
      <w:pPr>
        <w:spacing w:line="480" w:lineRule="exact"/>
        <w:ind w:firstLine="840" w:firstLineChars="400"/>
        <w:rPr>
          <w:rFonts w:hint="eastAsia" w:ascii="宋体" w:hAnsi="宋体" w:cs="宋体"/>
          <w:highlight w:val="none"/>
        </w:rPr>
      </w:pPr>
      <w:r>
        <w:rPr>
          <w:rFonts w:hint="eastAsia" w:ascii="宋体" w:hAnsi="宋体" w:cs="宋体"/>
          <w:highlight w:val="none"/>
        </w:rPr>
        <w:t>3、评标办法所要求资料请务必提供；</w:t>
      </w:r>
    </w:p>
    <w:p>
      <w:pPr>
        <w:spacing w:line="480" w:lineRule="exact"/>
        <w:ind w:firstLine="840" w:firstLineChars="400"/>
        <w:rPr>
          <w:rFonts w:hint="eastAsia" w:ascii="宋体" w:hAnsi="宋体" w:cs="宋体"/>
          <w:highlight w:val="none"/>
        </w:rPr>
      </w:pPr>
      <w:r>
        <w:rPr>
          <w:rFonts w:hint="eastAsia" w:ascii="宋体" w:hAnsi="宋体" w:cs="宋体"/>
          <w:highlight w:val="none"/>
        </w:rPr>
        <w:t>4、此表可在不改变格式的情况下自行制作。</w:t>
      </w:r>
    </w:p>
    <w:p>
      <w:pPr>
        <w:spacing w:line="360" w:lineRule="auto"/>
        <w:ind w:left="5040" w:leftChars="2400"/>
        <w:rPr>
          <w:rFonts w:hint="eastAsia" w:ascii="宋体" w:hAnsi="宋体" w:cs="宋体"/>
          <w:highlight w:val="none"/>
        </w:rPr>
      </w:pPr>
      <w:r>
        <w:rPr>
          <w:rFonts w:hint="eastAsia" w:ascii="宋体" w:hAnsi="宋体" w:cs="宋体"/>
          <w:highlight w:val="none"/>
        </w:rPr>
        <w:t xml:space="preserve">                                      </w:t>
      </w:r>
    </w:p>
    <w:p>
      <w:pPr>
        <w:spacing w:line="360" w:lineRule="auto"/>
        <w:ind w:left="5040" w:leftChars="2400"/>
        <w:rPr>
          <w:rFonts w:hint="eastAsia" w:ascii="宋体" w:hAnsi="宋体" w:cs="宋体"/>
          <w:highlight w:val="none"/>
        </w:rPr>
      </w:pPr>
    </w:p>
    <w:p>
      <w:pPr>
        <w:spacing w:line="360" w:lineRule="auto"/>
        <w:rPr>
          <w:rFonts w:hint="eastAsia" w:ascii="宋体" w:hAnsi="宋体" w:cs="宋体"/>
          <w:highlight w:val="none"/>
        </w:rPr>
      </w:pPr>
    </w:p>
    <w:p>
      <w:pPr>
        <w:spacing w:line="360" w:lineRule="auto"/>
        <w:ind w:left="13" w:hanging="13" w:hangingChars="6"/>
        <w:rPr>
          <w:rFonts w:hint="eastAsia" w:ascii="宋体" w:hAnsi="宋体" w:cs="宋体"/>
          <w:b/>
          <w:highlight w:val="none"/>
        </w:rPr>
      </w:pPr>
    </w:p>
    <w:p>
      <w:pPr>
        <w:spacing w:line="360" w:lineRule="auto"/>
        <w:ind w:left="13" w:hanging="13" w:hangingChars="6"/>
        <w:rPr>
          <w:rFonts w:hint="eastAsia" w:ascii="宋体" w:hAnsi="宋体" w:cs="宋体"/>
          <w:b/>
          <w:highlight w:val="none"/>
        </w:rPr>
      </w:pPr>
    </w:p>
    <w:p>
      <w:pPr>
        <w:spacing w:line="360" w:lineRule="auto"/>
        <w:ind w:left="13" w:hanging="13" w:hangingChars="6"/>
        <w:rPr>
          <w:rFonts w:hint="eastAsia" w:ascii="宋体" w:hAnsi="宋体" w:cs="宋体"/>
          <w:b/>
          <w:highlight w:val="none"/>
        </w:rPr>
      </w:pPr>
      <w:r>
        <w:rPr>
          <w:rFonts w:hint="eastAsia" w:ascii="宋体" w:hAnsi="宋体" w:cs="宋体"/>
          <w:b/>
          <w:highlight w:val="none"/>
        </w:rPr>
        <w:t>投标供应商全称（公章）：</w:t>
      </w:r>
    </w:p>
    <w:p>
      <w:pPr>
        <w:spacing w:line="360" w:lineRule="auto"/>
        <w:ind w:left="13" w:hanging="13" w:hangingChars="6"/>
        <w:rPr>
          <w:rFonts w:hint="eastAsia" w:ascii="宋体" w:hAnsi="宋体" w:cs="宋体"/>
          <w:b/>
          <w:highlight w:val="none"/>
        </w:rPr>
      </w:pPr>
      <w:r>
        <w:rPr>
          <w:rFonts w:hint="eastAsia" w:ascii="宋体" w:hAnsi="宋体" w:cs="宋体"/>
          <w:b/>
          <w:highlight w:val="none"/>
        </w:rPr>
        <w:t>法定代表人(负责人）或授权代表（签字或盖章）：</w:t>
      </w:r>
    </w:p>
    <w:p>
      <w:pPr>
        <w:spacing w:line="360" w:lineRule="auto"/>
        <w:ind w:left="13" w:hanging="13" w:hangingChars="6"/>
        <w:rPr>
          <w:rFonts w:hint="eastAsia" w:ascii="宋体" w:hAnsi="宋体" w:cs="宋体"/>
          <w:b/>
          <w:highlight w:val="none"/>
        </w:rPr>
      </w:pPr>
      <w:r>
        <w:rPr>
          <w:rFonts w:hint="eastAsia" w:ascii="宋体" w:hAnsi="宋体" w:cs="宋体"/>
          <w:b/>
          <w:highlight w:val="none"/>
        </w:rPr>
        <w:t>日期：      年    月    日</w:t>
      </w:r>
    </w:p>
    <w:p>
      <w:pPr>
        <w:spacing w:line="360" w:lineRule="auto"/>
        <w:ind w:left="13" w:hanging="13" w:hangingChars="6"/>
        <w:rPr>
          <w:rFonts w:hint="eastAsia" w:ascii="宋体" w:hAnsi="宋体" w:cs="宋体"/>
          <w:b/>
          <w:highlight w:val="none"/>
          <w:lang w:val="zh-CN"/>
        </w:rPr>
      </w:pPr>
    </w:p>
    <w:p>
      <w:pPr>
        <w:pStyle w:val="2"/>
        <w:ind w:left="0" w:leftChars="0" w:firstLine="0" w:firstLineChars="0"/>
        <w:rPr>
          <w:rFonts w:hint="eastAsia"/>
          <w:highlight w:val="none"/>
        </w:rPr>
      </w:pPr>
    </w:p>
    <w:p>
      <w:pPr>
        <w:pStyle w:val="2"/>
        <w:ind w:left="0" w:leftChars="0" w:firstLine="0" w:firstLineChars="0"/>
        <w:rPr>
          <w:rFonts w:hint="eastAsia"/>
          <w:highlight w:val="none"/>
        </w:rPr>
      </w:pPr>
    </w:p>
    <w:p>
      <w:pPr>
        <w:spacing w:line="420" w:lineRule="exact"/>
        <w:jc w:val="left"/>
        <w:rPr>
          <w:rFonts w:hint="eastAsia" w:ascii="仿宋" w:hAnsi="仿宋" w:eastAsia="仿宋" w:cs="仿宋"/>
          <w:bCs/>
          <w:sz w:val="28"/>
          <w:szCs w:val="28"/>
          <w:highlight w:val="none"/>
        </w:rPr>
      </w:pPr>
    </w:p>
    <w:p>
      <w:pPr>
        <w:spacing w:line="420" w:lineRule="exact"/>
        <w:ind w:left="17" w:hanging="16" w:hangingChars="6"/>
        <w:jc w:val="left"/>
        <w:rPr>
          <w:rFonts w:hint="eastAsia" w:ascii="仿宋" w:hAnsi="仿宋" w:eastAsia="仿宋" w:cs="仿宋"/>
          <w:bCs/>
          <w:sz w:val="28"/>
          <w:szCs w:val="28"/>
          <w:highlight w:val="none"/>
        </w:rPr>
      </w:pPr>
    </w:p>
    <w:p>
      <w:pPr>
        <w:spacing w:line="420" w:lineRule="exact"/>
        <w:jc w:val="left"/>
        <w:rPr>
          <w:rFonts w:hint="eastAsia" w:ascii="仿宋" w:hAnsi="仿宋" w:eastAsia="仿宋" w:cs="仿宋"/>
          <w:bCs/>
          <w:sz w:val="28"/>
          <w:szCs w:val="28"/>
          <w:highlight w:val="none"/>
        </w:rPr>
      </w:pPr>
    </w:p>
    <w:p>
      <w:pPr>
        <w:spacing w:line="420" w:lineRule="exact"/>
        <w:ind w:left="17" w:hanging="16" w:hangingChars="6"/>
        <w:jc w:val="left"/>
        <w:rPr>
          <w:rFonts w:hint="eastAsia" w:ascii="仿宋" w:hAnsi="仿宋" w:eastAsia="仿宋" w:cs="仿宋"/>
          <w:bCs/>
          <w:sz w:val="28"/>
          <w:szCs w:val="28"/>
          <w:highlight w:val="none"/>
        </w:rPr>
      </w:pPr>
    </w:p>
    <w:p>
      <w:pPr>
        <w:spacing w:line="420" w:lineRule="exact"/>
        <w:jc w:val="left"/>
        <w:rPr>
          <w:rFonts w:hint="eastAsia" w:ascii="仿宋" w:hAnsi="仿宋" w:eastAsia="仿宋" w:cs="仿宋"/>
          <w:b/>
          <w:sz w:val="28"/>
          <w:szCs w:val="28"/>
          <w:highlight w:val="none"/>
        </w:rPr>
      </w:pPr>
      <w:r>
        <w:rPr>
          <w:rFonts w:hint="eastAsia" w:ascii="仿宋" w:hAnsi="仿宋" w:eastAsia="仿宋" w:cs="仿宋"/>
          <w:bCs/>
          <w:sz w:val="28"/>
          <w:szCs w:val="28"/>
          <w:highlight w:val="none"/>
        </w:rPr>
        <w:br w:type="page"/>
      </w:r>
      <w:r>
        <w:rPr>
          <w:rFonts w:hint="eastAsia" w:ascii="仿宋" w:hAnsi="仿宋" w:eastAsia="仿宋" w:cs="仿宋"/>
          <w:b/>
          <w:sz w:val="28"/>
          <w:szCs w:val="28"/>
          <w:highlight w:val="none"/>
        </w:rPr>
        <w:t>第 3 部分.报价文件封面格式（推荐）</w:t>
      </w:r>
    </w:p>
    <w:p>
      <w:pPr>
        <w:spacing w:line="420" w:lineRule="exact"/>
        <w:ind w:left="17" w:hanging="16" w:hangingChars="6"/>
        <w:jc w:val="left"/>
        <w:rPr>
          <w:rFonts w:hint="eastAsia" w:ascii="仿宋" w:hAnsi="仿宋" w:eastAsia="仿宋" w:cs="仿宋"/>
          <w:bCs/>
          <w:sz w:val="28"/>
          <w:szCs w:val="28"/>
          <w:highlight w:val="none"/>
        </w:rPr>
      </w:pPr>
    </w:p>
    <w:p>
      <w:pPr>
        <w:pStyle w:val="20"/>
        <w:ind w:firstLine="0" w:firstLineChars="0"/>
        <w:rPr>
          <w:rFonts w:hint="eastAsia"/>
          <w:highlight w:val="none"/>
        </w:rPr>
      </w:pPr>
    </w:p>
    <w:p>
      <w:pPr>
        <w:spacing w:line="520" w:lineRule="exact"/>
        <w:ind w:left="17" w:hanging="16" w:hangingChars="6"/>
        <w:rPr>
          <w:rFonts w:hint="eastAsia" w:ascii="宋体" w:hAnsi="宋体" w:cs="宋体"/>
          <w:bCs/>
          <w:sz w:val="28"/>
          <w:szCs w:val="28"/>
          <w:highlight w:val="none"/>
        </w:rPr>
      </w:pPr>
    </w:p>
    <w:p>
      <w:pPr>
        <w:spacing w:line="520" w:lineRule="exact"/>
        <w:ind w:left="26" w:hanging="27" w:hangingChars="6"/>
        <w:jc w:val="center"/>
        <w:rPr>
          <w:rFonts w:hint="eastAsia" w:ascii="宋体" w:hAnsi="宋体" w:cs="宋体"/>
          <w:b/>
          <w:bCs/>
          <w:sz w:val="44"/>
          <w:szCs w:val="44"/>
          <w:highlight w:val="none"/>
        </w:rPr>
      </w:pPr>
      <w:r>
        <w:rPr>
          <w:rFonts w:hint="eastAsia" w:ascii="宋体" w:hAnsi="宋体" w:cs="宋体"/>
          <w:b/>
          <w:bCs/>
          <w:sz w:val="44"/>
          <w:szCs w:val="44"/>
          <w:highlight w:val="none"/>
        </w:rPr>
        <w:t>金华市安地灌区续建配套与节水改造项目（2021-2022年）调增项目灌溉节水宣传馆</w:t>
      </w:r>
    </w:p>
    <w:p>
      <w:pPr>
        <w:spacing w:line="520" w:lineRule="exact"/>
        <w:ind w:left="17" w:hanging="16" w:hangingChars="6"/>
        <w:rPr>
          <w:rFonts w:hint="eastAsia" w:ascii="宋体" w:hAnsi="宋体" w:cs="宋体"/>
          <w:bCs/>
          <w:sz w:val="28"/>
          <w:szCs w:val="28"/>
          <w:highlight w:val="none"/>
        </w:rPr>
      </w:pPr>
    </w:p>
    <w:p>
      <w:pPr>
        <w:spacing w:line="520" w:lineRule="exact"/>
        <w:ind w:left="17" w:hanging="16" w:hangingChars="6"/>
        <w:rPr>
          <w:rFonts w:hint="eastAsia" w:ascii="宋体" w:hAnsi="宋体" w:cs="宋体"/>
          <w:bCs/>
          <w:sz w:val="28"/>
          <w:szCs w:val="28"/>
          <w:highlight w:val="none"/>
        </w:rPr>
      </w:pPr>
    </w:p>
    <w:p>
      <w:pPr>
        <w:spacing w:line="520" w:lineRule="exact"/>
        <w:ind w:left="17" w:hanging="16" w:hangingChars="6"/>
        <w:rPr>
          <w:rFonts w:hint="eastAsia" w:ascii="宋体" w:hAnsi="宋体" w:cs="宋体"/>
          <w:bCs/>
          <w:sz w:val="28"/>
          <w:szCs w:val="28"/>
          <w:highlight w:val="none"/>
        </w:rPr>
      </w:pPr>
    </w:p>
    <w:p>
      <w:pPr>
        <w:spacing w:line="520" w:lineRule="exact"/>
        <w:ind w:left="31" w:hanging="31" w:hangingChars="6"/>
        <w:jc w:val="center"/>
        <w:rPr>
          <w:rFonts w:hint="eastAsia" w:ascii="宋体" w:hAnsi="宋体" w:cs="宋体"/>
          <w:b/>
          <w:bCs/>
          <w:sz w:val="52"/>
          <w:szCs w:val="52"/>
          <w:highlight w:val="none"/>
        </w:rPr>
      </w:pPr>
      <w:r>
        <w:rPr>
          <w:rFonts w:hint="eastAsia" w:ascii="宋体" w:hAnsi="宋体" w:cs="宋体"/>
          <w:b/>
          <w:bCs/>
          <w:sz w:val="52"/>
          <w:szCs w:val="52"/>
          <w:highlight w:val="none"/>
        </w:rPr>
        <w:t>报价文件</w:t>
      </w:r>
    </w:p>
    <w:p>
      <w:pPr>
        <w:spacing w:line="520" w:lineRule="exact"/>
        <w:ind w:left="17" w:hanging="16" w:hangingChars="6"/>
        <w:rPr>
          <w:rFonts w:hint="eastAsia" w:ascii="宋体" w:hAnsi="宋体" w:cs="宋体"/>
          <w:bCs/>
          <w:sz w:val="28"/>
          <w:szCs w:val="28"/>
          <w:highlight w:val="none"/>
        </w:rPr>
      </w:pPr>
    </w:p>
    <w:p>
      <w:pPr>
        <w:spacing w:line="520" w:lineRule="exact"/>
        <w:ind w:left="17" w:hanging="16" w:hangingChars="6"/>
        <w:rPr>
          <w:rFonts w:hint="eastAsia" w:ascii="宋体" w:hAnsi="宋体" w:cs="宋体"/>
          <w:bCs/>
          <w:sz w:val="28"/>
          <w:szCs w:val="28"/>
          <w:highlight w:val="none"/>
        </w:rPr>
      </w:pPr>
    </w:p>
    <w:p>
      <w:pPr>
        <w:spacing w:line="520" w:lineRule="exact"/>
        <w:ind w:left="17" w:hanging="16" w:hangingChars="6"/>
        <w:rPr>
          <w:rFonts w:hint="eastAsia" w:ascii="宋体" w:hAnsi="宋体" w:cs="宋体"/>
          <w:bCs/>
          <w:sz w:val="28"/>
          <w:szCs w:val="28"/>
          <w:highlight w:val="none"/>
        </w:rPr>
      </w:pPr>
    </w:p>
    <w:p>
      <w:pPr>
        <w:spacing w:line="360" w:lineRule="auto"/>
        <w:ind w:left="17" w:hanging="16" w:hangingChars="6"/>
        <w:jc w:val="left"/>
        <w:rPr>
          <w:rFonts w:hint="eastAsia" w:ascii="宋体" w:hAnsi="宋体" w:cs="宋体"/>
          <w:bCs/>
          <w:sz w:val="28"/>
          <w:szCs w:val="28"/>
          <w:highlight w:val="none"/>
        </w:rPr>
      </w:pPr>
      <w:r>
        <w:rPr>
          <w:rFonts w:hint="eastAsia" w:ascii="宋体" w:hAnsi="宋体" w:cs="宋体"/>
          <w:bCs/>
          <w:sz w:val="28"/>
          <w:szCs w:val="28"/>
          <w:highlight w:val="none"/>
        </w:rPr>
        <w:t xml:space="preserve">          项目编号：ZJJS2023-ZFCG001  </w:t>
      </w:r>
    </w:p>
    <w:p>
      <w:pPr>
        <w:spacing w:line="360" w:lineRule="auto"/>
        <w:ind w:left="279" w:leftChars="133" w:firstLine="1097" w:firstLineChars="392"/>
        <w:jc w:val="left"/>
        <w:rPr>
          <w:rFonts w:hint="eastAsia" w:ascii="宋体" w:hAnsi="宋体" w:cs="宋体"/>
          <w:bCs/>
          <w:sz w:val="28"/>
          <w:szCs w:val="28"/>
          <w:highlight w:val="none"/>
        </w:rPr>
      </w:pPr>
      <w:r>
        <w:rPr>
          <w:rFonts w:hint="eastAsia" w:ascii="宋体" w:hAnsi="宋体" w:cs="宋体"/>
          <w:bCs/>
          <w:sz w:val="28"/>
          <w:szCs w:val="28"/>
          <w:highlight w:val="none"/>
        </w:rPr>
        <w:t>投标供应商名称：</w:t>
      </w:r>
    </w:p>
    <w:p>
      <w:pPr>
        <w:spacing w:line="360" w:lineRule="auto"/>
        <w:ind w:left="17" w:hanging="16" w:hangingChars="6"/>
        <w:jc w:val="left"/>
        <w:rPr>
          <w:rFonts w:hint="eastAsia" w:ascii="宋体" w:hAnsi="宋体" w:cs="宋体"/>
          <w:bCs/>
          <w:sz w:val="28"/>
          <w:szCs w:val="28"/>
          <w:highlight w:val="none"/>
        </w:rPr>
      </w:pPr>
      <w:r>
        <w:rPr>
          <w:rFonts w:hint="eastAsia" w:ascii="宋体" w:hAnsi="宋体" w:cs="宋体"/>
          <w:bCs/>
          <w:sz w:val="28"/>
          <w:szCs w:val="28"/>
          <w:highlight w:val="none"/>
        </w:rPr>
        <w:t xml:space="preserve">          投标供应商地址：</w:t>
      </w:r>
    </w:p>
    <w:p>
      <w:pPr>
        <w:spacing w:line="360" w:lineRule="auto"/>
        <w:ind w:left="17" w:hanging="16" w:hangingChars="6"/>
        <w:jc w:val="left"/>
        <w:rPr>
          <w:rFonts w:hint="eastAsia" w:ascii="宋体" w:hAnsi="宋体" w:cs="宋体"/>
          <w:bCs/>
          <w:sz w:val="28"/>
          <w:szCs w:val="28"/>
          <w:highlight w:val="none"/>
        </w:rPr>
      </w:pPr>
      <w:r>
        <w:rPr>
          <w:rFonts w:hint="eastAsia" w:ascii="宋体" w:hAnsi="宋体" w:cs="宋体"/>
          <w:bCs/>
          <w:sz w:val="28"/>
          <w:szCs w:val="28"/>
          <w:highlight w:val="none"/>
        </w:rPr>
        <w:t xml:space="preserve">          联系电话：</w:t>
      </w:r>
    </w:p>
    <w:p>
      <w:pPr>
        <w:spacing w:line="360" w:lineRule="auto"/>
        <w:ind w:left="17" w:hanging="16" w:hangingChars="6"/>
        <w:jc w:val="left"/>
        <w:rPr>
          <w:rFonts w:hint="eastAsia" w:ascii="宋体" w:hAnsi="宋体" w:cs="宋体"/>
          <w:bCs/>
          <w:sz w:val="28"/>
          <w:szCs w:val="28"/>
          <w:highlight w:val="none"/>
        </w:rPr>
      </w:pPr>
      <w:r>
        <w:rPr>
          <w:rFonts w:hint="eastAsia" w:ascii="宋体" w:hAnsi="宋体" w:cs="宋体"/>
          <w:bCs/>
          <w:sz w:val="28"/>
          <w:szCs w:val="28"/>
          <w:highlight w:val="none"/>
        </w:rPr>
        <w:t xml:space="preserve">          法定代表人(负责人）或授权代表签字或盖章：</w:t>
      </w:r>
    </w:p>
    <w:p>
      <w:pPr>
        <w:spacing w:line="360" w:lineRule="auto"/>
        <w:ind w:left="17" w:hanging="16" w:hangingChars="6"/>
        <w:jc w:val="left"/>
        <w:rPr>
          <w:rFonts w:hint="eastAsia" w:ascii="宋体" w:hAnsi="宋体" w:cs="宋体"/>
          <w:bCs/>
          <w:sz w:val="28"/>
          <w:szCs w:val="28"/>
          <w:highlight w:val="none"/>
        </w:rPr>
      </w:pPr>
      <w:r>
        <w:rPr>
          <w:rFonts w:hint="eastAsia" w:ascii="宋体" w:hAnsi="宋体" w:cs="宋体"/>
          <w:bCs/>
          <w:sz w:val="28"/>
          <w:szCs w:val="28"/>
          <w:highlight w:val="none"/>
        </w:rPr>
        <w:t xml:space="preserve">            </w:t>
      </w:r>
    </w:p>
    <w:p>
      <w:pPr>
        <w:spacing w:line="360" w:lineRule="auto"/>
        <w:rPr>
          <w:rFonts w:hint="eastAsia" w:ascii="宋体" w:hAnsi="宋体" w:cs="宋体"/>
          <w:bCs/>
          <w:sz w:val="28"/>
          <w:szCs w:val="28"/>
          <w:highlight w:val="none"/>
        </w:rPr>
      </w:pPr>
      <w:r>
        <w:rPr>
          <w:rFonts w:hint="eastAsia" w:ascii="宋体" w:hAnsi="宋体" w:cs="宋体"/>
          <w:bCs/>
          <w:sz w:val="28"/>
          <w:szCs w:val="28"/>
          <w:highlight w:val="none"/>
        </w:rPr>
        <w:t xml:space="preserve">        </w:t>
      </w:r>
    </w:p>
    <w:p>
      <w:pPr>
        <w:spacing w:after="312" w:afterLines="100" w:line="500" w:lineRule="exact"/>
        <w:ind w:left="19" w:hanging="19" w:hangingChars="6"/>
        <w:jc w:val="center"/>
        <w:rPr>
          <w:rFonts w:hint="eastAsia" w:ascii="宋体" w:hAnsi="宋体" w:cs="宋体"/>
          <w:b/>
          <w:sz w:val="32"/>
          <w:szCs w:val="32"/>
          <w:highlight w:val="none"/>
        </w:rPr>
      </w:pPr>
    </w:p>
    <w:p>
      <w:pPr>
        <w:pStyle w:val="20"/>
        <w:ind w:firstLine="210"/>
        <w:rPr>
          <w:rFonts w:hint="eastAsia" w:ascii="宋体" w:hAnsi="宋体" w:cs="宋体"/>
          <w:highlight w:val="none"/>
        </w:rPr>
      </w:pPr>
    </w:p>
    <w:p>
      <w:pPr>
        <w:rPr>
          <w:rFonts w:hint="eastAsia" w:ascii="宋体" w:hAnsi="宋体" w:cs="宋体"/>
          <w:highlight w:val="none"/>
        </w:rPr>
      </w:pPr>
    </w:p>
    <w:p>
      <w:pPr>
        <w:spacing w:after="156" w:afterLines="50" w:line="500" w:lineRule="exact"/>
        <w:rPr>
          <w:rFonts w:hint="eastAsia" w:ascii="宋体" w:hAnsi="宋体" w:cs="宋体"/>
          <w:b/>
          <w:sz w:val="32"/>
          <w:szCs w:val="32"/>
          <w:highlight w:val="none"/>
        </w:rPr>
      </w:pPr>
    </w:p>
    <w:p>
      <w:pPr>
        <w:spacing w:after="156" w:afterLines="50" w:line="500" w:lineRule="exact"/>
        <w:ind w:left="19" w:hanging="19" w:hangingChars="6"/>
        <w:jc w:val="center"/>
        <w:rPr>
          <w:rFonts w:ascii="仿宋" w:hAnsi="仿宋" w:eastAsia="仿宋" w:cs="仿宋"/>
          <w:b/>
          <w:sz w:val="44"/>
          <w:szCs w:val="44"/>
          <w:highlight w:val="none"/>
        </w:rPr>
      </w:pPr>
      <w:r>
        <w:rPr>
          <w:rFonts w:hint="eastAsia" w:ascii="宋体" w:hAnsi="宋体" w:cs="宋体"/>
          <w:b/>
          <w:sz w:val="32"/>
          <w:szCs w:val="32"/>
          <w:highlight w:val="none"/>
        </w:rPr>
        <w:br w:type="page"/>
      </w:r>
      <w:r>
        <w:rPr>
          <w:rFonts w:hint="eastAsia" w:ascii="黑体" w:hAnsi="黑体" w:eastAsia="黑体" w:cs="黑体"/>
          <w:b/>
          <w:sz w:val="32"/>
          <w:szCs w:val="32"/>
          <w:highlight w:val="none"/>
        </w:rPr>
        <w:t>附件9、投标函</w:t>
      </w:r>
    </w:p>
    <w:p>
      <w:pPr>
        <w:spacing w:line="360" w:lineRule="auto"/>
        <w:ind w:left="14" w:hanging="14" w:hangingChars="6"/>
        <w:rPr>
          <w:rFonts w:hint="eastAsia" w:ascii="宋体" w:hAnsi="宋体" w:cs="宋体"/>
          <w:sz w:val="24"/>
          <w:highlight w:val="none"/>
        </w:rPr>
      </w:pPr>
      <w:r>
        <w:rPr>
          <w:rFonts w:hint="eastAsia" w:ascii="宋体" w:hAnsi="宋体" w:cs="宋体"/>
          <w:sz w:val="24"/>
          <w:highlight w:val="none"/>
          <w:u w:val="single"/>
        </w:rPr>
        <w:t xml:space="preserve"> 金华市梅溪流域管理中心 </w:t>
      </w:r>
      <w:r>
        <w:rPr>
          <w:rFonts w:hint="eastAsia" w:ascii="宋体" w:hAnsi="宋体" w:cs="宋体"/>
          <w:sz w:val="24"/>
          <w:highlight w:val="none"/>
        </w:rPr>
        <w:t>：</w:t>
      </w:r>
    </w:p>
    <w:p>
      <w:pPr>
        <w:spacing w:after="156" w:afterLines="50" w:line="360" w:lineRule="auto"/>
        <w:ind w:left="14" w:hanging="14" w:hangingChars="6"/>
        <w:rPr>
          <w:rFonts w:hint="eastAsia" w:ascii="宋体" w:hAnsi="宋体" w:cs="宋体"/>
          <w:sz w:val="24"/>
          <w:highlight w:val="none"/>
        </w:rPr>
      </w:pPr>
      <w:r>
        <w:rPr>
          <w:rFonts w:hint="eastAsia" w:ascii="宋体" w:hAnsi="宋体" w:cs="宋体"/>
          <w:sz w:val="24"/>
          <w:highlight w:val="none"/>
          <w:u w:val="single"/>
        </w:rPr>
        <w:t xml:space="preserve"> 浙江金穗工程项目管理有限公司 </w:t>
      </w:r>
      <w:r>
        <w:rPr>
          <w:rFonts w:hint="eastAsia" w:ascii="宋体" w:hAnsi="宋体" w:cs="宋体"/>
          <w:sz w:val="24"/>
          <w:highlight w:val="none"/>
        </w:rPr>
        <w:t>：</w:t>
      </w:r>
    </w:p>
    <w:p>
      <w:pPr>
        <w:pStyle w:val="24"/>
        <w:wordWrap w:val="0"/>
        <w:spacing w:line="360" w:lineRule="auto"/>
        <w:ind w:left="14" w:hanging="14" w:hangingChars="6"/>
        <w:rPr>
          <w:rFonts w:hint="eastAsia" w:hAnsi="宋体" w:cs="仿宋"/>
          <w:sz w:val="24"/>
          <w:highlight w:val="none"/>
        </w:rPr>
      </w:pPr>
      <w:r>
        <w:rPr>
          <w:rFonts w:hint="eastAsia" w:hAnsi="宋体" w:cs="仿宋"/>
          <w:sz w:val="24"/>
          <w:highlight w:val="none"/>
          <w:u w:val="single"/>
        </w:rPr>
        <w:t xml:space="preserve">            </w:t>
      </w:r>
      <w:r>
        <w:rPr>
          <w:rFonts w:hint="eastAsia" w:hAnsi="宋体" w:cs="仿宋"/>
          <w:sz w:val="24"/>
          <w:highlight w:val="none"/>
        </w:rPr>
        <w:t>（投标供应商全称）参加贵方组织的</w:t>
      </w:r>
      <w:r>
        <w:rPr>
          <w:rFonts w:hint="eastAsia" w:hAnsi="宋体" w:cs="仿宋"/>
          <w:sz w:val="24"/>
          <w:highlight w:val="none"/>
          <w:u w:val="single"/>
        </w:rPr>
        <w:t xml:space="preserve"> 金华市梅溪流域管理中心 </w:t>
      </w:r>
      <w:r>
        <w:rPr>
          <w:rFonts w:hint="eastAsia" w:hAnsi="宋体" w:cs="仿宋"/>
          <w:sz w:val="24"/>
          <w:highlight w:val="none"/>
        </w:rPr>
        <w:t>（采购人）</w:t>
      </w:r>
      <w:r>
        <w:rPr>
          <w:rFonts w:hint="eastAsia" w:hAnsi="宋体" w:cs="仿宋"/>
          <w:sz w:val="24"/>
          <w:highlight w:val="none"/>
          <w:u w:val="single"/>
        </w:rPr>
        <w:t xml:space="preserve"> 金华市安地灌区续建配套与节水改造项目（2021-2022年）调增项目灌溉节水宣传馆 </w:t>
      </w:r>
      <w:r>
        <w:rPr>
          <w:rFonts w:hint="eastAsia" w:hAnsi="宋体" w:cs="仿宋"/>
          <w:sz w:val="24"/>
          <w:highlight w:val="none"/>
        </w:rPr>
        <w:t>（项目名称）</w:t>
      </w:r>
      <w:r>
        <w:rPr>
          <w:rFonts w:hint="eastAsia" w:hAnsi="宋体" w:cs="仿宋"/>
          <w:sz w:val="24"/>
          <w:highlight w:val="none"/>
          <w:u w:val="single"/>
        </w:rPr>
        <w:t xml:space="preserve"> ZJJS2023-ZFCG001 </w:t>
      </w:r>
      <w:r>
        <w:rPr>
          <w:rFonts w:hint="eastAsia" w:hAnsi="宋体" w:cs="仿宋"/>
          <w:sz w:val="24"/>
          <w:highlight w:val="none"/>
        </w:rPr>
        <w:t>（项目编号）招标的有关活动，并对</w:t>
      </w:r>
      <w:r>
        <w:rPr>
          <w:rFonts w:hint="eastAsia" w:hAnsi="宋体" w:cs="仿宋"/>
          <w:sz w:val="24"/>
          <w:highlight w:val="none"/>
          <w:u w:val="single"/>
        </w:rPr>
        <w:t xml:space="preserve"> 金华市安地灌区续建配套与节水改造项目（2021-2022年）调增项目灌溉节水宣传馆 </w:t>
      </w:r>
      <w:r>
        <w:rPr>
          <w:rFonts w:hint="eastAsia" w:hAnsi="宋体" w:cs="仿宋"/>
          <w:sz w:val="24"/>
          <w:highlight w:val="none"/>
        </w:rPr>
        <w:t>进行投标。为此我方郑重承诺：</w:t>
      </w:r>
    </w:p>
    <w:p>
      <w:pPr>
        <w:pStyle w:val="24"/>
        <w:spacing w:line="360" w:lineRule="auto"/>
        <w:ind w:left="14" w:hanging="14" w:hangingChars="6"/>
        <w:rPr>
          <w:rFonts w:hint="eastAsia" w:hAnsi="宋体" w:cs="仿宋"/>
          <w:sz w:val="24"/>
          <w:highlight w:val="none"/>
        </w:rPr>
      </w:pPr>
      <w:r>
        <w:rPr>
          <w:rFonts w:hint="eastAsia" w:hAnsi="宋体" w:cs="仿宋"/>
          <w:sz w:val="24"/>
          <w:highlight w:val="none"/>
        </w:rPr>
        <w:t>1、我方已详细审查全部“招标文件”，包括修改文件（如有的话）以及全部参考资料和有关附件，已经了解我方对于招标文件、采购过程、采购结果有依法进行询问、质疑、投诉的权利及相关渠道和要求。</w:t>
      </w:r>
    </w:p>
    <w:p>
      <w:pPr>
        <w:pStyle w:val="24"/>
        <w:spacing w:line="360" w:lineRule="auto"/>
        <w:ind w:left="14" w:hanging="14" w:hangingChars="6"/>
        <w:rPr>
          <w:rFonts w:hint="eastAsia" w:hAnsi="宋体" w:cs="仿宋"/>
          <w:sz w:val="24"/>
          <w:highlight w:val="none"/>
        </w:rPr>
      </w:pPr>
      <w:r>
        <w:rPr>
          <w:rFonts w:hint="eastAsia" w:hAnsi="宋体" w:cs="仿宋"/>
          <w:sz w:val="24"/>
          <w:highlight w:val="none"/>
        </w:rPr>
        <w:t>2、我方在投标之前已经与贵方进行了充分的沟通，我方理解并完全接受招标文件的各项规定和要求，对招标文件的合理性、合法性不再有异议。</w:t>
      </w:r>
    </w:p>
    <w:p>
      <w:pPr>
        <w:pStyle w:val="24"/>
        <w:spacing w:line="360" w:lineRule="auto"/>
        <w:ind w:left="14" w:hanging="14" w:hangingChars="6"/>
        <w:rPr>
          <w:rFonts w:hint="eastAsia" w:hAnsi="宋体" w:cs="仿宋"/>
          <w:sz w:val="24"/>
          <w:highlight w:val="none"/>
        </w:rPr>
      </w:pPr>
      <w:r>
        <w:rPr>
          <w:rFonts w:hint="eastAsia" w:hAnsi="宋体" w:cs="仿宋"/>
          <w:sz w:val="24"/>
          <w:highlight w:val="none"/>
        </w:rPr>
        <w:t>3、承诺在投标人须知规定的投标截止日起遵守本投标文件中的承诺，且在投标有效期满之前均具有约束力。本投标文件的有效期为自投标截止时间起90天。</w:t>
      </w:r>
    </w:p>
    <w:p>
      <w:pPr>
        <w:pStyle w:val="24"/>
        <w:spacing w:line="360" w:lineRule="auto"/>
        <w:ind w:left="14" w:hanging="14" w:hangingChars="6"/>
        <w:rPr>
          <w:rFonts w:hAnsi="宋体" w:cs="仿宋"/>
          <w:sz w:val="24"/>
          <w:highlight w:val="none"/>
        </w:rPr>
      </w:pPr>
      <w:r>
        <w:rPr>
          <w:rFonts w:hint="eastAsia" w:hAnsi="宋体" w:cs="仿宋"/>
          <w:sz w:val="24"/>
          <w:highlight w:val="none"/>
        </w:rPr>
        <w:t>4、投标报价详见《开标一览表》。</w:t>
      </w:r>
    </w:p>
    <w:p>
      <w:pPr>
        <w:pStyle w:val="24"/>
        <w:spacing w:line="360" w:lineRule="auto"/>
        <w:ind w:left="14" w:hanging="14" w:hangingChars="6"/>
        <w:rPr>
          <w:rFonts w:hint="eastAsia" w:hAnsi="宋体" w:cs="仿宋"/>
          <w:sz w:val="24"/>
          <w:highlight w:val="none"/>
        </w:rPr>
      </w:pPr>
      <w:r>
        <w:rPr>
          <w:rFonts w:hint="eastAsia" w:hAnsi="宋体" w:cs="仿宋"/>
          <w:sz w:val="24"/>
          <w:highlight w:val="none"/>
        </w:rPr>
        <w:t xml:space="preserve">5、承诺已经具备招标文件规定的投标人应具备的资格条件。 </w:t>
      </w:r>
    </w:p>
    <w:p>
      <w:pPr>
        <w:pStyle w:val="24"/>
        <w:spacing w:line="360" w:lineRule="auto"/>
        <w:ind w:left="14" w:hanging="14" w:hangingChars="6"/>
        <w:rPr>
          <w:rFonts w:hAnsi="宋体" w:cs="仿宋"/>
          <w:sz w:val="24"/>
          <w:highlight w:val="none"/>
        </w:rPr>
      </w:pPr>
      <w:r>
        <w:rPr>
          <w:rFonts w:hint="eastAsia" w:hAnsi="宋体" w:cs="仿宋"/>
          <w:sz w:val="24"/>
          <w:highlight w:val="none"/>
        </w:rPr>
        <w:t xml:space="preserve">6、提供投标人须知规定的全部投标文件。 </w:t>
      </w:r>
    </w:p>
    <w:p>
      <w:pPr>
        <w:pStyle w:val="24"/>
        <w:spacing w:line="360" w:lineRule="auto"/>
        <w:ind w:left="14" w:hanging="14" w:hangingChars="6"/>
        <w:rPr>
          <w:rFonts w:hAnsi="宋体" w:cs="仿宋"/>
          <w:sz w:val="24"/>
          <w:highlight w:val="none"/>
        </w:rPr>
      </w:pPr>
      <w:r>
        <w:rPr>
          <w:rFonts w:hint="eastAsia" w:hAnsi="宋体" w:cs="仿宋"/>
          <w:sz w:val="24"/>
          <w:highlight w:val="none"/>
        </w:rPr>
        <w:t xml:space="preserve">7、保证遵守招标文件中的其他有关规定。 </w:t>
      </w:r>
    </w:p>
    <w:p>
      <w:pPr>
        <w:pStyle w:val="24"/>
        <w:spacing w:line="360" w:lineRule="auto"/>
        <w:ind w:left="14" w:hanging="14" w:hangingChars="6"/>
        <w:rPr>
          <w:rFonts w:hAnsi="宋体" w:cs="仿宋"/>
          <w:sz w:val="24"/>
          <w:highlight w:val="none"/>
        </w:rPr>
      </w:pPr>
      <w:r>
        <w:rPr>
          <w:rFonts w:hint="eastAsia" w:hAnsi="宋体" w:cs="仿宋"/>
          <w:sz w:val="24"/>
          <w:highlight w:val="none"/>
        </w:rPr>
        <w:t xml:space="preserve">8、完全理解不一定接受最低价中标。 </w:t>
      </w:r>
    </w:p>
    <w:p>
      <w:pPr>
        <w:pStyle w:val="24"/>
        <w:spacing w:line="360" w:lineRule="auto"/>
        <w:ind w:left="14" w:hanging="14" w:hangingChars="6"/>
        <w:rPr>
          <w:rFonts w:hint="eastAsia" w:hAnsi="宋体" w:cs="仿宋"/>
          <w:sz w:val="24"/>
          <w:highlight w:val="none"/>
        </w:rPr>
      </w:pPr>
      <w:r>
        <w:rPr>
          <w:rFonts w:hint="eastAsia" w:hAnsi="宋体" w:cs="仿宋"/>
          <w:sz w:val="24"/>
          <w:highlight w:val="none"/>
        </w:rPr>
        <w:t>9、我方自愿参加本项目的投标，并保证投标文件中所列举的投标报价文件及相关资料和公司基本情况资料是真实的、合法的。愿意向贵方提供任何与该项目投标有关的数据、情况和技术资料。若贵方需要，愿意提供我方做出的一切承诺的证明材料。</w:t>
      </w:r>
    </w:p>
    <w:p>
      <w:pPr>
        <w:pStyle w:val="24"/>
        <w:spacing w:line="360" w:lineRule="auto"/>
        <w:ind w:left="14" w:hanging="14" w:hangingChars="6"/>
        <w:rPr>
          <w:rFonts w:hint="eastAsia" w:hAnsi="宋体" w:cs="仿宋"/>
          <w:sz w:val="24"/>
          <w:highlight w:val="none"/>
        </w:rPr>
      </w:pPr>
      <w:r>
        <w:rPr>
          <w:rFonts w:hint="eastAsia" w:hAnsi="宋体" w:cs="仿宋"/>
          <w:sz w:val="24"/>
          <w:highlight w:val="none"/>
        </w:rPr>
        <w:t>10、保证忠实地执行双方所签订的合同，并承担合同规定的责任和义务。</w:t>
      </w:r>
    </w:p>
    <w:p>
      <w:pPr>
        <w:pStyle w:val="24"/>
        <w:spacing w:line="360" w:lineRule="auto"/>
        <w:ind w:left="14" w:hanging="14" w:hangingChars="6"/>
        <w:rPr>
          <w:rFonts w:hAnsi="宋体" w:cs="仿宋"/>
          <w:sz w:val="24"/>
          <w:highlight w:val="none"/>
        </w:rPr>
      </w:pPr>
      <w:r>
        <w:rPr>
          <w:rFonts w:hint="eastAsia" w:hAnsi="宋体" w:cs="仿宋"/>
          <w:sz w:val="24"/>
          <w:highlight w:val="none"/>
        </w:rPr>
        <w:t xml:space="preserve">11、承诺，招标过程中不存在以下行为： </w:t>
      </w:r>
    </w:p>
    <w:p>
      <w:pPr>
        <w:pStyle w:val="24"/>
        <w:spacing w:line="360" w:lineRule="auto"/>
        <w:ind w:left="14" w:hanging="14" w:hangingChars="6"/>
        <w:rPr>
          <w:rFonts w:hint="eastAsia" w:hAnsi="宋体" w:cs="仿宋"/>
          <w:sz w:val="24"/>
          <w:highlight w:val="none"/>
        </w:rPr>
      </w:pPr>
      <w:r>
        <w:rPr>
          <w:rFonts w:hint="eastAsia" w:hAnsi="宋体" w:cs="仿宋"/>
          <w:sz w:val="24"/>
          <w:highlight w:val="none"/>
        </w:rPr>
        <w:t xml:space="preserve">（1）提供虚假材料谋取中标、成交的； </w:t>
      </w:r>
    </w:p>
    <w:p>
      <w:pPr>
        <w:pStyle w:val="24"/>
        <w:spacing w:line="360" w:lineRule="auto"/>
        <w:ind w:left="14" w:hanging="14" w:hangingChars="6"/>
        <w:rPr>
          <w:rFonts w:hint="eastAsia" w:hAnsi="宋体" w:cs="仿宋"/>
          <w:sz w:val="24"/>
          <w:highlight w:val="none"/>
        </w:rPr>
      </w:pPr>
      <w:r>
        <w:rPr>
          <w:rFonts w:hint="eastAsia" w:hAnsi="宋体" w:cs="仿宋"/>
          <w:sz w:val="24"/>
          <w:highlight w:val="none"/>
        </w:rPr>
        <w:t xml:space="preserve">（2）采取不正当手段诋毁、排挤其他投标人的；  </w:t>
      </w:r>
    </w:p>
    <w:p>
      <w:pPr>
        <w:pStyle w:val="24"/>
        <w:spacing w:line="360" w:lineRule="auto"/>
        <w:ind w:left="14" w:hanging="14" w:hangingChars="6"/>
        <w:rPr>
          <w:rFonts w:hint="eastAsia" w:hAnsi="宋体" w:cs="仿宋"/>
          <w:sz w:val="24"/>
          <w:highlight w:val="none"/>
        </w:rPr>
      </w:pPr>
      <w:r>
        <w:rPr>
          <w:rFonts w:hint="eastAsia" w:hAnsi="宋体" w:cs="仿宋"/>
          <w:sz w:val="24"/>
          <w:highlight w:val="none"/>
        </w:rPr>
        <w:t xml:space="preserve">（3）与采购人、其他投标人或者采购代理机构恶意串通的；  </w:t>
      </w:r>
    </w:p>
    <w:p>
      <w:pPr>
        <w:pStyle w:val="24"/>
        <w:spacing w:line="360" w:lineRule="auto"/>
        <w:ind w:left="14" w:hanging="14" w:hangingChars="6"/>
        <w:rPr>
          <w:rFonts w:hint="eastAsia" w:hAnsi="宋体" w:cs="仿宋"/>
          <w:sz w:val="24"/>
          <w:highlight w:val="none"/>
        </w:rPr>
      </w:pPr>
      <w:r>
        <w:rPr>
          <w:rFonts w:hint="eastAsia" w:hAnsi="宋体" w:cs="仿宋"/>
          <w:sz w:val="24"/>
          <w:highlight w:val="none"/>
        </w:rPr>
        <w:t xml:space="preserve">（4）向采购人、采购代理机构行贿或者提供其他不正当利益的；  </w:t>
      </w:r>
    </w:p>
    <w:p>
      <w:pPr>
        <w:pStyle w:val="24"/>
        <w:spacing w:line="360" w:lineRule="auto"/>
        <w:ind w:left="14" w:hanging="14" w:hangingChars="6"/>
        <w:rPr>
          <w:rFonts w:hint="eastAsia" w:hAnsi="宋体" w:cs="仿宋"/>
          <w:sz w:val="24"/>
          <w:highlight w:val="none"/>
        </w:rPr>
      </w:pPr>
      <w:r>
        <w:rPr>
          <w:rFonts w:hint="eastAsia" w:hAnsi="宋体" w:cs="仿宋"/>
          <w:sz w:val="24"/>
          <w:highlight w:val="none"/>
        </w:rPr>
        <w:t xml:space="preserve">（5）在招标采购过程中与采购人进行协商谈判的；  </w:t>
      </w:r>
    </w:p>
    <w:p>
      <w:pPr>
        <w:pStyle w:val="24"/>
        <w:spacing w:line="360" w:lineRule="auto"/>
        <w:ind w:left="14" w:hanging="14" w:hangingChars="6"/>
        <w:rPr>
          <w:rFonts w:hint="eastAsia" w:hAnsi="宋体" w:cs="仿宋"/>
          <w:sz w:val="24"/>
          <w:highlight w:val="none"/>
        </w:rPr>
      </w:pPr>
      <w:r>
        <w:rPr>
          <w:rFonts w:hint="eastAsia" w:hAnsi="宋体" w:cs="仿宋"/>
          <w:sz w:val="24"/>
          <w:highlight w:val="none"/>
        </w:rPr>
        <w:t>（6）拒绝有关部门监督检查或者提供虚假情况的。</w:t>
      </w:r>
    </w:p>
    <w:p>
      <w:pPr>
        <w:pStyle w:val="24"/>
        <w:spacing w:line="360" w:lineRule="auto"/>
        <w:ind w:left="14" w:hanging="14" w:hangingChars="6"/>
        <w:rPr>
          <w:rFonts w:hAnsi="宋体" w:cs="仿宋"/>
          <w:sz w:val="24"/>
          <w:highlight w:val="none"/>
        </w:rPr>
      </w:pPr>
      <w:r>
        <w:rPr>
          <w:rFonts w:hint="eastAsia" w:hAnsi="宋体" w:cs="仿宋"/>
          <w:sz w:val="24"/>
          <w:highlight w:val="none"/>
        </w:rPr>
        <w:t xml:space="preserve"> 12、承诺，投标文件有效期内我方如果撤销投标文件的，我方接受采购人提出的索赔。 </w:t>
      </w:r>
    </w:p>
    <w:p>
      <w:pPr>
        <w:pStyle w:val="24"/>
        <w:spacing w:line="360" w:lineRule="auto"/>
        <w:ind w:firstLine="480" w:firstLineChars="200"/>
        <w:rPr>
          <w:rFonts w:hint="eastAsia" w:hAnsi="宋体" w:cs="仿宋"/>
          <w:sz w:val="24"/>
          <w:highlight w:val="none"/>
        </w:rPr>
      </w:pPr>
      <w:r>
        <w:rPr>
          <w:rFonts w:hint="eastAsia" w:hAnsi="宋体" w:cs="仿宋"/>
          <w:sz w:val="24"/>
          <w:highlight w:val="none"/>
        </w:rPr>
        <w:t>如违反上述承诺，贵方有权立即取消我方投标、中标资格，由此引起的相应损失均由我方承担。</w:t>
      </w:r>
    </w:p>
    <w:p>
      <w:pPr>
        <w:pStyle w:val="24"/>
        <w:spacing w:line="360" w:lineRule="auto"/>
        <w:ind w:left="14" w:hanging="14" w:hangingChars="6"/>
        <w:rPr>
          <w:rFonts w:hint="eastAsia" w:hAnsi="宋体" w:cs="仿宋"/>
          <w:sz w:val="24"/>
          <w:highlight w:val="none"/>
        </w:rPr>
      </w:pPr>
    </w:p>
    <w:p>
      <w:pPr>
        <w:pStyle w:val="24"/>
        <w:spacing w:line="360" w:lineRule="auto"/>
        <w:ind w:left="14" w:hanging="14" w:hangingChars="6"/>
        <w:rPr>
          <w:rFonts w:hint="eastAsia" w:hAnsi="宋体" w:cs="仿宋"/>
          <w:sz w:val="24"/>
          <w:highlight w:val="none"/>
        </w:rPr>
      </w:pPr>
      <w:r>
        <w:rPr>
          <w:rFonts w:hint="eastAsia" w:hAnsi="宋体" w:cs="仿宋"/>
          <w:sz w:val="24"/>
          <w:highlight w:val="none"/>
        </w:rPr>
        <w:t>投标供应商全称（公章）：</w:t>
      </w:r>
    </w:p>
    <w:p>
      <w:pPr>
        <w:pStyle w:val="24"/>
        <w:spacing w:line="360" w:lineRule="auto"/>
        <w:ind w:left="14" w:hanging="14" w:hangingChars="6"/>
        <w:rPr>
          <w:rFonts w:hint="eastAsia" w:hAnsi="宋体" w:cs="仿宋"/>
          <w:sz w:val="24"/>
          <w:highlight w:val="none"/>
        </w:rPr>
      </w:pPr>
      <w:r>
        <w:rPr>
          <w:rFonts w:hint="eastAsia" w:hAnsi="宋体" w:cs="仿宋"/>
          <w:sz w:val="24"/>
          <w:highlight w:val="none"/>
        </w:rPr>
        <w:t>法定代表人(负责人）或授权代表（签字或盖章）：</w:t>
      </w:r>
    </w:p>
    <w:p>
      <w:pPr>
        <w:pStyle w:val="24"/>
        <w:spacing w:line="360" w:lineRule="auto"/>
        <w:ind w:left="14" w:hanging="14" w:hangingChars="6"/>
        <w:rPr>
          <w:rFonts w:hAnsi="宋体" w:cs="仿宋"/>
          <w:sz w:val="24"/>
          <w:highlight w:val="none"/>
        </w:rPr>
      </w:pPr>
      <w:r>
        <w:rPr>
          <w:rFonts w:hint="eastAsia" w:hAnsi="宋体" w:cs="仿宋"/>
          <w:sz w:val="24"/>
          <w:highlight w:val="none"/>
        </w:rPr>
        <w:t>地址：</w:t>
      </w:r>
    </w:p>
    <w:p>
      <w:pPr>
        <w:pStyle w:val="24"/>
        <w:spacing w:line="360" w:lineRule="auto"/>
        <w:ind w:left="14" w:hanging="14" w:hangingChars="6"/>
        <w:rPr>
          <w:rFonts w:hint="eastAsia" w:hAnsi="宋体" w:cs="仿宋"/>
          <w:sz w:val="24"/>
          <w:highlight w:val="none"/>
        </w:rPr>
      </w:pPr>
      <w:r>
        <w:rPr>
          <w:rFonts w:hint="eastAsia" w:hAnsi="宋体" w:cs="仿宋"/>
          <w:sz w:val="24"/>
          <w:highlight w:val="none"/>
        </w:rPr>
        <w:t>联系电话：</w:t>
      </w:r>
    </w:p>
    <w:p>
      <w:pPr>
        <w:pStyle w:val="24"/>
        <w:spacing w:line="360" w:lineRule="auto"/>
        <w:ind w:left="14" w:hanging="14" w:hangingChars="6"/>
        <w:rPr>
          <w:rFonts w:hAnsi="宋体" w:cs="仿宋"/>
          <w:sz w:val="24"/>
          <w:highlight w:val="none"/>
        </w:rPr>
      </w:pPr>
      <w:r>
        <w:rPr>
          <w:rFonts w:hint="eastAsia" w:hAnsi="宋体" w:cs="仿宋"/>
          <w:sz w:val="24"/>
          <w:highlight w:val="none"/>
        </w:rPr>
        <w:t>传真：</w:t>
      </w:r>
    </w:p>
    <w:p>
      <w:pPr>
        <w:pStyle w:val="24"/>
        <w:spacing w:line="360" w:lineRule="auto"/>
        <w:ind w:left="14" w:hanging="14" w:hangingChars="6"/>
        <w:rPr>
          <w:rFonts w:hAnsi="宋体" w:cs="仿宋"/>
          <w:sz w:val="24"/>
          <w:highlight w:val="none"/>
        </w:rPr>
      </w:pPr>
      <w:r>
        <w:rPr>
          <w:rFonts w:hint="eastAsia" w:hAnsi="宋体" w:cs="仿宋"/>
          <w:sz w:val="24"/>
          <w:highlight w:val="none"/>
        </w:rPr>
        <w:t>邮箱：</w:t>
      </w:r>
    </w:p>
    <w:p>
      <w:pPr>
        <w:pStyle w:val="24"/>
        <w:spacing w:line="360" w:lineRule="auto"/>
        <w:ind w:left="14" w:hanging="14" w:hangingChars="6"/>
        <w:rPr>
          <w:rFonts w:hint="eastAsia" w:hAnsi="宋体" w:cs="仿宋"/>
          <w:sz w:val="24"/>
          <w:highlight w:val="none"/>
        </w:rPr>
      </w:pPr>
      <w:r>
        <w:rPr>
          <w:rFonts w:hint="eastAsia" w:hAnsi="宋体" w:cs="仿宋"/>
          <w:sz w:val="24"/>
          <w:highlight w:val="none"/>
        </w:rPr>
        <w:t>开户银行：</w:t>
      </w:r>
    </w:p>
    <w:p>
      <w:pPr>
        <w:pStyle w:val="24"/>
        <w:spacing w:line="360" w:lineRule="auto"/>
        <w:ind w:left="14" w:hanging="14" w:hangingChars="6"/>
        <w:rPr>
          <w:rFonts w:hAnsi="宋体" w:cs="仿宋"/>
          <w:sz w:val="24"/>
          <w:highlight w:val="none"/>
        </w:rPr>
      </w:pPr>
      <w:r>
        <w:rPr>
          <w:rFonts w:hint="eastAsia" w:hAnsi="宋体" w:cs="仿宋"/>
          <w:sz w:val="24"/>
          <w:highlight w:val="none"/>
        </w:rPr>
        <w:t>银行账号：</w:t>
      </w:r>
    </w:p>
    <w:p>
      <w:pPr>
        <w:pStyle w:val="24"/>
        <w:spacing w:line="360" w:lineRule="auto"/>
        <w:ind w:left="14" w:hanging="14" w:hangingChars="6"/>
        <w:rPr>
          <w:rFonts w:hint="eastAsia" w:hAnsi="宋体" w:cs="仿宋"/>
          <w:sz w:val="24"/>
          <w:highlight w:val="none"/>
        </w:rPr>
      </w:pPr>
      <w:r>
        <w:rPr>
          <w:rFonts w:hint="eastAsia" w:hAnsi="宋体" w:cs="仿宋"/>
          <w:sz w:val="24"/>
          <w:highlight w:val="none"/>
        </w:rPr>
        <w:t>日期：      年    月    日</w:t>
      </w:r>
    </w:p>
    <w:p>
      <w:pPr>
        <w:pStyle w:val="24"/>
        <w:wordWrap w:val="0"/>
        <w:spacing w:line="312" w:lineRule="auto"/>
        <w:ind w:left="14" w:hanging="14" w:hangingChars="6"/>
        <w:rPr>
          <w:rFonts w:hint="eastAsia" w:hAnsi="宋体" w:cs="仿宋"/>
          <w:sz w:val="24"/>
          <w:highlight w:val="none"/>
        </w:rPr>
      </w:pPr>
    </w:p>
    <w:p>
      <w:pPr>
        <w:spacing w:before="312" w:beforeLines="100" w:after="156" w:afterLines="50" w:line="360" w:lineRule="auto"/>
        <w:rPr>
          <w:rFonts w:hint="eastAsia" w:ascii="黑体" w:hAnsi="黑体" w:eastAsia="黑体" w:cs="黑体"/>
          <w:b/>
          <w:sz w:val="15"/>
          <w:szCs w:val="15"/>
          <w:highlight w:val="none"/>
        </w:rPr>
      </w:pPr>
    </w:p>
    <w:p>
      <w:pPr>
        <w:spacing w:after="156" w:afterLines="50" w:line="500" w:lineRule="exact"/>
        <w:ind w:left="19" w:hanging="19" w:hangingChars="6"/>
        <w:jc w:val="center"/>
        <w:rPr>
          <w:rFonts w:hint="eastAsia" w:ascii="黑体" w:hAnsi="黑体" w:eastAsia="黑体" w:cs="黑体"/>
          <w:b/>
          <w:sz w:val="32"/>
          <w:szCs w:val="32"/>
          <w:highlight w:val="none"/>
        </w:rPr>
      </w:pPr>
    </w:p>
    <w:p>
      <w:pPr>
        <w:spacing w:after="156" w:afterLines="50" w:line="500" w:lineRule="exact"/>
        <w:ind w:left="19" w:hanging="19" w:hangingChars="6"/>
        <w:jc w:val="center"/>
        <w:rPr>
          <w:rFonts w:hint="eastAsia" w:ascii="黑体" w:hAnsi="黑体" w:eastAsia="黑体" w:cs="黑体"/>
          <w:b/>
          <w:sz w:val="32"/>
          <w:szCs w:val="32"/>
          <w:highlight w:val="none"/>
        </w:rPr>
      </w:pPr>
    </w:p>
    <w:p>
      <w:pPr>
        <w:spacing w:after="156" w:afterLines="50" w:line="500" w:lineRule="exact"/>
        <w:ind w:left="19" w:hanging="19" w:hangingChars="6"/>
        <w:jc w:val="center"/>
        <w:rPr>
          <w:rFonts w:hint="eastAsia" w:ascii="黑体" w:hAnsi="黑体" w:eastAsia="黑体" w:cs="黑体"/>
          <w:b/>
          <w:sz w:val="32"/>
          <w:szCs w:val="32"/>
          <w:highlight w:val="none"/>
        </w:rPr>
      </w:pPr>
    </w:p>
    <w:p>
      <w:pPr>
        <w:spacing w:after="156" w:afterLines="50" w:line="500" w:lineRule="exact"/>
        <w:ind w:left="19" w:hanging="19" w:hangingChars="6"/>
        <w:jc w:val="center"/>
        <w:rPr>
          <w:rFonts w:hint="eastAsia" w:ascii="黑体" w:hAnsi="黑体" w:eastAsia="黑体" w:cs="黑体"/>
          <w:b/>
          <w:sz w:val="32"/>
          <w:szCs w:val="32"/>
          <w:highlight w:val="none"/>
        </w:rPr>
      </w:pPr>
    </w:p>
    <w:p>
      <w:pPr>
        <w:spacing w:after="156" w:afterLines="50" w:line="500" w:lineRule="exact"/>
        <w:ind w:left="19" w:hanging="19" w:hangingChars="6"/>
        <w:jc w:val="center"/>
        <w:rPr>
          <w:rFonts w:hint="eastAsia" w:ascii="黑体" w:hAnsi="黑体" w:eastAsia="黑体" w:cs="黑体"/>
          <w:b/>
          <w:sz w:val="32"/>
          <w:szCs w:val="32"/>
          <w:highlight w:val="none"/>
        </w:rPr>
      </w:pPr>
    </w:p>
    <w:p>
      <w:pPr>
        <w:pStyle w:val="20"/>
        <w:ind w:firstLine="0" w:firstLineChars="0"/>
        <w:rPr>
          <w:rFonts w:hint="eastAsia" w:ascii="黑体" w:hAnsi="黑体" w:eastAsia="黑体" w:cs="黑体"/>
          <w:b/>
          <w:sz w:val="32"/>
          <w:szCs w:val="32"/>
          <w:highlight w:val="none"/>
        </w:rPr>
      </w:pPr>
    </w:p>
    <w:p>
      <w:pPr>
        <w:pStyle w:val="19"/>
        <w:rPr>
          <w:rFonts w:hint="eastAsia"/>
          <w:highlight w:val="none"/>
        </w:rPr>
      </w:pPr>
    </w:p>
    <w:p>
      <w:pPr>
        <w:pStyle w:val="20"/>
        <w:ind w:firstLine="210"/>
        <w:rPr>
          <w:rFonts w:hint="eastAsia"/>
          <w:highlight w:val="none"/>
        </w:rPr>
      </w:pPr>
    </w:p>
    <w:p>
      <w:pPr>
        <w:pStyle w:val="19"/>
        <w:rPr>
          <w:rFonts w:hint="eastAsia" w:ascii="宋体" w:hAnsi="宋体" w:cs="宋体"/>
          <w:b/>
          <w:bCs/>
          <w:highlight w:val="none"/>
        </w:rPr>
      </w:pPr>
    </w:p>
    <w:p>
      <w:pPr>
        <w:pStyle w:val="19"/>
        <w:rPr>
          <w:rFonts w:hint="eastAsia" w:ascii="宋体" w:hAnsi="宋体" w:cs="宋体"/>
          <w:b/>
          <w:bCs/>
          <w:highlight w:val="none"/>
        </w:rPr>
      </w:pPr>
    </w:p>
    <w:p>
      <w:pPr>
        <w:spacing w:after="156" w:afterLines="50" w:line="500" w:lineRule="exact"/>
        <w:ind w:left="19" w:hanging="19" w:hangingChars="6"/>
        <w:jc w:val="center"/>
        <w:rPr>
          <w:rFonts w:hint="eastAsia" w:ascii="黑体" w:hAnsi="黑体" w:eastAsia="黑体" w:cs="黑体"/>
          <w:b/>
          <w:sz w:val="32"/>
          <w:szCs w:val="32"/>
          <w:highlight w:val="none"/>
        </w:rPr>
      </w:pPr>
      <w:r>
        <w:rPr>
          <w:rFonts w:hint="eastAsia" w:ascii="黑体" w:hAnsi="黑体" w:eastAsia="黑体" w:cs="黑体"/>
          <w:b/>
          <w:sz w:val="32"/>
          <w:szCs w:val="32"/>
          <w:highlight w:val="none"/>
        </w:rPr>
        <w:br w:type="page"/>
      </w:r>
      <w:r>
        <w:rPr>
          <w:rFonts w:hint="eastAsia" w:ascii="黑体" w:hAnsi="黑体" w:eastAsia="黑体" w:cs="黑体"/>
          <w:b/>
          <w:sz w:val="32"/>
          <w:szCs w:val="32"/>
          <w:highlight w:val="none"/>
        </w:rPr>
        <w:t>附件10、开标一览表</w:t>
      </w:r>
    </w:p>
    <w:p>
      <w:pPr>
        <w:pStyle w:val="11"/>
        <w:spacing w:before="312" w:beforeLines="100" w:line="360" w:lineRule="auto"/>
        <w:ind w:left="14" w:hanging="14" w:hangingChars="6"/>
        <w:rPr>
          <w:rFonts w:ascii="楷体" w:hAnsi="楷体" w:eastAsia="楷体" w:cs="仿宋"/>
          <w:sz w:val="30"/>
          <w:szCs w:val="30"/>
          <w:highlight w:val="none"/>
        </w:rPr>
      </w:pPr>
      <w:r>
        <w:rPr>
          <w:rFonts w:hint="eastAsia" w:ascii="楷体" w:hAnsi="楷体" w:eastAsia="楷体" w:cs="仿宋"/>
          <w:sz w:val="24"/>
          <w:szCs w:val="24"/>
          <w:highlight w:val="none"/>
        </w:rPr>
        <w:t xml:space="preserve">项目编号：ZJJS2023-ZFCG001 </w:t>
      </w:r>
      <w:r>
        <w:rPr>
          <w:rFonts w:hint="eastAsia" w:ascii="楷体" w:hAnsi="楷体" w:eastAsia="楷体" w:cs="仿宋"/>
          <w:sz w:val="28"/>
          <w:szCs w:val="28"/>
          <w:highlight w:val="none"/>
        </w:rPr>
        <w:t xml:space="preserve"> </w:t>
      </w:r>
    </w:p>
    <w:tbl>
      <w:tblPr>
        <w:tblStyle w:val="40"/>
        <w:tblW w:w="94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257"/>
        <w:gridCol w:w="1425"/>
        <w:gridCol w:w="1660"/>
        <w:gridCol w:w="3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67" w:hRule="atLeast"/>
          <w:jc w:val="center"/>
        </w:trPr>
        <w:tc>
          <w:tcPr>
            <w:tcW w:w="3257" w:type="dxa"/>
            <w:tcBorders>
              <w:top w:val="single" w:color="auto" w:sz="12" w:space="0"/>
              <w:left w:val="single" w:color="auto" w:sz="12" w:space="0"/>
              <w:bottom w:val="single" w:color="auto" w:sz="4" w:space="0"/>
            </w:tcBorders>
            <w:noWrap w:val="0"/>
            <w:vAlign w:val="center"/>
          </w:tcPr>
          <w:p>
            <w:pPr>
              <w:spacing w:line="360" w:lineRule="auto"/>
              <w:ind w:left="13" w:right="-21" w:rightChars="-10" w:hanging="12" w:hangingChars="6"/>
              <w:jc w:val="center"/>
              <w:rPr>
                <w:rFonts w:ascii="楷体" w:hAnsi="楷体" w:eastAsia="楷体"/>
                <w:bCs/>
                <w:szCs w:val="21"/>
                <w:highlight w:val="none"/>
              </w:rPr>
            </w:pPr>
            <w:r>
              <w:rPr>
                <w:rFonts w:hint="eastAsia" w:ascii="楷体" w:hAnsi="楷体" w:eastAsia="楷体"/>
                <w:bCs/>
                <w:szCs w:val="21"/>
                <w:highlight w:val="none"/>
              </w:rPr>
              <w:t>项目名称</w:t>
            </w:r>
          </w:p>
        </w:tc>
        <w:tc>
          <w:tcPr>
            <w:tcW w:w="1425" w:type="dxa"/>
            <w:tcBorders>
              <w:top w:val="single" w:color="auto" w:sz="12" w:space="0"/>
              <w:bottom w:val="single" w:color="auto" w:sz="4" w:space="0"/>
            </w:tcBorders>
            <w:noWrap w:val="0"/>
            <w:vAlign w:val="center"/>
          </w:tcPr>
          <w:p>
            <w:pPr>
              <w:spacing w:line="360" w:lineRule="auto"/>
              <w:ind w:left="13" w:right="-21" w:rightChars="-10" w:hanging="12" w:hangingChars="6"/>
              <w:jc w:val="center"/>
              <w:rPr>
                <w:rFonts w:ascii="楷体" w:hAnsi="楷体" w:eastAsia="楷体"/>
                <w:bCs/>
                <w:szCs w:val="21"/>
                <w:highlight w:val="none"/>
              </w:rPr>
            </w:pPr>
            <w:r>
              <w:rPr>
                <w:rFonts w:hint="eastAsia" w:ascii="楷体" w:hAnsi="楷体" w:eastAsia="楷体"/>
                <w:bCs/>
                <w:szCs w:val="21"/>
                <w:highlight w:val="none"/>
              </w:rPr>
              <w:t>最高限价</w:t>
            </w:r>
          </w:p>
        </w:tc>
        <w:tc>
          <w:tcPr>
            <w:tcW w:w="1660" w:type="dxa"/>
            <w:tcBorders>
              <w:top w:val="single" w:color="auto" w:sz="12" w:space="0"/>
              <w:bottom w:val="single" w:color="auto" w:sz="4" w:space="0"/>
              <w:right w:val="single" w:color="auto" w:sz="12" w:space="0"/>
            </w:tcBorders>
            <w:noWrap w:val="0"/>
            <w:vAlign w:val="center"/>
          </w:tcPr>
          <w:p>
            <w:pPr>
              <w:spacing w:line="360" w:lineRule="auto"/>
              <w:ind w:left="13" w:right="-21" w:rightChars="-10" w:hanging="12" w:hangingChars="6"/>
              <w:jc w:val="center"/>
              <w:rPr>
                <w:rFonts w:ascii="楷体" w:hAnsi="楷体" w:eastAsia="楷体"/>
                <w:bCs/>
                <w:szCs w:val="21"/>
                <w:highlight w:val="none"/>
              </w:rPr>
            </w:pPr>
            <w:r>
              <w:rPr>
                <w:rFonts w:hint="eastAsia" w:ascii="楷体" w:hAnsi="楷体" w:eastAsia="楷体"/>
                <w:bCs/>
                <w:szCs w:val="21"/>
                <w:highlight w:val="none"/>
              </w:rPr>
              <w:t>采购清单及采购要求</w:t>
            </w:r>
          </w:p>
        </w:tc>
        <w:tc>
          <w:tcPr>
            <w:tcW w:w="3135" w:type="dxa"/>
            <w:tcBorders>
              <w:top w:val="single" w:color="auto" w:sz="12" w:space="0"/>
              <w:bottom w:val="single" w:color="auto" w:sz="4" w:space="0"/>
              <w:right w:val="single" w:color="auto" w:sz="12" w:space="0"/>
            </w:tcBorders>
            <w:noWrap w:val="0"/>
            <w:vAlign w:val="center"/>
          </w:tcPr>
          <w:p>
            <w:pPr>
              <w:spacing w:line="360" w:lineRule="auto"/>
              <w:ind w:left="13" w:right="-21" w:rightChars="-10" w:hanging="12" w:hangingChars="6"/>
              <w:jc w:val="center"/>
              <w:rPr>
                <w:rFonts w:hint="eastAsia" w:ascii="楷体" w:hAnsi="楷体" w:eastAsia="楷体"/>
                <w:bCs/>
                <w:szCs w:val="21"/>
                <w:highlight w:val="none"/>
              </w:rPr>
            </w:pPr>
            <w:r>
              <w:rPr>
                <w:rFonts w:hint="eastAsia" w:ascii="楷体" w:hAnsi="楷体" w:eastAsia="楷体"/>
                <w:bCs/>
                <w:szCs w:val="21"/>
                <w:highlight w:val="none"/>
              </w:rPr>
              <w:t>投标下浮率（%）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9" w:hRule="atLeast"/>
          <w:jc w:val="center"/>
        </w:trPr>
        <w:tc>
          <w:tcPr>
            <w:tcW w:w="3257" w:type="dxa"/>
            <w:tcBorders>
              <w:top w:val="single" w:color="auto" w:sz="4" w:space="0"/>
              <w:left w:val="single" w:color="auto" w:sz="12" w:space="0"/>
            </w:tcBorders>
            <w:noWrap w:val="0"/>
            <w:vAlign w:val="center"/>
          </w:tcPr>
          <w:p>
            <w:pPr>
              <w:spacing w:line="360" w:lineRule="auto"/>
              <w:jc w:val="center"/>
              <w:rPr>
                <w:rFonts w:ascii="楷体" w:hAnsi="楷体" w:eastAsia="楷体"/>
                <w:bCs/>
                <w:szCs w:val="21"/>
                <w:highlight w:val="none"/>
              </w:rPr>
            </w:pPr>
            <w:r>
              <w:rPr>
                <w:rFonts w:hint="eastAsia" w:ascii="楷体" w:hAnsi="楷体" w:eastAsia="楷体" w:cs="Arial"/>
                <w:bCs/>
                <w:szCs w:val="21"/>
                <w:highlight w:val="none"/>
              </w:rPr>
              <w:t>金华市安地灌区续建配套与节水改造项目（2021-2022年）调增项目灌溉节水宣传馆</w:t>
            </w:r>
          </w:p>
        </w:tc>
        <w:tc>
          <w:tcPr>
            <w:tcW w:w="1425" w:type="dxa"/>
            <w:tcBorders>
              <w:top w:val="single" w:color="auto" w:sz="4" w:space="0"/>
            </w:tcBorders>
            <w:noWrap w:val="0"/>
            <w:vAlign w:val="center"/>
          </w:tcPr>
          <w:p>
            <w:pPr>
              <w:spacing w:line="360" w:lineRule="auto"/>
              <w:rPr>
                <w:rFonts w:hint="eastAsia" w:ascii="楷体" w:hAnsi="楷体" w:eastAsia="楷体"/>
                <w:bCs/>
                <w:szCs w:val="21"/>
                <w:highlight w:val="none"/>
              </w:rPr>
            </w:pPr>
            <w:r>
              <w:rPr>
                <w:rFonts w:hint="eastAsia" w:ascii="楷体" w:hAnsi="楷体" w:eastAsia="楷体"/>
                <w:bCs/>
                <w:szCs w:val="21"/>
                <w:highlight w:val="none"/>
              </w:rPr>
              <w:t xml:space="preserve">   元</w:t>
            </w:r>
          </w:p>
        </w:tc>
        <w:tc>
          <w:tcPr>
            <w:tcW w:w="1660" w:type="dxa"/>
            <w:tcBorders>
              <w:top w:val="single" w:color="auto" w:sz="4" w:space="0"/>
              <w:right w:val="single" w:color="auto" w:sz="12" w:space="0"/>
            </w:tcBorders>
            <w:noWrap w:val="0"/>
            <w:vAlign w:val="center"/>
          </w:tcPr>
          <w:p>
            <w:pPr>
              <w:spacing w:line="360" w:lineRule="auto"/>
              <w:jc w:val="center"/>
              <w:rPr>
                <w:rFonts w:hint="eastAsia" w:ascii="楷体" w:hAnsi="楷体"/>
                <w:bCs/>
                <w:szCs w:val="21"/>
                <w:highlight w:val="none"/>
              </w:rPr>
            </w:pPr>
            <w:r>
              <w:rPr>
                <w:rFonts w:hint="eastAsia" w:ascii="楷体" w:hAnsi="楷体" w:eastAsia="楷体" w:cs="Arial"/>
                <w:bCs/>
                <w:szCs w:val="21"/>
                <w:highlight w:val="none"/>
              </w:rPr>
              <w:t>详见本招标文件第四章</w:t>
            </w:r>
          </w:p>
        </w:tc>
        <w:tc>
          <w:tcPr>
            <w:tcW w:w="3135" w:type="dxa"/>
            <w:tcBorders>
              <w:top w:val="single" w:color="auto" w:sz="4" w:space="0"/>
              <w:right w:val="single" w:color="auto" w:sz="12" w:space="0"/>
            </w:tcBorders>
            <w:noWrap w:val="0"/>
            <w:vAlign w:val="center"/>
          </w:tcPr>
          <w:p>
            <w:pPr>
              <w:spacing w:line="360" w:lineRule="auto"/>
              <w:ind w:firstLine="210" w:firstLineChars="100"/>
              <w:jc w:val="left"/>
              <w:rPr>
                <w:rFonts w:hint="eastAsia" w:ascii="楷体" w:hAnsi="楷体" w:eastAsia="楷体"/>
                <w:bCs/>
                <w:szCs w:val="21"/>
                <w:highlight w:val="none"/>
              </w:rPr>
            </w:pPr>
            <w:r>
              <w:rPr>
                <w:rFonts w:hint="eastAsia" w:ascii="楷体" w:hAnsi="楷体" w:eastAsia="楷体"/>
                <w:bCs/>
                <w:szCs w:val="21"/>
                <w:highlight w:val="none"/>
              </w:rPr>
              <w:t>在招标文件</w:t>
            </w:r>
            <w:r>
              <w:rPr>
                <w:rFonts w:hint="eastAsia" w:ascii="楷体" w:hAnsi="楷体" w:eastAsia="楷体" w:cs="Times New Roman"/>
                <w:bCs/>
                <w:szCs w:val="21"/>
                <w:highlight w:val="none"/>
              </w:rPr>
              <w:t>规定的最高限价</w:t>
            </w:r>
            <w:r>
              <w:rPr>
                <w:rFonts w:hint="eastAsia" w:ascii="楷体" w:hAnsi="楷体" w:eastAsia="楷体"/>
                <w:bCs/>
                <w:szCs w:val="21"/>
                <w:highlight w:val="none"/>
              </w:rPr>
              <w:t>基础上下浮</w:t>
            </w:r>
            <w:r>
              <w:rPr>
                <w:rFonts w:hint="eastAsia" w:ascii="楷体" w:hAnsi="楷体" w:eastAsia="楷体"/>
                <w:bCs/>
                <w:szCs w:val="21"/>
                <w:highlight w:val="none"/>
                <w:u w:val="single"/>
              </w:rPr>
              <w:t xml:space="preserve">      </w:t>
            </w:r>
            <w:r>
              <w:rPr>
                <w:rFonts w:hint="eastAsia" w:ascii="楷体" w:hAnsi="楷体" w:eastAsia="楷体"/>
                <w:bCs/>
                <w:szCs w:val="21"/>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2" w:hRule="atLeast"/>
          <w:jc w:val="center"/>
        </w:trPr>
        <w:tc>
          <w:tcPr>
            <w:tcW w:w="9477" w:type="dxa"/>
            <w:gridSpan w:val="4"/>
            <w:tcBorders>
              <w:left w:val="single" w:color="auto" w:sz="12" w:space="0"/>
              <w:right w:val="single" w:color="auto" w:sz="12" w:space="0"/>
            </w:tcBorders>
            <w:noWrap w:val="0"/>
            <w:vAlign w:val="center"/>
          </w:tcPr>
          <w:p>
            <w:pPr>
              <w:spacing w:line="360" w:lineRule="auto"/>
              <w:ind w:right="-21" w:rightChars="-10"/>
              <w:jc w:val="center"/>
              <w:rPr>
                <w:rFonts w:hint="eastAsia" w:ascii="楷体" w:hAnsi="楷体" w:eastAsia="楷体"/>
                <w:bCs/>
                <w:szCs w:val="21"/>
                <w:highlight w:val="none"/>
              </w:rPr>
            </w:pPr>
            <w:r>
              <w:rPr>
                <w:rFonts w:hint="eastAsia" w:ascii="楷体" w:hAnsi="楷体" w:eastAsia="楷体"/>
                <w:bCs/>
                <w:szCs w:val="21"/>
                <w:highlight w:val="none"/>
              </w:rPr>
              <w:t>投标下浮率（%）：下浮百分之</w:t>
            </w:r>
            <w:r>
              <w:rPr>
                <w:rFonts w:hint="eastAsia" w:ascii="楷体" w:hAnsi="楷体" w:eastAsia="楷体"/>
                <w:bCs/>
                <w:szCs w:val="21"/>
                <w:highlight w:val="none"/>
                <w:u w:val="single"/>
              </w:rPr>
              <w:t xml:space="preserve">          </w:t>
            </w:r>
            <w:r>
              <w:rPr>
                <w:rFonts w:hint="eastAsia" w:ascii="楷体" w:hAnsi="楷体" w:eastAsia="楷体"/>
                <w:bCs/>
                <w:szCs w:val="21"/>
                <w:highlight w:val="none"/>
              </w:rPr>
              <w:t>（大写）</w:t>
            </w:r>
          </w:p>
        </w:tc>
      </w:tr>
    </w:tbl>
    <w:p>
      <w:pPr>
        <w:pStyle w:val="24"/>
        <w:snapToGrid w:val="0"/>
        <w:spacing w:line="288" w:lineRule="auto"/>
        <w:ind w:left="14" w:hanging="14" w:hangingChars="6"/>
        <w:jc w:val="left"/>
        <w:rPr>
          <w:rFonts w:hint="eastAsia" w:ascii="楷体" w:hAnsi="楷体" w:eastAsia="楷体" w:cs="楷体"/>
          <w:b/>
          <w:sz w:val="24"/>
          <w:highlight w:val="none"/>
        </w:rPr>
      </w:pPr>
      <w:r>
        <w:rPr>
          <w:rFonts w:hint="eastAsia" w:ascii="楷体" w:hAnsi="楷体" w:eastAsia="楷体" w:cs="楷体"/>
          <w:b/>
          <w:sz w:val="24"/>
          <w:highlight w:val="none"/>
        </w:rPr>
        <w:t>注：1.报价一经涂改，应在涂改处加盖单位公章或者由法定代表人或授权委托人签字或盖章，否则其投标作无效标处理。</w:t>
      </w:r>
    </w:p>
    <w:p>
      <w:pPr>
        <w:pStyle w:val="24"/>
        <w:snapToGrid w:val="0"/>
        <w:spacing w:line="288" w:lineRule="auto"/>
        <w:ind w:left="14" w:hanging="14" w:hangingChars="6"/>
        <w:jc w:val="left"/>
        <w:rPr>
          <w:rFonts w:hint="eastAsia" w:ascii="楷体" w:hAnsi="楷体" w:eastAsia="楷体" w:cs="楷体"/>
          <w:b/>
          <w:sz w:val="24"/>
          <w:highlight w:val="none"/>
        </w:rPr>
      </w:pPr>
      <w:r>
        <w:rPr>
          <w:rFonts w:hint="eastAsia" w:ascii="楷体" w:hAnsi="楷体" w:eastAsia="楷体" w:cs="楷体"/>
          <w:b/>
          <w:sz w:val="24"/>
          <w:highlight w:val="none"/>
        </w:rPr>
        <w:t>2.报价不得超过最高限价，否则作无效标处理。</w:t>
      </w:r>
    </w:p>
    <w:p>
      <w:pPr>
        <w:pStyle w:val="24"/>
        <w:snapToGrid w:val="0"/>
        <w:spacing w:line="288" w:lineRule="auto"/>
        <w:ind w:left="14" w:hanging="14" w:hangingChars="6"/>
        <w:jc w:val="left"/>
        <w:rPr>
          <w:rFonts w:hint="eastAsia" w:ascii="楷体" w:hAnsi="楷体" w:eastAsia="楷体" w:cs="楷体"/>
          <w:b/>
          <w:sz w:val="24"/>
          <w:highlight w:val="none"/>
        </w:rPr>
      </w:pPr>
      <w:r>
        <w:rPr>
          <w:rFonts w:hint="eastAsia" w:ascii="楷体" w:hAnsi="楷体" w:eastAsia="楷体" w:cs="楷体"/>
          <w:b/>
          <w:sz w:val="24"/>
          <w:highlight w:val="none"/>
        </w:rPr>
        <w:t>3.投标报价是履行合同的最终价格依据，即投标人的报价是投标人响应本项目要求的各项工作内容的价格体现，投标报价包括但不限于维修养护费、设备使用费、备品备件、专用工具、包装、运输、装卸、保险、税金、保修、政策性文件规定和合同包含的所有风险责任及各项乙方承担的所发生的一切费用，投标人应参照国家的相应标准，结合自身综合实力、市场行情、本项目具体特点和技术服务要求进行报价。</w:t>
      </w:r>
    </w:p>
    <w:p>
      <w:pPr>
        <w:pStyle w:val="24"/>
        <w:snapToGrid w:val="0"/>
        <w:spacing w:line="288" w:lineRule="auto"/>
        <w:ind w:left="14" w:hanging="14" w:hangingChars="6"/>
        <w:jc w:val="left"/>
        <w:rPr>
          <w:rFonts w:hint="eastAsia" w:ascii="楷体" w:hAnsi="楷体" w:eastAsia="楷体" w:cs="楷体"/>
          <w:b/>
          <w:sz w:val="24"/>
          <w:highlight w:val="none"/>
        </w:rPr>
      </w:pPr>
      <w:r>
        <w:rPr>
          <w:rFonts w:hint="eastAsia" w:ascii="楷体" w:hAnsi="楷体" w:eastAsia="楷体" w:cs="楷体"/>
          <w:b/>
          <w:sz w:val="24"/>
          <w:highlight w:val="none"/>
        </w:rPr>
        <w:t>4.此表不得自行增减内容， 否则按无效标处理。</w:t>
      </w:r>
    </w:p>
    <w:p>
      <w:pPr>
        <w:spacing w:line="460" w:lineRule="exact"/>
        <w:ind w:firstLine="2640" w:firstLineChars="1100"/>
        <w:jc w:val="right"/>
        <w:rPr>
          <w:rFonts w:hint="eastAsia" w:ascii="楷体" w:hAnsi="楷体" w:eastAsia="楷体" w:cs="仿宋"/>
          <w:sz w:val="24"/>
          <w:highlight w:val="none"/>
        </w:rPr>
      </w:pPr>
    </w:p>
    <w:p>
      <w:pPr>
        <w:spacing w:line="460" w:lineRule="exact"/>
        <w:ind w:firstLine="2640" w:firstLineChars="1100"/>
        <w:jc w:val="right"/>
        <w:rPr>
          <w:rFonts w:ascii="楷体" w:hAnsi="楷体" w:eastAsia="楷体" w:cs="仿宋"/>
          <w:sz w:val="24"/>
          <w:highlight w:val="none"/>
          <w:u w:val="single"/>
        </w:rPr>
      </w:pPr>
      <w:r>
        <w:rPr>
          <w:rFonts w:hint="eastAsia" w:ascii="楷体" w:hAnsi="楷体" w:eastAsia="楷体" w:cs="仿宋"/>
          <w:sz w:val="24"/>
          <w:highlight w:val="none"/>
        </w:rPr>
        <w:t xml:space="preserve">投标供应商全称： </w:t>
      </w:r>
      <w:r>
        <w:rPr>
          <w:rFonts w:hint="eastAsia" w:ascii="楷体" w:hAnsi="楷体" w:eastAsia="楷体" w:cs="仿宋"/>
          <w:sz w:val="24"/>
          <w:highlight w:val="none"/>
          <w:u w:val="single"/>
        </w:rPr>
        <w:t xml:space="preserve">                   </w:t>
      </w:r>
      <w:r>
        <w:rPr>
          <w:rFonts w:hint="eastAsia" w:ascii="楷体" w:hAnsi="楷体" w:eastAsia="楷体" w:cs="仿宋"/>
          <w:sz w:val="24"/>
          <w:highlight w:val="none"/>
        </w:rPr>
        <w:t>（盖公章）</w:t>
      </w:r>
    </w:p>
    <w:p>
      <w:pPr>
        <w:spacing w:line="460" w:lineRule="exact"/>
        <w:ind w:left="14" w:hanging="14" w:hangingChars="6"/>
        <w:jc w:val="right"/>
        <w:rPr>
          <w:rFonts w:ascii="楷体" w:hAnsi="楷体" w:eastAsia="楷体" w:cs="仿宋"/>
          <w:sz w:val="24"/>
          <w:highlight w:val="none"/>
        </w:rPr>
      </w:pPr>
      <w:r>
        <w:rPr>
          <w:rFonts w:hint="eastAsia" w:ascii="楷体" w:hAnsi="楷体" w:eastAsia="楷体" w:cs="仿宋"/>
          <w:sz w:val="24"/>
          <w:highlight w:val="none"/>
        </w:rPr>
        <w:t>法定代表人（负责人）或被授权人：</w:t>
      </w:r>
      <w:r>
        <w:rPr>
          <w:rFonts w:hint="eastAsia" w:ascii="楷体" w:hAnsi="楷体" w:eastAsia="楷体" w:cs="仿宋"/>
          <w:sz w:val="24"/>
          <w:highlight w:val="none"/>
          <w:u w:val="single"/>
        </w:rPr>
        <w:t xml:space="preserve">                </w:t>
      </w:r>
      <w:r>
        <w:rPr>
          <w:rFonts w:hint="eastAsia" w:ascii="楷体" w:hAnsi="楷体" w:eastAsia="楷体" w:cs="仿宋"/>
          <w:sz w:val="24"/>
          <w:highlight w:val="none"/>
        </w:rPr>
        <w:t>（签字或盖章）</w:t>
      </w:r>
    </w:p>
    <w:p>
      <w:pPr>
        <w:rPr>
          <w:rFonts w:hint="eastAsia"/>
          <w:highlight w:val="none"/>
        </w:rPr>
      </w:pPr>
      <w:r>
        <w:rPr>
          <w:rFonts w:hint="eastAsia" w:ascii="楷体" w:hAnsi="楷体" w:eastAsia="楷体" w:cs="仿宋"/>
          <w:sz w:val="24"/>
          <w:highlight w:val="none"/>
        </w:rPr>
        <w:t xml:space="preserve">                                            年    月    日</w:t>
      </w:r>
    </w:p>
    <w:p>
      <w:pPr>
        <w:rPr>
          <w:rFonts w:hint="eastAsia" w:ascii="黑体" w:hAnsi="黑体" w:eastAsia="黑体" w:cs="黑体"/>
          <w:b/>
          <w:sz w:val="32"/>
          <w:szCs w:val="32"/>
          <w:highlight w:val="none"/>
        </w:rPr>
      </w:pPr>
    </w:p>
    <w:p>
      <w:pPr>
        <w:pStyle w:val="2"/>
        <w:ind w:firstLine="643"/>
        <w:rPr>
          <w:rFonts w:hint="eastAsia" w:ascii="黑体" w:hAnsi="黑体" w:eastAsia="黑体" w:cs="黑体"/>
          <w:b/>
          <w:sz w:val="32"/>
          <w:szCs w:val="32"/>
          <w:highlight w:val="none"/>
        </w:rPr>
      </w:pPr>
    </w:p>
    <w:p>
      <w:pPr>
        <w:spacing w:line="360" w:lineRule="auto"/>
        <w:rPr>
          <w:rFonts w:hint="eastAsia" w:ascii="黑体" w:hAnsi="黑体" w:eastAsia="黑体" w:cs="黑体"/>
          <w:b/>
          <w:sz w:val="32"/>
          <w:szCs w:val="32"/>
          <w:highlight w:val="none"/>
        </w:rPr>
      </w:pPr>
    </w:p>
    <w:p>
      <w:pPr>
        <w:spacing w:line="360" w:lineRule="auto"/>
        <w:ind w:left="19" w:hanging="19" w:hangingChars="6"/>
        <w:jc w:val="center"/>
        <w:outlineLvl w:val="2"/>
        <w:rPr>
          <w:rFonts w:hint="eastAsia" w:ascii="黑体" w:hAnsi="黑体" w:eastAsia="黑体" w:cs="黑体"/>
          <w:b/>
          <w:sz w:val="32"/>
          <w:szCs w:val="32"/>
          <w:highlight w:val="none"/>
        </w:rPr>
      </w:pPr>
      <w:r>
        <w:rPr>
          <w:rFonts w:hint="eastAsia" w:ascii="黑体" w:hAnsi="黑体" w:eastAsia="黑体" w:cs="黑体"/>
          <w:b/>
          <w:sz w:val="32"/>
          <w:szCs w:val="32"/>
          <w:highlight w:val="none"/>
        </w:rPr>
        <w:br w:type="page"/>
      </w:r>
      <w:r>
        <w:rPr>
          <w:rFonts w:hint="eastAsia" w:ascii="黑体" w:hAnsi="黑体" w:eastAsia="黑体" w:cs="黑体"/>
          <w:b/>
          <w:sz w:val="32"/>
          <w:szCs w:val="32"/>
          <w:highlight w:val="none"/>
        </w:rPr>
        <w:t>附件11、中小企业申明函（服务类）</w:t>
      </w:r>
    </w:p>
    <w:p>
      <w:pPr>
        <w:spacing w:after="156" w:afterLines="50" w:line="360" w:lineRule="auto"/>
        <w:ind w:left="17" w:right="-108" w:hanging="17" w:hangingChars="6"/>
        <w:jc w:val="center"/>
        <w:rPr>
          <w:rFonts w:hint="eastAsia" w:ascii="仿宋" w:hAnsi="仿宋" w:eastAsia="仿宋" w:cs="仿宋"/>
          <w:bCs/>
          <w:sz w:val="32"/>
          <w:szCs w:val="32"/>
          <w:highlight w:val="none"/>
        </w:rPr>
      </w:pPr>
      <w:r>
        <w:rPr>
          <w:rFonts w:hint="eastAsia" w:ascii="黑体" w:hAnsi="黑体" w:eastAsia="黑体" w:cs="黑体"/>
          <w:b/>
          <w:sz w:val="28"/>
          <w:szCs w:val="28"/>
          <w:highlight w:val="none"/>
        </w:rPr>
        <w:t>（供应商应完整填写以下内容，否则将不能享受相应的价格折扣）</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本公司（联合体）郑重声明，根据《政府采购促进中小企业发展管理办法》（财库﹝2020﹞46 号）的规定，本公司（联合体）参加</w:t>
      </w:r>
      <w:r>
        <w:rPr>
          <w:rFonts w:hint="eastAsia" w:ascii="仿宋" w:hAnsi="仿宋" w:eastAsia="仿宋" w:cs="仿宋"/>
          <w:sz w:val="24"/>
          <w:highlight w:val="none"/>
          <w:u w:val="single"/>
        </w:rPr>
        <w:t xml:space="preserve">      （单位名称）</w:t>
      </w:r>
      <w:r>
        <w:rPr>
          <w:rFonts w:hint="eastAsia" w:ascii="仿宋" w:hAnsi="仿宋" w:eastAsia="仿宋" w:cs="仿宋"/>
          <w:sz w:val="24"/>
          <w:highlight w:val="none"/>
        </w:rPr>
        <w:t>的</w:t>
      </w:r>
      <w:r>
        <w:rPr>
          <w:rFonts w:hint="eastAsia" w:ascii="仿宋" w:hAnsi="仿宋" w:eastAsia="仿宋" w:cs="仿宋"/>
          <w:sz w:val="24"/>
          <w:highlight w:val="none"/>
          <w:u w:val="single"/>
        </w:rPr>
        <w:t xml:space="preserve">        （项目名称）</w:t>
      </w:r>
      <w:r>
        <w:rPr>
          <w:rFonts w:hint="eastAsia" w:ascii="仿宋" w:hAnsi="仿宋" w:eastAsia="仿宋" w:cs="仿宋"/>
          <w:sz w:val="24"/>
          <w:highlight w:val="none"/>
        </w:rPr>
        <w:t xml:space="preserve">采购活动，维护全部由符合政策要求的中小企业承接。相关企业（含联合体中的中小企业、签订分包意向协议的中小企业）的具体情况如下： </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1. </w:t>
      </w:r>
      <w:r>
        <w:rPr>
          <w:rFonts w:hint="eastAsia" w:ascii="仿宋" w:hAnsi="仿宋" w:eastAsia="仿宋" w:cs="仿宋"/>
          <w:sz w:val="24"/>
          <w:highlight w:val="none"/>
          <w:u w:val="single"/>
        </w:rPr>
        <w:t>（标的名称）</w:t>
      </w:r>
      <w:r>
        <w:rPr>
          <w:rFonts w:hint="eastAsia" w:ascii="仿宋" w:hAnsi="仿宋" w:eastAsia="仿宋" w:cs="仿宋"/>
          <w:sz w:val="24"/>
          <w:highlight w:val="none"/>
        </w:rPr>
        <w:t xml:space="preserve"> ，属于</w:t>
      </w:r>
      <w:r>
        <w:rPr>
          <w:rFonts w:hint="eastAsia" w:ascii="仿宋" w:hAnsi="仿宋" w:eastAsia="仿宋" w:cs="仿宋"/>
          <w:sz w:val="24"/>
          <w:highlight w:val="none"/>
          <w:u w:val="single"/>
        </w:rPr>
        <w:t>（采购文件中明确的所属行业）</w:t>
      </w:r>
      <w:r>
        <w:rPr>
          <w:rFonts w:hint="eastAsia" w:ascii="仿宋" w:hAnsi="仿宋" w:eastAsia="仿宋" w:cs="仿宋"/>
          <w:sz w:val="24"/>
          <w:highlight w:val="none"/>
        </w:rPr>
        <w:t>行业；承接企业为</w:t>
      </w:r>
      <w:r>
        <w:rPr>
          <w:rFonts w:hint="eastAsia" w:ascii="仿宋" w:hAnsi="仿宋" w:eastAsia="仿宋" w:cs="仿宋"/>
          <w:sz w:val="24"/>
          <w:highlight w:val="none"/>
          <w:u w:val="single"/>
        </w:rPr>
        <w:t xml:space="preserve">    （企业名称）</w:t>
      </w:r>
      <w:r>
        <w:rPr>
          <w:rFonts w:hint="eastAsia" w:ascii="仿宋" w:hAnsi="仿宋" w:eastAsia="仿宋" w:cs="仿宋"/>
          <w:sz w:val="24"/>
          <w:highlight w:val="none"/>
        </w:rPr>
        <w:t>，从业人员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w:t>
      </w:r>
      <w:r>
        <w:rPr>
          <w:rFonts w:hint="eastAsia" w:ascii="仿宋" w:hAnsi="仿宋" w:eastAsia="仿宋" w:cs="仿宋"/>
          <w:sz w:val="24"/>
          <w:highlight w:val="none"/>
        </w:rPr>
        <w:t xml:space="preserve">； </w:t>
      </w:r>
    </w:p>
    <w:p>
      <w:pPr>
        <w:spacing w:line="360" w:lineRule="auto"/>
        <w:ind w:firstLine="487" w:firstLineChars="203"/>
        <w:rPr>
          <w:rFonts w:hint="eastAsia" w:ascii="仿宋" w:hAnsi="仿宋" w:eastAsia="仿宋" w:cs="仿宋"/>
          <w:sz w:val="24"/>
          <w:highlight w:val="none"/>
        </w:rPr>
      </w:pPr>
      <w:r>
        <w:rPr>
          <w:rFonts w:hint="eastAsia" w:ascii="仿宋" w:hAnsi="仿宋" w:eastAsia="仿宋" w:cs="仿宋"/>
          <w:sz w:val="24"/>
          <w:highlight w:val="none"/>
        </w:rPr>
        <w:t>以上企业，不属于大企业的分支机构，不存在控股股东为大企业的情形，也不存在与大企业的负责人为同一人的情形。</w:t>
      </w:r>
    </w:p>
    <w:p>
      <w:pPr>
        <w:spacing w:line="360" w:lineRule="auto"/>
        <w:ind w:firstLine="487" w:firstLineChars="203"/>
        <w:rPr>
          <w:rFonts w:hint="eastAsia" w:ascii="仿宋" w:hAnsi="仿宋" w:eastAsia="仿宋" w:cs="仿宋"/>
          <w:sz w:val="24"/>
          <w:highlight w:val="none"/>
        </w:rPr>
      </w:pPr>
      <w:r>
        <w:rPr>
          <w:rFonts w:hint="eastAsia" w:ascii="仿宋" w:hAnsi="仿宋" w:eastAsia="仿宋" w:cs="仿宋"/>
          <w:sz w:val="24"/>
          <w:highlight w:val="none"/>
        </w:rPr>
        <w:t>本企业对上述声明内容的真实性负责。如有虚假，将依法承担相应责任。</w:t>
      </w:r>
    </w:p>
    <w:p>
      <w:pPr>
        <w:pStyle w:val="106"/>
        <w:spacing w:line="360" w:lineRule="auto"/>
        <w:ind w:left="14" w:hanging="14" w:hangingChars="6"/>
        <w:rPr>
          <w:rFonts w:hint="eastAsia" w:ascii="仿宋" w:hAnsi="仿宋" w:eastAsia="仿宋" w:cs="仿宋"/>
          <w:sz w:val="24"/>
          <w:highlight w:val="none"/>
        </w:rPr>
      </w:pPr>
      <w:r>
        <w:rPr>
          <w:rFonts w:hint="eastAsia" w:ascii="仿宋" w:hAnsi="仿宋" w:eastAsia="仿宋" w:cs="仿宋"/>
          <w:sz w:val="24"/>
          <w:highlight w:val="none"/>
        </w:rPr>
        <w:t xml:space="preserve">        </w:t>
      </w:r>
    </w:p>
    <w:p>
      <w:pPr>
        <w:pStyle w:val="106"/>
        <w:spacing w:line="360" w:lineRule="auto"/>
        <w:ind w:left="14" w:hanging="14" w:hangingChars="6"/>
        <w:rPr>
          <w:rFonts w:hint="eastAsia" w:ascii="仿宋" w:hAnsi="仿宋" w:eastAsia="仿宋" w:cs="仿宋"/>
          <w:sz w:val="24"/>
          <w:highlight w:val="none"/>
        </w:rPr>
      </w:pPr>
      <w:r>
        <w:rPr>
          <w:rFonts w:hint="eastAsia" w:ascii="仿宋" w:hAnsi="仿宋" w:eastAsia="仿宋" w:cs="仿宋"/>
          <w:sz w:val="24"/>
          <w:highlight w:val="none"/>
        </w:rPr>
        <w:t>企业名称（盖章）：</w:t>
      </w:r>
    </w:p>
    <w:p>
      <w:pPr>
        <w:pStyle w:val="106"/>
        <w:spacing w:line="360" w:lineRule="auto"/>
        <w:ind w:left="14" w:hanging="14" w:hangingChars="6"/>
        <w:rPr>
          <w:rFonts w:hint="eastAsia" w:ascii="宋体" w:hAnsi="宋体" w:cs="宋体"/>
          <w:b/>
          <w:bCs/>
          <w:sz w:val="24"/>
          <w:highlight w:val="none"/>
        </w:rPr>
      </w:pPr>
      <w:r>
        <w:rPr>
          <w:rFonts w:hint="eastAsia" w:ascii="仿宋" w:hAnsi="仿宋" w:eastAsia="仿宋" w:cs="仿宋"/>
          <w:sz w:val="24"/>
          <w:highlight w:val="none"/>
        </w:rPr>
        <w:t xml:space="preserve">日期： </w:t>
      </w:r>
    </w:p>
    <w:p>
      <w:pPr>
        <w:pStyle w:val="106"/>
        <w:spacing w:line="336" w:lineRule="auto"/>
        <w:rPr>
          <w:rFonts w:hint="eastAsia" w:ascii="宋体" w:hAnsi="宋体" w:cs="宋体"/>
          <w:b/>
          <w:bCs/>
          <w:sz w:val="24"/>
          <w:highlight w:val="none"/>
        </w:rPr>
      </w:pPr>
      <w:r>
        <w:rPr>
          <w:rFonts w:hint="eastAsia" w:ascii="宋体" w:hAnsi="宋体" w:cs="宋体"/>
          <w:b/>
          <w:bCs/>
          <w:sz w:val="24"/>
          <w:highlight w:val="none"/>
        </w:rPr>
        <w:t>填报说明：</w:t>
      </w:r>
    </w:p>
    <w:p>
      <w:pPr>
        <w:pStyle w:val="106"/>
        <w:spacing w:line="336" w:lineRule="auto"/>
        <w:rPr>
          <w:rFonts w:hint="eastAsia" w:ascii="宋体" w:hAnsi="宋体" w:cs="宋体"/>
          <w:b/>
          <w:bCs/>
          <w:sz w:val="24"/>
          <w:highlight w:val="none"/>
        </w:rPr>
      </w:pPr>
      <w:r>
        <w:rPr>
          <w:rFonts w:hint="eastAsia" w:ascii="宋体" w:hAnsi="宋体" w:cs="宋体"/>
          <w:b/>
          <w:bCs/>
          <w:sz w:val="24"/>
          <w:highlight w:val="none"/>
        </w:rPr>
        <w:t>1、从业人员、营业收入、资产总额填报上一年度数据，无上一年度数据的新成立企业可不填报。</w:t>
      </w:r>
    </w:p>
    <w:p>
      <w:pPr>
        <w:pStyle w:val="106"/>
        <w:spacing w:line="336" w:lineRule="auto"/>
        <w:rPr>
          <w:rFonts w:hint="eastAsia" w:ascii="宋体" w:hAnsi="宋体" w:cs="宋体"/>
          <w:b/>
          <w:bCs/>
          <w:sz w:val="24"/>
          <w:highlight w:val="none"/>
        </w:rPr>
      </w:pPr>
      <w:r>
        <w:rPr>
          <w:rFonts w:hint="eastAsia" w:ascii="宋体" w:hAnsi="宋体" w:cs="宋体"/>
          <w:b/>
          <w:bCs/>
          <w:sz w:val="24"/>
          <w:highlight w:val="none"/>
        </w:rPr>
        <w:t xml:space="preserve">2、采购标的对应的中小企业划分标准所属行业：为《中小企业划型标准规定》（工信部联企业〔2011〕300号）中的“建筑业”，划型标准为：营业收入80000万元以下或资产总额80000万元以下的为中小微 型企业。其中，营业收入6000万元及以上，且资产总额5000万元及以上的为中型企 业；营业收入300万元及以上，且资产总额300万元及以上的为小型企业；营业收入 300万元以下或资产总额300万元以下的为微型企业。（符合小型企业和微型企业划分标准的个体工商户，在本项目采购活动中视同小型企业和微型企业。） </w:t>
      </w:r>
    </w:p>
    <w:p>
      <w:pPr>
        <w:pStyle w:val="106"/>
        <w:spacing w:line="336" w:lineRule="auto"/>
        <w:rPr>
          <w:rFonts w:hint="eastAsia" w:ascii="仿宋" w:hAnsi="仿宋" w:eastAsia="仿宋" w:cs="仿宋"/>
          <w:bCs/>
          <w:sz w:val="32"/>
          <w:szCs w:val="32"/>
          <w:highlight w:val="none"/>
        </w:rPr>
      </w:pPr>
      <w:r>
        <w:rPr>
          <w:rFonts w:hint="eastAsia" w:ascii="宋体" w:hAnsi="宋体" w:cs="宋体"/>
          <w:b/>
          <w:bCs/>
          <w:sz w:val="24"/>
          <w:highlight w:val="none"/>
        </w:rPr>
        <w:t>3、供应商应当按照《政府采购促进中小企业发展管理办法》规定和《中小企业划型标准规定》（工信部联企业〔2011〕300号），如实填写并提交《中小企业声明函》，对其声明内容的真实性负责，声明函内容不实的，属于提供虚假材料谋取中标、成交，将依照《中华人民共和国政府采购法》等国家有关规定追究相应责任。不属于中小企业的，不用提供此申明函。</w:t>
      </w:r>
    </w:p>
    <w:p>
      <w:pPr>
        <w:pStyle w:val="24"/>
        <w:spacing w:line="360" w:lineRule="auto"/>
        <w:ind w:left="19" w:hanging="19" w:hangingChars="6"/>
        <w:jc w:val="center"/>
        <w:outlineLvl w:val="1"/>
        <w:rPr>
          <w:rFonts w:hint="eastAsia" w:ascii="仿宋" w:hAnsi="仿宋" w:eastAsia="仿宋" w:cs="仿宋"/>
          <w:b/>
          <w:sz w:val="32"/>
          <w:szCs w:val="32"/>
          <w:highlight w:val="none"/>
          <w:lang w:val="en-GB"/>
        </w:rPr>
      </w:pPr>
      <w:r>
        <w:rPr>
          <w:rFonts w:hint="eastAsia" w:ascii="仿宋" w:hAnsi="仿宋" w:eastAsia="仿宋" w:cs="仿宋"/>
          <w:bCs/>
          <w:sz w:val="32"/>
          <w:szCs w:val="32"/>
          <w:highlight w:val="none"/>
        </w:rPr>
        <w:t>残疾人福利性单位声明函</w:t>
      </w:r>
    </w:p>
    <w:p>
      <w:pPr>
        <w:spacing w:line="588"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本单位郑重声明，根据《财政部 民政部 中国残疾人联合会关于促进残疾人就业政府采购政策的通知》（财库〔2018〕141号）的规定，本单位为符合条件的残疾人福利性单位，且本单位参加</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单位的</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项目采购活动提供本单位制造的货物（由本单位承担工程/提供服务），或者提供其他残疾人福利性单位制造的货物（不包括使用非残疾人福利性单位注册商标的货物）。</w:t>
      </w:r>
    </w:p>
    <w:p>
      <w:pPr>
        <w:spacing w:line="588"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本单位对上述声明的真实性负责。如有虚假，将依法承担相应责任。</w:t>
      </w:r>
    </w:p>
    <w:p>
      <w:pPr>
        <w:tabs>
          <w:tab w:val="left" w:pos="4860"/>
        </w:tabs>
        <w:spacing w:line="588" w:lineRule="exact"/>
        <w:ind w:left="17" w:right="1560" w:hanging="16" w:hangingChars="6"/>
        <w:jc w:val="center"/>
        <w:rPr>
          <w:rFonts w:hint="eastAsia" w:ascii="仿宋" w:hAnsi="仿宋" w:eastAsia="仿宋" w:cs="仿宋"/>
          <w:sz w:val="28"/>
          <w:szCs w:val="28"/>
          <w:highlight w:val="none"/>
        </w:rPr>
      </w:pPr>
    </w:p>
    <w:p>
      <w:pPr>
        <w:tabs>
          <w:tab w:val="left" w:pos="4860"/>
        </w:tabs>
        <w:spacing w:line="360" w:lineRule="auto"/>
        <w:ind w:left="17" w:right="1560" w:hanging="16" w:hangingChars="6"/>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单位名称（盖章）：</w:t>
      </w:r>
    </w:p>
    <w:p>
      <w:pPr>
        <w:pStyle w:val="20"/>
        <w:spacing w:line="360" w:lineRule="auto"/>
        <w:ind w:firstLine="28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日期：    年  月  日                                   </w:t>
      </w:r>
    </w:p>
    <w:p>
      <w:pPr>
        <w:spacing w:line="458" w:lineRule="exact"/>
        <w:ind w:firstLine="562" w:firstLineChars="200"/>
        <w:jc w:val="left"/>
        <w:rPr>
          <w:rFonts w:ascii="仿宋" w:hAnsi="仿宋" w:eastAsia="仿宋" w:cs="仿宋"/>
          <w:b/>
          <w:bCs/>
          <w:sz w:val="28"/>
          <w:szCs w:val="28"/>
          <w:highlight w:val="none"/>
        </w:rPr>
      </w:pPr>
      <w:r>
        <w:rPr>
          <w:rFonts w:hint="eastAsia" w:ascii="仿宋" w:hAnsi="仿宋" w:eastAsia="仿宋" w:cs="仿宋"/>
          <w:b/>
          <w:bCs/>
          <w:sz w:val="28"/>
          <w:szCs w:val="28"/>
          <w:highlight w:val="none"/>
        </w:rPr>
        <w:t>说明：不属于残疾人福利性单位，不用提供此函。</w:t>
      </w:r>
    </w:p>
    <w:p>
      <w:pPr>
        <w:spacing w:line="458" w:lineRule="exact"/>
        <w:ind w:left="19" w:hanging="19" w:hangingChars="6"/>
        <w:jc w:val="center"/>
        <w:rPr>
          <w:rFonts w:hint="eastAsia" w:ascii="仿宋" w:hAnsi="仿宋" w:eastAsia="仿宋" w:cs="仿宋"/>
          <w:sz w:val="32"/>
          <w:szCs w:val="32"/>
          <w:highlight w:val="none"/>
        </w:rPr>
      </w:pPr>
    </w:p>
    <w:p>
      <w:pPr>
        <w:spacing w:line="458" w:lineRule="exact"/>
        <w:ind w:left="19" w:hanging="19" w:hangingChars="6"/>
        <w:jc w:val="center"/>
        <w:rPr>
          <w:rFonts w:hint="eastAsia" w:ascii="仿宋" w:hAnsi="仿宋" w:eastAsia="仿宋" w:cs="仿宋"/>
          <w:sz w:val="32"/>
          <w:szCs w:val="32"/>
          <w:highlight w:val="none"/>
        </w:rPr>
      </w:pPr>
    </w:p>
    <w:p>
      <w:pPr>
        <w:spacing w:line="458" w:lineRule="exact"/>
        <w:ind w:left="19" w:hanging="19" w:hangingChars="6"/>
        <w:jc w:val="center"/>
        <w:rPr>
          <w:rFonts w:hint="eastAsia" w:ascii="仿宋" w:hAnsi="仿宋" w:eastAsia="仿宋" w:cs="仿宋"/>
          <w:sz w:val="32"/>
          <w:szCs w:val="32"/>
          <w:highlight w:val="none"/>
        </w:rPr>
      </w:pPr>
    </w:p>
    <w:p>
      <w:pPr>
        <w:spacing w:line="458" w:lineRule="exact"/>
        <w:ind w:left="19" w:hanging="19" w:hangingChars="6"/>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监狱企业证明文件</w:t>
      </w:r>
    </w:p>
    <w:p>
      <w:pPr>
        <w:spacing w:line="458" w:lineRule="exact"/>
        <w:ind w:left="19" w:hanging="19" w:hangingChars="6"/>
        <w:jc w:val="center"/>
        <w:rPr>
          <w:rFonts w:hint="eastAsia" w:ascii="仿宋" w:hAnsi="仿宋" w:eastAsia="仿宋" w:cs="仿宋"/>
          <w:sz w:val="32"/>
          <w:szCs w:val="32"/>
          <w:highlight w:val="none"/>
        </w:rPr>
      </w:pPr>
    </w:p>
    <w:p>
      <w:pPr>
        <w:widowControl/>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监狱企业参加政府采购活动时，应当提供由省级以上监狱管理局、戒毒管理局（含新疆生产建设兵团）出具的属于监狱企业的证明文件。</w:t>
      </w:r>
    </w:p>
    <w:p>
      <w:pPr>
        <w:pStyle w:val="24"/>
        <w:spacing w:line="600" w:lineRule="exact"/>
        <w:rPr>
          <w:rFonts w:hint="eastAsia" w:hAnsi="宋体" w:cs="仿宋"/>
          <w:sz w:val="24"/>
          <w:highlight w:val="none"/>
        </w:rPr>
      </w:pPr>
      <w:r>
        <w:rPr>
          <w:rFonts w:hint="eastAsia" w:ascii="仿宋" w:hAnsi="仿宋" w:eastAsia="仿宋" w:cs="仿宋"/>
          <w:b/>
          <w:bCs/>
          <w:sz w:val="28"/>
          <w:szCs w:val="28"/>
          <w:highlight w:val="none"/>
        </w:rPr>
        <w:t>说明：不属于监狱企业的，不用提供相关证明材料。</w:t>
      </w:r>
    </w:p>
    <w:p>
      <w:pPr>
        <w:pStyle w:val="19"/>
        <w:rPr>
          <w:rFonts w:hint="eastAsia"/>
          <w:highlight w:val="none"/>
        </w:rPr>
      </w:pPr>
    </w:p>
    <w:p>
      <w:pPr>
        <w:pStyle w:val="20"/>
        <w:ind w:firstLine="210"/>
        <w:rPr>
          <w:rFonts w:hint="eastAsia"/>
          <w:highlight w:val="none"/>
        </w:rPr>
      </w:pPr>
    </w:p>
    <w:p>
      <w:pPr>
        <w:pStyle w:val="7"/>
        <w:widowControl/>
        <w:spacing w:before="156"/>
        <w:jc w:val="center"/>
        <w:rPr>
          <w:rFonts w:hint="eastAsia" w:ascii="黑体" w:hAnsi="黑体" w:eastAsia="黑体" w:cs="黑体"/>
          <w:kern w:val="2"/>
          <w:sz w:val="32"/>
          <w:szCs w:val="32"/>
          <w:highlight w:val="none"/>
        </w:rPr>
      </w:pPr>
      <w:r>
        <w:rPr>
          <w:rFonts w:hint="eastAsia" w:ascii="黑体" w:hAnsi="黑体" w:eastAsia="黑体" w:cs="黑体"/>
          <w:kern w:val="2"/>
          <w:sz w:val="32"/>
          <w:szCs w:val="32"/>
          <w:highlight w:val="none"/>
        </w:rPr>
        <w:br w:type="page"/>
      </w:r>
      <w:r>
        <w:rPr>
          <w:rFonts w:hint="eastAsia" w:ascii="黑体" w:hAnsi="黑体" w:eastAsia="黑体" w:cs="黑体"/>
          <w:kern w:val="2"/>
          <w:sz w:val="32"/>
          <w:szCs w:val="32"/>
          <w:highlight w:val="none"/>
        </w:rPr>
        <w:t>附件12、联合体协议书</w:t>
      </w:r>
    </w:p>
    <w:p>
      <w:pPr>
        <w:spacing w:line="360" w:lineRule="auto"/>
        <w:ind w:firstLine="420" w:firstLineChars="200"/>
        <w:rPr>
          <w:rFonts w:hint="eastAsia" w:ascii="宋体" w:hAnsi="宋体" w:cs="宋体"/>
          <w:szCs w:val="21"/>
          <w:highlight w:val="none"/>
          <w:u w:val="single"/>
        </w:rPr>
      </w:pPr>
      <w:r>
        <w:rPr>
          <w:rFonts w:hint="eastAsia" w:ascii="宋体" w:hAnsi="宋体" w:cs="宋体"/>
          <w:szCs w:val="21"/>
          <w:highlight w:val="none"/>
          <w:u w:val="single"/>
          <w:lang w:bidi="ar"/>
        </w:rPr>
        <w:t xml:space="preserve"> </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u w:val="single"/>
          <w:lang w:bidi="ar"/>
        </w:rPr>
        <w:t xml:space="preserve">              </w:t>
      </w:r>
      <w:r>
        <w:rPr>
          <w:rFonts w:hint="eastAsia" w:ascii="宋体" w:hAnsi="宋体" w:cs="宋体"/>
          <w:sz w:val="24"/>
          <w:highlight w:val="none"/>
          <w:lang w:bidi="ar"/>
        </w:rPr>
        <w:t xml:space="preserve"> （所有成员单位名称）自愿组成联合体，共同参加</w:t>
      </w:r>
      <w:r>
        <w:rPr>
          <w:rFonts w:hint="eastAsia" w:ascii="宋体" w:hAnsi="宋体" w:cs="宋体"/>
          <w:sz w:val="24"/>
          <w:highlight w:val="none"/>
          <w:u w:val="single"/>
          <w:lang w:bidi="ar"/>
        </w:rPr>
        <w:t xml:space="preserve">  （项目名称及标段号）  </w:t>
      </w:r>
      <w:r>
        <w:rPr>
          <w:rFonts w:hint="eastAsia" w:ascii="宋体" w:hAnsi="宋体" w:cs="宋体"/>
          <w:sz w:val="24"/>
          <w:highlight w:val="none"/>
          <w:lang w:bidi="ar"/>
        </w:rPr>
        <w:t>投标。现就联合体投标事宜订立如下协议。</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bidi="ar"/>
        </w:rPr>
        <w:t>1、</w:t>
      </w:r>
      <w:r>
        <w:rPr>
          <w:rFonts w:hint="eastAsia" w:ascii="宋体" w:hAnsi="宋体" w:cs="宋体"/>
          <w:sz w:val="24"/>
          <w:highlight w:val="none"/>
          <w:u w:val="single"/>
          <w:lang w:bidi="ar"/>
        </w:rPr>
        <w:t xml:space="preserve">           </w:t>
      </w:r>
      <w:r>
        <w:rPr>
          <w:rFonts w:hint="eastAsia" w:ascii="宋体" w:hAnsi="宋体" w:cs="宋体"/>
          <w:sz w:val="24"/>
          <w:highlight w:val="none"/>
          <w:lang w:bidi="ar"/>
        </w:rPr>
        <w:t>（某成员单位名称）为</w:t>
      </w:r>
      <w:r>
        <w:rPr>
          <w:rFonts w:hint="eastAsia" w:ascii="宋体" w:hAnsi="宋体" w:cs="宋体"/>
          <w:sz w:val="24"/>
          <w:highlight w:val="none"/>
          <w:u w:val="single"/>
          <w:lang w:bidi="ar"/>
        </w:rPr>
        <w:t xml:space="preserve">          </w:t>
      </w:r>
      <w:r>
        <w:rPr>
          <w:rFonts w:hint="eastAsia" w:ascii="宋体" w:hAnsi="宋体" w:cs="宋体"/>
          <w:sz w:val="24"/>
          <w:highlight w:val="none"/>
          <w:lang w:bidi="ar"/>
        </w:rPr>
        <w:t>（联合体名称）牵头人。</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bidi="ar"/>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bidi="ar"/>
        </w:rPr>
        <w:t>3、联合体将严格按照采购文件的各项要求，递交投标文件，履行合同，并对外承担连带责任。</w:t>
      </w:r>
    </w:p>
    <w:p>
      <w:pPr>
        <w:spacing w:line="360" w:lineRule="auto"/>
        <w:ind w:firstLine="480" w:firstLineChars="200"/>
        <w:rPr>
          <w:rFonts w:ascii="宋体" w:hAnsi="宋体" w:cs="宋体"/>
          <w:sz w:val="24"/>
          <w:highlight w:val="none"/>
          <w:lang w:bidi="ar"/>
        </w:rPr>
      </w:pPr>
      <w:r>
        <w:rPr>
          <w:rFonts w:hint="eastAsia" w:ascii="宋体" w:hAnsi="宋体" w:cs="宋体"/>
          <w:sz w:val="24"/>
          <w:highlight w:val="none"/>
          <w:lang w:bidi="ar"/>
        </w:rPr>
        <w:t>4、联合体各成员单位内部的职责分工如下：</w:t>
      </w:r>
    </w:p>
    <w:p>
      <w:pPr>
        <w:adjustRightInd w:val="0"/>
        <w:snapToGrid w:val="0"/>
        <w:spacing w:line="460" w:lineRule="exact"/>
        <w:ind w:firstLine="630" w:firstLineChars="225"/>
        <w:rPr>
          <w:rFonts w:ascii="仿宋" w:hAnsi="仿宋" w:eastAsia="仿宋" w:cs="仿宋"/>
          <w:sz w:val="28"/>
          <w:szCs w:val="28"/>
          <w:highlight w:val="none"/>
          <w:u w:val="single"/>
        </w:rPr>
      </w:pPr>
      <w:r>
        <w:rPr>
          <w:rFonts w:hint="eastAsia" w:ascii="仿宋" w:hAnsi="仿宋" w:eastAsia="仿宋" w:cs="仿宋"/>
          <w:sz w:val="28"/>
          <w:szCs w:val="28"/>
          <w:highlight w:val="none"/>
          <w:u w:val="single"/>
        </w:rPr>
        <w:t xml:space="preserve">       （需详细说明）              </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bidi="ar"/>
        </w:rPr>
        <w:t>5、本协议书自签署之日起生效，合同履行完毕后自动失效。</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bidi="ar"/>
        </w:rPr>
        <w:t>6、本协议书一式</w:t>
      </w:r>
      <w:r>
        <w:rPr>
          <w:rFonts w:hint="eastAsia" w:ascii="宋体" w:hAnsi="宋体" w:cs="宋体"/>
          <w:sz w:val="24"/>
          <w:highlight w:val="none"/>
          <w:u w:val="single"/>
          <w:lang w:bidi="ar"/>
        </w:rPr>
        <w:t xml:space="preserve">       </w:t>
      </w:r>
      <w:r>
        <w:rPr>
          <w:rFonts w:hint="eastAsia" w:ascii="宋体" w:hAnsi="宋体" w:cs="宋体"/>
          <w:sz w:val="24"/>
          <w:highlight w:val="none"/>
          <w:lang w:bidi="ar"/>
        </w:rPr>
        <w:t>份，联合体成员和招标人各执一份。</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bidi="ar"/>
        </w:rPr>
        <w:t>注：本协议书由委托代理人签字的，应附法定代表人签字的授权委托书。</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bidi="ar"/>
        </w:rPr>
        <w:t xml:space="preserve"> </w:t>
      </w:r>
    </w:p>
    <w:p>
      <w:pPr>
        <w:spacing w:line="360" w:lineRule="auto"/>
        <w:ind w:firstLine="3720" w:firstLineChars="1550"/>
        <w:rPr>
          <w:rFonts w:hint="eastAsia" w:ascii="宋体" w:hAnsi="宋体" w:cs="宋体"/>
          <w:sz w:val="24"/>
          <w:highlight w:val="none"/>
        </w:rPr>
      </w:pPr>
      <w:r>
        <w:rPr>
          <w:rFonts w:hint="eastAsia" w:ascii="宋体" w:hAnsi="宋体" w:cs="宋体"/>
          <w:sz w:val="24"/>
          <w:highlight w:val="none"/>
          <w:lang w:bidi="ar"/>
        </w:rPr>
        <w:t>牵头人名称：</w:t>
      </w:r>
      <w:r>
        <w:rPr>
          <w:rFonts w:hint="eastAsia" w:ascii="宋体" w:hAnsi="宋体" w:cs="宋体"/>
          <w:sz w:val="24"/>
          <w:highlight w:val="none"/>
          <w:u w:val="single"/>
          <w:lang w:bidi="ar"/>
        </w:rPr>
        <w:t xml:space="preserve">                   </w:t>
      </w:r>
      <w:r>
        <w:rPr>
          <w:rFonts w:hint="eastAsia" w:ascii="宋体" w:hAnsi="宋体" w:cs="宋体"/>
          <w:sz w:val="24"/>
          <w:highlight w:val="none"/>
          <w:lang w:bidi="ar"/>
        </w:rPr>
        <w:t>（盖单位公章）</w:t>
      </w:r>
    </w:p>
    <w:p>
      <w:pPr>
        <w:spacing w:line="360" w:lineRule="auto"/>
        <w:ind w:firstLine="3720" w:firstLineChars="1550"/>
        <w:rPr>
          <w:rFonts w:hint="eastAsia" w:ascii="宋体" w:hAnsi="宋体" w:cs="宋体"/>
          <w:sz w:val="24"/>
          <w:highlight w:val="none"/>
        </w:rPr>
      </w:pPr>
      <w:r>
        <w:rPr>
          <w:rFonts w:hint="eastAsia" w:ascii="宋体" w:hAnsi="宋体" w:cs="宋体"/>
          <w:sz w:val="24"/>
          <w:highlight w:val="none"/>
          <w:lang w:bidi="ar"/>
        </w:rPr>
        <w:t>法定代表人或其委托代理人：</w:t>
      </w:r>
      <w:r>
        <w:rPr>
          <w:rFonts w:hint="eastAsia" w:ascii="宋体" w:hAnsi="宋体" w:cs="宋体"/>
          <w:sz w:val="24"/>
          <w:highlight w:val="none"/>
          <w:u w:val="single"/>
          <w:lang w:bidi="ar"/>
        </w:rPr>
        <w:t xml:space="preserve">    </w:t>
      </w:r>
      <w:r>
        <w:rPr>
          <w:rFonts w:hint="eastAsia" w:ascii="宋体" w:hAnsi="宋体" w:cs="宋体"/>
          <w:sz w:val="24"/>
          <w:highlight w:val="none"/>
          <w:lang w:bidi="ar"/>
        </w:rPr>
        <w:t>（签字或盖章）</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bidi="ar"/>
        </w:rPr>
        <w:t xml:space="preserve"> </w:t>
      </w:r>
    </w:p>
    <w:p>
      <w:pPr>
        <w:spacing w:line="360" w:lineRule="auto"/>
        <w:ind w:firstLine="3720" w:firstLineChars="1550"/>
        <w:rPr>
          <w:rFonts w:hint="eastAsia" w:ascii="宋体" w:hAnsi="宋体" w:cs="宋体"/>
          <w:sz w:val="24"/>
          <w:highlight w:val="none"/>
        </w:rPr>
      </w:pPr>
      <w:r>
        <w:rPr>
          <w:rFonts w:hint="eastAsia" w:ascii="宋体" w:hAnsi="宋体" w:cs="宋体"/>
          <w:sz w:val="24"/>
          <w:highlight w:val="none"/>
          <w:lang w:bidi="ar"/>
        </w:rPr>
        <w:t>成员名称：</w:t>
      </w:r>
      <w:r>
        <w:rPr>
          <w:rFonts w:hint="eastAsia" w:ascii="宋体" w:hAnsi="宋体" w:cs="宋体"/>
          <w:sz w:val="24"/>
          <w:highlight w:val="none"/>
          <w:u w:val="single"/>
          <w:lang w:bidi="ar"/>
        </w:rPr>
        <w:t xml:space="preserve">                 </w:t>
      </w:r>
      <w:r>
        <w:rPr>
          <w:rFonts w:hint="eastAsia" w:ascii="宋体" w:hAnsi="宋体" w:cs="宋体"/>
          <w:sz w:val="24"/>
          <w:highlight w:val="none"/>
          <w:lang w:bidi="ar"/>
        </w:rPr>
        <w:t>（盖单位公章）</w:t>
      </w:r>
    </w:p>
    <w:p>
      <w:pPr>
        <w:spacing w:line="360" w:lineRule="auto"/>
        <w:ind w:firstLine="3720" w:firstLineChars="1550"/>
        <w:rPr>
          <w:rFonts w:hint="eastAsia" w:ascii="宋体" w:hAnsi="宋体" w:cs="宋体"/>
          <w:sz w:val="24"/>
          <w:highlight w:val="none"/>
        </w:rPr>
      </w:pPr>
      <w:r>
        <w:rPr>
          <w:rFonts w:hint="eastAsia" w:ascii="宋体" w:hAnsi="宋体" w:cs="宋体"/>
          <w:sz w:val="24"/>
          <w:highlight w:val="none"/>
          <w:lang w:bidi="ar"/>
        </w:rPr>
        <w:t>法定代表人或其委托代理人：</w:t>
      </w:r>
      <w:r>
        <w:rPr>
          <w:rFonts w:hint="eastAsia" w:ascii="宋体" w:hAnsi="宋体" w:cs="宋体"/>
          <w:sz w:val="24"/>
          <w:highlight w:val="none"/>
          <w:u w:val="single"/>
          <w:lang w:bidi="ar"/>
        </w:rPr>
        <w:t xml:space="preserve">     </w:t>
      </w:r>
      <w:r>
        <w:rPr>
          <w:rFonts w:hint="eastAsia" w:ascii="宋体" w:hAnsi="宋体" w:cs="宋体"/>
          <w:sz w:val="24"/>
          <w:highlight w:val="none"/>
          <w:lang w:bidi="ar"/>
        </w:rPr>
        <w:t>（签字或盖章）</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bidi="ar"/>
        </w:rPr>
        <w:t xml:space="preserve"> </w:t>
      </w:r>
    </w:p>
    <w:p>
      <w:pPr>
        <w:spacing w:line="360" w:lineRule="auto"/>
        <w:ind w:firstLine="6000" w:firstLineChars="2500"/>
        <w:rPr>
          <w:rFonts w:hint="eastAsia" w:ascii="宋体" w:hAnsi="宋体" w:cs="宋体"/>
          <w:sz w:val="24"/>
          <w:highlight w:val="none"/>
        </w:rPr>
      </w:pPr>
      <w:r>
        <w:rPr>
          <w:rFonts w:hint="eastAsia" w:ascii="宋体" w:hAnsi="宋体" w:cs="宋体"/>
          <w:sz w:val="24"/>
          <w:highlight w:val="none"/>
          <w:lang w:bidi="ar"/>
        </w:rPr>
        <w:t>年    月    日</w:t>
      </w:r>
    </w:p>
    <w:p>
      <w:pPr>
        <w:pStyle w:val="99"/>
        <w:widowControl w:val="0"/>
        <w:snapToGrid w:val="0"/>
        <w:spacing w:after="156" w:afterLines="50" w:line="500" w:lineRule="exact"/>
        <w:jc w:val="both"/>
        <w:rPr>
          <w:rFonts w:ascii="黑体" w:hAnsi="黑体" w:eastAsia="黑体" w:cs="黑体"/>
          <w:b/>
          <w:sz w:val="24"/>
          <w:szCs w:val="24"/>
          <w:highlight w:val="none"/>
        </w:rPr>
      </w:pPr>
      <w:r>
        <w:rPr>
          <w:rFonts w:ascii="黑体" w:hAnsi="黑体" w:eastAsia="黑体" w:cs="黑体"/>
          <w:b/>
          <w:sz w:val="24"/>
          <w:szCs w:val="24"/>
          <w:highlight w:val="none"/>
        </w:rPr>
        <w:br w:type="page"/>
      </w:r>
      <w:r>
        <w:rPr>
          <w:rFonts w:ascii="黑体" w:hAnsi="黑体" w:eastAsia="黑体" w:cs="黑体"/>
          <w:b/>
          <w:sz w:val="24"/>
          <w:szCs w:val="24"/>
          <w:highlight w:val="none"/>
        </w:rPr>
        <w:t>（此声明函不用编入投标文件）</w:t>
      </w:r>
    </w:p>
    <w:p>
      <w:pPr>
        <w:pStyle w:val="99"/>
        <w:widowControl w:val="0"/>
        <w:snapToGrid w:val="0"/>
        <w:spacing w:after="156" w:afterLines="50" w:line="500" w:lineRule="exact"/>
        <w:jc w:val="center"/>
        <w:rPr>
          <w:rFonts w:hint="default" w:ascii="黑体" w:hAnsi="黑体" w:eastAsia="黑体" w:cs="黑体"/>
          <w:b/>
          <w:sz w:val="32"/>
          <w:szCs w:val="32"/>
          <w:highlight w:val="none"/>
        </w:rPr>
      </w:pPr>
      <w:r>
        <w:rPr>
          <w:rFonts w:ascii="黑体" w:hAnsi="黑体" w:eastAsia="黑体" w:cs="黑体"/>
          <w:b/>
          <w:sz w:val="32"/>
          <w:szCs w:val="32"/>
          <w:highlight w:val="none"/>
        </w:rPr>
        <w:t>政府采购活动现场确认声明书</w:t>
      </w:r>
    </w:p>
    <w:p>
      <w:pPr>
        <w:pStyle w:val="99"/>
        <w:widowControl w:val="0"/>
        <w:snapToGrid w:val="0"/>
        <w:spacing w:line="312" w:lineRule="auto"/>
        <w:jc w:val="both"/>
        <w:rPr>
          <w:rFonts w:hint="default" w:ascii="仿宋" w:hAnsi="仿宋"/>
          <w:b/>
          <w:szCs w:val="21"/>
          <w:highlight w:val="none"/>
          <w:u w:val="single"/>
        </w:rPr>
      </w:pPr>
      <w:r>
        <w:rPr>
          <w:rFonts w:ascii="仿宋" w:hAnsi="仿宋"/>
          <w:kern w:val="0"/>
          <w:szCs w:val="21"/>
          <w:highlight w:val="none"/>
          <w:u w:val="single"/>
        </w:rPr>
        <w:t>浙江金穗工程项目管理有限公司：</w:t>
      </w:r>
    </w:p>
    <w:p>
      <w:pPr>
        <w:pStyle w:val="99"/>
        <w:widowControl w:val="0"/>
        <w:wordWrap w:val="0"/>
        <w:snapToGrid w:val="0"/>
        <w:spacing w:line="312" w:lineRule="auto"/>
        <w:ind w:firstLine="444" w:firstLineChars="200"/>
        <w:jc w:val="both"/>
        <w:rPr>
          <w:rFonts w:hint="default" w:ascii="仿宋" w:hAnsi="仿宋"/>
          <w:spacing w:val="6"/>
          <w:szCs w:val="21"/>
          <w:highlight w:val="none"/>
        </w:rPr>
      </w:pPr>
      <w:r>
        <w:rPr>
          <w:rFonts w:ascii="仿宋" w:hAnsi="仿宋"/>
          <w:spacing w:val="6"/>
          <w:szCs w:val="21"/>
          <w:highlight w:val="none"/>
        </w:rPr>
        <w:t>本人经由</w:t>
      </w:r>
      <w:r>
        <w:rPr>
          <w:rFonts w:ascii="仿宋" w:hAnsi="仿宋"/>
          <w:spacing w:val="6"/>
          <w:szCs w:val="21"/>
          <w:highlight w:val="none"/>
          <w:u w:val="single"/>
        </w:rPr>
        <w:t xml:space="preserve">                      </w:t>
      </w:r>
      <w:r>
        <w:rPr>
          <w:rFonts w:ascii="仿宋" w:hAnsi="仿宋"/>
          <w:spacing w:val="6"/>
          <w:szCs w:val="21"/>
          <w:highlight w:val="none"/>
        </w:rPr>
        <w:t>（单位）负责人</w:t>
      </w:r>
      <w:r>
        <w:rPr>
          <w:rFonts w:ascii="仿宋" w:hAnsi="仿宋"/>
          <w:spacing w:val="6"/>
          <w:szCs w:val="21"/>
          <w:highlight w:val="none"/>
          <w:u w:val="single"/>
        </w:rPr>
        <w:t xml:space="preserve">            </w:t>
      </w:r>
      <w:r>
        <w:rPr>
          <w:rFonts w:ascii="仿宋" w:hAnsi="仿宋"/>
          <w:spacing w:val="6"/>
          <w:szCs w:val="21"/>
          <w:highlight w:val="none"/>
        </w:rPr>
        <w:t>（姓名）合法授权参加</w:t>
      </w:r>
      <w:r>
        <w:rPr>
          <w:rFonts w:ascii="仿宋" w:hAnsi="仿宋"/>
          <w:spacing w:val="6"/>
          <w:szCs w:val="21"/>
          <w:highlight w:val="none"/>
          <w:u w:val="single"/>
        </w:rPr>
        <w:t xml:space="preserve"> 金华市梅溪流域管理中心 </w:t>
      </w:r>
      <w:r>
        <w:rPr>
          <w:rFonts w:ascii="仿宋" w:hAnsi="仿宋"/>
          <w:spacing w:val="6"/>
          <w:szCs w:val="21"/>
          <w:highlight w:val="none"/>
        </w:rPr>
        <w:t>（采购人）</w:t>
      </w:r>
      <w:r>
        <w:rPr>
          <w:rFonts w:ascii="仿宋" w:hAnsi="仿宋"/>
          <w:spacing w:val="6"/>
          <w:szCs w:val="21"/>
          <w:highlight w:val="none"/>
          <w:u w:val="single"/>
        </w:rPr>
        <w:t xml:space="preserve"> 金华市安地灌区续建配套与节水改造项目（2021-2022年）调增项目灌溉节水宣传馆</w:t>
      </w:r>
      <w:r>
        <w:rPr>
          <w:rFonts w:ascii="仿宋" w:hAnsi="仿宋"/>
          <w:spacing w:val="6"/>
          <w:szCs w:val="21"/>
          <w:highlight w:val="none"/>
        </w:rPr>
        <w:t>（项目名称）</w:t>
      </w:r>
      <w:r>
        <w:rPr>
          <w:rFonts w:ascii="仿宋" w:hAnsi="仿宋"/>
          <w:spacing w:val="6"/>
          <w:szCs w:val="21"/>
          <w:highlight w:val="none"/>
          <w:u w:val="single"/>
        </w:rPr>
        <w:t xml:space="preserve"> ZJJS2023-ZFCG001 </w:t>
      </w:r>
      <w:r>
        <w:rPr>
          <w:rFonts w:ascii="仿宋" w:hAnsi="仿宋"/>
          <w:spacing w:val="6"/>
          <w:szCs w:val="21"/>
          <w:highlight w:val="none"/>
        </w:rPr>
        <w:t>（项目编号）的政府采购活动，经与本单位法人代表（负责人）联系确认，现就有关公平竞争事项郑重声明如下：</w:t>
      </w:r>
    </w:p>
    <w:p>
      <w:pPr>
        <w:pStyle w:val="94"/>
        <w:widowControl/>
        <w:snapToGrid w:val="0"/>
        <w:spacing w:line="312" w:lineRule="auto"/>
        <w:ind w:firstLine="210" w:firstLineChars="100"/>
        <w:rPr>
          <w:rFonts w:hint="default" w:ascii="仿宋" w:hAnsi="仿宋"/>
          <w:kern w:val="0"/>
          <w:szCs w:val="21"/>
          <w:highlight w:val="none"/>
        </w:rPr>
      </w:pPr>
      <w:r>
        <w:rPr>
          <w:rFonts w:ascii="仿宋" w:hAnsi="仿宋"/>
          <w:kern w:val="0"/>
          <w:szCs w:val="21"/>
          <w:highlight w:val="none"/>
        </w:rPr>
        <w:t xml:space="preserve">一、本单位与采购人之间 </w:t>
      </w:r>
      <w:r>
        <w:rPr>
          <w:rFonts w:ascii="宋体" w:hAnsi="宋体" w:cs="宋体"/>
          <w:kern w:val="0"/>
          <w:szCs w:val="21"/>
          <w:highlight w:val="none"/>
        </w:rPr>
        <w:t>□</w:t>
      </w:r>
      <w:r>
        <w:rPr>
          <w:rFonts w:ascii="仿宋" w:hAnsi="仿宋"/>
          <w:kern w:val="0"/>
          <w:szCs w:val="21"/>
          <w:highlight w:val="none"/>
        </w:rPr>
        <w:t xml:space="preserve">不存在利害关系 </w:t>
      </w:r>
      <w:r>
        <w:rPr>
          <w:rFonts w:ascii="宋体" w:hAnsi="宋体" w:cs="宋体"/>
          <w:kern w:val="0"/>
          <w:szCs w:val="21"/>
          <w:highlight w:val="none"/>
        </w:rPr>
        <w:t>□</w:t>
      </w:r>
      <w:r>
        <w:rPr>
          <w:rFonts w:ascii="仿宋" w:hAnsi="仿宋"/>
          <w:kern w:val="0"/>
          <w:szCs w:val="21"/>
          <w:highlight w:val="none"/>
        </w:rPr>
        <w:t>存在下列利害关系</w:t>
      </w:r>
      <w:r>
        <w:rPr>
          <w:rFonts w:ascii="仿宋" w:hAnsi="仿宋"/>
          <w:kern w:val="0"/>
          <w:szCs w:val="21"/>
          <w:highlight w:val="none"/>
          <w:u w:val="single"/>
        </w:rPr>
        <w:t xml:space="preserve">           </w:t>
      </w:r>
      <w:r>
        <w:rPr>
          <w:rFonts w:ascii="仿宋" w:hAnsi="仿宋"/>
          <w:kern w:val="0"/>
          <w:szCs w:val="21"/>
          <w:highlight w:val="none"/>
        </w:rPr>
        <w:t>：</w:t>
      </w:r>
    </w:p>
    <w:p>
      <w:pPr>
        <w:pStyle w:val="94"/>
        <w:widowControl/>
        <w:snapToGrid w:val="0"/>
        <w:spacing w:line="312" w:lineRule="auto"/>
        <w:rPr>
          <w:rFonts w:hint="default" w:ascii="仿宋" w:hAnsi="仿宋"/>
          <w:kern w:val="0"/>
          <w:szCs w:val="21"/>
          <w:highlight w:val="none"/>
        </w:rPr>
      </w:pPr>
      <w:r>
        <w:rPr>
          <w:rFonts w:ascii="仿宋" w:hAnsi="仿宋"/>
          <w:kern w:val="0"/>
          <w:szCs w:val="21"/>
          <w:highlight w:val="none"/>
        </w:rPr>
        <w:t xml:space="preserve">  A.投资关系    B.行政隶属关系    C.业务指导关系</w:t>
      </w:r>
    </w:p>
    <w:p>
      <w:pPr>
        <w:pStyle w:val="94"/>
        <w:widowControl/>
        <w:snapToGrid w:val="0"/>
        <w:spacing w:line="312" w:lineRule="auto"/>
        <w:rPr>
          <w:rFonts w:hint="default" w:ascii="仿宋" w:hAnsi="仿宋"/>
          <w:kern w:val="0"/>
          <w:szCs w:val="21"/>
          <w:highlight w:val="none"/>
        </w:rPr>
      </w:pPr>
      <w:r>
        <w:rPr>
          <w:rFonts w:ascii="仿宋" w:hAnsi="仿宋"/>
          <w:kern w:val="0"/>
          <w:szCs w:val="21"/>
          <w:highlight w:val="none"/>
        </w:rPr>
        <w:t xml:space="preserve">  D.其他可能</w:t>
      </w:r>
      <w:r>
        <w:rPr>
          <w:rFonts w:ascii="仿宋" w:hAnsi="仿宋"/>
          <w:szCs w:val="21"/>
          <w:highlight w:val="none"/>
        </w:rPr>
        <w:t>影响采购公正的</w:t>
      </w:r>
      <w:r>
        <w:rPr>
          <w:rFonts w:ascii="仿宋" w:hAnsi="仿宋"/>
          <w:kern w:val="0"/>
          <w:szCs w:val="21"/>
          <w:highlight w:val="none"/>
        </w:rPr>
        <w:t>利害关系</w:t>
      </w:r>
      <w:r>
        <w:rPr>
          <w:rFonts w:ascii="仿宋" w:hAnsi="仿宋"/>
          <w:kern w:val="0"/>
          <w:szCs w:val="21"/>
          <w:highlight w:val="none"/>
          <w:u w:val="single"/>
        </w:rPr>
        <w:t xml:space="preserve"> （如有，请如实说明）   </w:t>
      </w:r>
      <w:r>
        <w:rPr>
          <w:rFonts w:ascii="仿宋" w:hAnsi="仿宋"/>
          <w:kern w:val="0"/>
          <w:szCs w:val="21"/>
          <w:highlight w:val="none"/>
        </w:rPr>
        <w:t>。</w:t>
      </w:r>
    </w:p>
    <w:p>
      <w:pPr>
        <w:pStyle w:val="94"/>
        <w:widowControl/>
        <w:snapToGrid w:val="0"/>
        <w:spacing w:line="312" w:lineRule="auto"/>
        <w:rPr>
          <w:rFonts w:hint="default" w:ascii="仿宋" w:hAnsi="仿宋"/>
          <w:kern w:val="0"/>
          <w:szCs w:val="21"/>
          <w:highlight w:val="none"/>
        </w:rPr>
      </w:pPr>
      <w:r>
        <w:rPr>
          <w:rFonts w:ascii="仿宋" w:hAnsi="仿宋"/>
          <w:spacing w:val="6"/>
          <w:szCs w:val="21"/>
          <w:highlight w:val="none"/>
        </w:rPr>
        <w:t xml:space="preserve">  二、</w:t>
      </w:r>
      <w:r>
        <w:rPr>
          <w:rFonts w:ascii="仿宋" w:hAnsi="仿宋"/>
          <w:kern w:val="0"/>
          <w:szCs w:val="21"/>
          <w:highlight w:val="none"/>
        </w:rPr>
        <w:t xml:space="preserve">现已清楚知道参加本项目采购活动的其他所有供应商名称，本单位 </w:t>
      </w:r>
      <w:r>
        <w:rPr>
          <w:rFonts w:ascii="宋体" w:hAnsi="宋体" w:cs="宋体"/>
          <w:kern w:val="0"/>
          <w:szCs w:val="21"/>
          <w:highlight w:val="none"/>
        </w:rPr>
        <w:t>□与其他所有供应商之间均</w:t>
      </w:r>
      <w:r>
        <w:rPr>
          <w:rFonts w:ascii="仿宋" w:hAnsi="仿宋"/>
          <w:kern w:val="0"/>
          <w:szCs w:val="21"/>
          <w:highlight w:val="none"/>
        </w:rPr>
        <w:t xml:space="preserve">不存在利害关系 </w:t>
      </w:r>
      <w:r>
        <w:rPr>
          <w:rFonts w:ascii="宋体" w:hAnsi="宋体" w:cs="宋体"/>
          <w:kern w:val="0"/>
          <w:szCs w:val="21"/>
          <w:highlight w:val="none"/>
        </w:rPr>
        <w:t>□与</w:t>
      </w:r>
      <w:r>
        <w:rPr>
          <w:rFonts w:ascii="宋体" w:hAnsi="宋体" w:cs="宋体"/>
          <w:kern w:val="0"/>
          <w:szCs w:val="21"/>
          <w:highlight w:val="none"/>
          <w:u w:val="single"/>
        </w:rPr>
        <w:t xml:space="preserve">                  </w:t>
      </w:r>
      <w:r>
        <w:rPr>
          <w:rFonts w:ascii="宋体" w:hAnsi="宋体" w:cs="宋体"/>
          <w:kern w:val="0"/>
          <w:szCs w:val="21"/>
          <w:highlight w:val="none"/>
        </w:rPr>
        <w:t>（供应商名称）之间</w:t>
      </w:r>
      <w:r>
        <w:rPr>
          <w:rFonts w:ascii="仿宋" w:hAnsi="仿宋"/>
          <w:kern w:val="0"/>
          <w:szCs w:val="21"/>
          <w:highlight w:val="none"/>
        </w:rPr>
        <w:t>存在下列利害关系</w:t>
      </w:r>
      <w:r>
        <w:rPr>
          <w:rFonts w:ascii="仿宋" w:hAnsi="仿宋"/>
          <w:kern w:val="0"/>
          <w:szCs w:val="21"/>
          <w:highlight w:val="none"/>
          <w:u w:val="single"/>
        </w:rPr>
        <w:t xml:space="preserve">          </w:t>
      </w:r>
      <w:r>
        <w:rPr>
          <w:rFonts w:ascii="仿宋" w:hAnsi="仿宋"/>
          <w:kern w:val="0"/>
          <w:szCs w:val="21"/>
          <w:highlight w:val="none"/>
        </w:rPr>
        <w:t>：</w:t>
      </w:r>
    </w:p>
    <w:p>
      <w:pPr>
        <w:pStyle w:val="99"/>
        <w:widowControl w:val="0"/>
        <w:snapToGrid w:val="0"/>
        <w:spacing w:line="312" w:lineRule="auto"/>
        <w:jc w:val="both"/>
        <w:rPr>
          <w:rFonts w:hint="default" w:ascii="仿宋" w:hAnsi="仿宋"/>
          <w:kern w:val="0"/>
          <w:szCs w:val="21"/>
          <w:highlight w:val="none"/>
        </w:rPr>
      </w:pPr>
      <w:r>
        <w:rPr>
          <w:rFonts w:ascii="仿宋" w:hAnsi="仿宋"/>
          <w:kern w:val="0"/>
          <w:szCs w:val="21"/>
          <w:highlight w:val="none"/>
        </w:rPr>
        <w:t xml:space="preserve">  A.法定代表人或负责人或实际控制人是同一人</w:t>
      </w:r>
    </w:p>
    <w:p>
      <w:pPr>
        <w:pStyle w:val="99"/>
        <w:widowControl w:val="0"/>
        <w:snapToGrid w:val="0"/>
        <w:spacing w:line="312" w:lineRule="auto"/>
        <w:jc w:val="both"/>
        <w:rPr>
          <w:rFonts w:hint="default" w:ascii="仿宋" w:hAnsi="仿宋"/>
          <w:spacing w:val="6"/>
          <w:szCs w:val="21"/>
          <w:highlight w:val="none"/>
        </w:rPr>
      </w:pPr>
      <w:r>
        <w:rPr>
          <w:rFonts w:ascii="仿宋" w:hAnsi="仿宋"/>
          <w:kern w:val="0"/>
          <w:szCs w:val="21"/>
          <w:highlight w:val="none"/>
        </w:rPr>
        <w:t xml:space="preserve">  B.法定代表人或负责人或实际控制人是夫妻关系</w:t>
      </w:r>
    </w:p>
    <w:p>
      <w:pPr>
        <w:pStyle w:val="99"/>
        <w:widowControl w:val="0"/>
        <w:snapToGrid w:val="0"/>
        <w:spacing w:line="312" w:lineRule="auto"/>
        <w:jc w:val="both"/>
        <w:rPr>
          <w:rFonts w:hint="default" w:ascii="仿宋" w:hAnsi="仿宋"/>
          <w:spacing w:val="6"/>
          <w:szCs w:val="21"/>
          <w:highlight w:val="none"/>
        </w:rPr>
      </w:pPr>
      <w:r>
        <w:rPr>
          <w:rFonts w:ascii="仿宋" w:hAnsi="仿宋"/>
          <w:kern w:val="0"/>
          <w:szCs w:val="21"/>
          <w:highlight w:val="none"/>
        </w:rPr>
        <w:t xml:space="preserve">  C.法定代表人或负责人或实际控制人是直系血亲关系</w:t>
      </w:r>
    </w:p>
    <w:p>
      <w:pPr>
        <w:pStyle w:val="99"/>
        <w:widowControl w:val="0"/>
        <w:snapToGrid w:val="0"/>
        <w:spacing w:line="312" w:lineRule="auto"/>
        <w:jc w:val="both"/>
        <w:rPr>
          <w:rFonts w:hint="default" w:ascii="仿宋" w:hAnsi="仿宋"/>
          <w:spacing w:val="6"/>
          <w:szCs w:val="21"/>
          <w:highlight w:val="none"/>
        </w:rPr>
      </w:pPr>
      <w:r>
        <w:rPr>
          <w:rFonts w:ascii="仿宋" w:hAnsi="仿宋"/>
          <w:kern w:val="0"/>
          <w:szCs w:val="21"/>
          <w:highlight w:val="none"/>
        </w:rPr>
        <w:t xml:space="preserve">  D.法定代表人或负责人或实际控制人存在三代以内旁系血亲关系</w:t>
      </w:r>
    </w:p>
    <w:p>
      <w:pPr>
        <w:pStyle w:val="99"/>
        <w:widowControl w:val="0"/>
        <w:snapToGrid w:val="0"/>
        <w:spacing w:line="312" w:lineRule="auto"/>
        <w:jc w:val="both"/>
        <w:rPr>
          <w:rFonts w:hint="default" w:ascii="仿宋" w:hAnsi="仿宋"/>
          <w:kern w:val="0"/>
          <w:szCs w:val="21"/>
          <w:highlight w:val="none"/>
        </w:rPr>
      </w:pPr>
      <w:r>
        <w:rPr>
          <w:rFonts w:ascii="仿宋" w:hAnsi="仿宋"/>
          <w:kern w:val="0"/>
          <w:szCs w:val="21"/>
          <w:highlight w:val="none"/>
        </w:rPr>
        <w:t xml:space="preserve">  E.法定代表人或负责人或实际控制人存在近姻亲关系</w:t>
      </w:r>
    </w:p>
    <w:p>
      <w:pPr>
        <w:pStyle w:val="99"/>
        <w:widowControl w:val="0"/>
        <w:snapToGrid w:val="0"/>
        <w:spacing w:line="312" w:lineRule="auto"/>
        <w:jc w:val="both"/>
        <w:rPr>
          <w:rFonts w:hint="default" w:ascii="仿宋" w:hAnsi="仿宋"/>
          <w:kern w:val="0"/>
          <w:szCs w:val="21"/>
          <w:highlight w:val="none"/>
        </w:rPr>
      </w:pPr>
      <w:r>
        <w:rPr>
          <w:rFonts w:ascii="仿宋" w:hAnsi="仿宋"/>
          <w:kern w:val="0"/>
          <w:szCs w:val="21"/>
          <w:highlight w:val="none"/>
        </w:rPr>
        <w:t xml:space="preserve">  F.法定代表人或负责人或实际控制人存在股份控制或实际控制关系</w:t>
      </w:r>
    </w:p>
    <w:p>
      <w:pPr>
        <w:pStyle w:val="99"/>
        <w:widowControl w:val="0"/>
        <w:snapToGrid w:val="0"/>
        <w:spacing w:line="312" w:lineRule="auto"/>
        <w:jc w:val="both"/>
        <w:outlineLvl w:val="0"/>
        <w:rPr>
          <w:rFonts w:hint="default" w:ascii="仿宋" w:hAnsi="仿宋"/>
          <w:kern w:val="0"/>
          <w:szCs w:val="21"/>
          <w:highlight w:val="none"/>
        </w:rPr>
      </w:pPr>
      <w:r>
        <w:rPr>
          <w:rFonts w:ascii="仿宋" w:hAnsi="仿宋"/>
          <w:kern w:val="0"/>
          <w:szCs w:val="21"/>
          <w:highlight w:val="none"/>
        </w:rPr>
        <w:t xml:space="preserve">  </w:t>
      </w:r>
      <w:bookmarkStart w:id="114" w:name="_Toc17102"/>
      <w:bookmarkStart w:id="115" w:name="_Toc30435"/>
      <w:r>
        <w:rPr>
          <w:rFonts w:ascii="仿宋" w:hAnsi="仿宋"/>
          <w:kern w:val="0"/>
          <w:szCs w:val="21"/>
          <w:highlight w:val="none"/>
        </w:rPr>
        <w:t>G.存在共同直接或间接投资设立子公司、联营企业和合营企业情况</w:t>
      </w:r>
      <w:bookmarkEnd w:id="114"/>
      <w:bookmarkEnd w:id="115"/>
    </w:p>
    <w:p>
      <w:pPr>
        <w:pStyle w:val="99"/>
        <w:widowControl w:val="0"/>
        <w:snapToGrid w:val="0"/>
        <w:spacing w:line="312" w:lineRule="auto"/>
        <w:jc w:val="both"/>
        <w:rPr>
          <w:rFonts w:hint="default" w:ascii="仿宋" w:hAnsi="仿宋"/>
          <w:szCs w:val="21"/>
          <w:highlight w:val="none"/>
        </w:rPr>
      </w:pPr>
      <w:r>
        <w:rPr>
          <w:rFonts w:ascii="仿宋" w:hAnsi="仿宋"/>
          <w:kern w:val="0"/>
          <w:szCs w:val="21"/>
          <w:highlight w:val="none"/>
        </w:rPr>
        <w:t xml:space="preserve">  H.存在分级代理或代销关系、同一生产制造商关系、</w:t>
      </w:r>
      <w:r>
        <w:rPr>
          <w:rFonts w:ascii="仿宋" w:hAnsi="仿宋"/>
          <w:szCs w:val="21"/>
          <w:highlight w:val="none"/>
        </w:rPr>
        <w:t>管理关系、重要业务（占主营业务收入50%以上）或重要财务往来关系（如融资）等其他实质性控制关系</w:t>
      </w:r>
    </w:p>
    <w:p>
      <w:pPr>
        <w:pStyle w:val="99"/>
        <w:widowControl w:val="0"/>
        <w:snapToGrid w:val="0"/>
        <w:spacing w:line="312" w:lineRule="auto"/>
        <w:jc w:val="both"/>
        <w:rPr>
          <w:rFonts w:hint="default" w:ascii="仿宋" w:hAnsi="仿宋"/>
          <w:spacing w:val="6"/>
          <w:szCs w:val="21"/>
          <w:highlight w:val="none"/>
        </w:rPr>
      </w:pPr>
      <w:r>
        <w:rPr>
          <w:rFonts w:ascii="仿宋" w:hAnsi="仿宋"/>
          <w:szCs w:val="21"/>
          <w:highlight w:val="none"/>
        </w:rPr>
        <w:t xml:space="preserve">  I</w:t>
      </w:r>
      <w:r>
        <w:rPr>
          <w:rFonts w:ascii="仿宋" w:hAnsi="仿宋"/>
          <w:kern w:val="0"/>
          <w:szCs w:val="21"/>
          <w:highlight w:val="none"/>
        </w:rPr>
        <w:t>.</w:t>
      </w:r>
      <w:r>
        <w:rPr>
          <w:rFonts w:ascii="仿宋" w:hAnsi="仿宋"/>
          <w:szCs w:val="21"/>
          <w:highlight w:val="none"/>
        </w:rPr>
        <w:t>其他利害关系情况</w:t>
      </w:r>
      <w:r>
        <w:rPr>
          <w:rFonts w:ascii="仿宋" w:hAnsi="仿宋"/>
          <w:szCs w:val="21"/>
          <w:highlight w:val="none"/>
          <w:u w:val="single"/>
        </w:rPr>
        <w:t xml:space="preserve">                              </w:t>
      </w:r>
      <w:r>
        <w:rPr>
          <w:rFonts w:ascii="仿宋" w:hAnsi="仿宋"/>
          <w:kern w:val="0"/>
          <w:szCs w:val="21"/>
          <w:highlight w:val="none"/>
        </w:rPr>
        <w:t>。</w:t>
      </w:r>
    </w:p>
    <w:p>
      <w:pPr>
        <w:pStyle w:val="94"/>
        <w:widowControl/>
        <w:snapToGrid w:val="0"/>
        <w:spacing w:line="312" w:lineRule="auto"/>
        <w:ind w:firstLine="210" w:firstLineChars="100"/>
        <w:rPr>
          <w:rFonts w:hint="default" w:ascii="仿宋" w:hAnsi="仿宋"/>
          <w:kern w:val="0"/>
          <w:szCs w:val="21"/>
          <w:highlight w:val="none"/>
        </w:rPr>
      </w:pPr>
      <w:r>
        <w:rPr>
          <w:rFonts w:ascii="仿宋" w:hAnsi="仿宋"/>
          <w:szCs w:val="21"/>
          <w:highlight w:val="none"/>
        </w:rPr>
        <w:t>三、现已清楚知道并</w:t>
      </w:r>
      <w:r>
        <w:rPr>
          <w:rFonts w:ascii="仿宋" w:hAnsi="仿宋"/>
          <w:kern w:val="0"/>
          <w:szCs w:val="21"/>
          <w:highlight w:val="none"/>
        </w:rPr>
        <w:t>严格遵守政府采购法律法规和现场纪律。</w:t>
      </w:r>
    </w:p>
    <w:p>
      <w:pPr>
        <w:pStyle w:val="94"/>
        <w:widowControl/>
        <w:snapToGrid w:val="0"/>
        <w:spacing w:line="312" w:lineRule="auto"/>
        <w:ind w:firstLine="210" w:firstLineChars="100"/>
        <w:rPr>
          <w:rFonts w:hint="default"/>
          <w:highlight w:val="none"/>
        </w:rPr>
      </w:pPr>
      <w:r>
        <w:rPr>
          <w:rFonts w:ascii="仿宋" w:hAnsi="仿宋"/>
          <w:kern w:val="0"/>
          <w:szCs w:val="21"/>
          <w:highlight w:val="none"/>
        </w:rPr>
        <w:t>四、我发现</w:t>
      </w:r>
      <w:r>
        <w:rPr>
          <w:rFonts w:ascii="仿宋" w:hAnsi="仿宋"/>
          <w:kern w:val="0"/>
          <w:szCs w:val="21"/>
          <w:highlight w:val="none"/>
          <w:u w:val="single"/>
        </w:rPr>
        <w:t xml:space="preserve">                    </w:t>
      </w:r>
      <w:r>
        <w:rPr>
          <w:rFonts w:ascii="仿宋" w:hAnsi="仿宋"/>
          <w:kern w:val="0"/>
          <w:szCs w:val="21"/>
          <w:highlight w:val="none"/>
        </w:rPr>
        <w:t>供应商之间存在或可能存在上述第二条第</w:t>
      </w:r>
      <w:r>
        <w:rPr>
          <w:rFonts w:ascii="仿宋" w:hAnsi="仿宋"/>
          <w:kern w:val="0"/>
          <w:szCs w:val="21"/>
          <w:highlight w:val="none"/>
          <w:u w:val="single"/>
        </w:rPr>
        <w:t xml:space="preserve">      </w:t>
      </w:r>
      <w:r>
        <w:rPr>
          <w:rFonts w:hint="default" w:ascii="仿宋" w:hAnsi="仿宋"/>
          <w:kern w:val="0"/>
          <w:szCs w:val="21"/>
          <w:highlight w:val="none"/>
          <w:u w:val="single"/>
        </w:rPr>
        <w:t xml:space="preserve">  </w:t>
      </w:r>
      <w:r>
        <w:rPr>
          <w:rFonts w:ascii="仿宋" w:hAnsi="仿宋"/>
          <w:kern w:val="0"/>
          <w:szCs w:val="21"/>
          <w:highlight w:val="none"/>
        </w:rPr>
        <w:t xml:space="preserve">项利害关系。                    </w:t>
      </w:r>
    </w:p>
    <w:p>
      <w:pPr>
        <w:pStyle w:val="94"/>
        <w:widowControl/>
        <w:snapToGrid w:val="0"/>
        <w:spacing w:line="360" w:lineRule="auto"/>
        <w:ind w:left="397"/>
        <w:jc w:val="left"/>
        <w:rPr>
          <w:rFonts w:ascii="仿宋" w:hAnsi="仿宋"/>
          <w:szCs w:val="21"/>
          <w:highlight w:val="none"/>
        </w:rPr>
      </w:pPr>
    </w:p>
    <w:p>
      <w:pPr>
        <w:pStyle w:val="94"/>
        <w:widowControl/>
        <w:snapToGrid w:val="0"/>
        <w:spacing w:line="360" w:lineRule="auto"/>
        <w:ind w:left="397"/>
        <w:jc w:val="left"/>
        <w:rPr>
          <w:rFonts w:hint="default" w:ascii="宋体" w:hAnsi="宋体" w:cs="宋体"/>
          <w:b/>
          <w:highlight w:val="none"/>
        </w:rPr>
      </w:pPr>
      <w:r>
        <w:rPr>
          <w:rFonts w:ascii="宋体" w:hAnsi="宋体" w:cs="宋体"/>
          <w:b/>
          <w:highlight w:val="none"/>
        </w:rPr>
        <w:t>投标供应商全称（公章）：</w:t>
      </w:r>
    </w:p>
    <w:p>
      <w:pPr>
        <w:pStyle w:val="94"/>
        <w:widowControl/>
        <w:snapToGrid w:val="0"/>
        <w:spacing w:line="360" w:lineRule="auto"/>
        <w:ind w:left="397"/>
        <w:jc w:val="left"/>
        <w:rPr>
          <w:rFonts w:ascii="宋体" w:hAnsi="宋体" w:cs="宋体"/>
          <w:b/>
          <w:highlight w:val="none"/>
        </w:rPr>
      </w:pPr>
      <w:r>
        <w:rPr>
          <w:rFonts w:ascii="宋体" w:hAnsi="宋体" w:cs="宋体"/>
          <w:b/>
          <w:highlight w:val="none"/>
        </w:rPr>
        <w:t>法定代表人(负责人）或授权代表（签字或盖章）：</w:t>
      </w:r>
    </w:p>
    <w:p>
      <w:pPr>
        <w:pStyle w:val="94"/>
        <w:widowControl/>
        <w:snapToGrid w:val="0"/>
        <w:spacing w:line="360" w:lineRule="auto"/>
        <w:ind w:left="397"/>
        <w:jc w:val="left"/>
        <w:rPr>
          <w:rFonts w:hint="default" w:ascii="宋体" w:hAnsi="宋体" w:cs="宋体"/>
          <w:b/>
          <w:highlight w:val="none"/>
        </w:rPr>
      </w:pPr>
      <w:r>
        <w:rPr>
          <w:rFonts w:ascii="宋体" w:hAnsi="宋体" w:cs="宋体"/>
          <w:b/>
          <w:highlight w:val="none"/>
        </w:rPr>
        <w:t>日期：2022年   月   日</w:t>
      </w:r>
    </w:p>
    <w:p>
      <w:pPr>
        <w:pStyle w:val="20"/>
        <w:ind w:firstLine="210"/>
        <w:rPr>
          <w:rFonts w:hint="eastAsia"/>
          <w:highlight w:val="none"/>
        </w:rPr>
      </w:pPr>
    </w:p>
    <w:p>
      <w:pPr>
        <w:rPr>
          <w:rFonts w:hint="eastAsia" w:ascii="黑体" w:hAnsi="黑体" w:eastAsia="黑体" w:cs="黑体"/>
          <w:b/>
          <w:bCs/>
          <w:highlight w:val="none"/>
        </w:rPr>
      </w:pPr>
      <w:r>
        <w:rPr>
          <w:rFonts w:hint="eastAsia" w:ascii="黑体" w:hAnsi="黑体" w:eastAsia="黑体" w:cs="黑体"/>
          <w:b/>
          <w:bCs/>
          <w:highlight w:val="none"/>
        </w:rPr>
        <w:t xml:space="preserve">说明：1、投标人解密投标文件及获知其他投标人信息进行如实声明并盖章，以扫描件形式提交给采购代理机构，邮箱：919178909@qq.com,联系人：方毅，联系方式：18814832009。 </w:t>
      </w:r>
    </w:p>
    <w:p>
      <w:pPr>
        <w:numPr>
          <w:ilvl w:val="0"/>
          <w:numId w:val="7"/>
        </w:numPr>
        <w:ind w:firstLine="422" w:firstLineChars="200"/>
        <w:rPr>
          <w:rFonts w:hint="eastAsia" w:ascii="黑体" w:hAnsi="黑体" w:eastAsia="黑体" w:cs="黑体"/>
          <w:b/>
          <w:bCs/>
          <w:highlight w:val="none"/>
        </w:rPr>
      </w:pPr>
      <w:r>
        <w:rPr>
          <w:rFonts w:hint="eastAsia" w:ascii="黑体" w:hAnsi="黑体" w:eastAsia="黑体" w:cs="黑体"/>
          <w:b/>
          <w:bCs/>
          <w:highlight w:val="none"/>
        </w:rPr>
        <w:t xml:space="preserve">此声明函不用编入投标文件。 </w:t>
      </w:r>
    </w:p>
    <w:p>
      <w:pPr>
        <w:pStyle w:val="8"/>
        <w:jc w:val="center"/>
        <w:rPr>
          <w:rFonts w:hint="eastAsia"/>
          <w:highlight w:val="none"/>
        </w:rPr>
      </w:pPr>
      <w:bookmarkStart w:id="116" w:name="_Toc19751"/>
      <w:r>
        <w:rPr>
          <w:rFonts w:hint="eastAsia"/>
          <w:highlight w:val="none"/>
        </w:rPr>
        <w:br w:type="page"/>
      </w:r>
      <w:r>
        <w:rPr>
          <w:rFonts w:hint="eastAsia"/>
          <w:highlight w:val="none"/>
        </w:rPr>
        <w:t xml:space="preserve">第七章 </w:t>
      </w:r>
      <w:bookmarkEnd w:id="116"/>
      <w:r>
        <w:rPr>
          <w:rFonts w:hint="eastAsia"/>
          <w:highlight w:val="none"/>
        </w:rPr>
        <w:t>招标控制价</w:t>
      </w:r>
    </w:p>
    <w:p>
      <w:pPr>
        <w:pStyle w:val="68"/>
        <w:ind w:left="0" w:leftChars="0" w:firstLine="0" w:firstLineChars="0"/>
        <w:jc w:val="center"/>
        <w:rPr>
          <w:rFonts w:hint="eastAsia" w:ascii="黑体" w:hAnsi="黑体" w:eastAsia="黑体" w:cs="黑体"/>
          <w:b/>
          <w:sz w:val="36"/>
          <w:szCs w:val="36"/>
          <w:highlight w:val="none"/>
        </w:rPr>
      </w:pPr>
    </w:p>
    <w:p>
      <w:pPr>
        <w:pStyle w:val="68"/>
        <w:ind w:left="0" w:leftChars="0" w:firstLine="0" w:firstLineChars="0"/>
        <w:jc w:val="center"/>
        <w:outlineLvl w:val="0"/>
        <w:rPr>
          <w:rFonts w:hint="eastAsia" w:ascii="黑体" w:hAnsi="黑体" w:eastAsia="黑体" w:cs="黑体"/>
          <w:b/>
          <w:sz w:val="36"/>
          <w:szCs w:val="36"/>
          <w:highlight w:val="none"/>
        </w:rPr>
      </w:pPr>
      <w:bookmarkStart w:id="117" w:name="_Toc20327"/>
      <w:r>
        <w:rPr>
          <w:rFonts w:hint="eastAsia" w:ascii="黑体" w:hAnsi="黑体" w:eastAsia="黑体" w:cs="黑体"/>
          <w:b/>
          <w:sz w:val="36"/>
          <w:szCs w:val="36"/>
          <w:highlight w:val="none"/>
        </w:rPr>
        <w:t>详见附件</w:t>
      </w:r>
      <w:bookmarkEnd w:id="117"/>
    </w:p>
    <w:sectPr>
      <w:footerReference r:id="rId10" w:type="default"/>
      <w:pgSz w:w="11906" w:h="16838"/>
      <w:pgMar w:top="1417" w:right="1335" w:bottom="1417" w:left="1531" w:header="850"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1" w:usb1="080E0000" w:usb2="0000001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3" w:usb1="00000000" w:usb2="00000000" w:usb3="00000000" w:csb0="00000001" w:csb1="00000000"/>
  </w:font>
  <w:font w:name="宋体...耂.">
    <w:altName w:val="宋体"/>
    <w:panose1 w:val="00000000000000000000"/>
    <w:charset w:val="86"/>
    <w:family w:val="roma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left="12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9"/>
                          </w:pPr>
                          <w:r>
                            <w:fldChar w:fldCharType="begin"/>
                          </w:r>
                          <w:r>
                            <w:instrText xml:space="preserve"> PAGE  \* MERGEFORMAT </w:instrText>
                          </w:r>
                          <w:r>
                            <w:fldChar w:fldCharType="separate"/>
                          </w:r>
                          <w:r>
                            <w:rPr>
                              <w:lang/>
                            </w:rPr>
                            <w:t>35</w:t>
                          </w:r>
                          <w:r>
                            <w:fldChar w:fldCharType="end"/>
                          </w:r>
                        </w:p>
                      </w:txbxContent>
                    </wps:txbx>
                    <wps:bodyPr wrap="none" lIns="0" tIns="0" rIns="0" bIns="0" upright="0">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nHmZbcoBAACaAwAADgAAAGRycy9lMm9Eb2MueG1srVPNjtMwEL6vxDtY vlNni4SqqOkKVC1CQoC07AO4jt1Y8p88bpO+ALwBJy573+fqczB2ki4slz1wccYz42/m+2ayvhms IUcZQXvX0OtFRYl0wrfa7Rt6/+329YoSSNy13HgnG3qSQG82r67Wfajl0nfetDISBHFQ96GhXUqh ZgxEJy2HhQ/SYVD5aHnCa9yzNvIe0a1hy6p6y3of2xC9kADo3Y5BOiHGlwB6pbSQWy8OVro0okZp eEJK0OkAdFO6VUqK9EUpkImYhiLTVE4sgvYun2yz5vU+8tBpMbXAX9LCM06Wa4dFL1Bbnjg5RP0P lNUievAqLYS3bCRSFEEW19Uzbe46HmThglJDuIgO/w9WfD5+jUS3uAmUOG5x4OefP86/Hs8P38ny TdanD1Bj2l3AxDS890POnfyAzkx7UNHmLxIiGEd1Txd15ZCIyI9Wy9WqwpDA2HxBHPb0PERIH6S3 JBsNjTi+oio/foI0ps4puZrzt9oY9PPauL8ciJk9LPc+9pitNOyGqfGdb0/Ip8fJN9TholNiPjoU Ni/JbMTZ2M3GIUS978oW5XoQ3h0SNlF6yxVG2Kkwjqywm9Yr78Sf95L19EttfgNQSwMECgAAAAAA h07iQAAAAAAAAAAAAAAAAAYAAABfcmVscy9QSwMEFAAAAAgAh07iQIoUZjzRAAAAlAEAAAsAAABf cmVscy8ucmVsc6WQwWrDMAyG74O9g9F9cZrDGKNOL6PQa+kewNiKYxpbRjLZ+vbzDoNl9LajfqHv E//+8JkWtSJLpGxg1/WgMDvyMQcD75fj0wsoqTZ7u1BGAzcUOIyPD/szLra2I5ljEdUoWQzMtZZX rcXNmKx0VDC3zUScbG0jB12su9qAeuj7Z82/GTBumOrkDfDJD6Aut9LMf9gpOiahqXaOkqZpiu4e VQe2ZY7uyDbhG7lGsxywGvAsGgdqWdd+BH1fv/un3tNHPuO61X6HjOuPV2+6HL8AUEsDBBQAAAAI AIdO4kB+5uUg9wAAAOEBAAATAAAAW0NvbnRlbnRfVHlwZXNdLnhtbJWRQU7DMBBF90jcwfIWJU67 QAgl6YK0S0CoHGBkTxKLZGx5TGhvj5O2G0SRWNoz/78nu9wcxkFMGNg6quQqL6RA0s5Y6ir5vt9l D1JwBDIwOMJKHpHlpr69KfdHjyxSmriSfYz+USnWPY7AufNIadK6MEJMx9ApD/oDOlTrorhX2lFE ilmcO2RdNtjC5xDF9pCuTyYBB5bi6bQ4syoJ3g9WQ0ymaiLzg5KdCXlKLjvcW893SUOqXwnz5Drg nHtJTxOsQfEKIT7DmDSUCayM+6KAU/53yWw5cuba1mrMm8BNir3hdLG61o5r1zj93/Ltkrp0q+WD 6m9QSwECFAAUAAAACACHTuJAfublIPcAAADhAQAAEwAAAAAAAAABACAAAAAyBAAAW0NvbnRlbnRf VHlwZXNdLnhtbFBLAQIUAAoAAAAAAIdO4kAAAAAAAAAAAAAAAAAGAAAAAAAAAAAAEAAAABQDAABf cmVscy9QSwECFAAUAAAACACHTuJAihRmPNEAAACUAQAACwAAAAAAAAABACAAAAA4AwAAX3JlbHMv LnJlbHNQSwECFAAKAAAAAACHTuJAAAAAAAAAAAAAAAAABAAAAAAAAAAAABAAAAAAAAAAZHJzL1BL AQIUABQAAAAIAIdO4kDOqXm5zwAAAAUBAAAPAAAAAAAAAAEAIAAAACIAAABkcnMvZG93bnJldi54 bWxQSwECFAAUAAAACACHTuJAnHmZbcoBAACaAwAADgAAAAAAAAABACAAAAAeAQAAZHJzL2Uyb0Rv Yy54bWxQSwUGAAAAAAYABgBZAQAAWgUAAAAA ">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rPr>
                        <w:lang/>
                      </w:rPr>
                      <w:t>35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left="12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9"/>
                          </w:pPr>
                          <w:r>
                            <w:fldChar w:fldCharType="begin"/>
                          </w:r>
                          <w:r>
                            <w:instrText xml:space="preserve"> PAGE  \* MERGEFORMAT </w:instrText>
                          </w:r>
                          <w:r>
                            <w:fldChar w:fldCharType="separate"/>
                          </w:r>
                          <w:r>
                            <w:rPr>
                              <w:lang/>
                            </w:rPr>
                            <w:t>41</w:t>
                          </w:r>
                          <w:r>
                            <w:fldChar w:fldCharType="end"/>
                          </w:r>
                        </w:p>
                      </w:txbxContent>
                    </wps:txbx>
                    <wps:bodyPr wrap="none" lIns="0" tIns="0" rIns="0" bIns="0" upright="0">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Ic/qqcgBAACaAwAADgAAAGRycy9lMm9Eb2MueG1srVPNjtMwEL4j8Q6W 79TZCKEqaroCVYuQECAtPIDr2I0l/8njNukLwBtw4sKd5+pzMHaSLiyXPXBxxjPjb+b7ZrK5Ha0h JxlBe9fSm1VFiXTCd9odWvrl892LNSWQuOu48U629CyB3m6fP9sMoZG1773pZCQI4qAZQkv7lELD GIheWg4rH6TDoPLR8oTXeGBd5AOiW8PqqnrFBh+7EL2QAOjdTUE6I8anAHqltJA7L45WujShRml4 QkrQ6wB0W7pVSor0USmQiZiWItNUTiyC9j6fbLvhzSHy0Gsxt8Cf0sIjTpZrh0WvUDueODlG/Q+U 1SJ68CqthLdsIlIUQRY31SNt7nseZOGCUkO4ig7/D1Z8OH2KRHctrSlx3OLAL9+/XX78uvz8SuqX WZ8hQINp9wET0/jGj7g1ix/QmWmPKtr8RUIE46ju+aquHBMR+dG6Xq8rDAmMLRfEZw/PQ4T0VnpL stHSiOMrqvLTe0hT6pKSqzl/p40pIzTuLwdiZg/LvU89ZiuN+3EmtPfdGfkMOPmWOlx0Ssw7h8Lm JVmMuBj7xTiGqA992aJcD8LrY8ImSm+5wgQ7F8aRFXbzeuWd+PNesh5+qe1vUEsDBAoAAAAAAIdO 4kAAAAAAAAAAAAAAAAAGAAAAX3JlbHMvUEsDBBQAAAAIAIdO4kCKFGY80QAAAJQBAAALAAAAX3Jl bHMvLnJlbHOlkMFqwzAMhu+DvYPRfXGawxijTi+j0GvpHsDYimMaW0Yy2fr28w6DZfS2o36h7xP/ /vCZFrUiS6RsYNf1oDA78jEHA++X49MLKKk2e7tQRgM3FDiMjw/7My62tiOZYxHVKFkMzLWWV63F zZisdFQwt81EnGxtIwddrLvagHro+2fNvxkwbpjq5A3wyQ+gLrfSzH/YKTomoal2jpKmaYruHlUH tmWO7sg24Ru5RrMcsBrwLBoHalnXfgR9X7/7p97TRz7jutV+h4zrj1dvuhy/AFBLAwQUAAAACACH TuJAfublIPcAAADhAQAAEwAAAFtDb250ZW50X1R5cGVzXS54bWyVkUFOwzAQRfdI3MHyFiVOu0AI JemCtEtAqBxgZE8Si2RseUxob4+TthtEkVjaM/+/J7vcHMZBTBjYOqrkKi+kQNLOWOoq+b7fZQ9S cAQyMDjCSh6R5aa+vSn3R48sUpq4kn2M/lEp1j2OwLnzSGnSujBCTMfQKQ/6AzpU66K4V9pRRIpZ nDtkXTbYwucQxfaQrk8mAQeW4um0OLMqCd4PVkNMpmoi84OSnQl5Si473FvPd0lDql8J8+Q64Jx7 SU8TrEHxCiE+w5g0lAmsjPuigFP+d8lsOXLm2tZqzJvATYq94XSxutaOa9c4/d/y7ZK6dKvlg+pv UEsBAhQAFAAAAAgAh07iQH7m5SD3AAAA4QEAABMAAAAAAAAAAQAgAAAAMAQAAFtDb250ZW50X1R5 cGVzXS54bWxQSwECFAAKAAAAAACHTuJAAAAAAAAAAAAAAAAABgAAAAAAAAAAABAAAAASAwAAX3Jl bHMvUEsBAhQAFAAAAAgAh07iQIoUZjzRAAAAlAEAAAsAAAAAAAAAAQAgAAAANgMAAF9yZWxzLy5y ZWxzUEsBAhQACgAAAAAAh07iQAAAAAAAAAAAAAAAAAQAAAAAAAAAAAAQAAAAAAAAAGRycy9QSwEC FAAUAAAACACHTuJAzql5uc8AAAAFAQAADwAAAAAAAAABACAAAAAiAAAAZHJzL2Rvd25yZXYueG1s UEsBAhQAFAAAAAgAh07iQCHP6qnIAQAAmgMAAA4AAAAAAAAAAQAgAAAAHgEAAGRycy9lMm9Eb2Mu eG1sUEsFBgAAAAAGAAYAWQEAAFgFAAAAAA== ">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rPr>
                        <w:lang/>
                      </w:rPr>
                      <w:t>41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rPr>
        <w:lang/>
      </w:rPr>
      <w:pict>
        <v:shape id="PowerPlusWaterMarkObject455573342" o:spid="_x0000_s2054" o:spt="136" type="#_x0000_t136" style="position:absolute;left:0pt;height:54pt;width:648pt;mso-position-horizontal:center;mso-position-horizontal-relative:page;mso-position-vertical:center;mso-position-vertical-relative:page;rotation:20643840f;z-index:-251656192;mso-width-relative:page;mso-height-relative:page;" fillcolor="#F2F2F2" filled="t" stroked="f" coordsize="21600,21600" o:allowincell="f">
          <v:path/>
          <v:fill on="t" focussize="0,0"/>
          <v:stroke on="f"/>
          <v:imagedata o:title=""/>
          <o:lock v:ext="edit"/>
          <v:textpath on="t" fitpath="t" trim="f" xscale="f" string="金华金誉招标代理有限公司" style="font-family:隶书;font-size:54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rPr>
        <w:lang/>
      </w:rPr>
      <w:pict>
        <v:shape id="PowerPlusWaterMarkObject455573341" o:spid="_x0000_s2053" o:spt="136" type="#_x0000_t136" style="position:absolute;left:0pt;height:54pt;width:648pt;mso-position-horizontal:center;mso-position-horizontal-relative:page;mso-position-vertical:center;mso-position-vertical-relative:page;rotation:20643840f;z-index:-251657216;mso-width-relative:page;mso-height-relative:page;" fillcolor="#F2F2F2" filled="t" stroked="f" coordsize="21600,21600" o:allowincell="f">
          <v:path/>
          <v:fill on="t" focussize="0,0"/>
          <v:stroke on="f"/>
          <v:imagedata o:title=""/>
          <o:lock v:ext="edit"/>
          <v:textpath on="t" fitpath="t" trim="f" xscale="f" string="金华金誉招标代理有限公司" style="font-family:隶书;font-size:54pt;v-same-letter-heights:f;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leader="dot" w:pos="9628"/>
        <w:tab w:val="clear" w:pos="9170"/>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leader="dot" w:pos="9628"/>
        <w:tab w:val="clear" w:pos="917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438F4D"/>
    <w:multiLevelType w:val="singleLevel"/>
    <w:tmpl w:val="8E438F4D"/>
    <w:lvl w:ilvl="0" w:tentative="0">
      <w:start w:val="1"/>
      <w:numFmt w:val="decimal"/>
      <w:suff w:val="nothing"/>
      <w:lvlText w:val="%1、"/>
      <w:lvlJc w:val="left"/>
    </w:lvl>
  </w:abstractNum>
  <w:abstractNum w:abstractNumId="1">
    <w:nsid w:val="B1DD3FE1"/>
    <w:multiLevelType w:val="singleLevel"/>
    <w:tmpl w:val="B1DD3FE1"/>
    <w:lvl w:ilvl="0" w:tentative="0">
      <w:start w:val="1"/>
      <w:numFmt w:val="decimal"/>
      <w:suff w:val="nothing"/>
      <w:lvlText w:val="（%1）"/>
      <w:lvlJc w:val="left"/>
    </w:lvl>
  </w:abstractNum>
  <w:abstractNum w:abstractNumId="2">
    <w:nsid w:val="00000000"/>
    <w:multiLevelType w:val="multilevel"/>
    <w:tmpl w:val="00000000"/>
    <w:lvl w:ilvl="0" w:tentative="0">
      <w:start w:val="1"/>
      <w:numFmt w:val="chineseCountingThousand"/>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pStyle w:val="9"/>
      <w:suff w:val="nothing"/>
      <w:lvlText w:val=""/>
      <w:lvlJc w:val="left"/>
      <w:pPr>
        <w:ind w:left="0" w:firstLine="0"/>
      </w:pPr>
    </w:lvl>
    <w:lvl w:ilvl="4" w:tentative="0">
      <w:start w:val="1"/>
      <w:numFmt w:val="none"/>
      <w:pStyle w:val="10"/>
      <w:suff w:val="nothing"/>
      <w:lvlText w:val=""/>
      <w:lvlJc w:val="left"/>
      <w:pPr>
        <w:ind w:left="0" w:firstLine="0"/>
      </w:pPr>
    </w:lvl>
    <w:lvl w:ilvl="5" w:tentative="0">
      <w:start w:val="1"/>
      <w:numFmt w:val="none"/>
      <w:pStyle w:val="12"/>
      <w:suff w:val="nothing"/>
      <w:lvlText w:val=""/>
      <w:lvlJc w:val="left"/>
      <w:pPr>
        <w:ind w:left="0" w:firstLine="0"/>
      </w:pPr>
    </w:lvl>
    <w:lvl w:ilvl="6" w:tentative="0">
      <w:start w:val="1"/>
      <w:numFmt w:val="none"/>
      <w:pStyle w:val="13"/>
      <w:suff w:val="nothing"/>
      <w:lvlText w:val=""/>
      <w:lvlJc w:val="left"/>
      <w:pPr>
        <w:ind w:left="0" w:firstLine="0"/>
      </w:pPr>
    </w:lvl>
    <w:lvl w:ilvl="7" w:tentative="0">
      <w:start w:val="1"/>
      <w:numFmt w:val="none"/>
      <w:pStyle w:val="14"/>
      <w:suff w:val="nothing"/>
      <w:lvlText w:val=""/>
      <w:lvlJc w:val="left"/>
      <w:pPr>
        <w:ind w:left="0" w:firstLine="0"/>
      </w:pPr>
    </w:lvl>
    <w:lvl w:ilvl="8" w:tentative="0">
      <w:start w:val="1"/>
      <w:numFmt w:val="none"/>
      <w:pStyle w:val="15"/>
      <w:suff w:val="nothing"/>
      <w:lvlText w:val=""/>
      <w:lvlJc w:val="left"/>
      <w:pPr>
        <w:ind w:left="0" w:firstLine="0"/>
      </w:pPr>
    </w:lvl>
  </w:abstractNum>
  <w:abstractNum w:abstractNumId="3">
    <w:nsid w:val="05CE9C1F"/>
    <w:multiLevelType w:val="singleLevel"/>
    <w:tmpl w:val="05CE9C1F"/>
    <w:lvl w:ilvl="0" w:tentative="0">
      <w:start w:val="1"/>
      <w:numFmt w:val="decimal"/>
      <w:suff w:val="nothing"/>
      <w:lvlText w:val="%1、"/>
      <w:lvlJc w:val="left"/>
    </w:lvl>
  </w:abstractNum>
  <w:abstractNum w:abstractNumId="4">
    <w:nsid w:val="103FF482"/>
    <w:multiLevelType w:val="singleLevel"/>
    <w:tmpl w:val="103FF482"/>
    <w:lvl w:ilvl="0" w:tentative="0">
      <w:start w:val="4"/>
      <w:numFmt w:val="chineseCounting"/>
      <w:suff w:val="nothing"/>
      <w:lvlText w:val="（%1）"/>
      <w:lvlJc w:val="left"/>
      <w:rPr>
        <w:rFonts w:hint="eastAsia"/>
      </w:rPr>
    </w:lvl>
  </w:abstractNum>
  <w:abstractNum w:abstractNumId="5">
    <w:nsid w:val="3815069D"/>
    <w:multiLevelType w:val="singleLevel"/>
    <w:tmpl w:val="3815069D"/>
    <w:lvl w:ilvl="0" w:tentative="0">
      <w:start w:val="1"/>
      <w:numFmt w:val="decimal"/>
      <w:suff w:val="nothing"/>
      <w:lvlText w:val="%1、"/>
      <w:lvlJc w:val="left"/>
    </w:lvl>
  </w:abstractNum>
  <w:abstractNum w:abstractNumId="6">
    <w:nsid w:val="4163285A"/>
    <w:multiLevelType w:val="multilevel"/>
    <w:tmpl w:val="4163285A"/>
    <w:lvl w:ilvl="0" w:tentative="0">
      <w:start w:val="1"/>
      <w:numFmt w:val="chineseCountingThousand"/>
      <w:pStyle w:val="120"/>
      <w:suff w:val="space"/>
      <w:lvlText w:val="%1、"/>
      <w:lvlJc w:val="left"/>
      <w:pPr>
        <w:ind w:left="0" w:firstLine="0"/>
      </w:pPr>
      <w:rPr>
        <w:rFonts w:hint="eastAsia"/>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6B4BAA4"/>
    <w:multiLevelType w:val="singleLevel"/>
    <w:tmpl w:val="46B4BAA4"/>
    <w:lvl w:ilvl="0" w:tentative="0">
      <w:start w:val="1"/>
      <w:numFmt w:val="decimal"/>
      <w:suff w:val="nothing"/>
      <w:lvlText w:val="%1、"/>
      <w:lvlJc w:val="left"/>
    </w:lvl>
  </w:abstractNum>
  <w:abstractNum w:abstractNumId="8">
    <w:nsid w:val="4E1CAC24"/>
    <w:multiLevelType w:val="singleLevel"/>
    <w:tmpl w:val="4E1CAC24"/>
    <w:lvl w:ilvl="0" w:tentative="0">
      <w:start w:val="3"/>
      <w:numFmt w:val="chineseCounting"/>
      <w:suff w:val="nothing"/>
      <w:lvlText w:val="（%1）"/>
      <w:lvlJc w:val="left"/>
      <w:rPr>
        <w:rFonts w:hint="eastAsia"/>
      </w:rPr>
    </w:lvl>
  </w:abstractNum>
  <w:abstractNum w:abstractNumId="9">
    <w:nsid w:val="52CF0291"/>
    <w:multiLevelType w:val="singleLevel"/>
    <w:tmpl w:val="52CF0291"/>
    <w:lvl w:ilvl="0" w:tentative="0">
      <w:start w:val="9"/>
      <w:numFmt w:val="chineseCounting"/>
      <w:suff w:val="space"/>
      <w:lvlText w:val="第%1节"/>
      <w:lvlJc w:val="left"/>
      <w:rPr>
        <w:rFonts w:hint="eastAsia"/>
      </w:rPr>
    </w:lvl>
  </w:abstractNum>
  <w:abstractNum w:abstractNumId="10">
    <w:nsid w:val="56114300"/>
    <w:multiLevelType w:val="singleLevel"/>
    <w:tmpl w:val="56114300"/>
    <w:lvl w:ilvl="0" w:tentative="0">
      <w:start w:val="1"/>
      <w:numFmt w:val="decimal"/>
      <w:suff w:val="nothing"/>
      <w:lvlText w:val="（%1）"/>
      <w:lvlJc w:val="left"/>
    </w:lvl>
  </w:abstractNum>
  <w:abstractNum w:abstractNumId="11">
    <w:nsid w:val="739A6132"/>
    <w:multiLevelType w:val="singleLevel"/>
    <w:tmpl w:val="739A6132"/>
    <w:lvl w:ilvl="0" w:tentative="0">
      <w:start w:val="1"/>
      <w:numFmt w:val="chineseCounting"/>
      <w:suff w:val="nothing"/>
      <w:lvlText w:val="%1、"/>
      <w:lvlJc w:val="left"/>
      <w:rPr>
        <w:rFonts w:hint="eastAsia"/>
      </w:rPr>
    </w:lvl>
  </w:abstractNum>
  <w:num w:numId="1">
    <w:abstractNumId w:val="2"/>
  </w:num>
  <w:num w:numId="2">
    <w:abstractNumId w:val="6"/>
  </w:num>
  <w:num w:numId="3">
    <w:abstractNumId w:val="11"/>
  </w:num>
  <w:num w:numId="4">
    <w:abstractNumId w:val="0"/>
  </w:num>
  <w:num w:numId="5">
    <w:abstractNumId w:val="3"/>
  </w:num>
  <w:num w:numId="6">
    <w:abstractNumId w:val="4"/>
  </w:num>
  <w:num w:numId="7">
    <w:abstractNumId w:val="5"/>
  </w:num>
  <w:num w:numId="8">
    <w:abstractNumId w:val="7"/>
  </w:num>
  <w:num w:numId="9">
    <w:abstractNumId w:val="9"/>
  </w:num>
  <w:num w:numId="10">
    <w:abstractNumId w:val="10"/>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wNWMwYmRjNDc0MmJhN2I5ZDMzMDE1MjAwNjA3MGUifQ=="/>
    <w:docVar w:name="KSO_WPS_MARK_KEY" w:val="ee6d4234-61cd-436f-a2d4-6260fe538c49"/>
  </w:docVars>
  <w:rsids>
    <w:rsidRoot w:val="00172A27"/>
    <w:rsid w:val="0000096D"/>
    <w:rsid w:val="00002192"/>
    <w:rsid w:val="000053D9"/>
    <w:rsid w:val="00010F38"/>
    <w:rsid w:val="00011DF1"/>
    <w:rsid w:val="000147A7"/>
    <w:rsid w:val="0001501F"/>
    <w:rsid w:val="00016618"/>
    <w:rsid w:val="00017116"/>
    <w:rsid w:val="00031CDF"/>
    <w:rsid w:val="00032085"/>
    <w:rsid w:val="00032C69"/>
    <w:rsid w:val="00033AB1"/>
    <w:rsid w:val="000454BE"/>
    <w:rsid w:val="00045BA7"/>
    <w:rsid w:val="00047EA0"/>
    <w:rsid w:val="0005181A"/>
    <w:rsid w:val="00054D44"/>
    <w:rsid w:val="00055956"/>
    <w:rsid w:val="000659E9"/>
    <w:rsid w:val="0007155F"/>
    <w:rsid w:val="00071CE9"/>
    <w:rsid w:val="00071F79"/>
    <w:rsid w:val="00081EDD"/>
    <w:rsid w:val="00082DC0"/>
    <w:rsid w:val="000A1E7F"/>
    <w:rsid w:val="000A397F"/>
    <w:rsid w:val="000B7913"/>
    <w:rsid w:val="000C235E"/>
    <w:rsid w:val="000C673B"/>
    <w:rsid w:val="000D044E"/>
    <w:rsid w:val="000D2B5F"/>
    <w:rsid w:val="000D61DD"/>
    <w:rsid w:val="000D7008"/>
    <w:rsid w:val="000E0B7E"/>
    <w:rsid w:val="000E5EB1"/>
    <w:rsid w:val="000E7FB2"/>
    <w:rsid w:val="000F0E2F"/>
    <w:rsid w:val="000F324F"/>
    <w:rsid w:val="000F4BF2"/>
    <w:rsid w:val="00101356"/>
    <w:rsid w:val="0010211E"/>
    <w:rsid w:val="001032DE"/>
    <w:rsid w:val="001107DD"/>
    <w:rsid w:val="001108D3"/>
    <w:rsid w:val="001171C8"/>
    <w:rsid w:val="00117C0F"/>
    <w:rsid w:val="001200C0"/>
    <w:rsid w:val="001249F6"/>
    <w:rsid w:val="00127F78"/>
    <w:rsid w:val="00130A38"/>
    <w:rsid w:val="00131BB6"/>
    <w:rsid w:val="00134E74"/>
    <w:rsid w:val="00135F03"/>
    <w:rsid w:val="001407C3"/>
    <w:rsid w:val="00140E0B"/>
    <w:rsid w:val="001413BB"/>
    <w:rsid w:val="00143C3E"/>
    <w:rsid w:val="00143ECE"/>
    <w:rsid w:val="0014558D"/>
    <w:rsid w:val="0014560F"/>
    <w:rsid w:val="00152AC3"/>
    <w:rsid w:val="00153DE9"/>
    <w:rsid w:val="0016351C"/>
    <w:rsid w:val="0016714F"/>
    <w:rsid w:val="001672D8"/>
    <w:rsid w:val="00167EAA"/>
    <w:rsid w:val="00174294"/>
    <w:rsid w:val="00185EB5"/>
    <w:rsid w:val="00190F57"/>
    <w:rsid w:val="001952F7"/>
    <w:rsid w:val="00195C0D"/>
    <w:rsid w:val="00197036"/>
    <w:rsid w:val="001A6BAE"/>
    <w:rsid w:val="001B2A57"/>
    <w:rsid w:val="001B6BF5"/>
    <w:rsid w:val="001C0DC6"/>
    <w:rsid w:val="001C46C0"/>
    <w:rsid w:val="001C5E57"/>
    <w:rsid w:val="001D221B"/>
    <w:rsid w:val="001D585F"/>
    <w:rsid w:val="001E3989"/>
    <w:rsid w:val="001E6A6B"/>
    <w:rsid w:val="001E7532"/>
    <w:rsid w:val="001F4495"/>
    <w:rsid w:val="002011C8"/>
    <w:rsid w:val="00203AB4"/>
    <w:rsid w:val="002040EA"/>
    <w:rsid w:val="002069F9"/>
    <w:rsid w:val="002109B9"/>
    <w:rsid w:val="0021321A"/>
    <w:rsid w:val="002134E6"/>
    <w:rsid w:val="00216C38"/>
    <w:rsid w:val="00217099"/>
    <w:rsid w:val="0021710A"/>
    <w:rsid w:val="00221ABA"/>
    <w:rsid w:val="00221E84"/>
    <w:rsid w:val="00224710"/>
    <w:rsid w:val="00233265"/>
    <w:rsid w:val="0023541B"/>
    <w:rsid w:val="0023726E"/>
    <w:rsid w:val="00240B3C"/>
    <w:rsid w:val="00242527"/>
    <w:rsid w:val="002455C6"/>
    <w:rsid w:val="00245954"/>
    <w:rsid w:val="00247989"/>
    <w:rsid w:val="00247F80"/>
    <w:rsid w:val="00255750"/>
    <w:rsid w:val="00257380"/>
    <w:rsid w:val="0026028F"/>
    <w:rsid w:val="00265F1B"/>
    <w:rsid w:val="0027044E"/>
    <w:rsid w:val="00272453"/>
    <w:rsid w:val="00272CCD"/>
    <w:rsid w:val="00273D70"/>
    <w:rsid w:val="002820B5"/>
    <w:rsid w:val="002876C8"/>
    <w:rsid w:val="002A3561"/>
    <w:rsid w:val="002B5138"/>
    <w:rsid w:val="002C2C7F"/>
    <w:rsid w:val="002C5529"/>
    <w:rsid w:val="002D1666"/>
    <w:rsid w:val="002D1B92"/>
    <w:rsid w:val="002D4C8D"/>
    <w:rsid w:val="002D538F"/>
    <w:rsid w:val="002E0253"/>
    <w:rsid w:val="002E10C8"/>
    <w:rsid w:val="002E604F"/>
    <w:rsid w:val="002E7FC7"/>
    <w:rsid w:val="002F0584"/>
    <w:rsid w:val="0030414C"/>
    <w:rsid w:val="00307A95"/>
    <w:rsid w:val="003113EA"/>
    <w:rsid w:val="00313596"/>
    <w:rsid w:val="00313ED4"/>
    <w:rsid w:val="00315649"/>
    <w:rsid w:val="00316CB1"/>
    <w:rsid w:val="00321180"/>
    <w:rsid w:val="00323458"/>
    <w:rsid w:val="00323BCE"/>
    <w:rsid w:val="003271F2"/>
    <w:rsid w:val="00330817"/>
    <w:rsid w:val="00334E95"/>
    <w:rsid w:val="00335CD5"/>
    <w:rsid w:val="00335E1B"/>
    <w:rsid w:val="003372EC"/>
    <w:rsid w:val="003378FA"/>
    <w:rsid w:val="003567F5"/>
    <w:rsid w:val="003617C5"/>
    <w:rsid w:val="00372162"/>
    <w:rsid w:val="00376422"/>
    <w:rsid w:val="00383554"/>
    <w:rsid w:val="00385186"/>
    <w:rsid w:val="00387DB3"/>
    <w:rsid w:val="003963D2"/>
    <w:rsid w:val="003A290D"/>
    <w:rsid w:val="003A6E65"/>
    <w:rsid w:val="003B16E3"/>
    <w:rsid w:val="003B6A7F"/>
    <w:rsid w:val="003B7291"/>
    <w:rsid w:val="003B7A49"/>
    <w:rsid w:val="003B7B2F"/>
    <w:rsid w:val="003B7C14"/>
    <w:rsid w:val="003C04F1"/>
    <w:rsid w:val="003C219D"/>
    <w:rsid w:val="003C5C02"/>
    <w:rsid w:val="003C7042"/>
    <w:rsid w:val="003D1033"/>
    <w:rsid w:val="003D14CD"/>
    <w:rsid w:val="003D44BC"/>
    <w:rsid w:val="003D6C91"/>
    <w:rsid w:val="003E194E"/>
    <w:rsid w:val="003E33C5"/>
    <w:rsid w:val="003E6504"/>
    <w:rsid w:val="003E78E6"/>
    <w:rsid w:val="003F1DDB"/>
    <w:rsid w:val="003F3E0E"/>
    <w:rsid w:val="003F7568"/>
    <w:rsid w:val="00402125"/>
    <w:rsid w:val="00407EC5"/>
    <w:rsid w:val="00416083"/>
    <w:rsid w:val="0041734C"/>
    <w:rsid w:val="00417FB3"/>
    <w:rsid w:val="0042352E"/>
    <w:rsid w:val="00423599"/>
    <w:rsid w:val="00424604"/>
    <w:rsid w:val="00425B1C"/>
    <w:rsid w:val="00431AAB"/>
    <w:rsid w:val="00436F20"/>
    <w:rsid w:val="0045671B"/>
    <w:rsid w:val="0046259E"/>
    <w:rsid w:val="00465128"/>
    <w:rsid w:val="00466620"/>
    <w:rsid w:val="00472165"/>
    <w:rsid w:val="00474C4F"/>
    <w:rsid w:val="0047537B"/>
    <w:rsid w:val="00476B99"/>
    <w:rsid w:val="00480F01"/>
    <w:rsid w:val="00481087"/>
    <w:rsid w:val="00491B28"/>
    <w:rsid w:val="004921AA"/>
    <w:rsid w:val="00493FCE"/>
    <w:rsid w:val="00494064"/>
    <w:rsid w:val="00494F50"/>
    <w:rsid w:val="004A17CC"/>
    <w:rsid w:val="004A6B20"/>
    <w:rsid w:val="004A77C3"/>
    <w:rsid w:val="004B1B71"/>
    <w:rsid w:val="004C44D1"/>
    <w:rsid w:val="004C5587"/>
    <w:rsid w:val="004C59A6"/>
    <w:rsid w:val="004C664B"/>
    <w:rsid w:val="004D3158"/>
    <w:rsid w:val="004D422B"/>
    <w:rsid w:val="004D4DE8"/>
    <w:rsid w:val="004D7ED6"/>
    <w:rsid w:val="004E32AB"/>
    <w:rsid w:val="004E5095"/>
    <w:rsid w:val="004E50EA"/>
    <w:rsid w:val="004E548D"/>
    <w:rsid w:val="004E5AD1"/>
    <w:rsid w:val="004F1666"/>
    <w:rsid w:val="004F4158"/>
    <w:rsid w:val="004F43A9"/>
    <w:rsid w:val="004F5C17"/>
    <w:rsid w:val="00506FF2"/>
    <w:rsid w:val="00512D84"/>
    <w:rsid w:val="0051384E"/>
    <w:rsid w:val="00514B28"/>
    <w:rsid w:val="005156A0"/>
    <w:rsid w:val="00515D2B"/>
    <w:rsid w:val="00516E3F"/>
    <w:rsid w:val="00525EE7"/>
    <w:rsid w:val="00532537"/>
    <w:rsid w:val="005333EE"/>
    <w:rsid w:val="0053366A"/>
    <w:rsid w:val="00541970"/>
    <w:rsid w:val="005431C3"/>
    <w:rsid w:val="00550F59"/>
    <w:rsid w:val="005540D8"/>
    <w:rsid w:val="0055514D"/>
    <w:rsid w:val="0056056A"/>
    <w:rsid w:val="005616D6"/>
    <w:rsid w:val="005616E2"/>
    <w:rsid w:val="00567CCF"/>
    <w:rsid w:val="00573E8A"/>
    <w:rsid w:val="00580D66"/>
    <w:rsid w:val="005815FD"/>
    <w:rsid w:val="00592ED3"/>
    <w:rsid w:val="00594EFE"/>
    <w:rsid w:val="005956CD"/>
    <w:rsid w:val="00597ECF"/>
    <w:rsid w:val="005A774B"/>
    <w:rsid w:val="005A7B6A"/>
    <w:rsid w:val="005B00C2"/>
    <w:rsid w:val="005B2AAD"/>
    <w:rsid w:val="005B69E9"/>
    <w:rsid w:val="005B6DCF"/>
    <w:rsid w:val="005C2612"/>
    <w:rsid w:val="005C3B0E"/>
    <w:rsid w:val="005C3D43"/>
    <w:rsid w:val="005C65B6"/>
    <w:rsid w:val="005C7443"/>
    <w:rsid w:val="005D2019"/>
    <w:rsid w:val="005D3A1C"/>
    <w:rsid w:val="005E0AA6"/>
    <w:rsid w:val="005E0F77"/>
    <w:rsid w:val="005E1BCF"/>
    <w:rsid w:val="005E3CAB"/>
    <w:rsid w:val="005E563A"/>
    <w:rsid w:val="005E5689"/>
    <w:rsid w:val="005F76B6"/>
    <w:rsid w:val="00603827"/>
    <w:rsid w:val="006055FC"/>
    <w:rsid w:val="00606862"/>
    <w:rsid w:val="006071FB"/>
    <w:rsid w:val="00607F2D"/>
    <w:rsid w:val="00612E16"/>
    <w:rsid w:val="00622BF1"/>
    <w:rsid w:val="00624920"/>
    <w:rsid w:val="006251CD"/>
    <w:rsid w:val="0062554C"/>
    <w:rsid w:val="00627435"/>
    <w:rsid w:val="006305C3"/>
    <w:rsid w:val="006316D9"/>
    <w:rsid w:val="00633D10"/>
    <w:rsid w:val="006432CB"/>
    <w:rsid w:val="00645427"/>
    <w:rsid w:val="006509C7"/>
    <w:rsid w:val="00661BF2"/>
    <w:rsid w:val="00664FAC"/>
    <w:rsid w:val="00665646"/>
    <w:rsid w:val="0066618D"/>
    <w:rsid w:val="00673CE7"/>
    <w:rsid w:val="00674D34"/>
    <w:rsid w:val="006773F3"/>
    <w:rsid w:val="00680BBE"/>
    <w:rsid w:val="00680F13"/>
    <w:rsid w:val="00681E14"/>
    <w:rsid w:val="00683A95"/>
    <w:rsid w:val="006844C2"/>
    <w:rsid w:val="00684FCC"/>
    <w:rsid w:val="00686CB7"/>
    <w:rsid w:val="0068752A"/>
    <w:rsid w:val="0069135B"/>
    <w:rsid w:val="0069161E"/>
    <w:rsid w:val="00692D5D"/>
    <w:rsid w:val="006A3526"/>
    <w:rsid w:val="006A7B19"/>
    <w:rsid w:val="006B19D2"/>
    <w:rsid w:val="006B1EA7"/>
    <w:rsid w:val="006B1F94"/>
    <w:rsid w:val="006B269A"/>
    <w:rsid w:val="006B2ED2"/>
    <w:rsid w:val="006B464A"/>
    <w:rsid w:val="006C1894"/>
    <w:rsid w:val="006C212F"/>
    <w:rsid w:val="006C218E"/>
    <w:rsid w:val="006D137C"/>
    <w:rsid w:val="006D31EC"/>
    <w:rsid w:val="006D4886"/>
    <w:rsid w:val="006D5949"/>
    <w:rsid w:val="006D70CB"/>
    <w:rsid w:val="006E03F6"/>
    <w:rsid w:val="006E1E1B"/>
    <w:rsid w:val="006E3120"/>
    <w:rsid w:val="006E315F"/>
    <w:rsid w:val="006E5DF9"/>
    <w:rsid w:val="00705EE4"/>
    <w:rsid w:val="00712E2F"/>
    <w:rsid w:val="00723CEB"/>
    <w:rsid w:val="00725E5E"/>
    <w:rsid w:val="00735CD6"/>
    <w:rsid w:val="007376F8"/>
    <w:rsid w:val="00744C5D"/>
    <w:rsid w:val="007507B9"/>
    <w:rsid w:val="0075190C"/>
    <w:rsid w:val="0075219B"/>
    <w:rsid w:val="00752C3D"/>
    <w:rsid w:val="00754C88"/>
    <w:rsid w:val="00756523"/>
    <w:rsid w:val="00771F8D"/>
    <w:rsid w:val="007728C9"/>
    <w:rsid w:val="0077411A"/>
    <w:rsid w:val="00775154"/>
    <w:rsid w:val="00776372"/>
    <w:rsid w:val="00776EE6"/>
    <w:rsid w:val="00781E88"/>
    <w:rsid w:val="00781F69"/>
    <w:rsid w:val="0078247C"/>
    <w:rsid w:val="00782734"/>
    <w:rsid w:val="00787773"/>
    <w:rsid w:val="00794E53"/>
    <w:rsid w:val="007961C0"/>
    <w:rsid w:val="00796B8E"/>
    <w:rsid w:val="007A02C5"/>
    <w:rsid w:val="007A19CF"/>
    <w:rsid w:val="007A633C"/>
    <w:rsid w:val="007B01B9"/>
    <w:rsid w:val="007B12C5"/>
    <w:rsid w:val="007B5927"/>
    <w:rsid w:val="007C6EA0"/>
    <w:rsid w:val="007D0D21"/>
    <w:rsid w:val="007D4543"/>
    <w:rsid w:val="007D5AFF"/>
    <w:rsid w:val="007D6942"/>
    <w:rsid w:val="007D6C64"/>
    <w:rsid w:val="007E1E76"/>
    <w:rsid w:val="007E2901"/>
    <w:rsid w:val="007E6E9C"/>
    <w:rsid w:val="007F1376"/>
    <w:rsid w:val="007F34E2"/>
    <w:rsid w:val="00801E2E"/>
    <w:rsid w:val="00805356"/>
    <w:rsid w:val="008065BA"/>
    <w:rsid w:val="00812148"/>
    <w:rsid w:val="00825A5B"/>
    <w:rsid w:val="00825E98"/>
    <w:rsid w:val="00830B3B"/>
    <w:rsid w:val="008312A2"/>
    <w:rsid w:val="0083138B"/>
    <w:rsid w:val="0083142F"/>
    <w:rsid w:val="008316CE"/>
    <w:rsid w:val="00843F24"/>
    <w:rsid w:val="00845311"/>
    <w:rsid w:val="00846843"/>
    <w:rsid w:val="00855565"/>
    <w:rsid w:val="0085772F"/>
    <w:rsid w:val="008615E8"/>
    <w:rsid w:val="008647D1"/>
    <w:rsid w:val="00865440"/>
    <w:rsid w:val="00865E1A"/>
    <w:rsid w:val="0087362E"/>
    <w:rsid w:val="008778EB"/>
    <w:rsid w:val="008801E4"/>
    <w:rsid w:val="0088677E"/>
    <w:rsid w:val="008919D5"/>
    <w:rsid w:val="00893B84"/>
    <w:rsid w:val="00894472"/>
    <w:rsid w:val="00895E3B"/>
    <w:rsid w:val="00896913"/>
    <w:rsid w:val="008B1118"/>
    <w:rsid w:val="008B1FDF"/>
    <w:rsid w:val="008C34E0"/>
    <w:rsid w:val="008C5382"/>
    <w:rsid w:val="008C7721"/>
    <w:rsid w:val="008D169F"/>
    <w:rsid w:val="008D3948"/>
    <w:rsid w:val="008D6734"/>
    <w:rsid w:val="008D7298"/>
    <w:rsid w:val="008E147A"/>
    <w:rsid w:val="008E15FC"/>
    <w:rsid w:val="008E217A"/>
    <w:rsid w:val="008E2D03"/>
    <w:rsid w:val="008E54C2"/>
    <w:rsid w:val="008F0987"/>
    <w:rsid w:val="0090084C"/>
    <w:rsid w:val="009010AA"/>
    <w:rsid w:val="00906465"/>
    <w:rsid w:val="009107C3"/>
    <w:rsid w:val="00910DB3"/>
    <w:rsid w:val="00912933"/>
    <w:rsid w:val="00915907"/>
    <w:rsid w:val="0091616C"/>
    <w:rsid w:val="0091777A"/>
    <w:rsid w:val="009206CD"/>
    <w:rsid w:val="00922FF9"/>
    <w:rsid w:val="009246FA"/>
    <w:rsid w:val="00934434"/>
    <w:rsid w:val="00934AD9"/>
    <w:rsid w:val="00935560"/>
    <w:rsid w:val="0093770B"/>
    <w:rsid w:val="0094058B"/>
    <w:rsid w:val="009412AC"/>
    <w:rsid w:val="0094147C"/>
    <w:rsid w:val="00941DBE"/>
    <w:rsid w:val="00943F39"/>
    <w:rsid w:val="0094593F"/>
    <w:rsid w:val="009527AA"/>
    <w:rsid w:val="009606B9"/>
    <w:rsid w:val="00963A17"/>
    <w:rsid w:val="00967118"/>
    <w:rsid w:val="00967862"/>
    <w:rsid w:val="009720D7"/>
    <w:rsid w:val="00975828"/>
    <w:rsid w:val="00977F3D"/>
    <w:rsid w:val="00980FA4"/>
    <w:rsid w:val="00981EEE"/>
    <w:rsid w:val="009823B5"/>
    <w:rsid w:val="009910E2"/>
    <w:rsid w:val="00991721"/>
    <w:rsid w:val="00992072"/>
    <w:rsid w:val="00992408"/>
    <w:rsid w:val="00997974"/>
    <w:rsid w:val="009A154B"/>
    <w:rsid w:val="009A7CDD"/>
    <w:rsid w:val="009B026A"/>
    <w:rsid w:val="009B0B2E"/>
    <w:rsid w:val="009B1936"/>
    <w:rsid w:val="009B1C1C"/>
    <w:rsid w:val="009B25C2"/>
    <w:rsid w:val="009B523D"/>
    <w:rsid w:val="009B6466"/>
    <w:rsid w:val="009D090C"/>
    <w:rsid w:val="009D3158"/>
    <w:rsid w:val="009E3B4E"/>
    <w:rsid w:val="009E4AAA"/>
    <w:rsid w:val="009E7364"/>
    <w:rsid w:val="009F1978"/>
    <w:rsid w:val="009F292F"/>
    <w:rsid w:val="009F49F0"/>
    <w:rsid w:val="009F5C1C"/>
    <w:rsid w:val="009F6C6B"/>
    <w:rsid w:val="00A00B62"/>
    <w:rsid w:val="00A128CB"/>
    <w:rsid w:val="00A16EAA"/>
    <w:rsid w:val="00A25104"/>
    <w:rsid w:val="00A25F71"/>
    <w:rsid w:val="00A27A45"/>
    <w:rsid w:val="00A27D06"/>
    <w:rsid w:val="00A33368"/>
    <w:rsid w:val="00A359A4"/>
    <w:rsid w:val="00A378A9"/>
    <w:rsid w:val="00A42C7A"/>
    <w:rsid w:val="00A42DED"/>
    <w:rsid w:val="00A44DCB"/>
    <w:rsid w:val="00A550C6"/>
    <w:rsid w:val="00A552B2"/>
    <w:rsid w:val="00A573D1"/>
    <w:rsid w:val="00A62526"/>
    <w:rsid w:val="00A64BF7"/>
    <w:rsid w:val="00A67C38"/>
    <w:rsid w:val="00A7179C"/>
    <w:rsid w:val="00A763EB"/>
    <w:rsid w:val="00A76905"/>
    <w:rsid w:val="00A76C48"/>
    <w:rsid w:val="00A8350E"/>
    <w:rsid w:val="00AA6B13"/>
    <w:rsid w:val="00AA77A3"/>
    <w:rsid w:val="00AB0B82"/>
    <w:rsid w:val="00AB7097"/>
    <w:rsid w:val="00AD188A"/>
    <w:rsid w:val="00AD2271"/>
    <w:rsid w:val="00AD6EBB"/>
    <w:rsid w:val="00AE0565"/>
    <w:rsid w:val="00AE1A6B"/>
    <w:rsid w:val="00AE21E0"/>
    <w:rsid w:val="00AE42AF"/>
    <w:rsid w:val="00AE5D78"/>
    <w:rsid w:val="00AF1639"/>
    <w:rsid w:val="00AF43E2"/>
    <w:rsid w:val="00AF7444"/>
    <w:rsid w:val="00AF7D8F"/>
    <w:rsid w:val="00B00891"/>
    <w:rsid w:val="00B02FC3"/>
    <w:rsid w:val="00B144D8"/>
    <w:rsid w:val="00B15DED"/>
    <w:rsid w:val="00B21943"/>
    <w:rsid w:val="00B229FE"/>
    <w:rsid w:val="00B341AA"/>
    <w:rsid w:val="00B35F4C"/>
    <w:rsid w:val="00B36BAF"/>
    <w:rsid w:val="00B36F74"/>
    <w:rsid w:val="00B409FA"/>
    <w:rsid w:val="00B44215"/>
    <w:rsid w:val="00B44774"/>
    <w:rsid w:val="00B501EA"/>
    <w:rsid w:val="00B5144B"/>
    <w:rsid w:val="00B61296"/>
    <w:rsid w:val="00B621D8"/>
    <w:rsid w:val="00B632F8"/>
    <w:rsid w:val="00B65B22"/>
    <w:rsid w:val="00B717A5"/>
    <w:rsid w:val="00B72F5E"/>
    <w:rsid w:val="00B74751"/>
    <w:rsid w:val="00B94B13"/>
    <w:rsid w:val="00B95465"/>
    <w:rsid w:val="00B95996"/>
    <w:rsid w:val="00BA03A7"/>
    <w:rsid w:val="00BA21FF"/>
    <w:rsid w:val="00BA35C8"/>
    <w:rsid w:val="00BA3634"/>
    <w:rsid w:val="00BA37FD"/>
    <w:rsid w:val="00BB08D5"/>
    <w:rsid w:val="00BB34ED"/>
    <w:rsid w:val="00BB475E"/>
    <w:rsid w:val="00BC3F8C"/>
    <w:rsid w:val="00BD00E2"/>
    <w:rsid w:val="00BD15B4"/>
    <w:rsid w:val="00BD52F6"/>
    <w:rsid w:val="00BE0919"/>
    <w:rsid w:val="00BE53FB"/>
    <w:rsid w:val="00BE667A"/>
    <w:rsid w:val="00BF0A18"/>
    <w:rsid w:val="00BF0F0F"/>
    <w:rsid w:val="00BF69B5"/>
    <w:rsid w:val="00BF7914"/>
    <w:rsid w:val="00C02AC6"/>
    <w:rsid w:val="00C0616A"/>
    <w:rsid w:val="00C062FF"/>
    <w:rsid w:val="00C14815"/>
    <w:rsid w:val="00C177FC"/>
    <w:rsid w:val="00C20336"/>
    <w:rsid w:val="00C239FF"/>
    <w:rsid w:val="00C24954"/>
    <w:rsid w:val="00C27D63"/>
    <w:rsid w:val="00C41BA3"/>
    <w:rsid w:val="00C4397D"/>
    <w:rsid w:val="00C44980"/>
    <w:rsid w:val="00C51476"/>
    <w:rsid w:val="00C5278B"/>
    <w:rsid w:val="00C530EF"/>
    <w:rsid w:val="00C636B1"/>
    <w:rsid w:val="00C65094"/>
    <w:rsid w:val="00C71048"/>
    <w:rsid w:val="00C71DA4"/>
    <w:rsid w:val="00C72B2D"/>
    <w:rsid w:val="00C7675D"/>
    <w:rsid w:val="00C770C3"/>
    <w:rsid w:val="00C80BC1"/>
    <w:rsid w:val="00C83DFD"/>
    <w:rsid w:val="00C852EE"/>
    <w:rsid w:val="00C93CD0"/>
    <w:rsid w:val="00C951F3"/>
    <w:rsid w:val="00CA4EB6"/>
    <w:rsid w:val="00CA61F2"/>
    <w:rsid w:val="00CB0CB4"/>
    <w:rsid w:val="00CB4C5C"/>
    <w:rsid w:val="00CC430B"/>
    <w:rsid w:val="00CC4B33"/>
    <w:rsid w:val="00CC5879"/>
    <w:rsid w:val="00CD336C"/>
    <w:rsid w:val="00CD4256"/>
    <w:rsid w:val="00CD6F14"/>
    <w:rsid w:val="00CD79B2"/>
    <w:rsid w:val="00CE06EF"/>
    <w:rsid w:val="00CE1436"/>
    <w:rsid w:val="00CE4595"/>
    <w:rsid w:val="00CE51B7"/>
    <w:rsid w:val="00CE6C8B"/>
    <w:rsid w:val="00CF7002"/>
    <w:rsid w:val="00CF77F2"/>
    <w:rsid w:val="00D04546"/>
    <w:rsid w:val="00D0584F"/>
    <w:rsid w:val="00D05B7A"/>
    <w:rsid w:val="00D11C2A"/>
    <w:rsid w:val="00D14850"/>
    <w:rsid w:val="00D16440"/>
    <w:rsid w:val="00D16F3F"/>
    <w:rsid w:val="00D2047F"/>
    <w:rsid w:val="00D2141D"/>
    <w:rsid w:val="00D26762"/>
    <w:rsid w:val="00D42A4A"/>
    <w:rsid w:val="00D432AA"/>
    <w:rsid w:val="00D4346A"/>
    <w:rsid w:val="00D4585B"/>
    <w:rsid w:val="00D511FE"/>
    <w:rsid w:val="00D526D5"/>
    <w:rsid w:val="00D52D09"/>
    <w:rsid w:val="00D543F8"/>
    <w:rsid w:val="00D57919"/>
    <w:rsid w:val="00D61250"/>
    <w:rsid w:val="00D701A4"/>
    <w:rsid w:val="00D7096C"/>
    <w:rsid w:val="00D71D84"/>
    <w:rsid w:val="00D77D13"/>
    <w:rsid w:val="00D80DA0"/>
    <w:rsid w:val="00D83152"/>
    <w:rsid w:val="00D8551C"/>
    <w:rsid w:val="00D85D86"/>
    <w:rsid w:val="00D8686B"/>
    <w:rsid w:val="00D87803"/>
    <w:rsid w:val="00D94D75"/>
    <w:rsid w:val="00D9504D"/>
    <w:rsid w:val="00DA07C3"/>
    <w:rsid w:val="00DA08BF"/>
    <w:rsid w:val="00DA23CC"/>
    <w:rsid w:val="00DA4F38"/>
    <w:rsid w:val="00DA58D4"/>
    <w:rsid w:val="00DA5C06"/>
    <w:rsid w:val="00DB0242"/>
    <w:rsid w:val="00DB0572"/>
    <w:rsid w:val="00DB1BDD"/>
    <w:rsid w:val="00DB61DF"/>
    <w:rsid w:val="00DD1257"/>
    <w:rsid w:val="00DD5703"/>
    <w:rsid w:val="00DE02B8"/>
    <w:rsid w:val="00DF1730"/>
    <w:rsid w:val="00DF2631"/>
    <w:rsid w:val="00DF5120"/>
    <w:rsid w:val="00DF6065"/>
    <w:rsid w:val="00E01D55"/>
    <w:rsid w:val="00E12AA5"/>
    <w:rsid w:val="00E1687C"/>
    <w:rsid w:val="00E17A97"/>
    <w:rsid w:val="00E25C13"/>
    <w:rsid w:val="00E26178"/>
    <w:rsid w:val="00E26DC8"/>
    <w:rsid w:val="00E31A7B"/>
    <w:rsid w:val="00E340E5"/>
    <w:rsid w:val="00E361DB"/>
    <w:rsid w:val="00E372EB"/>
    <w:rsid w:val="00E37EAA"/>
    <w:rsid w:val="00E40B35"/>
    <w:rsid w:val="00E4176A"/>
    <w:rsid w:val="00E421A4"/>
    <w:rsid w:val="00E4251E"/>
    <w:rsid w:val="00E45709"/>
    <w:rsid w:val="00E51093"/>
    <w:rsid w:val="00E5319B"/>
    <w:rsid w:val="00E66AD1"/>
    <w:rsid w:val="00E74042"/>
    <w:rsid w:val="00E7498C"/>
    <w:rsid w:val="00E77E46"/>
    <w:rsid w:val="00E80DDE"/>
    <w:rsid w:val="00E84D78"/>
    <w:rsid w:val="00E87975"/>
    <w:rsid w:val="00E911B4"/>
    <w:rsid w:val="00E91431"/>
    <w:rsid w:val="00EA347C"/>
    <w:rsid w:val="00EA5C03"/>
    <w:rsid w:val="00EB261E"/>
    <w:rsid w:val="00EB7DAF"/>
    <w:rsid w:val="00EC31FA"/>
    <w:rsid w:val="00EC6E5B"/>
    <w:rsid w:val="00ED0C9F"/>
    <w:rsid w:val="00ED3003"/>
    <w:rsid w:val="00ED367B"/>
    <w:rsid w:val="00ED3A4D"/>
    <w:rsid w:val="00EE1780"/>
    <w:rsid w:val="00EE1AB9"/>
    <w:rsid w:val="00EE2DD5"/>
    <w:rsid w:val="00EE6452"/>
    <w:rsid w:val="00EF06BF"/>
    <w:rsid w:val="00EF095E"/>
    <w:rsid w:val="00EF2521"/>
    <w:rsid w:val="00EF3AA7"/>
    <w:rsid w:val="00EF4FE7"/>
    <w:rsid w:val="00EF6F02"/>
    <w:rsid w:val="00EF71F9"/>
    <w:rsid w:val="00F037B2"/>
    <w:rsid w:val="00F1066F"/>
    <w:rsid w:val="00F10967"/>
    <w:rsid w:val="00F13ED1"/>
    <w:rsid w:val="00F15101"/>
    <w:rsid w:val="00F152C7"/>
    <w:rsid w:val="00F17CC8"/>
    <w:rsid w:val="00F17FD5"/>
    <w:rsid w:val="00F22B5E"/>
    <w:rsid w:val="00F25727"/>
    <w:rsid w:val="00F26A2F"/>
    <w:rsid w:val="00F326B4"/>
    <w:rsid w:val="00F353D5"/>
    <w:rsid w:val="00F36F79"/>
    <w:rsid w:val="00F371BE"/>
    <w:rsid w:val="00F40E1C"/>
    <w:rsid w:val="00F4288E"/>
    <w:rsid w:val="00F4670D"/>
    <w:rsid w:val="00F47795"/>
    <w:rsid w:val="00F47A2E"/>
    <w:rsid w:val="00F522E3"/>
    <w:rsid w:val="00F53655"/>
    <w:rsid w:val="00F625D8"/>
    <w:rsid w:val="00F73B05"/>
    <w:rsid w:val="00F73D7B"/>
    <w:rsid w:val="00F7583A"/>
    <w:rsid w:val="00F75FC0"/>
    <w:rsid w:val="00F838DA"/>
    <w:rsid w:val="00F86035"/>
    <w:rsid w:val="00F91D30"/>
    <w:rsid w:val="00F93AAA"/>
    <w:rsid w:val="00F940EF"/>
    <w:rsid w:val="00F9439A"/>
    <w:rsid w:val="00F95F39"/>
    <w:rsid w:val="00FA52B1"/>
    <w:rsid w:val="00FB24BD"/>
    <w:rsid w:val="00FB37FD"/>
    <w:rsid w:val="00FB76A6"/>
    <w:rsid w:val="00FC1844"/>
    <w:rsid w:val="00FC6153"/>
    <w:rsid w:val="00FD131E"/>
    <w:rsid w:val="00FE7A80"/>
    <w:rsid w:val="00FF0BA3"/>
    <w:rsid w:val="00FF4212"/>
    <w:rsid w:val="011B0745"/>
    <w:rsid w:val="013063EA"/>
    <w:rsid w:val="01332B29"/>
    <w:rsid w:val="014D14BA"/>
    <w:rsid w:val="016169D6"/>
    <w:rsid w:val="018067FB"/>
    <w:rsid w:val="019E4D4A"/>
    <w:rsid w:val="01DC6129"/>
    <w:rsid w:val="01FB0577"/>
    <w:rsid w:val="02033085"/>
    <w:rsid w:val="022C0CCC"/>
    <w:rsid w:val="023403C4"/>
    <w:rsid w:val="024B53D9"/>
    <w:rsid w:val="02524548"/>
    <w:rsid w:val="02670C5B"/>
    <w:rsid w:val="027A3B6E"/>
    <w:rsid w:val="02A72E87"/>
    <w:rsid w:val="02B965C6"/>
    <w:rsid w:val="02D14CA3"/>
    <w:rsid w:val="02D9783D"/>
    <w:rsid w:val="02DF7290"/>
    <w:rsid w:val="02E1372E"/>
    <w:rsid w:val="02E74254"/>
    <w:rsid w:val="034D6365"/>
    <w:rsid w:val="034E3D47"/>
    <w:rsid w:val="03594276"/>
    <w:rsid w:val="03A27938"/>
    <w:rsid w:val="03A956DE"/>
    <w:rsid w:val="03D0241D"/>
    <w:rsid w:val="03D512C4"/>
    <w:rsid w:val="03D82357"/>
    <w:rsid w:val="03E37C48"/>
    <w:rsid w:val="03EF1A15"/>
    <w:rsid w:val="0414772C"/>
    <w:rsid w:val="044373CF"/>
    <w:rsid w:val="0448523A"/>
    <w:rsid w:val="04522978"/>
    <w:rsid w:val="04773A6F"/>
    <w:rsid w:val="047D4D46"/>
    <w:rsid w:val="0499615F"/>
    <w:rsid w:val="04BA6AFF"/>
    <w:rsid w:val="04CA13BF"/>
    <w:rsid w:val="04D27609"/>
    <w:rsid w:val="04DB0DA6"/>
    <w:rsid w:val="04EC5A09"/>
    <w:rsid w:val="04ED6C88"/>
    <w:rsid w:val="05221E49"/>
    <w:rsid w:val="053E1DC1"/>
    <w:rsid w:val="05406A13"/>
    <w:rsid w:val="054459C6"/>
    <w:rsid w:val="05462B73"/>
    <w:rsid w:val="054B3C06"/>
    <w:rsid w:val="05686714"/>
    <w:rsid w:val="05794DA7"/>
    <w:rsid w:val="05A76A4C"/>
    <w:rsid w:val="063F71CD"/>
    <w:rsid w:val="065245AF"/>
    <w:rsid w:val="065925E4"/>
    <w:rsid w:val="06640499"/>
    <w:rsid w:val="06783F44"/>
    <w:rsid w:val="069F08C7"/>
    <w:rsid w:val="06B875D5"/>
    <w:rsid w:val="06BD292C"/>
    <w:rsid w:val="06D96798"/>
    <w:rsid w:val="06DA6B95"/>
    <w:rsid w:val="072270E2"/>
    <w:rsid w:val="073A4822"/>
    <w:rsid w:val="073D1FEE"/>
    <w:rsid w:val="07533300"/>
    <w:rsid w:val="075F6839"/>
    <w:rsid w:val="07680214"/>
    <w:rsid w:val="079A2E7C"/>
    <w:rsid w:val="07AD4982"/>
    <w:rsid w:val="07BC4C74"/>
    <w:rsid w:val="07CF0DF7"/>
    <w:rsid w:val="07D31603"/>
    <w:rsid w:val="07F41CF0"/>
    <w:rsid w:val="08031F33"/>
    <w:rsid w:val="081261D0"/>
    <w:rsid w:val="083D5445"/>
    <w:rsid w:val="084178BC"/>
    <w:rsid w:val="08586726"/>
    <w:rsid w:val="085A7EF4"/>
    <w:rsid w:val="085E716A"/>
    <w:rsid w:val="087A299E"/>
    <w:rsid w:val="08B65103"/>
    <w:rsid w:val="08C53CFB"/>
    <w:rsid w:val="08CE3C77"/>
    <w:rsid w:val="08DD09D6"/>
    <w:rsid w:val="08F21E3B"/>
    <w:rsid w:val="08F30A16"/>
    <w:rsid w:val="09242261"/>
    <w:rsid w:val="092C0C91"/>
    <w:rsid w:val="09357925"/>
    <w:rsid w:val="09402D95"/>
    <w:rsid w:val="0951129E"/>
    <w:rsid w:val="09582F86"/>
    <w:rsid w:val="096A7AAF"/>
    <w:rsid w:val="09796902"/>
    <w:rsid w:val="097D6F89"/>
    <w:rsid w:val="09885EE7"/>
    <w:rsid w:val="098B6585"/>
    <w:rsid w:val="09AB0672"/>
    <w:rsid w:val="09C658DE"/>
    <w:rsid w:val="09DD1390"/>
    <w:rsid w:val="09E42870"/>
    <w:rsid w:val="09F74B4A"/>
    <w:rsid w:val="0A1D2AE5"/>
    <w:rsid w:val="0A365477"/>
    <w:rsid w:val="0A6B7DE0"/>
    <w:rsid w:val="0A76079A"/>
    <w:rsid w:val="0A7C589E"/>
    <w:rsid w:val="0A7E75E6"/>
    <w:rsid w:val="0A821131"/>
    <w:rsid w:val="0A893D8A"/>
    <w:rsid w:val="0A89748B"/>
    <w:rsid w:val="0A8B5FEB"/>
    <w:rsid w:val="0A951569"/>
    <w:rsid w:val="0AA13EE8"/>
    <w:rsid w:val="0AA827A8"/>
    <w:rsid w:val="0AC6182A"/>
    <w:rsid w:val="0AD63D13"/>
    <w:rsid w:val="0B2F6543"/>
    <w:rsid w:val="0B465EF3"/>
    <w:rsid w:val="0B5E6918"/>
    <w:rsid w:val="0B6C5085"/>
    <w:rsid w:val="0B7F49F7"/>
    <w:rsid w:val="0BA272C9"/>
    <w:rsid w:val="0BAC7E75"/>
    <w:rsid w:val="0BDB1C1C"/>
    <w:rsid w:val="0BFB2F49"/>
    <w:rsid w:val="0C114B7D"/>
    <w:rsid w:val="0C4C20FB"/>
    <w:rsid w:val="0C740DF9"/>
    <w:rsid w:val="0C780AC3"/>
    <w:rsid w:val="0CA61AD0"/>
    <w:rsid w:val="0CA953A9"/>
    <w:rsid w:val="0CB05683"/>
    <w:rsid w:val="0D006813"/>
    <w:rsid w:val="0D0F43AD"/>
    <w:rsid w:val="0D285385"/>
    <w:rsid w:val="0D2B0F08"/>
    <w:rsid w:val="0D2C30B0"/>
    <w:rsid w:val="0D2F01C5"/>
    <w:rsid w:val="0D4F7119"/>
    <w:rsid w:val="0D5A3021"/>
    <w:rsid w:val="0D9D27B2"/>
    <w:rsid w:val="0DC11D74"/>
    <w:rsid w:val="0DCB3295"/>
    <w:rsid w:val="0DD625F8"/>
    <w:rsid w:val="0DD77E2B"/>
    <w:rsid w:val="0DDA5718"/>
    <w:rsid w:val="0DF41045"/>
    <w:rsid w:val="0E3258E6"/>
    <w:rsid w:val="0E762DC1"/>
    <w:rsid w:val="0E7E2314"/>
    <w:rsid w:val="0E887DE7"/>
    <w:rsid w:val="0E9438E5"/>
    <w:rsid w:val="0F264978"/>
    <w:rsid w:val="0F3700BE"/>
    <w:rsid w:val="0F3925CA"/>
    <w:rsid w:val="0F450AB4"/>
    <w:rsid w:val="0F47481E"/>
    <w:rsid w:val="0F55261C"/>
    <w:rsid w:val="0F560677"/>
    <w:rsid w:val="0F7B4713"/>
    <w:rsid w:val="0F8835A5"/>
    <w:rsid w:val="0FA63968"/>
    <w:rsid w:val="0FBFBE3D"/>
    <w:rsid w:val="0FDC3796"/>
    <w:rsid w:val="0FDF7BD5"/>
    <w:rsid w:val="0FF84C1D"/>
    <w:rsid w:val="10083DA4"/>
    <w:rsid w:val="10164258"/>
    <w:rsid w:val="104618FA"/>
    <w:rsid w:val="104F06A4"/>
    <w:rsid w:val="104F523A"/>
    <w:rsid w:val="10563548"/>
    <w:rsid w:val="105937F9"/>
    <w:rsid w:val="10631DE9"/>
    <w:rsid w:val="106461FD"/>
    <w:rsid w:val="10863702"/>
    <w:rsid w:val="10B2098F"/>
    <w:rsid w:val="10BE6179"/>
    <w:rsid w:val="10E874FE"/>
    <w:rsid w:val="10EB1C2B"/>
    <w:rsid w:val="11067B5B"/>
    <w:rsid w:val="11627CCB"/>
    <w:rsid w:val="117035B2"/>
    <w:rsid w:val="118625A2"/>
    <w:rsid w:val="11BF5717"/>
    <w:rsid w:val="11EB5A95"/>
    <w:rsid w:val="11F377BA"/>
    <w:rsid w:val="127612BC"/>
    <w:rsid w:val="128143BF"/>
    <w:rsid w:val="128E689D"/>
    <w:rsid w:val="12A13BC7"/>
    <w:rsid w:val="12E91DAF"/>
    <w:rsid w:val="130114FF"/>
    <w:rsid w:val="13070CE9"/>
    <w:rsid w:val="130A3D53"/>
    <w:rsid w:val="131C13CE"/>
    <w:rsid w:val="13201231"/>
    <w:rsid w:val="13240BE3"/>
    <w:rsid w:val="132B0660"/>
    <w:rsid w:val="132F3F8F"/>
    <w:rsid w:val="13386F35"/>
    <w:rsid w:val="135C6C4C"/>
    <w:rsid w:val="137D6259"/>
    <w:rsid w:val="137E535E"/>
    <w:rsid w:val="137E7E1B"/>
    <w:rsid w:val="138B0714"/>
    <w:rsid w:val="139C54A9"/>
    <w:rsid w:val="13AE24B6"/>
    <w:rsid w:val="13CA0900"/>
    <w:rsid w:val="1405751F"/>
    <w:rsid w:val="14177367"/>
    <w:rsid w:val="141C3F35"/>
    <w:rsid w:val="142013EC"/>
    <w:rsid w:val="146D011D"/>
    <w:rsid w:val="14702F4F"/>
    <w:rsid w:val="14726798"/>
    <w:rsid w:val="14EB18BB"/>
    <w:rsid w:val="14EE3B23"/>
    <w:rsid w:val="14EE5179"/>
    <w:rsid w:val="14FD244F"/>
    <w:rsid w:val="152B2443"/>
    <w:rsid w:val="154B782C"/>
    <w:rsid w:val="157150AE"/>
    <w:rsid w:val="15836A3D"/>
    <w:rsid w:val="159536D9"/>
    <w:rsid w:val="15DF5F56"/>
    <w:rsid w:val="15EF45BC"/>
    <w:rsid w:val="160F73C2"/>
    <w:rsid w:val="161D0DD8"/>
    <w:rsid w:val="16567B07"/>
    <w:rsid w:val="16965903"/>
    <w:rsid w:val="169E335E"/>
    <w:rsid w:val="16D76A65"/>
    <w:rsid w:val="17215B3C"/>
    <w:rsid w:val="172725D9"/>
    <w:rsid w:val="172831F4"/>
    <w:rsid w:val="172A3039"/>
    <w:rsid w:val="17392882"/>
    <w:rsid w:val="17427594"/>
    <w:rsid w:val="17466AEC"/>
    <w:rsid w:val="176A66D2"/>
    <w:rsid w:val="1791130A"/>
    <w:rsid w:val="17B26C70"/>
    <w:rsid w:val="17DF3DB0"/>
    <w:rsid w:val="17EF5B7D"/>
    <w:rsid w:val="181C346D"/>
    <w:rsid w:val="18213858"/>
    <w:rsid w:val="18236F85"/>
    <w:rsid w:val="183A374F"/>
    <w:rsid w:val="186530D8"/>
    <w:rsid w:val="188B1085"/>
    <w:rsid w:val="18BD1401"/>
    <w:rsid w:val="18BF6A0E"/>
    <w:rsid w:val="18C355DC"/>
    <w:rsid w:val="18D2251D"/>
    <w:rsid w:val="18F73D3E"/>
    <w:rsid w:val="18F94A09"/>
    <w:rsid w:val="18FF3725"/>
    <w:rsid w:val="19173821"/>
    <w:rsid w:val="194A350E"/>
    <w:rsid w:val="19502AFF"/>
    <w:rsid w:val="19547D3C"/>
    <w:rsid w:val="19810341"/>
    <w:rsid w:val="19867A6D"/>
    <w:rsid w:val="198C5EFC"/>
    <w:rsid w:val="19CF06DA"/>
    <w:rsid w:val="19EC6CCB"/>
    <w:rsid w:val="19F4535B"/>
    <w:rsid w:val="19F819CC"/>
    <w:rsid w:val="19FF7668"/>
    <w:rsid w:val="1A002D2F"/>
    <w:rsid w:val="1A1C3879"/>
    <w:rsid w:val="1A2B4A64"/>
    <w:rsid w:val="1A4637D1"/>
    <w:rsid w:val="1A5C0B8B"/>
    <w:rsid w:val="1A660973"/>
    <w:rsid w:val="1A787789"/>
    <w:rsid w:val="1A826EE8"/>
    <w:rsid w:val="1A8459ED"/>
    <w:rsid w:val="1A9639C4"/>
    <w:rsid w:val="1A98475D"/>
    <w:rsid w:val="1AC0374B"/>
    <w:rsid w:val="1ADA7987"/>
    <w:rsid w:val="1B3E5305"/>
    <w:rsid w:val="1B40497C"/>
    <w:rsid w:val="1B4A1EFB"/>
    <w:rsid w:val="1B635A43"/>
    <w:rsid w:val="1B6B00E9"/>
    <w:rsid w:val="1B8545FD"/>
    <w:rsid w:val="1BA84E74"/>
    <w:rsid w:val="1BB550FD"/>
    <w:rsid w:val="1BBC5B46"/>
    <w:rsid w:val="1BD9502D"/>
    <w:rsid w:val="1BDC3C1C"/>
    <w:rsid w:val="1C116575"/>
    <w:rsid w:val="1C2F4C4D"/>
    <w:rsid w:val="1C334241"/>
    <w:rsid w:val="1C3B5B89"/>
    <w:rsid w:val="1C6205CF"/>
    <w:rsid w:val="1C635EA4"/>
    <w:rsid w:val="1C8C195D"/>
    <w:rsid w:val="1CFA363F"/>
    <w:rsid w:val="1CFF4A0F"/>
    <w:rsid w:val="1D062932"/>
    <w:rsid w:val="1D063C00"/>
    <w:rsid w:val="1D176404"/>
    <w:rsid w:val="1D18285B"/>
    <w:rsid w:val="1D246888"/>
    <w:rsid w:val="1D2A297F"/>
    <w:rsid w:val="1D412E8A"/>
    <w:rsid w:val="1D6964F5"/>
    <w:rsid w:val="1D744224"/>
    <w:rsid w:val="1D900252"/>
    <w:rsid w:val="1D9D43A6"/>
    <w:rsid w:val="1DBA2341"/>
    <w:rsid w:val="1DD55D96"/>
    <w:rsid w:val="1DEC1708"/>
    <w:rsid w:val="1E0740D4"/>
    <w:rsid w:val="1E115E3F"/>
    <w:rsid w:val="1E1F21D3"/>
    <w:rsid w:val="1E253006"/>
    <w:rsid w:val="1E353B0F"/>
    <w:rsid w:val="1E390005"/>
    <w:rsid w:val="1E485D4E"/>
    <w:rsid w:val="1E4A1127"/>
    <w:rsid w:val="1E5E69B6"/>
    <w:rsid w:val="1E5F5CBE"/>
    <w:rsid w:val="1E6F39EF"/>
    <w:rsid w:val="1E750486"/>
    <w:rsid w:val="1EA25BAA"/>
    <w:rsid w:val="1EA47C82"/>
    <w:rsid w:val="1EC9210F"/>
    <w:rsid w:val="1EF0307E"/>
    <w:rsid w:val="1EF516D8"/>
    <w:rsid w:val="1F0508CE"/>
    <w:rsid w:val="1F1B0A19"/>
    <w:rsid w:val="1F2363D7"/>
    <w:rsid w:val="1F2B3F3D"/>
    <w:rsid w:val="1F3C1B5B"/>
    <w:rsid w:val="1F4153C3"/>
    <w:rsid w:val="1F925C1F"/>
    <w:rsid w:val="1FB97650"/>
    <w:rsid w:val="1FBC0893"/>
    <w:rsid w:val="1FCB5E25"/>
    <w:rsid w:val="1FD859B9"/>
    <w:rsid w:val="1FE057C3"/>
    <w:rsid w:val="1FFF4F9F"/>
    <w:rsid w:val="20022DAC"/>
    <w:rsid w:val="203B2BA8"/>
    <w:rsid w:val="203E4292"/>
    <w:rsid w:val="2040140E"/>
    <w:rsid w:val="204A7D9C"/>
    <w:rsid w:val="205204F1"/>
    <w:rsid w:val="20A2700D"/>
    <w:rsid w:val="20CF6E87"/>
    <w:rsid w:val="21036EB9"/>
    <w:rsid w:val="211E61E3"/>
    <w:rsid w:val="212D728C"/>
    <w:rsid w:val="21303873"/>
    <w:rsid w:val="213E2D15"/>
    <w:rsid w:val="216C3894"/>
    <w:rsid w:val="21817CF9"/>
    <w:rsid w:val="21CF622C"/>
    <w:rsid w:val="21F3384F"/>
    <w:rsid w:val="22045B08"/>
    <w:rsid w:val="22054661"/>
    <w:rsid w:val="221C06AB"/>
    <w:rsid w:val="221C2118"/>
    <w:rsid w:val="2248576C"/>
    <w:rsid w:val="22696CE7"/>
    <w:rsid w:val="227D6D85"/>
    <w:rsid w:val="228D5335"/>
    <w:rsid w:val="229717F1"/>
    <w:rsid w:val="229B128E"/>
    <w:rsid w:val="22B85D4F"/>
    <w:rsid w:val="22D80E71"/>
    <w:rsid w:val="22FF353A"/>
    <w:rsid w:val="23053C57"/>
    <w:rsid w:val="2305495A"/>
    <w:rsid w:val="23165840"/>
    <w:rsid w:val="23212843"/>
    <w:rsid w:val="236B41D4"/>
    <w:rsid w:val="237B28D9"/>
    <w:rsid w:val="238B30B1"/>
    <w:rsid w:val="23942D5D"/>
    <w:rsid w:val="23EE1D30"/>
    <w:rsid w:val="241A2687"/>
    <w:rsid w:val="243A413D"/>
    <w:rsid w:val="246272D2"/>
    <w:rsid w:val="24740F5A"/>
    <w:rsid w:val="24B93C4E"/>
    <w:rsid w:val="24C15998"/>
    <w:rsid w:val="24C50537"/>
    <w:rsid w:val="24C9685F"/>
    <w:rsid w:val="24D17880"/>
    <w:rsid w:val="24E45268"/>
    <w:rsid w:val="24F3421A"/>
    <w:rsid w:val="250F2CCF"/>
    <w:rsid w:val="253F5078"/>
    <w:rsid w:val="258B7426"/>
    <w:rsid w:val="25C60A72"/>
    <w:rsid w:val="25DD6455"/>
    <w:rsid w:val="26487829"/>
    <w:rsid w:val="265067FB"/>
    <w:rsid w:val="26636316"/>
    <w:rsid w:val="26662092"/>
    <w:rsid w:val="266A2952"/>
    <w:rsid w:val="26796BC5"/>
    <w:rsid w:val="269E30FB"/>
    <w:rsid w:val="269F5795"/>
    <w:rsid w:val="26C126D6"/>
    <w:rsid w:val="26CC4B2C"/>
    <w:rsid w:val="26E56C1A"/>
    <w:rsid w:val="26F130AB"/>
    <w:rsid w:val="27013E8E"/>
    <w:rsid w:val="273B1171"/>
    <w:rsid w:val="273C4BCA"/>
    <w:rsid w:val="274A3283"/>
    <w:rsid w:val="276E6487"/>
    <w:rsid w:val="277A0E4F"/>
    <w:rsid w:val="278416C2"/>
    <w:rsid w:val="278A2589"/>
    <w:rsid w:val="27A8268F"/>
    <w:rsid w:val="27CD6838"/>
    <w:rsid w:val="27F0534C"/>
    <w:rsid w:val="27FB698F"/>
    <w:rsid w:val="28176395"/>
    <w:rsid w:val="283C3AF8"/>
    <w:rsid w:val="283D285A"/>
    <w:rsid w:val="2845144A"/>
    <w:rsid w:val="28466B98"/>
    <w:rsid w:val="28543BA0"/>
    <w:rsid w:val="28550220"/>
    <w:rsid w:val="285545FC"/>
    <w:rsid w:val="285E0ED1"/>
    <w:rsid w:val="28600702"/>
    <w:rsid w:val="28650375"/>
    <w:rsid w:val="288F723A"/>
    <w:rsid w:val="28E348C8"/>
    <w:rsid w:val="28EB3B56"/>
    <w:rsid w:val="28F00159"/>
    <w:rsid w:val="29046F77"/>
    <w:rsid w:val="291476A5"/>
    <w:rsid w:val="291F76F8"/>
    <w:rsid w:val="29262141"/>
    <w:rsid w:val="292C2DA6"/>
    <w:rsid w:val="293D5F6F"/>
    <w:rsid w:val="29433831"/>
    <w:rsid w:val="294B7CEC"/>
    <w:rsid w:val="294C6712"/>
    <w:rsid w:val="295B1567"/>
    <w:rsid w:val="296744E2"/>
    <w:rsid w:val="296F6FD1"/>
    <w:rsid w:val="297675A8"/>
    <w:rsid w:val="298A7C3F"/>
    <w:rsid w:val="29923391"/>
    <w:rsid w:val="29A11B86"/>
    <w:rsid w:val="29DB2BB8"/>
    <w:rsid w:val="29E17ECF"/>
    <w:rsid w:val="29EC23D0"/>
    <w:rsid w:val="29F37196"/>
    <w:rsid w:val="29F67832"/>
    <w:rsid w:val="2A430752"/>
    <w:rsid w:val="2A4D50E8"/>
    <w:rsid w:val="2A6259D7"/>
    <w:rsid w:val="2A665AD6"/>
    <w:rsid w:val="2A7025D5"/>
    <w:rsid w:val="2A7B36AC"/>
    <w:rsid w:val="2A7B4341"/>
    <w:rsid w:val="2A7E023F"/>
    <w:rsid w:val="2AB02C1F"/>
    <w:rsid w:val="2AB744F0"/>
    <w:rsid w:val="2AD01CF1"/>
    <w:rsid w:val="2AD04317"/>
    <w:rsid w:val="2B18246F"/>
    <w:rsid w:val="2B1A4125"/>
    <w:rsid w:val="2B206243"/>
    <w:rsid w:val="2B2A0645"/>
    <w:rsid w:val="2B4420B4"/>
    <w:rsid w:val="2B5C3A50"/>
    <w:rsid w:val="2B6E23DE"/>
    <w:rsid w:val="2B8A3B8B"/>
    <w:rsid w:val="2BB02367"/>
    <w:rsid w:val="2BFA5278"/>
    <w:rsid w:val="2C1125C1"/>
    <w:rsid w:val="2C491E92"/>
    <w:rsid w:val="2C793A68"/>
    <w:rsid w:val="2C7D40FD"/>
    <w:rsid w:val="2CA35726"/>
    <w:rsid w:val="2CDB1354"/>
    <w:rsid w:val="2CE455E0"/>
    <w:rsid w:val="2CE975B6"/>
    <w:rsid w:val="2CF31850"/>
    <w:rsid w:val="2D021230"/>
    <w:rsid w:val="2D1F0335"/>
    <w:rsid w:val="2D200D0E"/>
    <w:rsid w:val="2D2459E6"/>
    <w:rsid w:val="2D552B85"/>
    <w:rsid w:val="2D6D319E"/>
    <w:rsid w:val="2D80355B"/>
    <w:rsid w:val="2D811363"/>
    <w:rsid w:val="2D85660F"/>
    <w:rsid w:val="2D866543"/>
    <w:rsid w:val="2DC050AE"/>
    <w:rsid w:val="2DC55411"/>
    <w:rsid w:val="2DFC3390"/>
    <w:rsid w:val="2E17724C"/>
    <w:rsid w:val="2E1A0518"/>
    <w:rsid w:val="2E3027C0"/>
    <w:rsid w:val="2E5A4D77"/>
    <w:rsid w:val="2E5B7B24"/>
    <w:rsid w:val="2E760F5D"/>
    <w:rsid w:val="2E954CEC"/>
    <w:rsid w:val="2EA43C8F"/>
    <w:rsid w:val="2EB15579"/>
    <w:rsid w:val="2EC851B9"/>
    <w:rsid w:val="2EF769F8"/>
    <w:rsid w:val="2F0B7C46"/>
    <w:rsid w:val="2F0F5760"/>
    <w:rsid w:val="2F1E50EE"/>
    <w:rsid w:val="2F206E1C"/>
    <w:rsid w:val="2F4D489D"/>
    <w:rsid w:val="2F8F5CD7"/>
    <w:rsid w:val="2FBB5921"/>
    <w:rsid w:val="30073B66"/>
    <w:rsid w:val="30115422"/>
    <w:rsid w:val="30336A61"/>
    <w:rsid w:val="3079504F"/>
    <w:rsid w:val="30986B8E"/>
    <w:rsid w:val="309E038D"/>
    <w:rsid w:val="30B015EE"/>
    <w:rsid w:val="30CC2D39"/>
    <w:rsid w:val="30CF09BC"/>
    <w:rsid w:val="30DF3C41"/>
    <w:rsid w:val="30EB1633"/>
    <w:rsid w:val="30EE3AD7"/>
    <w:rsid w:val="30F96868"/>
    <w:rsid w:val="31232ECD"/>
    <w:rsid w:val="31542A37"/>
    <w:rsid w:val="317258B0"/>
    <w:rsid w:val="31880C30"/>
    <w:rsid w:val="31A517E2"/>
    <w:rsid w:val="31BD2858"/>
    <w:rsid w:val="31D03095"/>
    <w:rsid w:val="31EF7C9E"/>
    <w:rsid w:val="31F94985"/>
    <w:rsid w:val="31FC5A75"/>
    <w:rsid w:val="320C7AB3"/>
    <w:rsid w:val="320E18E2"/>
    <w:rsid w:val="32123423"/>
    <w:rsid w:val="32226476"/>
    <w:rsid w:val="32265686"/>
    <w:rsid w:val="32385BA6"/>
    <w:rsid w:val="326B1EA2"/>
    <w:rsid w:val="327339F1"/>
    <w:rsid w:val="32990CA9"/>
    <w:rsid w:val="32BB35A1"/>
    <w:rsid w:val="32C5122E"/>
    <w:rsid w:val="32C739DA"/>
    <w:rsid w:val="32F33805"/>
    <w:rsid w:val="32F7431E"/>
    <w:rsid w:val="32F83B93"/>
    <w:rsid w:val="3330603F"/>
    <w:rsid w:val="33425903"/>
    <w:rsid w:val="33553994"/>
    <w:rsid w:val="33A8138E"/>
    <w:rsid w:val="33AF7060"/>
    <w:rsid w:val="33F425AD"/>
    <w:rsid w:val="340774EC"/>
    <w:rsid w:val="34370CC9"/>
    <w:rsid w:val="343E0F03"/>
    <w:rsid w:val="346A5AF0"/>
    <w:rsid w:val="34781C30"/>
    <w:rsid w:val="34A4190D"/>
    <w:rsid w:val="350444CD"/>
    <w:rsid w:val="350E51FF"/>
    <w:rsid w:val="35194A18"/>
    <w:rsid w:val="35270143"/>
    <w:rsid w:val="35354F9C"/>
    <w:rsid w:val="35511D10"/>
    <w:rsid w:val="35627A2E"/>
    <w:rsid w:val="356B2417"/>
    <w:rsid w:val="35752DC5"/>
    <w:rsid w:val="357B5330"/>
    <w:rsid w:val="3583008C"/>
    <w:rsid w:val="358536D0"/>
    <w:rsid w:val="358F2433"/>
    <w:rsid w:val="359758E5"/>
    <w:rsid w:val="359F32C1"/>
    <w:rsid w:val="35C11AE5"/>
    <w:rsid w:val="35CE071A"/>
    <w:rsid w:val="35D04902"/>
    <w:rsid w:val="35F82892"/>
    <w:rsid w:val="35FC1BEC"/>
    <w:rsid w:val="36104C34"/>
    <w:rsid w:val="3614429B"/>
    <w:rsid w:val="36356081"/>
    <w:rsid w:val="363D1915"/>
    <w:rsid w:val="365043D9"/>
    <w:rsid w:val="368A4032"/>
    <w:rsid w:val="36A33611"/>
    <w:rsid w:val="36C52E15"/>
    <w:rsid w:val="3734743C"/>
    <w:rsid w:val="373863C6"/>
    <w:rsid w:val="37503C40"/>
    <w:rsid w:val="37602F55"/>
    <w:rsid w:val="3769264B"/>
    <w:rsid w:val="37A02755"/>
    <w:rsid w:val="37A06B32"/>
    <w:rsid w:val="37AF6C35"/>
    <w:rsid w:val="37BF067A"/>
    <w:rsid w:val="37CD55EE"/>
    <w:rsid w:val="37D639E4"/>
    <w:rsid w:val="37DB0226"/>
    <w:rsid w:val="37E03EC1"/>
    <w:rsid w:val="384124D0"/>
    <w:rsid w:val="38637307"/>
    <w:rsid w:val="388404A3"/>
    <w:rsid w:val="389C197A"/>
    <w:rsid w:val="38B34273"/>
    <w:rsid w:val="38BB778C"/>
    <w:rsid w:val="38BD424A"/>
    <w:rsid w:val="38C02857"/>
    <w:rsid w:val="38C252BC"/>
    <w:rsid w:val="38CE6039"/>
    <w:rsid w:val="38D830FB"/>
    <w:rsid w:val="38DE2BEB"/>
    <w:rsid w:val="38FC2021"/>
    <w:rsid w:val="39070FD4"/>
    <w:rsid w:val="392230FF"/>
    <w:rsid w:val="39242FA6"/>
    <w:rsid w:val="393C2DA9"/>
    <w:rsid w:val="39525B24"/>
    <w:rsid w:val="395F1C11"/>
    <w:rsid w:val="3978738D"/>
    <w:rsid w:val="39930ABA"/>
    <w:rsid w:val="399D36E6"/>
    <w:rsid w:val="39A20CFD"/>
    <w:rsid w:val="39B76556"/>
    <w:rsid w:val="39C301BB"/>
    <w:rsid w:val="39C979D3"/>
    <w:rsid w:val="39D8743C"/>
    <w:rsid w:val="39E55A45"/>
    <w:rsid w:val="39E62634"/>
    <w:rsid w:val="3A162C63"/>
    <w:rsid w:val="3A236FBD"/>
    <w:rsid w:val="3A4836D5"/>
    <w:rsid w:val="3A59268E"/>
    <w:rsid w:val="3A5F6663"/>
    <w:rsid w:val="3A994290"/>
    <w:rsid w:val="3AA175FC"/>
    <w:rsid w:val="3AA8529C"/>
    <w:rsid w:val="3AC7352B"/>
    <w:rsid w:val="3ACD0B8A"/>
    <w:rsid w:val="3B0C2B2D"/>
    <w:rsid w:val="3B443E1A"/>
    <w:rsid w:val="3B543BF5"/>
    <w:rsid w:val="3B7804DD"/>
    <w:rsid w:val="3B98158D"/>
    <w:rsid w:val="3BBC03C2"/>
    <w:rsid w:val="3BC9121E"/>
    <w:rsid w:val="3BEC35CB"/>
    <w:rsid w:val="3BEE1FD7"/>
    <w:rsid w:val="3C616320"/>
    <w:rsid w:val="3C717697"/>
    <w:rsid w:val="3C7C00DF"/>
    <w:rsid w:val="3C811149"/>
    <w:rsid w:val="3CD369E1"/>
    <w:rsid w:val="3CD50917"/>
    <w:rsid w:val="3CF847A7"/>
    <w:rsid w:val="3D3A4F3D"/>
    <w:rsid w:val="3D70763E"/>
    <w:rsid w:val="3D741A23"/>
    <w:rsid w:val="3D8A5D30"/>
    <w:rsid w:val="3D9759AD"/>
    <w:rsid w:val="3DD65E9F"/>
    <w:rsid w:val="3DF44477"/>
    <w:rsid w:val="3DF64F73"/>
    <w:rsid w:val="3E2F7F11"/>
    <w:rsid w:val="3E3A7B6A"/>
    <w:rsid w:val="3E7D4490"/>
    <w:rsid w:val="3E817990"/>
    <w:rsid w:val="3ED45FA4"/>
    <w:rsid w:val="3ED57FA3"/>
    <w:rsid w:val="3EE813DE"/>
    <w:rsid w:val="3EF40691"/>
    <w:rsid w:val="3EF44700"/>
    <w:rsid w:val="3EF67B21"/>
    <w:rsid w:val="3F294A9E"/>
    <w:rsid w:val="3F3738DA"/>
    <w:rsid w:val="3F4D34B9"/>
    <w:rsid w:val="3F6C2778"/>
    <w:rsid w:val="3F7221E5"/>
    <w:rsid w:val="3F744C18"/>
    <w:rsid w:val="3F7631A4"/>
    <w:rsid w:val="3F7B1DD4"/>
    <w:rsid w:val="3F883CE0"/>
    <w:rsid w:val="3F927051"/>
    <w:rsid w:val="3FB72509"/>
    <w:rsid w:val="3FEF631E"/>
    <w:rsid w:val="3FFFCA64"/>
    <w:rsid w:val="403F1799"/>
    <w:rsid w:val="405F3FE0"/>
    <w:rsid w:val="406F4E2F"/>
    <w:rsid w:val="408B3365"/>
    <w:rsid w:val="40A87343"/>
    <w:rsid w:val="40B420A6"/>
    <w:rsid w:val="40BC332E"/>
    <w:rsid w:val="40D6025E"/>
    <w:rsid w:val="40E87EF8"/>
    <w:rsid w:val="40F67F8E"/>
    <w:rsid w:val="41200EAE"/>
    <w:rsid w:val="414E61A7"/>
    <w:rsid w:val="41626E60"/>
    <w:rsid w:val="418E2292"/>
    <w:rsid w:val="418E5DCE"/>
    <w:rsid w:val="41AF0516"/>
    <w:rsid w:val="41B718D5"/>
    <w:rsid w:val="41E167B8"/>
    <w:rsid w:val="41FF6D0C"/>
    <w:rsid w:val="42010739"/>
    <w:rsid w:val="42272B00"/>
    <w:rsid w:val="42730128"/>
    <w:rsid w:val="42771E85"/>
    <w:rsid w:val="42D838CA"/>
    <w:rsid w:val="42EB6D8F"/>
    <w:rsid w:val="42F72A50"/>
    <w:rsid w:val="42FA74AE"/>
    <w:rsid w:val="430018C9"/>
    <w:rsid w:val="430A622B"/>
    <w:rsid w:val="432452B1"/>
    <w:rsid w:val="4330460C"/>
    <w:rsid w:val="43B65AD0"/>
    <w:rsid w:val="440B7985"/>
    <w:rsid w:val="445B73B5"/>
    <w:rsid w:val="447E19D5"/>
    <w:rsid w:val="448A687F"/>
    <w:rsid w:val="44972EB8"/>
    <w:rsid w:val="44BB053D"/>
    <w:rsid w:val="44E164B6"/>
    <w:rsid w:val="45160538"/>
    <w:rsid w:val="45225E6D"/>
    <w:rsid w:val="45351C5E"/>
    <w:rsid w:val="45377580"/>
    <w:rsid w:val="45480B73"/>
    <w:rsid w:val="454D4212"/>
    <w:rsid w:val="455F13B9"/>
    <w:rsid w:val="457A5822"/>
    <w:rsid w:val="459B2BCD"/>
    <w:rsid w:val="459F06A1"/>
    <w:rsid w:val="45B212D3"/>
    <w:rsid w:val="45DC241C"/>
    <w:rsid w:val="45DC730C"/>
    <w:rsid w:val="45F0304F"/>
    <w:rsid w:val="46007F6D"/>
    <w:rsid w:val="46066500"/>
    <w:rsid w:val="46220326"/>
    <w:rsid w:val="462D140A"/>
    <w:rsid w:val="46583DB5"/>
    <w:rsid w:val="46620EF1"/>
    <w:rsid w:val="466B3F30"/>
    <w:rsid w:val="46733893"/>
    <w:rsid w:val="46740B2C"/>
    <w:rsid w:val="46964F27"/>
    <w:rsid w:val="46986A06"/>
    <w:rsid w:val="4698770F"/>
    <w:rsid w:val="46AC03ED"/>
    <w:rsid w:val="46AD3640"/>
    <w:rsid w:val="46AE3402"/>
    <w:rsid w:val="46BF005F"/>
    <w:rsid w:val="46CF2F55"/>
    <w:rsid w:val="46E16EAE"/>
    <w:rsid w:val="46F35033"/>
    <w:rsid w:val="46F845C8"/>
    <w:rsid w:val="46F94BFF"/>
    <w:rsid w:val="47116F70"/>
    <w:rsid w:val="471F2A33"/>
    <w:rsid w:val="472D0CBA"/>
    <w:rsid w:val="473B7B5C"/>
    <w:rsid w:val="47455C59"/>
    <w:rsid w:val="475078A7"/>
    <w:rsid w:val="475A449F"/>
    <w:rsid w:val="476B3C18"/>
    <w:rsid w:val="47744C03"/>
    <w:rsid w:val="478051DA"/>
    <w:rsid w:val="47A9108B"/>
    <w:rsid w:val="47C54376"/>
    <w:rsid w:val="47CE64B5"/>
    <w:rsid w:val="47CF655A"/>
    <w:rsid w:val="47DA509D"/>
    <w:rsid w:val="47DD7AD0"/>
    <w:rsid w:val="47E910E4"/>
    <w:rsid w:val="4802607C"/>
    <w:rsid w:val="482C7A1D"/>
    <w:rsid w:val="4835496D"/>
    <w:rsid w:val="484052BA"/>
    <w:rsid w:val="48457A6E"/>
    <w:rsid w:val="48521198"/>
    <w:rsid w:val="48681804"/>
    <w:rsid w:val="488204C0"/>
    <w:rsid w:val="489C4263"/>
    <w:rsid w:val="489F1442"/>
    <w:rsid w:val="48B54FCB"/>
    <w:rsid w:val="48BB5CF6"/>
    <w:rsid w:val="48C95619"/>
    <w:rsid w:val="48CB1569"/>
    <w:rsid w:val="48D3667F"/>
    <w:rsid w:val="4901394F"/>
    <w:rsid w:val="49041C08"/>
    <w:rsid w:val="491B2273"/>
    <w:rsid w:val="49231955"/>
    <w:rsid w:val="49421FB0"/>
    <w:rsid w:val="494A6AB3"/>
    <w:rsid w:val="494E0559"/>
    <w:rsid w:val="49701A55"/>
    <w:rsid w:val="498B5309"/>
    <w:rsid w:val="498C52D9"/>
    <w:rsid w:val="499248EA"/>
    <w:rsid w:val="49926BBD"/>
    <w:rsid w:val="49AB6690"/>
    <w:rsid w:val="49D92F94"/>
    <w:rsid w:val="4A04076D"/>
    <w:rsid w:val="4A053A10"/>
    <w:rsid w:val="4A1160FE"/>
    <w:rsid w:val="4A146707"/>
    <w:rsid w:val="4A3D4856"/>
    <w:rsid w:val="4A481F12"/>
    <w:rsid w:val="4A702108"/>
    <w:rsid w:val="4A7C4D04"/>
    <w:rsid w:val="4A846F9D"/>
    <w:rsid w:val="4A896547"/>
    <w:rsid w:val="4A8C6EA5"/>
    <w:rsid w:val="4A91694F"/>
    <w:rsid w:val="4AAC7AC7"/>
    <w:rsid w:val="4AC017A8"/>
    <w:rsid w:val="4AD05E42"/>
    <w:rsid w:val="4AE0060A"/>
    <w:rsid w:val="4AF0235C"/>
    <w:rsid w:val="4AFA4BB0"/>
    <w:rsid w:val="4AFB026D"/>
    <w:rsid w:val="4AFE0AF1"/>
    <w:rsid w:val="4AFF5F31"/>
    <w:rsid w:val="4B0B27D0"/>
    <w:rsid w:val="4B10038C"/>
    <w:rsid w:val="4B10039B"/>
    <w:rsid w:val="4B100E76"/>
    <w:rsid w:val="4B4D63DA"/>
    <w:rsid w:val="4B702839"/>
    <w:rsid w:val="4B7E0DA2"/>
    <w:rsid w:val="4BB25DD4"/>
    <w:rsid w:val="4BD032B2"/>
    <w:rsid w:val="4BE56F92"/>
    <w:rsid w:val="4BED2DC0"/>
    <w:rsid w:val="4C4E0DAD"/>
    <w:rsid w:val="4C85187E"/>
    <w:rsid w:val="4C852EA4"/>
    <w:rsid w:val="4CC02949"/>
    <w:rsid w:val="4CCB3632"/>
    <w:rsid w:val="4CDD6CB3"/>
    <w:rsid w:val="4CE90CC5"/>
    <w:rsid w:val="4CF03E01"/>
    <w:rsid w:val="4D0B13FB"/>
    <w:rsid w:val="4D2B308B"/>
    <w:rsid w:val="4D3C7046"/>
    <w:rsid w:val="4D5242EB"/>
    <w:rsid w:val="4D6E7982"/>
    <w:rsid w:val="4D7961C6"/>
    <w:rsid w:val="4D8163CC"/>
    <w:rsid w:val="4DB51292"/>
    <w:rsid w:val="4DC1754C"/>
    <w:rsid w:val="4DE224E9"/>
    <w:rsid w:val="4DE6295C"/>
    <w:rsid w:val="4DEE3187"/>
    <w:rsid w:val="4DF01BDF"/>
    <w:rsid w:val="4DF64EFD"/>
    <w:rsid w:val="4E10324E"/>
    <w:rsid w:val="4E2704D4"/>
    <w:rsid w:val="4E351FB2"/>
    <w:rsid w:val="4E3E6DEE"/>
    <w:rsid w:val="4E561226"/>
    <w:rsid w:val="4E597CF5"/>
    <w:rsid w:val="4E9544ED"/>
    <w:rsid w:val="4EA210FC"/>
    <w:rsid w:val="4EBC483D"/>
    <w:rsid w:val="4EBF5A8D"/>
    <w:rsid w:val="4EC61AB2"/>
    <w:rsid w:val="4EC6206D"/>
    <w:rsid w:val="4EDF12AF"/>
    <w:rsid w:val="4EF46DE2"/>
    <w:rsid w:val="4F0A7CC0"/>
    <w:rsid w:val="4F3E5B81"/>
    <w:rsid w:val="4F5E73CD"/>
    <w:rsid w:val="4F9071D6"/>
    <w:rsid w:val="4FB55561"/>
    <w:rsid w:val="4FC47302"/>
    <w:rsid w:val="4FCE090A"/>
    <w:rsid w:val="4FD524A6"/>
    <w:rsid w:val="500F4C29"/>
    <w:rsid w:val="507D1E60"/>
    <w:rsid w:val="508034E5"/>
    <w:rsid w:val="50993709"/>
    <w:rsid w:val="509A3769"/>
    <w:rsid w:val="50A46B37"/>
    <w:rsid w:val="50CC248F"/>
    <w:rsid w:val="50D1671F"/>
    <w:rsid w:val="511A4C10"/>
    <w:rsid w:val="51260D99"/>
    <w:rsid w:val="51564240"/>
    <w:rsid w:val="5177736A"/>
    <w:rsid w:val="51803269"/>
    <w:rsid w:val="518E3B5A"/>
    <w:rsid w:val="51A53B62"/>
    <w:rsid w:val="51B82543"/>
    <w:rsid w:val="51BE0542"/>
    <w:rsid w:val="51E01C50"/>
    <w:rsid w:val="51EA4C1F"/>
    <w:rsid w:val="52302215"/>
    <w:rsid w:val="52544BC7"/>
    <w:rsid w:val="52903990"/>
    <w:rsid w:val="52B42DD5"/>
    <w:rsid w:val="52B71FE9"/>
    <w:rsid w:val="52BE01AB"/>
    <w:rsid w:val="52E73EFA"/>
    <w:rsid w:val="52F263F9"/>
    <w:rsid w:val="52F3094D"/>
    <w:rsid w:val="5301344C"/>
    <w:rsid w:val="53300821"/>
    <w:rsid w:val="535A2D6D"/>
    <w:rsid w:val="536A624A"/>
    <w:rsid w:val="53703177"/>
    <w:rsid w:val="5379604F"/>
    <w:rsid w:val="538A36BA"/>
    <w:rsid w:val="53AE325A"/>
    <w:rsid w:val="53AF63ED"/>
    <w:rsid w:val="53BF2F5F"/>
    <w:rsid w:val="53E05939"/>
    <w:rsid w:val="53F11E25"/>
    <w:rsid w:val="540C5D72"/>
    <w:rsid w:val="540D296B"/>
    <w:rsid w:val="5411260E"/>
    <w:rsid w:val="541E55AF"/>
    <w:rsid w:val="544B4013"/>
    <w:rsid w:val="54593D02"/>
    <w:rsid w:val="54906E77"/>
    <w:rsid w:val="54A411ED"/>
    <w:rsid w:val="54A74201"/>
    <w:rsid w:val="54B95F6D"/>
    <w:rsid w:val="54C03B36"/>
    <w:rsid w:val="54D97CA5"/>
    <w:rsid w:val="55074D02"/>
    <w:rsid w:val="55165494"/>
    <w:rsid w:val="553B51C8"/>
    <w:rsid w:val="55425416"/>
    <w:rsid w:val="55713210"/>
    <w:rsid w:val="557A503F"/>
    <w:rsid w:val="558D65E8"/>
    <w:rsid w:val="55985565"/>
    <w:rsid w:val="559B1B75"/>
    <w:rsid w:val="55A62C1F"/>
    <w:rsid w:val="55B73B71"/>
    <w:rsid w:val="55EF0537"/>
    <w:rsid w:val="560E243A"/>
    <w:rsid w:val="56124F4E"/>
    <w:rsid w:val="563B751D"/>
    <w:rsid w:val="567214DD"/>
    <w:rsid w:val="56A001EE"/>
    <w:rsid w:val="56A54F66"/>
    <w:rsid w:val="56E10818"/>
    <w:rsid w:val="56EE1C55"/>
    <w:rsid w:val="572E6C81"/>
    <w:rsid w:val="57442E66"/>
    <w:rsid w:val="57562F92"/>
    <w:rsid w:val="57913175"/>
    <w:rsid w:val="57A25E48"/>
    <w:rsid w:val="57AB5696"/>
    <w:rsid w:val="57B85BD3"/>
    <w:rsid w:val="57BA02E8"/>
    <w:rsid w:val="57C10502"/>
    <w:rsid w:val="57C56A97"/>
    <w:rsid w:val="57F46C2E"/>
    <w:rsid w:val="57FB7AFE"/>
    <w:rsid w:val="58265959"/>
    <w:rsid w:val="583568EF"/>
    <w:rsid w:val="583E52D5"/>
    <w:rsid w:val="58403763"/>
    <w:rsid w:val="584151E4"/>
    <w:rsid w:val="584436FF"/>
    <w:rsid w:val="58450D79"/>
    <w:rsid w:val="5848415F"/>
    <w:rsid w:val="584B5386"/>
    <w:rsid w:val="584D00C0"/>
    <w:rsid w:val="584F2501"/>
    <w:rsid w:val="58515459"/>
    <w:rsid w:val="58583538"/>
    <w:rsid w:val="58853D7B"/>
    <w:rsid w:val="58953CE4"/>
    <w:rsid w:val="58AB7EB7"/>
    <w:rsid w:val="58B2640F"/>
    <w:rsid w:val="58B814F8"/>
    <w:rsid w:val="58CD4FF7"/>
    <w:rsid w:val="59053171"/>
    <w:rsid w:val="591D6A13"/>
    <w:rsid w:val="59327F2B"/>
    <w:rsid w:val="593C7B60"/>
    <w:rsid w:val="593F6EE8"/>
    <w:rsid w:val="59474524"/>
    <w:rsid w:val="595153B1"/>
    <w:rsid w:val="595322C4"/>
    <w:rsid w:val="59607E46"/>
    <w:rsid w:val="597A4B99"/>
    <w:rsid w:val="59926803"/>
    <w:rsid w:val="59D04D76"/>
    <w:rsid w:val="59F20EEA"/>
    <w:rsid w:val="5A1153B7"/>
    <w:rsid w:val="5A124A4A"/>
    <w:rsid w:val="5A1E4336"/>
    <w:rsid w:val="5A2414F5"/>
    <w:rsid w:val="5A3517B6"/>
    <w:rsid w:val="5A5D4658"/>
    <w:rsid w:val="5A5E354A"/>
    <w:rsid w:val="5A61230F"/>
    <w:rsid w:val="5A752B1F"/>
    <w:rsid w:val="5A7F0572"/>
    <w:rsid w:val="5A84769B"/>
    <w:rsid w:val="5AA773B2"/>
    <w:rsid w:val="5AC44F41"/>
    <w:rsid w:val="5AE623A0"/>
    <w:rsid w:val="5AF0349B"/>
    <w:rsid w:val="5B0525C0"/>
    <w:rsid w:val="5B07310C"/>
    <w:rsid w:val="5B074500"/>
    <w:rsid w:val="5B19651E"/>
    <w:rsid w:val="5B1E7D8B"/>
    <w:rsid w:val="5B7F6707"/>
    <w:rsid w:val="5B8524B6"/>
    <w:rsid w:val="5B8D5EA1"/>
    <w:rsid w:val="5BA32F4B"/>
    <w:rsid w:val="5BAE118A"/>
    <w:rsid w:val="5BC814DB"/>
    <w:rsid w:val="5BDF0A14"/>
    <w:rsid w:val="5BDF6048"/>
    <w:rsid w:val="5BEA23E2"/>
    <w:rsid w:val="5C3F046C"/>
    <w:rsid w:val="5C4937E9"/>
    <w:rsid w:val="5C5F7419"/>
    <w:rsid w:val="5C6211BD"/>
    <w:rsid w:val="5C655E00"/>
    <w:rsid w:val="5C7B745F"/>
    <w:rsid w:val="5C9217C9"/>
    <w:rsid w:val="5CCB3F43"/>
    <w:rsid w:val="5CD76977"/>
    <w:rsid w:val="5CEB6C6B"/>
    <w:rsid w:val="5CF86022"/>
    <w:rsid w:val="5D2636D3"/>
    <w:rsid w:val="5D272A0A"/>
    <w:rsid w:val="5D307D6D"/>
    <w:rsid w:val="5D3B6D46"/>
    <w:rsid w:val="5D4C146B"/>
    <w:rsid w:val="5D7E2D63"/>
    <w:rsid w:val="5D916EAF"/>
    <w:rsid w:val="5D977C7A"/>
    <w:rsid w:val="5D9E549A"/>
    <w:rsid w:val="5DAD6991"/>
    <w:rsid w:val="5DBE054F"/>
    <w:rsid w:val="5DEE5D44"/>
    <w:rsid w:val="5DF178EE"/>
    <w:rsid w:val="5E005C5D"/>
    <w:rsid w:val="5E041998"/>
    <w:rsid w:val="5E0B78D6"/>
    <w:rsid w:val="5E3A2E98"/>
    <w:rsid w:val="5E694103"/>
    <w:rsid w:val="5E6D3714"/>
    <w:rsid w:val="5E720B31"/>
    <w:rsid w:val="5E734F84"/>
    <w:rsid w:val="5E8D53EA"/>
    <w:rsid w:val="5EA363EC"/>
    <w:rsid w:val="5EBA3C8A"/>
    <w:rsid w:val="5EC53242"/>
    <w:rsid w:val="5EEC6A62"/>
    <w:rsid w:val="5F027DAA"/>
    <w:rsid w:val="5F053A54"/>
    <w:rsid w:val="5F0B206F"/>
    <w:rsid w:val="5F105786"/>
    <w:rsid w:val="5F447FDD"/>
    <w:rsid w:val="5F623529"/>
    <w:rsid w:val="5F7A0106"/>
    <w:rsid w:val="5F825325"/>
    <w:rsid w:val="5F8B4182"/>
    <w:rsid w:val="5FAF72E1"/>
    <w:rsid w:val="5FC2574E"/>
    <w:rsid w:val="5FD61D50"/>
    <w:rsid w:val="5FDE4AF9"/>
    <w:rsid w:val="60061CFB"/>
    <w:rsid w:val="60082051"/>
    <w:rsid w:val="601748FF"/>
    <w:rsid w:val="602812BE"/>
    <w:rsid w:val="60460AFD"/>
    <w:rsid w:val="60566056"/>
    <w:rsid w:val="605B3830"/>
    <w:rsid w:val="606436F9"/>
    <w:rsid w:val="607A61E3"/>
    <w:rsid w:val="607F5667"/>
    <w:rsid w:val="609A0FC1"/>
    <w:rsid w:val="609E2F78"/>
    <w:rsid w:val="60A43470"/>
    <w:rsid w:val="60AB0A4F"/>
    <w:rsid w:val="60AC7751"/>
    <w:rsid w:val="60D722A4"/>
    <w:rsid w:val="60DE39D4"/>
    <w:rsid w:val="60E818A4"/>
    <w:rsid w:val="60EB7164"/>
    <w:rsid w:val="60EF10BE"/>
    <w:rsid w:val="60F377AA"/>
    <w:rsid w:val="61266192"/>
    <w:rsid w:val="612F3B25"/>
    <w:rsid w:val="61355DF5"/>
    <w:rsid w:val="613B0F6B"/>
    <w:rsid w:val="615C67BB"/>
    <w:rsid w:val="619D44CD"/>
    <w:rsid w:val="61A6639C"/>
    <w:rsid w:val="61C14B99"/>
    <w:rsid w:val="61DC0C2B"/>
    <w:rsid w:val="61F10A26"/>
    <w:rsid w:val="61FD6301"/>
    <w:rsid w:val="620E4A48"/>
    <w:rsid w:val="621517BC"/>
    <w:rsid w:val="625D632A"/>
    <w:rsid w:val="6262123F"/>
    <w:rsid w:val="62A25D29"/>
    <w:rsid w:val="62BE2BD2"/>
    <w:rsid w:val="62F70CB6"/>
    <w:rsid w:val="62FA10DE"/>
    <w:rsid w:val="631F201A"/>
    <w:rsid w:val="633A1A93"/>
    <w:rsid w:val="635731F3"/>
    <w:rsid w:val="63597924"/>
    <w:rsid w:val="635D7BC8"/>
    <w:rsid w:val="636A7398"/>
    <w:rsid w:val="636D43AA"/>
    <w:rsid w:val="63780D84"/>
    <w:rsid w:val="639721E2"/>
    <w:rsid w:val="639E544B"/>
    <w:rsid w:val="63A46561"/>
    <w:rsid w:val="63E1404C"/>
    <w:rsid w:val="63E23ED0"/>
    <w:rsid w:val="63F268A5"/>
    <w:rsid w:val="640167FA"/>
    <w:rsid w:val="640D2AED"/>
    <w:rsid w:val="6426737A"/>
    <w:rsid w:val="642F3009"/>
    <w:rsid w:val="644A43C3"/>
    <w:rsid w:val="644E440B"/>
    <w:rsid w:val="646A09A1"/>
    <w:rsid w:val="647C45BA"/>
    <w:rsid w:val="649872AE"/>
    <w:rsid w:val="64B56841"/>
    <w:rsid w:val="64BE3C49"/>
    <w:rsid w:val="64D902E1"/>
    <w:rsid w:val="64DF2A30"/>
    <w:rsid w:val="64ED59CA"/>
    <w:rsid w:val="6506106E"/>
    <w:rsid w:val="650D1B01"/>
    <w:rsid w:val="650F32FC"/>
    <w:rsid w:val="654022C3"/>
    <w:rsid w:val="658479CA"/>
    <w:rsid w:val="6588424D"/>
    <w:rsid w:val="6590359E"/>
    <w:rsid w:val="65A071A3"/>
    <w:rsid w:val="65C75E7F"/>
    <w:rsid w:val="65F90856"/>
    <w:rsid w:val="65FAAD19"/>
    <w:rsid w:val="6625119B"/>
    <w:rsid w:val="663366B5"/>
    <w:rsid w:val="663770EB"/>
    <w:rsid w:val="6649709D"/>
    <w:rsid w:val="665C477F"/>
    <w:rsid w:val="665F2C86"/>
    <w:rsid w:val="66975FC3"/>
    <w:rsid w:val="66A236F5"/>
    <w:rsid w:val="66B75538"/>
    <w:rsid w:val="66B84930"/>
    <w:rsid w:val="66F65D47"/>
    <w:rsid w:val="66F816A8"/>
    <w:rsid w:val="67001D46"/>
    <w:rsid w:val="67151FDE"/>
    <w:rsid w:val="6715322F"/>
    <w:rsid w:val="6753700F"/>
    <w:rsid w:val="6767824C"/>
    <w:rsid w:val="676E5E33"/>
    <w:rsid w:val="677F737B"/>
    <w:rsid w:val="678553D3"/>
    <w:rsid w:val="67890C82"/>
    <w:rsid w:val="679A63DE"/>
    <w:rsid w:val="679E47C6"/>
    <w:rsid w:val="67A61834"/>
    <w:rsid w:val="67AE50AE"/>
    <w:rsid w:val="67D07D1B"/>
    <w:rsid w:val="67D439EC"/>
    <w:rsid w:val="67D51E56"/>
    <w:rsid w:val="67EA47CF"/>
    <w:rsid w:val="6861509E"/>
    <w:rsid w:val="68E930A2"/>
    <w:rsid w:val="68FE73CF"/>
    <w:rsid w:val="6903777D"/>
    <w:rsid w:val="69075A39"/>
    <w:rsid w:val="691A10F3"/>
    <w:rsid w:val="692E2B22"/>
    <w:rsid w:val="693C75C7"/>
    <w:rsid w:val="69513AB3"/>
    <w:rsid w:val="69555CB8"/>
    <w:rsid w:val="696C0622"/>
    <w:rsid w:val="69756720"/>
    <w:rsid w:val="69A704AE"/>
    <w:rsid w:val="69FB2D5A"/>
    <w:rsid w:val="6A01077D"/>
    <w:rsid w:val="6A0A597F"/>
    <w:rsid w:val="6A0B3176"/>
    <w:rsid w:val="6A0E08FF"/>
    <w:rsid w:val="6A2A3AED"/>
    <w:rsid w:val="6A5A1E57"/>
    <w:rsid w:val="6A995ECB"/>
    <w:rsid w:val="6A9E3358"/>
    <w:rsid w:val="6ADC30DD"/>
    <w:rsid w:val="6AE941D7"/>
    <w:rsid w:val="6B142AD6"/>
    <w:rsid w:val="6B2807B2"/>
    <w:rsid w:val="6B3F151B"/>
    <w:rsid w:val="6B3F7E58"/>
    <w:rsid w:val="6B4A509D"/>
    <w:rsid w:val="6B8D251D"/>
    <w:rsid w:val="6B900E82"/>
    <w:rsid w:val="6BC32289"/>
    <w:rsid w:val="6BF003BD"/>
    <w:rsid w:val="6BFD5085"/>
    <w:rsid w:val="6BFE6136"/>
    <w:rsid w:val="6C0532CD"/>
    <w:rsid w:val="6C0B6627"/>
    <w:rsid w:val="6C19145D"/>
    <w:rsid w:val="6C2D1356"/>
    <w:rsid w:val="6C3649D4"/>
    <w:rsid w:val="6C3C037E"/>
    <w:rsid w:val="6C465442"/>
    <w:rsid w:val="6C5B0DCB"/>
    <w:rsid w:val="6C5B57B0"/>
    <w:rsid w:val="6C5D2AD0"/>
    <w:rsid w:val="6C696C09"/>
    <w:rsid w:val="6C697846"/>
    <w:rsid w:val="6C6B54E9"/>
    <w:rsid w:val="6C791EEF"/>
    <w:rsid w:val="6CA642D4"/>
    <w:rsid w:val="6CBA7515"/>
    <w:rsid w:val="6CE0246C"/>
    <w:rsid w:val="6D3C7787"/>
    <w:rsid w:val="6D4C42DB"/>
    <w:rsid w:val="6D506E75"/>
    <w:rsid w:val="6D52703F"/>
    <w:rsid w:val="6D5F185B"/>
    <w:rsid w:val="6D622494"/>
    <w:rsid w:val="6D8C41DA"/>
    <w:rsid w:val="6DA330D2"/>
    <w:rsid w:val="6DBF5573"/>
    <w:rsid w:val="6DC07705"/>
    <w:rsid w:val="6DF36A18"/>
    <w:rsid w:val="6E551CA4"/>
    <w:rsid w:val="6E62222D"/>
    <w:rsid w:val="6E882887"/>
    <w:rsid w:val="6E9A3775"/>
    <w:rsid w:val="6EA45DCF"/>
    <w:rsid w:val="6ECB32CB"/>
    <w:rsid w:val="6EE7188F"/>
    <w:rsid w:val="6EF10313"/>
    <w:rsid w:val="6EF16C67"/>
    <w:rsid w:val="6F023E6E"/>
    <w:rsid w:val="6F257739"/>
    <w:rsid w:val="6F283A6C"/>
    <w:rsid w:val="6F3A0933"/>
    <w:rsid w:val="6F5D319D"/>
    <w:rsid w:val="6F6049BF"/>
    <w:rsid w:val="6FAA3462"/>
    <w:rsid w:val="6FD85721"/>
    <w:rsid w:val="6FF1431D"/>
    <w:rsid w:val="6FFA03AE"/>
    <w:rsid w:val="6FFB59E1"/>
    <w:rsid w:val="703550C4"/>
    <w:rsid w:val="7040659E"/>
    <w:rsid w:val="704821BF"/>
    <w:rsid w:val="7048228E"/>
    <w:rsid w:val="70930F0D"/>
    <w:rsid w:val="70A74D17"/>
    <w:rsid w:val="70BC6081"/>
    <w:rsid w:val="70C9030C"/>
    <w:rsid w:val="70EF0E52"/>
    <w:rsid w:val="71090B84"/>
    <w:rsid w:val="71123244"/>
    <w:rsid w:val="712D267F"/>
    <w:rsid w:val="712D6B22"/>
    <w:rsid w:val="71355F66"/>
    <w:rsid w:val="716E4221"/>
    <w:rsid w:val="717F6922"/>
    <w:rsid w:val="718428CA"/>
    <w:rsid w:val="71C56D5B"/>
    <w:rsid w:val="71CC67DE"/>
    <w:rsid w:val="71F919F8"/>
    <w:rsid w:val="72005FE5"/>
    <w:rsid w:val="72031B34"/>
    <w:rsid w:val="7227588F"/>
    <w:rsid w:val="72413B62"/>
    <w:rsid w:val="725B6379"/>
    <w:rsid w:val="728A5004"/>
    <w:rsid w:val="72A03324"/>
    <w:rsid w:val="72A35D1B"/>
    <w:rsid w:val="72AA4D8A"/>
    <w:rsid w:val="72B3570F"/>
    <w:rsid w:val="72E256EB"/>
    <w:rsid w:val="7310424F"/>
    <w:rsid w:val="731E713B"/>
    <w:rsid w:val="732B4836"/>
    <w:rsid w:val="732E0084"/>
    <w:rsid w:val="7346456F"/>
    <w:rsid w:val="73797044"/>
    <w:rsid w:val="73AA15D5"/>
    <w:rsid w:val="73BB15E2"/>
    <w:rsid w:val="73DD4ADC"/>
    <w:rsid w:val="73F05180"/>
    <w:rsid w:val="73F9327A"/>
    <w:rsid w:val="73F9965D"/>
    <w:rsid w:val="740869AA"/>
    <w:rsid w:val="741F4B11"/>
    <w:rsid w:val="744D4DE6"/>
    <w:rsid w:val="748B7EFE"/>
    <w:rsid w:val="74C257D4"/>
    <w:rsid w:val="74C357D7"/>
    <w:rsid w:val="74CD4AC3"/>
    <w:rsid w:val="74CE23CA"/>
    <w:rsid w:val="74E06AD6"/>
    <w:rsid w:val="74EA0626"/>
    <w:rsid w:val="751122B7"/>
    <w:rsid w:val="754F1C3B"/>
    <w:rsid w:val="75757F6C"/>
    <w:rsid w:val="75786582"/>
    <w:rsid w:val="757E2468"/>
    <w:rsid w:val="759A22AD"/>
    <w:rsid w:val="75C60DC7"/>
    <w:rsid w:val="75C968A4"/>
    <w:rsid w:val="75EA3234"/>
    <w:rsid w:val="75F31DE0"/>
    <w:rsid w:val="75FC32E9"/>
    <w:rsid w:val="75FF0362"/>
    <w:rsid w:val="763E5E91"/>
    <w:rsid w:val="765863F0"/>
    <w:rsid w:val="766B6D4C"/>
    <w:rsid w:val="76846589"/>
    <w:rsid w:val="7691545E"/>
    <w:rsid w:val="769E2161"/>
    <w:rsid w:val="76A75235"/>
    <w:rsid w:val="76AA7675"/>
    <w:rsid w:val="76AA78BA"/>
    <w:rsid w:val="76B23871"/>
    <w:rsid w:val="76C32423"/>
    <w:rsid w:val="76CE66B2"/>
    <w:rsid w:val="77051E51"/>
    <w:rsid w:val="770B59F4"/>
    <w:rsid w:val="773D0BAE"/>
    <w:rsid w:val="774B6149"/>
    <w:rsid w:val="776048A9"/>
    <w:rsid w:val="77643AE4"/>
    <w:rsid w:val="77845B8F"/>
    <w:rsid w:val="778D3FDC"/>
    <w:rsid w:val="779B4D78"/>
    <w:rsid w:val="77A411C1"/>
    <w:rsid w:val="77B961AD"/>
    <w:rsid w:val="77BF0B47"/>
    <w:rsid w:val="77D14B90"/>
    <w:rsid w:val="780954C8"/>
    <w:rsid w:val="780E7F02"/>
    <w:rsid w:val="781F5952"/>
    <w:rsid w:val="78232A2D"/>
    <w:rsid w:val="78381D4B"/>
    <w:rsid w:val="78433344"/>
    <w:rsid w:val="78495F57"/>
    <w:rsid w:val="785372B8"/>
    <w:rsid w:val="78631CBD"/>
    <w:rsid w:val="78941595"/>
    <w:rsid w:val="78BE7517"/>
    <w:rsid w:val="7927654D"/>
    <w:rsid w:val="792D675D"/>
    <w:rsid w:val="794337A2"/>
    <w:rsid w:val="794A3E9B"/>
    <w:rsid w:val="796D61F5"/>
    <w:rsid w:val="79714ECF"/>
    <w:rsid w:val="79956765"/>
    <w:rsid w:val="79BD2533"/>
    <w:rsid w:val="79EB3592"/>
    <w:rsid w:val="7A680BCB"/>
    <w:rsid w:val="7A862E00"/>
    <w:rsid w:val="7AB24319"/>
    <w:rsid w:val="7AB95A15"/>
    <w:rsid w:val="7ABB519F"/>
    <w:rsid w:val="7AD13DB3"/>
    <w:rsid w:val="7AF05E66"/>
    <w:rsid w:val="7B087665"/>
    <w:rsid w:val="7B126DF4"/>
    <w:rsid w:val="7B1B7077"/>
    <w:rsid w:val="7B210AF3"/>
    <w:rsid w:val="7B2C267F"/>
    <w:rsid w:val="7B47091D"/>
    <w:rsid w:val="7B4B5BD2"/>
    <w:rsid w:val="7BA32D1D"/>
    <w:rsid w:val="7BD81F5A"/>
    <w:rsid w:val="7BDCFEF8"/>
    <w:rsid w:val="7BDE44F5"/>
    <w:rsid w:val="7BE12AED"/>
    <w:rsid w:val="7BF2737A"/>
    <w:rsid w:val="7BFC5B77"/>
    <w:rsid w:val="7C043085"/>
    <w:rsid w:val="7C267871"/>
    <w:rsid w:val="7C52743D"/>
    <w:rsid w:val="7C7B2076"/>
    <w:rsid w:val="7C907F65"/>
    <w:rsid w:val="7CBF006F"/>
    <w:rsid w:val="7CD019DE"/>
    <w:rsid w:val="7CED53B8"/>
    <w:rsid w:val="7CFD1787"/>
    <w:rsid w:val="7D1E7C96"/>
    <w:rsid w:val="7D1F3A12"/>
    <w:rsid w:val="7D281BCA"/>
    <w:rsid w:val="7D6403E3"/>
    <w:rsid w:val="7D79095D"/>
    <w:rsid w:val="7D887CB8"/>
    <w:rsid w:val="7DA77D6D"/>
    <w:rsid w:val="7DB12980"/>
    <w:rsid w:val="7DCB394B"/>
    <w:rsid w:val="7DFE7071"/>
    <w:rsid w:val="7E03257D"/>
    <w:rsid w:val="7E28255D"/>
    <w:rsid w:val="7EB2770F"/>
    <w:rsid w:val="7EBB25BD"/>
    <w:rsid w:val="7EC65A1C"/>
    <w:rsid w:val="7EC95FB8"/>
    <w:rsid w:val="7ECB34D7"/>
    <w:rsid w:val="7ED86E62"/>
    <w:rsid w:val="7EDF42EE"/>
    <w:rsid w:val="7EEF7BF4"/>
    <w:rsid w:val="7EF22D50"/>
    <w:rsid w:val="7EF6572F"/>
    <w:rsid w:val="7EF97936"/>
    <w:rsid w:val="7EFD5ABF"/>
    <w:rsid w:val="7F037195"/>
    <w:rsid w:val="7F0C7A8D"/>
    <w:rsid w:val="7F280929"/>
    <w:rsid w:val="7F6475D4"/>
    <w:rsid w:val="7F7953AD"/>
    <w:rsid w:val="7F7D42F2"/>
    <w:rsid w:val="7F8244DD"/>
    <w:rsid w:val="7F856B79"/>
    <w:rsid w:val="7F8D2652"/>
    <w:rsid w:val="7F8D3A9F"/>
    <w:rsid w:val="7FBE2821"/>
    <w:rsid w:val="7FDD5972"/>
    <w:rsid w:val="7FE93C95"/>
    <w:rsid w:val="7FF011E8"/>
    <w:rsid w:val="7FF71030"/>
    <w:rsid w:val="7FFD48C9"/>
    <w:rsid w:val="879F7266"/>
    <w:rsid w:val="9DBB0B95"/>
    <w:rsid w:val="AFEFAB9C"/>
    <w:rsid w:val="B43F8185"/>
    <w:rsid w:val="BA675B0E"/>
    <w:rsid w:val="BFFF863A"/>
    <w:rsid w:val="DBF5EF5D"/>
    <w:rsid w:val="DF7B8ED6"/>
    <w:rsid w:val="EFF7CB04"/>
    <w:rsid w:val="FDFB8116"/>
    <w:rsid w:val="FDFFDC58"/>
    <w:rsid w:val="FFA688A7"/>
    <w:rsid w:val="FFC70E22"/>
    <w:rsid w:val="FFDF0A83"/>
    <w:rsid w:val="FFF3C04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semiHidden="0" w:name="toc 2"/>
    <w:lsdException w:unhideWhenUsed="0" w:uiPriority="0"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semiHidden="0" w:name="footnote reference"/>
    <w:lsdException w:uiPriority="99" w:semiHidden="0" w:name="annotation reference"/>
    <w:lsdException w:uiPriority="99" w:name="line number"/>
    <w:lsdException w:unhideWhenUsed="0" w:uiPriority="0" w:semiHidden="0" w:name="page number"/>
    <w:lsdException w:uiPriority="99" w:semiHidden="0" w:name="endnote reference"/>
    <w:lsdException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nhideWhenUsed="0" w:uiPriority="0" w:semiHidden="0" w:name="Default Paragraph Font"/>
    <w:lsdException w:uiPriority="99"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semiHidden="0" w:name="HTML Sample"/>
    <w:lsdException w:uiPriority="99" w:name="HTML Typewriter"/>
    <w:lsdException w:uiPriority="99" w:name="HTML Variable"/>
    <w:lsdException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6">
    <w:name w:val="heading 1"/>
    <w:basedOn w:val="1"/>
    <w:next w:val="1"/>
    <w:link w:val="53"/>
    <w:qFormat/>
    <w:uiPriority w:val="0"/>
    <w:pPr>
      <w:keepNext/>
      <w:keepLines/>
      <w:spacing w:before="340" w:beforeLines="0" w:after="330" w:afterLines="0" w:line="578" w:lineRule="auto"/>
      <w:outlineLvl w:val="0"/>
    </w:pPr>
    <w:rPr>
      <w:b/>
      <w:bCs/>
      <w:kern w:val="44"/>
      <w:sz w:val="44"/>
      <w:szCs w:val="44"/>
    </w:rPr>
  </w:style>
  <w:style w:type="paragraph" w:styleId="7">
    <w:name w:val="heading 2"/>
    <w:basedOn w:val="1"/>
    <w:next w:val="1"/>
    <w:link w:val="54"/>
    <w:qFormat/>
    <w:uiPriority w:val="0"/>
    <w:pPr>
      <w:keepNext/>
      <w:adjustRightInd w:val="0"/>
      <w:spacing w:line="360" w:lineRule="auto"/>
      <w:outlineLvl w:val="1"/>
    </w:pPr>
    <w:rPr>
      <w:rFonts w:ascii="仿宋_GB2312" w:hAnsi="宋体" w:eastAsia="仿宋_GB2312"/>
      <w:b/>
      <w:kern w:val="0"/>
      <w:sz w:val="30"/>
      <w:szCs w:val="20"/>
    </w:rPr>
  </w:style>
  <w:style w:type="paragraph" w:styleId="8">
    <w:name w:val="heading 3"/>
    <w:basedOn w:val="1"/>
    <w:next w:val="1"/>
    <w:link w:val="55"/>
    <w:qFormat/>
    <w:uiPriority w:val="9"/>
    <w:pPr>
      <w:keepNext/>
      <w:keepLines/>
      <w:spacing w:before="260" w:beforeLines="0" w:beforeAutospacing="0" w:after="260" w:afterLines="0" w:afterAutospacing="0" w:line="413" w:lineRule="auto"/>
      <w:outlineLvl w:val="2"/>
    </w:pPr>
    <w:rPr>
      <w:b/>
      <w:sz w:val="32"/>
    </w:rPr>
  </w:style>
  <w:style w:type="paragraph" w:styleId="9">
    <w:name w:val="heading 4"/>
    <w:basedOn w:val="1"/>
    <w:next w:val="1"/>
    <w:link w:val="56"/>
    <w:qFormat/>
    <w:uiPriority w:val="0"/>
    <w:pPr>
      <w:keepNext/>
      <w:keepLines/>
      <w:numPr>
        <w:ilvl w:val="3"/>
        <w:numId w:val="1"/>
      </w:numPr>
      <w:spacing w:before="280" w:beforeLines="0" w:after="290" w:afterLines="0" w:line="376" w:lineRule="auto"/>
      <w:outlineLvl w:val="3"/>
    </w:pPr>
    <w:rPr>
      <w:rFonts w:ascii="Arial" w:hAnsi="Arial" w:eastAsia="黑体"/>
      <w:b/>
      <w:sz w:val="28"/>
      <w:szCs w:val="20"/>
    </w:rPr>
  </w:style>
  <w:style w:type="paragraph" w:styleId="10">
    <w:name w:val="heading 5"/>
    <w:basedOn w:val="1"/>
    <w:next w:val="11"/>
    <w:link w:val="57"/>
    <w:qFormat/>
    <w:uiPriority w:val="0"/>
    <w:pPr>
      <w:keepNext/>
      <w:keepLines/>
      <w:numPr>
        <w:ilvl w:val="4"/>
        <w:numId w:val="1"/>
      </w:numPr>
      <w:spacing w:before="280" w:beforeLines="0" w:after="290" w:afterLines="0" w:line="376" w:lineRule="auto"/>
      <w:outlineLvl w:val="4"/>
    </w:pPr>
    <w:rPr>
      <w:b/>
      <w:sz w:val="28"/>
      <w:szCs w:val="20"/>
    </w:rPr>
  </w:style>
  <w:style w:type="paragraph" w:styleId="12">
    <w:name w:val="heading 6"/>
    <w:basedOn w:val="1"/>
    <w:next w:val="11"/>
    <w:link w:val="59"/>
    <w:qFormat/>
    <w:uiPriority w:val="0"/>
    <w:pPr>
      <w:keepNext/>
      <w:keepLines/>
      <w:numPr>
        <w:ilvl w:val="5"/>
        <w:numId w:val="1"/>
      </w:numPr>
      <w:spacing w:before="240" w:beforeLines="0" w:after="64" w:afterLines="0" w:line="320" w:lineRule="auto"/>
      <w:outlineLvl w:val="5"/>
    </w:pPr>
    <w:rPr>
      <w:rFonts w:ascii="Arial" w:hAnsi="Arial" w:eastAsia="黑体"/>
      <w:b/>
      <w:sz w:val="24"/>
      <w:szCs w:val="20"/>
    </w:rPr>
  </w:style>
  <w:style w:type="paragraph" w:styleId="13">
    <w:name w:val="heading 7"/>
    <w:basedOn w:val="1"/>
    <w:next w:val="11"/>
    <w:link w:val="60"/>
    <w:qFormat/>
    <w:uiPriority w:val="0"/>
    <w:pPr>
      <w:keepNext/>
      <w:keepLines/>
      <w:numPr>
        <w:ilvl w:val="6"/>
        <w:numId w:val="1"/>
      </w:numPr>
      <w:spacing w:before="240" w:beforeLines="0" w:after="64" w:afterLines="0" w:line="320" w:lineRule="auto"/>
      <w:outlineLvl w:val="6"/>
    </w:pPr>
    <w:rPr>
      <w:b/>
      <w:sz w:val="24"/>
      <w:szCs w:val="20"/>
    </w:rPr>
  </w:style>
  <w:style w:type="paragraph" w:styleId="14">
    <w:name w:val="heading 8"/>
    <w:basedOn w:val="1"/>
    <w:next w:val="11"/>
    <w:qFormat/>
    <w:uiPriority w:val="0"/>
    <w:pPr>
      <w:keepNext/>
      <w:keepLines/>
      <w:numPr>
        <w:ilvl w:val="7"/>
        <w:numId w:val="1"/>
      </w:numPr>
      <w:spacing w:before="240" w:beforeLines="0" w:after="64" w:afterLines="0" w:line="320" w:lineRule="auto"/>
      <w:outlineLvl w:val="7"/>
    </w:pPr>
    <w:rPr>
      <w:rFonts w:ascii="Arial" w:hAnsi="Arial" w:eastAsia="黑体"/>
      <w:sz w:val="24"/>
      <w:szCs w:val="20"/>
    </w:rPr>
  </w:style>
  <w:style w:type="paragraph" w:styleId="15">
    <w:name w:val="heading 9"/>
    <w:basedOn w:val="1"/>
    <w:next w:val="11"/>
    <w:qFormat/>
    <w:uiPriority w:val="0"/>
    <w:pPr>
      <w:keepNext/>
      <w:keepLines/>
      <w:numPr>
        <w:ilvl w:val="8"/>
        <w:numId w:val="1"/>
      </w:numPr>
      <w:spacing w:before="240" w:beforeLines="0" w:after="64" w:afterLines="0" w:line="320" w:lineRule="auto"/>
      <w:outlineLvl w:val="8"/>
    </w:pPr>
    <w:rPr>
      <w:rFonts w:ascii="Arial" w:hAnsi="Arial" w:eastAsia="黑体"/>
      <w:szCs w:val="20"/>
    </w:rPr>
  </w:style>
  <w:style w:type="character" w:default="1" w:styleId="42">
    <w:name w:val="Default Paragraph Font"/>
    <w:uiPriority w:val="0"/>
  </w:style>
  <w:style w:type="table" w:default="1" w:styleId="40">
    <w:name w:val="Normal Table"/>
    <w:unhideWhenUsed/>
    <w:uiPriority w:val="99"/>
    <w:tblPr>
      <w:tblStyle w:val="40"/>
      <w:tblCellMar>
        <w:top w:w="0" w:type="dxa"/>
        <w:left w:w="108" w:type="dxa"/>
        <w:bottom w:w="0" w:type="dxa"/>
        <w:right w:w="108" w:type="dxa"/>
      </w:tblCellMar>
    </w:tblPr>
  </w:style>
  <w:style w:type="paragraph" w:styleId="2">
    <w:name w:val="Body Text First Indent 2"/>
    <w:basedOn w:val="3"/>
    <w:next w:val="5"/>
    <w:link w:val="52"/>
    <w:uiPriority w:val="0"/>
    <w:pPr>
      <w:autoSpaceDE w:val="0"/>
      <w:autoSpaceDN w:val="0"/>
      <w:adjustRightInd w:val="0"/>
      <w:spacing w:after="120" w:line="240" w:lineRule="auto"/>
      <w:ind w:left="420" w:leftChars="200" w:firstLine="420" w:firstLineChars="200"/>
      <w:jc w:val="left"/>
      <w:textAlignment w:val="baseline"/>
    </w:pPr>
    <w:rPr>
      <w:sz w:val="28"/>
    </w:rPr>
  </w:style>
  <w:style w:type="paragraph" w:styleId="3">
    <w:name w:val="Body Text Indent"/>
    <w:basedOn w:val="1"/>
    <w:next w:val="4"/>
    <w:link w:val="51"/>
    <w:uiPriority w:val="0"/>
    <w:pPr>
      <w:spacing w:line="400" w:lineRule="atLeast"/>
      <w:ind w:left="210" w:firstLine="210"/>
    </w:pPr>
    <w:rPr>
      <w:rFonts w:ascii="宋体" w:hAnsi="宋体"/>
      <w:szCs w:val="20"/>
    </w:rPr>
  </w:style>
  <w:style w:type="paragraph" w:styleId="4">
    <w:name w:val="toc 3"/>
    <w:basedOn w:val="1"/>
    <w:next w:val="1"/>
    <w:uiPriority w:val="0"/>
    <w:pPr>
      <w:tabs>
        <w:tab w:val="right" w:leader="dot" w:pos="9170"/>
      </w:tabs>
      <w:ind w:left="360"/>
      <w:jc w:val="left"/>
    </w:pPr>
    <w:rPr>
      <w:sz w:val="20"/>
      <w:szCs w:val="20"/>
    </w:rPr>
  </w:style>
  <w:style w:type="paragraph" w:customStyle="1" w:styleId="5">
    <w:name w:val="xl53"/>
    <w:basedOn w:val="1"/>
    <w:next w:val="1"/>
    <w:qFormat/>
    <w:uiPriority w:val="0"/>
    <w:pPr>
      <w:spacing w:before="280" w:after="280" w:line="100" w:lineRule="exact"/>
      <w:jc w:val="center"/>
    </w:pPr>
    <w:rPr>
      <w:b/>
      <w:sz w:val="20"/>
    </w:rPr>
  </w:style>
  <w:style w:type="paragraph" w:styleId="11">
    <w:name w:val="Normal Indent"/>
    <w:basedOn w:val="1"/>
    <w:next w:val="3"/>
    <w:link w:val="58"/>
    <w:qFormat/>
    <w:uiPriority w:val="0"/>
    <w:pPr>
      <w:ind w:firstLine="420"/>
    </w:pPr>
    <w:rPr>
      <w:rFonts w:ascii="宋体" w:hAnsi="Courier New"/>
      <w:szCs w:val="20"/>
    </w:rPr>
  </w:style>
  <w:style w:type="paragraph" w:styleId="16">
    <w:name w:val="Document Map"/>
    <w:basedOn w:val="1"/>
    <w:uiPriority w:val="0"/>
    <w:pPr>
      <w:shd w:val="clear" w:color="auto" w:fill="000080"/>
    </w:pPr>
  </w:style>
  <w:style w:type="paragraph" w:styleId="17">
    <w:name w:val="annotation text"/>
    <w:basedOn w:val="1"/>
    <w:link w:val="61"/>
    <w:uiPriority w:val="0"/>
    <w:pPr>
      <w:jc w:val="left"/>
    </w:pPr>
  </w:style>
  <w:style w:type="paragraph" w:styleId="18">
    <w:name w:val="Body Text 3"/>
    <w:basedOn w:val="1"/>
    <w:uiPriority w:val="0"/>
    <w:pPr>
      <w:spacing w:after="120" w:afterLines="0"/>
    </w:pPr>
    <w:rPr>
      <w:sz w:val="16"/>
      <w:szCs w:val="16"/>
    </w:rPr>
  </w:style>
  <w:style w:type="paragraph" w:styleId="19">
    <w:name w:val="Body Text"/>
    <w:basedOn w:val="1"/>
    <w:next w:val="20"/>
    <w:unhideWhenUsed/>
    <w:uiPriority w:val="99"/>
    <w:pPr>
      <w:spacing w:line="360" w:lineRule="exact"/>
    </w:pPr>
    <w:rPr>
      <w:sz w:val="24"/>
    </w:rPr>
  </w:style>
  <w:style w:type="paragraph" w:styleId="20">
    <w:name w:val="Body Text First Indent"/>
    <w:basedOn w:val="19"/>
    <w:next w:val="21"/>
    <w:uiPriority w:val="0"/>
    <w:pPr>
      <w:ind w:firstLine="420" w:firstLineChars="100"/>
    </w:pPr>
    <w:rPr>
      <w:sz w:val="21"/>
    </w:rPr>
  </w:style>
  <w:style w:type="paragraph" w:styleId="21">
    <w:name w:val="toc 6"/>
    <w:basedOn w:val="1"/>
    <w:next w:val="1"/>
    <w:qFormat/>
    <w:uiPriority w:val="0"/>
    <w:pPr>
      <w:ind w:left="2100" w:leftChars="1000"/>
    </w:pPr>
  </w:style>
  <w:style w:type="paragraph" w:styleId="22">
    <w:name w:val="Block Text"/>
    <w:basedOn w:val="1"/>
    <w:qFormat/>
    <w:uiPriority w:val="99"/>
    <w:pPr>
      <w:spacing w:after="120"/>
      <w:ind w:left="1440" w:leftChars="700" w:right="1440" w:rightChars="700"/>
    </w:pPr>
  </w:style>
  <w:style w:type="paragraph" w:styleId="23">
    <w:name w:val="index 4"/>
    <w:basedOn w:val="1"/>
    <w:next w:val="1"/>
    <w:qFormat/>
    <w:uiPriority w:val="0"/>
    <w:pPr>
      <w:ind w:left="600" w:leftChars="600"/>
    </w:pPr>
    <w:rPr>
      <w:rFonts w:ascii="Times New Roman" w:hAnsi="Times New Roman" w:eastAsia="宋体" w:cs="Times New Roman"/>
      <w:szCs w:val="24"/>
    </w:rPr>
  </w:style>
  <w:style w:type="paragraph" w:styleId="24">
    <w:name w:val="Plain Text"/>
    <w:basedOn w:val="1"/>
    <w:next w:val="1"/>
    <w:link w:val="62"/>
    <w:uiPriority w:val="0"/>
    <w:rPr>
      <w:rFonts w:ascii="宋体" w:hAnsi="Courier New"/>
      <w:szCs w:val="20"/>
    </w:rPr>
  </w:style>
  <w:style w:type="paragraph" w:styleId="25">
    <w:name w:val="Date"/>
    <w:basedOn w:val="1"/>
    <w:next w:val="1"/>
    <w:uiPriority w:val="0"/>
    <w:pPr>
      <w:ind w:left="100" w:leftChars="2500"/>
    </w:pPr>
  </w:style>
  <w:style w:type="paragraph" w:styleId="26">
    <w:name w:val="Body Text Indent 2"/>
    <w:basedOn w:val="1"/>
    <w:uiPriority w:val="0"/>
    <w:pPr>
      <w:ind w:firstLine="570"/>
    </w:pPr>
    <w:rPr>
      <w:sz w:val="28"/>
      <w:szCs w:val="20"/>
    </w:rPr>
  </w:style>
  <w:style w:type="paragraph" w:styleId="27">
    <w:name w:val="endnote text"/>
    <w:basedOn w:val="1"/>
    <w:link w:val="63"/>
    <w:unhideWhenUsed/>
    <w:uiPriority w:val="99"/>
    <w:pPr>
      <w:snapToGrid w:val="0"/>
      <w:jc w:val="left"/>
    </w:pPr>
  </w:style>
  <w:style w:type="paragraph" w:styleId="28">
    <w:name w:val="Balloon Text"/>
    <w:basedOn w:val="1"/>
    <w:uiPriority w:val="0"/>
    <w:rPr>
      <w:sz w:val="18"/>
      <w:szCs w:val="18"/>
    </w:rPr>
  </w:style>
  <w:style w:type="paragraph" w:styleId="29">
    <w:name w:val="footer"/>
    <w:basedOn w:val="1"/>
    <w:uiPriority w:val="0"/>
    <w:pPr>
      <w:tabs>
        <w:tab w:val="center" w:pos="4153"/>
        <w:tab w:val="right" w:pos="8306"/>
      </w:tabs>
      <w:snapToGrid w:val="0"/>
      <w:jc w:val="left"/>
    </w:pPr>
    <w:rPr>
      <w:sz w:val="18"/>
      <w:szCs w:val="18"/>
    </w:rPr>
  </w:style>
  <w:style w:type="paragraph" w:styleId="30">
    <w:name w:val="header"/>
    <w:basedOn w:val="1"/>
    <w:link w:val="64"/>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uiPriority w:val="0"/>
    <w:pPr>
      <w:tabs>
        <w:tab w:val="right" w:leader="dot" w:pos="9060"/>
        <w:tab w:val="right" w:leader="dot" w:pos="9170"/>
      </w:tabs>
      <w:jc w:val="center"/>
    </w:pPr>
    <w:rPr>
      <w:rFonts w:ascii="仿宋_GB2312" w:eastAsia="仿宋_GB2312"/>
      <w:b/>
      <w:caps/>
      <w:color w:val="000000"/>
      <w:sz w:val="20"/>
      <w:szCs w:val="20"/>
    </w:rPr>
  </w:style>
  <w:style w:type="paragraph" w:styleId="32">
    <w:name w:val="Subtitle"/>
    <w:basedOn w:val="1"/>
    <w:next w:val="1"/>
    <w:qFormat/>
    <w:uiPriority w:val="11"/>
    <w:pPr>
      <w:spacing w:before="240" w:after="60" w:line="312" w:lineRule="auto"/>
      <w:jc w:val="center"/>
      <w:outlineLvl w:val="1"/>
    </w:pPr>
    <w:rPr>
      <w:rFonts w:ascii="Cambria" w:hAnsi="Cambria"/>
      <w:b/>
      <w:bCs/>
      <w:kern w:val="28"/>
      <w:sz w:val="32"/>
      <w:szCs w:val="32"/>
    </w:rPr>
  </w:style>
  <w:style w:type="paragraph" w:styleId="33">
    <w:name w:val="footnote text"/>
    <w:basedOn w:val="1"/>
    <w:uiPriority w:val="0"/>
    <w:pPr>
      <w:snapToGrid w:val="0"/>
      <w:jc w:val="left"/>
    </w:pPr>
    <w:rPr>
      <w:rFonts w:eastAsia="仿宋_GB2312"/>
      <w:sz w:val="18"/>
      <w:szCs w:val="20"/>
    </w:rPr>
  </w:style>
  <w:style w:type="paragraph" w:styleId="34">
    <w:name w:val="Body Text Indent 3"/>
    <w:basedOn w:val="1"/>
    <w:uiPriority w:val="0"/>
    <w:pPr>
      <w:spacing w:line="360" w:lineRule="auto"/>
      <w:ind w:left="124" w:leftChars="59"/>
    </w:pPr>
    <w:rPr>
      <w:rFonts w:ascii="仿宋_GB2312" w:hAnsi="宋体" w:eastAsia="仿宋_GB2312"/>
      <w:sz w:val="28"/>
      <w:szCs w:val="21"/>
    </w:rPr>
  </w:style>
  <w:style w:type="paragraph" w:styleId="35">
    <w:name w:val="toc 2"/>
    <w:basedOn w:val="1"/>
    <w:next w:val="1"/>
    <w:uiPriority w:val="0"/>
    <w:pPr>
      <w:tabs>
        <w:tab w:val="right" w:leader="dot" w:pos="9170"/>
      </w:tabs>
      <w:ind w:left="210" w:firstLine="150"/>
      <w:jc w:val="left"/>
    </w:pPr>
    <w:rPr>
      <w:smallCaps/>
      <w:sz w:val="20"/>
      <w:szCs w:val="20"/>
    </w:rPr>
  </w:style>
  <w:style w:type="paragraph" w:styleId="36">
    <w:name w:val="Body Text 2"/>
    <w:basedOn w:val="1"/>
    <w:link w:val="65"/>
    <w:unhideWhenUsed/>
    <w:uiPriority w:val="99"/>
    <w:pPr>
      <w:spacing w:after="120" w:line="480" w:lineRule="auto"/>
    </w:pPr>
  </w:style>
  <w:style w:type="paragraph" w:styleId="37">
    <w:name w:val="Normal (Web)"/>
    <w:basedOn w:val="1"/>
    <w:uiPriority w:val="0"/>
    <w:pPr>
      <w:widowControl/>
      <w:spacing w:before="100" w:beforeLines="0" w:beforeAutospacing="1" w:after="100" w:afterLines="0" w:afterAutospacing="1"/>
      <w:jc w:val="left"/>
    </w:pPr>
    <w:rPr>
      <w:rFonts w:ascii="宋体" w:hAnsi="宋体"/>
      <w:kern w:val="0"/>
      <w:sz w:val="24"/>
    </w:rPr>
  </w:style>
  <w:style w:type="paragraph" w:styleId="38">
    <w:name w:val="Title"/>
    <w:basedOn w:val="1"/>
    <w:next w:val="1"/>
    <w:link w:val="66"/>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67"/>
    <w:unhideWhenUsed/>
    <w:uiPriority w:val="99"/>
    <w:rPr>
      <w:b/>
      <w:bCs/>
    </w:rPr>
  </w:style>
  <w:style w:type="table" w:styleId="41">
    <w:name w:val="Table Grid"/>
    <w:basedOn w:val="40"/>
    <w:uiPriority w:val="59"/>
    <w:pPr>
      <w:widowControl w:val="0"/>
      <w:jc w:val="both"/>
    </w:pPr>
    <w:tblPr>
      <w:tblStyle w:val="4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22"/>
    <w:rPr>
      <w:b/>
      <w:bCs/>
    </w:rPr>
  </w:style>
  <w:style w:type="character" w:styleId="44">
    <w:name w:val="endnote reference"/>
    <w:unhideWhenUsed/>
    <w:uiPriority w:val="99"/>
    <w:rPr>
      <w:vertAlign w:val="superscript"/>
    </w:rPr>
  </w:style>
  <w:style w:type="character" w:styleId="45">
    <w:name w:val="page number"/>
    <w:uiPriority w:val="0"/>
  </w:style>
  <w:style w:type="character" w:styleId="46">
    <w:name w:val="FollowedHyperlink"/>
    <w:uiPriority w:val="0"/>
    <w:rPr>
      <w:color w:val="800080"/>
      <w:u w:val="single"/>
    </w:rPr>
  </w:style>
  <w:style w:type="character" w:styleId="47">
    <w:name w:val="Hyperlink"/>
    <w:uiPriority w:val="0"/>
    <w:rPr>
      <w:color w:val="0000FF"/>
      <w:u w:val="single"/>
    </w:rPr>
  </w:style>
  <w:style w:type="character" w:styleId="48">
    <w:name w:val="annotation reference"/>
    <w:unhideWhenUsed/>
    <w:uiPriority w:val="99"/>
    <w:rPr>
      <w:sz w:val="21"/>
      <w:szCs w:val="21"/>
    </w:rPr>
  </w:style>
  <w:style w:type="character" w:styleId="49">
    <w:name w:val="footnote reference"/>
    <w:uiPriority w:val="0"/>
    <w:rPr>
      <w:vertAlign w:val="superscript"/>
    </w:rPr>
  </w:style>
  <w:style w:type="character" w:styleId="50">
    <w:name w:val="HTML Sample"/>
    <w:unhideWhenUsed/>
    <w:uiPriority w:val="99"/>
    <w:rPr>
      <w:rFonts w:ascii="Courier New" w:hAnsi="Courier New"/>
    </w:rPr>
  </w:style>
  <w:style w:type="character" w:customStyle="1" w:styleId="51">
    <w:name w:val="正文文本缩进 Char"/>
    <w:link w:val="3"/>
    <w:uiPriority w:val="0"/>
    <w:rPr>
      <w:rFonts w:ascii="宋体" w:hAnsi="宋体"/>
      <w:kern w:val="2"/>
      <w:sz w:val="21"/>
    </w:rPr>
  </w:style>
  <w:style w:type="character" w:customStyle="1" w:styleId="52">
    <w:name w:val="正文首行缩进 2 Char"/>
    <w:link w:val="2"/>
    <w:uiPriority w:val="0"/>
    <w:rPr>
      <w:rFonts w:ascii="宋体" w:hAnsi="宋体"/>
      <w:kern w:val="2"/>
      <w:sz w:val="28"/>
    </w:rPr>
  </w:style>
  <w:style w:type="character" w:customStyle="1" w:styleId="53">
    <w:name w:val="标题 1 Char"/>
    <w:link w:val="6"/>
    <w:qFormat/>
    <w:uiPriority w:val="0"/>
    <w:rPr>
      <w:b/>
      <w:bCs/>
      <w:kern w:val="44"/>
      <w:sz w:val="44"/>
      <w:szCs w:val="44"/>
    </w:rPr>
  </w:style>
  <w:style w:type="character" w:customStyle="1" w:styleId="54">
    <w:name w:val="标题 2 Char"/>
    <w:link w:val="7"/>
    <w:uiPriority w:val="0"/>
    <w:rPr>
      <w:rFonts w:ascii="仿宋_GB2312" w:hAnsi="宋体" w:eastAsia="仿宋_GB2312"/>
      <w:b/>
      <w:kern w:val="0"/>
      <w:sz w:val="30"/>
      <w:szCs w:val="20"/>
    </w:rPr>
  </w:style>
  <w:style w:type="character" w:customStyle="1" w:styleId="55">
    <w:name w:val="标题 3 Char"/>
    <w:link w:val="8"/>
    <w:uiPriority w:val="9"/>
    <w:rPr>
      <w:b/>
      <w:sz w:val="32"/>
    </w:rPr>
  </w:style>
  <w:style w:type="character" w:customStyle="1" w:styleId="56">
    <w:name w:val="标题 4 Char"/>
    <w:link w:val="9"/>
    <w:uiPriority w:val="0"/>
    <w:rPr>
      <w:rFonts w:ascii="Arial" w:hAnsi="Arial" w:eastAsia="黑体"/>
      <w:b/>
      <w:sz w:val="28"/>
      <w:szCs w:val="20"/>
    </w:rPr>
  </w:style>
  <w:style w:type="character" w:customStyle="1" w:styleId="57">
    <w:name w:val="标题 5 Char"/>
    <w:link w:val="10"/>
    <w:uiPriority w:val="0"/>
    <w:rPr>
      <w:b/>
      <w:sz w:val="28"/>
      <w:szCs w:val="20"/>
    </w:rPr>
  </w:style>
  <w:style w:type="character" w:customStyle="1" w:styleId="58">
    <w:name w:val="正文缩进 Char"/>
    <w:link w:val="11"/>
    <w:uiPriority w:val="0"/>
    <w:rPr>
      <w:rFonts w:ascii="宋体" w:hAnsi="Courier New" w:eastAsia="宋体"/>
      <w:kern w:val="2"/>
      <w:sz w:val="21"/>
      <w:lang w:val="en-US" w:eastAsia="zh-CN" w:bidi="ar-SA"/>
    </w:rPr>
  </w:style>
  <w:style w:type="character" w:customStyle="1" w:styleId="59">
    <w:name w:val="标题 6 Char"/>
    <w:link w:val="12"/>
    <w:uiPriority w:val="0"/>
    <w:rPr>
      <w:rFonts w:ascii="Arial" w:hAnsi="Arial" w:eastAsia="黑体"/>
      <w:b/>
      <w:sz w:val="24"/>
      <w:szCs w:val="20"/>
    </w:rPr>
  </w:style>
  <w:style w:type="character" w:customStyle="1" w:styleId="60">
    <w:name w:val="标题 7 Char"/>
    <w:link w:val="13"/>
    <w:uiPriority w:val="0"/>
    <w:rPr>
      <w:b/>
      <w:sz w:val="24"/>
      <w:szCs w:val="20"/>
    </w:rPr>
  </w:style>
  <w:style w:type="character" w:customStyle="1" w:styleId="61">
    <w:name w:val="批注文字 Char"/>
    <w:link w:val="17"/>
    <w:uiPriority w:val="0"/>
    <w:rPr>
      <w:kern w:val="2"/>
      <w:sz w:val="21"/>
      <w:szCs w:val="24"/>
    </w:rPr>
  </w:style>
  <w:style w:type="character" w:customStyle="1" w:styleId="62">
    <w:name w:val="纯文本 Char"/>
    <w:link w:val="24"/>
    <w:uiPriority w:val="0"/>
    <w:rPr>
      <w:rFonts w:ascii="宋体" w:hAnsi="Courier New" w:eastAsia="宋体"/>
      <w:kern w:val="2"/>
      <w:sz w:val="21"/>
      <w:lang w:val="en-US" w:eastAsia="zh-CN" w:bidi="ar-SA"/>
    </w:rPr>
  </w:style>
  <w:style w:type="character" w:customStyle="1" w:styleId="63">
    <w:name w:val="尾注文本 Char"/>
    <w:link w:val="27"/>
    <w:semiHidden/>
    <w:uiPriority w:val="99"/>
    <w:rPr>
      <w:kern w:val="2"/>
      <w:sz w:val="21"/>
      <w:szCs w:val="24"/>
    </w:rPr>
  </w:style>
  <w:style w:type="character" w:customStyle="1" w:styleId="64">
    <w:name w:val="页眉 Char"/>
    <w:link w:val="30"/>
    <w:uiPriority w:val="0"/>
    <w:rPr>
      <w:kern w:val="2"/>
      <w:sz w:val="18"/>
      <w:szCs w:val="18"/>
    </w:rPr>
  </w:style>
  <w:style w:type="character" w:customStyle="1" w:styleId="65">
    <w:name w:val="正文文本 2 Char"/>
    <w:link w:val="36"/>
    <w:uiPriority w:val="99"/>
    <w:rPr>
      <w:kern w:val="2"/>
      <w:sz w:val="21"/>
      <w:szCs w:val="24"/>
    </w:rPr>
  </w:style>
  <w:style w:type="character" w:customStyle="1" w:styleId="66">
    <w:name w:val="标题 Char"/>
    <w:link w:val="38"/>
    <w:uiPriority w:val="0"/>
    <w:rPr>
      <w:rFonts w:ascii="Arial" w:hAnsi="Arial" w:cs="Arial"/>
      <w:b/>
      <w:bCs/>
      <w:kern w:val="2"/>
      <w:sz w:val="32"/>
      <w:szCs w:val="32"/>
    </w:rPr>
  </w:style>
  <w:style w:type="character" w:customStyle="1" w:styleId="67">
    <w:name w:val="批注主题 Char"/>
    <w:link w:val="39"/>
    <w:uiPriority w:val="0"/>
  </w:style>
  <w:style w:type="paragraph" w:customStyle="1" w:styleId="68">
    <w:name w:val="BodyText1I2"/>
    <w:basedOn w:val="69"/>
    <w:uiPriority w:val="0"/>
    <w:pPr>
      <w:spacing w:after="120" w:line="240" w:lineRule="auto"/>
      <w:ind w:left="420" w:leftChars="200" w:firstLine="420" w:firstLineChars="200"/>
      <w:jc w:val="left"/>
      <w:textAlignment w:val="baseline"/>
    </w:pPr>
    <w:rPr>
      <w:rFonts w:ascii="宋体" w:hAnsi="宋体"/>
      <w:kern w:val="2"/>
      <w:sz w:val="28"/>
      <w:szCs w:val="20"/>
      <w:lang w:bidi="ar-SA"/>
    </w:rPr>
  </w:style>
  <w:style w:type="paragraph" w:customStyle="1" w:styleId="69">
    <w:name w:val="BodyTextIndent"/>
    <w:basedOn w:val="1"/>
    <w:uiPriority w:val="0"/>
    <w:pPr>
      <w:spacing w:line="400" w:lineRule="atLeast"/>
      <w:ind w:left="210" w:firstLine="210"/>
      <w:jc w:val="both"/>
      <w:textAlignment w:val="baseline"/>
    </w:pPr>
    <w:rPr>
      <w:rFonts w:ascii="宋体" w:hAnsi="宋体"/>
      <w:kern w:val="2"/>
      <w:sz w:val="21"/>
      <w:szCs w:val="20"/>
      <w:lang w:bidi="ar-SA"/>
    </w:rPr>
  </w:style>
  <w:style w:type="paragraph" w:customStyle="1" w:styleId="70">
    <w:name w:val="自定义正文"/>
    <w:basedOn w:val="1"/>
    <w:qFormat/>
    <w:uiPriority w:val="0"/>
    <w:pPr>
      <w:spacing w:before="120" w:after="60" w:line="400" w:lineRule="exact"/>
      <w:jc w:val="left"/>
    </w:pPr>
    <w:rPr>
      <w:rFonts w:ascii="仿宋_GB2312" w:eastAsia="仿宋_GB2312"/>
      <w:sz w:val="24"/>
    </w:rPr>
  </w:style>
  <w:style w:type="paragraph" w:customStyle="1" w:styleId="71">
    <w:name w:val="TOC 标题4"/>
    <w:next w:val="1"/>
    <w:qFormat/>
    <w:uiPriority w:val="0"/>
    <w:pPr>
      <w:wordWrap w:val="0"/>
    </w:pPr>
    <w:rPr>
      <w:rFonts w:ascii="宋体" w:hAnsi="宋体" w:cs="宋体"/>
      <w:sz w:val="32"/>
      <w:lang w:val="en-US" w:eastAsia="zh-CN" w:bidi="ar-SA"/>
    </w:rPr>
  </w:style>
  <w:style w:type="paragraph" w:customStyle="1" w:styleId="72">
    <w:name w:val="章正文"/>
    <w:basedOn w:val="1"/>
    <w:qFormat/>
    <w:uiPriority w:val="99"/>
    <w:pPr>
      <w:spacing w:beforeLines="50" w:after="120" w:line="300" w:lineRule="auto"/>
      <w:ind w:firstLine="480"/>
    </w:pPr>
    <w:rPr>
      <w:rFonts w:ascii="Helvetica" w:hAnsi="Helvetica"/>
      <w:kern w:val="0"/>
      <w:sz w:val="24"/>
    </w:rPr>
  </w:style>
  <w:style w:type="character" w:customStyle="1" w:styleId="73">
    <w:name w:val="large1"/>
    <w:uiPriority w:val="0"/>
    <w:rPr>
      <w:rFonts w:hint="eastAsia" w:ascii="宋体" w:hAnsi="宋体" w:eastAsia="宋体"/>
      <w:sz w:val="21"/>
      <w:szCs w:val="21"/>
    </w:rPr>
  </w:style>
  <w:style w:type="character" w:customStyle="1" w:styleId="74">
    <w:name w:val="标题 1 Char Char"/>
    <w:uiPriority w:val="0"/>
    <w:rPr>
      <w:rFonts w:eastAsia="宋体"/>
      <w:b/>
      <w:spacing w:val="-2"/>
      <w:sz w:val="24"/>
      <w:lang w:val="en-US" w:eastAsia="zh-CN" w:bidi="ar-SA"/>
    </w:rPr>
  </w:style>
  <w:style w:type="character" w:customStyle="1" w:styleId="75">
    <w:name w:val="font01"/>
    <w:uiPriority w:val="0"/>
    <w:rPr>
      <w:rFonts w:hint="eastAsia" w:ascii="宋体" w:hAnsi="宋体" w:eastAsia="宋体" w:cs="宋体"/>
      <w:color w:val="000000"/>
      <w:sz w:val="22"/>
      <w:szCs w:val="22"/>
      <w:u w:val="none"/>
    </w:rPr>
  </w:style>
  <w:style w:type="character" w:customStyle="1" w:styleId="76">
    <w:name w:val="正文首行缩进 2 Char1"/>
    <w:uiPriority w:val="0"/>
  </w:style>
  <w:style w:type="character" w:customStyle="1" w:styleId="77">
    <w:name w:val="font71"/>
    <w:uiPriority w:val="0"/>
    <w:rPr>
      <w:rFonts w:hint="default" w:ascii="Times New Roman" w:hAnsi="Times New Roman" w:cs="Times New Roman"/>
      <w:color w:val="000000"/>
      <w:sz w:val="22"/>
      <w:szCs w:val="22"/>
      <w:u w:val="none"/>
    </w:rPr>
  </w:style>
  <w:style w:type="character" w:customStyle="1" w:styleId="78">
    <w:name w:val="标题 Char1"/>
    <w:uiPriority w:val="10"/>
    <w:rPr>
      <w:rFonts w:ascii="Cambria" w:hAnsi="Cambria" w:cs="Times New Roman"/>
      <w:b/>
      <w:bCs/>
      <w:kern w:val="2"/>
      <w:sz w:val="32"/>
      <w:szCs w:val="32"/>
    </w:rPr>
  </w:style>
  <w:style w:type="character" w:customStyle="1" w:styleId="79">
    <w:name w:val="font61"/>
    <w:uiPriority w:val="0"/>
    <w:rPr>
      <w:rFonts w:hint="eastAsia" w:ascii="宋体" w:hAnsi="宋体" w:eastAsia="宋体" w:cs="宋体"/>
      <w:b/>
      <w:color w:val="000000"/>
      <w:sz w:val="22"/>
      <w:szCs w:val="22"/>
      <w:u w:val="none"/>
    </w:rPr>
  </w:style>
  <w:style w:type="character" w:customStyle="1" w:styleId="80">
    <w:name w:val="bulletintext1"/>
    <w:uiPriority w:val="0"/>
    <w:rPr>
      <w:color w:val="000000"/>
      <w:sz w:val="18"/>
      <w:szCs w:val="18"/>
    </w:rPr>
  </w:style>
  <w:style w:type="character" w:customStyle="1" w:styleId="81">
    <w:name w:val="font91"/>
    <w:uiPriority w:val="0"/>
    <w:rPr>
      <w:rFonts w:hint="eastAsia" w:ascii="宋体" w:hAnsi="宋体" w:eastAsia="宋体" w:cs="宋体"/>
      <w:color w:val="000000"/>
      <w:sz w:val="22"/>
      <w:szCs w:val="22"/>
      <w:u w:val="none"/>
    </w:rPr>
  </w:style>
  <w:style w:type="character" w:customStyle="1" w:styleId="82">
    <w:name w:val="apple-converted-space"/>
    <w:uiPriority w:val="0"/>
  </w:style>
  <w:style w:type="character" w:customStyle="1" w:styleId="83">
    <w:name w:val="font41"/>
    <w:uiPriority w:val="0"/>
    <w:rPr>
      <w:rFonts w:hint="eastAsia" w:ascii="宋体" w:hAnsi="宋体" w:eastAsia="宋体" w:cs="宋体"/>
      <w:color w:val="000000"/>
      <w:sz w:val="22"/>
      <w:szCs w:val="22"/>
      <w:u w:val="none"/>
    </w:rPr>
  </w:style>
  <w:style w:type="character" w:customStyle="1" w:styleId="84">
    <w:name w:val="font81"/>
    <w:uiPriority w:val="0"/>
    <w:rPr>
      <w:rFonts w:hint="default" w:ascii="Times New Roman" w:hAnsi="Times New Roman" w:cs="Times New Roman"/>
      <w:color w:val="000000"/>
      <w:sz w:val="22"/>
      <w:szCs w:val="22"/>
      <w:u w:val="none"/>
    </w:rPr>
  </w:style>
  <w:style w:type="character" w:customStyle="1" w:styleId="85">
    <w:name w:val="font21"/>
    <w:uiPriority w:val="0"/>
    <w:rPr>
      <w:rFonts w:hint="eastAsia" w:ascii="宋体" w:hAnsi="宋体" w:eastAsia="宋体" w:cs="宋体"/>
      <w:color w:val="000000"/>
      <w:sz w:val="22"/>
      <w:szCs w:val="22"/>
      <w:u w:val="none"/>
    </w:rPr>
  </w:style>
  <w:style w:type="character" w:customStyle="1" w:styleId="86">
    <w:name w:val="font31"/>
    <w:uiPriority w:val="0"/>
    <w:rPr>
      <w:rFonts w:hint="eastAsia" w:ascii="宋体" w:hAnsi="宋体" w:eastAsia="宋体" w:cs="宋体"/>
      <w:color w:val="000000"/>
      <w:sz w:val="22"/>
      <w:szCs w:val="22"/>
      <w:u w:val="none"/>
    </w:rPr>
  </w:style>
  <w:style w:type="character" w:customStyle="1" w:styleId="87">
    <w:name w:val="无间隔 Char"/>
    <w:link w:val="88"/>
    <w:uiPriority w:val="0"/>
    <w:rPr>
      <w:rFonts w:ascii="Calibri" w:hAnsi="Calibri"/>
      <w:sz w:val="22"/>
      <w:szCs w:val="22"/>
      <w:lang w:val="en-US" w:eastAsia="zh-CN" w:bidi="ar-SA"/>
    </w:rPr>
  </w:style>
  <w:style w:type="paragraph" w:styleId="88">
    <w:name w:val="No Spacing"/>
    <w:link w:val="87"/>
    <w:qFormat/>
    <w:uiPriority w:val="0"/>
    <w:rPr>
      <w:rFonts w:ascii="Calibri" w:hAnsi="Calibri"/>
      <w:sz w:val="22"/>
      <w:szCs w:val="22"/>
      <w:lang w:val="en-US" w:eastAsia="zh-CN" w:bidi="ar-SA"/>
    </w:rPr>
  </w:style>
  <w:style w:type="character" w:customStyle="1" w:styleId="89">
    <w:name w:val="font11"/>
    <w:uiPriority w:val="0"/>
    <w:rPr>
      <w:rFonts w:hint="eastAsia" w:ascii="宋体" w:hAnsi="宋体" w:eastAsia="宋体" w:cs="宋体"/>
      <w:color w:val="FF0000"/>
      <w:sz w:val="22"/>
      <w:szCs w:val="22"/>
      <w:u w:val="none"/>
    </w:rPr>
  </w:style>
  <w:style w:type="paragraph" w:customStyle="1" w:styleId="90">
    <w:name w:val="Normal Indent1"/>
    <w:basedOn w:val="1"/>
    <w:qFormat/>
    <w:uiPriority w:val="0"/>
    <w:pPr>
      <w:ind w:firstLine="420" w:firstLineChars="200"/>
    </w:pPr>
  </w:style>
  <w:style w:type="paragraph" w:customStyle="1" w:styleId="91">
    <w:name w:val="正文 A"/>
    <w:next w:val="2"/>
    <w:qFormat/>
    <w:uiPriority w:val="0"/>
    <w:pPr>
      <w:widowControl w:val="0"/>
    </w:pPr>
    <w:rPr>
      <w:rFonts w:ascii="宋体" w:hAnsi="宋体" w:cs="宋体"/>
      <w:color w:val="000000"/>
      <w:sz w:val="34"/>
      <w:szCs w:val="34"/>
      <w:lang w:val="en-US" w:eastAsia="zh-CN" w:bidi="ar-SA"/>
    </w:rPr>
  </w:style>
  <w:style w:type="paragraph" w:customStyle="1" w:styleId="92">
    <w:name w:val="正文_17"/>
    <w:qFormat/>
    <w:uiPriority w:val="0"/>
    <w:pPr>
      <w:widowControl w:val="0"/>
      <w:jc w:val="both"/>
    </w:pPr>
    <w:rPr>
      <w:kern w:val="2"/>
      <w:sz w:val="21"/>
      <w:szCs w:val="24"/>
      <w:lang w:val="en-US" w:eastAsia="zh-CN" w:bidi="ar-SA"/>
    </w:rPr>
  </w:style>
  <w:style w:type="paragraph" w:customStyle="1" w:styleId="93">
    <w:name w:val="列出段落1"/>
    <w:basedOn w:val="1"/>
    <w:qFormat/>
    <w:uiPriority w:val="34"/>
    <w:pPr>
      <w:ind w:firstLine="420" w:firstLineChars="200"/>
    </w:pPr>
    <w:rPr>
      <w:rFonts w:ascii="Calibri" w:hAnsi="Calibri" w:eastAsia="宋体" w:cs="Times New Roman"/>
    </w:rPr>
  </w:style>
  <w:style w:type="paragraph" w:customStyle="1" w:styleId="94">
    <w:name w:val="正文1"/>
    <w:uiPriority w:val="0"/>
    <w:pPr>
      <w:widowControl w:val="0"/>
      <w:jc w:val="both"/>
    </w:pPr>
    <w:rPr>
      <w:rFonts w:hint="eastAsia"/>
      <w:kern w:val="2"/>
      <w:sz w:val="21"/>
      <w:lang w:val="en-US" w:eastAsia="zh-CN" w:bidi="ar-SA"/>
    </w:rPr>
  </w:style>
  <w:style w:type="paragraph" w:customStyle="1" w:styleId="95">
    <w:name w:val="Default"/>
    <w:qFormat/>
    <w:uiPriority w:val="0"/>
    <w:pPr>
      <w:widowControl w:val="0"/>
      <w:autoSpaceDE w:val="0"/>
      <w:autoSpaceDN w:val="0"/>
      <w:adjustRightInd w:val="0"/>
    </w:pPr>
    <w:rPr>
      <w:rFonts w:ascii="宋体...耂." w:eastAsia="宋体...耂." w:cs="宋体...耂."/>
      <w:color w:val="000000"/>
      <w:sz w:val="24"/>
      <w:szCs w:val="24"/>
      <w:lang w:val="en-US" w:eastAsia="zh-CN" w:bidi="ar-SA"/>
    </w:rPr>
  </w:style>
  <w:style w:type="paragraph" w:customStyle="1" w:styleId="96">
    <w:name w:val="标书正文格式"/>
    <w:qFormat/>
    <w:uiPriority w:val="0"/>
    <w:pPr>
      <w:ind w:firstLine="200" w:firstLineChars="200"/>
    </w:pPr>
    <w:rPr>
      <w:rFonts w:ascii="Calibri" w:hAnsi="Calibri"/>
      <w:kern w:val="2"/>
      <w:sz w:val="24"/>
      <w:szCs w:val="24"/>
      <w:lang w:val="en-US" w:eastAsia="zh-CN" w:bidi="ar-SA"/>
    </w:rPr>
  </w:style>
  <w:style w:type="paragraph" w:customStyle="1" w:styleId="97">
    <w:name w:val="样式6"/>
    <w:basedOn w:val="1"/>
    <w:uiPriority w:val="0"/>
    <w:pPr>
      <w:spacing w:line="360" w:lineRule="auto"/>
      <w:ind w:firstLine="200" w:firstLineChars="200"/>
      <w:jc w:val="left"/>
    </w:pPr>
    <w:rPr>
      <w:sz w:val="24"/>
    </w:rPr>
  </w:style>
  <w:style w:type="paragraph" w:customStyle="1" w:styleId="98">
    <w:name w:val=" Char2"/>
    <w:basedOn w:val="1"/>
    <w:uiPriority w:val="0"/>
  </w:style>
  <w:style w:type="paragraph" w:customStyle="1" w:styleId="99">
    <w:name w:val="纯文本1"/>
    <w:basedOn w:val="100"/>
    <w:uiPriority w:val="0"/>
    <w:pPr>
      <w:widowControl/>
      <w:jc w:val="left"/>
    </w:pPr>
    <w:rPr>
      <w:rFonts w:ascii="宋体" w:hAnsi="Courier New"/>
    </w:rPr>
  </w:style>
  <w:style w:type="paragraph" w:customStyle="1" w:styleId="100">
    <w:name w:val="正文2"/>
    <w:qFormat/>
    <w:uiPriority w:val="0"/>
    <w:pPr>
      <w:widowControl w:val="0"/>
      <w:jc w:val="both"/>
    </w:pPr>
    <w:rPr>
      <w:rFonts w:hint="eastAsia"/>
      <w:kern w:val="2"/>
      <w:sz w:val="21"/>
      <w:lang w:val="en-US" w:eastAsia="zh-CN" w:bidi="ar-SA"/>
    </w:rPr>
  </w:style>
  <w:style w:type="paragraph" w:customStyle="1" w:styleId="101">
    <w:name w:val="Char1"/>
    <w:basedOn w:val="1"/>
    <w:uiPriority w:val="0"/>
    <w:rPr>
      <w:rFonts w:ascii="仿宋_GB2312" w:eastAsia="仿宋_GB2312"/>
      <w:b/>
      <w:sz w:val="32"/>
      <w:szCs w:val="32"/>
    </w:rPr>
  </w:style>
  <w:style w:type="paragraph" w:customStyle="1" w:styleId="102">
    <w:name w:val="ss6"/>
    <w:basedOn w:val="1"/>
    <w:uiPriority w:val="0"/>
    <w:pPr>
      <w:widowControl/>
      <w:spacing w:before="100" w:beforeLines="0" w:beforeAutospacing="1" w:after="100" w:afterLines="0" w:afterAutospacing="1" w:line="330" w:lineRule="atLeast"/>
      <w:jc w:val="left"/>
    </w:pPr>
    <w:rPr>
      <w:rFonts w:hint="eastAsia" w:ascii="宋体" w:hAnsi="宋体"/>
      <w:color w:val="0072BB"/>
      <w:kern w:val="0"/>
      <w:sz w:val="18"/>
      <w:szCs w:val="18"/>
    </w:rPr>
  </w:style>
  <w:style w:type="paragraph" w:customStyle="1" w:styleId="103">
    <w:name w:val="1"/>
    <w:basedOn w:val="1"/>
    <w:next w:val="34"/>
    <w:qFormat/>
    <w:uiPriority w:val="0"/>
    <w:pPr>
      <w:widowControl/>
      <w:snapToGrid w:val="0"/>
      <w:spacing w:line="440" w:lineRule="atLeast"/>
      <w:ind w:firstLine="480"/>
    </w:pPr>
    <w:rPr>
      <w:kern w:val="0"/>
      <w:sz w:val="24"/>
      <w:szCs w:val="20"/>
    </w:rPr>
  </w:style>
  <w:style w:type="paragraph" w:customStyle="1" w:styleId="104">
    <w:name w:val=" Char"/>
    <w:basedOn w:val="1"/>
    <w:uiPriority w:val="0"/>
    <w:pPr>
      <w:adjustRightInd w:val="0"/>
      <w:spacing w:line="360" w:lineRule="auto"/>
    </w:pPr>
    <w:rPr>
      <w:kern w:val="0"/>
      <w:sz w:val="24"/>
      <w:szCs w:val="20"/>
    </w:rPr>
  </w:style>
  <w:style w:type="paragraph" w:customStyle="1" w:styleId="105">
    <w:name w:val="Table Paragraph"/>
    <w:basedOn w:val="1"/>
    <w:qFormat/>
    <w:uiPriority w:val="1"/>
  </w:style>
  <w:style w:type="paragraph" w:customStyle="1" w:styleId="106">
    <w:name w:val="正文_6"/>
    <w:qFormat/>
    <w:uiPriority w:val="0"/>
    <w:pPr>
      <w:widowControl w:val="0"/>
      <w:jc w:val="both"/>
    </w:pPr>
    <w:rPr>
      <w:kern w:val="2"/>
      <w:sz w:val="21"/>
      <w:szCs w:val="24"/>
      <w:lang w:val="en-US" w:eastAsia="zh-CN" w:bidi="ar-SA"/>
    </w:rPr>
  </w:style>
  <w:style w:type="paragraph" w:customStyle="1" w:styleId="107">
    <w:name w:val="默认段落字体 Para Char Char Char Char Char Char Char Char Char1 Char Char Char Char"/>
    <w:basedOn w:val="1"/>
    <w:uiPriority w:val="0"/>
    <w:rPr>
      <w:rFonts w:ascii="Tahoma" w:hAnsi="Tahoma"/>
      <w:sz w:val="24"/>
      <w:szCs w:val="20"/>
    </w:rPr>
  </w:style>
  <w:style w:type="paragraph" w:customStyle="1" w:styleId="108">
    <w:name w:val="Heading 2"/>
    <w:basedOn w:val="1"/>
    <w:qFormat/>
    <w:uiPriority w:val="1"/>
    <w:pPr>
      <w:ind w:left="154"/>
      <w:outlineLvl w:val="2"/>
    </w:pPr>
    <w:rPr>
      <w:rFonts w:ascii="宋体" w:hAnsi="宋体" w:eastAsia="宋体"/>
      <w:b/>
      <w:bCs/>
      <w:sz w:val="20"/>
      <w:szCs w:val="20"/>
    </w:rPr>
  </w:style>
  <w:style w:type="paragraph" w:customStyle="1" w:styleId="109">
    <w:name w:val="舟式样--正文"/>
    <w:basedOn w:val="1"/>
    <w:qFormat/>
    <w:uiPriority w:val="0"/>
    <w:pPr>
      <w:spacing w:line="360" w:lineRule="auto"/>
      <w:ind w:firstLine="200" w:firstLineChars="200"/>
    </w:pPr>
    <w:rPr>
      <w:rFonts w:ascii="仿宋_GB2312" w:hAnsi="Calibri" w:eastAsia="仿宋_GB2312" w:cs="Times New Roman"/>
      <w:sz w:val="28"/>
      <w:szCs w:val="24"/>
    </w:rPr>
  </w:style>
  <w:style w:type="paragraph" w:customStyle="1" w:styleId="110">
    <w:name w:val="正文 New New New New"/>
    <w:qFormat/>
    <w:uiPriority w:val="0"/>
    <w:pPr>
      <w:widowControl w:val="0"/>
      <w:jc w:val="both"/>
    </w:pPr>
    <w:rPr>
      <w:szCs w:val="24"/>
      <w:lang w:val="en-US" w:eastAsia="zh-CN" w:bidi="ar-SA"/>
    </w:rPr>
  </w:style>
  <w:style w:type="paragraph" w:customStyle="1" w:styleId="111">
    <w:name w:val=" Char1"/>
    <w:basedOn w:val="1"/>
    <w:uiPriority w:val="0"/>
    <w:rPr>
      <w:rFonts w:ascii="仿宋_GB2312" w:eastAsia="仿宋_GB2312"/>
      <w:b/>
      <w:sz w:val="32"/>
      <w:szCs w:val="32"/>
    </w:rPr>
  </w:style>
  <w:style w:type="paragraph" w:styleId="112">
    <w:name w:val="List Paragraph"/>
    <w:basedOn w:val="1"/>
    <w:qFormat/>
    <w:uiPriority w:val="1"/>
    <w:pPr>
      <w:ind w:left="338" w:firstLine="480"/>
    </w:pPr>
    <w:rPr>
      <w:rFonts w:ascii="宋体" w:hAnsi="宋体" w:eastAsia="宋体" w:cs="宋体"/>
      <w:lang w:val="zh-CN" w:eastAsia="zh-CN" w:bidi="zh-CN"/>
    </w:rPr>
  </w:style>
  <w:style w:type="paragraph" w:styleId="113">
    <w:name w:val=""/>
    <w:unhideWhenUsed/>
    <w:uiPriority w:val="99"/>
    <w:rPr>
      <w:kern w:val="2"/>
      <w:sz w:val="21"/>
      <w:szCs w:val="24"/>
      <w:lang w:val="en-US" w:eastAsia="zh-CN" w:bidi="ar-SA"/>
    </w:rPr>
  </w:style>
  <w:style w:type="paragraph" w:customStyle="1" w:styleId="114">
    <w:name w:val=" Char2 Char Char Char"/>
    <w:basedOn w:val="1"/>
    <w:uiPriority w:val="0"/>
    <w:rPr>
      <w:rFonts w:ascii="Tahoma" w:hAnsi="Tahoma"/>
      <w:sz w:val="24"/>
      <w:szCs w:val="20"/>
    </w:rPr>
  </w:style>
  <w:style w:type="paragraph" w:customStyle="1" w:styleId="11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6">
    <w:name w:val="[Normal]"/>
    <w:qFormat/>
    <w:uiPriority w:val="0"/>
    <w:rPr>
      <w:rFonts w:ascii="宋体" w:hAnsi="宋体"/>
      <w:sz w:val="24"/>
      <w:szCs w:val="22"/>
      <w:lang w:val="zh-CN" w:eastAsia="zh-CN" w:bidi="ar-SA"/>
    </w:rPr>
  </w:style>
  <w:style w:type="character" w:customStyle="1" w:styleId="117">
    <w:name w:val="font51"/>
    <w:qFormat/>
    <w:uiPriority w:val="0"/>
    <w:rPr>
      <w:rFonts w:hint="default" w:ascii="Times New Roman" w:hAnsi="Times New Roman" w:cs="Times New Roman"/>
      <w:color w:val="000000"/>
      <w:sz w:val="24"/>
      <w:szCs w:val="24"/>
      <w:u w:val="none"/>
    </w:rPr>
  </w:style>
  <w:style w:type="character" w:customStyle="1" w:styleId="118">
    <w:name w:val="NormalCharacter"/>
    <w:link w:val="119"/>
    <w:qFormat/>
    <w:uiPriority w:val="0"/>
    <w:rPr>
      <w:rFonts w:ascii="宋体" w:hAnsi="宋体"/>
      <w:sz w:val="24"/>
    </w:rPr>
  </w:style>
  <w:style w:type="paragraph" w:customStyle="1" w:styleId="119">
    <w:name w:val="UserStyle_1"/>
    <w:basedOn w:val="1"/>
    <w:link w:val="118"/>
    <w:qFormat/>
    <w:uiPriority w:val="0"/>
    <w:pPr>
      <w:tabs>
        <w:tab w:val="left" w:pos="360"/>
      </w:tabs>
      <w:spacing w:line="360" w:lineRule="auto"/>
      <w:textAlignment w:val="baseline"/>
    </w:pPr>
    <w:rPr>
      <w:rFonts w:ascii="宋体" w:hAnsi="宋体"/>
      <w:sz w:val="24"/>
    </w:rPr>
  </w:style>
  <w:style w:type="paragraph" w:customStyle="1" w:styleId="120">
    <w:name w:val="招标文件格式1"/>
    <w:basedOn w:val="1"/>
    <w:qFormat/>
    <w:uiPriority w:val="0"/>
    <w:pPr>
      <w:numPr>
        <w:ilvl w:val="0"/>
        <w:numId w:val="2"/>
      </w:numPr>
      <w:outlineLvl w:val="1"/>
    </w:pPr>
    <w:rPr>
      <w:sz w:val="24"/>
    </w:rPr>
  </w:style>
  <w:style w:type="table" w:customStyle="1" w:styleId="121">
    <w:name w:val="Table Normal"/>
    <w:unhideWhenUsed/>
    <w:qFormat/>
    <w:uiPriority w:val="0"/>
    <w:rPr>
      <w:lang w:val="en-US" w:eastAsia="zh-CN" w:bidi="ar-SA"/>
    </w:rPr>
    <w:tblPr>
      <w:tblStyle w:val="40"/>
      <w:tblCellMar>
        <w:top w:w="0" w:type="dxa"/>
        <w:left w:w="0" w:type="dxa"/>
        <w:bottom w:w="0" w:type="dxa"/>
        <w:right w:w="0" w:type="dxa"/>
      </w:tblCellMar>
    </w:tblPr>
  </w:style>
  <w:style w:type="paragraph" w:customStyle="1" w:styleId="122">
    <w:name w:val="text-tag"/>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3">
    <w:name w:val="正文格式"/>
    <w:basedOn w:val="1"/>
    <w:qFormat/>
    <w:uiPriority w:val="99"/>
    <w:pPr>
      <w:widowControl/>
      <w:adjustRightInd w:val="0"/>
      <w:snapToGrid w:val="0"/>
      <w:spacing w:line="400" w:lineRule="atLeast"/>
      <w:ind w:firstLine="482"/>
      <w:textAlignment w:val="baseline"/>
    </w:pPr>
    <w:rPr>
      <w:kern w:val="0"/>
      <w:sz w:val="24"/>
    </w:rPr>
  </w:style>
  <w:style w:type="paragraph" w:customStyle="1" w:styleId="124">
    <w:name w:val="WPSOffice手动目录 1"/>
    <w:uiPriority w:val="0"/>
    <w:rPr>
      <w:lang w:val="en-US" w:eastAsia="zh-CN" w:bidi="ar-SA"/>
    </w:rPr>
  </w:style>
  <w:style w:type="paragraph" w:customStyle="1" w:styleId="125">
    <w:name w:val="表格文字"/>
    <w:basedOn w:val="1"/>
    <w:next w:val="19"/>
    <w:qFormat/>
    <w:uiPriority w:val="0"/>
    <w:pPr>
      <w:adjustRightInd w:val="0"/>
      <w:spacing w:line="420" w:lineRule="atLeast"/>
      <w:textAlignment w:val="baseline"/>
    </w:pPr>
  </w:style>
  <w:style w:type="paragraph" w:customStyle="1" w:styleId="126">
    <w:name w:val="0Y--正文"/>
    <w:basedOn w:val="1"/>
    <w:qFormat/>
    <w:uiPriority w:val="0"/>
    <w:pPr>
      <w:spacing w:line="560" w:lineRule="exact"/>
      <w:ind w:firstLine="200" w:firstLineChars="200"/>
    </w:pPr>
    <w:rPr>
      <w:rFonts w:eastAsia="仿宋" w:cs="Times New Roman"/>
      <w:color w:val="000000"/>
      <w:sz w:val="28"/>
      <w:szCs w:val="22"/>
    </w:rPr>
  </w:style>
  <w:style w:type="paragraph" w:customStyle="1" w:styleId="127">
    <w:name w:val="！正文！"/>
    <w:basedOn w:val="1"/>
    <w:link w:val="128"/>
    <w:qFormat/>
    <w:uiPriority w:val="0"/>
    <w:pPr>
      <w:widowControl/>
      <w:adjustRightInd w:val="0"/>
      <w:snapToGrid w:val="0"/>
      <w:spacing w:line="360" w:lineRule="auto"/>
      <w:ind w:firstLine="200" w:firstLineChars="200"/>
    </w:pPr>
    <w:rPr>
      <w:sz w:val="24"/>
      <w:szCs w:val="20"/>
    </w:rPr>
  </w:style>
  <w:style w:type="character" w:customStyle="1" w:styleId="128">
    <w:name w:val="！正文！ Char"/>
    <w:link w:val="127"/>
    <w:qFormat/>
    <w:uiPriority w:val="0"/>
    <w:rPr>
      <w:kern w:val="2"/>
      <w:sz w:val="24"/>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theme/theme1.xml" Type="http://schemas.openxmlformats.org/officeDocument/2006/relationships/theme"/><Relationship Id="rId12" Target="../customXml/item1.xml" Type="http://schemas.openxmlformats.org/officeDocument/2006/relationships/customXml"/><Relationship Id="rId13" Target="numbering.xml" Type="http://schemas.openxmlformats.org/officeDocument/2006/relationships/numbering"/><Relationship Id="rId14"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header3.xml" Type="http://schemas.openxmlformats.org/officeDocument/2006/relationships/header"/><Relationship Id="rId6" Target="header4.xml" Type="http://schemas.openxmlformats.org/officeDocument/2006/relationships/header"/><Relationship Id="rId7" Target="footer1.xml" Type="http://schemas.openxmlformats.org/officeDocument/2006/relationships/footer"/><Relationship Id="rId8" Target="footer2.xml" Type="http://schemas.openxmlformats.org/officeDocument/2006/relationships/footer"/><Relationship Id="rId9" Target="footer3.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4"/>
    <customShpInfo spid="_x0000_s2053"/>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99</Pages>
  <Words>59146</Words>
  <Characters>62194</Characters>
  <Lines>492</Lines>
  <Paragraphs>138</Paragraphs>
  <TotalTime>0</TotalTime>
  <ScaleCrop>false</ScaleCrop>
  <LinksUpToDate>false</LinksUpToDate>
  <CharactersWithSpaces>67183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2022-12-19T09:13:00Z</dcterms:created>
  <dc:creator>pc</dc:creator>
  <cp:lastModifiedBy>WPS_1701756769</cp:lastModifiedBy>
  <cp:lastPrinted>2022-12-15T07:54:00Z</cp:lastPrinted>
  <dcterms:modified xsi:type="dcterms:W3CDTF">2024-02-26T00:59:23Z</dcterms:modified>
  <cp:revision>74</cp:revision>
  <dc:title>政府采购招标文件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82BF8F2BE0054A8E9B0C7E82B8E1139C_13</vt:lpwstr>
  </property>
  <property fmtid="{D5CDD505-2E9C-101B-9397-08002B2CF9AE}" pid="4" name="commondata">
    <vt:lpwstr>eyJoZGlkIjoiN2MxOGIzNTQzODE4NWMyMjc4NGI5YTMxZjk3YTEzOTIifQ==</vt:lpwstr>
  </property>
</Properties>
</file>