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eastAsia="宋体" w:cs="宋体"/>
          <w:b/>
          <w:color w:val="auto"/>
          <w:sz w:val="84"/>
          <w:szCs w:val="84"/>
          <w:highlight w:val="none"/>
        </w:rPr>
      </w:pPr>
    </w:p>
    <w:p>
      <w:pPr>
        <w:spacing w:line="360" w:lineRule="auto"/>
        <w:jc w:val="center"/>
        <w:rPr>
          <w:rFonts w:hint="eastAsia" w:ascii="宋体" w:hAnsi="宋体" w:eastAsia="宋体" w:cs="宋体"/>
          <w:b/>
          <w:color w:val="auto"/>
          <w:sz w:val="84"/>
          <w:szCs w:val="84"/>
          <w:highlight w:val="none"/>
        </w:rPr>
      </w:pPr>
      <w:bookmarkStart w:id="14" w:name="_GoBack"/>
    </w:p>
    <w:p>
      <w:pPr>
        <w:spacing w:line="360" w:lineRule="auto"/>
        <w:jc w:val="center"/>
        <w:rPr>
          <w:rFonts w:hint="eastAsia" w:ascii="宋体" w:hAnsi="宋体" w:eastAsia="宋体" w:cs="宋体"/>
          <w:b/>
          <w:color w:val="auto"/>
          <w:spacing w:val="26"/>
          <w:sz w:val="84"/>
          <w:szCs w:val="84"/>
          <w:highlight w:val="none"/>
        </w:rPr>
      </w:pPr>
      <w:r>
        <w:rPr>
          <w:rFonts w:hint="eastAsia" w:ascii="宋体" w:hAnsi="宋体" w:eastAsia="宋体" w:cs="宋体"/>
          <w:b/>
          <w:color w:val="auto"/>
          <w:sz w:val="84"/>
          <w:szCs w:val="84"/>
          <w:highlight w:val="none"/>
        </w:rPr>
        <w:t>温州市政府(分散)采购</w:t>
      </w:r>
    </w:p>
    <w:p>
      <w:pPr>
        <w:spacing w:line="400" w:lineRule="exact"/>
        <w:ind w:firstLine="1885" w:firstLineChars="235"/>
        <w:rPr>
          <w:rFonts w:hint="eastAsia" w:ascii="宋体" w:hAnsi="宋体" w:eastAsia="宋体" w:cs="宋体"/>
          <w:b/>
          <w:color w:val="auto"/>
          <w:spacing w:val="140"/>
          <w:sz w:val="52"/>
          <w:szCs w:val="52"/>
          <w:highlight w:val="none"/>
        </w:rPr>
      </w:pPr>
    </w:p>
    <w:p>
      <w:pPr>
        <w:spacing w:line="400" w:lineRule="exact"/>
        <w:ind w:firstLine="1885" w:firstLineChars="235"/>
        <w:rPr>
          <w:rFonts w:hint="eastAsia" w:ascii="宋体" w:hAnsi="宋体" w:eastAsia="宋体" w:cs="宋体"/>
          <w:b/>
          <w:color w:val="auto"/>
          <w:spacing w:val="140"/>
          <w:sz w:val="52"/>
          <w:szCs w:val="52"/>
          <w:highlight w:val="none"/>
        </w:rPr>
      </w:pPr>
    </w:p>
    <w:p>
      <w:pPr>
        <w:spacing w:line="400" w:lineRule="exact"/>
        <w:ind w:firstLine="1885" w:firstLineChars="235"/>
        <w:rPr>
          <w:rFonts w:hint="eastAsia" w:ascii="宋体" w:hAnsi="宋体" w:eastAsia="宋体" w:cs="宋体"/>
          <w:b/>
          <w:color w:val="auto"/>
          <w:spacing w:val="140"/>
          <w:sz w:val="52"/>
          <w:szCs w:val="52"/>
          <w:highlight w:val="none"/>
        </w:rPr>
      </w:pPr>
    </w:p>
    <w:p>
      <w:pPr>
        <w:spacing w:line="400" w:lineRule="exact"/>
        <w:ind w:firstLine="1885" w:firstLineChars="235"/>
        <w:rPr>
          <w:rFonts w:hint="eastAsia" w:ascii="宋体" w:hAnsi="宋体" w:eastAsia="宋体" w:cs="宋体"/>
          <w:b/>
          <w:color w:val="auto"/>
          <w:spacing w:val="140"/>
          <w:sz w:val="52"/>
          <w:szCs w:val="52"/>
          <w:highlight w:val="none"/>
        </w:rPr>
      </w:pPr>
    </w:p>
    <w:p>
      <w:pPr>
        <w:spacing w:line="360" w:lineRule="auto"/>
        <w:jc w:val="center"/>
        <w:rPr>
          <w:rFonts w:hint="eastAsia" w:ascii="宋体" w:hAnsi="宋体" w:eastAsia="宋体" w:cs="宋体"/>
          <w:b/>
          <w:color w:val="auto"/>
          <w:spacing w:val="140"/>
          <w:sz w:val="52"/>
          <w:szCs w:val="52"/>
          <w:highlight w:val="none"/>
        </w:rPr>
      </w:pPr>
      <w:r>
        <w:rPr>
          <w:rFonts w:hint="eastAsia" w:ascii="宋体" w:hAnsi="宋体" w:eastAsia="宋体" w:cs="宋体"/>
          <w:b/>
          <w:color w:val="auto"/>
          <w:spacing w:val="140"/>
          <w:sz w:val="52"/>
          <w:szCs w:val="52"/>
          <w:highlight w:val="none"/>
        </w:rPr>
        <w:t>招标文件</w:t>
      </w:r>
    </w:p>
    <w:p>
      <w:pPr>
        <w:widowControl/>
        <w:spacing w:line="360" w:lineRule="auto"/>
        <w:ind w:right="-2"/>
        <w:jc w:val="center"/>
        <w:rPr>
          <w:rFonts w:hint="eastAsia" w:ascii="宋体" w:hAnsi="宋体" w:eastAsia="宋体" w:cs="宋体"/>
          <w:b/>
          <w:color w:val="auto"/>
          <w:sz w:val="36"/>
          <w:highlight w:val="none"/>
        </w:rPr>
      </w:pPr>
      <w:r>
        <w:rPr>
          <w:rFonts w:hint="eastAsia" w:ascii="宋体" w:hAnsi="宋体" w:eastAsia="宋体" w:cs="宋体"/>
          <w:b/>
          <w:color w:val="auto"/>
          <w:sz w:val="36"/>
          <w:highlight w:val="none"/>
        </w:rPr>
        <w:t>（线上电子招投标）</w:t>
      </w:r>
    </w:p>
    <w:p>
      <w:pPr>
        <w:spacing w:line="400" w:lineRule="exact"/>
        <w:rPr>
          <w:rFonts w:hint="eastAsia" w:ascii="宋体" w:hAnsi="宋体" w:eastAsia="宋体" w:cs="宋体"/>
          <w:b/>
          <w:color w:val="auto"/>
          <w:sz w:val="24"/>
          <w:highlight w:val="none"/>
        </w:rPr>
      </w:pPr>
    </w:p>
    <w:p>
      <w:pPr>
        <w:spacing w:line="400" w:lineRule="exact"/>
        <w:rPr>
          <w:rFonts w:hint="eastAsia" w:ascii="宋体" w:hAnsi="宋体" w:eastAsia="宋体" w:cs="宋体"/>
          <w:b/>
          <w:color w:val="auto"/>
          <w:sz w:val="24"/>
          <w:highlight w:val="none"/>
        </w:rPr>
      </w:pPr>
    </w:p>
    <w:p>
      <w:pPr>
        <w:spacing w:line="400" w:lineRule="exact"/>
        <w:rPr>
          <w:rFonts w:hint="eastAsia" w:ascii="宋体" w:hAnsi="宋体" w:eastAsia="宋体" w:cs="宋体"/>
          <w:b/>
          <w:color w:val="auto"/>
          <w:sz w:val="24"/>
          <w:highlight w:val="none"/>
        </w:rPr>
      </w:pPr>
    </w:p>
    <w:p>
      <w:pPr>
        <w:spacing w:line="400" w:lineRule="exact"/>
        <w:rPr>
          <w:rFonts w:hint="eastAsia" w:ascii="宋体" w:hAnsi="宋体" w:eastAsia="宋体" w:cs="宋体"/>
          <w:b/>
          <w:color w:val="auto"/>
          <w:sz w:val="24"/>
          <w:highlight w:val="none"/>
        </w:rPr>
      </w:pPr>
    </w:p>
    <w:p>
      <w:pPr>
        <w:spacing w:line="400" w:lineRule="exact"/>
        <w:ind w:firstLine="1140" w:firstLineChars="300"/>
        <w:rPr>
          <w:rFonts w:hint="eastAsia" w:ascii="宋体" w:hAnsi="宋体" w:eastAsia="宋体" w:cs="宋体"/>
          <w:color w:val="auto"/>
          <w:spacing w:val="40"/>
          <w:sz w:val="30"/>
          <w:highlight w:val="none"/>
        </w:rPr>
      </w:pPr>
    </w:p>
    <w:p>
      <w:pPr>
        <w:spacing w:line="360" w:lineRule="auto"/>
        <w:ind w:firstLine="900" w:firstLineChars="300"/>
        <w:rPr>
          <w:rFonts w:hint="eastAsia" w:ascii="宋体" w:hAnsi="宋体" w:eastAsia="宋体" w:cs="宋体"/>
          <w:color w:val="auto"/>
          <w:sz w:val="30"/>
          <w:highlight w:val="none"/>
          <w:lang w:eastAsia="zh-CN"/>
        </w:rPr>
      </w:pPr>
      <w:r>
        <w:rPr>
          <w:rFonts w:hint="eastAsia" w:ascii="宋体" w:hAnsi="宋体" w:eastAsia="宋体" w:cs="宋体"/>
          <w:color w:val="auto"/>
          <w:sz w:val="30"/>
          <w:highlight w:val="none"/>
        </w:rPr>
        <w:t>项目编号：</w:t>
      </w:r>
      <w:r>
        <w:rPr>
          <w:rFonts w:hint="eastAsia" w:ascii="宋体" w:hAnsi="宋体" w:cs="宋体"/>
          <w:color w:val="auto"/>
          <w:sz w:val="30"/>
          <w:highlight w:val="none"/>
          <w:lang w:eastAsia="zh-CN"/>
        </w:rPr>
        <w:t>23-EC-DL029</w:t>
      </w:r>
    </w:p>
    <w:p>
      <w:pPr>
        <w:spacing w:line="360" w:lineRule="auto"/>
        <w:ind w:firstLine="900" w:firstLineChars="300"/>
        <w:rPr>
          <w:rFonts w:hint="eastAsia" w:ascii="宋体" w:hAnsi="宋体" w:eastAsia="宋体" w:cs="宋体"/>
          <w:color w:val="auto"/>
          <w:sz w:val="30"/>
          <w:highlight w:val="none"/>
          <w:lang w:eastAsia="zh-CN"/>
        </w:rPr>
      </w:pPr>
      <w:r>
        <w:rPr>
          <w:rFonts w:hint="eastAsia" w:ascii="宋体" w:hAnsi="宋体" w:eastAsia="宋体" w:cs="宋体"/>
          <w:color w:val="auto"/>
          <w:sz w:val="30"/>
          <w:highlight w:val="none"/>
        </w:rPr>
        <w:t>项目名称：</w:t>
      </w:r>
      <w:r>
        <w:rPr>
          <w:rFonts w:hint="eastAsia" w:ascii="宋体" w:hAnsi="宋体" w:cs="宋体"/>
          <w:color w:val="auto"/>
          <w:sz w:val="30"/>
          <w:highlight w:val="none"/>
          <w:lang w:eastAsia="zh-CN"/>
        </w:rPr>
        <w:t>2023年灵昆街道道路及河道保洁项目</w:t>
      </w:r>
    </w:p>
    <w:p>
      <w:pPr>
        <w:pStyle w:val="24"/>
        <w:spacing w:before="0" w:beforeAutospacing="0" w:after="0" w:afterAutospacing="0" w:line="360" w:lineRule="auto"/>
        <w:ind w:firstLine="900" w:firstLineChars="300"/>
        <w:jc w:val="both"/>
        <w:rPr>
          <w:rFonts w:hint="eastAsia" w:ascii="宋体" w:hAnsi="宋体" w:eastAsia="宋体" w:cs="宋体"/>
          <w:color w:val="auto"/>
          <w:sz w:val="22"/>
          <w:highlight w:val="none"/>
        </w:rPr>
      </w:pPr>
      <w:r>
        <w:rPr>
          <w:rFonts w:hint="eastAsia" w:ascii="宋体" w:hAnsi="宋体" w:eastAsia="宋体" w:cs="宋体"/>
          <w:color w:val="auto"/>
          <w:sz w:val="30"/>
          <w:highlight w:val="none"/>
        </w:rPr>
        <w:t>招标方式：公 开 招 标</w:t>
      </w:r>
    </w:p>
    <w:p>
      <w:pPr>
        <w:spacing w:line="360" w:lineRule="auto"/>
        <w:rPr>
          <w:rFonts w:hint="eastAsia" w:ascii="宋体" w:hAnsi="宋体" w:eastAsia="宋体" w:cs="宋体"/>
          <w:color w:val="auto"/>
          <w:spacing w:val="40"/>
          <w:sz w:val="30"/>
          <w:highlight w:val="none"/>
        </w:rPr>
      </w:pPr>
    </w:p>
    <w:p>
      <w:pPr>
        <w:spacing w:line="360" w:lineRule="auto"/>
        <w:ind w:firstLine="1920" w:firstLineChars="600"/>
        <w:rPr>
          <w:rFonts w:hint="eastAsia" w:ascii="宋体" w:hAnsi="宋体" w:eastAsia="宋体" w:cs="宋体"/>
          <w:color w:val="auto"/>
          <w:spacing w:val="40"/>
          <w:sz w:val="24"/>
          <w:szCs w:val="24"/>
          <w:highlight w:val="none"/>
          <w:lang w:eastAsia="zh-CN"/>
        </w:rPr>
      </w:pPr>
      <w:r>
        <w:rPr>
          <w:rFonts w:hint="eastAsia" w:ascii="宋体" w:hAnsi="宋体" w:eastAsia="宋体" w:cs="宋体"/>
          <w:color w:val="auto"/>
          <w:spacing w:val="40"/>
          <w:sz w:val="24"/>
          <w:szCs w:val="24"/>
          <w:highlight w:val="none"/>
        </w:rPr>
        <w:t>采购人：</w:t>
      </w:r>
      <w:r>
        <w:rPr>
          <w:rFonts w:hint="eastAsia" w:ascii="宋体" w:hAnsi="宋体" w:cs="宋体"/>
          <w:color w:val="auto"/>
          <w:spacing w:val="40"/>
          <w:sz w:val="24"/>
          <w:szCs w:val="24"/>
          <w:highlight w:val="none"/>
          <w:lang w:eastAsia="zh-CN"/>
        </w:rPr>
        <w:t>温州市洞头区人民政府灵昆街道办事处</w:t>
      </w:r>
    </w:p>
    <w:p>
      <w:pPr>
        <w:spacing w:line="360" w:lineRule="auto"/>
        <w:ind w:firstLine="1920" w:firstLineChars="600"/>
        <w:rPr>
          <w:rFonts w:hint="eastAsia" w:ascii="宋体" w:hAnsi="宋体" w:eastAsia="宋体" w:cs="宋体"/>
          <w:color w:val="auto"/>
          <w:spacing w:val="40"/>
          <w:sz w:val="24"/>
          <w:szCs w:val="24"/>
          <w:highlight w:val="none"/>
          <w:lang w:eastAsia="zh-CN"/>
        </w:rPr>
      </w:pPr>
      <w:r>
        <w:rPr>
          <w:rFonts w:hint="eastAsia" w:ascii="宋体" w:hAnsi="宋体" w:eastAsia="宋体" w:cs="宋体"/>
          <w:color w:val="auto"/>
          <w:spacing w:val="40"/>
          <w:sz w:val="24"/>
          <w:szCs w:val="24"/>
          <w:highlight w:val="none"/>
        </w:rPr>
        <w:t>采购代理机构：</w:t>
      </w:r>
      <w:r>
        <w:rPr>
          <w:rFonts w:hint="eastAsia" w:ascii="宋体" w:hAnsi="宋体" w:cs="宋体"/>
          <w:color w:val="auto"/>
          <w:spacing w:val="40"/>
          <w:sz w:val="24"/>
          <w:szCs w:val="24"/>
          <w:highlight w:val="none"/>
          <w:lang w:eastAsia="zh-CN"/>
        </w:rPr>
        <w:t>温州市建设工程咨询有限公司</w:t>
      </w:r>
    </w:p>
    <w:p>
      <w:pPr>
        <w:spacing w:line="360" w:lineRule="auto"/>
        <w:jc w:val="center"/>
        <w:rPr>
          <w:rFonts w:hint="eastAsia" w:ascii="宋体" w:hAnsi="宋体" w:eastAsia="宋体" w:cs="宋体"/>
          <w:color w:val="auto"/>
          <w:spacing w:val="40"/>
          <w:sz w:val="28"/>
          <w:highlight w:val="none"/>
        </w:rPr>
      </w:pPr>
    </w:p>
    <w:p>
      <w:pPr>
        <w:spacing w:line="360" w:lineRule="auto"/>
        <w:jc w:val="center"/>
        <w:rPr>
          <w:rFonts w:hint="eastAsia" w:ascii="宋体" w:hAnsi="宋体" w:eastAsia="宋体" w:cs="宋体"/>
          <w:color w:val="auto"/>
          <w:spacing w:val="40"/>
          <w:sz w:val="28"/>
          <w:highlight w:val="none"/>
        </w:rPr>
      </w:pPr>
    </w:p>
    <w:p>
      <w:pPr>
        <w:spacing w:line="360" w:lineRule="auto"/>
        <w:jc w:val="center"/>
        <w:rPr>
          <w:rFonts w:hint="eastAsia" w:ascii="宋体" w:hAnsi="宋体" w:eastAsia="宋体" w:cs="宋体"/>
          <w:color w:val="auto"/>
          <w:spacing w:val="40"/>
          <w:sz w:val="28"/>
          <w:highlight w:val="none"/>
        </w:rPr>
      </w:pPr>
      <w:r>
        <w:rPr>
          <w:rFonts w:hint="eastAsia" w:ascii="宋体" w:hAnsi="宋体" w:eastAsia="宋体" w:cs="宋体"/>
          <w:color w:val="auto"/>
          <w:spacing w:val="40"/>
          <w:sz w:val="28"/>
          <w:highlight w:val="none"/>
        </w:rPr>
        <w:t>二0二</w:t>
      </w:r>
      <w:r>
        <w:rPr>
          <w:rFonts w:hint="eastAsia" w:ascii="宋体" w:hAnsi="宋体" w:cs="宋体"/>
          <w:color w:val="auto"/>
          <w:spacing w:val="40"/>
          <w:sz w:val="28"/>
          <w:highlight w:val="none"/>
          <w:lang w:val="en-US" w:eastAsia="zh-CN"/>
        </w:rPr>
        <w:t>三</w:t>
      </w:r>
      <w:r>
        <w:rPr>
          <w:rFonts w:hint="eastAsia" w:ascii="宋体" w:hAnsi="宋体" w:eastAsia="宋体" w:cs="宋体"/>
          <w:color w:val="auto"/>
          <w:spacing w:val="40"/>
          <w:sz w:val="28"/>
          <w:highlight w:val="none"/>
        </w:rPr>
        <w:t>年</w:t>
      </w: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sectPr>
          <w:footerReference r:id="rId7" w:type="first"/>
          <w:headerReference r:id="rId5" w:type="default"/>
          <w:footerReference r:id="rId6" w:type="default"/>
          <w:pgSz w:w="11906" w:h="16838"/>
          <w:pgMar w:top="1134" w:right="1304" w:bottom="1134" w:left="1531" w:header="851" w:footer="992" w:gutter="0"/>
          <w:pgNumType w:fmt="decimal" w:start="1"/>
          <w:cols w:space="720" w:num="1"/>
          <w:docGrid w:linePitch="312" w:charSpace="0"/>
        </w:sectPr>
      </w:pPr>
    </w:p>
    <w:p>
      <w:pPr>
        <w:spacing w:line="4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目 录</w:t>
      </w:r>
    </w:p>
    <w:p>
      <w:pPr>
        <w:spacing w:line="400" w:lineRule="exact"/>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第一部分  招标公告           …………………………………………………………………</w:t>
      </w:r>
      <w:r>
        <w:rPr>
          <w:rFonts w:hint="eastAsia" w:ascii="宋体" w:hAnsi="宋体" w:cs="宋体"/>
          <w:color w:val="auto"/>
          <w:sz w:val="22"/>
          <w:highlight w:val="none"/>
          <w:lang w:val="en-US" w:eastAsia="zh-CN"/>
        </w:rPr>
        <w:t>1</w:t>
      </w:r>
    </w:p>
    <w:p>
      <w:pPr>
        <w:keepNext w:val="0"/>
        <w:keepLines w:val="0"/>
        <w:pageBreakBefore w:val="0"/>
        <w:widowControl w:val="0"/>
        <w:kinsoku/>
        <w:wordWrap/>
        <w:overflowPunct/>
        <w:topLinePunct w:val="0"/>
        <w:autoSpaceDE/>
        <w:autoSpaceDN/>
        <w:bidi w:val="0"/>
        <w:adjustRightInd/>
        <w:spacing w:line="360" w:lineRule="auto"/>
        <w:ind w:left="1100" w:hanging="1100" w:hangingChars="500"/>
        <w:textAlignment w:val="auto"/>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第二部分  投标人须知           ………………………………………………………………</w:t>
      </w:r>
      <w:r>
        <w:rPr>
          <w:rFonts w:hint="eastAsia" w:ascii="宋体" w:hAnsi="宋体" w:cs="宋体"/>
          <w:color w:val="auto"/>
          <w:sz w:val="22"/>
          <w:highlight w:val="none"/>
          <w:lang w:val="en-US" w:eastAsia="zh-CN"/>
        </w:rPr>
        <w:t>4</w:t>
      </w:r>
    </w:p>
    <w:p>
      <w:pPr>
        <w:keepNext w:val="0"/>
        <w:keepLines w:val="0"/>
        <w:pageBreakBefore w:val="0"/>
        <w:widowControl w:val="0"/>
        <w:kinsoku/>
        <w:wordWrap/>
        <w:overflowPunct/>
        <w:topLinePunct w:val="0"/>
        <w:autoSpaceDE/>
        <w:autoSpaceDN/>
        <w:bidi w:val="0"/>
        <w:adjustRightInd/>
        <w:spacing w:line="360" w:lineRule="auto"/>
        <w:ind w:left="1100" w:hanging="1100" w:hangingChars="500"/>
        <w:textAlignment w:val="auto"/>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 xml:space="preserve">          投标人须知前附表     ………………………………………………………………</w:t>
      </w:r>
      <w:r>
        <w:rPr>
          <w:rFonts w:hint="eastAsia" w:ascii="宋体" w:hAnsi="宋体" w:cs="宋体"/>
          <w:color w:val="auto"/>
          <w:sz w:val="22"/>
          <w:highlight w:val="none"/>
          <w:lang w:val="en-US" w:eastAsia="zh-CN"/>
        </w:rPr>
        <w:t>4</w:t>
      </w:r>
    </w:p>
    <w:p>
      <w:pPr>
        <w:keepNext w:val="0"/>
        <w:keepLines w:val="0"/>
        <w:pageBreakBefore w:val="0"/>
        <w:widowControl w:val="0"/>
        <w:kinsoku/>
        <w:wordWrap/>
        <w:overflowPunct/>
        <w:topLinePunct w:val="0"/>
        <w:autoSpaceDE/>
        <w:autoSpaceDN/>
        <w:bidi w:val="0"/>
        <w:adjustRightInd/>
        <w:spacing w:line="360" w:lineRule="auto"/>
        <w:ind w:firstLine="1100" w:firstLineChars="500"/>
        <w:textAlignment w:val="auto"/>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一.说 明             ………………………………………………………………</w:t>
      </w:r>
      <w:r>
        <w:rPr>
          <w:rFonts w:hint="eastAsia" w:ascii="宋体" w:hAnsi="宋体" w:cs="宋体"/>
          <w:color w:val="auto"/>
          <w:sz w:val="22"/>
          <w:highlight w:val="none"/>
          <w:lang w:val="en-US" w:eastAsia="zh-CN"/>
        </w:rPr>
        <w:t>7</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 xml:space="preserve">          二.招标文件          ………………………………………………………………</w:t>
      </w:r>
      <w:r>
        <w:rPr>
          <w:rFonts w:hint="eastAsia" w:ascii="宋体" w:hAnsi="宋体" w:cs="宋体"/>
          <w:color w:val="auto"/>
          <w:sz w:val="22"/>
          <w:highlight w:val="none"/>
          <w:lang w:val="en-US" w:eastAsia="zh-CN"/>
        </w:rPr>
        <w:t>8</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 xml:space="preserve">          三.投标文件的编制    ………………………………………………………………</w:t>
      </w:r>
      <w:r>
        <w:rPr>
          <w:rFonts w:hint="eastAsia" w:ascii="宋体" w:hAnsi="宋体" w:cs="宋体"/>
          <w:color w:val="auto"/>
          <w:sz w:val="22"/>
          <w:highlight w:val="none"/>
          <w:lang w:val="en-US" w:eastAsia="zh-CN"/>
        </w:rPr>
        <w:t>9</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rPr>
        <w:t xml:space="preserve">          四.投标文件的递交    ………………………………………………………………</w:t>
      </w:r>
      <w:r>
        <w:rPr>
          <w:rFonts w:hint="eastAsia" w:ascii="宋体" w:hAnsi="宋体" w:cs="宋体"/>
          <w:color w:val="auto"/>
          <w:sz w:val="22"/>
          <w:highlight w:val="none"/>
          <w:lang w:val="en-US" w:eastAsia="zh-CN"/>
        </w:rPr>
        <w:t>10</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rPr>
        <w:t xml:space="preserve">          五.开标和评标        ………………………………………………………………</w:t>
      </w:r>
      <w:r>
        <w:rPr>
          <w:rFonts w:hint="eastAsia" w:ascii="宋体" w:hAnsi="宋体" w:cs="宋体"/>
          <w:color w:val="auto"/>
          <w:sz w:val="22"/>
          <w:highlight w:val="none"/>
          <w:lang w:val="en-US" w:eastAsia="zh-CN"/>
        </w:rPr>
        <w:t>11</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 xml:space="preserve">          六.授予合同          ………………………………………………………………1</w:t>
      </w:r>
      <w:r>
        <w:rPr>
          <w:rFonts w:hint="eastAsia" w:ascii="宋体" w:hAnsi="宋体" w:cs="宋体"/>
          <w:color w:val="auto"/>
          <w:sz w:val="22"/>
          <w:highlight w:val="none"/>
          <w:lang w:val="en-US" w:eastAsia="zh-CN"/>
        </w:rPr>
        <w:t>6</w:t>
      </w:r>
    </w:p>
    <w:p>
      <w:pPr>
        <w:keepNext w:val="0"/>
        <w:keepLines w:val="0"/>
        <w:pageBreakBefore w:val="0"/>
        <w:widowControl w:val="0"/>
        <w:kinsoku/>
        <w:wordWrap/>
        <w:overflowPunct/>
        <w:topLinePunct w:val="0"/>
        <w:autoSpaceDE/>
        <w:autoSpaceDN/>
        <w:bidi w:val="0"/>
        <w:adjustRightInd/>
        <w:spacing w:line="360" w:lineRule="auto"/>
        <w:ind w:firstLine="1100" w:firstLineChars="500"/>
        <w:jc w:val="left"/>
        <w:textAlignment w:val="auto"/>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七、可中止电子交易活动的情形 ……………………………………………………1</w:t>
      </w:r>
      <w:r>
        <w:rPr>
          <w:rFonts w:hint="eastAsia" w:ascii="宋体" w:hAnsi="宋体" w:cs="宋体"/>
          <w:color w:val="auto"/>
          <w:sz w:val="22"/>
          <w:highlight w:val="none"/>
          <w:lang w:val="en-US" w:eastAsia="zh-CN"/>
        </w:rPr>
        <w:t>6</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rPr>
        <w:t xml:space="preserve">第三部分  合同格式 </w:t>
      </w:r>
      <w:r>
        <w:rPr>
          <w:rFonts w:hint="eastAsia" w:ascii="宋体" w:hAnsi="宋体" w:eastAsia="宋体" w:cs="宋体"/>
          <w:color w:val="auto"/>
          <w:sz w:val="22"/>
          <w:highlight w:val="none"/>
          <w:lang w:val="en-US" w:eastAsia="zh-CN"/>
        </w:rPr>
        <w:t xml:space="preserve">     </w:t>
      </w:r>
      <w:r>
        <w:rPr>
          <w:rFonts w:hint="eastAsia" w:ascii="宋体" w:hAnsi="宋体" w:eastAsia="宋体" w:cs="宋体"/>
          <w:color w:val="auto"/>
          <w:sz w:val="22"/>
          <w:highlight w:val="none"/>
        </w:rPr>
        <w:t xml:space="preserve">   </w:t>
      </w:r>
      <w:r>
        <w:rPr>
          <w:rFonts w:hint="eastAsia" w:ascii="宋体" w:hAnsi="宋体" w:eastAsia="宋体" w:cs="宋体"/>
          <w:color w:val="auto"/>
          <w:sz w:val="22"/>
          <w:highlight w:val="none"/>
          <w:lang w:val="en-US" w:eastAsia="zh-CN"/>
        </w:rPr>
        <w:t xml:space="preserve">   </w:t>
      </w:r>
      <w:r>
        <w:rPr>
          <w:rFonts w:hint="eastAsia" w:ascii="宋体" w:hAnsi="宋体" w:eastAsia="宋体" w:cs="宋体"/>
          <w:color w:val="auto"/>
          <w:sz w:val="22"/>
          <w:highlight w:val="none"/>
        </w:rPr>
        <w:t xml:space="preserve"> ………………………………………………………………</w:t>
      </w:r>
      <w:r>
        <w:rPr>
          <w:rFonts w:hint="eastAsia" w:ascii="宋体" w:hAnsi="宋体" w:cs="宋体"/>
          <w:color w:val="auto"/>
          <w:sz w:val="22"/>
          <w:highlight w:val="none"/>
          <w:lang w:val="en-US" w:eastAsia="zh-CN"/>
        </w:rPr>
        <w:t>17</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第四部分  附件                 ………………………………………………………………2</w:t>
      </w:r>
      <w:r>
        <w:rPr>
          <w:rFonts w:hint="eastAsia" w:ascii="宋体" w:hAnsi="宋体" w:cs="宋体"/>
          <w:color w:val="auto"/>
          <w:sz w:val="22"/>
          <w:highlight w:val="none"/>
          <w:lang w:val="en-US" w:eastAsia="zh-CN"/>
        </w:rPr>
        <w:t>9</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第五部分  采购需求             ………………………………………………………………5</w:t>
      </w:r>
      <w:r>
        <w:rPr>
          <w:rFonts w:hint="eastAsia" w:ascii="宋体" w:hAnsi="宋体" w:cs="宋体"/>
          <w:color w:val="auto"/>
          <w:sz w:val="22"/>
          <w:highlight w:val="none"/>
          <w:lang w:val="en-US" w:eastAsia="zh-CN"/>
        </w:rPr>
        <w:t>6</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rPr>
        <w:t>第六部分  评标原则及方法       ………………………………………………………………</w:t>
      </w:r>
      <w:r>
        <w:rPr>
          <w:rFonts w:hint="eastAsia" w:ascii="宋体" w:hAnsi="宋体" w:cs="宋体"/>
          <w:color w:val="auto"/>
          <w:sz w:val="22"/>
          <w:highlight w:val="none"/>
          <w:lang w:val="en-US" w:eastAsia="zh-CN"/>
        </w:rPr>
        <w:t>74</w:t>
      </w:r>
    </w:p>
    <w:p>
      <w:pPr>
        <w:spacing w:line="400" w:lineRule="exact"/>
        <w:rPr>
          <w:rFonts w:hint="eastAsia" w:ascii="宋体" w:hAnsi="宋体" w:eastAsia="宋体" w:cs="宋体"/>
          <w:b/>
          <w:color w:val="auto"/>
          <w:sz w:val="22"/>
          <w:highlight w:val="none"/>
        </w:rPr>
      </w:pPr>
    </w:p>
    <w:p>
      <w:pPr>
        <w:spacing w:line="400" w:lineRule="exact"/>
        <w:rPr>
          <w:rFonts w:hint="eastAsia" w:ascii="宋体" w:hAnsi="宋体" w:eastAsia="宋体" w:cs="宋体"/>
          <w:color w:val="auto"/>
          <w:sz w:val="22"/>
          <w:highlight w:val="none"/>
        </w:rPr>
      </w:pPr>
      <w:r>
        <w:rPr>
          <w:rFonts w:hint="eastAsia" w:ascii="宋体" w:hAnsi="宋体" w:eastAsia="宋体" w:cs="宋体"/>
          <w:b/>
          <w:color w:val="auto"/>
          <w:sz w:val="24"/>
          <w:highlight w:val="none"/>
        </w:rPr>
        <w:t>注：标“▲且加下划线”为投标的实质性要求和条件，必须作出实质性响应，否则投标无效。加粗部分为着重提醒各投标人注意。各投标人必须认真阅读和理解招标文件中的每一个条款及要求，因误读招标文件而造成的后果，采购人和采购代理机构概不负责。</w:t>
      </w:r>
    </w:p>
    <w:p>
      <w:pPr>
        <w:spacing w:line="400" w:lineRule="exact"/>
        <w:rPr>
          <w:rFonts w:hint="eastAsia" w:ascii="宋体" w:hAnsi="宋体" w:eastAsia="宋体" w:cs="宋体"/>
          <w:color w:val="auto"/>
          <w:sz w:val="2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ab/>
      </w:r>
    </w:p>
    <w:p>
      <w:pPr>
        <w:spacing w:line="400" w:lineRule="exact"/>
        <w:rPr>
          <w:rFonts w:hint="eastAsia" w:ascii="宋体" w:hAnsi="宋体" w:eastAsia="宋体" w:cs="宋体"/>
          <w:b/>
          <w:color w:val="auto"/>
          <w:sz w:val="48"/>
          <w:highlight w:val="none"/>
        </w:rPr>
      </w:pPr>
    </w:p>
    <w:p>
      <w:pPr>
        <w:spacing w:line="400" w:lineRule="exact"/>
        <w:rPr>
          <w:rFonts w:hint="eastAsia" w:ascii="宋体" w:hAnsi="宋体" w:eastAsia="宋体" w:cs="宋体"/>
          <w:b/>
          <w:color w:val="auto"/>
          <w:sz w:val="48"/>
          <w:highlight w:val="none"/>
        </w:rPr>
      </w:pPr>
    </w:p>
    <w:p>
      <w:pPr>
        <w:spacing w:line="400" w:lineRule="exact"/>
        <w:rPr>
          <w:rFonts w:hint="eastAsia" w:ascii="宋体" w:hAnsi="宋体" w:eastAsia="宋体" w:cs="宋体"/>
          <w:b/>
          <w:color w:val="auto"/>
          <w:sz w:val="48"/>
          <w:highlight w:val="none"/>
        </w:rPr>
      </w:pPr>
    </w:p>
    <w:p>
      <w:pPr>
        <w:spacing w:line="400" w:lineRule="exact"/>
        <w:rPr>
          <w:rFonts w:hint="eastAsia" w:ascii="宋体" w:hAnsi="宋体" w:eastAsia="宋体" w:cs="宋体"/>
          <w:b/>
          <w:color w:val="auto"/>
          <w:sz w:val="48"/>
          <w:highlight w:val="none"/>
        </w:rPr>
      </w:pPr>
    </w:p>
    <w:p>
      <w:pPr>
        <w:pStyle w:val="14"/>
        <w:ind w:left="1470" w:right="1470"/>
        <w:rPr>
          <w:rFonts w:hint="eastAsia" w:ascii="宋体" w:hAnsi="宋体" w:eastAsia="宋体" w:cs="宋体"/>
          <w:b/>
          <w:color w:val="auto"/>
          <w:sz w:val="48"/>
          <w:highlight w:val="none"/>
        </w:rPr>
      </w:pPr>
    </w:p>
    <w:p>
      <w:pPr>
        <w:pStyle w:val="14"/>
        <w:ind w:left="1470" w:right="1470"/>
        <w:rPr>
          <w:rFonts w:hint="eastAsia" w:ascii="宋体" w:hAnsi="宋体" w:eastAsia="宋体" w:cs="宋体"/>
          <w:b/>
          <w:color w:val="auto"/>
          <w:sz w:val="48"/>
          <w:highlight w:val="none"/>
        </w:rPr>
      </w:pPr>
    </w:p>
    <w:p>
      <w:pPr>
        <w:pStyle w:val="14"/>
        <w:ind w:left="1470" w:right="1470"/>
        <w:rPr>
          <w:rFonts w:hint="eastAsia" w:ascii="宋体" w:hAnsi="宋体" w:eastAsia="宋体" w:cs="宋体"/>
          <w:b/>
          <w:color w:val="auto"/>
          <w:sz w:val="48"/>
          <w:highlight w:val="none"/>
        </w:rPr>
      </w:pPr>
    </w:p>
    <w:p>
      <w:pPr>
        <w:pStyle w:val="14"/>
        <w:ind w:left="1470" w:right="1470"/>
        <w:rPr>
          <w:rFonts w:hint="eastAsia" w:ascii="宋体" w:hAnsi="宋体" w:eastAsia="宋体" w:cs="宋体"/>
          <w:b/>
          <w:color w:val="auto"/>
          <w:sz w:val="48"/>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sectPr>
          <w:footerReference r:id="rId9" w:type="first"/>
          <w:footerReference r:id="rId8" w:type="default"/>
          <w:pgSz w:w="11906" w:h="16838"/>
          <w:pgMar w:top="1134" w:right="1134" w:bottom="1134" w:left="1134" w:header="851" w:footer="851" w:gutter="0"/>
          <w:pgNumType w:fmt="decimal" w:start="1"/>
          <w:cols w:space="720" w:num="1"/>
          <w:titlePg/>
          <w:docGrid w:linePitch="312" w:charSpace="0"/>
        </w:sectPr>
      </w:pPr>
    </w:p>
    <w:p>
      <w:pPr>
        <w:spacing w:before="159" w:beforeLines="50" w:beforeAutospacing="0" w:after="159" w:afterLines="50" w:afterAutospacing="0" w:line="4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第一部分 招标公告</w:t>
      </w:r>
    </w:p>
    <w:p>
      <w:pPr>
        <w:pStyle w:val="24"/>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before="0" w:beforeAutospacing="0" w:after="0" w:afterAutospacing="0" w:line="360" w:lineRule="exact"/>
        <w:ind w:right="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项目概况     </w:t>
      </w:r>
    </w:p>
    <w:p>
      <w:pPr>
        <w:pStyle w:val="24"/>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wordWrap w:val="0"/>
        <w:overflowPunct/>
        <w:topLinePunct w:val="0"/>
        <w:autoSpaceDE/>
        <w:autoSpaceDN/>
        <w:bidi w:val="0"/>
        <w:adjustRightInd/>
        <w:snapToGrid/>
        <w:spacing w:before="0" w:beforeAutospacing="0" w:after="0" w:afterAutospacing="0" w:line="360" w:lineRule="exact"/>
        <w:ind w:left="0" w:right="0" w:firstLine="440" w:firstLineChars="200"/>
        <w:textAlignment w:val="auto"/>
        <w:rPr>
          <w:rFonts w:hint="eastAsia" w:ascii="宋体" w:hAnsi="宋体" w:eastAsia="宋体" w:cs="宋体"/>
          <w:color w:val="auto"/>
          <w:sz w:val="22"/>
          <w:szCs w:val="22"/>
          <w:highlight w:val="none"/>
        </w:rPr>
      </w:pPr>
      <w:r>
        <w:rPr>
          <w:rFonts w:hint="eastAsia" w:cs="宋体"/>
          <w:i w:val="0"/>
          <w:caps w:val="0"/>
          <w:color w:val="auto"/>
          <w:spacing w:val="0"/>
          <w:sz w:val="22"/>
          <w:szCs w:val="22"/>
          <w:highlight w:val="none"/>
          <w:u w:val="single"/>
          <w:lang w:eastAsia="zh-CN"/>
        </w:rPr>
        <w:t>2023年灵昆街道道路及河道保洁项目</w:t>
      </w:r>
      <w:r>
        <w:rPr>
          <w:rFonts w:hint="eastAsia" w:ascii="宋体" w:hAnsi="宋体" w:eastAsia="宋体" w:cs="宋体"/>
          <w:i w:val="0"/>
          <w:caps w:val="0"/>
          <w:color w:val="auto"/>
          <w:spacing w:val="0"/>
          <w:sz w:val="22"/>
          <w:szCs w:val="22"/>
          <w:highlight w:val="none"/>
        </w:rPr>
        <w:t>招标项目的潜在投标人应在</w:t>
      </w:r>
      <w:r>
        <w:rPr>
          <w:rFonts w:hint="eastAsia" w:ascii="宋体" w:hAnsi="宋体" w:eastAsia="宋体" w:cs="宋体"/>
          <w:i w:val="0"/>
          <w:caps w:val="0"/>
          <w:color w:val="auto"/>
          <w:spacing w:val="0"/>
          <w:sz w:val="22"/>
          <w:szCs w:val="22"/>
          <w:highlight w:val="none"/>
          <w:u w:val="single"/>
        </w:rPr>
        <w:t>政府采购云平台（https://login.zcygov.cn）</w:t>
      </w:r>
      <w:r>
        <w:rPr>
          <w:rFonts w:hint="eastAsia" w:ascii="宋体" w:hAnsi="宋体" w:eastAsia="宋体" w:cs="宋体"/>
          <w:i w:val="0"/>
          <w:caps w:val="0"/>
          <w:color w:val="auto"/>
          <w:spacing w:val="0"/>
          <w:sz w:val="22"/>
          <w:szCs w:val="22"/>
          <w:highlight w:val="none"/>
        </w:rPr>
        <w:t>获取（下载）招标文件，并于</w:t>
      </w:r>
      <w:r>
        <w:rPr>
          <w:rFonts w:hint="eastAsia" w:cs="宋体"/>
          <w:i w:val="0"/>
          <w:caps w:val="0"/>
          <w:color w:val="auto"/>
          <w:spacing w:val="0"/>
          <w:sz w:val="22"/>
          <w:szCs w:val="22"/>
          <w:highlight w:val="none"/>
          <w:u w:val="single"/>
          <w:lang w:eastAsia="zh-CN"/>
        </w:rPr>
        <w:t>2023年</w:t>
      </w:r>
      <w:r>
        <w:rPr>
          <w:rFonts w:hint="eastAsia" w:cs="宋体"/>
          <w:i w:val="0"/>
          <w:caps w:val="0"/>
          <w:color w:val="auto"/>
          <w:spacing w:val="0"/>
          <w:sz w:val="22"/>
          <w:szCs w:val="22"/>
          <w:highlight w:val="none"/>
          <w:u w:val="single"/>
          <w:lang w:val="en-US" w:eastAsia="zh-CN"/>
        </w:rPr>
        <w:t>05</w:t>
      </w:r>
      <w:r>
        <w:rPr>
          <w:rFonts w:hint="eastAsia" w:ascii="宋体" w:hAnsi="宋体" w:eastAsia="宋体" w:cs="宋体"/>
          <w:i w:val="0"/>
          <w:caps w:val="0"/>
          <w:color w:val="auto"/>
          <w:spacing w:val="0"/>
          <w:sz w:val="22"/>
          <w:szCs w:val="22"/>
          <w:highlight w:val="none"/>
          <w:u w:val="single"/>
        </w:rPr>
        <w:t>月</w:t>
      </w:r>
      <w:r>
        <w:rPr>
          <w:rFonts w:hint="eastAsia" w:cs="宋体"/>
          <w:i w:val="0"/>
          <w:caps w:val="0"/>
          <w:color w:val="auto"/>
          <w:spacing w:val="0"/>
          <w:sz w:val="22"/>
          <w:szCs w:val="22"/>
          <w:highlight w:val="none"/>
          <w:u w:val="single"/>
          <w:lang w:val="en-US" w:eastAsia="zh-CN"/>
        </w:rPr>
        <w:t>05</w:t>
      </w:r>
      <w:r>
        <w:rPr>
          <w:rFonts w:hint="eastAsia" w:ascii="宋体" w:hAnsi="宋体" w:eastAsia="宋体" w:cs="宋体"/>
          <w:i w:val="0"/>
          <w:caps w:val="0"/>
          <w:color w:val="auto"/>
          <w:spacing w:val="0"/>
          <w:sz w:val="22"/>
          <w:szCs w:val="22"/>
          <w:highlight w:val="none"/>
          <w:u w:val="single"/>
        </w:rPr>
        <w:t>日 09:30</w:t>
      </w:r>
      <w:r>
        <w:rPr>
          <w:rFonts w:hint="eastAsia" w:ascii="宋体" w:hAnsi="宋体" w:eastAsia="宋体" w:cs="宋体"/>
          <w:i w:val="0"/>
          <w:caps w:val="0"/>
          <w:color w:val="auto"/>
          <w:spacing w:val="0"/>
          <w:sz w:val="22"/>
          <w:szCs w:val="22"/>
          <w:highlight w:val="none"/>
        </w:rPr>
        <w:t>（北京时间）前递交（上传）投标文件。</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2"/>
          <w:szCs w:val="22"/>
          <w:highlight w:val="none"/>
        </w:rPr>
      </w:pPr>
      <w:r>
        <w:rPr>
          <w:rStyle w:val="31"/>
          <w:rFonts w:hint="eastAsia" w:ascii="宋体" w:hAnsi="宋体" w:eastAsia="宋体" w:cs="宋体"/>
          <w:i w:val="0"/>
          <w:caps w:val="0"/>
          <w:color w:val="auto"/>
          <w:spacing w:val="0"/>
          <w:sz w:val="22"/>
          <w:szCs w:val="22"/>
          <w:highlight w:val="none"/>
        </w:rPr>
        <w:t>一、项目基本情况</w:t>
      </w:r>
      <w:r>
        <w:rPr>
          <w:rFonts w:hint="eastAsia" w:ascii="宋体" w:hAnsi="宋体" w:eastAsia="宋体" w:cs="宋体"/>
          <w:i w:val="0"/>
          <w:caps w:val="0"/>
          <w:color w:val="auto"/>
          <w:spacing w:val="0"/>
          <w:sz w:val="22"/>
          <w:szCs w:val="22"/>
          <w:highlight w:val="none"/>
        </w:rPr>
        <w:t>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项目编号：</w:t>
      </w:r>
      <w:r>
        <w:rPr>
          <w:rFonts w:hint="eastAsia" w:cs="宋体"/>
          <w:i w:val="0"/>
          <w:caps w:val="0"/>
          <w:color w:val="auto"/>
          <w:spacing w:val="0"/>
          <w:sz w:val="22"/>
          <w:szCs w:val="22"/>
          <w:highlight w:val="none"/>
          <w:lang w:eastAsia="zh-CN"/>
        </w:rPr>
        <w:t>23-EC-DL029</w:t>
      </w:r>
      <w:r>
        <w:rPr>
          <w:rFonts w:hint="eastAsia" w:ascii="宋体" w:hAnsi="宋体" w:eastAsia="宋体" w:cs="宋体"/>
          <w:i w:val="0"/>
          <w:caps w:val="0"/>
          <w:color w:val="auto"/>
          <w:spacing w:val="0"/>
          <w:sz w:val="22"/>
          <w:szCs w:val="22"/>
          <w:highlight w:val="none"/>
        </w:rPr>
        <w:t>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lang w:eastAsia="zh-CN"/>
        </w:rPr>
      </w:pP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项目名称：</w:t>
      </w:r>
      <w:r>
        <w:rPr>
          <w:rFonts w:hint="eastAsia" w:cs="宋体"/>
          <w:i w:val="0"/>
          <w:caps w:val="0"/>
          <w:color w:val="auto"/>
          <w:spacing w:val="0"/>
          <w:sz w:val="22"/>
          <w:szCs w:val="22"/>
          <w:highlight w:val="none"/>
          <w:lang w:eastAsia="zh-CN"/>
        </w:rPr>
        <w:t>2023年灵昆街道道路及河道保洁项目</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eastAsia="宋体" w:cs="宋体"/>
          <w:color w:val="auto"/>
          <w:sz w:val="22"/>
          <w:szCs w:val="22"/>
          <w:highlight w:val="none"/>
          <w:lang w:val="en-US" w:eastAsia="zh-CN"/>
        </w:rPr>
      </w:pP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预算金额（元）：</w:t>
      </w:r>
      <w:r>
        <w:rPr>
          <w:rFonts w:hint="eastAsia" w:cs="宋体"/>
          <w:i w:val="0"/>
          <w:caps w:val="0"/>
          <w:color w:val="auto"/>
          <w:spacing w:val="0"/>
          <w:sz w:val="22"/>
          <w:szCs w:val="22"/>
          <w:highlight w:val="none"/>
          <w:lang w:val="en-US" w:eastAsia="zh-CN"/>
        </w:rPr>
        <w:t>9430000</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eastAsia="宋体" w:cs="宋体"/>
          <w:color w:val="auto"/>
          <w:sz w:val="22"/>
          <w:szCs w:val="22"/>
          <w:highlight w:val="none"/>
          <w:lang w:val="en-US" w:eastAsia="zh-CN"/>
        </w:rPr>
      </w:pP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最高限价（元）：</w:t>
      </w:r>
      <w:r>
        <w:rPr>
          <w:rFonts w:hint="eastAsia" w:cs="宋体"/>
          <w:i w:val="0"/>
          <w:caps w:val="0"/>
          <w:color w:val="auto"/>
          <w:spacing w:val="0"/>
          <w:sz w:val="22"/>
          <w:szCs w:val="22"/>
          <w:highlight w:val="none"/>
          <w:lang w:val="en-US" w:eastAsia="zh-CN"/>
        </w:rPr>
        <w:t>9430000</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textAlignment w:val="auto"/>
        <w:rPr>
          <w:rFonts w:hint="eastAsia" w:ascii="宋体" w:hAnsi="宋体" w:eastAsia="宋体" w:cs="宋体"/>
          <w:i w:val="0"/>
          <w:caps w:val="0"/>
          <w:color w:val="auto"/>
          <w:spacing w:val="0"/>
          <w:sz w:val="22"/>
          <w:szCs w:val="22"/>
          <w:highlight w:val="none"/>
        </w:rPr>
      </w:pPr>
      <w:r>
        <w:rPr>
          <w:rFonts w:hint="eastAsia" w:ascii="宋体" w:hAnsi="宋体" w:eastAsia="宋体" w:cs="宋体"/>
          <w:i w:val="0"/>
          <w:caps w:val="0"/>
          <w:color w:val="auto"/>
          <w:spacing w:val="0"/>
          <w:sz w:val="22"/>
          <w:szCs w:val="22"/>
          <w:highlight w:val="none"/>
        </w:rPr>
        <w:t>采购需求：</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textAlignment w:val="auto"/>
        <w:rPr>
          <w:rFonts w:hint="eastAsia" w:ascii="宋体" w:hAnsi="宋体" w:eastAsia="宋体" w:cs="宋体"/>
          <w:i w:val="0"/>
          <w:caps w:val="0"/>
          <w:color w:val="auto"/>
          <w:spacing w:val="0"/>
          <w:sz w:val="22"/>
          <w:szCs w:val="22"/>
          <w:highlight w:val="none"/>
          <w:lang w:eastAsia="zh-CN"/>
        </w:rPr>
      </w:pPr>
      <w:r>
        <w:rPr>
          <w:rFonts w:hint="eastAsia" w:ascii="宋体" w:hAnsi="宋体" w:eastAsia="宋体" w:cs="宋体"/>
          <w:i w:val="0"/>
          <w:caps w:val="0"/>
          <w:color w:val="auto"/>
          <w:spacing w:val="0"/>
          <w:sz w:val="22"/>
          <w:szCs w:val="22"/>
          <w:highlight w:val="none"/>
        </w:rPr>
        <w:t>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textAlignment w:val="auto"/>
        <w:rPr>
          <w:rFonts w:hint="eastAsia" w:ascii="宋体" w:hAnsi="宋体" w:eastAsia="宋体" w:cs="宋体"/>
          <w:i w:val="0"/>
          <w:caps w:val="0"/>
          <w:color w:val="auto"/>
          <w:spacing w:val="0"/>
          <w:sz w:val="22"/>
          <w:szCs w:val="22"/>
          <w:highlight w:val="none"/>
          <w:lang w:eastAsia="zh-CN"/>
        </w:rPr>
      </w:pP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标项名称:</w:t>
      </w:r>
      <w:r>
        <w:rPr>
          <w:rFonts w:hint="eastAsia" w:cs="宋体"/>
          <w:i w:val="0"/>
          <w:caps w:val="0"/>
          <w:color w:val="auto"/>
          <w:spacing w:val="0"/>
          <w:sz w:val="22"/>
          <w:szCs w:val="22"/>
          <w:highlight w:val="none"/>
          <w:lang w:eastAsia="zh-CN"/>
        </w:rPr>
        <w:t>2023年灵昆街道道路及河道保洁项目</w:t>
      </w:r>
      <w:r>
        <w:rPr>
          <w:rFonts w:hint="eastAsia" w:ascii="宋体" w:hAnsi="宋体" w:eastAsia="宋体" w:cs="宋体"/>
          <w:i w:val="0"/>
          <w:caps w:val="0"/>
          <w:color w:val="auto"/>
          <w:spacing w:val="0"/>
          <w:sz w:val="22"/>
          <w:szCs w:val="22"/>
          <w:highlight w:val="none"/>
        </w:rPr>
        <w:t>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textAlignment w:val="auto"/>
        <w:rPr>
          <w:rFonts w:hint="eastAsia" w:cs="宋体"/>
          <w:i w:val="0"/>
          <w:caps w:val="0"/>
          <w:color w:val="auto"/>
          <w:spacing w:val="0"/>
          <w:sz w:val="22"/>
          <w:szCs w:val="22"/>
          <w:highlight w:val="none"/>
          <w:lang w:val="en-US" w:eastAsia="zh-CN"/>
        </w:rPr>
      </w:pP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数量:</w:t>
      </w:r>
      <w:r>
        <w:rPr>
          <w:rFonts w:hint="eastAsia" w:cs="宋体"/>
          <w:i w:val="0"/>
          <w:caps w:val="0"/>
          <w:color w:val="auto"/>
          <w:spacing w:val="0"/>
          <w:sz w:val="22"/>
          <w:szCs w:val="22"/>
          <w:highlight w:val="none"/>
          <w:lang w:val="en-US" w:eastAsia="zh-CN"/>
        </w:rPr>
        <w:t>1</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i w:val="0"/>
          <w:caps w:val="0"/>
          <w:color w:val="auto"/>
          <w:spacing w:val="0"/>
          <w:sz w:val="22"/>
          <w:szCs w:val="22"/>
          <w:highlight w:val="none"/>
          <w:lang w:eastAsia="zh-CN"/>
        </w:rPr>
      </w:pP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预算金额（元）：9430000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i w:val="0"/>
          <w:caps w:val="0"/>
          <w:color w:val="auto"/>
          <w:spacing w:val="0"/>
          <w:sz w:val="22"/>
          <w:szCs w:val="22"/>
          <w:highlight w:val="none"/>
          <w:lang w:eastAsia="zh-CN"/>
        </w:rPr>
      </w:pP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简要规格描述或项目基本概况介绍、用途：详见招标文件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备注：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lang w:eastAsia="zh-CN"/>
        </w:rPr>
      </w:pP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合同履约期限：标项 1，一年</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本项目（否）接受联合体投标。</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Style w:val="31"/>
          <w:rFonts w:hint="eastAsia" w:ascii="宋体" w:hAnsi="宋体" w:eastAsia="宋体" w:cs="宋体"/>
          <w:i w:val="0"/>
          <w:caps w:val="0"/>
          <w:color w:val="auto"/>
          <w:spacing w:val="0"/>
          <w:sz w:val="22"/>
          <w:szCs w:val="22"/>
          <w:highlight w:val="none"/>
        </w:rPr>
        <w:t>二、申请人的资格要求：</w:t>
      </w:r>
    </w:p>
    <w:p>
      <w:pPr>
        <w:pStyle w:val="2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2.落实政府采购政策需满足的资格要求：无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3.本项目的特定资格要求：无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2"/>
          <w:szCs w:val="22"/>
          <w:highlight w:val="none"/>
        </w:rPr>
      </w:pPr>
      <w:r>
        <w:rPr>
          <w:rStyle w:val="31"/>
          <w:rFonts w:hint="eastAsia" w:ascii="宋体" w:hAnsi="宋体" w:eastAsia="宋体" w:cs="宋体"/>
          <w:i w:val="0"/>
          <w:caps w:val="0"/>
          <w:color w:val="auto"/>
          <w:spacing w:val="0"/>
          <w:sz w:val="22"/>
          <w:szCs w:val="22"/>
          <w:highlight w:val="none"/>
        </w:rPr>
        <w:t>三、获取招标文件</w:t>
      </w:r>
      <w:r>
        <w:rPr>
          <w:rFonts w:hint="eastAsia" w:ascii="宋体" w:hAnsi="宋体" w:eastAsia="宋体" w:cs="宋体"/>
          <w:i w:val="0"/>
          <w:caps w:val="0"/>
          <w:color w:val="auto"/>
          <w:spacing w:val="0"/>
          <w:sz w:val="22"/>
          <w:szCs w:val="22"/>
          <w:highlight w:val="none"/>
        </w:rPr>
        <w:t>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u w:val="none"/>
        </w:rPr>
        <w:t>时间：/</w:t>
      </w:r>
      <w:r>
        <w:rPr>
          <w:rFonts w:hint="eastAsia" w:ascii="宋体" w:hAnsi="宋体" w:eastAsia="宋体" w:cs="宋体"/>
          <w:i w:val="0"/>
          <w:caps w:val="0"/>
          <w:color w:val="auto"/>
          <w:spacing w:val="0"/>
          <w:sz w:val="22"/>
          <w:szCs w:val="22"/>
          <w:highlight w:val="none"/>
          <w:u w:val="none"/>
          <w:lang w:eastAsia="zh-CN"/>
        </w:rPr>
        <w:t>至2023年</w:t>
      </w:r>
      <w:r>
        <w:rPr>
          <w:rFonts w:hint="eastAsia" w:cs="宋体"/>
          <w:i w:val="0"/>
          <w:caps w:val="0"/>
          <w:color w:val="auto"/>
          <w:spacing w:val="0"/>
          <w:sz w:val="22"/>
          <w:szCs w:val="22"/>
          <w:highlight w:val="none"/>
          <w:u w:val="none"/>
          <w:lang w:val="en-US" w:eastAsia="zh-CN"/>
        </w:rPr>
        <w:t>05</w:t>
      </w:r>
      <w:r>
        <w:rPr>
          <w:rFonts w:hint="eastAsia" w:ascii="宋体" w:hAnsi="宋体" w:eastAsia="宋体" w:cs="宋体"/>
          <w:i w:val="0"/>
          <w:caps w:val="0"/>
          <w:color w:val="auto"/>
          <w:spacing w:val="0"/>
          <w:sz w:val="22"/>
          <w:szCs w:val="22"/>
          <w:highlight w:val="none"/>
          <w:u w:val="none"/>
          <w:lang w:eastAsia="zh-CN"/>
        </w:rPr>
        <w:t>月</w:t>
      </w:r>
      <w:r>
        <w:rPr>
          <w:rFonts w:hint="eastAsia" w:cs="宋体"/>
          <w:i w:val="0"/>
          <w:caps w:val="0"/>
          <w:color w:val="auto"/>
          <w:spacing w:val="0"/>
          <w:sz w:val="22"/>
          <w:szCs w:val="22"/>
          <w:highlight w:val="none"/>
          <w:u w:val="none"/>
          <w:lang w:val="en-US" w:eastAsia="zh-CN"/>
        </w:rPr>
        <w:t>05</w:t>
      </w:r>
      <w:r>
        <w:rPr>
          <w:rFonts w:hint="eastAsia" w:ascii="宋体" w:hAnsi="宋体" w:eastAsia="宋体" w:cs="宋体"/>
          <w:i w:val="0"/>
          <w:caps w:val="0"/>
          <w:color w:val="auto"/>
          <w:spacing w:val="0"/>
          <w:sz w:val="22"/>
          <w:szCs w:val="22"/>
          <w:highlight w:val="none"/>
          <w:u w:val="none"/>
          <w:lang w:eastAsia="zh-CN"/>
        </w:rPr>
        <w:t>日</w:t>
      </w:r>
      <w:r>
        <w:rPr>
          <w:rFonts w:hint="eastAsia" w:ascii="宋体" w:hAnsi="宋体" w:eastAsia="宋体" w:cs="宋体"/>
          <w:i w:val="0"/>
          <w:caps w:val="0"/>
          <w:color w:val="auto"/>
          <w:spacing w:val="0"/>
          <w:sz w:val="22"/>
          <w:szCs w:val="22"/>
          <w:highlight w:val="none"/>
          <w:u w:val="none"/>
        </w:rPr>
        <w:t>，每天上午00:00至12:00，下午12:00至23:59（北京时间，线上获取法定节假日均可，线下获取文件法定节假日除外）</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地点（网址）：政府采购云平台（https://login.zcygov.cn）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方式：政府采购云平台在线获取：（操作步骤：潜在投标人登陆政府采购云平台，项目采购--获取采购文件菜单，点击</w:t>
      </w:r>
      <w:r>
        <w:rPr>
          <w:rFonts w:hint="eastAsia" w:cs="宋体"/>
          <w:i w:val="0"/>
          <w:caps w:val="0"/>
          <w:color w:val="auto"/>
          <w:spacing w:val="0"/>
          <w:sz w:val="22"/>
          <w:szCs w:val="22"/>
          <w:highlight w:val="none"/>
          <w:lang w:eastAsia="zh-CN"/>
        </w:rPr>
        <w:t>（</w:t>
      </w:r>
      <w:r>
        <w:rPr>
          <w:rFonts w:hint="eastAsia" w:ascii="宋体" w:hAnsi="宋体" w:eastAsia="宋体" w:cs="宋体"/>
          <w:i w:val="0"/>
          <w:caps w:val="0"/>
          <w:color w:val="auto"/>
          <w:spacing w:val="0"/>
          <w:sz w:val="22"/>
          <w:szCs w:val="22"/>
          <w:highlight w:val="none"/>
        </w:rPr>
        <w:t>申请获取采购文件</w:t>
      </w:r>
      <w:r>
        <w:rPr>
          <w:rFonts w:hint="eastAsia" w:cs="宋体"/>
          <w:i w:val="0"/>
          <w:caps w:val="0"/>
          <w:color w:val="auto"/>
          <w:spacing w:val="0"/>
          <w:sz w:val="22"/>
          <w:szCs w:val="22"/>
          <w:highlight w:val="none"/>
          <w:lang w:eastAsia="zh-CN"/>
        </w:rPr>
        <w:t>）</w:t>
      </w:r>
      <w:r>
        <w:rPr>
          <w:rFonts w:hint="eastAsia" w:ascii="宋体" w:hAnsi="宋体" w:eastAsia="宋体" w:cs="宋体"/>
          <w:i w:val="0"/>
          <w:caps w:val="0"/>
          <w:color w:val="auto"/>
          <w:spacing w:val="0"/>
          <w:sz w:val="22"/>
          <w:szCs w:val="22"/>
          <w:highlight w:val="none"/>
        </w:rPr>
        <w:t>，填写获取采购文件的申请信息，提交后点击</w:t>
      </w:r>
      <w:r>
        <w:rPr>
          <w:rFonts w:hint="eastAsia" w:cs="宋体"/>
          <w:i w:val="0"/>
          <w:caps w:val="0"/>
          <w:color w:val="auto"/>
          <w:spacing w:val="0"/>
          <w:sz w:val="22"/>
          <w:szCs w:val="22"/>
          <w:highlight w:val="none"/>
          <w:lang w:eastAsia="zh-CN"/>
        </w:rPr>
        <w:t>（</w:t>
      </w:r>
      <w:r>
        <w:rPr>
          <w:rFonts w:hint="eastAsia" w:ascii="宋体" w:hAnsi="宋体" w:eastAsia="宋体" w:cs="宋体"/>
          <w:i w:val="0"/>
          <w:caps w:val="0"/>
          <w:color w:val="auto"/>
          <w:spacing w:val="0"/>
          <w:sz w:val="22"/>
          <w:szCs w:val="22"/>
          <w:highlight w:val="none"/>
        </w:rPr>
        <w:t>下载采购文件</w:t>
      </w:r>
      <w:r>
        <w:rPr>
          <w:rFonts w:hint="eastAsia" w:cs="宋体"/>
          <w:i w:val="0"/>
          <w:caps w:val="0"/>
          <w:color w:val="auto"/>
          <w:spacing w:val="0"/>
          <w:sz w:val="22"/>
          <w:szCs w:val="22"/>
          <w:highlight w:val="none"/>
          <w:lang w:eastAsia="zh-CN"/>
        </w:rPr>
        <w:t>）</w:t>
      </w:r>
      <w:r>
        <w:rPr>
          <w:rFonts w:hint="eastAsia" w:ascii="宋体" w:hAnsi="宋体" w:eastAsia="宋体" w:cs="宋体"/>
          <w:i w:val="0"/>
          <w:caps w:val="0"/>
          <w:color w:val="auto"/>
          <w:spacing w:val="0"/>
          <w:sz w:val="22"/>
          <w:szCs w:val="22"/>
          <w:highlight w:val="none"/>
        </w:rPr>
        <w:t>即可获取招标文件）（公告规定的招标文件获取方式为依法获取招标文件的方式，未按照公告规定的方式获取招标文件的，不得对招标文件提起质疑、投诉。）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售价（元）：0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2"/>
          <w:szCs w:val="22"/>
          <w:highlight w:val="none"/>
        </w:rPr>
      </w:pPr>
      <w:r>
        <w:rPr>
          <w:rStyle w:val="31"/>
          <w:rFonts w:hint="eastAsia" w:ascii="宋体" w:hAnsi="宋体" w:eastAsia="宋体" w:cs="宋体"/>
          <w:i w:val="0"/>
          <w:caps w:val="0"/>
          <w:color w:val="auto"/>
          <w:spacing w:val="0"/>
          <w:sz w:val="22"/>
          <w:szCs w:val="22"/>
          <w:highlight w:val="none"/>
        </w:rPr>
        <w:t>四、提交投标文件截止时间、开标时间和地点</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u w:val="none"/>
        </w:rPr>
        <w:t>提交投标文件截止时间：</w:t>
      </w:r>
      <w:r>
        <w:rPr>
          <w:rFonts w:hint="eastAsia" w:ascii="宋体" w:hAnsi="宋体" w:eastAsia="宋体" w:cs="宋体"/>
          <w:i w:val="0"/>
          <w:caps w:val="0"/>
          <w:color w:val="auto"/>
          <w:spacing w:val="0"/>
          <w:sz w:val="22"/>
          <w:szCs w:val="22"/>
          <w:highlight w:val="none"/>
          <w:u w:val="none"/>
          <w:lang w:eastAsia="zh-CN"/>
        </w:rPr>
        <w:t>2023年</w:t>
      </w:r>
      <w:r>
        <w:rPr>
          <w:rFonts w:hint="eastAsia" w:cs="宋体"/>
          <w:i w:val="0"/>
          <w:caps w:val="0"/>
          <w:color w:val="auto"/>
          <w:spacing w:val="0"/>
          <w:sz w:val="22"/>
          <w:szCs w:val="22"/>
          <w:highlight w:val="none"/>
          <w:u w:val="none"/>
          <w:lang w:val="en-US" w:eastAsia="zh-CN"/>
        </w:rPr>
        <w:t>05</w:t>
      </w:r>
      <w:r>
        <w:rPr>
          <w:rFonts w:hint="eastAsia" w:ascii="宋体" w:hAnsi="宋体" w:eastAsia="宋体" w:cs="宋体"/>
          <w:i w:val="0"/>
          <w:caps w:val="0"/>
          <w:color w:val="auto"/>
          <w:spacing w:val="0"/>
          <w:sz w:val="22"/>
          <w:szCs w:val="22"/>
          <w:highlight w:val="none"/>
          <w:u w:val="none"/>
          <w:lang w:eastAsia="zh-CN"/>
        </w:rPr>
        <w:t>月</w:t>
      </w:r>
      <w:r>
        <w:rPr>
          <w:rFonts w:hint="eastAsia" w:cs="宋体"/>
          <w:i w:val="0"/>
          <w:caps w:val="0"/>
          <w:color w:val="auto"/>
          <w:spacing w:val="0"/>
          <w:sz w:val="22"/>
          <w:szCs w:val="22"/>
          <w:highlight w:val="none"/>
          <w:u w:val="none"/>
          <w:lang w:val="en-US" w:eastAsia="zh-CN"/>
        </w:rPr>
        <w:t>05</w:t>
      </w:r>
      <w:r>
        <w:rPr>
          <w:rFonts w:hint="eastAsia" w:ascii="宋体" w:hAnsi="宋体" w:eastAsia="宋体" w:cs="宋体"/>
          <w:i w:val="0"/>
          <w:caps w:val="0"/>
          <w:color w:val="auto"/>
          <w:spacing w:val="0"/>
          <w:sz w:val="22"/>
          <w:szCs w:val="22"/>
          <w:highlight w:val="none"/>
          <w:u w:val="none"/>
          <w:lang w:eastAsia="zh-CN"/>
        </w:rPr>
        <w:t>日09:30</w:t>
      </w:r>
      <w:r>
        <w:rPr>
          <w:rFonts w:hint="eastAsia" w:ascii="宋体" w:hAnsi="宋体" w:eastAsia="宋体" w:cs="宋体"/>
          <w:i w:val="0"/>
          <w:caps w:val="0"/>
          <w:color w:val="auto"/>
          <w:spacing w:val="0"/>
          <w:sz w:val="22"/>
          <w:szCs w:val="22"/>
          <w:highlight w:val="none"/>
          <w:u w:val="none"/>
        </w:rPr>
        <w:t>（北京时间）</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u w:val="none"/>
        </w:rPr>
        <w:t>投标地点（网址）：政府采购云平台（https://login.zcygov.cn）</w:t>
      </w:r>
      <w:r>
        <w:rPr>
          <w:rFonts w:hint="eastAsia" w:ascii="宋体" w:hAnsi="宋体" w:eastAsia="宋体" w:cs="宋体"/>
          <w:i w:val="0"/>
          <w:caps w:val="0"/>
          <w:color w:val="auto"/>
          <w:spacing w:val="0"/>
          <w:sz w:val="22"/>
          <w:szCs w:val="22"/>
          <w:highlight w:val="none"/>
        </w:rPr>
        <w:t>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cs="宋体"/>
          <w:i w:val="0"/>
          <w:caps w:val="0"/>
          <w:color w:val="auto"/>
          <w:spacing w:val="0"/>
          <w:sz w:val="22"/>
          <w:szCs w:val="22"/>
          <w:highlight w:val="none"/>
          <w:u w:val="none"/>
          <w:lang w:val="en-US" w:eastAsia="zh-CN"/>
        </w:rPr>
        <w:t xml:space="preserve">    </w:t>
      </w:r>
      <w:r>
        <w:rPr>
          <w:rFonts w:hint="eastAsia" w:ascii="宋体" w:hAnsi="宋体" w:eastAsia="宋体" w:cs="宋体"/>
          <w:i w:val="0"/>
          <w:caps w:val="0"/>
          <w:color w:val="auto"/>
          <w:spacing w:val="0"/>
          <w:sz w:val="22"/>
          <w:szCs w:val="22"/>
          <w:highlight w:val="none"/>
          <w:u w:val="none"/>
        </w:rPr>
        <w:t>开标时间：</w:t>
      </w:r>
      <w:r>
        <w:rPr>
          <w:rFonts w:hint="eastAsia" w:ascii="宋体" w:hAnsi="宋体" w:eastAsia="宋体" w:cs="宋体"/>
          <w:i w:val="0"/>
          <w:caps w:val="0"/>
          <w:color w:val="auto"/>
          <w:spacing w:val="0"/>
          <w:sz w:val="22"/>
          <w:szCs w:val="22"/>
          <w:highlight w:val="none"/>
          <w:u w:val="none"/>
          <w:lang w:eastAsia="zh-CN"/>
        </w:rPr>
        <w:t>2023年</w:t>
      </w:r>
      <w:r>
        <w:rPr>
          <w:rFonts w:hint="eastAsia" w:cs="宋体"/>
          <w:i w:val="0"/>
          <w:caps w:val="0"/>
          <w:color w:val="auto"/>
          <w:spacing w:val="0"/>
          <w:sz w:val="22"/>
          <w:szCs w:val="22"/>
          <w:highlight w:val="none"/>
          <w:u w:val="none"/>
          <w:lang w:val="en-US" w:eastAsia="zh-CN"/>
        </w:rPr>
        <w:t>05</w:t>
      </w:r>
      <w:r>
        <w:rPr>
          <w:rFonts w:hint="eastAsia" w:ascii="宋体" w:hAnsi="宋体" w:eastAsia="宋体" w:cs="宋体"/>
          <w:i w:val="0"/>
          <w:caps w:val="0"/>
          <w:color w:val="auto"/>
          <w:spacing w:val="0"/>
          <w:sz w:val="22"/>
          <w:szCs w:val="22"/>
          <w:highlight w:val="none"/>
          <w:u w:val="none"/>
          <w:lang w:eastAsia="zh-CN"/>
        </w:rPr>
        <w:t>月</w:t>
      </w:r>
      <w:r>
        <w:rPr>
          <w:rFonts w:hint="eastAsia" w:cs="宋体"/>
          <w:i w:val="0"/>
          <w:caps w:val="0"/>
          <w:color w:val="auto"/>
          <w:spacing w:val="0"/>
          <w:sz w:val="22"/>
          <w:szCs w:val="22"/>
          <w:highlight w:val="none"/>
          <w:u w:val="none"/>
          <w:lang w:val="en-US" w:eastAsia="zh-CN"/>
        </w:rPr>
        <w:t>05</w:t>
      </w:r>
      <w:r>
        <w:rPr>
          <w:rFonts w:hint="eastAsia" w:ascii="宋体" w:hAnsi="宋体" w:eastAsia="宋体" w:cs="宋体"/>
          <w:i w:val="0"/>
          <w:caps w:val="0"/>
          <w:color w:val="auto"/>
          <w:spacing w:val="0"/>
          <w:sz w:val="22"/>
          <w:szCs w:val="22"/>
          <w:highlight w:val="none"/>
          <w:u w:val="none"/>
          <w:lang w:eastAsia="zh-CN"/>
        </w:rPr>
        <w:t>日 09:30</w:t>
      </w:r>
      <w:r>
        <w:rPr>
          <w:rFonts w:hint="eastAsia" w:ascii="宋体" w:hAnsi="宋体" w:eastAsia="宋体" w:cs="宋体"/>
          <w:i w:val="0"/>
          <w:caps w:val="0"/>
          <w:color w:val="auto"/>
          <w:spacing w:val="0"/>
          <w:sz w:val="22"/>
          <w:szCs w:val="22"/>
          <w:highlight w:val="none"/>
          <w:u w:val="none"/>
        </w:rPr>
        <w:t>（北京时间）</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cs="宋体"/>
          <w:i w:val="0"/>
          <w:caps w:val="0"/>
          <w:color w:val="auto"/>
          <w:spacing w:val="0"/>
          <w:sz w:val="22"/>
          <w:szCs w:val="22"/>
          <w:highlight w:val="none"/>
          <w:u w:val="none"/>
          <w:lang w:val="en-US" w:eastAsia="zh-CN"/>
        </w:rPr>
        <w:t xml:space="preserve">    </w:t>
      </w:r>
      <w:r>
        <w:rPr>
          <w:rFonts w:hint="eastAsia" w:ascii="宋体" w:hAnsi="宋体" w:eastAsia="宋体" w:cs="宋体"/>
          <w:i w:val="0"/>
          <w:caps w:val="0"/>
          <w:color w:val="auto"/>
          <w:spacing w:val="0"/>
          <w:sz w:val="22"/>
          <w:szCs w:val="22"/>
          <w:highlight w:val="none"/>
          <w:u w:val="none"/>
        </w:rPr>
        <w:t>开标地点（网址）：政府采购云平台（https://login.zcygov.cn）</w:t>
      </w:r>
      <w:r>
        <w:rPr>
          <w:rFonts w:hint="eastAsia" w:ascii="宋体" w:hAnsi="宋体" w:eastAsia="宋体" w:cs="宋体"/>
          <w:i w:val="0"/>
          <w:caps w:val="0"/>
          <w:color w:val="auto"/>
          <w:spacing w:val="0"/>
          <w:sz w:val="22"/>
          <w:szCs w:val="22"/>
          <w:highlight w:val="none"/>
        </w:rPr>
        <w:t>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2"/>
          <w:szCs w:val="22"/>
          <w:highlight w:val="none"/>
        </w:rPr>
      </w:pPr>
      <w:r>
        <w:rPr>
          <w:rStyle w:val="31"/>
          <w:rFonts w:hint="eastAsia" w:ascii="宋体" w:hAnsi="宋体" w:eastAsia="宋体" w:cs="宋体"/>
          <w:i w:val="0"/>
          <w:caps w:val="0"/>
          <w:color w:val="auto"/>
          <w:spacing w:val="0"/>
          <w:sz w:val="22"/>
          <w:szCs w:val="22"/>
          <w:highlight w:val="none"/>
        </w:rPr>
        <w:t>五、公告期限</w:t>
      </w:r>
      <w:r>
        <w:rPr>
          <w:rFonts w:hint="eastAsia" w:ascii="宋体" w:hAnsi="宋体" w:eastAsia="宋体" w:cs="宋体"/>
          <w:i w:val="0"/>
          <w:caps w:val="0"/>
          <w:color w:val="auto"/>
          <w:spacing w:val="0"/>
          <w:sz w:val="22"/>
          <w:szCs w:val="22"/>
          <w:highlight w:val="none"/>
        </w:rPr>
        <w:t>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自本公告发布之日起5个工作日。</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2"/>
          <w:szCs w:val="22"/>
          <w:highlight w:val="none"/>
        </w:rPr>
      </w:pPr>
      <w:r>
        <w:rPr>
          <w:rStyle w:val="31"/>
          <w:rFonts w:hint="eastAsia" w:ascii="宋体" w:hAnsi="宋体" w:eastAsia="宋体" w:cs="宋体"/>
          <w:i w:val="0"/>
          <w:caps w:val="0"/>
          <w:color w:val="auto"/>
          <w:spacing w:val="0"/>
          <w:sz w:val="22"/>
          <w:szCs w:val="22"/>
          <w:highlight w:val="none"/>
        </w:rPr>
        <w:t>六、其他补充事宜</w:t>
      </w:r>
    </w:p>
    <w:p>
      <w:pPr>
        <w:pStyle w:val="2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i w:val="0"/>
          <w:caps w:val="0"/>
          <w:color w:val="auto"/>
          <w:spacing w:val="0"/>
          <w:sz w:val="22"/>
          <w:szCs w:val="22"/>
          <w:highlight w:val="none"/>
          <w:lang w:eastAsia="zh-CN"/>
        </w:rPr>
      </w:pPr>
      <w:r>
        <w:rPr>
          <w:rFonts w:hint="eastAsia" w:ascii="宋体" w:hAnsi="宋体" w:eastAsia="宋体" w:cs="宋体"/>
          <w:i w:val="0"/>
          <w:caps w:val="0"/>
          <w:color w:val="auto"/>
          <w:spacing w:val="0"/>
          <w:sz w:val="22"/>
          <w:szCs w:val="22"/>
          <w:highlight w:val="none"/>
        </w:rPr>
        <w:t>    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2.其他事项：2.1投标人必须先在政府采购云平台进行登记注册，相关事宜请参照（《供应商网上注册操作指南》“浙江政府采购网首页-办事指南-注册-供应商注册申请”），登录政府采购云平台后台依法进行网上自主下载。2.2本项目实行电子投标，应按照本项目招标文件和政采云平台的要求编制、加密并递交投标文件。投标人在使用系统进行投标的过程中遇到涉及平台使用的任何问题，可致电政采云平台技术支持热线咨询，联系方式：400-881-7190。2.3投标人应在开标前完成CA数字证书办理。完成CA数字证书办理预计一周左右，建议各投标人抓紧时间办理。</w:t>
      </w:r>
      <w:r>
        <w:rPr>
          <w:rFonts w:hint="eastAsia" w:cs="宋体"/>
          <w:i w:val="0"/>
          <w:caps w:val="0"/>
          <w:color w:val="auto"/>
          <w:spacing w:val="0"/>
          <w:sz w:val="22"/>
          <w:szCs w:val="22"/>
          <w:highlight w:val="none"/>
          <w:lang w:eastAsia="zh-CN"/>
        </w:rPr>
        <w:t>（</w:t>
      </w:r>
      <w:r>
        <w:rPr>
          <w:rFonts w:hint="eastAsia" w:ascii="宋体" w:hAnsi="宋体" w:eastAsia="宋体" w:cs="宋体"/>
          <w:i w:val="0"/>
          <w:caps w:val="0"/>
          <w:color w:val="auto"/>
          <w:spacing w:val="0"/>
          <w:sz w:val="22"/>
          <w:szCs w:val="22"/>
          <w:highlight w:val="none"/>
        </w:rPr>
        <w:t>（目前“政采云”平台仅支持浙江汇信或天谷CA锁，个体工商户投标仅支持浙江汇信CA锁）申领操作流程”</w:t>
      </w:r>
      <w:r>
        <w:rPr>
          <w:rFonts w:hint="eastAsia" w:cs="宋体"/>
          <w:i w:val="0"/>
          <w:caps w:val="0"/>
          <w:color w:val="auto"/>
          <w:spacing w:val="0"/>
          <w:sz w:val="22"/>
          <w:szCs w:val="22"/>
          <w:highlight w:val="none"/>
          <w:lang w:eastAsia="zh-CN"/>
        </w:rPr>
        <w:t>）</w:t>
      </w:r>
      <w:r>
        <w:rPr>
          <w:rFonts w:hint="eastAsia" w:ascii="宋体" w:hAnsi="宋体" w:eastAsia="宋体" w:cs="宋体"/>
          <w:i w:val="0"/>
          <w:caps w:val="0"/>
          <w:color w:val="auto"/>
          <w:spacing w:val="0"/>
          <w:sz w:val="22"/>
          <w:szCs w:val="22"/>
          <w:highlight w:val="none"/>
        </w:rPr>
        <w:t>。因未注册入库、未办理CA数字证书等原因造成无法投标或投标失败等后果由投标人自行承担。《CA驱动和申领流程》：zfcg.czt.zj.gov.cn/bidClientTemplate/2019-05-27/12945.html。《CA管理操作指南》：https://service.zcygov.cn/#/knowledges/cm2eqWwBFdiHxlNd_otq/lwV6GXABiyELHE-oVMj3?keyword。2.4投标人通过政采云平台电子投标工具制作投标文件，电子投标工具请投标人自行前往浙江省政府采购网下载并安装，（电子交易客户端下载地址：zfcg.czt.zj.gov.cn/bidClientTemplate/2019-09-24/12975.html），电子投标操作指南详见：“https://edu.zcygov.cn/luban/e-biding”。2.5投标人可通过浙江省“电子交易/不见面开评标”学习专题提前进行专题学习，熟悉操作，避免影响采购活动（https://edu.zcygov.cn/luban/e-biding）。</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2"/>
          <w:szCs w:val="22"/>
          <w:highlight w:val="none"/>
        </w:rPr>
      </w:pPr>
      <w:r>
        <w:rPr>
          <w:rStyle w:val="31"/>
          <w:rFonts w:hint="eastAsia" w:ascii="宋体" w:hAnsi="宋体" w:eastAsia="宋体" w:cs="宋体"/>
          <w:i w:val="0"/>
          <w:caps w:val="0"/>
          <w:color w:val="auto"/>
          <w:spacing w:val="0"/>
          <w:sz w:val="22"/>
          <w:szCs w:val="22"/>
          <w:highlight w:val="none"/>
        </w:rPr>
        <w:t>七、对本次采购提出询问、质疑、投诉，请按以下方式联系</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1.采购人信息</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名   </w:t>
      </w: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 xml:space="preserve"> 称：</w:t>
      </w:r>
      <w:r>
        <w:rPr>
          <w:rFonts w:hint="eastAsia" w:cs="宋体"/>
          <w:i w:val="0"/>
          <w:caps w:val="0"/>
          <w:color w:val="auto"/>
          <w:spacing w:val="0"/>
          <w:sz w:val="22"/>
          <w:szCs w:val="22"/>
          <w:highlight w:val="none"/>
          <w:lang w:eastAsia="zh-CN"/>
        </w:rPr>
        <w:t>温州市洞头区人民政府灵昆街道办事处</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xml:space="preserve">    地    </w:t>
      </w: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址：</w:t>
      </w:r>
      <w:r>
        <w:rPr>
          <w:rFonts w:hint="eastAsia" w:cs="宋体"/>
          <w:i w:val="0"/>
          <w:caps w:val="0"/>
          <w:color w:val="auto"/>
          <w:spacing w:val="0"/>
          <w:sz w:val="22"/>
          <w:szCs w:val="22"/>
          <w:highlight w:val="none"/>
          <w:lang w:eastAsia="zh-CN"/>
        </w:rPr>
        <w:t>浙江省温州市洞头区灵昆镇沙塘村繁灵街9号</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i w:val="0"/>
          <w:caps w:val="0"/>
          <w:color w:val="auto"/>
          <w:spacing w:val="0"/>
          <w:sz w:val="22"/>
          <w:szCs w:val="22"/>
          <w:highlight w:val="none"/>
        </w:rPr>
        <w:t xml:space="preserve">    传    </w:t>
      </w: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真：</w:t>
      </w:r>
      <w:r>
        <w:rPr>
          <w:rFonts w:hint="eastAsia" w:cs="宋体"/>
          <w:i w:val="0"/>
          <w:caps w:val="0"/>
          <w:color w:val="auto"/>
          <w:spacing w:val="0"/>
          <w:sz w:val="22"/>
          <w:szCs w:val="22"/>
          <w:highlight w:val="none"/>
          <w:lang w:val="en-US" w:eastAsia="zh-CN"/>
        </w:rPr>
        <w:t>/</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lang w:eastAsia="zh-CN"/>
        </w:rPr>
      </w:pPr>
      <w:r>
        <w:rPr>
          <w:rFonts w:hint="eastAsia" w:ascii="宋体" w:hAnsi="宋体" w:eastAsia="宋体" w:cs="宋体"/>
          <w:i w:val="0"/>
          <w:caps w:val="0"/>
          <w:color w:val="auto"/>
          <w:spacing w:val="0"/>
          <w:sz w:val="22"/>
          <w:szCs w:val="22"/>
          <w:highlight w:val="none"/>
        </w:rPr>
        <w:t>    项目联系人（询问）：</w:t>
      </w:r>
      <w:r>
        <w:rPr>
          <w:rFonts w:hint="eastAsia" w:cs="宋体"/>
          <w:i w:val="0"/>
          <w:caps w:val="0"/>
          <w:color w:val="auto"/>
          <w:spacing w:val="0"/>
          <w:sz w:val="22"/>
          <w:szCs w:val="22"/>
          <w:highlight w:val="none"/>
          <w:lang w:val="en-US" w:eastAsia="zh-CN"/>
        </w:rPr>
        <w:t>陈浩</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项目联系方式（询问）：</w:t>
      </w:r>
      <w:r>
        <w:rPr>
          <w:rFonts w:hint="eastAsia" w:cs="宋体"/>
          <w:i w:val="0"/>
          <w:caps w:val="0"/>
          <w:color w:val="auto"/>
          <w:spacing w:val="0"/>
          <w:sz w:val="22"/>
          <w:szCs w:val="22"/>
          <w:highlight w:val="none"/>
          <w:lang w:eastAsia="zh-CN"/>
        </w:rPr>
        <w:t>13736735357</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质疑联系人：</w:t>
      </w:r>
      <w:r>
        <w:rPr>
          <w:rFonts w:hint="eastAsia" w:cs="宋体"/>
          <w:i w:val="0"/>
          <w:caps w:val="0"/>
          <w:color w:val="auto"/>
          <w:spacing w:val="0"/>
          <w:sz w:val="22"/>
          <w:szCs w:val="22"/>
          <w:highlight w:val="none"/>
          <w:lang w:eastAsia="zh-CN"/>
        </w:rPr>
        <w:t>金伟</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质疑联系方式：</w:t>
      </w:r>
      <w:r>
        <w:rPr>
          <w:rFonts w:hint="eastAsia" w:cs="宋体"/>
          <w:i w:val="0"/>
          <w:caps w:val="0"/>
          <w:color w:val="auto"/>
          <w:spacing w:val="0"/>
          <w:sz w:val="22"/>
          <w:szCs w:val="22"/>
          <w:highlight w:val="none"/>
          <w:lang w:eastAsia="zh-CN"/>
        </w:rPr>
        <w:t>13958958922</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i w:val="0"/>
          <w:caps w:val="0"/>
          <w:color w:val="auto"/>
          <w:spacing w:val="0"/>
          <w:sz w:val="22"/>
          <w:szCs w:val="22"/>
          <w:highlight w:val="none"/>
          <w:lang w:eastAsia="zh-CN"/>
        </w:rPr>
      </w:pPr>
      <w:r>
        <w:rPr>
          <w:rFonts w:hint="eastAsia" w:ascii="宋体" w:hAnsi="宋体" w:eastAsia="宋体" w:cs="宋体"/>
          <w:i w:val="0"/>
          <w:caps w:val="0"/>
          <w:color w:val="auto"/>
          <w:spacing w:val="0"/>
          <w:sz w:val="22"/>
          <w:szCs w:val="22"/>
          <w:highlight w:val="none"/>
        </w:rPr>
        <w:t>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2.采购代理机构信息</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名  </w:t>
      </w: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  称：</w:t>
      </w:r>
      <w:r>
        <w:rPr>
          <w:rFonts w:hint="eastAsia" w:cs="宋体"/>
          <w:i w:val="0"/>
          <w:caps w:val="0"/>
          <w:color w:val="auto"/>
          <w:spacing w:val="0"/>
          <w:sz w:val="22"/>
          <w:szCs w:val="22"/>
          <w:highlight w:val="none"/>
          <w:lang w:eastAsia="zh-CN"/>
        </w:rPr>
        <w:t>温州市建设工程咨询有限公司</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地  </w:t>
      </w: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  址：</w:t>
      </w:r>
      <w:r>
        <w:rPr>
          <w:rFonts w:hint="eastAsia" w:cs="宋体"/>
          <w:i w:val="0"/>
          <w:caps w:val="0"/>
          <w:color w:val="auto"/>
          <w:spacing w:val="0"/>
          <w:sz w:val="22"/>
          <w:szCs w:val="22"/>
          <w:highlight w:val="none"/>
          <w:lang w:eastAsia="zh-CN"/>
        </w:rPr>
        <w:t>温州市鹿城区垟儿路71号5楼招标代理部</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传</w:t>
      </w: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真：</w:t>
      </w:r>
      <w:r>
        <w:rPr>
          <w:rFonts w:hint="eastAsia" w:cs="宋体"/>
          <w:i w:val="0"/>
          <w:caps w:val="0"/>
          <w:color w:val="auto"/>
          <w:spacing w:val="0"/>
          <w:sz w:val="22"/>
          <w:szCs w:val="22"/>
          <w:highlight w:val="none"/>
          <w:lang w:val="en-US" w:eastAsia="zh-CN"/>
        </w:rPr>
        <w:t>/</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项目联系人（询问）：钱天玮</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项目联系方式（询问）：</w:t>
      </w:r>
      <w:r>
        <w:rPr>
          <w:rFonts w:hint="eastAsia" w:cs="宋体"/>
          <w:i w:val="0"/>
          <w:caps w:val="0"/>
          <w:color w:val="auto"/>
          <w:spacing w:val="0"/>
          <w:sz w:val="22"/>
          <w:szCs w:val="22"/>
          <w:highlight w:val="none"/>
          <w:lang w:eastAsia="zh-CN"/>
        </w:rPr>
        <w:t>0577-88895781/13867726404</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质疑联系人：</w:t>
      </w:r>
      <w:r>
        <w:rPr>
          <w:rFonts w:hint="eastAsia" w:cs="宋体"/>
          <w:i w:val="0"/>
          <w:caps w:val="0"/>
          <w:color w:val="auto"/>
          <w:spacing w:val="0"/>
          <w:sz w:val="22"/>
          <w:szCs w:val="22"/>
          <w:highlight w:val="none"/>
          <w:lang w:eastAsia="zh-CN"/>
        </w:rPr>
        <w:t>冯</w:t>
      </w:r>
      <w:r>
        <w:rPr>
          <w:rFonts w:hint="eastAsia" w:cs="宋体"/>
          <w:i w:val="0"/>
          <w:caps w:val="0"/>
          <w:color w:val="auto"/>
          <w:spacing w:val="0"/>
          <w:sz w:val="22"/>
          <w:szCs w:val="22"/>
          <w:highlight w:val="none"/>
          <w:lang w:val="en-US" w:eastAsia="zh-CN"/>
        </w:rPr>
        <w:t>云桑</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质疑联系方式：</w:t>
      </w:r>
      <w:r>
        <w:rPr>
          <w:rFonts w:hint="eastAsia" w:cs="宋体"/>
          <w:i w:val="0"/>
          <w:caps w:val="0"/>
          <w:color w:val="auto"/>
          <w:spacing w:val="0"/>
          <w:sz w:val="22"/>
          <w:szCs w:val="22"/>
          <w:highlight w:val="none"/>
          <w:lang w:eastAsia="zh-CN"/>
        </w:rPr>
        <w:t>0577-88895781/15158642822</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i w:val="0"/>
          <w:caps w:val="0"/>
          <w:color w:val="auto"/>
          <w:spacing w:val="0"/>
          <w:sz w:val="22"/>
          <w:szCs w:val="22"/>
          <w:highlight w:val="none"/>
          <w:lang w:eastAsia="zh-CN"/>
        </w:rPr>
      </w:pPr>
      <w:r>
        <w:rPr>
          <w:rFonts w:hint="eastAsia" w:ascii="宋体" w:hAnsi="宋体" w:eastAsia="宋体" w:cs="宋体"/>
          <w:i w:val="0"/>
          <w:caps w:val="0"/>
          <w:color w:val="auto"/>
          <w:spacing w:val="0"/>
          <w:sz w:val="22"/>
          <w:szCs w:val="22"/>
          <w:highlight w:val="none"/>
        </w:rPr>
        <w:t>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3.同级政府采购监督管理部门</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名   </w:t>
      </w: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 xml:space="preserve"> 称：温州市财政局政府采购监管处</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地  </w:t>
      </w: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  址：温州市鹿城区绣山路299号</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xml:space="preserve">    传    </w:t>
      </w: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真：/</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联</w:t>
      </w: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系</w:t>
      </w:r>
      <w:r>
        <w:rPr>
          <w:rFonts w:hint="eastAsia" w:cs="宋体"/>
          <w:i w:val="0"/>
          <w:caps w:val="0"/>
          <w:color w:val="auto"/>
          <w:spacing w:val="0"/>
          <w:sz w:val="22"/>
          <w:szCs w:val="22"/>
          <w:highlight w:val="none"/>
          <w:lang w:val="en-US" w:eastAsia="zh-CN"/>
        </w:rPr>
        <w:t xml:space="preserve">   </w:t>
      </w:r>
      <w:r>
        <w:rPr>
          <w:rFonts w:hint="eastAsia" w:ascii="宋体" w:hAnsi="宋体" w:eastAsia="宋体" w:cs="宋体"/>
          <w:i w:val="0"/>
          <w:caps w:val="0"/>
          <w:color w:val="auto"/>
          <w:spacing w:val="0"/>
          <w:sz w:val="22"/>
          <w:szCs w:val="22"/>
          <w:highlight w:val="none"/>
        </w:rPr>
        <w:t>人：胡女士、蔡女士</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i w:val="0"/>
          <w:caps w:val="0"/>
          <w:color w:val="auto"/>
          <w:spacing w:val="0"/>
          <w:sz w:val="22"/>
          <w:szCs w:val="22"/>
          <w:highlight w:val="none"/>
          <w:lang w:eastAsia="zh-CN"/>
        </w:rPr>
      </w:pPr>
      <w:r>
        <w:rPr>
          <w:rFonts w:hint="eastAsia" w:ascii="宋体" w:hAnsi="宋体" w:eastAsia="宋体" w:cs="宋体"/>
          <w:i w:val="0"/>
          <w:caps w:val="0"/>
          <w:color w:val="auto"/>
          <w:spacing w:val="0"/>
          <w:sz w:val="22"/>
          <w:szCs w:val="22"/>
          <w:highlight w:val="none"/>
        </w:rPr>
        <w:t>    监督投诉电话：0577-88506788、88523909</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caps w:val="0"/>
          <w:color w:val="auto"/>
          <w:spacing w:val="0"/>
          <w:sz w:val="22"/>
          <w:szCs w:val="22"/>
          <w:highlight w:val="none"/>
        </w:rPr>
        <w:t>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eastAsia" w:ascii="宋体" w:hAnsi="宋体" w:eastAsia="宋体" w:cs="宋体"/>
          <w:i w:val="0"/>
          <w:caps w:val="0"/>
          <w:color w:val="auto"/>
          <w:spacing w:val="0"/>
          <w:sz w:val="22"/>
          <w:szCs w:val="22"/>
          <w:highlight w:val="none"/>
        </w:rPr>
      </w:pPr>
      <w:r>
        <w:rPr>
          <w:rFonts w:hint="eastAsia" w:ascii="宋体" w:hAnsi="宋体" w:eastAsia="宋体" w:cs="宋体"/>
          <w:i w:val="0"/>
          <w:caps w:val="0"/>
          <w:color w:val="auto"/>
          <w:spacing w:val="0"/>
          <w:kern w:val="0"/>
          <w:sz w:val="22"/>
          <w:szCs w:val="22"/>
          <w:highlight w:val="none"/>
          <w:lang w:val="en-US" w:eastAsia="zh-CN" w:bidi="ar"/>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eastAsia" w:ascii="宋体" w:hAnsi="宋体" w:eastAsia="宋体" w:cs="宋体"/>
          <w:i w:val="0"/>
          <w:caps w:val="0"/>
          <w:color w:val="auto"/>
          <w:spacing w:val="0"/>
          <w:sz w:val="22"/>
          <w:szCs w:val="22"/>
          <w:highlight w:val="none"/>
        </w:rPr>
      </w:pPr>
      <w:r>
        <w:rPr>
          <w:rFonts w:hint="eastAsia" w:ascii="宋体" w:hAnsi="宋体" w:eastAsia="宋体" w:cs="宋体"/>
          <w:i w:val="0"/>
          <w:caps w:val="0"/>
          <w:color w:val="auto"/>
          <w:spacing w:val="0"/>
          <w:kern w:val="0"/>
          <w:sz w:val="22"/>
          <w:szCs w:val="22"/>
          <w:highlight w:val="none"/>
          <w:lang w:val="en-US" w:eastAsia="zh-CN" w:bidi="ar"/>
        </w:rPr>
        <w:t>CA问题联系电话（人工）：汇信CA 400-888-4636；天谷CA 400-087-8198。</w:t>
      </w:r>
    </w:p>
    <w:p>
      <w:pPr>
        <w:spacing w:line="360" w:lineRule="exact"/>
        <w:jc w:val="right"/>
        <w:rPr>
          <w:rFonts w:hint="eastAsia" w:ascii="宋体" w:hAnsi="宋体" w:eastAsia="宋体" w:cs="宋体"/>
          <w:color w:val="auto"/>
          <w:sz w:val="22"/>
          <w:highlight w:val="none"/>
        </w:rPr>
      </w:pPr>
    </w:p>
    <w:p>
      <w:pPr>
        <w:pStyle w:val="2"/>
        <w:rPr>
          <w:rFonts w:hint="eastAsia"/>
          <w:color w:val="auto"/>
          <w:highlight w:val="none"/>
        </w:rPr>
      </w:pP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auto"/>
          <w:sz w:val="22"/>
          <w:highlight w:val="none"/>
          <w:lang w:eastAsia="zh-CN"/>
        </w:rPr>
      </w:pPr>
      <w:r>
        <w:rPr>
          <w:rFonts w:hint="eastAsia" w:ascii="宋体" w:hAnsi="宋体" w:cs="宋体"/>
          <w:color w:val="auto"/>
          <w:sz w:val="22"/>
          <w:highlight w:val="none"/>
          <w:lang w:eastAsia="zh-CN"/>
        </w:rPr>
        <w:t>温州市洞头区人民政府灵昆街道办事处</w:t>
      </w: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auto"/>
          <w:sz w:val="22"/>
          <w:highlight w:val="none"/>
          <w:lang w:eastAsia="zh-CN"/>
        </w:rPr>
      </w:pPr>
      <w:r>
        <w:rPr>
          <w:rFonts w:hint="eastAsia" w:ascii="宋体" w:hAnsi="宋体" w:cs="宋体"/>
          <w:color w:val="auto"/>
          <w:sz w:val="22"/>
          <w:highlight w:val="none"/>
          <w:lang w:eastAsia="zh-CN"/>
        </w:rPr>
        <w:t>温州市建设工程咨询有限公司</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i w:val="0"/>
          <w:caps w:val="0"/>
          <w:color w:val="auto"/>
          <w:spacing w:val="0"/>
          <w:sz w:val="22"/>
          <w:szCs w:val="22"/>
          <w:highlight w:val="none"/>
          <w:u w:val="none"/>
          <w:lang w:eastAsia="zh-CN"/>
        </w:rPr>
      </w:pPr>
      <w:r>
        <w:rPr>
          <w:rFonts w:hint="eastAsia" w:ascii="宋体" w:hAnsi="宋体" w:eastAsia="宋体" w:cs="宋体"/>
          <w:i w:val="0"/>
          <w:caps w:val="0"/>
          <w:color w:val="auto"/>
          <w:spacing w:val="0"/>
          <w:sz w:val="22"/>
          <w:szCs w:val="22"/>
          <w:highlight w:val="none"/>
          <w:u w:val="none"/>
          <w:lang w:eastAsia="zh-CN"/>
        </w:rPr>
        <w:t>2023年</w:t>
      </w:r>
      <w:r>
        <w:rPr>
          <w:rFonts w:hint="eastAsia" w:cs="宋体"/>
          <w:i w:val="0"/>
          <w:caps w:val="0"/>
          <w:color w:val="auto"/>
          <w:spacing w:val="0"/>
          <w:sz w:val="22"/>
          <w:szCs w:val="22"/>
          <w:highlight w:val="none"/>
          <w:u w:val="none"/>
          <w:lang w:val="en-US" w:eastAsia="zh-CN"/>
        </w:rPr>
        <w:t>04</w:t>
      </w:r>
      <w:r>
        <w:rPr>
          <w:rFonts w:hint="eastAsia" w:ascii="宋体" w:hAnsi="宋体" w:eastAsia="宋体" w:cs="宋体"/>
          <w:i w:val="0"/>
          <w:caps w:val="0"/>
          <w:color w:val="auto"/>
          <w:spacing w:val="0"/>
          <w:sz w:val="22"/>
          <w:szCs w:val="22"/>
          <w:highlight w:val="none"/>
          <w:u w:val="none"/>
          <w:lang w:eastAsia="zh-CN"/>
        </w:rPr>
        <w:t>月</w:t>
      </w:r>
      <w:r>
        <w:rPr>
          <w:rFonts w:hint="eastAsia" w:cs="宋体"/>
          <w:i w:val="0"/>
          <w:caps w:val="0"/>
          <w:color w:val="auto"/>
          <w:spacing w:val="0"/>
          <w:sz w:val="22"/>
          <w:szCs w:val="22"/>
          <w:highlight w:val="none"/>
          <w:u w:val="none"/>
          <w:lang w:val="en-US" w:eastAsia="zh-CN"/>
        </w:rPr>
        <w:t>11</w:t>
      </w:r>
      <w:r>
        <w:rPr>
          <w:rFonts w:hint="eastAsia" w:ascii="宋体" w:hAnsi="宋体" w:eastAsia="宋体" w:cs="宋体"/>
          <w:i w:val="0"/>
          <w:caps w:val="0"/>
          <w:color w:val="auto"/>
          <w:spacing w:val="0"/>
          <w:sz w:val="22"/>
          <w:szCs w:val="22"/>
          <w:highlight w:val="none"/>
          <w:u w:val="none"/>
          <w:lang w:eastAsia="zh-CN"/>
        </w:rPr>
        <w:t>日</w:t>
      </w:r>
    </w:p>
    <w:p>
      <w:pPr>
        <w:spacing w:line="400" w:lineRule="exact"/>
        <w:ind w:left="479" w:leftChars="228"/>
        <w:jc w:val="right"/>
        <w:rPr>
          <w:rFonts w:hint="eastAsia" w:ascii="宋体" w:hAnsi="宋体" w:eastAsia="宋体" w:cs="宋体"/>
          <w:color w:val="auto"/>
          <w:szCs w:val="21"/>
          <w:highlight w:val="none"/>
        </w:rPr>
      </w:pPr>
    </w:p>
    <w:p>
      <w:pPr>
        <w:pStyle w:val="2"/>
        <w:ind w:firstLine="321"/>
        <w:rPr>
          <w:rFonts w:hint="eastAsia" w:ascii="宋体" w:hAnsi="宋体" w:eastAsia="宋体" w:cs="宋体"/>
          <w:color w:val="auto"/>
          <w:szCs w:val="21"/>
          <w:highlight w:val="none"/>
        </w:rPr>
      </w:pPr>
    </w:p>
    <w:p>
      <w:pPr>
        <w:pStyle w:val="2"/>
        <w:ind w:firstLine="321"/>
        <w:rPr>
          <w:rFonts w:hint="eastAsia" w:ascii="宋体" w:hAnsi="宋体" w:eastAsia="宋体" w:cs="宋体"/>
          <w:color w:val="auto"/>
          <w:szCs w:val="21"/>
          <w:highlight w:val="none"/>
        </w:rPr>
      </w:pPr>
    </w:p>
    <w:p>
      <w:pPr>
        <w:pStyle w:val="2"/>
        <w:ind w:firstLine="321"/>
        <w:rPr>
          <w:rFonts w:hint="eastAsia" w:ascii="宋体" w:hAnsi="宋体" w:eastAsia="宋体" w:cs="宋体"/>
          <w:color w:val="auto"/>
          <w:szCs w:val="21"/>
          <w:highlight w:val="none"/>
        </w:rPr>
      </w:pPr>
    </w:p>
    <w:p>
      <w:pPr>
        <w:pStyle w:val="2"/>
        <w:ind w:firstLine="321"/>
        <w:rPr>
          <w:rFonts w:hint="eastAsia" w:ascii="宋体" w:hAnsi="宋体" w:eastAsia="宋体" w:cs="宋体"/>
          <w:color w:val="auto"/>
          <w:szCs w:val="21"/>
          <w:highlight w:val="none"/>
        </w:rPr>
      </w:pPr>
    </w:p>
    <w:p>
      <w:pPr>
        <w:pStyle w:val="2"/>
        <w:ind w:firstLine="321"/>
        <w:rPr>
          <w:rFonts w:hint="eastAsia" w:ascii="宋体" w:hAnsi="宋体" w:eastAsia="宋体" w:cs="宋体"/>
          <w:color w:val="auto"/>
          <w:szCs w:val="21"/>
          <w:highlight w:val="none"/>
        </w:rPr>
      </w:pPr>
    </w:p>
    <w:p>
      <w:pPr>
        <w:pStyle w:val="2"/>
        <w:ind w:firstLine="321"/>
        <w:rPr>
          <w:rFonts w:hint="eastAsia" w:ascii="宋体" w:hAnsi="宋体" w:eastAsia="宋体" w:cs="宋体"/>
          <w:color w:val="auto"/>
          <w:szCs w:val="21"/>
          <w:highlight w:val="none"/>
        </w:rPr>
      </w:pPr>
    </w:p>
    <w:p>
      <w:pPr>
        <w:pStyle w:val="2"/>
        <w:ind w:firstLine="321"/>
        <w:rPr>
          <w:rFonts w:hint="eastAsia" w:ascii="宋体" w:hAnsi="宋体" w:eastAsia="宋体" w:cs="宋体"/>
          <w:color w:val="auto"/>
          <w:szCs w:val="21"/>
          <w:highlight w:val="none"/>
        </w:rPr>
      </w:pPr>
    </w:p>
    <w:p>
      <w:pPr>
        <w:pStyle w:val="2"/>
        <w:ind w:firstLine="321"/>
        <w:rPr>
          <w:rFonts w:hint="eastAsia" w:ascii="宋体" w:hAnsi="宋体" w:eastAsia="宋体" w:cs="宋体"/>
          <w:color w:val="auto"/>
          <w:szCs w:val="21"/>
          <w:highlight w:val="none"/>
        </w:rPr>
      </w:pPr>
    </w:p>
    <w:p>
      <w:pPr>
        <w:pStyle w:val="2"/>
        <w:ind w:firstLine="321"/>
        <w:rPr>
          <w:rFonts w:hint="eastAsia" w:ascii="宋体" w:hAnsi="宋体" w:eastAsia="宋体" w:cs="宋体"/>
          <w:color w:val="auto"/>
          <w:szCs w:val="21"/>
          <w:highlight w:val="none"/>
        </w:rPr>
      </w:pPr>
    </w:p>
    <w:p>
      <w:pPr>
        <w:pStyle w:val="2"/>
        <w:ind w:firstLine="321"/>
        <w:rPr>
          <w:rFonts w:hint="eastAsia" w:ascii="宋体" w:hAnsi="宋体" w:eastAsia="宋体" w:cs="宋体"/>
          <w:color w:val="auto"/>
          <w:szCs w:val="21"/>
          <w:highlight w:val="none"/>
        </w:rPr>
      </w:pPr>
    </w:p>
    <w:p>
      <w:pPr>
        <w:pStyle w:val="2"/>
        <w:ind w:firstLine="321"/>
        <w:rPr>
          <w:rFonts w:hint="eastAsia" w:ascii="宋体" w:hAnsi="宋体" w:eastAsia="宋体" w:cs="宋体"/>
          <w:color w:val="auto"/>
          <w:szCs w:val="21"/>
          <w:highlight w:val="none"/>
        </w:rPr>
      </w:pPr>
    </w:p>
    <w:p>
      <w:pPr>
        <w:pStyle w:val="2"/>
        <w:ind w:firstLine="321"/>
        <w:rPr>
          <w:rFonts w:hint="eastAsia" w:ascii="宋体" w:hAnsi="宋体" w:eastAsia="宋体" w:cs="宋体"/>
          <w:color w:val="auto"/>
          <w:szCs w:val="21"/>
          <w:highlight w:val="none"/>
        </w:rPr>
      </w:pPr>
    </w:p>
    <w:p>
      <w:pPr>
        <w:spacing w:line="400" w:lineRule="exact"/>
        <w:jc w:val="center"/>
        <w:rPr>
          <w:rFonts w:hint="eastAsia" w:ascii="宋体" w:hAnsi="宋体" w:eastAsia="宋体" w:cs="宋体"/>
          <w:b/>
          <w:color w:val="auto"/>
          <w:sz w:val="32"/>
          <w:highlight w:val="none"/>
        </w:rPr>
      </w:pPr>
    </w:p>
    <w:p>
      <w:pPr>
        <w:spacing w:afterAutospacing="0" w:line="4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第二部分     投标人须知</w:t>
      </w:r>
    </w:p>
    <w:p>
      <w:pPr>
        <w:spacing w:before="159" w:beforeLines="50" w:beforeAutospacing="0" w:after="159" w:afterLines="50" w:afterAutospacing="0" w:line="36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投标人须知前附表</w:t>
      </w:r>
    </w:p>
    <w:tbl>
      <w:tblPr>
        <w:tblStyle w:val="28"/>
        <w:tblW w:w="8879" w:type="dxa"/>
        <w:jc w:val="center"/>
        <w:tblLayout w:type="fixed"/>
        <w:tblCellMar>
          <w:top w:w="0" w:type="dxa"/>
          <w:left w:w="108" w:type="dxa"/>
          <w:bottom w:w="0" w:type="dxa"/>
          <w:right w:w="108" w:type="dxa"/>
        </w:tblCellMar>
      </w:tblPr>
      <w:tblGrid>
        <w:gridCol w:w="766"/>
        <w:gridCol w:w="1796"/>
        <w:gridCol w:w="6317"/>
      </w:tblGrid>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beforeAutospacing="0"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序号</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条款名称</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编列内容</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采购人</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hint="eastAsia" w:ascii="宋体" w:hAnsi="宋体" w:eastAsia="宋体" w:cs="宋体"/>
                <w:color w:val="auto"/>
                <w:sz w:val="22"/>
                <w:highlight w:val="none"/>
                <w:lang w:val="zh-CN"/>
              </w:rPr>
            </w:pPr>
            <w:r>
              <w:rPr>
                <w:rFonts w:hint="eastAsia" w:ascii="宋体" w:hAnsi="宋体" w:cs="宋体"/>
                <w:color w:val="auto"/>
                <w:kern w:val="0"/>
                <w:sz w:val="22"/>
                <w:highlight w:val="none"/>
                <w:lang w:val="zh-CN"/>
              </w:rPr>
              <w:t>温州市洞头区人民政府灵昆街道办事处</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采购代理机构</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kern w:val="0"/>
                <w:sz w:val="22"/>
                <w:highlight w:val="none"/>
                <w:lang w:val="zh-CN"/>
              </w:rPr>
            </w:pPr>
            <w:r>
              <w:rPr>
                <w:rFonts w:hint="eastAsia" w:ascii="宋体" w:hAnsi="宋体" w:cs="宋体"/>
                <w:color w:val="auto"/>
                <w:sz w:val="22"/>
                <w:highlight w:val="none"/>
                <w:lang w:val="zh-CN"/>
              </w:rPr>
              <w:t>温州市建设工程咨询有限公司</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项目名称</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color w:val="auto"/>
                <w:sz w:val="22"/>
                <w:highlight w:val="none"/>
                <w:lang w:eastAsia="zh-CN"/>
              </w:rPr>
            </w:pPr>
            <w:r>
              <w:rPr>
                <w:rFonts w:hint="eastAsia" w:ascii="宋体" w:hAnsi="宋体" w:cs="宋体"/>
                <w:color w:val="auto"/>
                <w:sz w:val="22"/>
                <w:highlight w:val="none"/>
                <w:lang w:eastAsia="zh-CN"/>
              </w:rPr>
              <w:t>2023年灵昆街道道路及河道保洁项目</w:t>
            </w:r>
          </w:p>
          <w:p>
            <w:pPr>
              <w:autoSpaceDE w:val="0"/>
              <w:autoSpaceDN w:val="0"/>
              <w:adjustRightInd w:val="0"/>
              <w:spacing w:line="360" w:lineRule="exact"/>
              <w:rPr>
                <w:rFonts w:hint="eastAsia" w:ascii="宋体" w:hAnsi="宋体" w:eastAsia="宋体" w:cs="宋体"/>
                <w:color w:val="auto"/>
                <w:kern w:val="0"/>
                <w:sz w:val="22"/>
                <w:highlight w:val="none"/>
                <w:lang w:val="zh-CN" w:eastAsia="zh-CN"/>
              </w:rPr>
            </w:pPr>
            <w:r>
              <w:rPr>
                <w:rFonts w:hint="eastAsia" w:ascii="宋体" w:hAnsi="宋体" w:eastAsia="宋体" w:cs="宋体"/>
                <w:color w:val="auto"/>
                <w:kern w:val="0"/>
                <w:sz w:val="22"/>
                <w:highlight w:val="none"/>
                <w:lang w:val="zh-CN"/>
              </w:rPr>
              <w:t>项目编号：</w:t>
            </w:r>
            <w:r>
              <w:rPr>
                <w:rFonts w:hint="eastAsia" w:ascii="宋体" w:hAnsi="宋体" w:cs="宋体"/>
                <w:bCs/>
                <w:color w:val="auto"/>
                <w:kern w:val="0"/>
                <w:sz w:val="22"/>
                <w:highlight w:val="none"/>
                <w:lang w:eastAsia="zh-CN"/>
              </w:rPr>
              <w:t>23-EC-DL029</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zh-CN"/>
              </w:rPr>
              <w:t>预算金额</w:t>
            </w:r>
            <w:r>
              <w:rPr>
                <w:rFonts w:hint="eastAsia" w:ascii="宋体" w:hAnsi="宋体" w:eastAsia="宋体" w:cs="宋体"/>
                <w:color w:val="auto"/>
                <w:kern w:val="0"/>
                <w:sz w:val="22"/>
                <w:highlight w:val="none"/>
              </w:rPr>
              <w:t>及资金来源</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kern w:val="0"/>
                <w:sz w:val="22"/>
                <w:highlight w:val="none"/>
                <w:lang w:val="zh-CN"/>
              </w:rPr>
            </w:pPr>
            <w:r>
              <w:rPr>
                <w:rFonts w:hint="eastAsia" w:ascii="宋体" w:hAnsi="宋体" w:eastAsia="宋体" w:cs="宋体"/>
                <w:color w:val="auto"/>
                <w:sz w:val="22"/>
                <w:highlight w:val="none"/>
                <w:u w:val="single"/>
              </w:rPr>
              <w:t>▲预算金额：</w:t>
            </w:r>
            <w:r>
              <w:rPr>
                <w:rFonts w:hint="eastAsia" w:ascii="宋体" w:hAnsi="宋体" w:cs="宋体"/>
                <w:color w:val="auto"/>
                <w:sz w:val="22"/>
                <w:highlight w:val="none"/>
                <w:u w:val="single"/>
                <w:lang w:val="en-US" w:eastAsia="zh-CN"/>
              </w:rPr>
              <w:t>9430000</w:t>
            </w:r>
            <w:r>
              <w:rPr>
                <w:rFonts w:hint="eastAsia" w:ascii="宋体" w:hAnsi="宋体" w:eastAsia="宋体" w:cs="宋体"/>
                <w:color w:val="auto"/>
                <w:sz w:val="22"/>
                <w:highlight w:val="none"/>
                <w:u w:val="single"/>
              </w:rPr>
              <w:t>元，报价超过预算金额的投标无效。</w:t>
            </w:r>
          </w:p>
        </w:tc>
      </w:tr>
      <w:tr>
        <w:tblPrEx>
          <w:tblCellMar>
            <w:top w:w="0" w:type="dxa"/>
            <w:left w:w="108" w:type="dxa"/>
            <w:bottom w:w="0" w:type="dxa"/>
            <w:right w:w="108" w:type="dxa"/>
          </w:tblCellMar>
        </w:tblPrEx>
        <w:trPr>
          <w:trHeight w:val="57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采购需求</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详见第五部分</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6</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b w:val="0"/>
                <w:bCs w:val="0"/>
                <w:color w:val="auto"/>
                <w:kern w:val="0"/>
                <w:sz w:val="22"/>
                <w:highlight w:val="none"/>
                <w:lang w:val="zh-CN"/>
              </w:rPr>
            </w:pPr>
            <w:r>
              <w:rPr>
                <w:rFonts w:hint="eastAsia" w:ascii="宋体" w:hAnsi="宋体" w:eastAsia="宋体" w:cs="宋体"/>
                <w:b w:val="0"/>
                <w:bCs w:val="0"/>
                <w:color w:val="auto"/>
                <w:kern w:val="0"/>
                <w:sz w:val="22"/>
                <w:highlight w:val="none"/>
                <w:lang w:val="zh-CN"/>
              </w:rPr>
              <w:t>投标报价</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b w:val="0"/>
                <w:bCs w:val="0"/>
                <w:color w:val="auto"/>
                <w:kern w:val="0"/>
                <w:sz w:val="22"/>
                <w:highlight w:val="none"/>
                <w:lang w:val="zh-CN"/>
              </w:rPr>
            </w:pPr>
            <w:r>
              <w:rPr>
                <w:rFonts w:hint="eastAsia" w:ascii="宋体" w:hAnsi="宋体" w:eastAsia="宋体" w:cs="宋体"/>
                <w:b w:val="0"/>
                <w:bCs w:val="0"/>
                <w:color w:val="auto"/>
                <w:kern w:val="0"/>
                <w:sz w:val="22"/>
                <w:highlight w:val="none"/>
                <w:lang w:val="zh-CN"/>
              </w:rPr>
              <w:t>1.投标报价是指一次性报出不得更改的价格；</w:t>
            </w:r>
          </w:p>
          <w:p>
            <w:pPr>
              <w:autoSpaceDE w:val="0"/>
              <w:autoSpaceDN w:val="0"/>
              <w:adjustRightInd w:val="0"/>
              <w:spacing w:line="360" w:lineRule="exact"/>
              <w:rPr>
                <w:rFonts w:hint="eastAsia" w:ascii="宋体" w:hAnsi="宋体" w:eastAsia="宋体" w:cs="宋体"/>
                <w:b w:val="0"/>
                <w:bCs w:val="0"/>
                <w:color w:val="auto"/>
                <w:kern w:val="0"/>
                <w:sz w:val="22"/>
                <w:highlight w:val="none"/>
                <w:lang w:val="zh-CN"/>
              </w:rPr>
            </w:pPr>
            <w:r>
              <w:rPr>
                <w:rFonts w:hint="eastAsia" w:ascii="宋体" w:hAnsi="宋体" w:eastAsia="宋体" w:cs="宋体"/>
                <w:b w:val="0"/>
                <w:bCs w:val="0"/>
                <w:color w:val="auto"/>
                <w:kern w:val="0"/>
                <w:sz w:val="22"/>
                <w:highlight w:val="none"/>
                <w:lang w:val="zh-CN"/>
              </w:rPr>
              <w:t>2.</w:t>
            </w:r>
            <w:r>
              <w:rPr>
                <w:rFonts w:hint="eastAsia" w:ascii="宋体" w:hAnsi="宋体" w:eastAsia="宋体" w:cs="宋体"/>
                <w:b w:val="0"/>
                <w:bCs w:val="0"/>
                <w:color w:val="auto"/>
                <w:sz w:val="22"/>
                <w:highlight w:val="none"/>
              </w:rPr>
              <w:t>采用人民币报价。</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7</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b w:val="0"/>
                <w:bCs w:val="0"/>
                <w:color w:val="auto"/>
                <w:kern w:val="0"/>
                <w:sz w:val="22"/>
                <w:highlight w:val="none"/>
                <w:lang w:val="zh-CN"/>
              </w:rPr>
            </w:pPr>
            <w:r>
              <w:rPr>
                <w:rFonts w:hint="eastAsia" w:ascii="宋体" w:hAnsi="宋体" w:eastAsia="宋体" w:cs="宋体"/>
                <w:b w:val="0"/>
                <w:bCs w:val="0"/>
                <w:color w:val="auto"/>
                <w:kern w:val="0"/>
                <w:sz w:val="22"/>
                <w:highlight w:val="none"/>
                <w:lang w:val="zh-CN"/>
              </w:rPr>
              <w:t>投标费用</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b w:val="0"/>
                <w:bCs w:val="0"/>
                <w:color w:val="auto"/>
                <w:kern w:val="0"/>
                <w:sz w:val="22"/>
                <w:highlight w:val="none"/>
                <w:lang w:val="zh-CN"/>
              </w:rPr>
            </w:pPr>
            <w:r>
              <w:rPr>
                <w:rFonts w:hint="eastAsia" w:ascii="宋体" w:hAnsi="宋体" w:eastAsia="宋体" w:cs="宋体"/>
                <w:b w:val="0"/>
                <w:bCs w:val="0"/>
                <w:color w:val="auto"/>
                <w:kern w:val="0"/>
                <w:sz w:val="22"/>
                <w:highlight w:val="none"/>
                <w:lang w:val="zh-CN"/>
              </w:rPr>
              <w:t>不论投标结果如何，投标人均应自行承担所有与投标有关的全部费用</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投标人资质格要求</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b w:val="0"/>
                <w:bCs w:val="0"/>
                <w:color w:val="auto"/>
                <w:kern w:val="0"/>
                <w:sz w:val="22"/>
                <w:highlight w:val="none"/>
                <w:lang w:eastAsia="zh-CN"/>
              </w:rPr>
            </w:pPr>
            <w:r>
              <w:rPr>
                <w:rFonts w:hint="eastAsia" w:ascii="宋体" w:hAnsi="宋体" w:eastAsia="宋体" w:cs="宋体"/>
                <w:b w:val="0"/>
                <w:bCs w:val="0"/>
                <w:color w:val="auto"/>
                <w:sz w:val="22"/>
                <w:highlight w:val="none"/>
              </w:rPr>
              <w:t>详见</w:t>
            </w:r>
            <w:r>
              <w:rPr>
                <w:rFonts w:hint="eastAsia" w:ascii="宋体" w:hAnsi="宋体" w:cs="宋体"/>
                <w:b w:val="0"/>
                <w:bCs w:val="0"/>
                <w:color w:val="auto"/>
                <w:sz w:val="22"/>
                <w:highlight w:val="none"/>
                <w:lang w:eastAsia="zh-CN"/>
              </w:rPr>
              <w:t>招标公告</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9</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是否接受联合体投标</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b w:val="0"/>
                <w:bCs w:val="0"/>
                <w:color w:val="auto"/>
                <w:kern w:val="0"/>
                <w:sz w:val="22"/>
                <w:highlight w:val="none"/>
                <w:lang w:val="zh-CN"/>
              </w:rPr>
            </w:pPr>
            <w:r>
              <w:rPr>
                <w:rFonts w:hint="eastAsia" w:ascii="宋体" w:hAnsi="宋体" w:eastAsia="宋体" w:cs="宋体"/>
                <w:b w:val="0"/>
                <w:bCs w:val="0"/>
                <w:color w:val="auto"/>
                <w:kern w:val="0"/>
                <w:sz w:val="22"/>
                <w:highlight w:val="none"/>
                <w:lang w:val="zh-CN"/>
              </w:rPr>
              <w:t>不接受</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10</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踏勘现场</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b w:val="0"/>
                <w:bCs w:val="0"/>
                <w:color w:val="auto"/>
                <w:kern w:val="0"/>
                <w:sz w:val="22"/>
                <w:highlight w:val="none"/>
                <w:lang w:val="zh-CN"/>
              </w:rPr>
            </w:pPr>
            <w:r>
              <w:rPr>
                <w:rFonts w:hint="eastAsia" w:ascii="宋体" w:hAnsi="宋体" w:eastAsia="宋体" w:cs="宋体"/>
                <w:b w:val="0"/>
                <w:bCs w:val="0"/>
                <w:color w:val="auto"/>
                <w:kern w:val="0"/>
                <w:sz w:val="22"/>
                <w:highlight w:val="none"/>
                <w:lang w:val="zh-CN"/>
              </w:rPr>
              <w:t>不</w:t>
            </w:r>
            <w:r>
              <w:rPr>
                <w:rFonts w:hint="eastAsia" w:ascii="宋体" w:hAnsi="宋体" w:eastAsia="宋体" w:cs="宋体"/>
                <w:b w:val="0"/>
                <w:bCs w:val="0"/>
                <w:color w:val="auto"/>
                <w:kern w:val="0"/>
                <w:sz w:val="22"/>
                <w:highlight w:val="none"/>
              </w:rPr>
              <w:t>组织</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11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投标预备会</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b w:val="0"/>
                <w:bCs w:val="0"/>
                <w:color w:val="auto"/>
                <w:kern w:val="0"/>
                <w:sz w:val="22"/>
                <w:highlight w:val="none"/>
                <w:lang w:val="zh-CN"/>
              </w:rPr>
            </w:pPr>
            <w:r>
              <w:rPr>
                <w:rFonts w:hint="eastAsia" w:ascii="宋体" w:hAnsi="宋体" w:eastAsia="宋体" w:cs="宋体"/>
                <w:b w:val="0"/>
                <w:bCs w:val="0"/>
                <w:color w:val="auto"/>
                <w:kern w:val="0"/>
                <w:sz w:val="22"/>
                <w:highlight w:val="none"/>
                <w:lang w:val="zh-CN"/>
              </w:rPr>
              <w:t>不召开</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12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分包和转包</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b w:val="0"/>
                <w:bCs w:val="0"/>
                <w:color w:val="auto"/>
                <w:kern w:val="0"/>
                <w:sz w:val="22"/>
                <w:highlight w:val="none"/>
                <w:lang w:val="zh-CN"/>
              </w:rPr>
            </w:pPr>
            <w:r>
              <w:rPr>
                <w:rFonts w:hint="eastAsia" w:ascii="宋体" w:hAnsi="宋体" w:eastAsia="宋体" w:cs="宋体"/>
                <w:b w:val="0"/>
                <w:bCs w:val="0"/>
                <w:color w:val="auto"/>
                <w:kern w:val="0"/>
                <w:sz w:val="22"/>
                <w:highlight w:val="none"/>
                <w:lang w:val="zh-CN"/>
              </w:rPr>
              <w:t>不允许</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13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偏离</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b w:val="0"/>
                <w:bCs w:val="0"/>
                <w:color w:val="auto"/>
                <w:kern w:val="0"/>
                <w:sz w:val="22"/>
                <w:highlight w:val="none"/>
                <w:lang w:val="zh-CN"/>
              </w:rPr>
            </w:pPr>
            <w:r>
              <w:rPr>
                <w:rFonts w:hint="eastAsia" w:ascii="宋体" w:hAnsi="宋体" w:eastAsia="宋体" w:cs="宋体"/>
                <w:b w:val="0"/>
                <w:bCs w:val="0"/>
                <w:color w:val="auto"/>
                <w:kern w:val="0"/>
                <w:sz w:val="22"/>
                <w:highlight w:val="none"/>
                <w:lang w:val="zh-CN"/>
              </w:rPr>
              <w:t>偏差允许幅度及其处理方法：允许细微偏差，不允许重大偏差。由评标委员会判断，细微偏差要求投标人在评标结束前予以澄清、说明或补正，不接受要求进行的，评标委员会有权做投标无效处理，详见评标办法。</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14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投标有效期</w:t>
            </w:r>
          </w:p>
        </w:tc>
        <w:tc>
          <w:tcPr>
            <w:tcW w:w="63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b w:val="0"/>
                <w:bCs w:val="0"/>
                <w:color w:val="auto"/>
                <w:sz w:val="22"/>
                <w:highlight w:val="none"/>
                <w:lang w:val="zh-CN"/>
              </w:rPr>
            </w:pPr>
            <w:r>
              <w:rPr>
                <w:rFonts w:hint="eastAsia" w:ascii="宋体" w:hAnsi="宋体" w:eastAsia="宋体" w:cs="宋体"/>
                <w:b w:val="0"/>
                <w:bCs w:val="0"/>
                <w:color w:val="auto"/>
                <w:sz w:val="22"/>
                <w:highlight w:val="none"/>
              </w:rPr>
              <w:t>从提交投标文件的截止时间之日起90天。</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15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投标保证金</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sz w:val="22"/>
                <w:highlight w:val="none"/>
              </w:rPr>
              <w:t>无</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16</w:t>
            </w:r>
          </w:p>
        </w:tc>
        <w:tc>
          <w:tcPr>
            <w:tcW w:w="17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投标文件形式、制作及组成</w:t>
            </w:r>
          </w:p>
        </w:tc>
        <w:tc>
          <w:tcPr>
            <w:tcW w:w="6317" w:type="dxa"/>
            <w:tcBorders>
              <w:top w:val="single" w:color="auto" w:sz="4" w:space="0"/>
              <w:left w:val="single" w:color="auto" w:sz="4" w:space="0"/>
              <w:bottom w:val="single" w:color="auto" w:sz="4" w:space="0"/>
              <w:right w:val="single" w:color="auto" w:sz="4" w:space="0"/>
            </w:tcBorders>
            <w:vAlign w:val="center"/>
          </w:tcPr>
          <w:p>
            <w:pPr>
              <w:pStyle w:val="15"/>
              <w:snapToGrid w:val="0"/>
              <w:spacing w:line="360" w:lineRule="exac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本项目实行网上电子投标。</w:t>
            </w:r>
          </w:p>
          <w:p>
            <w:pPr>
              <w:pStyle w:val="15"/>
              <w:snapToGrid w:val="0"/>
              <w:spacing w:line="360" w:lineRule="exac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投标人应准备电子投标文件、以介质存储的数据电文形式的备份投标文件二类：</w:t>
            </w:r>
          </w:p>
          <w:p>
            <w:pPr>
              <w:pStyle w:val="15"/>
              <w:snapToGrid w:val="0"/>
              <w:spacing w:line="360" w:lineRule="exact"/>
              <w:ind w:firstLine="220" w:firstLineChars="100"/>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（1）电子投标文件：通过政采云电子交易客户端（政采云投标客户端）完成投标文件编制后生成并加密的数据电文形式的投标文件（文件扩展名为.jmbs）1份</w:t>
            </w:r>
            <w:r>
              <w:rPr>
                <w:rFonts w:hint="eastAsia" w:ascii="宋体" w:hAnsi="宋体" w:eastAsia="宋体" w:cs="宋体"/>
                <w:b w:val="0"/>
                <w:bCs w:val="0"/>
                <w:color w:val="auto"/>
                <w:sz w:val="22"/>
                <w:highlight w:val="none"/>
                <w:lang w:val="zh-CN"/>
              </w:rPr>
              <w:t>。</w:t>
            </w:r>
          </w:p>
          <w:p>
            <w:pPr>
              <w:spacing w:line="360" w:lineRule="exact"/>
              <w:ind w:firstLine="220" w:firstLineChars="100"/>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（2）以介质存储的数据电文形式的备份投标文件（如有）：</w:t>
            </w:r>
            <w:r>
              <w:rPr>
                <w:rStyle w:val="31"/>
                <w:rFonts w:hint="eastAsia" w:ascii="宋体" w:hAnsi="宋体" w:eastAsia="宋体" w:cs="宋体"/>
                <w:b w:val="0"/>
                <w:bCs w:val="0"/>
                <w:color w:val="auto"/>
                <w:sz w:val="22"/>
                <w:highlight w:val="none"/>
              </w:rPr>
              <w:t>与“电子投标文件”同时生成的数据电文形式的备份投标文件(文件扩展名为.bfbs)</w:t>
            </w:r>
            <w:r>
              <w:rPr>
                <w:rFonts w:hint="eastAsia" w:ascii="宋体" w:hAnsi="宋体" w:eastAsia="宋体" w:cs="宋体"/>
                <w:b w:val="0"/>
                <w:bCs w:val="0"/>
                <w:color w:val="auto"/>
                <w:sz w:val="22"/>
                <w:highlight w:val="none"/>
              </w:rPr>
              <w:t>，投标文件提交截止时间前以</w:t>
            </w:r>
            <w:r>
              <w:rPr>
                <w:rFonts w:hint="eastAsia" w:ascii="宋体" w:hAnsi="宋体" w:eastAsia="宋体" w:cs="宋体"/>
                <w:b w:val="0"/>
                <w:bCs w:val="0"/>
                <w:color w:val="auto"/>
                <w:sz w:val="22"/>
                <w:highlight w:val="none"/>
                <w:lang w:val="zh-CN"/>
              </w:rPr>
              <w:t>电子邮件方式传送至</w:t>
            </w:r>
            <w:r>
              <w:rPr>
                <w:rFonts w:hint="eastAsia" w:ascii="宋体" w:hAnsi="宋体" w:cs="宋体"/>
                <w:b w:val="0"/>
                <w:bCs w:val="0"/>
                <w:color w:val="auto"/>
                <w:sz w:val="22"/>
                <w:highlight w:val="none"/>
                <w:lang w:val="zh-CN"/>
              </w:rPr>
              <w:t>温州市建设工程咨询有限公司</w:t>
            </w:r>
            <w:r>
              <w:rPr>
                <w:rFonts w:hint="eastAsia" w:ascii="宋体" w:hAnsi="宋体" w:eastAsia="宋体" w:cs="宋体"/>
                <w:b w:val="0"/>
                <w:bCs w:val="0"/>
                <w:color w:val="auto"/>
                <w:sz w:val="22"/>
                <w:highlight w:val="none"/>
                <w:lang w:val="zh-CN"/>
              </w:rPr>
              <w:t>电子邮箱</w:t>
            </w:r>
            <w:r>
              <w:rPr>
                <w:rFonts w:hint="eastAsia" w:ascii="宋体" w:hAnsi="宋体" w:cs="宋体"/>
                <w:b w:val="0"/>
                <w:bCs w:val="0"/>
                <w:color w:val="auto"/>
                <w:sz w:val="22"/>
                <w:highlight w:val="none"/>
                <w:lang w:eastAsia="zh-CN"/>
              </w:rPr>
              <w:t>798650229@qq.com</w:t>
            </w:r>
            <w:r>
              <w:rPr>
                <w:rFonts w:hint="eastAsia" w:ascii="宋体" w:hAnsi="宋体" w:eastAsia="宋体" w:cs="宋体"/>
                <w:b w:val="0"/>
                <w:bCs w:val="0"/>
                <w:color w:val="auto"/>
                <w:sz w:val="22"/>
                <w:highlight w:val="none"/>
              </w:rPr>
              <w:t>，</w:t>
            </w:r>
            <w:r>
              <w:rPr>
                <w:rFonts w:hint="eastAsia" w:ascii="宋体" w:hAnsi="宋体" w:eastAsia="宋体" w:cs="宋体"/>
                <w:b w:val="0"/>
                <w:bCs w:val="0"/>
                <w:color w:val="auto"/>
                <w:sz w:val="22"/>
                <w:highlight w:val="none"/>
                <w:lang w:val="zh-CN"/>
              </w:rPr>
              <w:t>递交</w:t>
            </w:r>
            <w:r>
              <w:rPr>
                <w:rFonts w:hint="eastAsia" w:ascii="宋体" w:hAnsi="宋体" w:eastAsia="宋体" w:cs="宋体"/>
                <w:b w:val="0"/>
                <w:bCs w:val="0"/>
                <w:color w:val="auto"/>
                <w:sz w:val="22"/>
                <w:highlight w:val="none"/>
              </w:rPr>
              <w:t>1</w:t>
            </w:r>
            <w:r>
              <w:rPr>
                <w:rFonts w:hint="eastAsia" w:ascii="宋体" w:hAnsi="宋体" w:eastAsia="宋体" w:cs="宋体"/>
                <w:b w:val="0"/>
                <w:bCs w:val="0"/>
                <w:color w:val="auto"/>
                <w:sz w:val="22"/>
                <w:highlight w:val="none"/>
                <w:lang w:val="zh-CN"/>
              </w:rPr>
              <w:t>份</w:t>
            </w:r>
            <w:r>
              <w:rPr>
                <w:rFonts w:hint="eastAsia" w:ascii="宋体" w:hAnsi="宋体" w:eastAsia="宋体" w:cs="宋体"/>
                <w:b w:val="0"/>
                <w:bCs w:val="0"/>
                <w:color w:val="auto"/>
                <w:sz w:val="22"/>
                <w:highlight w:val="none"/>
              </w:rPr>
              <w:t>，</w:t>
            </w:r>
            <w:r>
              <w:rPr>
                <w:rFonts w:hint="eastAsia" w:ascii="宋体" w:hAnsi="宋体" w:eastAsia="宋体" w:cs="宋体"/>
                <w:b w:val="0"/>
                <w:bCs w:val="0"/>
                <w:color w:val="auto"/>
                <w:sz w:val="22"/>
                <w:highlight w:val="none"/>
                <w:lang w:val="zh-CN"/>
              </w:rPr>
              <w:t>传送的备份投标文件需打包压缩并加密</w:t>
            </w:r>
            <w:r>
              <w:rPr>
                <w:rFonts w:hint="eastAsia" w:ascii="宋体" w:hAnsi="宋体" w:eastAsia="宋体" w:cs="宋体"/>
                <w:b w:val="0"/>
                <w:bCs w:val="0"/>
                <w:color w:val="auto"/>
                <w:sz w:val="22"/>
                <w:highlight w:val="none"/>
              </w:rPr>
              <w:t>，</w:t>
            </w:r>
            <w:r>
              <w:rPr>
                <w:rFonts w:hint="eastAsia" w:ascii="宋体" w:hAnsi="宋体" w:eastAsia="宋体" w:cs="宋体"/>
                <w:b w:val="0"/>
                <w:bCs w:val="0"/>
                <w:color w:val="auto"/>
                <w:sz w:val="22"/>
                <w:highlight w:val="none"/>
                <w:lang w:val="zh-CN"/>
              </w:rPr>
              <w:t>加密密码由投标人自行保管</w:t>
            </w:r>
            <w:r>
              <w:rPr>
                <w:rFonts w:hint="eastAsia" w:ascii="宋体" w:hAnsi="宋体" w:eastAsia="宋体" w:cs="宋体"/>
                <w:b w:val="0"/>
                <w:bCs w:val="0"/>
                <w:color w:val="auto"/>
                <w:sz w:val="22"/>
                <w:highlight w:val="none"/>
              </w:rPr>
              <w:t>，未加密导致投标信息泄露的风险由投标人自行承担</w:t>
            </w:r>
            <w:r>
              <w:rPr>
                <w:rStyle w:val="31"/>
                <w:rFonts w:hint="eastAsia" w:ascii="宋体" w:hAnsi="宋体" w:eastAsia="宋体" w:cs="宋体"/>
                <w:b w:val="0"/>
                <w:bCs w:val="0"/>
                <w:color w:val="auto"/>
                <w:sz w:val="22"/>
                <w:highlight w:val="none"/>
              </w:rPr>
              <w:t>。</w:t>
            </w:r>
          </w:p>
          <w:p>
            <w:pPr>
              <w:pStyle w:val="15"/>
              <w:snapToGrid w:val="0"/>
              <w:spacing w:line="360" w:lineRule="exac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投标文件由报价文件、资格文件、商务和技术文件三部分组成。</w:t>
            </w:r>
          </w:p>
          <w:p>
            <w:pPr>
              <w:pStyle w:val="15"/>
              <w:snapToGrid w:val="0"/>
              <w:spacing w:line="360" w:lineRule="exact"/>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sz w:val="22"/>
                <w:highlight w:val="none"/>
              </w:rPr>
              <w:t>注：中标人在领取中标通知书时按采购人要求提供全套纸质投标文件贰份。</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17</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电子招投标特殊情况处理方式</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本项目原则上采用政采云电子招投标开标及评审程序，但有下情形之一的，按以下情况处理：</w:t>
            </w:r>
          </w:p>
          <w:p>
            <w:pPr>
              <w:spacing w:line="360" w:lineRule="exact"/>
              <w:jc w:val="left"/>
              <w:rPr>
                <w:rFonts w:hint="eastAsia" w:ascii="宋体" w:hAnsi="宋体" w:eastAsia="宋体" w:cs="宋体"/>
                <w:b w:val="0"/>
                <w:bCs w:val="0"/>
                <w:color w:val="auto"/>
                <w:sz w:val="22"/>
                <w:highlight w:val="none"/>
                <w:lang w:val="zh-CN"/>
              </w:rPr>
            </w:pPr>
            <w:r>
              <w:rPr>
                <w:rFonts w:hint="eastAsia" w:ascii="宋体" w:hAnsi="宋体" w:eastAsia="宋体" w:cs="宋体"/>
                <w:b w:val="0"/>
                <w:bCs w:val="0"/>
                <w:color w:val="auto"/>
                <w:sz w:val="22"/>
                <w:highlight w:val="none"/>
              </w:rPr>
              <w:t>若投标人在规定时间内无法解密或解密失败，采购代理机构将开启所有投标人递交的以介质存储的数据电文形式的备份投标文件，上传至政采云平台项目采购模块，以完成开标，电子投标文件自动失效。</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18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评审地点</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hint="eastAsia" w:ascii="宋体" w:hAnsi="宋体" w:eastAsia="宋体" w:cs="宋体"/>
                <w:b w:val="0"/>
                <w:bCs w:val="0"/>
                <w:color w:val="auto"/>
                <w:kern w:val="0"/>
                <w:sz w:val="22"/>
                <w:highlight w:val="none"/>
              </w:rPr>
            </w:pPr>
            <w:r>
              <w:rPr>
                <w:rFonts w:hint="eastAsia" w:ascii="宋体" w:hAnsi="宋体" w:cs="宋体"/>
                <w:b w:val="0"/>
                <w:bCs w:val="0"/>
                <w:color w:val="auto"/>
                <w:sz w:val="22"/>
                <w:highlight w:val="none"/>
                <w:lang w:eastAsia="zh-CN"/>
              </w:rPr>
              <w:t>温州市行政审批与公共资源交易服务管理中心</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19</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评标委员会的组建</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hint="eastAsia" w:ascii="宋体" w:hAnsi="宋体" w:eastAsia="宋体" w:cs="宋体"/>
                <w:b w:val="0"/>
                <w:bCs w:val="0"/>
                <w:color w:val="auto"/>
                <w:sz w:val="22"/>
                <w:highlight w:val="none"/>
              </w:rPr>
            </w:pPr>
            <w:r>
              <w:rPr>
                <w:rFonts w:hint="eastAsia" w:ascii="宋体" w:hAnsi="宋体" w:eastAsia="宋体" w:cs="宋体"/>
                <w:b w:val="0"/>
                <w:bCs w:val="0"/>
                <w:color w:val="auto"/>
                <w:kern w:val="0"/>
                <w:sz w:val="22"/>
                <w:highlight w:val="none"/>
                <w:lang w:val="zh-CN"/>
              </w:rPr>
              <w:t>评标委员会成员由采购人代表和有关技术、经济等方面的专家组成，有关技术、经济等方面的专家成员人数为5人及以上单数，除采购人代表外的专家将按有关规定随机抽取产生。</w:t>
            </w:r>
          </w:p>
        </w:tc>
      </w:tr>
      <w:tr>
        <w:tblPrEx>
          <w:tblCellMar>
            <w:top w:w="0" w:type="dxa"/>
            <w:left w:w="108" w:type="dxa"/>
            <w:bottom w:w="0" w:type="dxa"/>
            <w:right w:w="108" w:type="dxa"/>
          </w:tblCellMar>
        </w:tblPrEx>
        <w:trPr>
          <w:trHeight w:val="809"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20</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snapToGrid w:val="0"/>
                <w:color w:val="auto"/>
                <w:sz w:val="22"/>
                <w:highlight w:val="none"/>
              </w:rPr>
              <w:t>资格审查要求的资格证明材料</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hint="eastAsia" w:ascii="宋体" w:hAnsi="宋体" w:eastAsia="宋体" w:cs="宋体"/>
                <w:b w:val="0"/>
                <w:bCs w:val="0"/>
                <w:snapToGrid w:val="0"/>
                <w:color w:val="auto"/>
                <w:sz w:val="22"/>
                <w:highlight w:val="none"/>
              </w:rPr>
            </w:pPr>
            <w:r>
              <w:rPr>
                <w:rFonts w:hint="eastAsia" w:ascii="宋体" w:hAnsi="宋体" w:eastAsia="宋体" w:cs="宋体"/>
                <w:b w:val="0"/>
                <w:bCs w:val="0"/>
                <w:snapToGrid w:val="0"/>
                <w:color w:val="auto"/>
                <w:sz w:val="22"/>
                <w:highlight w:val="none"/>
              </w:rPr>
              <w:t>①有效的法人或者其他组织的营业执照等证明文件，自然人的身份证明（五选一）</w:t>
            </w:r>
            <w:r>
              <w:rPr>
                <w:rFonts w:hint="eastAsia" w:ascii="宋体" w:hAnsi="宋体" w:eastAsia="宋体" w:cs="宋体"/>
                <w:b w:val="0"/>
                <w:bCs w:val="0"/>
                <w:color w:val="auto"/>
                <w:sz w:val="22"/>
                <w:highlight w:val="none"/>
              </w:rPr>
              <w:t>（见附件4-1）</w:t>
            </w:r>
          </w:p>
          <w:p>
            <w:pPr>
              <w:autoSpaceDE w:val="0"/>
              <w:autoSpaceDN w:val="0"/>
              <w:adjustRightInd w:val="0"/>
              <w:spacing w:line="360" w:lineRule="exact"/>
              <w:jc w:val="left"/>
              <w:rPr>
                <w:rFonts w:hint="eastAsia" w:ascii="宋体" w:hAnsi="宋体" w:eastAsia="宋体" w:cs="宋体"/>
                <w:b w:val="0"/>
                <w:bCs w:val="0"/>
                <w:color w:val="auto"/>
                <w:kern w:val="0"/>
                <w:sz w:val="22"/>
                <w:highlight w:val="none"/>
                <w:lang w:val="zh-CN"/>
              </w:rPr>
            </w:pPr>
            <w:r>
              <w:rPr>
                <w:rFonts w:hint="eastAsia" w:ascii="宋体" w:hAnsi="宋体" w:eastAsia="宋体" w:cs="宋体"/>
                <w:b w:val="0"/>
                <w:bCs w:val="0"/>
                <w:snapToGrid w:val="0"/>
                <w:color w:val="auto"/>
                <w:sz w:val="22"/>
                <w:highlight w:val="none"/>
              </w:rPr>
              <w:t>②关于符合《中华人民共和国政府采购法》第二十二条规定的承诺函</w:t>
            </w:r>
            <w:r>
              <w:rPr>
                <w:rFonts w:hint="eastAsia" w:ascii="宋体" w:hAnsi="宋体" w:eastAsia="宋体" w:cs="宋体"/>
                <w:b w:val="0"/>
                <w:bCs w:val="0"/>
                <w:color w:val="auto"/>
                <w:sz w:val="22"/>
                <w:highlight w:val="none"/>
              </w:rPr>
              <w:t>（见附件4-2）</w:t>
            </w:r>
          </w:p>
        </w:tc>
      </w:tr>
      <w:tr>
        <w:tblPrEx>
          <w:tblCellMar>
            <w:top w:w="0" w:type="dxa"/>
            <w:left w:w="108" w:type="dxa"/>
            <w:bottom w:w="0" w:type="dxa"/>
            <w:right w:w="108" w:type="dxa"/>
          </w:tblCellMar>
        </w:tblPrEx>
        <w:trPr>
          <w:trHeight w:val="809"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21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snapToGrid w:val="0"/>
                <w:color w:val="auto"/>
                <w:sz w:val="22"/>
                <w:highlight w:val="none"/>
              </w:rPr>
            </w:pPr>
            <w:r>
              <w:rPr>
                <w:rFonts w:hint="eastAsia" w:ascii="宋体" w:hAnsi="宋体" w:eastAsia="宋体" w:cs="宋体"/>
                <w:b w:val="0"/>
                <w:bCs w:val="0"/>
                <w:color w:val="auto"/>
                <w:sz w:val="22"/>
                <w:highlight w:val="none"/>
              </w:rPr>
              <w:t>落实政府采购支持中小企业、监狱企业及残疾人福利性单位发展政策</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□专门面向中小企业采购项目</w:t>
            </w:r>
          </w:p>
          <w:p>
            <w:pPr>
              <w:spacing w:line="360" w:lineRule="exac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☑非专门面向中小企业采购项目。对小型和微型企业报价根据《政府采购促进中小企业发展管理办法》（财库〔2020〕46号）</w:t>
            </w:r>
            <w:r>
              <w:rPr>
                <w:rFonts w:hint="eastAsia" w:ascii="宋体" w:hAnsi="宋体" w:cs="宋体"/>
                <w:b w:val="0"/>
                <w:bCs w:val="0"/>
                <w:color w:val="auto"/>
                <w:sz w:val="22"/>
                <w:highlight w:val="none"/>
                <w:lang w:val="en-US" w:eastAsia="zh-CN"/>
              </w:rPr>
              <w:t>和</w:t>
            </w:r>
            <w:r>
              <w:rPr>
                <w:rFonts w:hint="eastAsia" w:ascii="宋体" w:hAnsi="宋体" w:eastAsia="宋体" w:cs="宋体"/>
                <w:b w:val="0"/>
                <w:bCs w:val="0"/>
                <w:color w:val="auto"/>
                <w:sz w:val="22"/>
                <w:highlight w:val="none"/>
              </w:rPr>
              <w:t>《</w:t>
            </w:r>
            <w:r>
              <w:rPr>
                <w:rFonts w:hint="eastAsia" w:ascii="宋体" w:hAnsi="宋体" w:eastAsia="宋体" w:cs="宋体"/>
                <w:b w:val="0"/>
                <w:bCs w:val="0"/>
                <w:color w:val="auto"/>
                <w:sz w:val="22"/>
                <w:highlight w:val="none"/>
                <w:lang w:val="en-US" w:eastAsia="zh-CN"/>
              </w:rPr>
              <w:t>关于进一步加大政府采购支持中小企业力度的通知</w:t>
            </w:r>
            <w:r>
              <w:rPr>
                <w:rFonts w:hint="eastAsia" w:ascii="宋体" w:hAnsi="宋体" w:eastAsia="宋体" w:cs="宋体"/>
                <w:b w:val="0"/>
                <w:bCs w:val="0"/>
                <w:color w:val="auto"/>
                <w:sz w:val="22"/>
                <w:highlight w:val="none"/>
              </w:rPr>
              <w:t>》（财库〔202</w:t>
            </w:r>
            <w:r>
              <w:rPr>
                <w:rFonts w:hint="eastAsia" w:ascii="宋体" w:hAnsi="宋体" w:eastAsia="宋体" w:cs="宋体"/>
                <w:b w:val="0"/>
                <w:bCs w:val="0"/>
                <w:color w:val="auto"/>
                <w:sz w:val="22"/>
                <w:highlight w:val="none"/>
                <w:lang w:val="en-US" w:eastAsia="zh-CN"/>
              </w:rPr>
              <w:t>2</w:t>
            </w:r>
            <w:r>
              <w:rPr>
                <w:rFonts w:hint="eastAsia" w:ascii="宋体" w:hAnsi="宋体" w:eastAsia="宋体" w:cs="宋体"/>
                <w:b w:val="0"/>
                <w:bCs w:val="0"/>
                <w:color w:val="auto"/>
                <w:sz w:val="22"/>
                <w:highlight w:val="none"/>
              </w:rPr>
              <w:t>〕</w:t>
            </w:r>
            <w:r>
              <w:rPr>
                <w:rFonts w:hint="eastAsia" w:ascii="宋体" w:hAnsi="宋体" w:eastAsia="宋体" w:cs="宋体"/>
                <w:b w:val="0"/>
                <w:bCs w:val="0"/>
                <w:color w:val="auto"/>
                <w:sz w:val="22"/>
                <w:highlight w:val="none"/>
                <w:lang w:val="en-US" w:eastAsia="zh-CN"/>
              </w:rPr>
              <w:t>19</w:t>
            </w:r>
            <w:r>
              <w:rPr>
                <w:rFonts w:hint="eastAsia" w:ascii="宋体" w:hAnsi="宋体" w:eastAsia="宋体" w:cs="宋体"/>
                <w:b w:val="0"/>
                <w:bCs w:val="0"/>
                <w:color w:val="auto"/>
                <w:sz w:val="22"/>
                <w:highlight w:val="none"/>
              </w:rPr>
              <w:t>号）文件扣除，用扣除后的价格参与评审。</w:t>
            </w:r>
          </w:p>
          <w:p>
            <w:pPr>
              <w:spacing w:line="360" w:lineRule="exac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本项目的扣除比例为：小型、微型企业均扣除</w:t>
            </w:r>
            <w:r>
              <w:rPr>
                <w:rFonts w:hint="eastAsia" w:ascii="宋体" w:hAnsi="宋体" w:eastAsia="宋体" w:cs="宋体"/>
                <w:b w:val="0"/>
                <w:bCs w:val="0"/>
                <w:color w:val="auto"/>
                <w:sz w:val="22"/>
                <w:highlight w:val="none"/>
                <w:u w:val="single"/>
              </w:rPr>
              <w:t xml:space="preserve"> </w:t>
            </w:r>
            <w:r>
              <w:rPr>
                <w:rFonts w:hint="default" w:ascii="宋体" w:hAnsi="宋体" w:cs="宋体"/>
                <w:b w:val="0"/>
                <w:bCs w:val="0"/>
                <w:color w:val="auto"/>
                <w:sz w:val="22"/>
                <w:highlight w:val="none"/>
                <w:u w:val="single"/>
                <w:lang w:val="en-US" w:eastAsia="zh-CN"/>
              </w:rPr>
              <w:t>2</w:t>
            </w:r>
            <w:r>
              <w:rPr>
                <w:rFonts w:hint="eastAsia" w:ascii="宋体" w:hAnsi="宋体" w:cs="宋体"/>
                <w:b w:val="0"/>
                <w:bCs w:val="0"/>
                <w:color w:val="auto"/>
                <w:sz w:val="22"/>
                <w:highlight w:val="none"/>
                <w:u w:val="single"/>
                <w:lang w:val="en-US" w:eastAsia="zh-CN"/>
              </w:rPr>
              <w:t>0</w:t>
            </w:r>
            <w:r>
              <w:rPr>
                <w:rFonts w:hint="eastAsia" w:ascii="宋体" w:hAnsi="宋体" w:eastAsia="宋体" w:cs="宋体"/>
                <w:b w:val="0"/>
                <w:bCs w:val="0"/>
                <w:color w:val="auto"/>
                <w:sz w:val="22"/>
                <w:highlight w:val="none"/>
                <w:u w:val="single"/>
              </w:rPr>
              <w:t xml:space="preserve"> %</w:t>
            </w:r>
          </w:p>
          <w:p>
            <w:pPr>
              <w:spacing w:line="360" w:lineRule="exac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监狱企业、残疾人福利性单位视同小型、微型企业，享受价格扣除。</w:t>
            </w:r>
          </w:p>
          <w:p>
            <w:pPr>
              <w:spacing w:line="360" w:lineRule="exact"/>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sz w:val="22"/>
                <w:highlight w:val="none"/>
              </w:rPr>
              <w:t>残疾人福利性单位属于小型、微型企业的，不重复享受政策。</w:t>
            </w:r>
          </w:p>
        </w:tc>
      </w:tr>
      <w:tr>
        <w:tblPrEx>
          <w:tblCellMar>
            <w:top w:w="0" w:type="dxa"/>
            <w:left w:w="108" w:type="dxa"/>
            <w:bottom w:w="0" w:type="dxa"/>
            <w:right w:w="108" w:type="dxa"/>
          </w:tblCellMar>
        </w:tblPrEx>
        <w:trPr>
          <w:trHeight w:val="9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highlight w:val="none"/>
              </w:rPr>
              <w:t>22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sz w:val="22"/>
                <w:highlight w:val="none"/>
              </w:rPr>
            </w:pPr>
            <w:r>
              <w:rPr>
                <w:rFonts w:hint="eastAsia" w:ascii="宋体" w:hAnsi="宋体" w:cs="宋体"/>
                <w:b w:val="0"/>
                <w:bCs w:val="0"/>
                <w:snapToGrid w:val="0"/>
                <w:color w:val="auto"/>
                <w:sz w:val="22"/>
                <w:szCs w:val="22"/>
                <w:highlight w:val="none"/>
                <w:lang w:val="en-US" w:eastAsia="zh-CN"/>
              </w:rPr>
              <w:t>其他</w:t>
            </w:r>
            <w:r>
              <w:rPr>
                <w:rFonts w:hint="eastAsia" w:ascii="宋体" w:hAnsi="宋体" w:eastAsia="宋体" w:cs="宋体"/>
                <w:b w:val="0"/>
                <w:bCs w:val="0"/>
                <w:color w:val="auto"/>
                <w:kern w:val="0"/>
                <w:sz w:val="22"/>
                <w:szCs w:val="22"/>
                <w:highlight w:val="none"/>
              </w:rPr>
              <w:t>政策</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lang w:val="en-US" w:eastAsia="zh-CN"/>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tc>
      </w:tr>
      <w:tr>
        <w:tblPrEx>
          <w:tblCellMar>
            <w:top w:w="0" w:type="dxa"/>
            <w:left w:w="108" w:type="dxa"/>
            <w:bottom w:w="0" w:type="dxa"/>
            <w:right w:w="108" w:type="dxa"/>
          </w:tblCellMar>
        </w:tblPrEx>
        <w:trPr>
          <w:trHeight w:val="589"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highlight w:val="none"/>
              </w:rPr>
              <w:t>23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所属行业</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公共设施管理业</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highlight w:val="none"/>
              </w:rPr>
              <w:t>24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sz w:val="22"/>
                <w:highlight w:val="none"/>
              </w:rPr>
              <w:t>评标办法及评分标准</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b w:val="0"/>
                <w:bCs w:val="0"/>
                <w:color w:val="auto"/>
                <w:kern w:val="0"/>
                <w:sz w:val="22"/>
                <w:highlight w:val="none"/>
                <w:lang w:val="zh-CN"/>
              </w:rPr>
            </w:pPr>
            <w:r>
              <w:rPr>
                <w:rFonts w:hint="eastAsia" w:ascii="宋体" w:hAnsi="宋体" w:eastAsia="宋体" w:cs="宋体"/>
                <w:b w:val="0"/>
                <w:bCs w:val="0"/>
                <w:color w:val="auto"/>
                <w:sz w:val="22"/>
                <w:highlight w:val="none"/>
              </w:rPr>
              <w:t>综合评分法，详见第六部分  评标原则及方法。</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highlight w:val="none"/>
              </w:rPr>
              <w:t>25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snapToGrid w:val="0"/>
                <w:color w:val="auto"/>
                <w:sz w:val="22"/>
                <w:highlight w:val="none"/>
              </w:rPr>
            </w:pPr>
            <w:r>
              <w:rPr>
                <w:rFonts w:hint="eastAsia" w:ascii="宋体" w:hAnsi="宋体" w:eastAsia="宋体" w:cs="宋体"/>
                <w:b w:val="0"/>
                <w:bCs w:val="0"/>
                <w:color w:val="auto"/>
                <w:sz w:val="22"/>
                <w:highlight w:val="none"/>
              </w:rPr>
              <w:t>中标公告及中标通知书</w:t>
            </w:r>
          </w:p>
        </w:tc>
        <w:tc>
          <w:tcPr>
            <w:tcW w:w="63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hint="eastAsia" w:ascii="宋体" w:hAnsi="宋体" w:eastAsia="宋体" w:cs="宋体"/>
                <w:b w:val="0"/>
                <w:bCs w:val="0"/>
                <w:color w:val="auto"/>
                <w:sz w:val="22"/>
                <w:highlight w:val="none"/>
                <w:lang w:val="zh-CN"/>
              </w:rPr>
            </w:pPr>
            <w:r>
              <w:rPr>
                <w:rFonts w:hint="eastAsia" w:ascii="宋体" w:hAnsi="宋体" w:eastAsia="宋体" w:cs="宋体"/>
                <w:b w:val="0"/>
                <w:bCs w:val="0"/>
                <w:color w:val="auto"/>
                <w:sz w:val="22"/>
                <w:highlight w:val="none"/>
              </w:rPr>
              <w:t>评标结束后中标公告发布于浙江政府采购网，并向中标人发出中标通知书。</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highlight w:val="none"/>
              </w:rPr>
              <w:t>26</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sz w:val="22"/>
                <w:highlight w:val="none"/>
              </w:rPr>
              <w:t>合同备案</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 w:val="0"/>
                <w:bCs w:val="0"/>
                <w:color w:val="auto"/>
                <w:kern w:val="0"/>
                <w:sz w:val="22"/>
                <w:highlight w:val="none"/>
              </w:rPr>
            </w:pPr>
            <w:r>
              <w:rPr>
                <w:rFonts w:hint="eastAsia" w:ascii="宋体" w:hAnsi="宋体" w:eastAsia="宋体" w:cs="宋体"/>
                <w:b w:val="0"/>
                <w:bCs w:val="0"/>
                <w:color w:val="auto"/>
                <w:kern w:val="0"/>
                <w:sz w:val="22"/>
                <w:highlight w:val="none"/>
              </w:rPr>
              <w:t>中标人须在中标通知书发出之日起30日历天内与采购人签订合同。</w:t>
            </w:r>
          </w:p>
          <w:p>
            <w:pPr>
              <w:spacing w:line="360" w:lineRule="exact"/>
              <w:rPr>
                <w:rFonts w:hint="eastAsia" w:ascii="宋体" w:hAnsi="宋体" w:eastAsia="宋体" w:cs="宋体"/>
                <w:b w:val="0"/>
                <w:bCs w:val="0"/>
                <w:color w:val="auto"/>
                <w:sz w:val="22"/>
                <w:highlight w:val="none"/>
              </w:rPr>
            </w:pPr>
            <w:r>
              <w:rPr>
                <w:rFonts w:hint="eastAsia" w:ascii="宋体" w:hAnsi="宋体" w:eastAsia="宋体" w:cs="宋体"/>
                <w:b w:val="0"/>
                <w:bCs w:val="0"/>
                <w:color w:val="auto"/>
                <w:kern w:val="0"/>
                <w:sz w:val="22"/>
                <w:highlight w:val="none"/>
              </w:rPr>
              <w:t>中标人与采购人签订合同后，2日历天内将合同扫描件电子版发给采购代理机构：邮箱：</w:t>
            </w:r>
            <w:r>
              <w:rPr>
                <w:rFonts w:hint="eastAsia" w:ascii="宋体" w:hAnsi="宋体" w:eastAsia="宋体" w:cs="宋体"/>
                <w:b w:val="0"/>
                <w:bCs w:val="0"/>
                <w:color w:val="auto"/>
                <w:highlight w:val="none"/>
              </w:rPr>
              <w:fldChar w:fldCharType="begin"/>
            </w:r>
            <w:r>
              <w:rPr>
                <w:rFonts w:hint="eastAsia" w:ascii="宋体" w:hAnsi="宋体" w:eastAsia="宋体" w:cs="宋体"/>
                <w:b w:val="0"/>
                <w:bCs w:val="0"/>
                <w:color w:val="auto"/>
                <w:highlight w:val="none"/>
              </w:rPr>
              <w:instrText xml:space="preserve"> HYPERLINK "mailto:1322521566@qq.com。" </w:instrText>
            </w:r>
            <w:r>
              <w:rPr>
                <w:rFonts w:hint="eastAsia" w:ascii="宋体" w:hAnsi="宋体" w:eastAsia="宋体" w:cs="宋体"/>
                <w:b w:val="0"/>
                <w:bCs w:val="0"/>
                <w:color w:val="auto"/>
                <w:highlight w:val="none"/>
              </w:rPr>
              <w:fldChar w:fldCharType="separate"/>
            </w:r>
            <w:r>
              <w:rPr>
                <w:rFonts w:hint="eastAsia" w:ascii="宋体" w:hAnsi="宋体" w:cs="宋体"/>
                <w:b w:val="0"/>
                <w:bCs w:val="0"/>
                <w:color w:val="auto"/>
                <w:kern w:val="0"/>
                <w:sz w:val="22"/>
                <w:highlight w:val="none"/>
                <w:lang w:eastAsia="zh-CN"/>
              </w:rPr>
              <w:t>798650229@qq.com</w:t>
            </w:r>
            <w:r>
              <w:rPr>
                <w:rFonts w:hint="eastAsia" w:ascii="宋体" w:hAnsi="宋体" w:eastAsia="宋体" w:cs="宋体"/>
                <w:b w:val="0"/>
                <w:bCs w:val="0"/>
                <w:color w:val="auto"/>
                <w:kern w:val="0"/>
                <w:sz w:val="22"/>
                <w:highlight w:val="none"/>
              </w:rPr>
              <w:t>。</w:t>
            </w:r>
            <w:r>
              <w:rPr>
                <w:rFonts w:hint="eastAsia" w:ascii="宋体" w:hAnsi="宋体" w:eastAsia="宋体" w:cs="宋体"/>
                <w:b w:val="0"/>
                <w:bCs w:val="0"/>
                <w:color w:val="auto"/>
                <w:kern w:val="0"/>
                <w:sz w:val="22"/>
                <w:highlight w:val="none"/>
              </w:rPr>
              <w:fldChar w:fldCharType="end"/>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highlight w:val="none"/>
              </w:rPr>
              <w:t>27</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解释权</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 w:val="0"/>
                <w:bCs w:val="0"/>
                <w:color w:val="auto"/>
                <w:sz w:val="22"/>
                <w:highlight w:val="none"/>
                <w:lang w:val="zh-CN"/>
              </w:rPr>
            </w:pPr>
            <w:r>
              <w:rPr>
                <w:rFonts w:hint="eastAsia" w:ascii="宋体" w:hAnsi="宋体" w:eastAsia="宋体" w:cs="宋体"/>
                <w:b w:val="0"/>
                <w:bCs w:val="0"/>
                <w:color w:val="auto"/>
                <w:sz w:val="22"/>
                <w:highlight w:val="none"/>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或采购代理机构负责解释。</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cs="宋体"/>
                <w:b w:val="0"/>
                <w:bCs w:val="0"/>
                <w:color w:val="auto"/>
                <w:kern w:val="0"/>
                <w:sz w:val="22"/>
                <w:highlight w:val="none"/>
                <w:lang w:val="en-US" w:eastAsia="zh-CN"/>
              </w:rPr>
            </w:pPr>
            <w:r>
              <w:rPr>
                <w:rFonts w:hint="eastAsia" w:ascii="宋体" w:hAnsi="宋体" w:cs="宋体"/>
                <w:b w:val="0"/>
                <w:bCs w:val="0"/>
                <w:color w:val="auto"/>
                <w:kern w:val="0"/>
                <w:sz w:val="22"/>
                <w:highlight w:val="none"/>
                <w:lang w:val="en-US" w:eastAsia="zh-CN"/>
              </w:rPr>
              <w:t>28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其它</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1.公开招标公告属于本招标文件的一部分</w:t>
            </w:r>
          </w:p>
          <w:p>
            <w:pPr>
              <w:spacing w:line="360" w:lineRule="exac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2.请务必确保投标文件制作客户端为最新版本，旧版本可能导致投标文件解密失败。</w:t>
            </w:r>
          </w:p>
          <w:p>
            <w:pPr>
              <w:spacing w:line="360" w:lineRule="exac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3.请务必确保投标文件制作时所用的 CA 锁与投标文件解密时的 CA 锁为同一把，否则可能导致投标文件解密失败。</w:t>
            </w:r>
          </w:p>
          <w:p>
            <w:pPr>
              <w:spacing w:line="360" w:lineRule="exac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4.在投标文件解密前，请务必检验 CA 锁与所用电脑的兼容性，部分电脑因 CA 驱动未正常安装、USB 接口兼容性差等原因可能造成投标文件解密失败。</w:t>
            </w:r>
          </w:p>
          <w:p>
            <w:pPr>
              <w:spacing w:line="360" w:lineRule="exact"/>
              <w:rPr>
                <w:rFonts w:hint="eastAsia" w:ascii="宋体" w:hAnsi="宋体" w:eastAsia="宋体" w:cs="宋体"/>
                <w:b w:val="0"/>
                <w:bCs w:val="0"/>
                <w:color w:val="auto"/>
                <w:sz w:val="22"/>
                <w:highlight w:val="none"/>
              </w:rPr>
            </w:pPr>
            <w:r>
              <w:rPr>
                <w:rFonts w:hint="eastAsia" w:ascii="宋体" w:hAnsi="宋体" w:eastAsia="宋体" w:cs="宋体"/>
                <w:b w:val="0"/>
                <w:bCs w:val="0"/>
                <w:color w:val="auto"/>
                <w:sz w:val="22"/>
                <w:highlight w:val="none"/>
              </w:rPr>
              <w:t>5.投标人未按招标文件规定及提醒操作的，引起的一切后果由投标人自行负责。</w:t>
            </w:r>
          </w:p>
          <w:p>
            <w:pPr>
              <w:pStyle w:val="37"/>
              <w:spacing w:line="360" w:lineRule="exact"/>
              <w:rPr>
                <w:rFonts w:hint="eastAsia" w:ascii="宋体" w:hAnsi="宋体" w:eastAsia="宋体" w:cs="宋体"/>
                <w:b w:val="0"/>
                <w:bCs w:val="0"/>
                <w:color w:val="auto"/>
                <w:sz w:val="22"/>
                <w:highlight w:val="none"/>
                <w:lang w:val="en-US"/>
              </w:rPr>
            </w:pPr>
            <w:r>
              <w:rPr>
                <w:rFonts w:hint="eastAsia" w:ascii="宋体" w:hAnsi="宋体" w:eastAsia="宋体" w:cs="宋体"/>
                <w:b w:val="0"/>
                <w:bCs w:val="0"/>
                <w:color w:val="auto"/>
                <w:sz w:val="22"/>
                <w:highlight w:val="none"/>
                <w:lang w:val="en-US"/>
              </w:rPr>
              <w:t>6.投标截止时间同</w:t>
            </w:r>
            <w:r>
              <w:rPr>
                <w:rStyle w:val="31"/>
                <w:rFonts w:hint="eastAsia" w:ascii="宋体" w:hAnsi="宋体" w:eastAsia="宋体" w:cs="宋体"/>
                <w:b w:val="0"/>
                <w:bCs w:val="0"/>
                <w:color w:val="auto"/>
                <w:sz w:val="22"/>
                <w:highlight w:val="none"/>
              </w:rPr>
              <w:t>提交投标文件截止时间。</w:t>
            </w:r>
          </w:p>
        </w:tc>
      </w:tr>
    </w:tbl>
    <w:p>
      <w:pPr>
        <w:spacing w:line="360" w:lineRule="exact"/>
        <w:jc w:val="center"/>
        <w:rPr>
          <w:rFonts w:hint="eastAsia" w:ascii="宋体" w:hAnsi="宋体" w:eastAsia="宋体" w:cs="宋体"/>
          <w:b w:val="0"/>
          <w:bCs w:val="0"/>
          <w:color w:val="auto"/>
          <w:sz w:val="32"/>
          <w:highlight w:val="none"/>
        </w:rPr>
      </w:pPr>
    </w:p>
    <w:p>
      <w:pPr>
        <w:pStyle w:val="14"/>
        <w:ind w:left="1470" w:right="1470"/>
        <w:rPr>
          <w:rFonts w:hint="eastAsia" w:ascii="宋体" w:hAnsi="宋体" w:eastAsia="宋体" w:cs="宋体"/>
          <w:color w:val="auto"/>
          <w:kern w:val="0"/>
          <w:sz w:val="22"/>
          <w:highlight w:val="none"/>
        </w:rPr>
      </w:pPr>
    </w:p>
    <w:p>
      <w:pPr>
        <w:pStyle w:val="14"/>
        <w:ind w:left="1470" w:right="1470"/>
        <w:rPr>
          <w:rFonts w:hint="eastAsia" w:ascii="宋体" w:hAnsi="宋体" w:eastAsia="宋体" w:cs="宋体"/>
          <w:color w:val="auto"/>
          <w:kern w:val="0"/>
          <w:sz w:val="22"/>
          <w:highlight w:val="none"/>
        </w:rPr>
      </w:pPr>
    </w:p>
    <w:p>
      <w:pPr>
        <w:pStyle w:val="14"/>
        <w:ind w:left="1470" w:right="1470"/>
        <w:rPr>
          <w:rFonts w:hint="eastAsia" w:ascii="宋体" w:hAnsi="宋体" w:eastAsia="宋体" w:cs="宋体"/>
          <w:color w:val="auto"/>
          <w:kern w:val="0"/>
          <w:sz w:val="22"/>
          <w:highlight w:val="none"/>
        </w:rPr>
      </w:pPr>
    </w:p>
    <w:p>
      <w:pPr>
        <w:pStyle w:val="14"/>
        <w:ind w:left="1470" w:right="1470"/>
        <w:rPr>
          <w:rFonts w:hint="eastAsia" w:ascii="宋体" w:hAnsi="宋体" w:eastAsia="宋体" w:cs="宋体"/>
          <w:color w:val="auto"/>
          <w:kern w:val="0"/>
          <w:sz w:val="22"/>
          <w:highlight w:val="none"/>
        </w:rPr>
      </w:pPr>
    </w:p>
    <w:p>
      <w:pPr>
        <w:pStyle w:val="14"/>
        <w:ind w:left="1470" w:right="1470"/>
        <w:rPr>
          <w:rFonts w:hint="eastAsia" w:ascii="宋体" w:hAnsi="宋体" w:eastAsia="宋体" w:cs="宋体"/>
          <w:color w:val="auto"/>
          <w:kern w:val="0"/>
          <w:sz w:val="22"/>
          <w:highlight w:val="none"/>
        </w:rPr>
      </w:pPr>
    </w:p>
    <w:p>
      <w:pPr>
        <w:pStyle w:val="14"/>
        <w:ind w:left="1470" w:right="1470"/>
        <w:rPr>
          <w:rFonts w:hint="eastAsia" w:ascii="宋体" w:hAnsi="宋体" w:eastAsia="宋体" w:cs="宋体"/>
          <w:color w:val="auto"/>
          <w:kern w:val="0"/>
          <w:sz w:val="22"/>
          <w:highlight w:val="none"/>
        </w:rPr>
      </w:pPr>
    </w:p>
    <w:p>
      <w:pPr>
        <w:pStyle w:val="14"/>
        <w:ind w:left="1470" w:right="1470"/>
        <w:rPr>
          <w:rFonts w:hint="eastAsia" w:ascii="宋体" w:hAnsi="宋体" w:eastAsia="宋体" w:cs="宋体"/>
          <w:color w:val="auto"/>
          <w:kern w:val="0"/>
          <w:sz w:val="22"/>
          <w:highlight w:val="none"/>
        </w:rPr>
      </w:pPr>
    </w:p>
    <w:p>
      <w:pPr>
        <w:spacing w:line="500" w:lineRule="exact"/>
        <w:ind w:firstLine="482" w:firstLineChars="200"/>
        <w:jc w:val="center"/>
        <w:rPr>
          <w:rFonts w:hint="eastAsia" w:ascii="宋体" w:hAnsi="宋体" w:eastAsia="宋体" w:cs="宋体"/>
          <w:b/>
          <w:color w:val="auto"/>
          <w:sz w:val="24"/>
          <w:szCs w:val="24"/>
          <w:highlight w:val="none"/>
        </w:rPr>
        <w:sectPr>
          <w:footerReference r:id="rId11" w:type="first"/>
          <w:footerReference r:id="rId10" w:type="default"/>
          <w:pgSz w:w="11906" w:h="16838"/>
          <w:pgMar w:top="1134" w:right="1134" w:bottom="1134" w:left="1134" w:header="851" w:footer="851" w:gutter="0"/>
          <w:pgNumType w:start="1"/>
          <w:cols w:space="720" w:num="1"/>
          <w:titlePg/>
          <w:docGrid w:linePitch="312" w:charSpace="0"/>
        </w:sectPr>
      </w:pPr>
      <w:bookmarkStart w:id="0" w:name="_Toc515203432"/>
    </w:p>
    <w:p>
      <w:pPr>
        <w:spacing w:line="500" w:lineRule="exact"/>
        <w:ind w:firstLine="482" w:firstLineChars="20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 说  明</w:t>
      </w:r>
      <w:bookmarkEnd w:id="0"/>
    </w:p>
    <w:p>
      <w:pPr>
        <w:tabs>
          <w:tab w:val="left" w:pos="360"/>
        </w:tabs>
        <w:adjustRightInd w:val="0"/>
        <w:spacing w:beforeAutospacing="0"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1.本次招标是按照《中华人民共和国政府采购法》、《政府采购货物和服务招标投标管理办法》等法律及有关法规组织和实施的。</w:t>
      </w:r>
    </w:p>
    <w:p>
      <w:pPr>
        <w:tabs>
          <w:tab w:val="left" w:pos="360"/>
        </w:tabs>
        <w:adjustRightInd w:val="0"/>
        <w:spacing w:line="360" w:lineRule="exact"/>
        <w:ind w:firstLine="440" w:firstLineChars="200"/>
        <w:rPr>
          <w:rFonts w:hint="eastAsia" w:ascii="宋体" w:hAnsi="宋体" w:eastAsia="宋体" w:cs="宋体"/>
          <w:color w:val="auto"/>
          <w:kern w:val="0"/>
          <w:sz w:val="22"/>
          <w:highlight w:val="none"/>
          <w:lang w:val="zh-CN"/>
        </w:rPr>
      </w:pPr>
      <w:r>
        <w:rPr>
          <w:rFonts w:hint="eastAsia" w:ascii="宋体" w:hAnsi="宋体" w:eastAsia="宋体" w:cs="宋体"/>
          <w:color w:val="auto"/>
          <w:sz w:val="22"/>
          <w:highlight w:val="none"/>
        </w:rPr>
        <w:t>2.合格投标人</w:t>
      </w:r>
      <w:r>
        <w:rPr>
          <w:rFonts w:hint="eastAsia" w:ascii="宋体" w:hAnsi="宋体" w:eastAsia="宋体" w:cs="宋体"/>
          <w:color w:val="auto"/>
          <w:kern w:val="0"/>
          <w:sz w:val="22"/>
          <w:highlight w:val="none"/>
          <w:lang w:val="zh-CN"/>
        </w:rPr>
        <w:t>要求以招标公告及投标人须知前附表对投标人资格条件要求的表述为准。</w:t>
      </w:r>
    </w:p>
    <w:p>
      <w:pPr>
        <w:tabs>
          <w:tab w:val="left" w:pos="360"/>
        </w:tabs>
        <w:adjustRightIn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3.</w:t>
      </w:r>
      <w:r>
        <w:rPr>
          <w:rFonts w:hint="eastAsia" w:ascii="宋体" w:hAnsi="宋体" w:eastAsia="宋体" w:cs="宋体"/>
          <w:color w:val="auto"/>
          <w:sz w:val="22"/>
          <w:highlight w:val="none"/>
        </w:rPr>
        <w:t>投标人代表</w:t>
      </w:r>
    </w:p>
    <w:p>
      <w:pPr>
        <w:tabs>
          <w:tab w:val="left" w:pos="360"/>
        </w:tabs>
        <w:adjustRightIn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指全权代表投标人参加投标活动并签署投标文件的人。投标人须携带有效身份证件。如投标人代表不是法定代表人，须有法定代表人授权委托书，投标人未参加开标的，视同认可开标结果。</w:t>
      </w:r>
    </w:p>
    <w:p>
      <w:pPr>
        <w:tabs>
          <w:tab w:val="left" w:pos="360"/>
        </w:tabs>
        <w:adjustRightIn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4.投标费用</w:t>
      </w:r>
    </w:p>
    <w:p>
      <w:pPr>
        <w:tabs>
          <w:tab w:val="left" w:pos="360"/>
        </w:tabs>
        <w:adjustRightIn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4.1投标人应承担所有与准备和参加投标有关费用，不论投标的结果如何，采购代理机构和采购人均无义务和责任承担这些费用。</w:t>
      </w:r>
    </w:p>
    <w:p>
      <w:pPr>
        <w:tabs>
          <w:tab w:val="left" w:pos="-180"/>
          <w:tab w:val="left" w:pos="180"/>
          <w:tab w:val="left" w:pos="360"/>
        </w:tabs>
        <w:adjustRightIn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4.2▲</w:t>
      </w:r>
      <w:r>
        <w:rPr>
          <w:rFonts w:hint="eastAsia" w:ascii="宋体" w:hAnsi="宋体" w:eastAsia="宋体" w:cs="宋体"/>
          <w:b/>
          <w:bCs/>
          <w:color w:val="auto"/>
          <w:sz w:val="22"/>
          <w:highlight w:val="none"/>
          <w:u w:val="single"/>
        </w:rPr>
        <w:t>采购代理服务费按《招标代理服务收费管理暂行办法》（计价格[2002]1980号）规定标准</w:t>
      </w:r>
      <w:r>
        <w:rPr>
          <w:rFonts w:hint="eastAsia" w:ascii="宋体" w:hAnsi="宋体" w:cs="宋体"/>
          <w:b/>
          <w:bCs/>
          <w:color w:val="auto"/>
          <w:sz w:val="22"/>
          <w:highlight w:val="none"/>
          <w:u w:val="single"/>
          <w:lang w:val="en-US" w:eastAsia="zh-CN"/>
        </w:rPr>
        <w:t>7折</w:t>
      </w:r>
      <w:r>
        <w:rPr>
          <w:rFonts w:hint="eastAsia" w:ascii="宋体" w:hAnsi="宋体" w:eastAsia="宋体" w:cs="宋体"/>
          <w:b/>
          <w:bCs/>
          <w:color w:val="auto"/>
          <w:sz w:val="22"/>
          <w:highlight w:val="none"/>
          <w:u w:val="single"/>
        </w:rPr>
        <w:t>结算，由中标人在领取中标通知书时支付，采购代理服务费不再另行报价，由投标人综合考虑到投标总价内。</w:t>
      </w:r>
    </w:p>
    <w:p>
      <w:pPr>
        <w:tabs>
          <w:tab w:val="left" w:pos="360"/>
        </w:tabs>
        <w:adjustRightIn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4.</w:t>
      </w:r>
      <w:r>
        <w:rPr>
          <w:rFonts w:hint="eastAsia" w:ascii="宋体" w:hAnsi="宋体" w:cs="宋体"/>
          <w:b/>
          <w:bCs/>
          <w:color w:val="auto"/>
          <w:sz w:val="22"/>
          <w:highlight w:val="none"/>
          <w:lang w:val="en-US" w:eastAsia="zh-CN"/>
        </w:rPr>
        <w:t xml:space="preserve">3 </w:t>
      </w:r>
      <w:r>
        <w:rPr>
          <w:rFonts w:hint="eastAsia" w:ascii="宋体" w:hAnsi="宋体" w:eastAsia="宋体" w:cs="宋体"/>
          <w:b/>
          <w:bCs/>
          <w:color w:val="auto"/>
          <w:sz w:val="22"/>
          <w:highlight w:val="none"/>
        </w:rPr>
        <w:t>采购代理服务费可以是现金、支票或汇票。</w:t>
      </w:r>
    </w:p>
    <w:p>
      <w:pPr>
        <w:tabs>
          <w:tab w:val="left" w:pos="360"/>
        </w:tabs>
        <w:adjustRightIn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cs="宋体"/>
          <w:b/>
          <w:bCs/>
          <w:color w:val="auto"/>
          <w:sz w:val="22"/>
          <w:highlight w:val="none"/>
          <w:lang w:val="en-US" w:eastAsia="zh-CN"/>
        </w:rPr>
        <w:t>4</w:t>
      </w:r>
      <w:r>
        <w:rPr>
          <w:rFonts w:hint="eastAsia" w:ascii="宋体" w:hAnsi="宋体" w:eastAsia="宋体" w:cs="宋体"/>
          <w:b/>
          <w:bCs/>
          <w:color w:val="auto"/>
          <w:sz w:val="22"/>
          <w:highlight w:val="none"/>
        </w:rPr>
        <w:t>.</w:t>
      </w:r>
      <w:r>
        <w:rPr>
          <w:rFonts w:hint="eastAsia" w:ascii="宋体" w:hAnsi="宋体" w:cs="宋体"/>
          <w:b/>
          <w:bCs/>
          <w:color w:val="auto"/>
          <w:sz w:val="22"/>
          <w:highlight w:val="none"/>
          <w:lang w:val="en-US" w:eastAsia="zh-CN"/>
        </w:rPr>
        <w:t>4</w:t>
      </w:r>
      <w:r>
        <w:rPr>
          <w:rFonts w:hint="eastAsia" w:ascii="宋体" w:hAnsi="宋体" w:eastAsia="宋体" w:cs="宋体"/>
          <w:b/>
          <w:bCs/>
          <w:color w:val="auto"/>
          <w:sz w:val="22"/>
          <w:highlight w:val="none"/>
        </w:rPr>
        <w:t xml:space="preserve"> 采购代理服务费汇入账户：</w:t>
      </w:r>
    </w:p>
    <w:p>
      <w:pPr>
        <w:tabs>
          <w:tab w:val="left" w:pos="360"/>
        </w:tabs>
        <w:adjustRightIn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户  名：温州市建设工程咨询有限公司</w:t>
      </w:r>
    </w:p>
    <w:p>
      <w:pPr>
        <w:tabs>
          <w:tab w:val="left" w:pos="360"/>
        </w:tabs>
        <w:adjustRightIn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开户行：温州银行高新区支行</w:t>
      </w:r>
    </w:p>
    <w:p>
      <w:pPr>
        <w:tabs>
          <w:tab w:val="left" w:pos="360"/>
        </w:tabs>
        <w:adjustRightIn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 xml:space="preserve">帐  号：771000120190018888 </w:t>
      </w:r>
    </w:p>
    <w:p>
      <w:pPr>
        <w:tabs>
          <w:tab w:val="left" w:pos="360"/>
        </w:tabs>
        <w:adjustRightIn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5.信用记录：</w:t>
      </w:r>
    </w:p>
    <w:p>
      <w:pPr>
        <w:adjustRightInd w:val="0"/>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根据财库[2016]125号《关于在政府采购活动中查询及使用信用记录有关问题的通知》要求，采购代理机构会对投标人信用记录进行查询并甄别。</w:t>
      </w:r>
    </w:p>
    <w:p>
      <w:pPr>
        <w:adjustRightInd w:val="0"/>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5.1.信用信息查询的截止时点：投标截止时间；</w:t>
      </w:r>
    </w:p>
    <w:p>
      <w:pPr>
        <w:tabs>
          <w:tab w:val="left" w:pos="360"/>
        </w:tabs>
        <w:adjustRightInd w:val="0"/>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5.2.查询渠道：</w:t>
      </w:r>
      <w:r>
        <w:rPr>
          <w:rFonts w:hint="eastAsia" w:ascii="宋体" w:hAnsi="宋体" w:eastAsia="宋体" w:cs="宋体"/>
          <w:b/>
          <w:bCs/>
          <w:color w:val="auto"/>
          <w:sz w:val="22"/>
          <w:highlight w:val="none"/>
        </w:rPr>
        <w:t>“信用中国”网站（www.creditchina.gov.cn）、“中国政府采购网”（www.ccgp.gov.cn）</w:t>
      </w:r>
      <w:r>
        <w:rPr>
          <w:rFonts w:hint="eastAsia" w:ascii="宋体" w:hAnsi="宋体" w:eastAsia="宋体" w:cs="宋体"/>
          <w:b/>
          <w:bCs/>
          <w:color w:val="auto"/>
          <w:spacing w:val="6"/>
          <w:sz w:val="22"/>
          <w:highlight w:val="none"/>
        </w:rPr>
        <w:t>；</w:t>
      </w:r>
    </w:p>
    <w:p>
      <w:pPr>
        <w:adjustRightInd w:val="0"/>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5.3.信用信息查询记录和证据留存具体方式：采购代理机构经办人或监督人员将查询网页打印与其他采购文件一并保存；</w:t>
      </w:r>
    </w:p>
    <w:p>
      <w:pPr>
        <w:adjustRightInd w:val="0"/>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5.4.信用信息的使用规则：投标人存在不良信用记录的，其投标将被作为投标无效被拒绝；</w:t>
      </w:r>
    </w:p>
    <w:p>
      <w:pPr>
        <w:adjustRightInd w:val="0"/>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不良信用记录指：被列入失信被执行人、重大税收违法案件当事人名单、政府采购严重违法失信行为记录名单。</w:t>
      </w:r>
    </w:p>
    <w:p>
      <w:pPr>
        <w:adjustRightInd w:val="0"/>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6.特别说明：</w:t>
      </w:r>
    </w:p>
    <w:p>
      <w:pPr>
        <w:adjustRightInd w:val="0"/>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6.1投标人应仔细阅读招标文件的所有内容，按照招标文件的要求提交投标文件，并对所提供的全部资料的真实性承担法律责任。</w:t>
      </w:r>
    </w:p>
    <w:p>
      <w:pPr>
        <w:adjustRightInd w:val="0"/>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非单一产品采购项目，采购人应当根据采购项目技术构成、产品价格比重等合理确定核心产品，并在招标文件中载明。多家投标人提供的核心产品品牌相同的，按前两款规定处理。</w:t>
      </w:r>
    </w:p>
    <w:p>
      <w:pPr>
        <w:adjustRightInd w:val="0"/>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注：所有核心产品品牌均相同按同品牌投标人计算。</w:t>
      </w:r>
    </w:p>
    <w:p>
      <w:pPr>
        <w:adjustRightInd w:val="0"/>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6.3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adjustRightInd w:val="0"/>
        <w:spacing w:line="360" w:lineRule="exact"/>
        <w:ind w:firstLine="466" w:firstLineChars="200"/>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6.4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djustRightInd w:val="0"/>
        <w:spacing w:line="360" w:lineRule="exact"/>
        <w:ind w:firstLine="466" w:firstLineChars="200"/>
        <w:rPr>
          <w:rFonts w:hint="eastAsia" w:ascii="宋体" w:hAnsi="宋体" w:eastAsia="宋体" w:cs="宋体"/>
          <w:b/>
          <w:bCs/>
          <w:color w:val="auto"/>
          <w:sz w:val="22"/>
          <w:highlight w:val="none"/>
        </w:rPr>
      </w:pPr>
      <w:r>
        <w:rPr>
          <w:rFonts w:hint="eastAsia" w:ascii="宋体" w:hAnsi="宋体" w:eastAsia="宋体" w:cs="宋体"/>
          <w:b/>
          <w:bCs/>
          <w:color w:val="auto"/>
          <w:spacing w:val="6"/>
          <w:sz w:val="22"/>
          <w:highlight w:val="none"/>
        </w:rPr>
        <w:t>6.5</w:t>
      </w:r>
      <w:r>
        <w:rPr>
          <w:rFonts w:hint="eastAsia" w:ascii="宋体" w:hAnsi="宋体" w:eastAsia="宋体" w:cs="宋体"/>
          <w:b/>
          <w:bCs/>
          <w:color w:val="auto"/>
          <w:kern w:val="0"/>
          <w:sz w:val="22"/>
          <w:highlight w:val="none"/>
          <w:lang w:val="zh-CN"/>
        </w:rPr>
        <w:t>非浙江政府采购网注册的供应商或发生变更且未及时更新的供应商，应当在规定时间内按照《浙江省政府采购投标人注册及诚信管理暂行办法》（浙财采监字［2009］28号）的相关规定及时办理更新或供应商注册事项。一旦被确定为中标人的，在合同签订前按本办法的规定完成注册并成为正式注册供应商。</w:t>
      </w:r>
    </w:p>
    <w:p>
      <w:pPr>
        <w:spacing w:line="500" w:lineRule="exact"/>
        <w:ind w:firstLine="482" w:firstLineChars="20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二、招标文件</w:t>
      </w:r>
    </w:p>
    <w:p>
      <w:pPr>
        <w:spacing w:line="360" w:lineRule="exact"/>
        <w:ind w:firstLine="440" w:firstLineChars="200"/>
        <w:outlineLvl w:val="0"/>
        <w:rPr>
          <w:rFonts w:hint="eastAsia" w:ascii="宋体" w:hAnsi="宋体" w:eastAsia="宋体" w:cs="宋体"/>
          <w:color w:val="auto"/>
          <w:sz w:val="22"/>
          <w:highlight w:val="none"/>
        </w:rPr>
      </w:pPr>
      <w:r>
        <w:rPr>
          <w:rFonts w:hint="eastAsia" w:ascii="宋体" w:hAnsi="宋体" w:eastAsia="宋体" w:cs="宋体"/>
          <w:color w:val="auto"/>
          <w:sz w:val="22"/>
          <w:highlight w:val="none"/>
        </w:rPr>
        <w:t>1.招标文件由招标文件目录所列内容及相关资料组成。</w:t>
      </w:r>
    </w:p>
    <w:p>
      <w:pPr>
        <w:spacing w:line="360" w:lineRule="exact"/>
        <w:ind w:firstLine="440" w:firstLineChars="200"/>
        <w:outlineLvl w:val="0"/>
        <w:rPr>
          <w:rFonts w:hint="eastAsia" w:ascii="宋体" w:hAnsi="宋体" w:eastAsia="宋体" w:cs="宋体"/>
          <w:color w:val="auto"/>
          <w:sz w:val="22"/>
          <w:highlight w:val="none"/>
        </w:rPr>
      </w:pPr>
      <w:r>
        <w:rPr>
          <w:rFonts w:hint="eastAsia" w:ascii="宋体" w:hAnsi="宋体" w:eastAsia="宋体" w:cs="宋体"/>
          <w:color w:val="auto"/>
          <w:sz w:val="22"/>
          <w:highlight w:val="none"/>
        </w:rPr>
        <w:t>2.质疑</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2.1投标人认为采购文件、采购过程、中标或者成交结果使自己的权益受到损害的，可以在知道或者应知其权益受到损害之日起7个工作日内，以书面形式向采购人、采购代理机构提出质疑。逾期提出的，采购组织机构将不予受理、答复。</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2.2投标人提出质疑应当提交质疑函和必要的证明材料，质疑函范本请到“浙江政府采购网下载专区”下载，质疑函应当包括下列内容：</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（一）投标人的姓名或者名称、地址、邮编、联系人及联系电话；</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（二）质疑项目的名称、编号；</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（三）具体、明确的质疑事项和与质疑事项相关的请求；</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（四）事实依据；</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（五）必要的法律依据；</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（六）提出质疑的日期。</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投标人为自然人的，应当由本人签字；投标人为法人或者其他组织的，应当由法定代表人、主要负责人，或者其授权代表签字或者盖章，并加盖电子签章。</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2.3提出质疑的投标人应当是参与本项目招标活动的投标人。</w:t>
      </w:r>
      <w:r>
        <w:rPr>
          <w:rFonts w:hint="eastAsia" w:ascii="宋体" w:hAnsi="宋体" w:eastAsia="宋体" w:cs="宋体"/>
          <w:b/>
          <w:bCs/>
          <w:color w:val="auto"/>
          <w:spacing w:val="6"/>
          <w:sz w:val="22"/>
          <w:highlight w:val="none"/>
        </w:rPr>
        <w:t>投标人在法定质疑期内一次性提出针对同一采购程序环节的质疑。</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2.4根据《政府采购质疑和投诉办法》第三十七条的规定，投诉人在全国范围12个月内三次以上投诉查无实据的，由财政部门列入不良行为记录名单。</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投诉人有下列行为之一的，属于虚假、恶意投诉，由财政部门列入不良行为记录名单，禁止其1至3年内参加政府采购活动：</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（一）捏造事实；</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（二）提供虚假材料；</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（三）以非法手段取得证明材料。证据来源的合法性存在明显疑问，投诉人无法证明其取得方式合法的，视为以非法手段取得证明材料。</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3.投诉</w:t>
      </w:r>
    </w:p>
    <w:p>
      <w:pPr>
        <w:spacing w:line="360" w:lineRule="exact"/>
        <w:ind w:firstLine="464" w:firstLineChars="200"/>
        <w:outlineLvl w:val="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spacing w:line="360" w:lineRule="exact"/>
        <w:ind w:firstLine="464"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4.澄清或修改</w:t>
      </w:r>
    </w:p>
    <w:p>
      <w:pPr>
        <w:spacing w:line="360" w:lineRule="exact"/>
        <w:ind w:firstLine="464"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4.1采购人或者采购代理机构可以对已发出的招标文件进行必要的澄清或者修改。澄清或者修改</w:t>
      </w:r>
      <w:r>
        <w:rPr>
          <w:rStyle w:val="31"/>
          <w:rFonts w:hint="eastAsia" w:ascii="宋体" w:hAnsi="宋体" w:eastAsia="宋体" w:cs="宋体"/>
          <w:b w:val="0"/>
          <w:color w:val="auto"/>
          <w:sz w:val="22"/>
          <w:highlight w:val="none"/>
        </w:rPr>
        <w:t>在浙江政府采购网上发布公告，同时政采云系统会向所有已按招标文件规定方式获取招标文件的潜在投标人发送更正提醒信息，潜在投标人请自行到浙江省政府采购网上下载公告附件，潜在投标人在收到该公告附件后应于1日内，以书面或传真形式（签署意见并加盖公章）向采购代理机构回函给予确认。过期未回复的，视为默认接受。</w:t>
      </w:r>
      <w:r>
        <w:rPr>
          <w:rFonts w:hint="eastAsia" w:ascii="宋体" w:hAnsi="宋体" w:eastAsia="宋体" w:cs="宋体"/>
          <w:color w:val="auto"/>
          <w:spacing w:val="6"/>
          <w:sz w:val="22"/>
          <w:highlight w:val="none"/>
        </w:rPr>
        <w:t>澄清或者修改的内容为招标文件的组成部分。</w:t>
      </w:r>
    </w:p>
    <w:p>
      <w:pPr>
        <w:spacing w:line="360" w:lineRule="exact"/>
        <w:ind w:firstLine="464"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澄清或者修改的内容可能影响投标文件编制的，采购人或者采购代理机构应当在投标截止时间至少15日前，以书面形式（</w:t>
      </w:r>
      <w:r>
        <w:rPr>
          <w:rStyle w:val="31"/>
          <w:rFonts w:hint="eastAsia" w:ascii="宋体" w:hAnsi="宋体" w:eastAsia="宋体" w:cs="宋体"/>
          <w:b w:val="0"/>
          <w:color w:val="auto"/>
          <w:sz w:val="22"/>
          <w:highlight w:val="none"/>
        </w:rPr>
        <w:t>在浙江政府采购网上发布公告</w:t>
      </w:r>
      <w:r>
        <w:rPr>
          <w:rFonts w:hint="eastAsia" w:ascii="宋体" w:hAnsi="宋体" w:eastAsia="宋体" w:cs="宋体"/>
          <w:color w:val="auto"/>
          <w:spacing w:val="6"/>
          <w:sz w:val="22"/>
          <w:highlight w:val="none"/>
        </w:rPr>
        <w:t>）通知所有获取招标文件的潜在投标人；不足15日的，采购人或者采购代理机构应当顺延提交投标文件的截止时间。</w:t>
      </w:r>
    </w:p>
    <w:p>
      <w:pPr>
        <w:spacing w:line="500" w:lineRule="exact"/>
        <w:ind w:firstLine="482" w:firstLineChars="20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 投标文件的编制</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1.投标文件的形式</w:t>
      </w:r>
    </w:p>
    <w:p>
      <w:pPr>
        <w:pStyle w:val="15"/>
        <w:snapToGri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投标文件分为电子投标文件以及备份投标文件，备份文件为以介质存储的数据电文形式的备份投标文件。</w:t>
      </w:r>
    </w:p>
    <w:p>
      <w:pPr>
        <w:spacing w:line="360" w:lineRule="exact"/>
        <w:ind w:firstLine="442" w:firstLineChars="200"/>
        <w:rPr>
          <w:rFonts w:hint="eastAsia" w:ascii="宋体" w:hAnsi="宋体" w:eastAsia="宋体" w:cs="宋体"/>
          <w:color w:val="auto"/>
          <w:kern w:val="0"/>
          <w:sz w:val="22"/>
          <w:highlight w:val="none"/>
        </w:rPr>
      </w:pPr>
      <w:r>
        <w:rPr>
          <w:rFonts w:hint="eastAsia" w:ascii="宋体" w:hAnsi="宋体" w:eastAsia="宋体" w:cs="宋体"/>
          <w:b/>
          <w:bCs/>
          <w:color w:val="auto"/>
          <w:sz w:val="22"/>
          <w:highlight w:val="none"/>
        </w:rPr>
        <w:t>1.1电子投标文件，通过政采云电子交易客户端（政采云投标客户端）完成投标文件编制后生成并加密的数据电文形式的投标文件（文件扩展名为.jmbs）</w:t>
      </w:r>
      <w:r>
        <w:rPr>
          <w:rFonts w:hint="eastAsia" w:ascii="宋体" w:hAnsi="宋体" w:eastAsia="宋体" w:cs="宋体"/>
          <w:color w:val="auto"/>
          <w:kern w:val="0"/>
          <w:sz w:val="22"/>
          <w:highlight w:val="none"/>
        </w:rPr>
        <w:t>。</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1.2 以介质存储的数据电文形式的备份投标文件：</w:t>
      </w:r>
      <w:r>
        <w:rPr>
          <w:rStyle w:val="31"/>
          <w:rFonts w:hint="eastAsia" w:ascii="宋体" w:hAnsi="宋体" w:eastAsia="宋体" w:cs="宋体"/>
          <w:bCs/>
          <w:color w:val="auto"/>
          <w:sz w:val="22"/>
          <w:highlight w:val="none"/>
        </w:rPr>
        <w:t>与“电子投标文件”同时生成的数据电文形式的备份投标文件</w:t>
      </w:r>
      <w:r>
        <w:rPr>
          <w:rFonts w:hint="eastAsia" w:ascii="宋体" w:hAnsi="宋体" w:eastAsia="宋体" w:cs="宋体"/>
          <w:b/>
          <w:bCs/>
          <w:color w:val="auto"/>
          <w:sz w:val="22"/>
          <w:highlight w:val="none"/>
        </w:rPr>
        <w:t>(</w:t>
      </w:r>
      <w:r>
        <w:rPr>
          <w:rFonts w:hint="eastAsia" w:ascii="宋体" w:hAnsi="宋体" w:eastAsia="宋体" w:cs="宋体"/>
          <w:b/>
          <w:bCs/>
          <w:color w:val="auto"/>
          <w:sz w:val="22"/>
          <w:highlight w:val="none"/>
          <w:lang w:val="zh-CN"/>
        </w:rPr>
        <w:t>文件扩展名为</w:t>
      </w:r>
      <w:r>
        <w:rPr>
          <w:rFonts w:hint="eastAsia" w:ascii="宋体" w:hAnsi="宋体" w:eastAsia="宋体" w:cs="宋体"/>
          <w:b/>
          <w:bCs/>
          <w:color w:val="auto"/>
          <w:sz w:val="22"/>
          <w:highlight w:val="none"/>
        </w:rPr>
        <w:t>.bfbs)，</w:t>
      </w:r>
      <w:r>
        <w:rPr>
          <w:rFonts w:hint="eastAsia" w:ascii="宋体" w:hAnsi="宋体" w:eastAsia="宋体" w:cs="宋体"/>
          <w:b/>
          <w:bCs/>
          <w:color w:val="auto"/>
          <w:sz w:val="22"/>
          <w:highlight w:val="none"/>
          <w:lang w:val="zh-CN"/>
        </w:rPr>
        <w:t>投标文件提交截止时间前以电子邮件方式传送至</w:t>
      </w:r>
      <w:r>
        <w:rPr>
          <w:rFonts w:hint="eastAsia" w:ascii="宋体" w:hAnsi="宋体" w:cs="宋体"/>
          <w:b/>
          <w:bCs/>
          <w:color w:val="auto"/>
          <w:sz w:val="22"/>
          <w:highlight w:val="none"/>
          <w:lang w:val="zh-CN"/>
        </w:rPr>
        <w:t>温州市建设工程咨询有限公司</w:t>
      </w:r>
      <w:r>
        <w:rPr>
          <w:rFonts w:hint="eastAsia" w:ascii="宋体" w:hAnsi="宋体" w:eastAsia="宋体" w:cs="宋体"/>
          <w:b/>
          <w:bCs/>
          <w:color w:val="auto"/>
          <w:sz w:val="22"/>
          <w:highlight w:val="none"/>
          <w:lang w:val="zh-CN"/>
        </w:rPr>
        <w:t>电子邮箱</w:t>
      </w:r>
      <w:r>
        <w:rPr>
          <w:rFonts w:hint="eastAsia" w:ascii="宋体" w:hAnsi="宋体" w:cs="宋体"/>
          <w:b/>
          <w:bCs/>
          <w:color w:val="auto"/>
          <w:sz w:val="22"/>
          <w:highlight w:val="none"/>
          <w:lang w:eastAsia="zh-CN"/>
        </w:rPr>
        <w:t>798650229@qq.com</w:t>
      </w:r>
      <w:r>
        <w:rPr>
          <w:rFonts w:hint="eastAsia" w:ascii="宋体" w:hAnsi="宋体" w:eastAsia="宋体" w:cs="宋体"/>
          <w:b/>
          <w:bCs/>
          <w:color w:val="auto"/>
          <w:sz w:val="22"/>
          <w:highlight w:val="none"/>
        </w:rPr>
        <w:t>，</w:t>
      </w:r>
      <w:r>
        <w:rPr>
          <w:rFonts w:hint="eastAsia" w:ascii="宋体" w:hAnsi="宋体" w:eastAsia="宋体" w:cs="宋体"/>
          <w:b/>
          <w:bCs/>
          <w:color w:val="auto"/>
          <w:sz w:val="22"/>
          <w:highlight w:val="none"/>
          <w:lang w:val="zh-CN"/>
        </w:rPr>
        <w:t>递交</w:t>
      </w:r>
      <w:r>
        <w:rPr>
          <w:rFonts w:hint="eastAsia" w:ascii="宋体" w:hAnsi="宋体" w:eastAsia="宋体" w:cs="宋体"/>
          <w:b/>
          <w:bCs/>
          <w:color w:val="auto"/>
          <w:sz w:val="22"/>
          <w:highlight w:val="none"/>
        </w:rPr>
        <w:t>1</w:t>
      </w:r>
      <w:r>
        <w:rPr>
          <w:rFonts w:hint="eastAsia" w:ascii="宋体" w:hAnsi="宋体" w:eastAsia="宋体" w:cs="宋体"/>
          <w:b/>
          <w:bCs/>
          <w:color w:val="auto"/>
          <w:sz w:val="22"/>
          <w:highlight w:val="none"/>
          <w:lang w:val="zh-CN"/>
        </w:rPr>
        <w:t>份</w:t>
      </w:r>
      <w:r>
        <w:rPr>
          <w:rFonts w:hint="eastAsia" w:ascii="宋体" w:hAnsi="宋体" w:eastAsia="宋体" w:cs="宋体"/>
          <w:b/>
          <w:bCs/>
          <w:color w:val="auto"/>
          <w:sz w:val="22"/>
          <w:highlight w:val="none"/>
        </w:rPr>
        <w:t>，</w:t>
      </w:r>
      <w:r>
        <w:rPr>
          <w:rFonts w:hint="eastAsia" w:ascii="宋体" w:hAnsi="宋体" w:eastAsia="宋体" w:cs="宋体"/>
          <w:b/>
          <w:bCs/>
          <w:color w:val="auto"/>
          <w:sz w:val="22"/>
          <w:highlight w:val="none"/>
          <w:lang w:val="zh-CN"/>
        </w:rPr>
        <w:t>传送的备份投标文件需打包压缩并加密</w:t>
      </w:r>
      <w:r>
        <w:rPr>
          <w:rFonts w:hint="eastAsia" w:ascii="宋体" w:hAnsi="宋体" w:eastAsia="宋体" w:cs="宋体"/>
          <w:b/>
          <w:bCs/>
          <w:color w:val="auto"/>
          <w:sz w:val="22"/>
          <w:highlight w:val="none"/>
        </w:rPr>
        <w:t>，</w:t>
      </w:r>
      <w:r>
        <w:rPr>
          <w:rFonts w:hint="eastAsia" w:ascii="宋体" w:hAnsi="宋体" w:eastAsia="宋体" w:cs="宋体"/>
          <w:b/>
          <w:bCs/>
          <w:color w:val="auto"/>
          <w:sz w:val="22"/>
          <w:highlight w:val="none"/>
          <w:lang w:val="zh-CN"/>
        </w:rPr>
        <w:t>加密密码由投标人自行保管</w:t>
      </w:r>
      <w:r>
        <w:rPr>
          <w:rFonts w:hint="eastAsia" w:ascii="宋体" w:hAnsi="宋体" w:eastAsia="宋体" w:cs="宋体"/>
          <w:b/>
          <w:bCs/>
          <w:color w:val="auto"/>
          <w:sz w:val="22"/>
          <w:highlight w:val="none"/>
        </w:rPr>
        <w:t>，未加密导致投标信息泄露的风险由投标人自行承担</w:t>
      </w:r>
      <w:r>
        <w:rPr>
          <w:rStyle w:val="31"/>
          <w:rFonts w:hint="eastAsia" w:ascii="宋体" w:hAnsi="宋体" w:eastAsia="宋体" w:cs="宋体"/>
          <w:bCs/>
          <w:color w:val="auto"/>
          <w:sz w:val="22"/>
          <w:highlight w:val="none"/>
        </w:rPr>
        <w:t>。</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1.3 投标文件的效力</w:t>
      </w:r>
    </w:p>
    <w:p>
      <w:pPr>
        <w:spacing w:line="360" w:lineRule="exact"/>
        <w:ind w:firstLine="442" w:firstLineChars="200"/>
        <w:rPr>
          <w:rFonts w:hint="eastAsia" w:ascii="宋体" w:hAnsi="宋体" w:eastAsia="宋体" w:cs="宋体"/>
          <w:b/>
          <w:bCs/>
          <w:color w:val="auto"/>
          <w:sz w:val="22"/>
          <w:highlight w:val="none"/>
          <w:lang w:val="zh-CN"/>
        </w:rPr>
      </w:pPr>
      <w:r>
        <w:rPr>
          <w:rFonts w:hint="eastAsia" w:ascii="宋体" w:hAnsi="宋体" w:eastAsia="宋体" w:cs="宋体"/>
          <w:b/>
          <w:bCs/>
          <w:color w:val="auto"/>
          <w:sz w:val="22"/>
          <w:highlight w:val="none"/>
          <w:lang w:val="zh-CN"/>
        </w:rPr>
        <w:t>投标文件的启用，按先后顺位分别为电子投标文件、以介质存储的数据电文形式的备份投标文件。在下一顺位的投标文件启用时，前一顺位的投标文件自动失效。</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rPr>
        <w:t>2.投标人应认真阅读招标文件中所有事项格式、条款和技术规范等。</w:t>
      </w:r>
      <w:r>
        <w:rPr>
          <w:rFonts w:hint="eastAsia" w:ascii="宋体" w:hAnsi="宋体" w:eastAsia="宋体" w:cs="宋体"/>
          <w:bCs/>
          <w:color w:val="auto"/>
          <w:sz w:val="22"/>
          <w:highlight w:val="none"/>
          <w:u w:val="single"/>
        </w:rPr>
        <w:t>▲</w:t>
      </w:r>
      <w:r>
        <w:rPr>
          <w:rFonts w:hint="eastAsia" w:ascii="宋体" w:hAnsi="宋体" w:eastAsia="宋体" w:cs="宋体"/>
          <w:color w:val="auto"/>
          <w:sz w:val="22"/>
          <w:highlight w:val="none"/>
          <w:u w:val="single"/>
        </w:rPr>
        <w:t>投标人没有对招标文件各个方面做出实质性响应，导致投标被拒绝的风险由投标人自行承担。</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rPr>
        <w:t>3.</w:t>
      </w:r>
      <w:r>
        <w:rPr>
          <w:rFonts w:hint="eastAsia" w:ascii="宋体" w:hAnsi="宋体" w:eastAsia="宋体" w:cs="宋体"/>
          <w:bCs/>
          <w:color w:val="auto"/>
          <w:sz w:val="22"/>
          <w:highlight w:val="none"/>
          <w:u w:val="single"/>
        </w:rPr>
        <w:t>▲</w:t>
      </w:r>
      <w:r>
        <w:rPr>
          <w:rFonts w:hint="eastAsia" w:ascii="宋体" w:hAnsi="宋体" w:eastAsia="宋体" w:cs="宋体"/>
          <w:color w:val="auto"/>
          <w:sz w:val="22"/>
          <w:highlight w:val="none"/>
          <w:u w:val="single"/>
        </w:rPr>
        <w:t>投标人应保证所提供文件资料的真实性，所有文件资料必须是针对本次投标的。如发现投标人提供了虚假文件资料，其投标将被拒绝，并自行承担相应的法律责任。</w:t>
      </w:r>
    </w:p>
    <w:p>
      <w:pPr>
        <w:spacing w:line="360" w:lineRule="exact"/>
        <w:ind w:firstLine="440" w:firstLineChars="200"/>
        <w:rPr>
          <w:rFonts w:hint="eastAsia" w:ascii="宋体" w:hAnsi="宋体" w:eastAsia="宋体" w:cs="宋体"/>
          <w:b/>
          <w:color w:val="auto"/>
          <w:sz w:val="22"/>
          <w:highlight w:val="none"/>
        </w:rPr>
      </w:pPr>
      <w:r>
        <w:rPr>
          <w:rFonts w:hint="eastAsia" w:ascii="宋体" w:hAnsi="宋体" w:eastAsia="宋体" w:cs="宋体"/>
          <w:color w:val="auto"/>
          <w:sz w:val="22"/>
          <w:highlight w:val="none"/>
        </w:rPr>
        <w:t>4.投标文件的构成：</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投标文件由“报价文件”、“资格文件”和“商务和技术文件”三部分组成，以下的“附件”，指的是第四部分 附件中的表格，其中电子投标文件中所须加盖电子签章部分均采用CA签章。</w:t>
      </w:r>
    </w:p>
    <w:p>
      <w:pPr>
        <w:spacing w:line="360" w:lineRule="exact"/>
        <w:ind w:firstLine="442" w:firstLineChars="200"/>
        <w:outlineLvl w:val="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（1）报价文件</w:t>
      </w:r>
    </w:p>
    <w:p>
      <w:pPr>
        <w:numPr>
          <w:ilvl w:val="0"/>
          <w:numId w:val="2"/>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开标一览表；（见附件1）</w:t>
      </w:r>
    </w:p>
    <w:p>
      <w:pPr>
        <w:numPr>
          <w:ilvl w:val="0"/>
          <w:numId w:val="2"/>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投标报价明细表；（见附件2）</w:t>
      </w:r>
    </w:p>
    <w:p>
      <w:pPr>
        <w:numPr>
          <w:ilvl w:val="0"/>
          <w:numId w:val="2"/>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小微企业证明材料（非小微企业不用提供）；（见附件3）</w:t>
      </w:r>
    </w:p>
    <w:p>
      <w:pPr>
        <w:numPr>
          <w:ilvl w:val="0"/>
          <w:numId w:val="2"/>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投标报价部分其他内容（如有，格式自拟）。</w:t>
      </w:r>
    </w:p>
    <w:p>
      <w:pPr>
        <w:tabs>
          <w:tab w:val="left" w:pos="5355"/>
        </w:tabs>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（2）资格文件：（见附件4）</w:t>
      </w:r>
    </w:p>
    <w:p>
      <w:pPr>
        <w:numPr>
          <w:ilvl w:val="0"/>
          <w:numId w:val="3"/>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有效的法人或者其他组织的营业执照等证明文件，自然人的身份证明（五选一）</w:t>
      </w:r>
      <w:r>
        <w:rPr>
          <w:rFonts w:hint="eastAsia" w:ascii="宋体" w:hAnsi="宋体" w:eastAsia="宋体" w:cs="宋体"/>
          <w:b/>
          <w:bCs/>
          <w:color w:val="auto"/>
          <w:sz w:val="22"/>
          <w:highlight w:val="none"/>
        </w:rPr>
        <w:t>（见附件4-1）</w:t>
      </w:r>
    </w:p>
    <w:p>
      <w:pPr>
        <w:numPr>
          <w:ilvl w:val="0"/>
          <w:numId w:val="3"/>
        </w:numPr>
        <w:autoSpaceDE w:val="0"/>
        <w:autoSpaceDN w:val="0"/>
        <w:adjustRightInd w:val="0"/>
        <w:spacing w:line="360" w:lineRule="exact"/>
        <w:rPr>
          <w:rFonts w:hint="eastAsia" w:ascii="宋体" w:hAnsi="宋体" w:eastAsia="宋体" w:cs="宋体"/>
          <w:b/>
          <w:bCs/>
          <w:color w:val="auto"/>
          <w:sz w:val="22"/>
          <w:highlight w:val="none"/>
        </w:rPr>
      </w:pPr>
      <w:r>
        <w:rPr>
          <w:rFonts w:hint="eastAsia" w:ascii="宋体" w:hAnsi="宋体" w:eastAsia="宋体" w:cs="宋体"/>
          <w:b/>
          <w:bCs/>
          <w:snapToGrid w:val="0"/>
          <w:color w:val="auto"/>
          <w:sz w:val="22"/>
          <w:highlight w:val="none"/>
        </w:rPr>
        <w:t>关于符合《中华人民共和国政府采购法》第二十二条规定的承诺函</w:t>
      </w:r>
      <w:r>
        <w:rPr>
          <w:rFonts w:hint="eastAsia" w:ascii="宋体" w:hAnsi="宋体" w:eastAsia="宋体" w:cs="宋体"/>
          <w:b/>
          <w:bCs/>
          <w:color w:val="auto"/>
          <w:sz w:val="22"/>
          <w:highlight w:val="none"/>
        </w:rPr>
        <w:t>（见附件4-2）</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（3）商务和技术文件</w:t>
      </w:r>
    </w:p>
    <w:p>
      <w:pPr>
        <w:numPr>
          <w:ilvl w:val="0"/>
          <w:numId w:val="4"/>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评分索引表（见附件5）</w:t>
      </w:r>
    </w:p>
    <w:p>
      <w:pPr>
        <w:numPr>
          <w:ilvl w:val="0"/>
          <w:numId w:val="4"/>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法定代表人资格证明书/法定代表人授权委托书；（见附件6）</w:t>
      </w:r>
    </w:p>
    <w:p>
      <w:pPr>
        <w:numPr>
          <w:ilvl w:val="0"/>
          <w:numId w:val="4"/>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投标函（见附件7）</w:t>
      </w:r>
    </w:p>
    <w:p>
      <w:pPr>
        <w:numPr>
          <w:ilvl w:val="0"/>
          <w:numId w:val="4"/>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 xml:space="preserve">投标声明书（见附件8）  </w:t>
      </w:r>
    </w:p>
    <w:p>
      <w:pPr>
        <w:numPr>
          <w:ilvl w:val="0"/>
          <w:numId w:val="4"/>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 xml:space="preserve">投标人基本情况表（见附件9）                </w:t>
      </w:r>
    </w:p>
    <w:p>
      <w:pPr>
        <w:numPr>
          <w:ilvl w:val="0"/>
          <w:numId w:val="4"/>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投标人</w:t>
      </w:r>
      <w:r>
        <w:rPr>
          <w:rFonts w:hint="eastAsia" w:ascii="宋体" w:hAnsi="宋体" w:cs="宋体"/>
          <w:b/>
          <w:bCs/>
          <w:snapToGrid w:val="0"/>
          <w:color w:val="auto"/>
          <w:sz w:val="22"/>
          <w:highlight w:val="none"/>
          <w:lang w:eastAsia="zh-CN"/>
        </w:rPr>
        <w:t>类似项目业绩</w:t>
      </w:r>
      <w:r>
        <w:rPr>
          <w:rFonts w:hint="eastAsia" w:ascii="宋体" w:hAnsi="宋体" w:eastAsia="宋体" w:cs="宋体"/>
          <w:b/>
          <w:bCs/>
          <w:snapToGrid w:val="0"/>
          <w:color w:val="auto"/>
          <w:sz w:val="22"/>
          <w:highlight w:val="none"/>
        </w:rPr>
        <w:t>一览表（见附件10）；</w:t>
      </w:r>
    </w:p>
    <w:p>
      <w:pPr>
        <w:numPr>
          <w:ilvl w:val="0"/>
          <w:numId w:val="4"/>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采购需求偏离表（见附件1</w:t>
      </w:r>
      <w:r>
        <w:rPr>
          <w:rFonts w:hint="eastAsia" w:ascii="宋体" w:hAnsi="宋体" w:cs="宋体"/>
          <w:b/>
          <w:bCs/>
          <w:snapToGrid w:val="0"/>
          <w:color w:val="auto"/>
          <w:sz w:val="22"/>
          <w:highlight w:val="none"/>
          <w:lang w:val="en-US" w:eastAsia="zh-CN"/>
        </w:rPr>
        <w:t>1</w:t>
      </w:r>
      <w:r>
        <w:rPr>
          <w:rFonts w:hint="eastAsia" w:ascii="宋体" w:hAnsi="宋体" w:eastAsia="宋体" w:cs="宋体"/>
          <w:b/>
          <w:bCs/>
          <w:snapToGrid w:val="0"/>
          <w:color w:val="auto"/>
          <w:sz w:val="22"/>
          <w:highlight w:val="none"/>
        </w:rPr>
        <w:t>）；</w:t>
      </w:r>
    </w:p>
    <w:p>
      <w:pPr>
        <w:numPr>
          <w:ilvl w:val="0"/>
          <w:numId w:val="4"/>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政府采购活动现场确认声明书（见附件1</w:t>
      </w:r>
      <w:r>
        <w:rPr>
          <w:rFonts w:hint="eastAsia" w:ascii="宋体" w:hAnsi="宋体" w:cs="宋体"/>
          <w:b/>
          <w:bCs/>
          <w:snapToGrid w:val="0"/>
          <w:color w:val="auto"/>
          <w:sz w:val="22"/>
          <w:highlight w:val="none"/>
          <w:lang w:val="en-US" w:eastAsia="zh-CN"/>
        </w:rPr>
        <w:t>2</w:t>
      </w:r>
      <w:r>
        <w:rPr>
          <w:rFonts w:hint="eastAsia" w:ascii="宋体" w:hAnsi="宋体" w:eastAsia="宋体" w:cs="宋体"/>
          <w:b/>
          <w:bCs/>
          <w:snapToGrid w:val="0"/>
          <w:color w:val="auto"/>
          <w:sz w:val="22"/>
          <w:highlight w:val="none"/>
        </w:rPr>
        <w:t>）；</w:t>
      </w:r>
    </w:p>
    <w:p>
      <w:pPr>
        <w:numPr>
          <w:ilvl w:val="0"/>
          <w:numId w:val="4"/>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拟派项目负责人情况表（见附件1</w:t>
      </w:r>
      <w:r>
        <w:rPr>
          <w:rFonts w:hint="eastAsia" w:ascii="宋体" w:hAnsi="宋体" w:cs="宋体"/>
          <w:b/>
          <w:bCs/>
          <w:snapToGrid w:val="0"/>
          <w:color w:val="auto"/>
          <w:sz w:val="22"/>
          <w:highlight w:val="none"/>
          <w:lang w:val="en-US" w:eastAsia="zh-CN"/>
        </w:rPr>
        <w:t>3</w:t>
      </w:r>
      <w:r>
        <w:rPr>
          <w:rFonts w:hint="eastAsia" w:ascii="宋体" w:hAnsi="宋体" w:eastAsia="宋体" w:cs="宋体"/>
          <w:b/>
          <w:bCs/>
          <w:snapToGrid w:val="0"/>
          <w:color w:val="auto"/>
          <w:sz w:val="22"/>
          <w:highlight w:val="none"/>
        </w:rPr>
        <w:t>）；</w:t>
      </w:r>
    </w:p>
    <w:p>
      <w:pPr>
        <w:numPr>
          <w:ilvl w:val="0"/>
          <w:numId w:val="4"/>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拟派项目其他服务人员汇总表（见附件1</w:t>
      </w:r>
      <w:r>
        <w:rPr>
          <w:rFonts w:hint="eastAsia" w:ascii="宋体" w:hAnsi="宋体" w:cs="宋体"/>
          <w:b/>
          <w:bCs/>
          <w:snapToGrid w:val="0"/>
          <w:color w:val="auto"/>
          <w:sz w:val="22"/>
          <w:highlight w:val="none"/>
          <w:lang w:val="en-US" w:eastAsia="zh-CN"/>
        </w:rPr>
        <w:t>4</w:t>
      </w:r>
      <w:r>
        <w:rPr>
          <w:rFonts w:hint="eastAsia" w:ascii="宋体" w:hAnsi="宋体" w:eastAsia="宋体" w:cs="宋体"/>
          <w:b/>
          <w:bCs/>
          <w:snapToGrid w:val="0"/>
          <w:color w:val="auto"/>
          <w:sz w:val="22"/>
          <w:highlight w:val="none"/>
        </w:rPr>
        <w:t>）；</w:t>
      </w:r>
    </w:p>
    <w:p>
      <w:pPr>
        <w:numPr>
          <w:ilvl w:val="0"/>
          <w:numId w:val="4"/>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拟投入已有自有设备（工具）一览表（见附件1</w:t>
      </w:r>
      <w:r>
        <w:rPr>
          <w:rFonts w:hint="eastAsia" w:ascii="宋体" w:hAnsi="宋体" w:cs="宋体"/>
          <w:b/>
          <w:bCs/>
          <w:snapToGrid w:val="0"/>
          <w:color w:val="auto"/>
          <w:sz w:val="22"/>
          <w:highlight w:val="none"/>
          <w:lang w:val="en-US" w:eastAsia="zh-CN"/>
        </w:rPr>
        <w:t>5</w:t>
      </w:r>
      <w:r>
        <w:rPr>
          <w:rFonts w:hint="eastAsia" w:ascii="宋体" w:hAnsi="宋体" w:eastAsia="宋体" w:cs="宋体"/>
          <w:b/>
          <w:bCs/>
          <w:snapToGrid w:val="0"/>
          <w:color w:val="auto"/>
          <w:sz w:val="22"/>
          <w:highlight w:val="none"/>
        </w:rPr>
        <w:t>）；</w:t>
      </w:r>
    </w:p>
    <w:p>
      <w:pPr>
        <w:numPr>
          <w:ilvl w:val="0"/>
          <w:numId w:val="4"/>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拟投入中标后承诺购买的设备（工具）一览表（见附件1</w:t>
      </w:r>
      <w:r>
        <w:rPr>
          <w:rFonts w:hint="eastAsia" w:ascii="宋体" w:hAnsi="宋体" w:cs="宋体"/>
          <w:b/>
          <w:bCs/>
          <w:snapToGrid w:val="0"/>
          <w:color w:val="auto"/>
          <w:sz w:val="22"/>
          <w:highlight w:val="none"/>
          <w:lang w:val="en-US" w:eastAsia="zh-CN"/>
        </w:rPr>
        <w:t>6</w:t>
      </w:r>
      <w:r>
        <w:rPr>
          <w:rFonts w:hint="eastAsia" w:ascii="宋体" w:hAnsi="宋体" w:eastAsia="宋体" w:cs="宋体"/>
          <w:b/>
          <w:bCs/>
          <w:snapToGrid w:val="0"/>
          <w:color w:val="auto"/>
          <w:sz w:val="22"/>
          <w:highlight w:val="none"/>
        </w:rPr>
        <w:t>）；</w:t>
      </w:r>
    </w:p>
    <w:p>
      <w:pPr>
        <w:numPr>
          <w:ilvl w:val="0"/>
          <w:numId w:val="4"/>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专车专用承诺书（见附件1</w:t>
      </w:r>
      <w:r>
        <w:rPr>
          <w:rFonts w:hint="eastAsia" w:ascii="宋体" w:hAnsi="宋体" w:cs="宋体"/>
          <w:b/>
          <w:bCs/>
          <w:snapToGrid w:val="0"/>
          <w:color w:val="auto"/>
          <w:sz w:val="22"/>
          <w:highlight w:val="none"/>
          <w:lang w:val="en-US" w:eastAsia="zh-CN"/>
        </w:rPr>
        <w:t>7</w:t>
      </w:r>
      <w:r>
        <w:rPr>
          <w:rFonts w:hint="eastAsia" w:ascii="宋体" w:hAnsi="宋体" w:eastAsia="宋体" w:cs="宋体"/>
          <w:b/>
          <w:bCs/>
          <w:snapToGrid w:val="0"/>
          <w:color w:val="auto"/>
          <w:sz w:val="22"/>
          <w:highlight w:val="none"/>
        </w:rPr>
        <w:t>）；</w:t>
      </w:r>
    </w:p>
    <w:p>
      <w:pPr>
        <w:numPr>
          <w:ilvl w:val="0"/>
          <w:numId w:val="4"/>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诚信投标承诺书（见附件</w:t>
      </w:r>
      <w:r>
        <w:rPr>
          <w:rFonts w:hint="eastAsia" w:ascii="宋体" w:hAnsi="宋体" w:cs="宋体"/>
          <w:b/>
          <w:bCs/>
          <w:snapToGrid w:val="0"/>
          <w:color w:val="auto"/>
          <w:sz w:val="22"/>
          <w:highlight w:val="none"/>
          <w:lang w:val="en-US" w:eastAsia="zh-CN"/>
        </w:rPr>
        <w:t>18</w:t>
      </w:r>
      <w:r>
        <w:rPr>
          <w:rFonts w:hint="eastAsia" w:ascii="宋体" w:hAnsi="宋体" w:eastAsia="宋体" w:cs="宋体"/>
          <w:b/>
          <w:bCs/>
          <w:snapToGrid w:val="0"/>
          <w:color w:val="auto"/>
          <w:sz w:val="22"/>
          <w:highlight w:val="none"/>
        </w:rPr>
        <w:t>）；</w:t>
      </w:r>
    </w:p>
    <w:p>
      <w:pPr>
        <w:numPr>
          <w:ilvl w:val="0"/>
          <w:numId w:val="4"/>
        </w:numPr>
        <w:autoSpaceDE w:val="0"/>
        <w:autoSpaceDN w:val="0"/>
        <w:adjustRightInd w:val="0"/>
        <w:snapToGrid w:val="0"/>
        <w:spacing w:line="360" w:lineRule="exact"/>
        <w:textAlignment w:val="bottom"/>
        <w:rPr>
          <w:rFonts w:hint="eastAsia" w:ascii="宋体" w:hAnsi="宋体" w:eastAsia="宋体" w:cs="宋体"/>
          <w:b/>
          <w:bCs/>
          <w:snapToGrid w:val="0"/>
          <w:color w:val="auto"/>
          <w:sz w:val="22"/>
          <w:highlight w:val="none"/>
        </w:rPr>
      </w:pPr>
      <w:r>
        <w:rPr>
          <w:rFonts w:hint="eastAsia" w:ascii="宋体" w:hAnsi="宋体" w:eastAsia="宋体" w:cs="宋体"/>
          <w:b/>
          <w:bCs/>
          <w:snapToGrid w:val="0"/>
          <w:color w:val="auto"/>
          <w:sz w:val="22"/>
          <w:highlight w:val="none"/>
        </w:rPr>
        <w:t>投标人需要说明的其他文件和说明（格式自拟）。</w:t>
      </w:r>
    </w:p>
    <w:p>
      <w:pPr>
        <w:spacing w:line="360" w:lineRule="exact"/>
        <w:ind w:firstLine="442" w:firstLineChars="200"/>
        <w:rPr>
          <w:rFonts w:hint="eastAsia" w:ascii="宋体" w:hAnsi="宋体" w:eastAsia="宋体" w:cs="宋体"/>
          <w:color w:val="auto"/>
          <w:sz w:val="22"/>
          <w:highlight w:val="none"/>
        </w:rPr>
      </w:pPr>
      <w:r>
        <w:rPr>
          <w:rFonts w:hint="eastAsia" w:ascii="宋体" w:hAnsi="宋体" w:eastAsia="宋体" w:cs="宋体"/>
          <w:b/>
          <w:bCs/>
          <w:color w:val="auto"/>
          <w:sz w:val="22"/>
          <w:highlight w:val="none"/>
        </w:rPr>
        <w:t>以上内容按照招标文件第四部分附件所附格式填写，相关证书、报告等</w:t>
      </w:r>
      <w:r>
        <w:rPr>
          <w:rFonts w:hint="eastAsia" w:ascii="宋体" w:hAnsi="宋体" w:eastAsia="宋体" w:cs="宋体"/>
          <w:b/>
          <w:bCs/>
          <w:color w:val="auto"/>
          <w:spacing w:val="-6"/>
          <w:sz w:val="22"/>
          <w:highlight w:val="none"/>
        </w:rPr>
        <w:t>如遇年检或换证等特殊情况须按要求提供相应的证明材料</w:t>
      </w:r>
      <w:r>
        <w:rPr>
          <w:rFonts w:hint="eastAsia" w:ascii="宋体" w:hAnsi="宋体" w:eastAsia="宋体" w:cs="宋体"/>
          <w:b/>
          <w:bCs/>
          <w:color w:val="auto"/>
          <w:sz w:val="22"/>
          <w:highlight w:val="none"/>
        </w:rPr>
        <w:t>。没有提供格式的，投标人根据实际情况自行编制。</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投标人可在招标文件中对招标项目的技术规格和要求选用替代标准，但这些替代标准必须相等于或优于招标文件中提出的相应要求，并使采购人满意。同时在采购需求偏离表中作出详细说明。</w:t>
      </w:r>
    </w:p>
    <w:p>
      <w:pPr>
        <w:pStyle w:val="15"/>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5.投标文件格式</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5.1投标文件须包括本须知第4条中规定的全部内容，投标人不按招标文件的要求提供的投标文件和资料将视为没有对招标文件作实质性响应，其投标将被拒绝，其风险由投标人自行承担。</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5.2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15"/>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6.投标文件编制要求</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6.1</w:t>
      </w:r>
      <w:r>
        <w:rPr>
          <w:rFonts w:hint="eastAsia" w:ascii="宋体" w:hAnsi="宋体" w:eastAsia="宋体" w:cs="宋体"/>
          <w:b/>
          <w:bCs/>
          <w:color w:val="auto"/>
          <w:sz w:val="22"/>
          <w:highlight w:val="none"/>
        </w:rPr>
        <w:t>投标人应根据电子投标操作指南按本招标文件规定的格式和顺序编制电子投标文件并进行关联定位</w:t>
      </w:r>
      <w:r>
        <w:rPr>
          <w:rFonts w:hint="eastAsia" w:ascii="宋体" w:hAnsi="宋体" w:eastAsia="宋体" w:cs="宋体"/>
          <w:color w:val="auto"/>
          <w:sz w:val="22"/>
          <w:highlight w:val="none"/>
        </w:rPr>
        <w:t>。</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6.2由于未按招标文件的规定要求编制投标文件，导致评标委员会作出的对投标人的误判，责任由投标人自己承担。</w:t>
      </w:r>
    </w:p>
    <w:p>
      <w:pPr>
        <w:tabs>
          <w:tab w:val="left" w:pos="-180"/>
          <w:tab w:val="left" w:pos="180"/>
          <w:tab w:val="left" w:pos="360"/>
        </w:tabs>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7.投标报价</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7.1本次投标报价为一年的承包费的报价，投标报价是指完成全部承包区域内的保洁服务工作（详见第一部分招标内容及要求），承包总价必须包括在承包指定区域内提供清扫保洁服务所需的人工费</w:t>
      </w:r>
      <w:r>
        <w:rPr>
          <w:rFonts w:hint="eastAsia" w:ascii="宋体" w:hAnsi="宋体" w:cs="宋体"/>
          <w:color w:val="auto"/>
          <w:sz w:val="22"/>
          <w:highlight w:val="none"/>
          <w:lang w:eastAsia="zh-CN"/>
        </w:rPr>
        <w:t>（</w:t>
      </w:r>
      <w:r>
        <w:rPr>
          <w:rFonts w:hint="eastAsia" w:ascii="宋体" w:hAnsi="宋体" w:eastAsia="宋体" w:cs="宋体"/>
          <w:color w:val="auto"/>
          <w:sz w:val="22"/>
          <w:highlight w:val="none"/>
        </w:rPr>
        <w:t>包括在承包区域内提供清扫、保洁服务所需的人工费（包括环卫工人工资、奖金、房补、劳保福利、社保、工伤费、教育培训费、体检费、暂住费及处理一切伤亡事故等费用）及车辆（含六辆清运车（甲供））、保洁船只及机械等全部费用、水电费、工具材料费、垃圾清运费、环卫作业GPS管理相关费用、水电费、工具材料费、垃圾清运费安全文明生产装备费（包括环卫工人四季工作服</w:t>
      </w:r>
      <w:r>
        <w:rPr>
          <w:rFonts w:hint="eastAsia" w:ascii="宋体" w:hAnsi="宋体" w:cs="宋体"/>
          <w:color w:val="auto"/>
          <w:sz w:val="22"/>
          <w:highlight w:val="none"/>
          <w:lang w:eastAsia="zh-CN"/>
        </w:rPr>
        <w:t>（</w:t>
      </w:r>
      <w:r>
        <w:rPr>
          <w:rFonts w:hint="eastAsia" w:ascii="宋体" w:hAnsi="宋体" w:eastAsia="宋体" w:cs="宋体"/>
          <w:color w:val="auto"/>
          <w:sz w:val="22"/>
          <w:highlight w:val="none"/>
        </w:rPr>
        <w:t>含帽、衣、裤、鞋、雨衣、雨裤、雨鞋</w:t>
      </w:r>
      <w:r>
        <w:rPr>
          <w:rFonts w:hint="eastAsia" w:ascii="宋体" w:hAnsi="宋体" w:cs="宋体"/>
          <w:color w:val="auto"/>
          <w:sz w:val="22"/>
          <w:highlight w:val="none"/>
          <w:lang w:eastAsia="zh-CN"/>
        </w:rPr>
        <w:t>）</w:t>
      </w:r>
      <w:r>
        <w:rPr>
          <w:rFonts w:hint="eastAsia" w:ascii="宋体" w:hAnsi="宋体" w:eastAsia="宋体" w:cs="宋体"/>
          <w:color w:val="auto"/>
          <w:sz w:val="22"/>
          <w:highlight w:val="none"/>
        </w:rPr>
        <w:t>并带有警示反光标记等）、项目管理费、企业应缴税金和应得利润、突发应急（成立不少于10人的应急小队）及上级布置的专项任务、物价因素、垃圾中转站相关费用</w:t>
      </w:r>
      <w:r>
        <w:rPr>
          <w:rFonts w:hint="eastAsia" w:ascii="宋体" w:hAnsi="宋体" w:cs="宋体"/>
          <w:color w:val="auto"/>
          <w:sz w:val="22"/>
          <w:highlight w:val="none"/>
          <w:lang w:eastAsia="zh-CN"/>
        </w:rPr>
        <w:t>（设备液压油</w:t>
      </w:r>
      <w:r>
        <w:rPr>
          <w:rFonts w:hint="eastAsia" w:ascii="宋体" w:hAnsi="宋体" w:cs="宋体"/>
          <w:color w:val="auto"/>
          <w:sz w:val="22"/>
          <w:highlight w:val="none"/>
          <w:lang w:val="en-US" w:eastAsia="zh-CN"/>
        </w:rPr>
        <w:t>费用、设备修理、</w:t>
      </w:r>
      <w:r>
        <w:rPr>
          <w:rFonts w:hint="eastAsia" w:ascii="宋体" w:hAnsi="宋体" w:eastAsia="宋体" w:cs="宋体"/>
          <w:color w:val="auto"/>
          <w:kern w:val="0"/>
          <w:sz w:val="22"/>
          <w:szCs w:val="22"/>
          <w:highlight w:val="none"/>
        </w:rPr>
        <w:t>水电费</w:t>
      </w:r>
      <w:r>
        <w:rPr>
          <w:rFonts w:hint="eastAsia" w:ascii="宋体" w:hAnsi="宋体" w:cs="宋体"/>
          <w:color w:val="auto"/>
          <w:sz w:val="22"/>
          <w:highlight w:val="none"/>
          <w:lang w:eastAsia="zh-CN"/>
        </w:rPr>
        <w:t>）、</w:t>
      </w:r>
      <w:r>
        <w:rPr>
          <w:rFonts w:hint="eastAsia" w:ascii="宋体" w:hAnsi="宋体" w:eastAsia="宋体" w:cs="宋体"/>
          <w:color w:val="auto"/>
          <w:sz w:val="22"/>
          <w:highlight w:val="none"/>
        </w:rPr>
        <w:t>招标代理服务费等完成合同所需的一切本身和不可或缺的所有工作开支、政策性文件规定及合同包含的所有风险、责任等各项全部费用并承担一切风险责任。</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▲7.2采购人在授予合同时有权对招标货物的数量和服务在一定幅度范围内予以增加或减少，但不得对中标单价和其他的条款和条件作任何改变，由此产生的风险由投标人自行考虑并承担。</w:t>
      </w:r>
    </w:p>
    <w:p>
      <w:pPr>
        <w:tabs>
          <w:tab w:val="left" w:pos="-180"/>
          <w:tab w:val="left" w:pos="180"/>
          <w:tab w:val="left" w:pos="360"/>
        </w:tabs>
        <w:spacing w:line="360" w:lineRule="exact"/>
        <w:ind w:firstLine="440" w:firstLineChars="200"/>
        <w:rPr>
          <w:rFonts w:hint="eastAsia" w:ascii="宋体" w:hAnsi="宋体" w:eastAsia="宋体" w:cs="宋体"/>
          <w:b/>
          <w:color w:val="auto"/>
          <w:sz w:val="22"/>
          <w:highlight w:val="none"/>
        </w:rPr>
      </w:pPr>
      <w:r>
        <w:rPr>
          <w:rFonts w:hint="eastAsia" w:ascii="宋体" w:hAnsi="宋体" w:eastAsia="宋体" w:cs="宋体"/>
          <w:bCs/>
          <w:color w:val="auto"/>
          <w:sz w:val="22"/>
          <w:highlight w:val="none"/>
        </w:rPr>
        <w:t>7.3</w:t>
      </w:r>
      <w:r>
        <w:rPr>
          <w:rFonts w:hint="eastAsia" w:ascii="宋体" w:hAnsi="宋体" w:eastAsia="宋体" w:cs="宋体"/>
          <w:color w:val="auto"/>
          <w:sz w:val="22"/>
          <w:highlight w:val="none"/>
        </w:rPr>
        <w:t>投标人须按第四部分附件的开标一览表（统一格式）、投标报价明细表（统一格式）的内容填写产品单价、合价及其他事项，并由法定代表人或授权代表签字或盖章。</w:t>
      </w:r>
    </w:p>
    <w:p>
      <w:pPr>
        <w:tabs>
          <w:tab w:val="left" w:pos="-180"/>
          <w:tab w:val="left" w:pos="180"/>
          <w:tab w:val="left" w:pos="360"/>
        </w:tabs>
        <w:spacing w:line="360" w:lineRule="exact"/>
        <w:ind w:firstLine="442" w:firstLineChars="200"/>
        <w:outlineLvl w:val="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7.4报价货币为人民币。</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▲7.5采购人不接受任何选择报价，对每一种子项只允许一个报价。</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7.6采购人要求分类报价是为了方便评标，但在任何情况下不限制采购人以其认为最合适的条款、条件签订合同的权利。</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7.最低报价不能作为中标的保证。</w:t>
      </w:r>
    </w:p>
    <w:p>
      <w:pPr>
        <w:tabs>
          <w:tab w:val="left" w:pos="-180"/>
          <w:tab w:val="left" w:pos="180"/>
          <w:tab w:val="left" w:pos="360"/>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8.投标保证金：</w:t>
      </w:r>
      <w:r>
        <w:rPr>
          <w:rFonts w:hint="eastAsia" w:ascii="宋体" w:hAnsi="宋体" w:eastAsia="宋体" w:cs="宋体"/>
          <w:color w:val="auto"/>
          <w:spacing w:val="-6"/>
          <w:sz w:val="22"/>
          <w:highlight w:val="none"/>
          <w:lang w:val="zh-CN"/>
        </w:rPr>
        <w:t>本项目不收取投标保证金。</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9.投标有效期</w:t>
      </w:r>
    </w:p>
    <w:p>
      <w:pPr>
        <w:spacing w:line="360" w:lineRule="exact"/>
        <w:ind w:firstLine="440" w:firstLineChars="200"/>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9.1</w:t>
      </w:r>
      <w:r>
        <w:rPr>
          <w:rFonts w:hint="eastAsia" w:ascii="宋体" w:hAnsi="宋体" w:eastAsia="宋体" w:cs="宋体"/>
          <w:b/>
          <w:bCs/>
          <w:color w:val="auto"/>
          <w:sz w:val="22"/>
          <w:highlight w:val="none"/>
        </w:rPr>
        <w:t>自提交投标文件的截止之日起</w:t>
      </w:r>
      <w:r>
        <w:rPr>
          <w:rFonts w:hint="eastAsia" w:ascii="宋体" w:hAnsi="宋体" w:eastAsia="宋体" w:cs="宋体"/>
          <w:b/>
          <w:bCs/>
          <w:color w:val="auto"/>
          <w:sz w:val="22"/>
          <w:highlight w:val="none"/>
          <w:u w:val="single"/>
        </w:rPr>
        <w:t>90</w:t>
      </w:r>
      <w:r>
        <w:rPr>
          <w:rFonts w:hint="eastAsia" w:ascii="宋体" w:hAnsi="宋体" w:eastAsia="宋体" w:cs="宋体"/>
          <w:b/>
          <w:bCs/>
          <w:color w:val="auto"/>
          <w:sz w:val="22"/>
          <w:highlight w:val="none"/>
        </w:rPr>
        <w:t>天内投标应保持有效。有效期不足的投标文件将被拒绝。</w:t>
      </w:r>
    </w:p>
    <w:p>
      <w:pPr>
        <w:spacing w:line="360" w:lineRule="exact"/>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9.2特殊情况下，在原投标有效期截止前，采购人可与投标人协商延长投标有效期，这种要求和答复均以书面形式进行。投标人可拒绝接受延期要求。同意延长投标有效期的投标人不得修改投标文件。</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10.投标文件的签署和规定</w:t>
      </w:r>
    </w:p>
    <w:p>
      <w:pPr>
        <w:spacing w:line="360" w:lineRule="exact"/>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10.1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eastAsia="宋体" w:cs="宋体"/>
          <w:b/>
          <w:bCs/>
          <w:color w:val="auto"/>
          <w:spacing w:val="-6"/>
          <w:sz w:val="22"/>
          <w:highlight w:val="none"/>
        </w:rPr>
        <w:t>其中资格文件、商务和技术文件中不得出现投标报价，如因投标人原因提前泄露投标报价，是投标人的责任。</w:t>
      </w:r>
    </w:p>
    <w:p>
      <w:pPr>
        <w:spacing w:line="360" w:lineRule="exact"/>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10.2投标文件须由投标人在规定位置加盖公章并由投标人代表签署，投标人应写全称。</w:t>
      </w:r>
    </w:p>
    <w:p>
      <w:pPr>
        <w:spacing w:line="360" w:lineRule="exact"/>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10.3投标文件不得涂改，若有修改错漏处，须由投标人代表签字并加盖公章。投标文件因字迹潦草或表达不清所引起的后果由投标人负责。</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10.4</w:t>
      </w:r>
      <w:r>
        <w:rPr>
          <w:rFonts w:hint="eastAsia" w:ascii="宋体" w:hAnsi="宋体" w:eastAsia="宋体" w:cs="宋体"/>
          <w:b/>
          <w:bCs/>
          <w:color w:val="auto"/>
          <w:sz w:val="22"/>
          <w:highlight w:val="none"/>
        </w:rPr>
        <w:t>投标文件字迹模糊或在关键的技术、商务条款上表述不清楚，将可能导致其投标被拒绝。</w:t>
      </w:r>
    </w:p>
    <w:p>
      <w:pPr>
        <w:spacing w:line="500" w:lineRule="exact"/>
        <w:ind w:firstLine="482" w:firstLineChars="20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 投标文件的递交</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1.电子投标文件的加密、递交</w:t>
      </w:r>
    </w:p>
    <w:p>
      <w:pPr>
        <w:spacing w:line="360" w:lineRule="exact"/>
        <w:ind w:firstLine="440" w:firstLineChars="200"/>
        <w:rPr>
          <w:rFonts w:hint="eastAsia" w:ascii="宋体" w:hAnsi="宋体" w:eastAsia="宋体" w:cs="宋体"/>
          <w:b/>
          <w:bCs/>
          <w:color w:val="auto"/>
          <w:sz w:val="22"/>
          <w:highlight w:val="none"/>
        </w:rPr>
      </w:pPr>
      <w:r>
        <w:rPr>
          <w:rFonts w:hint="eastAsia" w:ascii="宋体" w:hAnsi="宋体" w:eastAsia="宋体" w:cs="宋体"/>
          <w:color w:val="auto"/>
          <w:kern w:val="0"/>
          <w:sz w:val="22"/>
          <w:highlight w:val="none"/>
        </w:rPr>
        <w:t>投标人</w:t>
      </w:r>
      <w:r>
        <w:rPr>
          <w:rFonts w:hint="eastAsia" w:ascii="宋体" w:hAnsi="宋体" w:eastAsia="宋体" w:cs="宋体"/>
          <w:color w:val="auto"/>
          <w:spacing w:val="-6"/>
          <w:sz w:val="22"/>
          <w:highlight w:val="none"/>
        </w:rPr>
        <w:t>于投标截止时间前按照电子投标要求将加密电子投标文件上传到“政采云”平台，逾期或未上传成功的将被政府采购云平台拒收</w:t>
      </w:r>
      <w:r>
        <w:rPr>
          <w:rFonts w:hint="eastAsia" w:ascii="宋体" w:hAnsi="宋体" w:eastAsia="宋体" w:cs="宋体"/>
          <w:color w:val="auto"/>
          <w:kern w:val="0"/>
          <w:sz w:val="22"/>
          <w:highlight w:val="none"/>
        </w:rPr>
        <w:t>。</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2.</w:t>
      </w:r>
      <w:r>
        <w:rPr>
          <w:rFonts w:hint="eastAsia" w:ascii="宋体" w:hAnsi="宋体" w:eastAsia="宋体" w:cs="宋体"/>
          <w:b/>
          <w:color w:val="auto"/>
          <w:sz w:val="22"/>
          <w:highlight w:val="none"/>
        </w:rPr>
        <w:t>备份电子投标文件的加密、递交（如有）</w:t>
      </w:r>
    </w:p>
    <w:p>
      <w:pPr>
        <w:spacing w:line="360" w:lineRule="exact"/>
        <w:ind w:firstLine="440" w:firstLineChars="200"/>
        <w:rPr>
          <w:rFonts w:hint="eastAsia" w:ascii="宋体" w:hAnsi="宋体" w:eastAsia="宋体" w:cs="宋体"/>
          <w:color w:val="auto"/>
          <w:kern w:val="0"/>
          <w:sz w:val="22"/>
          <w:highlight w:val="none"/>
        </w:rPr>
      </w:pPr>
      <w:r>
        <w:rPr>
          <w:rFonts w:hint="eastAsia" w:ascii="宋体" w:hAnsi="宋体" w:eastAsia="宋体" w:cs="宋体"/>
          <w:color w:val="auto"/>
          <w:sz w:val="22"/>
          <w:highlight w:val="none"/>
        </w:rPr>
        <w:t>为</w:t>
      </w:r>
      <w:r>
        <w:rPr>
          <w:rFonts w:hint="eastAsia" w:ascii="宋体" w:hAnsi="宋体" w:eastAsia="宋体" w:cs="宋体"/>
          <w:color w:val="auto"/>
          <w:kern w:val="0"/>
          <w:sz w:val="22"/>
          <w:highlight w:val="none"/>
        </w:rPr>
        <w:t>确保采购项目顺利实施，避免因政采云上电子投标文件解密失败导致投标人投标无效，</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13.1供应商在政府采购云平台完成加密电子响应文件的上传后将在政采云平台上最后生成的具备电子签章的备份加密响应文件(文件扩展名为.bfbs)打包压缩并加密后以电子邮件方式传送至浙江乐诚工程咨询有限公司电子邮箱（1322521566@qq.com），加密密码由供应商自行保管，"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 w:val="22"/>
          <w:highlight w:val="none"/>
        </w:rPr>
        <w:t>投标人在政府采购云平台完成加密电子投标文件的上传后投标文件提交截止时间前将</w:t>
      </w:r>
      <w:r>
        <w:rPr>
          <w:rFonts w:hint="eastAsia" w:ascii="宋体" w:hAnsi="宋体" w:eastAsia="宋体" w:cs="宋体"/>
          <w:b/>
          <w:bCs/>
          <w:color w:val="auto"/>
          <w:sz w:val="22"/>
          <w:highlight w:val="none"/>
        </w:rPr>
        <w:t>以介质存储的数据电文形式的备份投标文件按“</w:t>
      </w:r>
      <w:r>
        <w:rPr>
          <w:rFonts w:hint="eastAsia" w:ascii="宋体" w:hAnsi="宋体" w:eastAsia="宋体" w:cs="宋体"/>
          <w:b/>
          <w:bCs/>
          <w:color w:val="auto"/>
          <w:sz w:val="22"/>
          <w:highlight w:val="none"/>
          <w:lang w:val="zh-CN"/>
        </w:rPr>
        <w:t>投标人须知前附表</w:t>
      </w:r>
      <w:r>
        <w:rPr>
          <w:rFonts w:hint="eastAsia" w:ascii="宋体" w:hAnsi="宋体" w:eastAsia="宋体" w:cs="宋体"/>
          <w:b/>
          <w:bCs/>
          <w:color w:val="auto"/>
          <w:sz w:val="22"/>
          <w:highlight w:val="none"/>
        </w:rPr>
        <w:t>”要求</w:t>
      </w:r>
      <w:r>
        <w:rPr>
          <w:rFonts w:hint="eastAsia" w:ascii="宋体" w:hAnsi="宋体" w:eastAsia="宋体" w:cs="宋体"/>
          <w:b/>
          <w:bCs/>
          <w:color w:val="auto"/>
          <w:sz w:val="22"/>
          <w:highlight w:val="none"/>
        </w:rPr>
        <w:fldChar w:fldCharType="end"/>
      </w:r>
      <w:r>
        <w:rPr>
          <w:rFonts w:hint="eastAsia" w:ascii="宋体" w:hAnsi="宋体" w:eastAsia="宋体" w:cs="宋体"/>
          <w:color w:val="auto"/>
          <w:kern w:val="0"/>
          <w:sz w:val="22"/>
          <w:highlight w:val="none"/>
        </w:rPr>
        <w:t>加密、递交。</w:t>
      </w:r>
    </w:p>
    <w:p>
      <w:pPr>
        <w:pStyle w:val="15"/>
        <w:snapToGrid w:val="0"/>
        <w:spacing w:line="360" w:lineRule="exact"/>
        <w:ind w:firstLine="440"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本项目由采购代理机构做好“</w:t>
      </w:r>
      <w:r>
        <w:rPr>
          <w:rFonts w:hint="eastAsia" w:ascii="宋体" w:hAnsi="宋体" w:eastAsia="宋体" w:cs="宋体"/>
          <w:b/>
          <w:bCs/>
          <w:color w:val="auto"/>
          <w:sz w:val="22"/>
          <w:highlight w:val="none"/>
        </w:rPr>
        <w:t>介质存储的数据电文形式的备份投标文件</w:t>
      </w:r>
      <w:r>
        <w:rPr>
          <w:rFonts w:hint="eastAsia" w:ascii="宋体" w:hAnsi="宋体" w:eastAsia="宋体" w:cs="宋体"/>
          <w:color w:val="auto"/>
          <w:kern w:val="0"/>
          <w:sz w:val="22"/>
          <w:highlight w:val="none"/>
        </w:rPr>
        <w:t>”的签收工作后，与投标资料一并归档。投标人授权代表不参加现场开标活动，由相关人员进行现场监督。采购代理机构将记录所有投标文件的开封过程的有关内容，并由相关人员签字确认。</w:t>
      </w:r>
    </w:p>
    <w:p>
      <w:pPr>
        <w:snapToGrid w:val="0"/>
        <w:spacing w:line="360" w:lineRule="exact"/>
        <w:ind w:firstLine="440" w:firstLineChars="200"/>
        <w:jc w:val="lef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▲投标人递交的介质存储的数据电文形式的备份投标文件时，如出现下列情况之一的，视为无效备份投标文件：</w:t>
      </w:r>
    </w:p>
    <w:p>
      <w:pPr>
        <w:snapToGrid w:val="0"/>
        <w:spacing w:line="360" w:lineRule="exact"/>
        <w:ind w:firstLine="440" w:firstLineChars="200"/>
        <w:jc w:val="lef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（1）超过投标文件提交截止时间送达的；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（2）未在政采云平台获取招标文件的。</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3.投标文件的修改和撤回</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3.2在投标截止时间之后，投标人不得对其投标做任何修改。</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3.3从投标截止时间至投标人在投标书格式中确定的投标有效期期满这段时间内，投标人不得撤回其投标。</w:t>
      </w:r>
    </w:p>
    <w:p>
      <w:pPr>
        <w:spacing w:line="500" w:lineRule="exact"/>
        <w:ind w:firstLine="482" w:firstLineChars="20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 开标和评标</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1.评标委员会</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采购人依法组建评标委员会。评标委员会的成员在评标过程中必须严格遵守《中华人民共和国政府采购法》等有关法律、法规的规定。</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2.评标过程的保密性</w:t>
      </w:r>
    </w:p>
    <w:p>
      <w:pPr>
        <w:spacing w:line="360" w:lineRule="exact"/>
        <w:ind w:firstLine="442" w:firstLineChars="200"/>
        <w:rPr>
          <w:rFonts w:hint="eastAsia" w:ascii="宋体" w:hAnsi="宋体" w:eastAsia="宋体" w:cs="宋体"/>
          <w:color w:val="auto"/>
          <w:sz w:val="22"/>
          <w:highlight w:val="none"/>
          <w:u w:val="single"/>
        </w:rPr>
      </w:pPr>
      <w:r>
        <w:rPr>
          <w:rFonts w:hint="eastAsia" w:ascii="宋体" w:hAnsi="宋体" w:eastAsia="宋体" w:cs="宋体"/>
          <w:b/>
          <w:color w:val="auto"/>
          <w:sz w:val="22"/>
          <w:highlight w:val="none"/>
          <w:u w:val="single"/>
        </w:rPr>
        <w:t>▲</w:t>
      </w:r>
      <w:r>
        <w:rPr>
          <w:rFonts w:hint="eastAsia" w:ascii="宋体" w:hAnsi="宋体" w:eastAsia="宋体" w:cs="宋体"/>
          <w:color w:val="auto"/>
          <w:sz w:val="22"/>
          <w:highlight w:val="none"/>
          <w:u w:val="single"/>
        </w:rPr>
        <w:t>2.1开标后直至向中标人授予合同时止，凡与评审有关的资料均不得向投标人及与评标无关人员透漏。如果投标人在评标过程中试图向采购人和采购人施加影响，其投标将被拒绝。</w:t>
      </w:r>
    </w:p>
    <w:p>
      <w:pPr>
        <w:spacing w:line="36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3.开标</w:t>
      </w:r>
    </w:p>
    <w:p>
      <w:pPr>
        <w:pStyle w:val="43"/>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本项目实行电子开评标，投标人无需前往开评标现场，只需在规定时间内在“政采云”平台上上传电子投标文件。</w:t>
      </w:r>
    </w:p>
    <w:p>
      <w:pPr>
        <w:pStyle w:val="43"/>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3.1开标准备</w:t>
      </w:r>
    </w:p>
    <w:p>
      <w:pPr>
        <w:pStyle w:val="43"/>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①制订开标、评审工作的组织方案，落实工作场地、设施，检查录音录像采集设备运行情况。采用电子评审方式的，验证电子评审系统是否正常运行。</w:t>
      </w:r>
    </w:p>
    <w:p>
      <w:pPr>
        <w:pStyle w:val="43"/>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②通知或邀请相关单位和人员出席开标、评审活动（按规定由相关监管部门或其授权机构随机抽取、通知的政府采购评审专家除外）。</w:t>
      </w:r>
    </w:p>
    <w:p>
      <w:pPr>
        <w:pStyle w:val="43"/>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③准备政府采购项目的相关文件资料，如项目政府采购预算确认书（计划）、专家抽取有关凭证、项目书面说明、采购文件、补充文件及质疑答复情况、现场工作所需的相关登记表单、评审工作底稿等。</w:t>
      </w:r>
    </w:p>
    <w:p>
      <w:pPr>
        <w:pStyle w:val="43"/>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④其他应准备的事项。</w:t>
      </w:r>
    </w:p>
    <w:p>
      <w:pPr>
        <w:pStyle w:val="12"/>
        <w:spacing w:line="360" w:lineRule="exact"/>
        <w:ind w:left="0"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3.2采购代理机构按照招标文件规定的时间、地点和程序组织开标，具体按以下程序进行：</w:t>
      </w:r>
    </w:p>
    <w:p>
      <w:pPr>
        <w:pStyle w:val="15"/>
        <w:overflowPunct/>
        <w:autoSpaceDE/>
        <w:autoSpaceDN/>
        <w:adjustRightInd/>
        <w:spacing w:line="360" w:lineRule="exact"/>
        <w:ind w:firstLine="440"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z w:val="22"/>
          <w:highlight w:val="none"/>
        </w:rPr>
        <w:t>①</w:t>
      </w:r>
      <w:r>
        <w:rPr>
          <w:rFonts w:hint="eastAsia" w:ascii="宋体" w:hAnsi="宋体" w:eastAsia="宋体" w:cs="宋体"/>
          <w:color w:val="auto"/>
          <w:spacing w:val="-6"/>
          <w:sz w:val="22"/>
          <w:highlight w:val="none"/>
        </w:rPr>
        <w:t>开启评审场地的录音录像采集设备，并确保其正常运行。</w:t>
      </w:r>
    </w:p>
    <w:p>
      <w:pPr>
        <w:pStyle w:val="24"/>
        <w:spacing w:before="0" w:beforeAutospacing="0" w:after="0" w:afterAutospacing="0" w:line="360" w:lineRule="exact"/>
        <w:ind w:firstLine="440" w:firstLineChars="200"/>
        <w:jc w:val="both"/>
        <w:rPr>
          <w:rFonts w:hint="eastAsia" w:ascii="宋体" w:hAnsi="宋体" w:eastAsia="宋体" w:cs="宋体"/>
          <w:color w:val="auto"/>
          <w:sz w:val="22"/>
          <w:highlight w:val="none"/>
        </w:rPr>
      </w:pPr>
      <w:r>
        <w:rPr>
          <w:rFonts w:hint="eastAsia" w:ascii="宋体" w:hAnsi="宋体" w:eastAsia="宋体" w:cs="宋体"/>
          <w:color w:val="auto"/>
          <w:sz w:val="22"/>
          <w:highlight w:val="none"/>
        </w:rPr>
        <w:t>②解密</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投标截止时间止采购代理机构向各投标人发出电子投标文件开始解密通知，由投标人在</w:t>
      </w:r>
      <w:r>
        <w:rPr>
          <w:rFonts w:hint="eastAsia" w:ascii="宋体" w:hAnsi="宋体" w:eastAsia="宋体" w:cs="宋体"/>
          <w:b/>
          <w:bCs/>
          <w:snapToGrid w:val="0"/>
          <w:color w:val="auto"/>
          <w:sz w:val="22"/>
          <w:highlight w:val="none"/>
        </w:rPr>
        <w:t>政采云平台</w:t>
      </w:r>
      <w:r>
        <w:rPr>
          <w:rFonts w:hint="eastAsia" w:ascii="宋体" w:hAnsi="宋体" w:eastAsia="宋体" w:cs="宋体"/>
          <w:b/>
          <w:bCs/>
          <w:color w:val="auto"/>
          <w:sz w:val="22"/>
          <w:highlight w:val="none"/>
        </w:rPr>
        <w:t>规定时间（不少于30分钟）内自行进行投标文件解密（</w:t>
      </w:r>
      <w:r>
        <w:rPr>
          <w:rFonts w:hint="eastAsia" w:ascii="宋体" w:hAnsi="宋体" w:eastAsia="宋体" w:cs="宋体"/>
          <w:b/>
          <w:bCs/>
          <w:color w:val="auto"/>
          <w:kern w:val="0"/>
          <w:sz w:val="22"/>
          <w:highlight w:val="none"/>
        </w:rPr>
        <w:t>投标人无需在开标当天到达开标现场对电子投标进行解密，可在公司办公场地在</w:t>
      </w:r>
      <w:r>
        <w:rPr>
          <w:rFonts w:hint="eastAsia" w:ascii="宋体" w:hAnsi="宋体" w:eastAsia="宋体" w:cs="宋体"/>
          <w:b/>
          <w:bCs/>
          <w:snapToGrid w:val="0"/>
          <w:color w:val="auto"/>
          <w:sz w:val="22"/>
          <w:highlight w:val="none"/>
        </w:rPr>
        <w:t>政采云平台</w:t>
      </w:r>
      <w:r>
        <w:rPr>
          <w:rFonts w:hint="eastAsia" w:ascii="宋体" w:hAnsi="宋体" w:eastAsia="宋体" w:cs="宋体"/>
          <w:b/>
          <w:bCs/>
          <w:color w:val="auto"/>
          <w:kern w:val="0"/>
          <w:sz w:val="22"/>
          <w:highlight w:val="none"/>
        </w:rPr>
        <w:t>规定时间内</w:t>
      </w:r>
      <w:r>
        <w:rPr>
          <w:rFonts w:hint="eastAsia" w:ascii="宋体" w:hAnsi="宋体" w:eastAsia="宋体" w:cs="宋体"/>
          <w:b/>
          <w:bCs/>
          <w:color w:val="auto"/>
          <w:sz w:val="22"/>
          <w:highlight w:val="none"/>
        </w:rPr>
        <w:t>通过制作电子投标文件的CA锁用“项目采购-开标评标”功能</w:t>
      </w:r>
      <w:r>
        <w:rPr>
          <w:rFonts w:hint="eastAsia" w:ascii="宋体" w:hAnsi="宋体" w:eastAsia="宋体" w:cs="宋体"/>
          <w:b/>
          <w:bCs/>
          <w:color w:val="auto"/>
          <w:kern w:val="0"/>
          <w:sz w:val="22"/>
          <w:highlight w:val="none"/>
        </w:rPr>
        <w:t>对电子投标文件进行解密。</w:t>
      </w:r>
      <w:r>
        <w:rPr>
          <w:rFonts w:hint="eastAsia" w:ascii="宋体" w:hAnsi="宋体" w:eastAsia="宋体" w:cs="宋体"/>
          <w:b/>
          <w:bCs/>
          <w:color w:val="auto"/>
          <w:sz w:val="22"/>
          <w:highlight w:val="none"/>
        </w:rPr>
        <w:t>）。</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本项目原则上采用政采云电子招投标开标及评审程序，但有下情形的，按以下情况处理：</w:t>
      </w:r>
    </w:p>
    <w:p>
      <w:pPr>
        <w:pStyle w:val="15"/>
        <w:snapToGri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投标人在政采云规定时间内无法解密或解密失败的，如已按规定递交以介质存储的数据电文形式的备份投标文件的，采购代理机构将按照投标人自身意愿确认是否同意提供加密密码解密传送至</w:t>
      </w:r>
      <w:r>
        <w:rPr>
          <w:rFonts w:hint="eastAsia" w:hAnsi="宋体" w:cs="宋体"/>
          <w:b/>
          <w:bCs/>
          <w:color w:val="auto"/>
          <w:sz w:val="22"/>
          <w:highlight w:val="none"/>
          <w:lang w:eastAsia="zh-CN"/>
        </w:rPr>
        <w:t>温州市建设工程咨询有限公司</w:t>
      </w:r>
      <w:r>
        <w:rPr>
          <w:rFonts w:hint="eastAsia" w:ascii="宋体" w:hAnsi="宋体" w:eastAsia="宋体" w:cs="宋体"/>
          <w:b/>
          <w:bCs/>
          <w:color w:val="auto"/>
          <w:sz w:val="22"/>
          <w:highlight w:val="none"/>
        </w:rPr>
        <w:t>电子邮箱（</w:t>
      </w:r>
      <w:r>
        <w:rPr>
          <w:rFonts w:hint="eastAsia" w:hAnsi="宋体" w:cs="宋体"/>
          <w:b/>
          <w:bCs/>
          <w:color w:val="auto"/>
          <w:sz w:val="22"/>
          <w:highlight w:val="none"/>
          <w:lang w:eastAsia="zh-CN"/>
        </w:rPr>
        <w:t>798650229@qq.com</w:t>
      </w:r>
      <w:r>
        <w:rPr>
          <w:rFonts w:hint="eastAsia" w:ascii="宋体" w:hAnsi="宋体" w:eastAsia="宋体" w:cs="宋体"/>
          <w:b/>
          <w:bCs/>
          <w:color w:val="auto"/>
          <w:sz w:val="22"/>
          <w:highlight w:val="none"/>
        </w:rPr>
        <w:t>）的以介质存储的数据电文形式的备份投标文件，并以以介质存储的数据电文形式的备份投标文件按政府采购云平台操作规范上传至政府采购云平台，上传成功后，电子加密投标文件自动失效，否则视为投标文件撤回。投标文件已按时解密的，以介质存储的数据电文形式的备份投标文件自动失效。</w:t>
      </w:r>
    </w:p>
    <w:p>
      <w:pPr>
        <w:pStyle w:val="15"/>
        <w:snapToGrid w:val="0"/>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请各投标人务必在规定时间内完成电子投标文件的解密工作，在电子开评标期间，投标人（授权代表）需确保在各自所在的区域具备上网的技术条件并保持网络及联系方式畅通，联系方式为获取招标文件时留的联系方式，无法保持联系方式畅通的一切后果由投标人自行承担，同时为避免出现意外，建议全程由一台电脑进行操作（包括投标文件制作、上传、解密等），中途不要更换电脑。投标人因未在线参加开标而导致投标文件无法按时解密等一切后果由投标人自行承担。</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投标人不足3家的，不得开标。</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③投标文件解密结束，组织投标人签署《政府采购活动现场确认声明书》，格式详见附件。</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④采购代理机构对资格进行审查。</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⑤评标委员会对商务技术文件进行评审。</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⑥评标委员会对报价情况进行评审。</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⑦在系统上公布评审结果。</w:t>
      </w:r>
    </w:p>
    <w:p>
      <w:pPr>
        <w:pStyle w:val="15"/>
        <w:widowControl w:val="0"/>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特别说明：政采云公司如对电子化开标及评审程序有调整的，按调整后的程序操作。</w:t>
      </w:r>
    </w:p>
    <w:p>
      <w:pPr>
        <w:spacing w:line="360" w:lineRule="exact"/>
        <w:ind w:firstLine="440" w:firstLineChars="200"/>
        <w:rPr>
          <w:rFonts w:hint="eastAsia" w:ascii="宋体" w:hAnsi="宋体" w:eastAsia="宋体" w:cs="宋体"/>
          <w:bCs/>
          <w:color w:val="auto"/>
          <w:sz w:val="22"/>
          <w:highlight w:val="none"/>
          <w:lang w:val="zh-CN"/>
        </w:rPr>
      </w:pPr>
      <w:r>
        <w:rPr>
          <w:rFonts w:hint="eastAsia" w:ascii="宋体" w:hAnsi="宋体" w:eastAsia="宋体" w:cs="宋体"/>
          <w:color w:val="auto"/>
          <w:sz w:val="22"/>
          <w:highlight w:val="none"/>
        </w:rPr>
        <w:t>4.评标</w:t>
      </w:r>
    </w:p>
    <w:p>
      <w:pPr>
        <w:pStyle w:val="15"/>
        <w:overflowPunct/>
        <w:autoSpaceDE/>
        <w:autoSpaceDN/>
        <w:adjustRightInd/>
        <w:spacing w:line="360" w:lineRule="exact"/>
        <w:ind w:firstLine="416"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采购代理机构按照招标文件规定的时间、地点及程序组织评审。评审活动一般应按以下程序组织开展：</w:t>
      </w:r>
    </w:p>
    <w:p>
      <w:pPr>
        <w:pStyle w:val="15"/>
        <w:overflowPunct/>
        <w:autoSpaceDE/>
        <w:autoSpaceDN/>
        <w:adjustRightInd/>
        <w:spacing w:line="360" w:lineRule="exact"/>
        <w:ind w:firstLine="440"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z w:val="22"/>
          <w:highlight w:val="none"/>
        </w:rPr>
        <w:t>①</w:t>
      </w:r>
      <w:r>
        <w:rPr>
          <w:rFonts w:hint="eastAsia" w:ascii="宋体" w:hAnsi="宋体" w:eastAsia="宋体" w:cs="宋体"/>
          <w:color w:val="auto"/>
          <w:spacing w:val="-6"/>
          <w:sz w:val="22"/>
          <w:highlight w:val="none"/>
        </w:rPr>
        <w:t>开启评审场地的录音录像采集设备，并确保其正常运行。</w:t>
      </w:r>
    </w:p>
    <w:p>
      <w:pPr>
        <w:pStyle w:val="15"/>
        <w:overflowPunct/>
        <w:autoSpaceDE/>
        <w:autoSpaceDN/>
        <w:adjustRightInd/>
        <w:spacing w:line="360" w:lineRule="exact"/>
        <w:ind w:firstLine="440"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z w:val="22"/>
          <w:highlight w:val="none"/>
        </w:rPr>
        <w:t>②</w:t>
      </w:r>
      <w:r>
        <w:rPr>
          <w:rFonts w:hint="eastAsia" w:ascii="宋体" w:hAnsi="宋体" w:eastAsia="宋体" w:cs="宋体"/>
          <w:color w:val="auto"/>
          <w:spacing w:val="-6"/>
          <w:sz w:val="22"/>
          <w:highlight w:val="none"/>
        </w:rPr>
        <w:t>核验出席评审活动现场的评标委员会各成员身份，并要求其分别登记、签到，按规定统一收缴、保存其通讯工具，无关人员一律拒绝其进入评审现场。</w:t>
      </w:r>
    </w:p>
    <w:p>
      <w:pPr>
        <w:pStyle w:val="15"/>
        <w:overflowPunct/>
        <w:autoSpaceDE/>
        <w:autoSpaceDN/>
        <w:adjustRightInd/>
        <w:spacing w:line="360" w:lineRule="exact"/>
        <w:ind w:firstLine="416"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③介绍评审现场的人员情况，宣布评审工作纪律，告知评标委员会应当回避情形；组织推选评标委员会组长。</w:t>
      </w:r>
    </w:p>
    <w:p>
      <w:pPr>
        <w:pStyle w:val="15"/>
        <w:overflowPunct/>
        <w:autoSpaceDE/>
        <w:autoSpaceDN/>
        <w:adjustRightInd/>
        <w:spacing w:line="360" w:lineRule="exact"/>
        <w:ind w:firstLine="440"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z w:val="22"/>
          <w:highlight w:val="none"/>
        </w:rPr>
        <w:t>④宣布获取</w:t>
      </w:r>
      <w:r>
        <w:rPr>
          <w:rFonts w:hint="eastAsia" w:ascii="宋体" w:hAnsi="宋体" w:eastAsia="宋体" w:cs="宋体"/>
          <w:color w:val="auto"/>
          <w:spacing w:val="-6"/>
          <w:sz w:val="22"/>
          <w:highlight w:val="none"/>
        </w:rPr>
        <w:t>本项目采购的投标人名单，宣读最终提交投标文件且通过资格审查的投标人名单，组织评标委员会各位成员签订《政府采购评审人员廉洁自律承诺书》。</w:t>
      </w:r>
    </w:p>
    <w:p>
      <w:pPr>
        <w:pStyle w:val="15"/>
        <w:overflowPunct/>
        <w:autoSpaceDE/>
        <w:autoSpaceDN/>
        <w:adjustRightInd/>
        <w:spacing w:line="360" w:lineRule="exact"/>
        <w:ind w:firstLine="416"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⑤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r>
        <w:rPr>
          <w:rFonts w:hint="eastAsia" w:ascii="宋体" w:hAnsi="宋体" w:eastAsia="宋体" w:cs="宋体"/>
          <w:color w:val="auto"/>
          <w:kern w:val="0"/>
          <w:sz w:val="22"/>
          <w:highlight w:val="none"/>
        </w:rPr>
        <w:t>评标委员会要求投标人澄清、说明或者补正，须通过政采云平台要求澄清、说明或者补正。</w:t>
      </w:r>
    </w:p>
    <w:p>
      <w:pPr>
        <w:pStyle w:val="43"/>
        <w:snapToGrid w:val="0"/>
        <w:spacing w:line="360" w:lineRule="exact"/>
        <w:ind w:firstLine="416"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⑥评标委员会组长组织评标委员会独立评审。评标委员会对拟认定为投标文件无效的，应组织相关投标人代表进行陈述、澄清或申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15"/>
        <w:overflowPunct/>
        <w:autoSpaceDE/>
        <w:autoSpaceDN/>
        <w:adjustRightInd/>
        <w:spacing w:line="360" w:lineRule="exact"/>
        <w:ind w:firstLine="416" w:firstLineChars="200"/>
        <w:textAlignment w:val="auto"/>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做好评审现场相关记录，做好评审报告起草、有关内容电脑文字录入等工作，并要求评标委员会各成员签字确认。</w:t>
      </w:r>
    </w:p>
    <w:p>
      <w:pPr>
        <w:pStyle w:val="15"/>
        <w:overflowPunct/>
        <w:autoSpaceDE/>
        <w:autoSpaceDN/>
        <w:adjustRightInd/>
        <w:spacing w:line="360" w:lineRule="exact"/>
        <w:ind w:firstLine="416" w:firstLineChars="200"/>
        <w:textAlignment w:val="auto"/>
        <w:rPr>
          <w:rFonts w:hint="eastAsia" w:ascii="宋体" w:hAnsi="宋体" w:eastAsia="宋体" w:cs="宋体"/>
          <w:b/>
          <w:bCs/>
          <w:color w:val="auto"/>
          <w:sz w:val="22"/>
          <w:highlight w:val="none"/>
        </w:rPr>
      </w:pPr>
      <w:r>
        <w:rPr>
          <w:rFonts w:hint="eastAsia" w:ascii="宋体" w:hAnsi="宋体" w:eastAsia="宋体" w:cs="宋体"/>
          <w:color w:val="auto"/>
          <w:spacing w:val="-6"/>
          <w:sz w:val="22"/>
          <w:highlight w:val="none"/>
        </w:rPr>
        <w:t>⑦评审结束后，采购代理机构交还评审人员及其他现场相关人员的通讯工具。</w:t>
      </w:r>
    </w:p>
    <w:p>
      <w:pPr>
        <w:spacing w:line="360" w:lineRule="exact"/>
        <w:rPr>
          <w:rFonts w:hint="eastAsia" w:ascii="宋体" w:hAnsi="宋体" w:eastAsia="宋体" w:cs="宋体"/>
          <w:color w:val="auto"/>
          <w:sz w:val="22"/>
          <w:highlight w:val="none"/>
        </w:rPr>
      </w:pPr>
      <w:r>
        <w:rPr>
          <w:rFonts w:hint="eastAsia" w:ascii="宋体" w:hAnsi="宋体" w:eastAsia="宋体" w:cs="宋体"/>
          <w:b/>
          <w:bCs/>
          <w:color w:val="auto"/>
          <w:sz w:val="22"/>
          <w:highlight w:val="none"/>
        </w:rPr>
        <w:t>5.投标无效的情形</w:t>
      </w:r>
    </w:p>
    <w:p>
      <w:pPr>
        <w:pStyle w:val="15"/>
        <w:overflowPunct/>
        <w:autoSpaceDE/>
        <w:autoSpaceDN/>
        <w:adjustRightInd/>
        <w:spacing w:line="360" w:lineRule="exact"/>
        <w:ind w:firstLine="440" w:firstLineChars="200"/>
        <w:textAlignment w:val="auto"/>
        <w:rPr>
          <w:rFonts w:hint="eastAsia" w:ascii="宋体" w:hAnsi="宋体" w:eastAsia="宋体" w:cs="宋体"/>
          <w:color w:val="auto"/>
          <w:spacing w:val="-6"/>
          <w:sz w:val="22"/>
          <w:highlight w:val="none"/>
          <w:u w:val="single"/>
        </w:rPr>
      </w:pPr>
      <w:r>
        <w:rPr>
          <w:rFonts w:hint="eastAsia" w:ascii="宋体" w:hAnsi="宋体" w:eastAsia="宋体" w:cs="宋体"/>
          <w:color w:val="auto"/>
          <w:sz w:val="22"/>
          <w:highlight w:val="none"/>
          <w:u w:val="single"/>
        </w:rPr>
        <w:t>▲</w:t>
      </w:r>
      <w:r>
        <w:rPr>
          <w:rFonts w:hint="eastAsia" w:ascii="宋体" w:hAnsi="宋体" w:eastAsia="宋体" w:cs="宋体"/>
          <w:color w:val="auto"/>
          <w:spacing w:val="-6"/>
          <w:sz w:val="22"/>
          <w:highlight w:val="none"/>
          <w:u w:val="single"/>
        </w:rPr>
        <w:t>5.1、有下列情形之一的，将不予受理投标文件：</w:t>
      </w:r>
    </w:p>
    <w:p>
      <w:pPr>
        <w:numPr>
          <w:ilvl w:val="0"/>
          <w:numId w:val="5"/>
        </w:numPr>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逾期上传电子档投标文件至“政采云”平台的；</w:t>
      </w:r>
    </w:p>
    <w:p>
      <w:pPr>
        <w:numPr>
          <w:ilvl w:val="0"/>
          <w:numId w:val="5"/>
        </w:numPr>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仅递交备份电子投标文件的；</w:t>
      </w:r>
    </w:p>
    <w:p>
      <w:pPr>
        <w:numPr>
          <w:ilvl w:val="0"/>
          <w:numId w:val="5"/>
        </w:numPr>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投标文件只有商务技术文件或者商务技术文件与报价文件部分上传在一份文档中的。</w:t>
      </w:r>
    </w:p>
    <w:p>
      <w:pPr>
        <w:numPr>
          <w:ilvl w:val="0"/>
          <w:numId w:val="5"/>
        </w:numPr>
        <w:spacing w:line="360" w:lineRule="exact"/>
        <w:ind w:left="0" w:firstLine="440" w:firstLineChars="200"/>
        <w:rPr>
          <w:rFonts w:hint="eastAsia" w:ascii="宋体" w:hAnsi="宋体" w:eastAsia="宋体" w:cs="宋体"/>
          <w:color w:val="auto"/>
          <w:spacing w:val="-6"/>
          <w:sz w:val="22"/>
          <w:highlight w:val="none"/>
          <w:u w:val="single"/>
        </w:rPr>
      </w:pPr>
      <w:r>
        <w:rPr>
          <w:rFonts w:hint="eastAsia" w:ascii="宋体" w:hAnsi="宋体" w:eastAsia="宋体" w:cs="宋体"/>
          <w:color w:val="auto"/>
          <w:sz w:val="22"/>
          <w:highlight w:val="none"/>
          <w:u w:val="single"/>
        </w:rPr>
        <w:t>电子投标文件解密失败的，且未在规定时间内提交备份投标文件的视为投标无效。</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▲5.2在资格审查时，如发现下列情形之一的，投标无效：</w:t>
      </w:r>
    </w:p>
    <w:p>
      <w:pPr>
        <w:numPr>
          <w:ilvl w:val="0"/>
          <w:numId w:val="6"/>
        </w:numPr>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资格审查材料不全的，或者不符合招标文件要求的；</w:t>
      </w:r>
    </w:p>
    <w:p>
      <w:pPr>
        <w:numPr>
          <w:ilvl w:val="0"/>
          <w:numId w:val="6"/>
        </w:numPr>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不具备招标文件中规定的资格条件的；</w:t>
      </w:r>
    </w:p>
    <w:p>
      <w:pPr>
        <w:numPr>
          <w:ilvl w:val="0"/>
          <w:numId w:val="6"/>
        </w:numPr>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经查询存在不良信用记录的。</w:t>
      </w:r>
    </w:p>
    <w:p>
      <w:pPr>
        <w:spacing w:line="360" w:lineRule="exact"/>
        <w:ind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▲5.3在符合性审查、商务和技术评审时，如发现下列情形之一的，投标无效：</w:t>
      </w:r>
    </w:p>
    <w:p>
      <w:pPr>
        <w:numPr>
          <w:ilvl w:val="0"/>
          <w:numId w:val="7"/>
        </w:numPr>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“资格文件”或“商务和技术文件”未按招标文件要求签署、盖章的；</w:t>
      </w:r>
    </w:p>
    <w:p>
      <w:pPr>
        <w:numPr>
          <w:ilvl w:val="0"/>
          <w:numId w:val="7"/>
        </w:numPr>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未提供合法、有效有效法定代表人授权委托书；法定代表人或委托授权代表与投标文件所附身份证明</w:t>
      </w:r>
      <w:r>
        <w:rPr>
          <w:rFonts w:hint="eastAsia" w:ascii="宋体" w:hAnsi="宋体" w:cs="宋体"/>
          <w:color w:val="auto"/>
          <w:sz w:val="22"/>
          <w:highlight w:val="none"/>
          <w:u w:val="single"/>
          <w:lang w:val="en-US" w:eastAsia="zh-CN"/>
        </w:rPr>
        <w:t>扫描件</w:t>
      </w:r>
      <w:r>
        <w:rPr>
          <w:rFonts w:hint="eastAsia" w:ascii="宋体" w:hAnsi="宋体" w:eastAsia="宋体" w:cs="宋体"/>
          <w:color w:val="auto"/>
          <w:sz w:val="22"/>
          <w:highlight w:val="none"/>
          <w:u w:val="single"/>
        </w:rPr>
        <w:t>不符；</w:t>
      </w:r>
    </w:p>
    <w:p>
      <w:pPr>
        <w:numPr>
          <w:ilvl w:val="0"/>
          <w:numId w:val="7"/>
        </w:numPr>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明显不符合招标文件实质性要求或者与招标文件中标“▲且加下划线”的内容发生实质性偏离的；</w:t>
      </w:r>
    </w:p>
    <w:p>
      <w:pPr>
        <w:numPr>
          <w:ilvl w:val="0"/>
          <w:numId w:val="7"/>
        </w:numPr>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未提供或未如实提供采购需求偏离表的；</w:t>
      </w:r>
    </w:p>
    <w:p>
      <w:pPr>
        <w:numPr>
          <w:ilvl w:val="0"/>
          <w:numId w:val="7"/>
        </w:numPr>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未提供或未如实提供服务的技术参数，或者投标文件标明的响应或偏离与事实不符或虚假投标的；</w:t>
      </w:r>
    </w:p>
    <w:p>
      <w:pPr>
        <w:numPr>
          <w:ilvl w:val="0"/>
          <w:numId w:val="7"/>
        </w:numPr>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投标有效期不能满足招标文件要求的；</w:t>
      </w:r>
    </w:p>
    <w:p>
      <w:pPr>
        <w:numPr>
          <w:ilvl w:val="0"/>
          <w:numId w:val="7"/>
        </w:numPr>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投标技术方案不明确，存在一个或一个以上备选（替代）投标方案的；</w:t>
      </w:r>
    </w:p>
    <w:p>
      <w:pPr>
        <w:numPr>
          <w:ilvl w:val="0"/>
          <w:numId w:val="7"/>
        </w:numPr>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投标文件含有采购人不能接受的附加条件的；</w:t>
      </w:r>
    </w:p>
    <w:p>
      <w:pPr>
        <w:numPr>
          <w:ilvl w:val="0"/>
          <w:numId w:val="7"/>
        </w:numPr>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在“资格文件”或“商务和技术文件”中出现投标报价的；</w:t>
      </w:r>
    </w:p>
    <w:p>
      <w:pPr>
        <w:numPr>
          <w:ilvl w:val="0"/>
          <w:numId w:val="0"/>
        </w:numPr>
        <w:spacing w:line="360" w:lineRule="exact"/>
        <w:ind w:leftChars="200"/>
        <w:rPr>
          <w:rFonts w:hint="eastAsia" w:ascii="宋体" w:hAnsi="宋体" w:eastAsia="宋体" w:cs="宋体"/>
          <w:color w:val="auto"/>
          <w:sz w:val="22"/>
          <w:highlight w:val="none"/>
          <w:u w:val="single"/>
        </w:rPr>
      </w:pPr>
      <w:r>
        <w:rPr>
          <w:rFonts w:hint="eastAsia" w:ascii="宋体" w:hAnsi="宋体" w:cs="宋体"/>
          <w:color w:val="auto"/>
          <w:sz w:val="22"/>
          <w:highlight w:val="none"/>
          <w:u w:val="single"/>
          <w:lang w:eastAsia="zh-CN"/>
        </w:rPr>
        <w:t>（</w:t>
      </w:r>
      <w:r>
        <w:rPr>
          <w:rFonts w:hint="eastAsia" w:ascii="宋体" w:hAnsi="宋体" w:cs="宋体"/>
          <w:color w:val="auto"/>
          <w:sz w:val="22"/>
          <w:highlight w:val="none"/>
          <w:u w:val="single"/>
          <w:lang w:val="en-US" w:eastAsia="zh-CN"/>
        </w:rPr>
        <w:t>10</w:t>
      </w:r>
      <w:r>
        <w:rPr>
          <w:rFonts w:hint="eastAsia" w:ascii="宋体" w:hAnsi="宋体" w:cs="宋体"/>
          <w:color w:val="auto"/>
          <w:sz w:val="22"/>
          <w:highlight w:val="none"/>
          <w:u w:val="single"/>
          <w:lang w:eastAsia="zh-CN"/>
        </w:rPr>
        <w:t>）</w:t>
      </w:r>
      <w:r>
        <w:rPr>
          <w:rFonts w:hint="eastAsia" w:ascii="宋体" w:hAnsi="宋体" w:eastAsia="宋体" w:cs="宋体"/>
          <w:color w:val="auto"/>
          <w:sz w:val="22"/>
          <w:highlight w:val="none"/>
          <w:u w:val="single"/>
        </w:rPr>
        <w:t>法律、法规和招标文件中规定的其他无效情形的。</w:t>
      </w:r>
    </w:p>
    <w:p>
      <w:pPr>
        <w:spacing w:line="360" w:lineRule="exac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▲5.4在报价评审时，如发现下列情形之一的，投标无效：</w:t>
      </w:r>
    </w:p>
    <w:p>
      <w:pPr>
        <w:numPr>
          <w:ilvl w:val="0"/>
          <w:numId w:val="8"/>
        </w:numPr>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报价文件未按招标文件要求签署、盖章的；</w:t>
      </w:r>
    </w:p>
    <w:p>
      <w:pPr>
        <w:numPr>
          <w:ilvl w:val="0"/>
          <w:numId w:val="8"/>
        </w:numPr>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未按照招标文件标明的币种报价的；</w:t>
      </w:r>
    </w:p>
    <w:p>
      <w:pPr>
        <w:numPr>
          <w:ilvl w:val="0"/>
          <w:numId w:val="8"/>
        </w:numPr>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报价超出招标文件中规定的预算金额或者最高限价的；</w:t>
      </w:r>
    </w:p>
    <w:p>
      <w:pPr>
        <w:numPr>
          <w:ilvl w:val="0"/>
          <w:numId w:val="8"/>
        </w:numPr>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投标报价具有选择性，或者开标价格与投标文件承诺的优惠（折扣）价格不一致的；</w:t>
      </w:r>
    </w:p>
    <w:p>
      <w:pPr>
        <w:numPr>
          <w:ilvl w:val="0"/>
          <w:numId w:val="8"/>
        </w:numPr>
        <w:spacing w:line="360" w:lineRule="exact"/>
        <w:ind w:left="0" w:firstLine="440" w:firstLineChars="200"/>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u w:val="single"/>
        </w:rPr>
        <w:t>报价明显低于其他通过符合性审查投标人的报价（有可能影响产品质量或者不能诚信履约的），投标人在评标现场合理的时间内无法提供书面说明（必要时提交相关证明材料，证明其报价合理性的）。</w:t>
      </w:r>
    </w:p>
    <w:p>
      <w:pPr>
        <w:spacing w:line="360" w:lineRule="exact"/>
        <w:ind w:firstLine="440" w:firstLineChars="200"/>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rPr>
        <w:t>▲5.5</w:t>
      </w:r>
      <w:r>
        <w:rPr>
          <w:rFonts w:hint="eastAsia" w:ascii="宋体" w:hAnsi="宋体" w:eastAsia="宋体" w:cs="宋体"/>
          <w:color w:val="auto"/>
          <w:sz w:val="22"/>
          <w:highlight w:val="none"/>
          <w:u w:val="single"/>
          <w:lang w:val="zh-CN"/>
        </w:rPr>
        <w:t>有下列情形之一的，视为投标人串通投标，</w:t>
      </w:r>
      <w:r>
        <w:rPr>
          <w:rFonts w:hint="eastAsia" w:ascii="宋体" w:hAnsi="宋体" w:eastAsia="宋体" w:cs="宋体"/>
          <w:color w:val="auto"/>
          <w:sz w:val="22"/>
          <w:highlight w:val="none"/>
          <w:u w:val="single"/>
        </w:rPr>
        <w:t>投标无效</w:t>
      </w:r>
      <w:r>
        <w:rPr>
          <w:rFonts w:hint="eastAsia" w:ascii="宋体" w:hAnsi="宋体" w:eastAsia="宋体" w:cs="宋体"/>
          <w:color w:val="auto"/>
          <w:sz w:val="22"/>
          <w:highlight w:val="none"/>
          <w:u w:val="single"/>
          <w:lang w:val="zh-CN"/>
        </w:rPr>
        <w:t>，由采购人或采购代理机构上报政府采购监督管理部门，视情列入不良行为记录名单，在一至三年内禁止参加政府采购活动：</w:t>
      </w:r>
    </w:p>
    <w:p>
      <w:pPr>
        <w:spacing w:line="360" w:lineRule="exact"/>
        <w:ind w:firstLine="440" w:firstLineChars="200"/>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lang w:val="zh-CN"/>
        </w:rPr>
        <w:t>（</w:t>
      </w:r>
      <w:r>
        <w:rPr>
          <w:rFonts w:hint="eastAsia" w:ascii="宋体" w:hAnsi="宋体" w:eastAsia="宋体" w:cs="宋体"/>
          <w:color w:val="auto"/>
          <w:sz w:val="22"/>
          <w:highlight w:val="none"/>
          <w:u w:val="single"/>
        </w:rPr>
        <w:t>1</w:t>
      </w:r>
      <w:r>
        <w:rPr>
          <w:rFonts w:hint="eastAsia" w:ascii="宋体" w:hAnsi="宋体" w:eastAsia="宋体" w:cs="宋体"/>
          <w:color w:val="auto"/>
          <w:sz w:val="22"/>
          <w:highlight w:val="none"/>
          <w:u w:val="single"/>
          <w:lang w:val="zh-CN"/>
        </w:rPr>
        <w:t>）不同投标人的投标文件由同一单位或者个人编制；</w:t>
      </w:r>
    </w:p>
    <w:p>
      <w:pPr>
        <w:spacing w:line="360" w:lineRule="exact"/>
        <w:ind w:firstLine="440" w:firstLineChars="200"/>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lang w:val="zh-CN"/>
        </w:rPr>
        <w:t>（</w:t>
      </w:r>
      <w:r>
        <w:rPr>
          <w:rFonts w:hint="eastAsia" w:ascii="宋体" w:hAnsi="宋体" w:eastAsia="宋体" w:cs="宋体"/>
          <w:color w:val="auto"/>
          <w:sz w:val="22"/>
          <w:highlight w:val="none"/>
          <w:u w:val="single"/>
        </w:rPr>
        <w:t>2</w:t>
      </w:r>
      <w:r>
        <w:rPr>
          <w:rFonts w:hint="eastAsia" w:ascii="宋体" w:hAnsi="宋体" w:eastAsia="宋体" w:cs="宋体"/>
          <w:color w:val="auto"/>
          <w:sz w:val="22"/>
          <w:highlight w:val="none"/>
          <w:u w:val="single"/>
          <w:lang w:val="zh-CN"/>
        </w:rPr>
        <w:t>）不同投标人委托同一单位或者个人办理投标事宜；</w:t>
      </w:r>
    </w:p>
    <w:p>
      <w:pPr>
        <w:spacing w:line="360" w:lineRule="exact"/>
        <w:ind w:firstLine="440" w:firstLineChars="200"/>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lang w:val="zh-CN"/>
        </w:rPr>
        <w:t>（</w:t>
      </w:r>
      <w:r>
        <w:rPr>
          <w:rFonts w:hint="eastAsia" w:ascii="宋体" w:hAnsi="宋体" w:eastAsia="宋体" w:cs="宋体"/>
          <w:color w:val="auto"/>
          <w:sz w:val="22"/>
          <w:highlight w:val="none"/>
          <w:u w:val="single"/>
        </w:rPr>
        <w:t>3</w:t>
      </w:r>
      <w:r>
        <w:rPr>
          <w:rFonts w:hint="eastAsia" w:ascii="宋体" w:hAnsi="宋体" w:eastAsia="宋体" w:cs="宋体"/>
          <w:color w:val="auto"/>
          <w:sz w:val="22"/>
          <w:highlight w:val="none"/>
          <w:u w:val="single"/>
          <w:lang w:val="zh-CN"/>
        </w:rPr>
        <w:t>）不同投标人的投标文件载明的项目管理成员或者联系人员为同一人；</w:t>
      </w:r>
    </w:p>
    <w:p>
      <w:pPr>
        <w:spacing w:line="360" w:lineRule="exact"/>
        <w:ind w:firstLine="440" w:firstLineChars="200"/>
        <w:rPr>
          <w:rFonts w:hint="eastAsia" w:ascii="宋体" w:hAnsi="宋体" w:eastAsia="宋体" w:cs="宋体"/>
          <w:color w:val="auto"/>
          <w:sz w:val="22"/>
          <w:highlight w:val="none"/>
          <w:u w:val="single"/>
          <w:lang w:val="zh-CN"/>
        </w:rPr>
      </w:pPr>
      <w:r>
        <w:rPr>
          <w:rFonts w:hint="eastAsia" w:ascii="宋体" w:hAnsi="宋体" w:eastAsia="宋体" w:cs="宋体"/>
          <w:color w:val="auto"/>
          <w:sz w:val="22"/>
          <w:highlight w:val="none"/>
          <w:u w:val="single"/>
          <w:lang w:val="zh-CN"/>
        </w:rPr>
        <w:t>（</w:t>
      </w:r>
      <w:r>
        <w:rPr>
          <w:rFonts w:hint="eastAsia" w:ascii="宋体" w:hAnsi="宋体" w:eastAsia="宋体" w:cs="宋体"/>
          <w:color w:val="auto"/>
          <w:sz w:val="22"/>
          <w:highlight w:val="none"/>
          <w:u w:val="single"/>
        </w:rPr>
        <w:t>4</w:t>
      </w:r>
      <w:r>
        <w:rPr>
          <w:rFonts w:hint="eastAsia" w:ascii="宋体" w:hAnsi="宋体" w:eastAsia="宋体" w:cs="宋体"/>
          <w:color w:val="auto"/>
          <w:sz w:val="22"/>
          <w:highlight w:val="none"/>
          <w:u w:val="single"/>
          <w:lang w:val="zh-CN"/>
        </w:rPr>
        <w:t>）不同投标人的投标文件异常一致或者投标报价呈规律性差异；</w:t>
      </w:r>
    </w:p>
    <w:p>
      <w:pPr>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lang w:val="zh-CN"/>
        </w:rPr>
        <w:t>（</w:t>
      </w:r>
      <w:r>
        <w:rPr>
          <w:rFonts w:hint="eastAsia" w:ascii="宋体" w:hAnsi="宋体" w:eastAsia="宋体" w:cs="宋体"/>
          <w:color w:val="auto"/>
          <w:sz w:val="22"/>
          <w:highlight w:val="none"/>
          <w:u w:val="single"/>
        </w:rPr>
        <w:t>5</w:t>
      </w:r>
      <w:r>
        <w:rPr>
          <w:rFonts w:hint="eastAsia" w:ascii="宋体" w:hAnsi="宋体" w:eastAsia="宋体" w:cs="宋体"/>
          <w:color w:val="auto"/>
          <w:sz w:val="22"/>
          <w:highlight w:val="none"/>
          <w:u w:val="single"/>
          <w:lang w:val="zh-CN"/>
        </w:rPr>
        <w:t>）不同投标人的投标文件相互混装。</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6.错误修正</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投标文件报价出现前后不一致的，除招标文件另有规定外，按照下列规定修正：</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6.1投标文件中开标一览表（报价表）内容与投标文件中相应内容不一致的，以开标一览表（报价表）为准；</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6.2大写金额和小写金额不一致的，以大写金额为准；</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6.3单价金额小数点或者百分比有明显错位的，以开标一览表的总价为准，并修改单价；</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6.4总价金额与按单价汇总金额不一致的，以单价金额计算结果为准。</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6.5对不同文字文本投标文件的解释发生异义的，以中文文本为准</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6.6客户端填写的报价与以pdf格式上传文件中的报价不一致的，应以Pdf格式上传文件中的报价为准。</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同时出现两种以上不一致的，按照前款规定的顺序修正。修正后的报价按照本招标文件“7.投标文件的澄清”规定经投标人确认后产生约束力，投标人不确认的，其投标无效。</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7.投标文件的澄清</w:t>
      </w:r>
    </w:p>
    <w:p>
      <w:pPr>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7.1为有助于投标文件的审查、评价和比较，评标委员会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上述第6条规定，凡属于评标委员会在评标中发现的计算错误并进行核实的修改不在此列。</w:t>
      </w:r>
    </w:p>
    <w:p>
      <w:pPr>
        <w:pStyle w:val="15"/>
        <w:tabs>
          <w:tab w:val="left" w:pos="0"/>
        </w:tabs>
        <w:spacing w:line="360" w:lineRule="exact"/>
        <w:ind w:firstLine="442" w:firstLineChars="200"/>
        <w:rPr>
          <w:rFonts w:hint="eastAsia" w:ascii="宋体" w:hAnsi="宋体" w:eastAsia="宋体" w:cs="宋体"/>
          <w:b/>
          <w:color w:val="auto"/>
          <w:sz w:val="22"/>
          <w:highlight w:val="none"/>
        </w:rPr>
      </w:pPr>
      <w:r>
        <w:rPr>
          <w:rFonts w:hint="eastAsia" w:ascii="宋体" w:hAnsi="宋体" w:eastAsia="宋体" w:cs="宋体"/>
          <w:b/>
          <w:bCs/>
          <w:color w:val="auto"/>
          <w:sz w:val="22"/>
          <w:highlight w:val="none"/>
        </w:rPr>
        <w:t>7.2如果投标人代表拒绝按评标委员会要求在“政采云”平台作出在线回复且无其他有效回复方式的，评标委员会可以对其作出投标无效处理。</w:t>
      </w:r>
    </w:p>
    <w:p>
      <w:pPr>
        <w:tabs>
          <w:tab w:val="left" w:pos="1365"/>
        </w:tabs>
        <w:spacing w:line="360" w:lineRule="exact"/>
        <w:ind w:firstLine="442" w:firstLineChars="200"/>
        <w:rPr>
          <w:rFonts w:hint="eastAsia" w:ascii="宋体" w:hAnsi="宋体" w:eastAsia="宋体" w:cs="宋体"/>
          <w:b/>
          <w:color w:val="auto"/>
          <w:sz w:val="22"/>
          <w:highlight w:val="none"/>
          <w:u w:val="single"/>
        </w:rPr>
      </w:pPr>
      <w:r>
        <w:rPr>
          <w:rFonts w:hint="eastAsia" w:ascii="宋体" w:hAnsi="宋体" w:eastAsia="宋体" w:cs="宋体"/>
          <w:b/>
          <w:color w:val="auto"/>
          <w:sz w:val="22"/>
          <w:highlight w:val="none"/>
          <w:u w:val="single"/>
        </w:rPr>
        <w:t>▲</w:t>
      </w:r>
      <w:r>
        <w:rPr>
          <w:rFonts w:hint="eastAsia" w:ascii="宋体" w:hAnsi="宋体" w:eastAsia="宋体" w:cs="宋体"/>
          <w:color w:val="auto"/>
          <w:sz w:val="22"/>
          <w:highlight w:val="none"/>
          <w:u w:val="single"/>
        </w:rPr>
        <w:t>7.3经澄清后，若偏差仍存在，且不可接受，投标人则被认为是“没有实质性响应招标文件要求”，其投标不进入下一步评审。</w:t>
      </w:r>
    </w:p>
    <w:p>
      <w:pPr>
        <w:pStyle w:val="15"/>
        <w:tabs>
          <w:tab w:val="left" w:pos="630"/>
        </w:tabs>
        <w:overflowPunct/>
        <w:autoSpaceDE/>
        <w:autoSpaceDN/>
        <w:adjustRightInd/>
        <w:snapToGrid w:val="0"/>
        <w:spacing w:line="360" w:lineRule="exact"/>
        <w:ind w:firstLine="433" w:firstLineChars="196"/>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8.评标原则和评标办法</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8.1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pStyle w:val="24"/>
        <w:spacing w:before="0" w:beforeAutospacing="0" w:after="0" w:afterAutospacing="0" w:line="360" w:lineRule="exact"/>
        <w:ind w:firstLine="440" w:firstLineChars="200"/>
        <w:jc w:val="both"/>
        <w:rPr>
          <w:rFonts w:hint="eastAsia" w:ascii="宋体" w:hAnsi="宋体" w:eastAsia="宋体" w:cs="宋体"/>
          <w:color w:val="auto"/>
          <w:sz w:val="22"/>
          <w:highlight w:val="none"/>
        </w:rPr>
      </w:pPr>
      <w:r>
        <w:rPr>
          <w:rFonts w:hint="eastAsia" w:ascii="宋体" w:hAnsi="宋体" w:eastAsia="宋体" w:cs="宋体"/>
          <w:color w:val="auto"/>
          <w:sz w:val="22"/>
          <w:highlight w:val="none"/>
        </w:rPr>
        <w:t>8.2评标中因评标委员会成员缺席、回避或者健康等特殊原因导致评标委员会组成不符合规定的，依法补足后继续评标。被更换的评标委员会成员所作出的评标意见无效。</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8.3评标委员会成员对需要共同认定的事项存在争议的，应当按照少数服从多数的原则作出结论。持不同意见的评标委员会成员应当在评标报告上签署不同意见及理由，否则视为同意评标报告。</w:t>
      </w:r>
    </w:p>
    <w:p>
      <w:pPr>
        <w:pStyle w:val="15"/>
        <w:overflowPunct/>
        <w:autoSpaceDE/>
        <w:autoSpaceDN/>
        <w:adjustRightInd/>
        <w:snapToGrid w:val="0"/>
        <w:spacing w:line="360" w:lineRule="exact"/>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8.4评标办法。本项目评标办法是综合评分法，具体评标内容及评分标准等详见第六部分“评标原则及方法”。</w:t>
      </w:r>
    </w:p>
    <w:p>
      <w:pPr>
        <w:tabs>
          <w:tab w:val="left" w:pos="1365"/>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8.5评标过程中遇到特殊情况，由评标委员会遵循公开、公正原则，采取投票方式按照少数服从多数原则决定。</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8.6《中华人民共和国政府采购法》第三十六条在招标采购中，出现下列情形之一的，应予废标：</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（一）符合专业条件的供应商或者对招标文件作实质响应的供应商不足三家的；</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（二）出现影响采购公正的违法、违规行为的；</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（三）投标人的报价均超过了采购预算，采购人不能支付的；</w:t>
      </w:r>
    </w:p>
    <w:p>
      <w:pPr>
        <w:pStyle w:val="15"/>
        <w:overflowPunct/>
        <w:autoSpaceDE/>
        <w:autoSpaceDN/>
        <w:adjustRightInd/>
        <w:snapToGrid w:val="0"/>
        <w:spacing w:line="360" w:lineRule="exact"/>
        <w:ind w:firstLine="442" w:firstLineChars="200"/>
        <w:textAlignment w:val="auto"/>
        <w:rPr>
          <w:rFonts w:hint="eastAsia" w:ascii="宋体" w:hAnsi="宋体" w:eastAsia="宋体" w:cs="宋体"/>
          <w:color w:val="auto"/>
          <w:sz w:val="22"/>
          <w:highlight w:val="none"/>
        </w:rPr>
      </w:pPr>
      <w:r>
        <w:rPr>
          <w:rFonts w:hint="eastAsia" w:ascii="宋体" w:hAnsi="宋体" w:eastAsia="宋体" w:cs="宋体"/>
          <w:b/>
          <w:bCs/>
          <w:color w:val="auto"/>
          <w:sz w:val="22"/>
          <w:highlight w:val="none"/>
        </w:rPr>
        <w:t>（四）因重大变故，采购任务取消的。</w:t>
      </w:r>
    </w:p>
    <w:p>
      <w:pPr>
        <w:tabs>
          <w:tab w:val="left" w:pos="1365"/>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9.确定中标候选人</w:t>
      </w:r>
    </w:p>
    <w:p>
      <w:pPr>
        <w:tabs>
          <w:tab w:val="left" w:pos="1365"/>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9.1本次招标由评标委员会确定中标候选人（招标文件另有规定的除外）。</w:t>
      </w:r>
    </w:p>
    <w:p>
      <w:pPr>
        <w:tabs>
          <w:tab w:val="left" w:pos="1365"/>
        </w:tabs>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9.2本项目评标结果按评审后得分由高到低顺序排列推荐不少于2名中标候选人，并编写评审报告。采用综合评分法的，评标结果按评审后得分由高到低顺序排列。得分相同的，按投标报价由低到高顺序排列。得分且投标报价相同的，按照评审因素的量化指标评审得分最高的投标人为排名第一的中标候选人。</w:t>
      </w:r>
    </w:p>
    <w:p>
      <w:pPr>
        <w:widowControl/>
        <w:spacing w:line="360" w:lineRule="exact"/>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9.3排名第一的中标候选人放弃中标；因不可抗力提出不能履行合同；或者招标文件规定应当提交履约保证金而在规定的期限内未能提交的；或未能在规定时间内与采购人签订合同的；或者经质疑，采购人审查后，确因排名第一的候选人在本次采购活动中存在违法违规行为或其他原因使质疑成立的，采购人可以直接确定排名第二的中标候选人为中标人，也可重新组织采购。</w:t>
      </w:r>
    </w:p>
    <w:p>
      <w:pPr>
        <w:tabs>
          <w:tab w:val="left" w:pos="1365"/>
        </w:tabs>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9.4采购人根据招标文件、中标人的投标文件、合同等材料及时组织验收，并严把质量关。</w:t>
      </w:r>
    </w:p>
    <w:p>
      <w:pPr>
        <w:tabs>
          <w:tab w:val="left" w:pos="1365"/>
        </w:tabs>
        <w:spacing w:line="360" w:lineRule="exact"/>
        <w:ind w:firstLine="442" w:firstLineChars="200"/>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9.5采购代理机构对决标结果不做任何解释，也不保证最低价中标。</w:t>
      </w:r>
    </w:p>
    <w:p>
      <w:pPr>
        <w:pStyle w:val="15"/>
        <w:snapToGrid w:val="0"/>
        <w:spacing w:line="360" w:lineRule="exact"/>
        <w:ind w:firstLine="433" w:firstLineChars="196"/>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10.定标</w:t>
      </w:r>
    </w:p>
    <w:p>
      <w:pPr>
        <w:pStyle w:val="15"/>
        <w:snapToGrid w:val="0"/>
        <w:spacing w:line="360" w:lineRule="exact"/>
        <w:ind w:firstLine="433" w:firstLineChars="196"/>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（一）确定中标人。本项目由采购人确定中标人。</w:t>
      </w:r>
    </w:p>
    <w:p>
      <w:pPr>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10.1.采购代理机构自评审结束之日起2个工作日内将评审报告送交采购人。采购人收到评审报告之日起5个工作日内在评审报告推荐的中标候选人中按照排序由高到低的原则确定中标人，也可以书面授权评标委员会直接确定中标人。采购人逾期未确定中标人且不提出异议的，视为确定评审报告提出的排序第一的投标人为中标人。</w:t>
      </w:r>
    </w:p>
    <w:p>
      <w:pPr>
        <w:snapToGrid w:val="0"/>
        <w:spacing w:line="36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10.2.采购代理机构自中标人确定之日起2个工作日内，在省级以上财政部门指定的政府采购信息发布媒体上公告中标结果，同时向中标人发出中标通知书。</w:t>
      </w:r>
    </w:p>
    <w:p>
      <w:pPr>
        <w:spacing w:line="500" w:lineRule="exact"/>
        <w:ind w:firstLine="482" w:firstLineChars="20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 授予合同</w:t>
      </w:r>
    </w:p>
    <w:p>
      <w:pPr>
        <w:spacing w:line="360" w:lineRule="exact"/>
        <w:ind w:firstLine="464"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360" w:lineRule="exact"/>
        <w:ind w:firstLine="464" w:firstLineChars="200"/>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2.中标后无正当理由拒不与采购人签订政府采购合同，将取消中标资格，并处以采购金额千分之五以上千分之十以下的罚款，由政府采购监督管理部门列入不良行为记录名单，在一至三年内禁止参加政府采购活动，有违法所得的，并处没收违法所得。</w:t>
      </w:r>
    </w:p>
    <w:p>
      <w:pPr>
        <w:spacing w:line="500" w:lineRule="exact"/>
        <w:ind w:firstLine="482" w:firstLineChars="20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 可中止电子交易活动的情形</w:t>
      </w:r>
    </w:p>
    <w:p>
      <w:pPr>
        <w:spacing w:line="360" w:lineRule="exact"/>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rPr>
        <w:t>1.</w:t>
      </w:r>
      <w:r>
        <w:rPr>
          <w:rFonts w:hint="eastAsia" w:ascii="宋体" w:hAnsi="宋体" w:eastAsia="宋体" w:cs="宋体"/>
          <w:color w:val="auto"/>
          <w:sz w:val="22"/>
          <w:highlight w:val="none"/>
          <w:lang w:val="zh-CN"/>
        </w:rPr>
        <w:t>采购过程中出现以下情形，导致电子交易平台无法正常运行，或者无法保证电子交易的公平、公正和安全时，采购组织机构可中止电子交易活动：</w:t>
      </w:r>
    </w:p>
    <w:p>
      <w:pPr>
        <w:spacing w:line="360" w:lineRule="exact"/>
        <w:ind w:firstLine="440" w:firstLineChars="20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（一）电子交易平台发生故障而无法登录访问的； </w:t>
      </w:r>
    </w:p>
    <w:p>
      <w:pPr>
        <w:spacing w:line="360" w:lineRule="exact"/>
        <w:ind w:firstLine="440" w:firstLineChars="20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（二）电子交易平台应用或数据库出现错误，不能进行正常操作的；</w:t>
      </w:r>
    </w:p>
    <w:p>
      <w:pPr>
        <w:spacing w:line="360" w:lineRule="exact"/>
        <w:ind w:firstLine="440" w:firstLineChars="20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（三）电子交易平台发现严重安全漏洞，有潜在泄密危险的；</w:t>
      </w:r>
    </w:p>
    <w:p>
      <w:pPr>
        <w:spacing w:line="360" w:lineRule="exact"/>
        <w:ind w:firstLine="440" w:firstLineChars="20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（四）病毒发作导致不能进行正常操作的； </w:t>
      </w:r>
    </w:p>
    <w:p>
      <w:pPr>
        <w:spacing w:line="360" w:lineRule="exact"/>
        <w:ind w:firstLine="440" w:firstLineChars="20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lang w:val="zh-CN"/>
        </w:rPr>
        <w:t>（五）其他无法保证电子交易的公平、公正和安全的情况。</w:t>
      </w:r>
    </w:p>
    <w:p>
      <w:pPr>
        <w:spacing w:line="360" w:lineRule="exact"/>
        <w:ind w:firstLine="440" w:firstLineChars="200"/>
        <w:rPr>
          <w:rFonts w:hint="eastAsia" w:ascii="宋体" w:hAnsi="宋体" w:eastAsia="宋体" w:cs="宋体"/>
          <w:color w:val="auto"/>
          <w:sz w:val="22"/>
          <w:highlight w:val="none"/>
          <w:lang w:val="zh-CN"/>
        </w:rPr>
      </w:pPr>
      <w:r>
        <w:rPr>
          <w:rFonts w:hint="eastAsia" w:ascii="宋体" w:hAnsi="宋体" w:eastAsia="宋体" w:cs="宋体"/>
          <w:color w:val="auto"/>
          <w:sz w:val="22"/>
          <w:highlight w:val="none"/>
        </w:rPr>
        <w:t>出现前款规定情形，不影响采购公平、公正性的，采购代理机构可以待上述情形消除后继续组织电子交易活动，也可以决定某些环节以纸质形式进行；影响或可能影响采购公平、公正性的，重新采购。</w:t>
      </w:r>
    </w:p>
    <w:p>
      <w:pPr>
        <w:spacing w:line="400" w:lineRule="exact"/>
        <w:ind w:firstLine="422" w:firstLineChars="20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p>
    <w:p>
      <w:pPr>
        <w:spacing w:line="400" w:lineRule="exact"/>
        <w:ind w:firstLine="643" w:firstLineChars="200"/>
        <w:jc w:val="center"/>
        <w:rPr>
          <w:rFonts w:hint="eastAsia" w:ascii="宋体" w:hAnsi="宋体" w:eastAsia="宋体" w:cs="宋体"/>
          <w:b/>
          <w:bCs/>
          <w:color w:val="auto"/>
          <w:szCs w:val="21"/>
          <w:highlight w:val="none"/>
        </w:rPr>
      </w:pPr>
      <w:r>
        <w:rPr>
          <w:rFonts w:hint="eastAsia" w:ascii="宋体" w:hAnsi="宋体" w:eastAsia="宋体" w:cs="宋体"/>
          <w:b/>
          <w:color w:val="auto"/>
          <w:sz w:val="32"/>
          <w:highlight w:val="none"/>
        </w:rPr>
        <w:t xml:space="preserve">第三部分     </w:t>
      </w:r>
      <w:r>
        <w:rPr>
          <w:rFonts w:hint="eastAsia" w:ascii="宋体" w:hAnsi="宋体" w:eastAsia="宋体" w:cs="宋体"/>
          <w:b/>
          <w:bCs/>
          <w:color w:val="auto"/>
          <w:sz w:val="36"/>
          <w:szCs w:val="36"/>
          <w:highlight w:val="none"/>
        </w:rPr>
        <w:t>合同格式</w:t>
      </w:r>
    </w:p>
    <w:p>
      <w:pPr>
        <w:pStyle w:val="16"/>
        <w:spacing w:line="360" w:lineRule="exact"/>
        <w:ind w:left="0" w:leftChars="0"/>
        <w:rPr>
          <w:rFonts w:hint="eastAsia" w:ascii="宋体" w:hAnsi="宋体" w:eastAsia="宋体" w:cs="宋体"/>
          <w:b/>
          <w:bCs/>
          <w:color w:val="auto"/>
          <w:sz w:val="22"/>
          <w:szCs w:val="22"/>
          <w:highlight w:val="none"/>
        </w:rPr>
      </w:pPr>
    </w:p>
    <w:p>
      <w:pPr>
        <w:spacing w:line="460" w:lineRule="exact"/>
        <w:ind w:firstLine="110" w:firstLineChars="50"/>
        <w:rPr>
          <w:rFonts w:ascii="宋体" w:hAnsi="宋体" w:cs="Arial"/>
          <w:color w:val="auto"/>
          <w:sz w:val="22"/>
          <w:highlight w:val="none"/>
        </w:rPr>
      </w:pPr>
      <w:r>
        <w:rPr>
          <w:rFonts w:hint="eastAsia" w:ascii="宋体" w:hAnsi="宋体" w:cs="Arial"/>
          <w:color w:val="auto"/>
          <w:sz w:val="22"/>
          <w:highlight w:val="none"/>
        </w:rPr>
        <w:t>发包方(采购单位)：                         （以下简称甲方）</w:t>
      </w:r>
    </w:p>
    <w:p>
      <w:pPr>
        <w:spacing w:line="460" w:lineRule="exact"/>
        <w:ind w:firstLine="110" w:firstLineChars="50"/>
        <w:rPr>
          <w:rFonts w:ascii="宋体" w:hAnsi="宋体" w:cs="Arial"/>
          <w:color w:val="auto"/>
          <w:sz w:val="22"/>
          <w:highlight w:val="none"/>
        </w:rPr>
      </w:pPr>
      <w:r>
        <w:rPr>
          <w:rFonts w:hint="eastAsia" w:ascii="宋体" w:hAnsi="宋体" w:cs="Arial"/>
          <w:color w:val="auto"/>
          <w:sz w:val="22"/>
          <w:highlight w:val="none"/>
        </w:rPr>
        <w:t>承包方(中标人)：                           （以下简称乙方）</w:t>
      </w:r>
    </w:p>
    <w:p>
      <w:pPr>
        <w:spacing w:line="460" w:lineRule="exact"/>
        <w:ind w:firstLine="440" w:firstLineChars="200"/>
        <w:rPr>
          <w:rFonts w:ascii="宋体" w:hAnsi="宋体" w:cs="Arial"/>
          <w:color w:val="auto"/>
          <w:sz w:val="22"/>
          <w:highlight w:val="none"/>
        </w:rPr>
      </w:pPr>
      <w:r>
        <w:rPr>
          <w:rFonts w:hint="eastAsia" w:ascii="宋体" w:hAnsi="宋体" w:cs="Arial"/>
          <w:color w:val="auto"/>
          <w:sz w:val="22"/>
          <w:highlight w:val="none"/>
        </w:rPr>
        <w:t>根据《</w:t>
      </w:r>
      <w:r>
        <w:rPr>
          <w:rFonts w:hint="eastAsia" w:ascii="宋体" w:hAnsi="宋体" w:cs="Arial"/>
          <w:color w:val="auto"/>
          <w:sz w:val="22"/>
          <w:highlight w:val="none"/>
          <w:lang w:eastAsia="zh-CN"/>
        </w:rPr>
        <w:t>2023年灵昆街道道路及河道保洁项目</w:t>
      </w:r>
      <w:r>
        <w:rPr>
          <w:rFonts w:hint="eastAsia" w:ascii="宋体" w:hAnsi="宋体" w:cs="Arial"/>
          <w:color w:val="auto"/>
          <w:sz w:val="22"/>
          <w:highlight w:val="none"/>
        </w:rPr>
        <w:t>》的中标通知书，甲方将中标范围内道路清扫及河道保洁业务承包给乙方，为了明确甲、乙双方的权利和义务，履行各自的职责，高效优质地完成道路清扫及河道保洁业务，按照《中华人民共和国民法典》的有关规定，经甲乙双方在平等、自愿的基础上共同协商一致，现签订道路清扫及河道保洁业务承包合同。</w:t>
      </w:r>
    </w:p>
    <w:p>
      <w:pPr>
        <w:spacing w:line="460" w:lineRule="exact"/>
        <w:ind w:firstLine="440" w:firstLineChars="200"/>
        <w:rPr>
          <w:rFonts w:ascii="宋体" w:hAnsi="宋体" w:cs="Arial"/>
          <w:color w:val="auto"/>
          <w:sz w:val="22"/>
          <w:highlight w:val="none"/>
        </w:rPr>
      </w:pPr>
      <w:r>
        <w:rPr>
          <w:rFonts w:hint="eastAsia" w:ascii="宋体" w:hAnsi="宋体" w:cs="Arial"/>
          <w:color w:val="auto"/>
          <w:sz w:val="22"/>
          <w:highlight w:val="none"/>
        </w:rPr>
        <w:t>名称：</w:t>
      </w:r>
      <w:r>
        <w:rPr>
          <w:rFonts w:hint="eastAsia" w:ascii="宋体" w:hAnsi="宋体" w:cs="Arial"/>
          <w:color w:val="auto"/>
          <w:sz w:val="22"/>
          <w:highlight w:val="none"/>
          <w:lang w:eastAsia="zh-CN"/>
        </w:rPr>
        <w:t>2023年灵昆街道道路及河道保洁项目</w:t>
      </w:r>
      <w:r>
        <w:rPr>
          <w:rFonts w:hint="eastAsia" w:ascii="宋体" w:hAnsi="宋体" w:cs="Arial"/>
          <w:color w:val="auto"/>
          <w:sz w:val="22"/>
          <w:highlight w:val="none"/>
        </w:rPr>
        <w:t>承包合同</w:t>
      </w:r>
    </w:p>
    <w:p>
      <w:pPr>
        <w:spacing w:line="460" w:lineRule="exact"/>
        <w:rPr>
          <w:rFonts w:ascii="宋体" w:hAnsi="宋体" w:cs="Arial"/>
          <w:b/>
          <w:color w:val="auto"/>
          <w:sz w:val="22"/>
          <w:highlight w:val="none"/>
        </w:rPr>
      </w:pPr>
      <w:r>
        <w:rPr>
          <w:rFonts w:hint="eastAsia" w:ascii="宋体" w:hAnsi="宋体" w:cs="Arial"/>
          <w:b/>
          <w:color w:val="auto"/>
          <w:sz w:val="22"/>
          <w:highlight w:val="none"/>
        </w:rPr>
        <w:t>第一条 承包内容</w:t>
      </w:r>
    </w:p>
    <w:p>
      <w:pPr>
        <w:spacing w:line="460" w:lineRule="exact"/>
        <w:ind w:firstLine="440" w:firstLineChars="200"/>
        <w:rPr>
          <w:rFonts w:ascii="宋体" w:hAnsi="宋体" w:cs="Arial"/>
          <w:color w:val="auto"/>
          <w:sz w:val="22"/>
          <w:highlight w:val="none"/>
        </w:rPr>
      </w:pPr>
      <w:r>
        <w:rPr>
          <w:rFonts w:hint="eastAsia" w:ascii="宋体" w:hAnsi="宋体" w:cs="Arial"/>
          <w:color w:val="auto"/>
          <w:sz w:val="22"/>
          <w:highlight w:val="none"/>
        </w:rPr>
        <w:t xml:space="preserve">_________内，共计_________平方米的道路清扫保洁业务对外公开招标。其中：（1）人工清扫保洁的路段有______条路，计________平方米；（2）绿化带保洁面积计__________平方米；(3)其他特殊区域面积__________平方米。 </w:t>
      </w:r>
    </w:p>
    <w:p>
      <w:pPr>
        <w:spacing w:line="460" w:lineRule="exact"/>
        <w:ind w:firstLine="440" w:firstLineChars="200"/>
        <w:rPr>
          <w:rFonts w:ascii="宋体" w:hAnsi="宋体" w:cs="Arial"/>
          <w:color w:val="auto"/>
          <w:sz w:val="22"/>
          <w:highlight w:val="none"/>
        </w:rPr>
      </w:pPr>
      <w:r>
        <w:rPr>
          <w:rFonts w:hint="eastAsia" w:ascii="宋体" w:hAnsi="宋体" w:cs="Arial"/>
          <w:color w:val="auto"/>
          <w:sz w:val="22"/>
          <w:highlight w:val="none"/>
        </w:rPr>
        <w:t>河道共</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米；</w:t>
      </w:r>
    </w:p>
    <w:p>
      <w:pPr>
        <w:spacing w:line="460" w:lineRule="exact"/>
        <w:rPr>
          <w:rFonts w:ascii="宋体" w:hAnsi="宋体" w:cs="Arial"/>
          <w:color w:val="auto"/>
          <w:sz w:val="22"/>
          <w:highlight w:val="none"/>
        </w:rPr>
      </w:pPr>
      <w:r>
        <w:rPr>
          <w:rFonts w:hint="eastAsia" w:ascii="宋体" w:hAnsi="宋体" w:cs="Arial"/>
          <w:color w:val="auto"/>
          <w:sz w:val="22"/>
          <w:highlight w:val="none"/>
        </w:rPr>
        <w:t>第二条 在合同期内，因市政建设需要征用、临时占用需要调整乙方清扫保洁面积时，乙方须无条件服从。</w:t>
      </w:r>
    </w:p>
    <w:p>
      <w:pPr>
        <w:spacing w:line="460" w:lineRule="exact"/>
        <w:rPr>
          <w:rFonts w:ascii="宋体" w:hAnsi="宋体" w:cs="Arial"/>
          <w:b/>
          <w:color w:val="auto"/>
          <w:sz w:val="22"/>
          <w:highlight w:val="none"/>
        </w:rPr>
      </w:pPr>
      <w:r>
        <w:rPr>
          <w:rFonts w:hint="eastAsia" w:ascii="宋体" w:hAnsi="宋体" w:cs="Arial"/>
          <w:b/>
          <w:color w:val="auto"/>
          <w:sz w:val="22"/>
          <w:highlight w:val="none"/>
        </w:rPr>
        <w:t>第三条 承包期限</w:t>
      </w:r>
    </w:p>
    <w:p>
      <w:pPr>
        <w:spacing w:line="460" w:lineRule="exact"/>
        <w:ind w:firstLine="645"/>
        <w:rPr>
          <w:rFonts w:ascii="宋体" w:hAnsi="宋体" w:cs="Arial"/>
          <w:color w:val="auto"/>
          <w:sz w:val="22"/>
          <w:highlight w:val="none"/>
        </w:rPr>
      </w:pPr>
      <w:r>
        <w:rPr>
          <w:rFonts w:hint="eastAsia" w:ascii="宋体" w:hAnsi="宋体" w:cs="Arial"/>
          <w:color w:val="auto"/>
          <w:sz w:val="22"/>
          <w:highlight w:val="none"/>
        </w:rPr>
        <w:t>本合同承包期限：从清扫保洁业务交接完毕之日起至      年  月  日止。</w:t>
      </w:r>
    </w:p>
    <w:p>
      <w:pPr>
        <w:spacing w:line="460" w:lineRule="exact"/>
        <w:rPr>
          <w:rFonts w:ascii="宋体" w:hAnsi="宋体" w:cs="Arial"/>
          <w:b/>
          <w:color w:val="auto"/>
          <w:sz w:val="22"/>
          <w:highlight w:val="none"/>
        </w:rPr>
      </w:pPr>
      <w:r>
        <w:rPr>
          <w:rFonts w:hint="eastAsia" w:ascii="宋体" w:hAnsi="宋体" w:cs="Arial"/>
          <w:b/>
          <w:color w:val="auto"/>
          <w:sz w:val="22"/>
          <w:highlight w:val="none"/>
        </w:rPr>
        <w:t>第四条  承包经费</w:t>
      </w:r>
    </w:p>
    <w:p>
      <w:pPr>
        <w:spacing w:line="460" w:lineRule="exact"/>
        <w:ind w:left="660" w:hanging="660" w:hangingChars="300"/>
        <w:rPr>
          <w:rFonts w:ascii="宋体" w:hAnsi="宋体" w:cs="Arial"/>
          <w:color w:val="auto"/>
          <w:sz w:val="22"/>
          <w:highlight w:val="none"/>
        </w:rPr>
      </w:pPr>
      <w:r>
        <w:rPr>
          <w:rFonts w:hint="eastAsia" w:ascii="宋体" w:hAnsi="宋体" w:cs="Arial"/>
          <w:color w:val="auto"/>
          <w:sz w:val="22"/>
          <w:highlight w:val="none"/>
        </w:rPr>
        <w:t>（一）承包经费：</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元（人民币大写：</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佰</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拾</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万</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仟</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佰</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拾</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元</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角</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分），其中道路清扫保洁服务承包经费：</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元（人民币大写：</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佰</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拾</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万</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仟</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佰</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拾</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元</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角</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分）；河道保洁服务承包经费：</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元（人民币大写：</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佰</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拾</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万</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仟</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佰</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拾</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元</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角</w:t>
      </w:r>
      <w:r>
        <w:rPr>
          <w:rFonts w:hint="eastAsia" w:ascii="宋体" w:hAnsi="宋体" w:cs="Arial"/>
          <w:color w:val="auto"/>
          <w:sz w:val="22"/>
          <w:highlight w:val="none"/>
          <w:u w:val="single"/>
        </w:rPr>
        <w:t xml:space="preserve">  </w:t>
      </w:r>
      <w:r>
        <w:rPr>
          <w:rFonts w:hint="eastAsia" w:ascii="宋体" w:hAnsi="宋体" w:cs="Arial"/>
          <w:color w:val="auto"/>
          <w:sz w:val="22"/>
          <w:highlight w:val="none"/>
        </w:rPr>
        <w:t>分）。</w:t>
      </w:r>
    </w:p>
    <w:p>
      <w:pPr>
        <w:spacing w:line="460" w:lineRule="exact"/>
        <w:ind w:left="660" w:hanging="660" w:hangingChars="300"/>
        <w:rPr>
          <w:rFonts w:hint="eastAsia" w:ascii="宋体" w:hAnsi="宋体" w:cs="Arial"/>
          <w:color w:val="auto"/>
          <w:sz w:val="22"/>
          <w:highlight w:val="none"/>
        </w:rPr>
      </w:pPr>
      <w:r>
        <w:rPr>
          <w:rFonts w:hint="eastAsia" w:ascii="宋体" w:hAnsi="宋体" w:cs="Arial"/>
          <w:color w:val="auto"/>
          <w:sz w:val="22"/>
          <w:highlight w:val="none"/>
        </w:rPr>
        <w:t>（二）承包经费由人工费</w:t>
      </w:r>
      <w:r>
        <w:rPr>
          <w:rFonts w:hint="eastAsia" w:ascii="宋体" w:hAnsi="宋体" w:cs="Arial"/>
          <w:color w:val="auto"/>
          <w:sz w:val="22"/>
          <w:highlight w:val="none"/>
          <w:lang w:eastAsia="zh-CN"/>
        </w:rPr>
        <w:t>（</w:t>
      </w:r>
      <w:r>
        <w:rPr>
          <w:rFonts w:hint="eastAsia" w:ascii="宋体" w:hAnsi="宋体" w:cs="Arial"/>
          <w:color w:val="auto"/>
          <w:sz w:val="22"/>
          <w:highlight w:val="none"/>
        </w:rPr>
        <w:t>包括在承包区域内提供清扫、保洁服务所需的人工费（包括环卫工人工资、奖金、房补、劳保福利、社保、工伤费、教育培训费、体检费、暂住费及处理一切伤亡事故等费用）及车辆</w:t>
      </w:r>
      <w:r>
        <w:rPr>
          <w:rFonts w:hint="eastAsia" w:ascii="宋体" w:hAnsi="宋体" w:cs="Arial"/>
          <w:color w:val="auto"/>
          <w:sz w:val="22"/>
          <w:highlight w:val="none"/>
          <w:lang w:eastAsia="zh-CN"/>
        </w:rPr>
        <w:t>（</w:t>
      </w:r>
      <w:r>
        <w:rPr>
          <w:rFonts w:hint="eastAsia" w:ascii="宋体" w:hAnsi="宋体" w:cs="Arial"/>
          <w:b/>
          <w:bCs/>
          <w:color w:val="auto"/>
          <w:sz w:val="22"/>
          <w:highlight w:val="none"/>
          <w:lang w:val="en-US" w:eastAsia="zh-CN"/>
        </w:rPr>
        <w:t>含</w:t>
      </w:r>
      <w:r>
        <w:rPr>
          <w:rFonts w:hint="eastAsia" w:ascii="宋体" w:hAnsi="宋体" w:cs="Arial"/>
          <w:b/>
          <w:bCs/>
          <w:color w:val="auto"/>
          <w:sz w:val="22"/>
          <w:highlight w:val="none"/>
        </w:rPr>
        <w:t>六辆清运车（甲供）</w:t>
      </w:r>
      <w:r>
        <w:rPr>
          <w:rFonts w:hint="eastAsia" w:ascii="宋体" w:hAnsi="宋体" w:cs="Arial"/>
          <w:color w:val="auto"/>
          <w:sz w:val="22"/>
          <w:highlight w:val="none"/>
          <w:lang w:eastAsia="zh-CN"/>
        </w:rPr>
        <w:t>）</w:t>
      </w:r>
      <w:r>
        <w:rPr>
          <w:rFonts w:hint="eastAsia" w:ascii="宋体" w:hAnsi="宋体" w:cs="Arial"/>
          <w:color w:val="auto"/>
          <w:sz w:val="22"/>
          <w:highlight w:val="none"/>
        </w:rPr>
        <w:t>、保洁船只及机械等全部费用、水电费、工具材料费、垃圾清运费、环卫作业GPS管理相关费用、水电费、工具材料费、垃圾清运费安全文明生产装备费（包括环卫工人四季工作服</w:t>
      </w:r>
      <w:r>
        <w:rPr>
          <w:rFonts w:hint="eastAsia" w:ascii="宋体" w:hAnsi="宋体" w:cs="Arial"/>
          <w:color w:val="auto"/>
          <w:sz w:val="22"/>
          <w:highlight w:val="none"/>
          <w:lang w:eastAsia="zh-CN"/>
        </w:rPr>
        <w:t>（</w:t>
      </w:r>
      <w:r>
        <w:rPr>
          <w:rFonts w:hint="eastAsia" w:ascii="宋体" w:hAnsi="宋体" w:cs="Arial"/>
          <w:color w:val="auto"/>
          <w:sz w:val="22"/>
          <w:highlight w:val="none"/>
        </w:rPr>
        <w:t>含帽、衣、裤、鞋、雨衣、雨裤、雨鞋</w:t>
      </w:r>
      <w:r>
        <w:rPr>
          <w:rFonts w:hint="eastAsia" w:ascii="宋体" w:hAnsi="宋体" w:cs="Arial"/>
          <w:color w:val="auto"/>
          <w:sz w:val="22"/>
          <w:highlight w:val="none"/>
          <w:lang w:eastAsia="zh-CN"/>
        </w:rPr>
        <w:t>）</w:t>
      </w:r>
      <w:r>
        <w:rPr>
          <w:rFonts w:hint="eastAsia" w:ascii="宋体" w:hAnsi="宋体" w:cs="Arial"/>
          <w:color w:val="auto"/>
          <w:sz w:val="22"/>
          <w:highlight w:val="none"/>
        </w:rPr>
        <w:t>并带有警示反光标记等）、项目管理费、企业应缴税金和应得利润、突发应急（成立不少于10人的应急小队）及上级布置的专项任务、物价因素、</w:t>
      </w:r>
      <w:r>
        <w:rPr>
          <w:rFonts w:hint="eastAsia" w:ascii="宋体" w:hAnsi="宋体" w:eastAsia="宋体" w:cs="宋体"/>
          <w:color w:val="auto"/>
          <w:sz w:val="22"/>
          <w:highlight w:val="none"/>
        </w:rPr>
        <w:t>垃圾中转站相关费用</w:t>
      </w:r>
      <w:r>
        <w:rPr>
          <w:rFonts w:hint="eastAsia" w:ascii="宋体" w:hAnsi="宋体" w:cs="宋体"/>
          <w:color w:val="auto"/>
          <w:sz w:val="22"/>
          <w:highlight w:val="none"/>
          <w:lang w:eastAsia="zh-CN"/>
        </w:rPr>
        <w:t>（设备液压油</w:t>
      </w:r>
      <w:r>
        <w:rPr>
          <w:rFonts w:hint="eastAsia" w:ascii="宋体" w:hAnsi="宋体" w:cs="宋体"/>
          <w:color w:val="auto"/>
          <w:sz w:val="22"/>
          <w:highlight w:val="none"/>
          <w:lang w:val="en-US" w:eastAsia="zh-CN"/>
        </w:rPr>
        <w:t>费用、设备修理、</w:t>
      </w:r>
      <w:r>
        <w:rPr>
          <w:rFonts w:hint="eastAsia" w:ascii="宋体" w:hAnsi="宋体" w:eastAsia="宋体" w:cs="宋体"/>
          <w:color w:val="auto"/>
          <w:kern w:val="0"/>
          <w:sz w:val="22"/>
          <w:szCs w:val="22"/>
          <w:highlight w:val="none"/>
        </w:rPr>
        <w:t>水电费</w:t>
      </w:r>
      <w:r>
        <w:rPr>
          <w:rFonts w:hint="eastAsia" w:ascii="宋体" w:hAnsi="宋体" w:cs="宋体"/>
          <w:color w:val="auto"/>
          <w:sz w:val="22"/>
          <w:highlight w:val="none"/>
          <w:lang w:eastAsia="zh-CN"/>
        </w:rPr>
        <w:t>）、</w:t>
      </w:r>
      <w:r>
        <w:rPr>
          <w:rFonts w:hint="eastAsia" w:ascii="宋体" w:hAnsi="宋体" w:cs="Arial"/>
          <w:b/>
          <w:bCs/>
          <w:color w:val="auto"/>
          <w:sz w:val="22"/>
          <w:highlight w:val="none"/>
        </w:rPr>
        <w:t>招标代理服务费</w:t>
      </w:r>
      <w:r>
        <w:rPr>
          <w:rFonts w:hint="eastAsia" w:ascii="宋体" w:hAnsi="宋体" w:cs="Arial"/>
          <w:color w:val="auto"/>
          <w:sz w:val="22"/>
          <w:highlight w:val="none"/>
        </w:rPr>
        <w:t>等完成合同所需的一切本身和不可或缺的所有工作开支、政策性文件规定及合同包含的所有风险、责任等各项全部费用并承担一切风险责任。</w:t>
      </w:r>
    </w:p>
    <w:p>
      <w:pPr>
        <w:spacing w:line="460" w:lineRule="exact"/>
        <w:ind w:left="660" w:hanging="660" w:hangingChars="300"/>
        <w:rPr>
          <w:rFonts w:ascii="宋体" w:hAnsi="宋体" w:cs="Arial"/>
          <w:color w:val="auto"/>
          <w:sz w:val="22"/>
          <w:highlight w:val="none"/>
        </w:rPr>
      </w:pPr>
      <w:r>
        <w:rPr>
          <w:rFonts w:hint="eastAsia" w:ascii="宋体" w:hAnsi="宋体" w:cs="Arial"/>
          <w:color w:val="auto"/>
          <w:sz w:val="22"/>
          <w:highlight w:val="none"/>
        </w:rPr>
        <w:t>（三）承包经费按项目进度、检查验收结果和资金到账情况分次核拨，由乙方按甲方业务要求支配使用。</w:t>
      </w:r>
    </w:p>
    <w:p>
      <w:pPr>
        <w:spacing w:line="460" w:lineRule="exact"/>
        <w:rPr>
          <w:rFonts w:ascii="宋体" w:hAnsi="宋体" w:cs="Arial"/>
          <w:color w:val="auto"/>
          <w:sz w:val="22"/>
          <w:highlight w:val="none"/>
        </w:rPr>
      </w:pPr>
      <w:r>
        <w:rPr>
          <w:rFonts w:hint="eastAsia" w:ascii="宋体" w:hAnsi="宋体" w:cs="Arial"/>
          <w:color w:val="auto"/>
          <w:sz w:val="22"/>
          <w:highlight w:val="none"/>
        </w:rPr>
        <w:t>（四）承包经费最终结算价依据中标通知书、投标文件、验收考核等要求计算。</w:t>
      </w:r>
    </w:p>
    <w:p>
      <w:pPr>
        <w:spacing w:line="440" w:lineRule="exact"/>
        <w:rPr>
          <w:rFonts w:ascii="宋体" w:hAnsi="宋体" w:cs="Arial"/>
          <w:b/>
          <w:color w:val="auto"/>
          <w:sz w:val="22"/>
          <w:highlight w:val="none"/>
        </w:rPr>
      </w:pPr>
      <w:r>
        <w:rPr>
          <w:rFonts w:hint="eastAsia" w:ascii="宋体" w:hAnsi="宋体" w:cs="Arial"/>
          <w:b/>
          <w:color w:val="auto"/>
          <w:sz w:val="22"/>
          <w:highlight w:val="none"/>
        </w:rPr>
        <w:t>（五）付款方式</w:t>
      </w:r>
    </w:p>
    <w:p>
      <w:pPr>
        <w:spacing w:line="440" w:lineRule="exact"/>
        <w:ind w:firstLine="442" w:firstLineChars="200"/>
        <w:rPr>
          <w:rFonts w:ascii="宋体" w:hAnsi="宋体" w:cs="Arial"/>
          <w:b/>
          <w:color w:val="auto"/>
          <w:sz w:val="22"/>
          <w:highlight w:val="none"/>
        </w:rPr>
      </w:pPr>
      <w:r>
        <w:rPr>
          <w:rFonts w:hint="eastAsia" w:ascii="宋体" w:hAnsi="宋体" w:cs="Arial"/>
          <w:b/>
          <w:color w:val="auto"/>
          <w:sz w:val="22"/>
          <w:highlight w:val="none"/>
        </w:rPr>
        <w:t>1、灵昆街道道路及河道保洁付款方式为先做后结,每月支付总金额=质量结算金额。</w:t>
      </w:r>
    </w:p>
    <w:p>
      <w:pPr>
        <w:spacing w:line="440" w:lineRule="exact"/>
        <w:ind w:firstLine="442" w:firstLineChars="200"/>
        <w:rPr>
          <w:rFonts w:ascii="宋体" w:hAnsi="宋体" w:cs="Arial"/>
          <w:b/>
          <w:color w:val="auto"/>
          <w:sz w:val="22"/>
          <w:highlight w:val="none"/>
        </w:rPr>
      </w:pPr>
      <w:r>
        <w:rPr>
          <w:rFonts w:hint="eastAsia" w:ascii="宋体" w:hAnsi="宋体" w:cs="Arial"/>
          <w:b/>
          <w:color w:val="auto"/>
          <w:sz w:val="22"/>
          <w:highlight w:val="none"/>
        </w:rPr>
        <w:t>1）质量结算金额基数=</w:t>
      </w:r>
      <w:r>
        <w:rPr>
          <w:rFonts w:hint="eastAsia" w:ascii="宋体" w:hAnsi="宋体" w:cs="Arial"/>
          <w:b/>
          <w:color w:val="auto"/>
          <w:sz w:val="22"/>
          <w:highlight w:val="none"/>
          <w:lang w:eastAsia="zh-CN"/>
        </w:rPr>
        <w:t>（</w:t>
      </w:r>
      <w:r>
        <w:rPr>
          <w:rFonts w:hint="eastAsia" w:ascii="宋体" w:hAnsi="宋体" w:cs="Arial"/>
          <w:b/>
          <w:color w:val="auto"/>
          <w:sz w:val="22"/>
          <w:highlight w:val="none"/>
        </w:rPr>
        <w:t>投标人投标总价</w:t>
      </w:r>
      <w:r>
        <w:rPr>
          <w:rFonts w:hint="eastAsia" w:ascii="宋体" w:hAnsi="宋体" w:cs="Arial"/>
          <w:b/>
          <w:color w:val="auto"/>
          <w:sz w:val="22"/>
          <w:highlight w:val="none"/>
          <w:lang w:val="en-US" w:eastAsia="zh-CN"/>
        </w:rPr>
        <w:t>-350000</w:t>
      </w:r>
      <w:r>
        <w:rPr>
          <w:rFonts w:hint="eastAsia" w:ascii="宋体" w:hAnsi="宋体" w:cs="Arial"/>
          <w:b/>
          <w:color w:val="auto"/>
          <w:sz w:val="22"/>
          <w:highlight w:val="none"/>
          <w:lang w:eastAsia="zh-CN"/>
        </w:rPr>
        <w:t>）</w:t>
      </w:r>
      <w:r>
        <w:rPr>
          <w:rFonts w:hint="eastAsia" w:ascii="宋体" w:hAnsi="宋体" w:cs="Arial"/>
          <w:b/>
          <w:color w:val="auto"/>
          <w:sz w:val="22"/>
          <w:highlight w:val="none"/>
        </w:rPr>
        <w:t>/</w:t>
      </w:r>
      <w:r>
        <w:rPr>
          <w:rFonts w:hint="eastAsia" w:ascii="宋体" w:hAnsi="宋体" w:cs="Arial"/>
          <w:b/>
          <w:color w:val="auto"/>
          <w:sz w:val="22"/>
          <w:highlight w:val="none"/>
          <w:lang w:val="en-US" w:eastAsia="zh-CN"/>
        </w:rPr>
        <w:t>12</w:t>
      </w:r>
      <w:r>
        <w:rPr>
          <w:rFonts w:hint="eastAsia" w:ascii="宋体" w:hAnsi="宋体" w:cs="Arial"/>
          <w:b/>
          <w:color w:val="auto"/>
          <w:sz w:val="22"/>
          <w:highlight w:val="none"/>
          <w:lang w:eastAsia="zh-CN"/>
        </w:rPr>
        <w:t>，</w:t>
      </w:r>
      <w:r>
        <w:rPr>
          <w:rFonts w:hint="eastAsia" w:ascii="宋体" w:hAnsi="宋体" w:cs="Arial"/>
          <w:b/>
          <w:color w:val="auto"/>
          <w:sz w:val="22"/>
          <w:highlight w:val="none"/>
          <w:lang w:val="en-US" w:eastAsia="zh-CN"/>
        </w:rPr>
        <w:t>其中350000元为1年甲供的六辆清运车相关费用（包括但不限于维修费、年审费、油费等一切相关费用），实行实报实销，每年350000元封顶（如年费用超过350000元，当年按350000元支付）</w:t>
      </w:r>
      <w:r>
        <w:rPr>
          <w:rFonts w:hint="eastAsia" w:ascii="宋体" w:hAnsi="宋体" w:cs="Arial"/>
          <w:b/>
          <w:color w:val="auto"/>
          <w:sz w:val="22"/>
          <w:highlight w:val="none"/>
        </w:rPr>
        <w:t>。</w:t>
      </w:r>
    </w:p>
    <w:p>
      <w:pPr>
        <w:spacing w:line="440" w:lineRule="exact"/>
        <w:ind w:firstLine="442" w:firstLineChars="200"/>
        <w:rPr>
          <w:rFonts w:ascii="宋体" w:hAnsi="宋体" w:cs="Arial"/>
          <w:b/>
          <w:color w:val="auto"/>
          <w:sz w:val="22"/>
          <w:highlight w:val="none"/>
        </w:rPr>
      </w:pPr>
      <w:r>
        <w:rPr>
          <w:rFonts w:hint="eastAsia" w:ascii="宋体" w:hAnsi="宋体" w:cs="Arial"/>
          <w:b/>
          <w:color w:val="auto"/>
          <w:sz w:val="22"/>
          <w:highlight w:val="none"/>
        </w:rPr>
        <w:t>2）质量结算金额=质量结算金额基数±</w:t>
      </w:r>
      <w:r>
        <w:rPr>
          <w:rFonts w:hint="eastAsia" w:ascii="宋体" w:hAnsi="宋体" w:cs="Arial"/>
          <w:b/>
          <w:color w:val="auto"/>
          <w:sz w:val="22"/>
          <w:highlight w:val="none"/>
          <w:lang w:eastAsia="zh-CN"/>
        </w:rPr>
        <w:t>考核金</w:t>
      </w:r>
      <w:r>
        <w:rPr>
          <w:rFonts w:hint="eastAsia" w:ascii="宋体" w:hAnsi="宋体" w:cs="Arial"/>
          <w:b/>
          <w:color w:val="auto"/>
          <w:sz w:val="22"/>
          <w:highlight w:val="none"/>
        </w:rPr>
        <w:t>。</w:t>
      </w:r>
    </w:p>
    <w:p>
      <w:pPr>
        <w:spacing w:line="440" w:lineRule="exact"/>
        <w:ind w:firstLine="442" w:firstLineChars="200"/>
        <w:rPr>
          <w:rFonts w:ascii="宋体" w:hAnsi="宋体" w:cs="Arial"/>
          <w:b/>
          <w:color w:val="auto"/>
          <w:sz w:val="22"/>
          <w:highlight w:val="none"/>
        </w:rPr>
      </w:pPr>
      <w:r>
        <w:rPr>
          <w:rFonts w:hint="eastAsia" w:ascii="宋体" w:hAnsi="宋体" w:cs="Arial"/>
          <w:b/>
          <w:color w:val="auto"/>
          <w:sz w:val="22"/>
          <w:highlight w:val="none"/>
        </w:rPr>
        <w:t>由采购单位根据</w:t>
      </w:r>
      <w:r>
        <w:rPr>
          <w:rFonts w:hint="eastAsia" w:ascii="宋体" w:hAnsi="宋体" w:cs="Arial"/>
          <w:b/>
          <w:color w:val="auto"/>
          <w:sz w:val="22"/>
          <w:highlight w:val="none"/>
          <w:lang w:val="en-US" w:eastAsia="zh-CN"/>
        </w:rPr>
        <w:t>前一个</w:t>
      </w:r>
      <w:r>
        <w:rPr>
          <w:rFonts w:hint="eastAsia" w:ascii="宋体" w:hAnsi="宋体" w:cs="Arial"/>
          <w:b/>
          <w:color w:val="auto"/>
          <w:sz w:val="22"/>
          <w:highlight w:val="none"/>
        </w:rPr>
        <w:t>月的考核结果支付质量结算金额</w:t>
      </w:r>
      <w:r>
        <w:rPr>
          <w:rFonts w:hint="eastAsia" w:ascii="宋体" w:hAnsi="宋体" w:cs="Arial"/>
          <w:b/>
          <w:color w:val="auto"/>
          <w:sz w:val="22"/>
          <w:highlight w:val="none"/>
          <w:lang w:eastAsia="zh-CN"/>
        </w:rPr>
        <w:t>，</w:t>
      </w:r>
      <w:r>
        <w:rPr>
          <w:rFonts w:hint="eastAsia" w:ascii="宋体" w:hAnsi="宋体" w:cs="Arial"/>
          <w:b/>
          <w:color w:val="auto"/>
          <w:sz w:val="22"/>
          <w:highlight w:val="none"/>
          <w:lang w:val="en-US" w:eastAsia="zh-CN"/>
        </w:rPr>
        <w:t>考核金按月扣除，</w:t>
      </w:r>
      <w:r>
        <w:rPr>
          <w:rFonts w:hint="eastAsia" w:ascii="宋体" w:hAnsi="宋体" w:cs="Arial"/>
          <w:b/>
          <w:color w:val="auto"/>
          <w:sz w:val="22"/>
          <w:highlight w:val="none"/>
        </w:rPr>
        <w:t>中标单位</w:t>
      </w:r>
      <w:r>
        <w:rPr>
          <w:rFonts w:hint="eastAsia" w:ascii="宋体" w:hAnsi="宋体" w:cs="Arial"/>
          <w:b/>
          <w:color w:val="auto"/>
          <w:sz w:val="22"/>
          <w:highlight w:val="none"/>
          <w:lang w:val="en-US" w:eastAsia="zh-CN"/>
        </w:rPr>
        <w:t>需</w:t>
      </w:r>
      <w:r>
        <w:rPr>
          <w:rFonts w:hint="eastAsia" w:ascii="宋体" w:hAnsi="宋体" w:cs="Arial"/>
          <w:b/>
          <w:color w:val="auto"/>
          <w:sz w:val="22"/>
          <w:highlight w:val="none"/>
        </w:rPr>
        <w:t>出具有效发票</w:t>
      </w:r>
      <w:r>
        <w:rPr>
          <w:rFonts w:hint="eastAsia" w:ascii="宋体" w:hAnsi="宋体" w:cs="Arial"/>
          <w:b/>
          <w:color w:val="auto"/>
          <w:sz w:val="22"/>
          <w:highlight w:val="none"/>
          <w:lang w:eastAsia="zh-CN"/>
        </w:rPr>
        <w:t>（</w:t>
      </w:r>
      <w:r>
        <w:rPr>
          <w:rFonts w:hint="eastAsia" w:ascii="宋体" w:hAnsi="宋体" w:cs="Arial"/>
          <w:b/>
          <w:color w:val="auto"/>
          <w:sz w:val="22"/>
          <w:highlight w:val="none"/>
        </w:rPr>
        <w:t>发票需附</w:t>
      </w:r>
      <w:r>
        <w:rPr>
          <w:rFonts w:hint="eastAsia" w:ascii="宋体" w:hAnsi="宋体" w:cs="Arial"/>
          <w:b/>
          <w:color w:val="auto"/>
          <w:sz w:val="22"/>
          <w:highlight w:val="none"/>
          <w:lang w:val="en-US" w:eastAsia="zh-CN"/>
        </w:rPr>
        <w:t>上</w:t>
      </w:r>
      <w:r>
        <w:rPr>
          <w:rFonts w:hint="eastAsia" w:ascii="宋体" w:hAnsi="宋体" w:cs="Arial"/>
          <w:b/>
          <w:color w:val="auto"/>
          <w:sz w:val="22"/>
          <w:highlight w:val="none"/>
        </w:rPr>
        <w:t>月费用明细，</w:t>
      </w:r>
      <w:r>
        <w:rPr>
          <w:rFonts w:hint="eastAsia" w:ascii="宋体" w:hAnsi="宋体" w:cs="Arial"/>
          <w:b/>
          <w:color w:val="auto"/>
          <w:sz w:val="22"/>
          <w:highlight w:val="none"/>
          <w:lang w:val="en-US" w:eastAsia="zh-CN"/>
        </w:rPr>
        <w:t>包括但不限于</w:t>
      </w:r>
      <w:r>
        <w:rPr>
          <w:rFonts w:hint="eastAsia" w:ascii="宋体" w:hAnsi="宋体" w:cs="Arial"/>
          <w:b/>
          <w:color w:val="auto"/>
          <w:sz w:val="22"/>
          <w:highlight w:val="none"/>
        </w:rPr>
        <w:t>社会保险，意外工伤险</w:t>
      </w:r>
      <w:r>
        <w:rPr>
          <w:rFonts w:hint="eastAsia" w:ascii="宋体" w:hAnsi="宋体" w:cs="Arial"/>
          <w:b/>
          <w:color w:val="auto"/>
          <w:sz w:val="22"/>
          <w:highlight w:val="none"/>
          <w:lang w:val="en-US" w:eastAsia="zh-CN"/>
        </w:rPr>
        <w:t>等相关费用</w:t>
      </w:r>
      <w:r>
        <w:rPr>
          <w:rFonts w:hint="eastAsia" w:ascii="宋体" w:hAnsi="宋体" w:cs="Arial"/>
          <w:b/>
          <w:color w:val="auto"/>
          <w:sz w:val="22"/>
          <w:highlight w:val="none"/>
        </w:rPr>
        <w:t>，体检费以实际金额为准</w:t>
      </w:r>
      <w:r>
        <w:rPr>
          <w:rFonts w:hint="eastAsia" w:ascii="宋体" w:hAnsi="宋体" w:cs="Arial"/>
          <w:b/>
          <w:color w:val="auto"/>
          <w:sz w:val="22"/>
          <w:highlight w:val="none"/>
          <w:lang w:eastAsia="zh-CN"/>
        </w:rPr>
        <w:t>），</w:t>
      </w:r>
      <w:r>
        <w:rPr>
          <w:rFonts w:hint="eastAsia" w:ascii="宋体" w:hAnsi="宋体" w:cs="Arial"/>
          <w:b/>
          <w:color w:val="auto"/>
          <w:sz w:val="22"/>
          <w:highlight w:val="none"/>
          <w:lang w:val="en-US" w:eastAsia="zh-CN"/>
        </w:rPr>
        <w:t>并经采购人同意后方可支付</w:t>
      </w:r>
      <w:r>
        <w:rPr>
          <w:rFonts w:hint="eastAsia" w:ascii="宋体" w:hAnsi="宋体" w:cs="Arial"/>
          <w:b/>
          <w:color w:val="auto"/>
          <w:sz w:val="22"/>
          <w:highlight w:val="none"/>
        </w:rPr>
        <w:t>。</w:t>
      </w:r>
    </w:p>
    <w:p>
      <w:pPr>
        <w:spacing w:line="440" w:lineRule="exact"/>
        <w:ind w:firstLine="442" w:firstLineChars="200"/>
        <w:rPr>
          <w:rFonts w:hint="eastAsia" w:ascii="宋体" w:hAnsi="宋体" w:cs="Arial"/>
          <w:b/>
          <w:color w:val="auto"/>
          <w:sz w:val="22"/>
          <w:highlight w:val="none"/>
        </w:rPr>
      </w:pPr>
      <w:r>
        <w:rPr>
          <w:rFonts w:hint="eastAsia" w:ascii="宋体" w:hAnsi="宋体" w:cs="Arial"/>
          <w:b/>
          <w:color w:val="auto"/>
          <w:sz w:val="22"/>
          <w:highlight w:val="none"/>
          <w:lang w:val="en-US" w:eastAsia="zh-CN"/>
        </w:rPr>
        <w:t>2、</w:t>
      </w:r>
      <w:r>
        <w:rPr>
          <w:rFonts w:hint="eastAsia" w:ascii="宋体" w:hAnsi="宋体" w:cs="Arial"/>
          <w:b/>
          <w:color w:val="auto"/>
          <w:sz w:val="22"/>
          <w:highlight w:val="none"/>
        </w:rPr>
        <w:t>本项目要求中标单位设立项目独立账户，承包经费将打入该账户，合同执行过程中的各项支出均通过该账户。合同期满后30天内，提供由第三方（由中标人自行委托具有审计资格的企业，该企业需经甲方认可，有关费用均已包含在投标报价中）出具的针对该账户的财务审计报告，审计单位将对照中标单位投标报价明细表进行详细审计。审计报告的内容也将作为履约保证金退还（或扣除）的依据。</w:t>
      </w:r>
    </w:p>
    <w:p>
      <w:pPr>
        <w:numPr>
          <w:ilvl w:val="0"/>
          <w:numId w:val="0"/>
        </w:numPr>
        <w:spacing w:line="440" w:lineRule="exact"/>
        <w:ind w:left="0"/>
        <w:rPr>
          <w:rFonts w:ascii="宋体" w:hAnsi="宋体" w:cs="Arial"/>
          <w:b/>
          <w:color w:val="auto"/>
          <w:sz w:val="22"/>
          <w:highlight w:val="none"/>
        </w:rPr>
      </w:pPr>
      <w:r>
        <w:rPr>
          <w:rFonts w:hint="eastAsia" w:ascii="宋体" w:hAnsi="宋体" w:cs="Arial"/>
          <w:b/>
          <w:color w:val="auto"/>
          <w:sz w:val="22"/>
          <w:highlight w:val="none"/>
        </w:rPr>
        <w:t>第五条  承包方式</w:t>
      </w:r>
    </w:p>
    <w:p>
      <w:pPr>
        <w:spacing w:line="460" w:lineRule="exact"/>
        <w:ind w:left="441" w:leftChars="210"/>
        <w:rPr>
          <w:rFonts w:ascii="宋体" w:hAnsi="宋体" w:cs="Arial"/>
          <w:color w:val="auto"/>
          <w:sz w:val="22"/>
          <w:highlight w:val="none"/>
        </w:rPr>
      </w:pPr>
      <w:r>
        <w:rPr>
          <w:rFonts w:hint="eastAsia" w:ascii="宋体" w:hAnsi="宋体" w:cs="Arial"/>
          <w:color w:val="auto"/>
          <w:sz w:val="22"/>
          <w:highlight w:val="none"/>
        </w:rPr>
        <w:t>采用全包干形式，即业务包干、经费包干方式。甲方将清扫保洁业务及相应的经费交给乙方，乙方按甲方的管理要求和标准组织清扫保洁工作，并接受甲方的指导、监督和检查验收。</w:t>
      </w:r>
    </w:p>
    <w:p>
      <w:pPr>
        <w:spacing w:line="460" w:lineRule="exact"/>
        <w:rPr>
          <w:rFonts w:ascii="宋体" w:hAnsi="宋体" w:cs="Arial"/>
          <w:b/>
          <w:color w:val="auto"/>
          <w:sz w:val="22"/>
          <w:highlight w:val="none"/>
        </w:rPr>
      </w:pPr>
      <w:r>
        <w:rPr>
          <w:rFonts w:hint="eastAsia" w:ascii="宋体" w:hAnsi="宋体" w:cs="Arial"/>
          <w:b/>
          <w:color w:val="auto"/>
          <w:sz w:val="22"/>
          <w:highlight w:val="none"/>
        </w:rPr>
        <w:t>第六条  工作要求和质量标准</w:t>
      </w:r>
    </w:p>
    <w:p>
      <w:pPr>
        <w:spacing w:line="460" w:lineRule="exact"/>
        <w:ind w:firstLine="440" w:firstLineChars="200"/>
        <w:rPr>
          <w:rFonts w:ascii="宋体" w:hAnsi="宋体" w:cs="Arial"/>
          <w:color w:val="auto"/>
          <w:sz w:val="22"/>
          <w:highlight w:val="none"/>
        </w:rPr>
      </w:pPr>
      <w:r>
        <w:rPr>
          <w:rFonts w:hint="eastAsia" w:ascii="宋体" w:hAnsi="宋体" w:cs="Arial"/>
          <w:color w:val="auto"/>
          <w:sz w:val="22"/>
          <w:highlight w:val="none"/>
        </w:rPr>
        <w:t>清扫保洁各项具体工作的质量标准和作业规范按甲方具体要求及《招标文件》中所规定的执行。</w:t>
      </w:r>
    </w:p>
    <w:p>
      <w:pPr>
        <w:spacing w:line="460" w:lineRule="exact"/>
        <w:rPr>
          <w:rFonts w:ascii="宋体" w:hAnsi="宋体" w:cs="Arial"/>
          <w:b/>
          <w:color w:val="auto"/>
          <w:sz w:val="22"/>
          <w:highlight w:val="none"/>
        </w:rPr>
      </w:pPr>
      <w:r>
        <w:rPr>
          <w:rFonts w:hint="eastAsia" w:ascii="宋体" w:hAnsi="宋体" w:cs="Arial"/>
          <w:b/>
          <w:color w:val="auto"/>
          <w:sz w:val="22"/>
          <w:highlight w:val="none"/>
        </w:rPr>
        <w:t>第七条  检查考评办法</w:t>
      </w:r>
    </w:p>
    <w:p>
      <w:pPr>
        <w:spacing w:line="460" w:lineRule="exact"/>
        <w:ind w:firstLine="440" w:firstLineChars="200"/>
        <w:rPr>
          <w:rFonts w:ascii="宋体" w:hAnsi="宋体" w:cs="Arial"/>
          <w:color w:val="auto"/>
          <w:sz w:val="22"/>
          <w:highlight w:val="none"/>
        </w:rPr>
      </w:pPr>
      <w:r>
        <w:rPr>
          <w:rFonts w:hint="eastAsia" w:ascii="宋体" w:hAnsi="宋体" w:cs="Arial"/>
          <w:color w:val="auto"/>
          <w:sz w:val="22"/>
          <w:highlight w:val="none"/>
        </w:rPr>
        <w:t>具体的检查验收方法、内容、程序等按《招标文件》执行。</w:t>
      </w:r>
    </w:p>
    <w:p>
      <w:pPr>
        <w:spacing w:line="460" w:lineRule="exact"/>
        <w:rPr>
          <w:rFonts w:ascii="宋体" w:hAnsi="宋体" w:cs="Arial"/>
          <w:b/>
          <w:color w:val="auto"/>
          <w:sz w:val="22"/>
          <w:highlight w:val="none"/>
        </w:rPr>
      </w:pPr>
      <w:r>
        <w:rPr>
          <w:rFonts w:hint="eastAsia" w:ascii="宋体" w:hAnsi="宋体" w:cs="Arial"/>
          <w:b/>
          <w:color w:val="auto"/>
          <w:sz w:val="22"/>
          <w:highlight w:val="none"/>
        </w:rPr>
        <w:t>第八条  履约保证金</w:t>
      </w:r>
    </w:p>
    <w:p>
      <w:pPr>
        <w:spacing w:line="460" w:lineRule="exact"/>
        <w:ind w:left="660" w:hanging="660" w:hangingChars="300"/>
        <w:rPr>
          <w:rFonts w:ascii="宋体" w:hAnsi="宋体" w:cs="Arial"/>
          <w:color w:val="auto"/>
          <w:sz w:val="22"/>
          <w:highlight w:val="none"/>
        </w:rPr>
      </w:pPr>
      <w:r>
        <w:rPr>
          <w:rFonts w:hint="eastAsia" w:ascii="宋体" w:hAnsi="宋体" w:cs="Arial"/>
          <w:color w:val="auto"/>
          <w:sz w:val="22"/>
          <w:highlight w:val="none"/>
        </w:rPr>
        <w:t>（一）合同签订后七个工作日内，乙方必须向甲方提交合同款</w:t>
      </w:r>
      <w:r>
        <w:rPr>
          <w:rFonts w:hint="eastAsia" w:ascii="宋体" w:hAnsi="宋体" w:cs="Arial"/>
          <w:color w:val="auto"/>
          <w:sz w:val="22"/>
          <w:highlight w:val="none"/>
          <w:lang w:eastAsia="zh-CN"/>
        </w:rPr>
        <w:t>1</w:t>
      </w:r>
      <w:r>
        <w:rPr>
          <w:rFonts w:hint="eastAsia" w:ascii="宋体" w:hAnsi="宋体" w:cs="Arial"/>
          <w:color w:val="auto"/>
          <w:sz w:val="22"/>
          <w:highlight w:val="none"/>
          <w:lang w:val="en-US" w:eastAsia="zh-CN"/>
        </w:rPr>
        <w:t>%</w:t>
      </w:r>
      <w:r>
        <w:rPr>
          <w:rFonts w:hint="eastAsia" w:ascii="宋体" w:hAnsi="宋体" w:cs="Arial"/>
          <w:color w:val="auto"/>
          <w:sz w:val="22"/>
          <w:highlight w:val="none"/>
        </w:rPr>
        <w:t>的合同履约保证金（无息），履约保证金以</w:t>
      </w:r>
      <w:r>
        <w:rPr>
          <w:rFonts w:hint="eastAsia" w:ascii="宋体" w:hAnsi="宋体"/>
          <w:color w:val="auto"/>
          <w:kern w:val="0"/>
          <w:sz w:val="22"/>
          <w:highlight w:val="none"/>
        </w:rPr>
        <w:t>支票、汇票、本票或者金融机构、担保机构出具的保函等非现金形式提交</w:t>
      </w:r>
      <w:r>
        <w:rPr>
          <w:rFonts w:hint="eastAsia" w:ascii="宋体" w:hAnsi="宋体" w:cs="Arial"/>
          <w:color w:val="auto"/>
          <w:sz w:val="22"/>
          <w:highlight w:val="none"/>
        </w:rPr>
        <w:t>；</w:t>
      </w:r>
    </w:p>
    <w:p>
      <w:pPr>
        <w:spacing w:line="460" w:lineRule="exact"/>
        <w:rPr>
          <w:rFonts w:ascii="宋体" w:hAnsi="宋体" w:cs="Arial"/>
          <w:color w:val="auto"/>
          <w:sz w:val="22"/>
          <w:highlight w:val="none"/>
        </w:rPr>
      </w:pPr>
      <w:r>
        <w:rPr>
          <w:rFonts w:hint="eastAsia" w:ascii="宋体" w:hAnsi="宋体" w:cs="Arial"/>
          <w:color w:val="auto"/>
          <w:sz w:val="22"/>
          <w:highlight w:val="none"/>
        </w:rPr>
        <w:t>（二）承包任务完成并验收移交甲方后十个工作日内，甲方无息退还乙方合同履约保证金；</w:t>
      </w:r>
    </w:p>
    <w:p>
      <w:pPr>
        <w:spacing w:line="460" w:lineRule="exact"/>
        <w:ind w:left="660" w:hanging="660" w:hangingChars="300"/>
        <w:rPr>
          <w:rFonts w:ascii="宋体" w:hAnsi="宋体" w:cs="Arial"/>
          <w:color w:val="auto"/>
          <w:sz w:val="22"/>
          <w:highlight w:val="none"/>
        </w:rPr>
      </w:pPr>
      <w:r>
        <w:rPr>
          <w:rFonts w:hint="eastAsia" w:ascii="宋体" w:hAnsi="宋体" w:cs="Arial"/>
          <w:color w:val="auto"/>
          <w:sz w:val="22"/>
          <w:highlight w:val="none"/>
        </w:rPr>
        <w:t>（三）乙方不能按期保质保量完成清扫保洁业务，除承担相关责任外，甲方可相应没收合同履约保证金。</w:t>
      </w:r>
    </w:p>
    <w:p>
      <w:pPr>
        <w:spacing w:line="460" w:lineRule="exact"/>
        <w:rPr>
          <w:rFonts w:ascii="宋体" w:hAnsi="宋体" w:cs="Arial"/>
          <w:b/>
          <w:color w:val="auto"/>
          <w:sz w:val="22"/>
          <w:highlight w:val="none"/>
        </w:rPr>
      </w:pPr>
      <w:r>
        <w:rPr>
          <w:rFonts w:hint="eastAsia" w:ascii="宋体" w:hAnsi="宋体" w:cs="Arial"/>
          <w:b/>
          <w:color w:val="auto"/>
          <w:sz w:val="22"/>
          <w:highlight w:val="none"/>
        </w:rPr>
        <w:t>第九条  考评办法</w:t>
      </w:r>
    </w:p>
    <w:p>
      <w:pPr>
        <w:spacing w:line="460" w:lineRule="exact"/>
        <w:ind w:firstLine="440" w:firstLineChars="200"/>
        <w:rPr>
          <w:rFonts w:ascii="宋体" w:hAnsi="宋体" w:cs="Arial"/>
          <w:color w:val="auto"/>
          <w:sz w:val="22"/>
          <w:highlight w:val="none"/>
        </w:rPr>
      </w:pPr>
      <w:r>
        <w:rPr>
          <w:rFonts w:hint="eastAsia" w:ascii="宋体" w:hAnsi="宋体" w:cs="Arial"/>
          <w:color w:val="auto"/>
          <w:sz w:val="22"/>
          <w:highlight w:val="none"/>
        </w:rPr>
        <w:t>乙方应严格按照甲方具体要求及《招标文件》的规定，对承包道路及河道进行清扫和保洁。同时，甲方按《</w:t>
      </w:r>
      <w:r>
        <w:rPr>
          <w:rFonts w:hint="eastAsia" w:ascii="宋体" w:hAnsi="宋体" w:cs="Arial"/>
          <w:color w:val="auto"/>
          <w:sz w:val="22"/>
          <w:highlight w:val="none"/>
          <w:lang w:eastAsia="zh-CN"/>
        </w:rPr>
        <w:t>灵昆街道道路及河道保洁项目质量考核评分细则</w:t>
      </w:r>
      <w:r>
        <w:rPr>
          <w:rFonts w:hint="eastAsia" w:ascii="宋体" w:hAnsi="宋体" w:cs="Arial"/>
          <w:color w:val="auto"/>
          <w:sz w:val="22"/>
          <w:highlight w:val="none"/>
        </w:rPr>
        <w:t>》的规定对乙方的清扫保洁质量进行检查考评。</w:t>
      </w:r>
    </w:p>
    <w:p>
      <w:pPr>
        <w:spacing w:line="460" w:lineRule="exact"/>
        <w:rPr>
          <w:rFonts w:ascii="宋体" w:hAnsi="宋体" w:cs="Arial"/>
          <w:b/>
          <w:color w:val="auto"/>
          <w:sz w:val="22"/>
          <w:highlight w:val="none"/>
        </w:rPr>
      </w:pPr>
      <w:r>
        <w:rPr>
          <w:rFonts w:hint="eastAsia" w:ascii="宋体" w:hAnsi="宋体" w:cs="Arial"/>
          <w:b/>
          <w:color w:val="auto"/>
          <w:sz w:val="22"/>
          <w:highlight w:val="none"/>
        </w:rPr>
        <w:t>第十条  权利和义务</w:t>
      </w:r>
    </w:p>
    <w:p>
      <w:pPr>
        <w:spacing w:line="460" w:lineRule="exact"/>
        <w:rPr>
          <w:rFonts w:ascii="宋体" w:hAnsi="宋体" w:cs="Arial"/>
          <w:color w:val="auto"/>
          <w:sz w:val="22"/>
          <w:highlight w:val="none"/>
        </w:rPr>
      </w:pPr>
      <w:r>
        <w:rPr>
          <w:rFonts w:hint="eastAsia" w:ascii="宋体" w:hAnsi="宋体" w:cs="Arial"/>
          <w:color w:val="auto"/>
          <w:sz w:val="22"/>
          <w:highlight w:val="none"/>
        </w:rPr>
        <w:t>（一）甲方权利与义务</w:t>
      </w:r>
    </w:p>
    <w:p>
      <w:pPr>
        <w:spacing w:line="460" w:lineRule="exact"/>
        <w:rPr>
          <w:rFonts w:ascii="宋体" w:hAnsi="宋体" w:cs="Arial"/>
          <w:color w:val="auto"/>
          <w:sz w:val="22"/>
          <w:highlight w:val="none"/>
        </w:rPr>
      </w:pPr>
      <w:r>
        <w:rPr>
          <w:rFonts w:hint="eastAsia" w:ascii="宋体" w:hAnsi="宋体" w:cs="Arial"/>
          <w:color w:val="auto"/>
          <w:sz w:val="22"/>
          <w:highlight w:val="none"/>
        </w:rPr>
        <w:t>1、甲方对乙方的清扫保洁业务进行全面的技术指导、检查、管理和监督，对检查中发现的环境卫生质量问题及时向乙方提出书面或口头改进意见。</w:t>
      </w:r>
    </w:p>
    <w:p>
      <w:pPr>
        <w:spacing w:line="460" w:lineRule="exact"/>
        <w:rPr>
          <w:rFonts w:ascii="宋体" w:hAnsi="宋体" w:cs="Arial"/>
          <w:color w:val="auto"/>
          <w:sz w:val="22"/>
          <w:highlight w:val="none"/>
        </w:rPr>
      </w:pPr>
      <w:r>
        <w:rPr>
          <w:rFonts w:hint="eastAsia" w:ascii="宋体" w:hAnsi="宋体" w:cs="Arial"/>
          <w:color w:val="auto"/>
          <w:sz w:val="22"/>
          <w:highlight w:val="none"/>
        </w:rPr>
        <w:t>2、甲方对乙方违反《</w:t>
      </w:r>
      <w:r>
        <w:rPr>
          <w:rFonts w:hint="eastAsia" w:ascii="宋体" w:hAnsi="宋体" w:cs="Arial"/>
          <w:color w:val="auto"/>
          <w:sz w:val="22"/>
          <w:highlight w:val="none"/>
          <w:lang w:eastAsia="zh-CN"/>
        </w:rPr>
        <w:t>灵昆街道道路及河道保洁项目质量考核评分细则</w:t>
      </w:r>
      <w:r>
        <w:rPr>
          <w:rFonts w:hint="eastAsia" w:ascii="宋体" w:hAnsi="宋体" w:cs="Arial"/>
          <w:color w:val="auto"/>
          <w:sz w:val="22"/>
          <w:highlight w:val="none"/>
        </w:rPr>
        <w:t>》中规定的行为进行惩罚。</w:t>
      </w:r>
    </w:p>
    <w:p>
      <w:pPr>
        <w:spacing w:line="460" w:lineRule="exact"/>
        <w:rPr>
          <w:rFonts w:ascii="宋体" w:hAnsi="宋体" w:cs="Arial"/>
          <w:color w:val="auto"/>
          <w:sz w:val="22"/>
          <w:highlight w:val="none"/>
        </w:rPr>
      </w:pPr>
      <w:r>
        <w:rPr>
          <w:rFonts w:hint="eastAsia" w:ascii="宋体" w:hAnsi="宋体" w:cs="Arial"/>
          <w:color w:val="auto"/>
          <w:sz w:val="22"/>
          <w:highlight w:val="none"/>
        </w:rPr>
        <w:t>3、甲方监督检查乙方落实安全防火和安全生产措施。</w:t>
      </w:r>
    </w:p>
    <w:p>
      <w:pPr>
        <w:spacing w:line="460" w:lineRule="exact"/>
        <w:rPr>
          <w:rFonts w:ascii="宋体" w:hAnsi="宋体" w:cs="Arial"/>
          <w:color w:val="auto"/>
          <w:sz w:val="22"/>
          <w:highlight w:val="none"/>
        </w:rPr>
      </w:pPr>
      <w:r>
        <w:rPr>
          <w:rFonts w:hint="eastAsia" w:ascii="宋体" w:hAnsi="宋体" w:cs="Arial"/>
          <w:color w:val="auto"/>
          <w:sz w:val="22"/>
          <w:highlight w:val="none"/>
        </w:rPr>
        <w:t>4、甲方监督检查乙方对员工进行培训的情况，以提高清扫保洁服务的技术水平。</w:t>
      </w:r>
    </w:p>
    <w:p>
      <w:pPr>
        <w:spacing w:line="460" w:lineRule="exact"/>
        <w:rPr>
          <w:rFonts w:ascii="宋体" w:hAnsi="宋体" w:cs="Arial"/>
          <w:color w:val="auto"/>
          <w:sz w:val="22"/>
          <w:highlight w:val="none"/>
        </w:rPr>
      </w:pPr>
      <w:r>
        <w:rPr>
          <w:rFonts w:hint="eastAsia" w:ascii="宋体" w:hAnsi="宋体" w:cs="Arial"/>
          <w:color w:val="auto"/>
          <w:sz w:val="22"/>
          <w:highlight w:val="none"/>
        </w:rPr>
        <w:t>5、甲方应按清扫保洁质量和检查验收结果计算经费，扣除乙方因检查不合格应扣款后，将经费按期支付给乙方。</w:t>
      </w:r>
    </w:p>
    <w:p>
      <w:pPr>
        <w:spacing w:line="460" w:lineRule="exact"/>
        <w:rPr>
          <w:rFonts w:ascii="宋体" w:hAnsi="宋体" w:cs="Arial"/>
          <w:color w:val="auto"/>
          <w:sz w:val="22"/>
          <w:highlight w:val="none"/>
        </w:rPr>
      </w:pPr>
      <w:r>
        <w:rPr>
          <w:rFonts w:hint="eastAsia" w:ascii="宋体" w:hAnsi="宋体" w:cs="Arial"/>
          <w:color w:val="auto"/>
          <w:sz w:val="22"/>
          <w:highlight w:val="none"/>
        </w:rPr>
        <w:t>6、甲方可要求乙方调整不合格员工。</w:t>
      </w:r>
    </w:p>
    <w:p>
      <w:pPr>
        <w:spacing w:line="460" w:lineRule="exact"/>
        <w:rPr>
          <w:rFonts w:ascii="宋体" w:hAnsi="宋体" w:cs="Arial"/>
          <w:color w:val="auto"/>
          <w:sz w:val="22"/>
          <w:highlight w:val="none"/>
        </w:rPr>
      </w:pPr>
      <w:r>
        <w:rPr>
          <w:rFonts w:hint="eastAsia" w:ascii="宋体" w:hAnsi="宋体" w:cs="Arial"/>
          <w:color w:val="auto"/>
          <w:sz w:val="22"/>
          <w:highlight w:val="none"/>
        </w:rPr>
        <w:t>7、甲方可根据政策的变动并结合实际情况对《</w:t>
      </w:r>
      <w:r>
        <w:rPr>
          <w:rFonts w:hint="eastAsia" w:ascii="宋体" w:hAnsi="宋体" w:cs="Arial"/>
          <w:color w:val="auto"/>
          <w:sz w:val="22"/>
          <w:highlight w:val="none"/>
          <w:lang w:eastAsia="zh-CN"/>
        </w:rPr>
        <w:t>灵昆街道道路及河道保洁项目质量考核评分细则</w:t>
      </w:r>
      <w:r>
        <w:rPr>
          <w:rFonts w:hint="eastAsia" w:ascii="宋体" w:hAnsi="宋体" w:cs="Arial"/>
          <w:color w:val="auto"/>
          <w:sz w:val="22"/>
          <w:highlight w:val="none"/>
        </w:rPr>
        <w:t>》进行修改和补充。</w:t>
      </w:r>
    </w:p>
    <w:p>
      <w:pPr>
        <w:spacing w:line="460" w:lineRule="exact"/>
        <w:rPr>
          <w:rFonts w:ascii="宋体" w:hAnsi="宋体" w:cs="Arial"/>
          <w:color w:val="auto"/>
          <w:sz w:val="22"/>
          <w:highlight w:val="none"/>
        </w:rPr>
      </w:pPr>
      <w:r>
        <w:rPr>
          <w:rFonts w:hint="eastAsia" w:ascii="宋体" w:hAnsi="宋体" w:cs="Arial"/>
          <w:color w:val="auto"/>
          <w:sz w:val="22"/>
          <w:highlight w:val="none"/>
        </w:rPr>
        <w:t>8、甲方应按时支付款项。本合同的清扫保洁经费由政府拨款，如因政策影响，拨款未能及时到位，乙方不得以此为由而不履行本合同规定的义务。否则，甲方按规定扣罚。</w:t>
      </w:r>
    </w:p>
    <w:p>
      <w:pPr>
        <w:spacing w:line="460" w:lineRule="exact"/>
        <w:rPr>
          <w:rFonts w:ascii="宋体" w:hAnsi="宋体" w:cs="Arial"/>
          <w:color w:val="auto"/>
          <w:sz w:val="22"/>
          <w:highlight w:val="none"/>
        </w:rPr>
      </w:pPr>
      <w:r>
        <w:rPr>
          <w:rFonts w:hint="eastAsia" w:ascii="宋体" w:hAnsi="宋体" w:cs="Arial"/>
          <w:color w:val="auto"/>
          <w:sz w:val="22"/>
          <w:highlight w:val="none"/>
        </w:rPr>
        <w:t>（二）乙方权利和义务</w:t>
      </w:r>
    </w:p>
    <w:p>
      <w:pPr>
        <w:spacing w:line="460" w:lineRule="exact"/>
        <w:rPr>
          <w:rFonts w:ascii="宋体" w:hAnsi="宋体" w:cs="Arial"/>
          <w:color w:val="auto"/>
          <w:sz w:val="22"/>
          <w:highlight w:val="none"/>
        </w:rPr>
      </w:pPr>
      <w:r>
        <w:rPr>
          <w:rFonts w:hint="eastAsia" w:ascii="宋体" w:hAnsi="宋体" w:cs="Arial"/>
          <w:color w:val="auto"/>
          <w:sz w:val="22"/>
          <w:highlight w:val="none"/>
        </w:rPr>
        <w:t>1、乙方有权根据承包合同按期领取承包经费。</w:t>
      </w:r>
    </w:p>
    <w:p>
      <w:pPr>
        <w:spacing w:line="460" w:lineRule="exact"/>
        <w:rPr>
          <w:rFonts w:ascii="宋体" w:hAnsi="宋体" w:cs="Arial"/>
          <w:color w:val="auto"/>
          <w:sz w:val="22"/>
          <w:highlight w:val="none"/>
        </w:rPr>
      </w:pPr>
      <w:r>
        <w:rPr>
          <w:rFonts w:hint="eastAsia" w:ascii="宋体" w:hAnsi="宋体" w:cs="Arial"/>
          <w:color w:val="auto"/>
          <w:sz w:val="22"/>
          <w:highlight w:val="none"/>
        </w:rPr>
        <w:t>2、乙方有权对管理工作提出建议。</w:t>
      </w:r>
    </w:p>
    <w:p>
      <w:pPr>
        <w:spacing w:line="460" w:lineRule="exact"/>
        <w:ind w:left="330" w:hanging="330" w:hangingChars="150"/>
        <w:rPr>
          <w:rFonts w:ascii="宋体" w:hAnsi="宋体" w:cs="Arial"/>
          <w:color w:val="auto"/>
          <w:sz w:val="22"/>
          <w:highlight w:val="none"/>
        </w:rPr>
      </w:pPr>
      <w:r>
        <w:rPr>
          <w:rFonts w:hint="eastAsia" w:ascii="宋体" w:hAnsi="宋体" w:cs="Arial"/>
          <w:color w:val="auto"/>
          <w:sz w:val="22"/>
          <w:highlight w:val="none"/>
        </w:rPr>
        <w:t>3、乙方履行承诺的义务，并参加由甲方组织的检查和综合考评。</w:t>
      </w:r>
    </w:p>
    <w:p>
      <w:pPr>
        <w:spacing w:line="460" w:lineRule="exact"/>
        <w:rPr>
          <w:rFonts w:ascii="宋体" w:hAnsi="宋体" w:cs="Arial"/>
          <w:color w:val="auto"/>
          <w:sz w:val="22"/>
          <w:highlight w:val="none"/>
        </w:rPr>
      </w:pPr>
      <w:r>
        <w:rPr>
          <w:rFonts w:hint="eastAsia" w:ascii="宋体" w:hAnsi="宋体" w:cs="Arial"/>
          <w:color w:val="auto"/>
          <w:sz w:val="22"/>
          <w:highlight w:val="none"/>
        </w:rPr>
        <w:t>4、乙方应接受甲方的检查监督及指导。</w:t>
      </w:r>
    </w:p>
    <w:p>
      <w:pPr>
        <w:spacing w:line="460" w:lineRule="exact"/>
        <w:rPr>
          <w:rFonts w:ascii="宋体" w:hAnsi="宋体" w:cs="Arial"/>
          <w:color w:val="auto"/>
          <w:sz w:val="22"/>
          <w:highlight w:val="none"/>
        </w:rPr>
      </w:pPr>
      <w:r>
        <w:rPr>
          <w:rFonts w:hint="eastAsia" w:ascii="宋体" w:hAnsi="宋体" w:cs="Arial"/>
          <w:color w:val="auto"/>
          <w:sz w:val="22"/>
          <w:highlight w:val="none"/>
        </w:rPr>
        <w:t>5、按甲方的要求开展工作，如有改变，乙方应提出书面申请，并征得甲方的书面同意。</w:t>
      </w:r>
    </w:p>
    <w:p>
      <w:pPr>
        <w:spacing w:line="460" w:lineRule="exact"/>
        <w:rPr>
          <w:rFonts w:ascii="宋体" w:hAnsi="宋体" w:cs="Arial"/>
          <w:color w:val="auto"/>
          <w:sz w:val="22"/>
          <w:highlight w:val="none"/>
        </w:rPr>
      </w:pPr>
      <w:r>
        <w:rPr>
          <w:rFonts w:hint="eastAsia" w:ascii="宋体" w:hAnsi="宋体" w:cs="Arial"/>
          <w:color w:val="auto"/>
          <w:sz w:val="22"/>
          <w:highlight w:val="none"/>
        </w:rPr>
        <w:t xml:space="preserve">6、特殊情况下（台风和暴雨等），乙方除应做好管辖地段保护工作外，还应服从甲方的统一指挥和调动，参加抢险救灾工作。 </w:t>
      </w:r>
    </w:p>
    <w:p>
      <w:pPr>
        <w:spacing w:line="460" w:lineRule="exact"/>
        <w:rPr>
          <w:rFonts w:ascii="宋体" w:hAnsi="宋体" w:cs="Arial"/>
          <w:color w:val="auto"/>
          <w:sz w:val="22"/>
          <w:highlight w:val="none"/>
        </w:rPr>
      </w:pPr>
      <w:r>
        <w:rPr>
          <w:rFonts w:hint="eastAsia" w:ascii="宋体" w:hAnsi="宋体" w:cs="Arial"/>
          <w:color w:val="auto"/>
          <w:sz w:val="22"/>
          <w:highlight w:val="none"/>
        </w:rPr>
        <w:t>7、乙方根据本合同所承担的服务内容，按实际上岗人数自行到有关部门申办用工手续、员工劳动保险手续和办暂住证手续。员工最低工资不得低于（当年浙江省最低工资标准+最低工资10%）。安排好属下人员的住宿和安全教育管理工作，如发生违纪事件，由乙方承担一切经济责任和法律责任。</w:t>
      </w:r>
    </w:p>
    <w:p>
      <w:pPr>
        <w:spacing w:line="460" w:lineRule="exact"/>
        <w:rPr>
          <w:rFonts w:ascii="宋体" w:hAnsi="宋体" w:cs="Arial"/>
          <w:color w:val="auto"/>
          <w:sz w:val="22"/>
          <w:highlight w:val="none"/>
        </w:rPr>
      </w:pPr>
      <w:r>
        <w:rPr>
          <w:rFonts w:hint="eastAsia" w:ascii="宋体" w:hAnsi="宋体" w:cs="Arial"/>
          <w:color w:val="auto"/>
          <w:sz w:val="22"/>
          <w:highlight w:val="none"/>
        </w:rPr>
        <w:t>8、乙方应按甲方要求，为上岗工人购买统一的工作服及反光背心。</w:t>
      </w:r>
    </w:p>
    <w:p>
      <w:pPr>
        <w:spacing w:line="460" w:lineRule="exact"/>
        <w:rPr>
          <w:rFonts w:ascii="宋体" w:hAnsi="宋体" w:cs="Arial"/>
          <w:color w:val="auto"/>
          <w:sz w:val="22"/>
          <w:highlight w:val="none"/>
        </w:rPr>
      </w:pPr>
      <w:r>
        <w:rPr>
          <w:rFonts w:hint="eastAsia" w:ascii="宋体" w:hAnsi="宋体" w:cs="Arial"/>
          <w:color w:val="auto"/>
          <w:sz w:val="22"/>
          <w:highlight w:val="none"/>
        </w:rPr>
        <w:t>9、乙方负责提供道路清扫保洁和河道保洁（除非机动船只由甲方提供外）所需的全部工具、设备和材料。</w:t>
      </w:r>
    </w:p>
    <w:p>
      <w:pPr>
        <w:spacing w:line="460" w:lineRule="exact"/>
        <w:rPr>
          <w:rFonts w:ascii="宋体" w:hAnsi="宋体" w:cs="Arial"/>
          <w:color w:val="auto"/>
          <w:sz w:val="22"/>
          <w:highlight w:val="none"/>
        </w:rPr>
      </w:pPr>
      <w:r>
        <w:rPr>
          <w:rFonts w:hint="eastAsia" w:ascii="宋体" w:hAnsi="宋体" w:cs="Arial"/>
          <w:color w:val="auto"/>
          <w:sz w:val="22"/>
          <w:highlight w:val="none"/>
        </w:rPr>
        <w:t>10、乙方负责安排骨干参加业务技术的培训学习。</w:t>
      </w:r>
    </w:p>
    <w:p>
      <w:pPr>
        <w:spacing w:line="460" w:lineRule="exact"/>
        <w:rPr>
          <w:rFonts w:ascii="宋体" w:hAnsi="宋体" w:cs="Arial"/>
          <w:color w:val="auto"/>
          <w:sz w:val="22"/>
          <w:highlight w:val="none"/>
        </w:rPr>
      </w:pPr>
      <w:r>
        <w:rPr>
          <w:rFonts w:hint="eastAsia" w:ascii="宋体" w:hAnsi="宋体" w:cs="Arial"/>
          <w:color w:val="auto"/>
          <w:sz w:val="22"/>
          <w:highlight w:val="none"/>
        </w:rPr>
        <w:t>11、乙方负责作业过程中的事故处理和一切费用。</w:t>
      </w:r>
    </w:p>
    <w:p>
      <w:pPr>
        <w:spacing w:line="460" w:lineRule="exact"/>
        <w:rPr>
          <w:rFonts w:ascii="宋体" w:hAnsi="宋体" w:cs="Arial"/>
          <w:color w:val="auto"/>
          <w:sz w:val="22"/>
          <w:highlight w:val="none"/>
        </w:rPr>
      </w:pPr>
      <w:r>
        <w:rPr>
          <w:rFonts w:hint="eastAsia" w:ascii="宋体" w:hAnsi="宋体" w:cs="Arial"/>
          <w:color w:val="auto"/>
          <w:sz w:val="22"/>
          <w:highlight w:val="none"/>
        </w:rPr>
        <w:t>12、乙方应严格遵守国家法律、法规的规定，做好社会治安综合治理和计划生育等工作，不得违反国家法律、法规和温州市的有关规定。</w:t>
      </w:r>
    </w:p>
    <w:p>
      <w:pPr>
        <w:spacing w:line="460" w:lineRule="exact"/>
        <w:rPr>
          <w:rFonts w:ascii="宋体" w:hAnsi="宋体" w:cs="Arial"/>
          <w:color w:val="auto"/>
          <w:sz w:val="22"/>
          <w:highlight w:val="none"/>
        </w:rPr>
      </w:pPr>
      <w:r>
        <w:rPr>
          <w:rFonts w:hint="eastAsia" w:ascii="宋体" w:hAnsi="宋体" w:cs="Arial"/>
          <w:color w:val="auto"/>
          <w:sz w:val="22"/>
          <w:highlight w:val="none"/>
        </w:rPr>
        <w:t>13、在合同期内，因道路拓宽及改建等不可预见原因造成乙方清扫保洁服务面积增加，相应增加费用由乙方自行承担。因国家建设需要造成的乙方经济损失，甲方不负赔偿责任。</w:t>
      </w:r>
    </w:p>
    <w:p>
      <w:pPr>
        <w:spacing w:line="460" w:lineRule="exact"/>
        <w:rPr>
          <w:rFonts w:ascii="宋体" w:hAnsi="宋体" w:cs="Arial"/>
          <w:color w:val="auto"/>
          <w:sz w:val="22"/>
          <w:highlight w:val="none"/>
        </w:rPr>
      </w:pPr>
      <w:r>
        <w:rPr>
          <w:rFonts w:hint="eastAsia" w:ascii="宋体" w:hAnsi="宋体" w:cs="Arial"/>
          <w:color w:val="auto"/>
          <w:sz w:val="22"/>
          <w:highlight w:val="none"/>
        </w:rPr>
        <w:t>14、乙方应遵守法律、法规和政策的规定，因以上原因使合同性质发生改变，甲方不负赔偿责任。</w:t>
      </w:r>
    </w:p>
    <w:p>
      <w:pPr>
        <w:spacing w:line="460" w:lineRule="exact"/>
        <w:rPr>
          <w:rFonts w:ascii="宋体" w:hAnsi="宋体" w:cs="Arial"/>
          <w:color w:val="auto"/>
          <w:sz w:val="22"/>
          <w:highlight w:val="none"/>
        </w:rPr>
      </w:pPr>
      <w:r>
        <w:rPr>
          <w:rFonts w:hint="eastAsia" w:ascii="宋体" w:hAnsi="宋体" w:cs="Arial"/>
          <w:color w:val="auto"/>
          <w:sz w:val="22"/>
          <w:highlight w:val="none"/>
        </w:rPr>
        <w:t>15、乙方按要求投入本项目范围内的所有人员及保洁机械化作业机具不得在本项目范围外进行清扫保洁业务，否则甲方有权在履约保证金中作相应扣除处理。</w:t>
      </w:r>
    </w:p>
    <w:p>
      <w:pPr>
        <w:spacing w:line="460" w:lineRule="exact"/>
        <w:rPr>
          <w:rFonts w:ascii="宋体" w:hAnsi="宋体" w:cs="Arial"/>
          <w:color w:val="auto"/>
          <w:sz w:val="22"/>
          <w:highlight w:val="none"/>
        </w:rPr>
      </w:pPr>
      <w:r>
        <w:rPr>
          <w:rFonts w:hint="eastAsia" w:ascii="宋体" w:hAnsi="宋体" w:cs="Arial"/>
          <w:color w:val="auto"/>
          <w:sz w:val="22"/>
          <w:highlight w:val="none"/>
        </w:rPr>
        <w:t>16、合同签订后，乙方人员进场前，乙方须向甲方提供各条道路安排的人员信息等资料；合同期内因乙方原因更换人员的，需在更换后5日内将相关信息报送甲方。</w:t>
      </w:r>
    </w:p>
    <w:p>
      <w:pPr>
        <w:spacing w:line="460" w:lineRule="exact"/>
        <w:rPr>
          <w:rFonts w:ascii="宋体" w:hAnsi="宋体" w:cs="Arial"/>
          <w:b/>
          <w:color w:val="auto"/>
          <w:sz w:val="22"/>
          <w:highlight w:val="none"/>
        </w:rPr>
      </w:pPr>
      <w:r>
        <w:rPr>
          <w:rFonts w:hint="eastAsia" w:ascii="宋体" w:hAnsi="宋体" w:cs="Arial"/>
          <w:b/>
          <w:color w:val="auto"/>
          <w:sz w:val="22"/>
          <w:highlight w:val="none"/>
        </w:rPr>
        <w:t>第十一条  合同组成</w:t>
      </w:r>
    </w:p>
    <w:p>
      <w:pPr>
        <w:spacing w:line="460" w:lineRule="exact"/>
        <w:ind w:firstLine="440" w:firstLineChars="200"/>
        <w:rPr>
          <w:rFonts w:ascii="宋体" w:hAnsi="宋体" w:cs="Arial"/>
          <w:color w:val="auto"/>
          <w:sz w:val="22"/>
          <w:highlight w:val="none"/>
        </w:rPr>
      </w:pPr>
      <w:r>
        <w:rPr>
          <w:rFonts w:hint="eastAsia" w:ascii="宋体" w:hAnsi="宋体" w:cs="Arial"/>
          <w:color w:val="auto"/>
          <w:sz w:val="22"/>
          <w:highlight w:val="none"/>
        </w:rPr>
        <w:t>承包合同由《招标文件》、《投标文件》、《</w:t>
      </w:r>
      <w:r>
        <w:rPr>
          <w:rFonts w:hint="eastAsia" w:ascii="宋体" w:hAnsi="宋体" w:cs="Arial"/>
          <w:color w:val="auto"/>
          <w:sz w:val="22"/>
          <w:highlight w:val="none"/>
          <w:lang w:eastAsia="zh-CN"/>
        </w:rPr>
        <w:t>灵昆街道道路及河道保洁项目质量考核评分细则</w:t>
      </w:r>
      <w:r>
        <w:rPr>
          <w:rFonts w:hint="eastAsia" w:ascii="宋体" w:hAnsi="宋体" w:cs="Arial"/>
          <w:color w:val="auto"/>
          <w:sz w:val="22"/>
          <w:highlight w:val="none"/>
        </w:rPr>
        <w:t>》及附件组成，均为本合同的有效组成部分。</w:t>
      </w:r>
    </w:p>
    <w:p>
      <w:pPr>
        <w:spacing w:line="460" w:lineRule="exact"/>
        <w:rPr>
          <w:rFonts w:ascii="宋体" w:hAnsi="宋体" w:cs="Arial"/>
          <w:b/>
          <w:color w:val="auto"/>
          <w:sz w:val="22"/>
          <w:highlight w:val="none"/>
        </w:rPr>
      </w:pPr>
      <w:r>
        <w:rPr>
          <w:rFonts w:hint="eastAsia" w:ascii="宋体" w:hAnsi="宋体" w:cs="Arial"/>
          <w:b/>
          <w:color w:val="auto"/>
          <w:sz w:val="22"/>
          <w:highlight w:val="none"/>
        </w:rPr>
        <w:t>第十二条  违约责任</w:t>
      </w:r>
    </w:p>
    <w:p>
      <w:pPr>
        <w:spacing w:line="460" w:lineRule="exact"/>
        <w:rPr>
          <w:rFonts w:ascii="宋体" w:hAnsi="宋体" w:cs="Arial"/>
          <w:color w:val="auto"/>
          <w:sz w:val="22"/>
          <w:highlight w:val="none"/>
        </w:rPr>
      </w:pPr>
      <w:r>
        <w:rPr>
          <w:rFonts w:hint="eastAsia" w:ascii="宋体" w:hAnsi="宋体" w:cs="Arial"/>
          <w:color w:val="auto"/>
          <w:sz w:val="22"/>
          <w:highlight w:val="none"/>
        </w:rPr>
        <w:t xml:space="preserve">（一）乙方违反甲方具体要求及《招标文件》规定的行为均属违约行为。甲方根据上述规定条款，视乙方违反规定的情节轻重，做出批评教育、警告、扣罚处理，情节严重者，甲方有权单方终止本合同，由乙方承担一切经济损失和法律责任。因乙方违约造成甲方损失的，甲方从乙方缴纳的履约保证金中扣除。                                          </w:t>
      </w:r>
    </w:p>
    <w:p>
      <w:pPr>
        <w:spacing w:line="460" w:lineRule="exact"/>
        <w:rPr>
          <w:rFonts w:ascii="宋体" w:hAnsi="宋体" w:cs="Arial"/>
          <w:color w:val="auto"/>
          <w:sz w:val="22"/>
          <w:highlight w:val="none"/>
        </w:rPr>
      </w:pPr>
      <w:r>
        <w:rPr>
          <w:rFonts w:hint="eastAsia" w:ascii="宋体" w:hAnsi="宋体" w:cs="Arial"/>
          <w:color w:val="auto"/>
          <w:sz w:val="22"/>
          <w:highlight w:val="none"/>
        </w:rPr>
        <w:t>（二）乙方因机械、工具或技术、劳动等跟不上管理需要影响工作，未达到质量标准，道路总评分连续3个月不达标或连续3个月出现有20%道路月评分不达标的（或河道总评分连续3个月不达标或连续3个月出现有20%河道月评分不达标的），甲方有权单方终止本合同，并没收履约保证金。</w:t>
      </w:r>
    </w:p>
    <w:p>
      <w:pPr>
        <w:spacing w:line="460" w:lineRule="exact"/>
        <w:rPr>
          <w:rFonts w:ascii="宋体" w:hAnsi="宋体" w:cs="Arial"/>
          <w:b/>
          <w:color w:val="auto"/>
          <w:sz w:val="22"/>
          <w:highlight w:val="none"/>
        </w:rPr>
      </w:pPr>
      <w:r>
        <w:rPr>
          <w:rFonts w:hint="eastAsia" w:ascii="宋体" w:hAnsi="宋体" w:cs="Arial"/>
          <w:b/>
          <w:color w:val="auto"/>
          <w:sz w:val="22"/>
          <w:highlight w:val="none"/>
        </w:rPr>
        <w:t>第十三条  验收移交</w:t>
      </w:r>
    </w:p>
    <w:p>
      <w:pPr>
        <w:spacing w:line="460" w:lineRule="exact"/>
        <w:rPr>
          <w:rFonts w:ascii="宋体" w:hAnsi="宋体" w:cs="Arial"/>
          <w:color w:val="auto"/>
          <w:sz w:val="22"/>
          <w:highlight w:val="none"/>
        </w:rPr>
      </w:pPr>
      <w:r>
        <w:rPr>
          <w:rFonts w:hint="eastAsia" w:ascii="宋体" w:hAnsi="宋体" w:cs="Arial"/>
          <w:color w:val="auto"/>
          <w:sz w:val="22"/>
          <w:highlight w:val="none"/>
        </w:rPr>
        <w:t>（一）在合同终止前十个工作日内，由乙方书面向甲方提出移交验收申请。</w:t>
      </w:r>
    </w:p>
    <w:p>
      <w:pPr>
        <w:spacing w:line="460" w:lineRule="exact"/>
        <w:rPr>
          <w:rFonts w:ascii="宋体" w:hAnsi="宋体" w:cs="Arial"/>
          <w:color w:val="auto"/>
          <w:sz w:val="22"/>
          <w:highlight w:val="none"/>
        </w:rPr>
      </w:pPr>
      <w:r>
        <w:rPr>
          <w:rFonts w:hint="eastAsia" w:ascii="宋体" w:hAnsi="宋体" w:cs="Arial"/>
          <w:color w:val="auto"/>
          <w:sz w:val="22"/>
          <w:highlight w:val="none"/>
        </w:rPr>
        <w:t>（二）合同期满，乙方必须将全部清扫保洁业务及时移交甲方。未经甲方许可，合同期满，乙方超期移交给甲方的，将全额扣除履约保证金。</w:t>
      </w:r>
    </w:p>
    <w:p>
      <w:pPr>
        <w:spacing w:line="460" w:lineRule="exact"/>
        <w:rPr>
          <w:rFonts w:ascii="宋体" w:hAnsi="宋体" w:cs="Arial"/>
          <w:b/>
          <w:color w:val="auto"/>
          <w:sz w:val="22"/>
          <w:highlight w:val="none"/>
        </w:rPr>
      </w:pPr>
      <w:r>
        <w:rPr>
          <w:rFonts w:hint="eastAsia" w:ascii="宋体" w:hAnsi="宋体" w:cs="Arial"/>
          <w:b/>
          <w:color w:val="auto"/>
          <w:sz w:val="22"/>
          <w:highlight w:val="none"/>
        </w:rPr>
        <w:t>第十四条  争议的解决</w:t>
      </w:r>
    </w:p>
    <w:p>
      <w:pPr>
        <w:spacing w:line="460" w:lineRule="exact"/>
        <w:ind w:firstLine="440" w:firstLineChars="200"/>
        <w:rPr>
          <w:rFonts w:ascii="宋体" w:hAnsi="宋体" w:cs="Arial"/>
          <w:color w:val="auto"/>
          <w:sz w:val="22"/>
          <w:highlight w:val="none"/>
        </w:rPr>
      </w:pPr>
      <w:r>
        <w:rPr>
          <w:rFonts w:hint="eastAsia" w:ascii="宋体" w:hAnsi="宋体" w:cs="Arial"/>
          <w:color w:val="auto"/>
          <w:sz w:val="22"/>
          <w:highlight w:val="none"/>
        </w:rPr>
        <w:t>合同未尽事宜，应双方友好协调解决。协商不一致，任何一方均可向温州市洞头区人民法院提起诉讼。</w:t>
      </w:r>
    </w:p>
    <w:p>
      <w:pPr>
        <w:spacing w:line="460" w:lineRule="exact"/>
        <w:rPr>
          <w:rFonts w:ascii="宋体" w:hAnsi="宋体" w:cs="Arial"/>
          <w:b/>
          <w:color w:val="auto"/>
          <w:sz w:val="22"/>
          <w:highlight w:val="none"/>
        </w:rPr>
      </w:pPr>
      <w:r>
        <w:rPr>
          <w:rFonts w:hint="eastAsia" w:ascii="宋体" w:hAnsi="宋体" w:cs="Arial"/>
          <w:b/>
          <w:color w:val="auto"/>
          <w:sz w:val="22"/>
          <w:highlight w:val="none"/>
        </w:rPr>
        <w:t>第十五条  合同生效及终止</w:t>
      </w:r>
    </w:p>
    <w:p>
      <w:pPr>
        <w:spacing w:line="460" w:lineRule="exact"/>
        <w:rPr>
          <w:rFonts w:ascii="宋体" w:hAnsi="宋体" w:cs="Arial"/>
          <w:color w:val="auto"/>
          <w:sz w:val="22"/>
          <w:highlight w:val="none"/>
        </w:rPr>
      </w:pPr>
      <w:r>
        <w:rPr>
          <w:rFonts w:hint="eastAsia" w:ascii="宋体" w:hAnsi="宋体" w:cs="Arial"/>
          <w:color w:val="auto"/>
          <w:sz w:val="22"/>
          <w:highlight w:val="none"/>
        </w:rPr>
        <w:t>（一）合同生效：本合同自甲乙双方法定代表人签字、盖章之日起生效。</w:t>
      </w:r>
    </w:p>
    <w:p>
      <w:pPr>
        <w:spacing w:line="460" w:lineRule="exact"/>
        <w:rPr>
          <w:rFonts w:ascii="宋体" w:hAnsi="宋体" w:cs="Arial"/>
          <w:color w:val="auto"/>
          <w:sz w:val="22"/>
          <w:highlight w:val="none"/>
        </w:rPr>
      </w:pPr>
      <w:r>
        <w:rPr>
          <w:rFonts w:hint="eastAsia" w:ascii="宋体" w:hAnsi="宋体" w:cs="Arial"/>
          <w:color w:val="auto"/>
          <w:sz w:val="22"/>
          <w:highlight w:val="none"/>
        </w:rPr>
        <w:t>（二）合同终止：本合同出现以下情况时终止。</w:t>
      </w:r>
    </w:p>
    <w:p>
      <w:pPr>
        <w:spacing w:line="460" w:lineRule="exact"/>
        <w:rPr>
          <w:rFonts w:ascii="宋体" w:hAnsi="宋体" w:cs="Arial"/>
          <w:color w:val="auto"/>
          <w:sz w:val="22"/>
          <w:highlight w:val="none"/>
        </w:rPr>
      </w:pPr>
      <w:r>
        <w:rPr>
          <w:rFonts w:hint="eastAsia" w:ascii="宋体" w:hAnsi="宋体" w:cs="Arial"/>
          <w:color w:val="auto"/>
          <w:sz w:val="22"/>
          <w:highlight w:val="none"/>
        </w:rPr>
        <w:t>1、期限届满时自行终止。</w:t>
      </w:r>
    </w:p>
    <w:p>
      <w:pPr>
        <w:spacing w:line="460" w:lineRule="exact"/>
        <w:ind w:left="330" w:hanging="330" w:hangingChars="150"/>
        <w:rPr>
          <w:rFonts w:ascii="宋体" w:hAnsi="宋体" w:cs="Arial"/>
          <w:color w:val="auto"/>
          <w:sz w:val="22"/>
          <w:highlight w:val="none"/>
        </w:rPr>
      </w:pPr>
      <w:r>
        <w:rPr>
          <w:rFonts w:hint="eastAsia" w:ascii="宋体" w:hAnsi="宋体" w:cs="Arial"/>
          <w:color w:val="auto"/>
          <w:sz w:val="22"/>
          <w:highlight w:val="none"/>
        </w:rPr>
        <w:t>2、根据《</w:t>
      </w:r>
      <w:r>
        <w:rPr>
          <w:rFonts w:hint="eastAsia" w:ascii="宋体" w:hAnsi="宋体" w:cs="Arial"/>
          <w:color w:val="auto"/>
          <w:sz w:val="22"/>
          <w:highlight w:val="none"/>
          <w:lang w:eastAsia="zh-CN"/>
        </w:rPr>
        <w:t>灵昆街道道路及河道保洁项目质量考核评分细则</w:t>
      </w:r>
      <w:r>
        <w:rPr>
          <w:rFonts w:hint="eastAsia" w:ascii="宋体" w:hAnsi="宋体" w:cs="Arial"/>
          <w:color w:val="auto"/>
          <w:sz w:val="22"/>
          <w:highlight w:val="none"/>
        </w:rPr>
        <w:t>》进行检查考评，不符合相关规定需终止合同的。</w:t>
      </w:r>
    </w:p>
    <w:p>
      <w:pPr>
        <w:spacing w:line="460" w:lineRule="exact"/>
        <w:rPr>
          <w:rFonts w:ascii="宋体" w:hAnsi="宋体" w:cs="Arial"/>
          <w:color w:val="auto"/>
          <w:sz w:val="22"/>
          <w:highlight w:val="none"/>
        </w:rPr>
      </w:pPr>
      <w:r>
        <w:rPr>
          <w:rFonts w:hint="eastAsia" w:ascii="宋体" w:hAnsi="宋体" w:cs="Arial"/>
          <w:color w:val="auto"/>
          <w:sz w:val="22"/>
          <w:highlight w:val="none"/>
        </w:rPr>
        <w:t>3、有以下行为之一的：</w:t>
      </w:r>
    </w:p>
    <w:p>
      <w:pPr>
        <w:spacing w:line="460" w:lineRule="exact"/>
        <w:rPr>
          <w:rFonts w:ascii="宋体" w:hAnsi="宋体" w:cs="Arial"/>
          <w:color w:val="auto"/>
          <w:sz w:val="22"/>
          <w:highlight w:val="none"/>
        </w:rPr>
      </w:pPr>
      <w:r>
        <w:rPr>
          <w:rFonts w:hint="eastAsia" w:ascii="宋体" w:hAnsi="宋体" w:cs="Arial"/>
          <w:color w:val="auto"/>
          <w:sz w:val="22"/>
          <w:highlight w:val="none"/>
        </w:rPr>
        <w:t>（1）违反管理规定，造成重大伤亡或重大损失。</w:t>
      </w:r>
    </w:p>
    <w:p>
      <w:pPr>
        <w:spacing w:line="460" w:lineRule="exact"/>
        <w:rPr>
          <w:rFonts w:ascii="宋体" w:hAnsi="宋体" w:cs="Arial"/>
          <w:color w:val="auto"/>
          <w:sz w:val="22"/>
          <w:highlight w:val="none"/>
        </w:rPr>
      </w:pPr>
      <w:r>
        <w:rPr>
          <w:rFonts w:hint="eastAsia" w:ascii="宋体" w:hAnsi="宋体" w:cs="Arial"/>
          <w:color w:val="auto"/>
          <w:sz w:val="22"/>
          <w:highlight w:val="none"/>
        </w:rPr>
        <w:t>（2）因管理不善造成恶劣影响。</w:t>
      </w:r>
    </w:p>
    <w:p>
      <w:pPr>
        <w:spacing w:line="460" w:lineRule="exact"/>
        <w:rPr>
          <w:rFonts w:ascii="宋体" w:hAnsi="宋体" w:cs="Arial"/>
          <w:color w:val="auto"/>
          <w:sz w:val="22"/>
          <w:highlight w:val="none"/>
        </w:rPr>
      </w:pPr>
      <w:r>
        <w:rPr>
          <w:rFonts w:hint="eastAsia" w:ascii="宋体" w:hAnsi="宋体" w:cs="Arial"/>
          <w:color w:val="auto"/>
          <w:sz w:val="22"/>
          <w:highlight w:val="none"/>
        </w:rPr>
        <w:t>（3）擅自将合同转包给第三者。</w:t>
      </w:r>
    </w:p>
    <w:p>
      <w:pPr>
        <w:spacing w:line="460" w:lineRule="exact"/>
        <w:rPr>
          <w:rFonts w:ascii="宋体" w:hAnsi="宋体" w:cs="Arial"/>
          <w:color w:val="auto"/>
          <w:sz w:val="22"/>
          <w:highlight w:val="none"/>
        </w:rPr>
      </w:pPr>
      <w:r>
        <w:rPr>
          <w:rFonts w:hint="eastAsia" w:ascii="宋体" w:hAnsi="宋体" w:cs="Arial"/>
          <w:color w:val="auto"/>
          <w:sz w:val="22"/>
          <w:highlight w:val="none"/>
        </w:rPr>
        <w:t>（4）违反劳动法或其他相关法律法规，造成恶劣影响。</w:t>
      </w:r>
    </w:p>
    <w:p>
      <w:pPr>
        <w:spacing w:line="460" w:lineRule="exact"/>
        <w:rPr>
          <w:rFonts w:ascii="宋体" w:hAnsi="宋体" w:cs="Arial"/>
          <w:color w:val="auto"/>
          <w:sz w:val="22"/>
          <w:highlight w:val="none"/>
        </w:rPr>
      </w:pPr>
      <w:r>
        <w:rPr>
          <w:rFonts w:hint="eastAsia" w:ascii="宋体" w:hAnsi="宋体" w:cs="Arial"/>
          <w:color w:val="auto"/>
          <w:sz w:val="22"/>
          <w:highlight w:val="none"/>
        </w:rPr>
        <w:t>（5）弄虚作假及其他不正当行为。</w:t>
      </w:r>
    </w:p>
    <w:p>
      <w:pPr>
        <w:spacing w:line="460" w:lineRule="exact"/>
        <w:rPr>
          <w:rFonts w:ascii="宋体" w:hAnsi="宋体" w:cs="Arial"/>
          <w:color w:val="auto"/>
          <w:sz w:val="22"/>
          <w:highlight w:val="none"/>
        </w:rPr>
      </w:pPr>
      <w:r>
        <w:rPr>
          <w:rFonts w:hint="eastAsia" w:ascii="宋体" w:hAnsi="宋体" w:cs="Arial"/>
          <w:color w:val="auto"/>
          <w:sz w:val="22"/>
          <w:highlight w:val="none"/>
        </w:rPr>
        <w:t>4、法律规定的终止事由。</w:t>
      </w:r>
    </w:p>
    <w:p>
      <w:pPr>
        <w:spacing w:line="460" w:lineRule="exact"/>
        <w:rPr>
          <w:rFonts w:ascii="宋体" w:hAnsi="宋体" w:cs="Arial"/>
          <w:b/>
          <w:color w:val="auto"/>
          <w:sz w:val="22"/>
          <w:highlight w:val="none"/>
        </w:rPr>
      </w:pPr>
      <w:r>
        <w:rPr>
          <w:rFonts w:hint="eastAsia" w:ascii="宋体" w:hAnsi="宋体" w:cs="Arial"/>
          <w:b/>
          <w:color w:val="auto"/>
          <w:sz w:val="22"/>
          <w:highlight w:val="none"/>
        </w:rPr>
        <w:t>第十六条  合同的解释</w:t>
      </w:r>
    </w:p>
    <w:p>
      <w:pPr>
        <w:spacing w:line="460" w:lineRule="exact"/>
        <w:rPr>
          <w:rFonts w:ascii="宋体" w:hAnsi="宋体" w:cs="Arial"/>
          <w:color w:val="auto"/>
          <w:sz w:val="22"/>
          <w:highlight w:val="none"/>
        </w:rPr>
      </w:pPr>
      <w:r>
        <w:rPr>
          <w:rFonts w:hint="eastAsia" w:ascii="宋体" w:hAnsi="宋体" w:cs="Arial"/>
          <w:color w:val="auto"/>
          <w:sz w:val="22"/>
          <w:highlight w:val="none"/>
        </w:rPr>
        <w:t xml:space="preserve">本合同的解释权在温州市洞头区人民政府灵昆街道办事处。         </w:t>
      </w:r>
    </w:p>
    <w:p>
      <w:pPr>
        <w:spacing w:line="460" w:lineRule="exact"/>
        <w:rPr>
          <w:rFonts w:ascii="宋体" w:hAnsi="宋体" w:cs="Arial"/>
          <w:b/>
          <w:color w:val="auto"/>
          <w:sz w:val="22"/>
          <w:highlight w:val="none"/>
        </w:rPr>
      </w:pPr>
      <w:r>
        <w:rPr>
          <w:rFonts w:hint="eastAsia" w:ascii="宋体" w:hAnsi="宋体" w:cs="Arial"/>
          <w:b/>
          <w:color w:val="auto"/>
          <w:sz w:val="22"/>
          <w:highlight w:val="none"/>
        </w:rPr>
        <w:t>第十七条  合同的份数</w:t>
      </w:r>
    </w:p>
    <w:p>
      <w:pPr>
        <w:spacing w:line="460" w:lineRule="exact"/>
        <w:rPr>
          <w:rFonts w:ascii="宋体" w:hAnsi="宋体" w:cs="Arial"/>
          <w:color w:val="auto"/>
          <w:sz w:val="22"/>
          <w:highlight w:val="none"/>
        </w:rPr>
      </w:pPr>
      <w:r>
        <w:rPr>
          <w:rFonts w:hint="eastAsia" w:ascii="宋体" w:hAnsi="宋体" w:cs="Arial"/>
          <w:color w:val="auto"/>
          <w:sz w:val="22"/>
          <w:highlight w:val="none"/>
        </w:rPr>
        <w:t>1、本合同一式</w:t>
      </w:r>
      <w:r>
        <w:rPr>
          <w:rFonts w:hint="eastAsia" w:ascii="宋体" w:hAnsi="宋体" w:cs="Arial"/>
          <w:color w:val="auto"/>
          <w:sz w:val="22"/>
          <w:highlight w:val="none"/>
          <w:lang w:val="en-US" w:eastAsia="zh-CN"/>
        </w:rPr>
        <w:t>捌</w:t>
      </w:r>
      <w:r>
        <w:rPr>
          <w:rFonts w:hint="eastAsia" w:ascii="宋体" w:hAnsi="宋体" w:cs="Arial"/>
          <w:color w:val="auto"/>
          <w:sz w:val="22"/>
          <w:highlight w:val="none"/>
        </w:rPr>
        <w:t>份，双方各执</w:t>
      </w:r>
      <w:r>
        <w:rPr>
          <w:rFonts w:hint="eastAsia" w:ascii="宋体" w:hAnsi="宋体" w:cs="Arial"/>
          <w:color w:val="auto"/>
          <w:sz w:val="22"/>
          <w:highlight w:val="none"/>
          <w:lang w:val="en-US" w:eastAsia="zh-CN"/>
        </w:rPr>
        <w:t>肆</w:t>
      </w:r>
      <w:r>
        <w:rPr>
          <w:rFonts w:hint="eastAsia" w:ascii="宋体" w:hAnsi="宋体" w:cs="Arial"/>
          <w:color w:val="auto"/>
          <w:sz w:val="22"/>
          <w:highlight w:val="none"/>
        </w:rPr>
        <w:t>份，具有同等法律效力，自双方签字盖章后生效。</w:t>
      </w:r>
    </w:p>
    <w:p>
      <w:pPr>
        <w:spacing w:line="460" w:lineRule="exact"/>
        <w:rPr>
          <w:rFonts w:ascii="宋体" w:hAnsi="宋体" w:cs="Arial"/>
          <w:color w:val="auto"/>
          <w:sz w:val="22"/>
          <w:highlight w:val="none"/>
        </w:rPr>
      </w:pPr>
      <w:r>
        <w:rPr>
          <w:rFonts w:hint="eastAsia" w:ascii="宋体" w:hAnsi="宋体" w:cs="Arial"/>
          <w:bCs/>
          <w:color w:val="auto"/>
          <w:sz w:val="22"/>
          <w:highlight w:val="none"/>
        </w:rPr>
        <w:t>2、</w:t>
      </w:r>
      <w:r>
        <w:rPr>
          <w:rFonts w:hint="eastAsia" w:ascii="宋体" w:hAnsi="宋体" w:cs="Arial"/>
          <w:color w:val="auto"/>
          <w:sz w:val="22"/>
          <w:highlight w:val="none"/>
        </w:rPr>
        <w:t>如需修改或补充合同内容，经协商，双方应签署书面修改或补充协议，该协议将作为本合同的一个组成部分。</w:t>
      </w:r>
    </w:p>
    <w:p>
      <w:pPr>
        <w:spacing w:line="460" w:lineRule="exact"/>
        <w:ind w:firstLine="660" w:firstLineChars="300"/>
        <w:rPr>
          <w:rFonts w:ascii="宋体" w:hAnsi="宋体" w:cs="Arial"/>
          <w:color w:val="auto"/>
          <w:sz w:val="22"/>
          <w:highlight w:val="none"/>
        </w:rPr>
      </w:pPr>
      <w:r>
        <w:rPr>
          <w:rFonts w:hint="eastAsia" w:ascii="宋体" w:hAnsi="宋体" w:cs="Arial"/>
          <w:color w:val="auto"/>
          <w:sz w:val="22"/>
          <w:highlight w:val="none"/>
        </w:rPr>
        <w:t>甲    方：（印章）                    乙    方：（印章）</w:t>
      </w:r>
    </w:p>
    <w:p>
      <w:pPr>
        <w:spacing w:line="460" w:lineRule="exact"/>
        <w:rPr>
          <w:rFonts w:ascii="宋体" w:hAnsi="宋体" w:cs="Arial"/>
          <w:color w:val="auto"/>
          <w:sz w:val="22"/>
          <w:highlight w:val="none"/>
        </w:rPr>
      </w:pPr>
      <w:r>
        <w:rPr>
          <w:rFonts w:hint="eastAsia" w:ascii="宋体" w:hAnsi="宋体" w:cs="Arial"/>
          <w:color w:val="auto"/>
          <w:sz w:val="22"/>
          <w:highlight w:val="none"/>
        </w:rPr>
        <w:t xml:space="preserve">      全权代表：（签字）                    全权代表：（签字）</w:t>
      </w:r>
    </w:p>
    <w:p>
      <w:pPr>
        <w:spacing w:line="460" w:lineRule="exact"/>
        <w:ind w:firstLine="660" w:firstLineChars="300"/>
        <w:rPr>
          <w:rFonts w:ascii="宋体" w:hAnsi="宋体" w:cs="Arial"/>
          <w:color w:val="auto"/>
          <w:sz w:val="22"/>
          <w:highlight w:val="none"/>
        </w:rPr>
      </w:pPr>
      <w:r>
        <w:rPr>
          <w:rFonts w:hint="eastAsia" w:ascii="宋体" w:hAnsi="宋体" w:cs="Arial"/>
          <w:color w:val="auto"/>
          <w:sz w:val="22"/>
          <w:highlight w:val="none"/>
        </w:rPr>
        <w:t>地    址：                           地    址：</w:t>
      </w:r>
    </w:p>
    <w:p>
      <w:pPr>
        <w:spacing w:line="460" w:lineRule="exact"/>
        <w:ind w:firstLine="660" w:firstLineChars="300"/>
        <w:rPr>
          <w:rFonts w:ascii="宋体" w:hAnsi="宋体" w:cs="Arial"/>
          <w:color w:val="auto"/>
          <w:sz w:val="22"/>
          <w:highlight w:val="none"/>
        </w:rPr>
      </w:pPr>
      <w:r>
        <w:rPr>
          <w:rFonts w:hint="eastAsia" w:ascii="宋体" w:hAnsi="宋体" w:cs="Arial"/>
          <w:color w:val="auto"/>
          <w:sz w:val="22"/>
          <w:highlight w:val="none"/>
        </w:rPr>
        <w:t>邮政编码：                           邮政编码：</w:t>
      </w:r>
    </w:p>
    <w:p>
      <w:pPr>
        <w:spacing w:line="460" w:lineRule="exact"/>
        <w:ind w:firstLine="660" w:firstLineChars="300"/>
        <w:rPr>
          <w:rFonts w:ascii="宋体" w:hAnsi="宋体" w:cs="Arial"/>
          <w:color w:val="auto"/>
          <w:sz w:val="22"/>
          <w:highlight w:val="none"/>
        </w:rPr>
      </w:pPr>
      <w:r>
        <w:rPr>
          <w:rFonts w:hint="eastAsia" w:ascii="宋体" w:hAnsi="宋体" w:cs="Arial"/>
          <w:color w:val="auto"/>
          <w:sz w:val="22"/>
          <w:highlight w:val="none"/>
        </w:rPr>
        <w:t>电    话：                           电    话：</w:t>
      </w:r>
    </w:p>
    <w:p>
      <w:pPr>
        <w:spacing w:line="460" w:lineRule="exact"/>
        <w:ind w:firstLine="660" w:firstLineChars="300"/>
        <w:rPr>
          <w:rFonts w:ascii="宋体" w:hAnsi="宋体" w:cs="Arial"/>
          <w:color w:val="auto"/>
          <w:sz w:val="22"/>
          <w:highlight w:val="none"/>
        </w:rPr>
      </w:pPr>
      <w:r>
        <w:rPr>
          <w:rFonts w:hint="eastAsia" w:ascii="宋体" w:hAnsi="宋体" w:cs="Arial"/>
          <w:color w:val="auto"/>
          <w:sz w:val="22"/>
          <w:highlight w:val="none"/>
        </w:rPr>
        <w:t>传    真：                           传    真：</w:t>
      </w:r>
    </w:p>
    <w:p>
      <w:pPr>
        <w:spacing w:line="460" w:lineRule="exact"/>
        <w:ind w:firstLine="660" w:firstLineChars="300"/>
        <w:rPr>
          <w:rFonts w:ascii="宋体" w:hAnsi="宋体" w:cs="Arial"/>
          <w:color w:val="auto"/>
          <w:sz w:val="22"/>
          <w:highlight w:val="none"/>
        </w:rPr>
      </w:pPr>
      <w:r>
        <w:rPr>
          <w:rFonts w:hint="eastAsia" w:ascii="宋体" w:hAnsi="宋体" w:cs="Arial"/>
          <w:color w:val="auto"/>
          <w:sz w:val="22"/>
          <w:highlight w:val="none"/>
        </w:rPr>
        <w:t>开户银行：                           开户银行：</w:t>
      </w:r>
    </w:p>
    <w:p>
      <w:pPr>
        <w:widowControl/>
        <w:spacing w:line="460" w:lineRule="exact"/>
        <w:ind w:firstLine="660" w:firstLineChars="300"/>
        <w:rPr>
          <w:rFonts w:ascii="宋体" w:hAnsi="宋体" w:cs="Arial"/>
          <w:color w:val="auto"/>
          <w:sz w:val="22"/>
          <w:highlight w:val="none"/>
        </w:rPr>
      </w:pPr>
      <w:r>
        <w:rPr>
          <w:rFonts w:hint="eastAsia" w:ascii="宋体" w:hAnsi="宋体" w:cs="Arial"/>
          <w:color w:val="auto"/>
          <w:sz w:val="22"/>
          <w:highlight w:val="none"/>
        </w:rPr>
        <w:t>帐    号：                           帐    号：</w:t>
      </w:r>
    </w:p>
    <w:p>
      <w:pPr>
        <w:widowControl/>
        <w:spacing w:line="460" w:lineRule="exact"/>
        <w:rPr>
          <w:rFonts w:ascii="宋体" w:hAnsi="宋体" w:cs="Arial"/>
          <w:color w:val="auto"/>
          <w:sz w:val="22"/>
          <w:highlight w:val="none"/>
        </w:rPr>
      </w:pPr>
    </w:p>
    <w:p>
      <w:pPr>
        <w:widowControl/>
        <w:spacing w:line="460" w:lineRule="exact"/>
        <w:rPr>
          <w:rFonts w:ascii="宋体" w:hAnsi="宋体" w:cs="Arial"/>
          <w:color w:val="auto"/>
          <w:sz w:val="22"/>
          <w:highlight w:val="none"/>
        </w:rPr>
      </w:pPr>
      <w:r>
        <w:rPr>
          <w:rFonts w:hint="eastAsia" w:ascii="宋体" w:hAnsi="宋体" w:cs="Arial"/>
          <w:color w:val="auto"/>
          <w:sz w:val="22"/>
          <w:highlight w:val="none"/>
        </w:rPr>
        <w:t>注：此合同做为范本参考</w:t>
      </w:r>
    </w:p>
    <w:p>
      <w:pPr>
        <w:pStyle w:val="25"/>
        <w:spacing w:line="400" w:lineRule="exact"/>
        <w:rPr>
          <w:rFonts w:ascii="宋体" w:hAnsi="宋体"/>
          <w:color w:val="auto"/>
          <w:highlight w:val="none"/>
        </w:rPr>
        <w:sectPr>
          <w:pgSz w:w="11906" w:h="16838"/>
          <w:pgMar w:top="1134" w:right="1134" w:bottom="1134" w:left="1134" w:header="851" w:footer="851" w:gutter="0"/>
          <w:cols w:space="720" w:num="1"/>
          <w:titlePg/>
          <w:docGrid w:linePitch="312" w:charSpace="0"/>
        </w:sectPr>
      </w:pPr>
    </w:p>
    <w:p>
      <w:pPr>
        <w:pStyle w:val="25"/>
        <w:spacing w:line="400" w:lineRule="exact"/>
        <w:rPr>
          <w:rFonts w:ascii="宋体" w:hAnsi="宋体"/>
          <w:b/>
          <w:bCs/>
          <w:color w:val="auto"/>
          <w:highlight w:val="none"/>
        </w:rPr>
      </w:pPr>
      <w:r>
        <w:rPr>
          <w:rFonts w:hint="eastAsia" w:ascii="宋体" w:hAnsi="宋体"/>
          <w:b/>
          <w:bCs/>
          <w:color w:val="auto"/>
          <w:highlight w:val="none"/>
        </w:rPr>
        <w:t>灵昆街道道路及河道保洁项目质量考核评分细则</w:t>
      </w:r>
    </w:p>
    <w:p>
      <w:pPr>
        <w:rPr>
          <w:rFonts w:ascii="宋体" w:hAnsi="宋体"/>
          <w:b/>
          <w:color w:val="auto"/>
          <w:sz w:val="24"/>
          <w:highlight w:val="none"/>
        </w:rPr>
      </w:pPr>
      <w:r>
        <w:rPr>
          <w:rFonts w:hint="eastAsia" w:ascii="宋体" w:hAnsi="宋体"/>
          <w:b/>
          <w:color w:val="auto"/>
          <w:sz w:val="24"/>
          <w:highlight w:val="none"/>
        </w:rPr>
        <w:t>一、灵昆街道道路清扫保洁质量考核评分细则</w:t>
      </w:r>
    </w:p>
    <w:tbl>
      <w:tblPr>
        <w:tblStyle w:val="2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6892"/>
        <w:gridCol w:w="4894"/>
        <w:gridCol w:w="21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tblHeader/>
        </w:trPr>
        <w:tc>
          <w:tcPr>
            <w:tcW w:w="1026" w:type="dxa"/>
            <w:vAlign w:val="center"/>
          </w:tcPr>
          <w:p>
            <w:pPr>
              <w:spacing w:line="360" w:lineRule="exact"/>
              <w:jc w:val="center"/>
              <w:rPr>
                <w:rFonts w:ascii="宋体" w:hAnsi="宋体" w:cs="Arial"/>
                <w:color w:val="auto"/>
                <w:sz w:val="24"/>
                <w:highlight w:val="none"/>
              </w:rPr>
            </w:pPr>
            <w:r>
              <w:rPr>
                <w:rFonts w:hint="eastAsia" w:ascii="宋体" w:hAnsi="宋体" w:cs="Arial"/>
                <w:color w:val="auto"/>
                <w:sz w:val="24"/>
                <w:highlight w:val="none"/>
              </w:rPr>
              <w:t>项目</w:t>
            </w:r>
          </w:p>
        </w:tc>
        <w:tc>
          <w:tcPr>
            <w:tcW w:w="6892" w:type="dxa"/>
            <w:vAlign w:val="center"/>
          </w:tcPr>
          <w:p>
            <w:pPr>
              <w:spacing w:line="360" w:lineRule="exact"/>
              <w:jc w:val="center"/>
              <w:rPr>
                <w:rFonts w:ascii="宋体" w:hAnsi="宋体" w:cs="Arial"/>
                <w:color w:val="auto"/>
                <w:sz w:val="24"/>
                <w:highlight w:val="none"/>
              </w:rPr>
            </w:pPr>
            <w:r>
              <w:rPr>
                <w:rFonts w:hint="eastAsia" w:ascii="宋体" w:hAnsi="宋体" w:cs="Arial"/>
                <w:color w:val="auto"/>
                <w:sz w:val="24"/>
                <w:highlight w:val="none"/>
              </w:rPr>
              <w:t>考 核 要 求</w:t>
            </w:r>
          </w:p>
        </w:tc>
        <w:tc>
          <w:tcPr>
            <w:tcW w:w="4894" w:type="dxa"/>
            <w:vAlign w:val="center"/>
          </w:tcPr>
          <w:p>
            <w:pPr>
              <w:spacing w:line="360" w:lineRule="exact"/>
              <w:jc w:val="center"/>
              <w:rPr>
                <w:rFonts w:ascii="宋体" w:hAnsi="宋体" w:cs="Arial"/>
                <w:color w:val="auto"/>
                <w:sz w:val="24"/>
                <w:highlight w:val="none"/>
              </w:rPr>
            </w:pPr>
            <w:r>
              <w:rPr>
                <w:rFonts w:hint="eastAsia" w:ascii="宋体" w:hAnsi="宋体" w:cs="Arial"/>
                <w:color w:val="auto"/>
                <w:sz w:val="24"/>
                <w:highlight w:val="none"/>
              </w:rPr>
              <w:t>评 分 标 准</w:t>
            </w:r>
          </w:p>
        </w:tc>
        <w:tc>
          <w:tcPr>
            <w:tcW w:w="2113" w:type="dxa"/>
            <w:vAlign w:val="center"/>
          </w:tcPr>
          <w:p>
            <w:pPr>
              <w:spacing w:line="360" w:lineRule="exact"/>
              <w:jc w:val="center"/>
              <w:rPr>
                <w:rFonts w:ascii="宋体" w:hAnsi="宋体" w:cs="Arial"/>
                <w:color w:val="auto"/>
                <w:sz w:val="24"/>
                <w:highlight w:val="none"/>
              </w:rPr>
            </w:pPr>
            <w:r>
              <w:rPr>
                <w:rFonts w:hint="eastAsia" w:ascii="宋体" w:hAnsi="宋体" w:cs="Arial"/>
                <w:color w:val="auto"/>
                <w:sz w:val="24"/>
                <w:highlight w:val="none"/>
              </w:rPr>
              <w:t>考核方法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1026" w:type="dxa"/>
            <w:vMerge w:val="restart"/>
            <w:vAlign w:val="center"/>
          </w:tcPr>
          <w:p>
            <w:pPr>
              <w:spacing w:line="300" w:lineRule="exact"/>
              <w:rPr>
                <w:rFonts w:ascii="宋体" w:hAnsi="宋体"/>
                <w:color w:val="auto"/>
                <w:sz w:val="20"/>
                <w:szCs w:val="20"/>
                <w:highlight w:val="none"/>
              </w:rPr>
            </w:pPr>
            <w:r>
              <w:rPr>
                <w:rFonts w:hint="eastAsia" w:ascii="宋体" w:hAnsi="宋体"/>
                <w:color w:val="auto"/>
                <w:sz w:val="20"/>
                <w:szCs w:val="20"/>
                <w:highlight w:val="none"/>
              </w:rPr>
              <w:t>道路清扫保洁质量考核标准</w:t>
            </w:r>
          </w:p>
        </w:tc>
        <w:tc>
          <w:tcPr>
            <w:tcW w:w="6892" w:type="dxa"/>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 xml:space="preserve">达到“七无五净”标准，即无杂物;无果皮壳；无纸屑，烟蒂，塑料袋；无污迹痰迹、无淤泥积石（沙）杂草；无污水；无堵塞窨井沟眼；无普扫盲点和卫生死角。路面、路牙净，窨井沟眼净，道路绿地、树穴净，边角侧石净，花坛周围净, 护栏隔离带净。 </w:t>
            </w:r>
          </w:p>
        </w:tc>
        <w:tc>
          <w:tcPr>
            <w:tcW w:w="4894" w:type="dxa"/>
            <w:vMerge w:val="restart"/>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1.乱张贴、乱涂写20㎡内未清理的每处扣0.5分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2.基底用料不符原色的每处扣0.5分；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3.垃圾散落扣0.2分；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4.垃圾堆放扣3分,垃圾堆放﹥1立方扣5分；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5.袋装垃圾堆放每处扣1分；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6. 积水（雨天除外）、积泥每处扣0.5分，超过3M每处扣1分；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7.废弃物滞留时间超标扣1分 ，</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8.临时性垃圾、碴土等滞留物未按规定时间内清理完成扣1分，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9. 人行道、步阶、墙跟、绿化带、树穴内有明显杂草、杂物或残余垃圾杂物扣0.5分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10.果壳箱未及时清洗加盖、关门扣0.5分；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11.污水或蚊蝇孳生地发现每处扣0.5分；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12.绿化带内杂物、纸屑每处扣0.5分。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13.发现普扫未按规定时间、未达到规定次数或要求的一次扣1-2分。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14.动态保洁时间未按规定要求每次扣2分/次。</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15.交通护栏或交通隔离或道路标志标线发现明显不整洁或污垢的每处扣0.5分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16.每平方米面积烟蒂≥3个扣0.5分</w:t>
            </w:r>
          </w:p>
        </w:tc>
        <w:tc>
          <w:tcPr>
            <w:tcW w:w="2113" w:type="dxa"/>
            <w:vMerge w:val="restart"/>
            <w:vAlign w:val="center"/>
          </w:tcPr>
          <w:p>
            <w:pPr>
              <w:spacing w:line="300" w:lineRule="exact"/>
              <w:rPr>
                <w:rFonts w:ascii="宋体" w:hAnsi="宋体"/>
                <w:color w:val="auto"/>
                <w:sz w:val="20"/>
                <w:szCs w:val="20"/>
                <w:highlight w:val="none"/>
              </w:rPr>
            </w:pPr>
            <w:r>
              <w:rPr>
                <w:rFonts w:hint="eastAsia" w:ascii="宋体" w:hAnsi="宋体" w:cs="Arial"/>
                <w:color w:val="auto"/>
                <w:sz w:val="20"/>
                <w:szCs w:val="20"/>
                <w:highlight w:val="none"/>
              </w:rPr>
              <w:t>在规定的保洁时间内（包括节假日），随机抽查，不合格路段反复查。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026" w:type="dxa"/>
            <w:vMerge w:val="continue"/>
            <w:vAlign w:val="center"/>
          </w:tcPr>
          <w:p>
            <w:pPr>
              <w:spacing w:line="300" w:lineRule="exact"/>
              <w:rPr>
                <w:rFonts w:ascii="宋体" w:hAnsi="宋体"/>
                <w:color w:val="auto"/>
                <w:sz w:val="20"/>
                <w:szCs w:val="20"/>
                <w:highlight w:val="none"/>
              </w:rPr>
            </w:pPr>
          </w:p>
        </w:tc>
        <w:tc>
          <w:tcPr>
            <w:tcW w:w="6892" w:type="dxa"/>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在动态保洁时间内，应做到无明显杂物、杂草、无积水积泥等情况。废弃物滞留应不超过30分钟。大面积落叶季节可适当延长滞留时间。临时出现的大面积垃圾、渣土等滞留物，须在24小时内及时清理干净。</w:t>
            </w:r>
          </w:p>
        </w:tc>
        <w:tc>
          <w:tcPr>
            <w:tcW w:w="4894" w:type="dxa"/>
            <w:vMerge w:val="continue"/>
            <w:vAlign w:val="center"/>
          </w:tcPr>
          <w:p>
            <w:pPr>
              <w:spacing w:line="300" w:lineRule="exact"/>
              <w:rPr>
                <w:rFonts w:ascii="宋体" w:hAnsi="宋体"/>
                <w:color w:val="auto"/>
                <w:sz w:val="20"/>
                <w:szCs w:val="20"/>
                <w:highlight w:val="none"/>
              </w:rPr>
            </w:pPr>
          </w:p>
        </w:tc>
        <w:tc>
          <w:tcPr>
            <w:tcW w:w="2113" w:type="dxa"/>
            <w:vMerge w:val="continue"/>
            <w:vAlign w:val="center"/>
          </w:tcPr>
          <w:p>
            <w:pPr>
              <w:spacing w:line="300" w:lineRule="exact"/>
              <w:rPr>
                <w:rFonts w:ascii="宋体" w:hAnsi="宋体" w:cs="Arial"/>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15" w:hRule="atLeast"/>
        </w:trPr>
        <w:tc>
          <w:tcPr>
            <w:tcW w:w="1026" w:type="dxa"/>
            <w:vMerge w:val="continue"/>
            <w:vAlign w:val="center"/>
          </w:tcPr>
          <w:p>
            <w:pPr>
              <w:spacing w:line="300" w:lineRule="exact"/>
              <w:jc w:val="center"/>
              <w:rPr>
                <w:rFonts w:ascii="宋体" w:hAnsi="宋体"/>
                <w:color w:val="auto"/>
                <w:sz w:val="20"/>
                <w:szCs w:val="20"/>
                <w:highlight w:val="none"/>
              </w:rPr>
            </w:pPr>
          </w:p>
        </w:tc>
        <w:tc>
          <w:tcPr>
            <w:tcW w:w="6892" w:type="dxa"/>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一、二级道路全天实行14个小时（5:00-19:00）清扫保洁，确保一日二次普扫。第一次普扫即晨扫必须在夏季6：30、冬季7：00以前完成；第二次普扫在下午夏季17：00、冬季16:30前完成。三级道路全天实行12个小时（6:00-18:00）清扫保洁，确保一日二次普扫。第一次普扫即晨扫必须在夏季7：30、冬季8：00以前完成；第二次普扫在下午夏季17：00、冬季16:30前完成。普扫结束后做好巡回保洁工作，交接班不得出现空档，责任区交界处，责任交界处清扫保洁各过界10米，普扫时段内，要求环卫工人全员出勤。</w:t>
            </w:r>
          </w:p>
        </w:tc>
        <w:tc>
          <w:tcPr>
            <w:tcW w:w="4894" w:type="dxa"/>
            <w:vMerge w:val="continue"/>
            <w:vAlign w:val="center"/>
          </w:tcPr>
          <w:p>
            <w:pPr>
              <w:spacing w:line="300" w:lineRule="exact"/>
              <w:rPr>
                <w:rFonts w:ascii="宋体" w:hAnsi="宋体"/>
                <w:color w:val="auto"/>
                <w:sz w:val="20"/>
                <w:szCs w:val="20"/>
                <w:highlight w:val="none"/>
              </w:rPr>
            </w:pPr>
          </w:p>
        </w:tc>
        <w:tc>
          <w:tcPr>
            <w:tcW w:w="2113" w:type="dxa"/>
            <w:vMerge w:val="continue"/>
            <w:vAlign w:val="center"/>
          </w:tcPr>
          <w:p>
            <w:pPr>
              <w:spacing w:line="300" w:lineRule="exact"/>
              <w:jc w:val="center"/>
              <w:rPr>
                <w:rFonts w:ascii="宋体" w:hAnsi="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26" w:type="dxa"/>
            <w:vMerge w:val="continue"/>
            <w:vAlign w:val="center"/>
          </w:tcPr>
          <w:p>
            <w:pPr>
              <w:spacing w:line="300" w:lineRule="exact"/>
              <w:jc w:val="center"/>
              <w:rPr>
                <w:rFonts w:ascii="宋体" w:hAnsi="宋体"/>
                <w:color w:val="auto"/>
                <w:sz w:val="20"/>
                <w:szCs w:val="20"/>
                <w:highlight w:val="none"/>
              </w:rPr>
            </w:pPr>
          </w:p>
        </w:tc>
        <w:tc>
          <w:tcPr>
            <w:tcW w:w="6892" w:type="dxa"/>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 xml:space="preserve">道路绿地（含车道绿化隔离带、人行道绿地）保洁应与道路保洁同步，做到绿化带内无杂物、无垃圾。 </w:t>
            </w:r>
          </w:p>
        </w:tc>
        <w:tc>
          <w:tcPr>
            <w:tcW w:w="4894" w:type="dxa"/>
            <w:vMerge w:val="continue"/>
            <w:vAlign w:val="center"/>
          </w:tcPr>
          <w:p>
            <w:pPr>
              <w:spacing w:line="300" w:lineRule="exact"/>
              <w:rPr>
                <w:rFonts w:ascii="宋体" w:hAnsi="宋体"/>
                <w:color w:val="auto"/>
                <w:sz w:val="20"/>
                <w:szCs w:val="20"/>
                <w:highlight w:val="none"/>
              </w:rPr>
            </w:pPr>
          </w:p>
        </w:tc>
        <w:tc>
          <w:tcPr>
            <w:tcW w:w="2113" w:type="dxa"/>
            <w:vMerge w:val="continue"/>
            <w:vAlign w:val="center"/>
          </w:tcPr>
          <w:p>
            <w:pPr>
              <w:spacing w:line="300" w:lineRule="exact"/>
              <w:jc w:val="center"/>
              <w:rPr>
                <w:rFonts w:ascii="宋体" w:hAnsi="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26" w:type="dxa"/>
            <w:vMerge w:val="continue"/>
            <w:vAlign w:val="center"/>
          </w:tcPr>
          <w:p>
            <w:pPr>
              <w:spacing w:line="300" w:lineRule="exact"/>
              <w:jc w:val="center"/>
              <w:rPr>
                <w:rFonts w:ascii="宋体" w:hAnsi="宋体"/>
                <w:color w:val="auto"/>
                <w:sz w:val="20"/>
                <w:szCs w:val="20"/>
                <w:highlight w:val="none"/>
              </w:rPr>
            </w:pPr>
          </w:p>
        </w:tc>
        <w:tc>
          <w:tcPr>
            <w:tcW w:w="6892" w:type="dxa"/>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交通护栏或交通隔离或道路标志标线要进行日常保洁，应保持整洁、无污垢。</w:t>
            </w:r>
          </w:p>
        </w:tc>
        <w:tc>
          <w:tcPr>
            <w:tcW w:w="4894" w:type="dxa"/>
            <w:vMerge w:val="continue"/>
            <w:vAlign w:val="center"/>
          </w:tcPr>
          <w:p>
            <w:pPr>
              <w:spacing w:line="300" w:lineRule="exact"/>
              <w:rPr>
                <w:rFonts w:ascii="宋体" w:hAnsi="宋体"/>
                <w:color w:val="auto"/>
                <w:sz w:val="20"/>
                <w:szCs w:val="20"/>
                <w:highlight w:val="none"/>
              </w:rPr>
            </w:pPr>
          </w:p>
        </w:tc>
        <w:tc>
          <w:tcPr>
            <w:tcW w:w="2113" w:type="dxa"/>
            <w:vMerge w:val="continue"/>
            <w:vAlign w:val="center"/>
          </w:tcPr>
          <w:p>
            <w:pPr>
              <w:spacing w:line="300" w:lineRule="exact"/>
              <w:jc w:val="center"/>
              <w:rPr>
                <w:rFonts w:ascii="宋体" w:hAnsi="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1026" w:type="dxa"/>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环卫设施维护标准</w:t>
            </w:r>
          </w:p>
          <w:p>
            <w:pPr>
              <w:spacing w:line="300" w:lineRule="exact"/>
              <w:jc w:val="center"/>
              <w:rPr>
                <w:rFonts w:ascii="宋体" w:hAnsi="宋体"/>
                <w:color w:val="auto"/>
                <w:sz w:val="20"/>
                <w:szCs w:val="20"/>
                <w:highlight w:val="none"/>
              </w:rPr>
            </w:pPr>
          </w:p>
        </w:tc>
        <w:tc>
          <w:tcPr>
            <w:tcW w:w="6892" w:type="dxa"/>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1.果壳箱、垃圾桶、垃圾坞等环卫设施无破损；</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2.果壳箱、垃圾桶、垃圾收集车辆、垃圾坞每日清洗一次；垃圾收集车、道路机械化清扫车、洒水车等每日清洗后方可上路，保持外观整洁；</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3.垃圾容器封闭无四害孳生，周围无垃圾散落，管理规范，垃圾做到日产日清。</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 xml:space="preserve">4.交通道路引导标志牌每月冲刷次数不得少于一次。 </w:t>
            </w:r>
          </w:p>
        </w:tc>
        <w:tc>
          <w:tcPr>
            <w:tcW w:w="4894" w:type="dxa"/>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1.果壳箱、垃圾桶、垃圾收集车等设施不洁扣0.5分/只（辆）；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2.设施破损的发现一个扣0.5分；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2.设施、交通道路引导标志牌不整洁或车辆未清洗发现一处的扣0.5分；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3.设施四害孳生的发现一次扣0.5分；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4.垃圾没有日产日清的发现一次扣0.5分；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5. 垃圾桶、垃圾坞垃圾外溢未及时清理每处扣1分/处；外溢超过0.5立方按垃圾堆放扣分。</w:t>
            </w:r>
          </w:p>
        </w:tc>
        <w:tc>
          <w:tcPr>
            <w:tcW w:w="2113" w:type="dxa"/>
            <w:vAlign w:val="center"/>
          </w:tcPr>
          <w:p>
            <w:pPr>
              <w:spacing w:line="300" w:lineRule="exact"/>
              <w:jc w:val="center"/>
              <w:rPr>
                <w:rFonts w:ascii="宋体" w:hAnsi="宋体"/>
                <w:color w:val="auto"/>
                <w:sz w:val="20"/>
                <w:szCs w:val="20"/>
                <w:highlight w:val="none"/>
              </w:rPr>
            </w:pPr>
            <w:r>
              <w:rPr>
                <w:rFonts w:hint="eastAsia" w:ascii="宋体" w:hAnsi="宋体" w:cs="Arial"/>
                <w:color w:val="auto"/>
                <w:sz w:val="20"/>
                <w:szCs w:val="20"/>
                <w:highlight w:val="none"/>
              </w:rPr>
              <w:t>在规定的保洁时间内（包括节假日），随机抽查，不合格路段反复查。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1" w:hRule="atLeast"/>
        </w:trPr>
        <w:tc>
          <w:tcPr>
            <w:tcW w:w="1026" w:type="dxa"/>
            <w:vMerge w:val="restart"/>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机械化作业规范考核标准</w:t>
            </w:r>
          </w:p>
          <w:p>
            <w:pPr>
              <w:spacing w:line="300" w:lineRule="exact"/>
              <w:rPr>
                <w:rFonts w:ascii="宋体" w:hAnsi="宋体"/>
                <w:color w:val="auto"/>
                <w:sz w:val="20"/>
                <w:szCs w:val="20"/>
                <w:highlight w:val="none"/>
              </w:rPr>
            </w:pPr>
          </w:p>
        </w:tc>
        <w:tc>
          <w:tcPr>
            <w:tcW w:w="6892" w:type="dxa"/>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洒水作业规范</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1）气温3-30℃，路面洒水每天不少于2次；气温30℃以上时，路面洒水每天不少于3次；气温低于3℃停止洒水；</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2）交通早晚高峰期间禁止路面洒水作业。</w:t>
            </w:r>
          </w:p>
          <w:p>
            <w:pPr>
              <w:spacing w:line="300" w:lineRule="exact"/>
              <w:rPr>
                <w:rFonts w:ascii="宋体" w:hAnsi="宋体"/>
                <w:color w:val="auto"/>
                <w:sz w:val="20"/>
                <w:szCs w:val="20"/>
                <w:highlight w:val="none"/>
              </w:rPr>
            </w:pPr>
            <w:r>
              <w:rPr>
                <w:rFonts w:hint="eastAsia" w:ascii="宋体" w:hAnsi="宋体" w:cs="Arial"/>
                <w:color w:val="auto"/>
                <w:sz w:val="20"/>
                <w:szCs w:val="20"/>
                <w:highlight w:val="none"/>
              </w:rPr>
              <w:t>3）出车前要进行检查后方可上路，禁止带故障运行。作业时应适当控制水压，行车速度最高不得超过20公里/小时，避免把水溅到路边的行人；必须安装全球卫星定位系统（GPS），上路作业时，必须打开全球卫星定位系统（GPS）和警示灯；要遵守道路交通安全法规，礼让行车，注意行人的安全；严格按照范围、路线、时间、次数、车速进行作业，不得随意变更。作业完毕后及时清洗干净入库，做好作业车辆行车、维修保养记录。</w:t>
            </w:r>
          </w:p>
        </w:tc>
        <w:tc>
          <w:tcPr>
            <w:tcW w:w="4894" w:type="dxa"/>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1.发现未按照规定范围、路线、时间、次数、车速进行作业的一次扣1-2分/辆。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2.排水口堵塞未及时清理一次扣1分；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3.喷雾压尘面积、次数达不到要求的一次扣5分；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4.洒水次数每少一次扣1-2分。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5.发现车辆未未打开全球卫星定位系统GPS和警示灯的一次扣1分，其他未达标的扣0.5分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6.发现车辆未安装GPS的，直接按不达标处理。扣5分。</w:t>
            </w:r>
          </w:p>
        </w:tc>
        <w:tc>
          <w:tcPr>
            <w:tcW w:w="2113" w:type="dxa"/>
            <w:vMerge w:val="restart"/>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在规定的保洁时间内（包括节假日），随机抽查，不合格路段反复查。</w:t>
            </w:r>
          </w:p>
          <w:p>
            <w:pPr>
              <w:spacing w:line="300" w:lineRule="exact"/>
              <w:jc w:val="center"/>
              <w:rPr>
                <w:rFonts w:ascii="宋体" w:hAnsi="宋体" w:cs="Arial"/>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026" w:type="dxa"/>
            <w:vMerge w:val="continue"/>
            <w:vAlign w:val="center"/>
          </w:tcPr>
          <w:p>
            <w:pPr>
              <w:spacing w:line="300" w:lineRule="exact"/>
              <w:rPr>
                <w:rFonts w:ascii="宋体" w:hAnsi="宋体" w:cs="Arial"/>
                <w:color w:val="auto"/>
                <w:sz w:val="19"/>
                <w:highlight w:val="none"/>
              </w:rPr>
            </w:pPr>
          </w:p>
        </w:tc>
        <w:tc>
          <w:tcPr>
            <w:tcW w:w="6892" w:type="dxa"/>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清扫车作业规范</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1）机扫到边、到位效果明显，路面无垃圾、无积泥、无沙石；清扫作业时间应规避上下班高峰期，清扫每两天一次；</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2）出车前要进行检查后方可上路，禁止带故障运行。作业时，行车速度最高时速不得超过10公里/小时。应喷水压尘，盘扫应下放到位清扫；作业期间基本无扬尘，清扫途中无垃圾撒落；垃圾在采购人认可的指定地点倾倒，不得随意倾倒、偷倒、乱倒垃圾；严格按照范围、路线、时间进行机扫作业，不得随意变更；安装全球卫星定位系统（GPS），上路作业时，必须打开全球卫星定位系统（GPS）和警示灯；作业时要遵守道路交通安全法规，礼让行车，注意行人。</w:t>
            </w:r>
          </w:p>
        </w:tc>
        <w:tc>
          <w:tcPr>
            <w:tcW w:w="4894" w:type="dxa"/>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1.发现未按照规定范围、路线、时间、次数、车速进行机扫作业的一次扣1-2分/辆。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2.机扫路面发现垃圾、积泥、沙石的一次扣0.5分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3.作业时扬尘或清扫途中垃圾撒落的一次扣0.5分；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4.发现机械清扫车随意倾倒、偷倒、乱倒垃圾的一次扣1分；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5.发现车辆未未打开全球卫星定位系统GPS和警示灯的一次扣1分，其他未达标的扣0.5分</w:t>
            </w:r>
          </w:p>
          <w:p>
            <w:pPr>
              <w:spacing w:line="300" w:lineRule="exact"/>
              <w:rPr>
                <w:rFonts w:ascii="宋体" w:hAnsi="宋体"/>
                <w:color w:val="auto"/>
                <w:sz w:val="20"/>
                <w:szCs w:val="20"/>
                <w:highlight w:val="none"/>
              </w:rPr>
            </w:pPr>
            <w:r>
              <w:rPr>
                <w:rFonts w:hint="eastAsia" w:ascii="宋体" w:hAnsi="宋体" w:cs="Arial"/>
                <w:color w:val="auto"/>
                <w:sz w:val="20"/>
                <w:szCs w:val="20"/>
                <w:highlight w:val="none"/>
              </w:rPr>
              <w:t>6.发现车辆未安装GPS的，直接按不达标处理。扣5分。</w:t>
            </w:r>
          </w:p>
        </w:tc>
        <w:tc>
          <w:tcPr>
            <w:tcW w:w="2113" w:type="dxa"/>
            <w:vMerge w:val="continue"/>
            <w:vAlign w:val="center"/>
          </w:tcPr>
          <w:p>
            <w:pPr>
              <w:spacing w:line="300" w:lineRule="exact"/>
              <w:jc w:val="center"/>
              <w:rPr>
                <w:rFonts w:ascii="宋体" w:hAnsi="宋体" w:cs="Arial"/>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8" w:hRule="atLeast"/>
        </w:trPr>
        <w:tc>
          <w:tcPr>
            <w:tcW w:w="1026" w:type="dxa"/>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清扫作业规范考核标准</w:t>
            </w:r>
          </w:p>
        </w:tc>
        <w:tc>
          <w:tcPr>
            <w:tcW w:w="6892" w:type="dxa"/>
            <w:vAlign w:val="center"/>
          </w:tcPr>
          <w:p>
            <w:pPr>
              <w:numPr>
                <w:ilvl w:val="0"/>
                <w:numId w:val="9"/>
              </w:num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保洁作业人员不得擅自离（脱）岗，不聚闲聊，工期休息不超过15分钟，作业期间不做与作业无关的事；作业人员应当佩证上岗，作业期内穿反光安全服；作业时间内，作业人员应按车行线反方向清扫，车辆停放遵守交通法规；垃圾运输实行密闭，不得超高运输和吊挂杂物；严禁作业人员擅自向责任区内单位收取各种费用。及时处理各类交办件。</w:t>
            </w:r>
          </w:p>
          <w:p>
            <w:pPr>
              <w:numPr>
                <w:ilvl w:val="0"/>
                <w:numId w:val="9"/>
              </w:num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清扫保洁时间内（含工人清扫）垃圾不得扫入窨井、花坛、绿化带、河道等处；清扫作业中不得漏扫、甩扫；交接班不得出现空档，责任区交界处清扫保洁各过界10米；垃圾直接清运至垃圾中转站，不得中途随意倾倒垃圾，不得焚烧垃圾。不得在责任区外翻捡废品，干私活。</w:t>
            </w:r>
          </w:p>
        </w:tc>
        <w:tc>
          <w:tcPr>
            <w:tcW w:w="4894" w:type="dxa"/>
            <w:vAlign w:val="center"/>
          </w:tcPr>
          <w:p>
            <w:pPr>
              <w:numPr>
                <w:ilvl w:val="0"/>
                <w:numId w:val="10"/>
              </w:num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发现违反劳动纪律扣1分/人次；</w:t>
            </w:r>
          </w:p>
          <w:p>
            <w:pPr>
              <w:numPr>
                <w:ilvl w:val="0"/>
                <w:numId w:val="10"/>
              </w:num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无佩戴上岗证和穿反光安全服的发现一次扣0.5分；                                         3.垃圾未实行密闭运输一次扣0.5分，拖挂杂物每次扣0.3分；</w:t>
            </w:r>
          </w:p>
          <w:p>
            <w:pPr>
              <w:numPr>
                <w:ilvl w:val="0"/>
                <w:numId w:val="11"/>
              </w:num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 xml:space="preserve">发现作业人员擅自收费的一次扣3分；   </w:t>
            </w:r>
          </w:p>
          <w:p>
            <w:pPr>
              <w:numPr>
                <w:ilvl w:val="0"/>
                <w:numId w:val="11"/>
              </w:num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 xml:space="preserve">故意将垃圾扫入窑井、花坛、绿化带查证属实的一次扣3分； </w:t>
            </w:r>
          </w:p>
          <w:p>
            <w:pPr>
              <w:numPr>
                <w:ilvl w:val="0"/>
                <w:numId w:val="11"/>
              </w:num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清扫中发现漏扫、甩扫的发现一次扣0.5分；</w:t>
            </w:r>
          </w:p>
          <w:p>
            <w:pPr>
              <w:numPr>
                <w:ilvl w:val="0"/>
                <w:numId w:val="11"/>
              </w:num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 xml:space="preserve">交接班出现空档或交界处清扫未各过界10米的扣1分；  </w:t>
            </w:r>
          </w:p>
          <w:p>
            <w:pPr>
              <w:numPr>
                <w:ilvl w:val="0"/>
                <w:numId w:val="11"/>
              </w:num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 xml:space="preserve">垃圾未在指定地点倾倒或焚烧的发现一次扣3分； </w:t>
            </w:r>
          </w:p>
          <w:p>
            <w:pPr>
              <w:numPr>
                <w:ilvl w:val="0"/>
                <w:numId w:val="11"/>
              </w:num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 xml:space="preserve">发现作业人员不到位的扣2分/例；  </w:t>
            </w:r>
          </w:p>
          <w:p>
            <w:pPr>
              <w:numPr>
                <w:ilvl w:val="0"/>
                <w:numId w:val="11"/>
              </w:num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未及时处理交办件的扣1分。</w:t>
            </w:r>
          </w:p>
        </w:tc>
        <w:tc>
          <w:tcPr>
            <w:tcW w:w="2113" w:type="dxa"/>
            <w:vAlign w:val="center"/>
          </w:tcPr>
          <w:p>
            <w:pPr>
              <w:spacing w:line="300" w:lineRule="exact"/>
              <w:jc w:val="center"/>
              <w:rPr>
                <w:rFonts w:ascii="宋体" w:hAnsi="宋体" w:cs="Arial"/>
                <w:color w:val="auto"/>
                <w:sz w:val="20"/>
                <w:szCs w:val="20"/>
                <w:highlight w:val="none"/>
              </w:rPr>
            </w:pPr>
            <w:r>
              <w:rPr>
                <w:rFonts w:hint="eastAsia" w:ascii="宋体" w:hAnsi="宋体" w:cs="Arial"/>
                <w:color w:val="auto"/>
                <w:sz w:val="20"/>
                <w:szCs w:val="20"/>
                <w:highlight w:val="none"/>
              </w:rPr>
              <w:t>在规定的保洁时间内（包括节假日），随机抽查，不合格路段反复查。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2" w:hRule="atLeast"/>
        </w:trPr>
        <w:tc>
          <w:tcPr>
            <w:tcW w:w="1026" w:type="dxa"/>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内部管理</w:t>
            </w:r>
          </w:p>
          <w:p>
            <w:pPr>
              <w:spacing w:line="300" w:lineRule="exact"/>
              <w:rPr>
                <w:rFonts w:ascii="宋体" w:hAnsi="宋体" w:cs="Arial"/>
                <w:color w:val="auto"/>
                <w:sz w:val="20"/>
                <w:szCs w:val="20"/>
                <w:highlight w:val="none"/>
              </w:rPr>
            </w:pPr>
          </w:p>
        </w:tc>
        <w:tc>
          <w:tcPr>
            <w:tcW w:w="6892" w:type="dxa"/>
            <w:vAlign w:val="center"/>
          </w:tcPr>
          <w:p>
            <w:pPr>
              <w:numPr>
                <w:ilvl w:val="0"/>
                <w:numId w:val="12"/>
              </w:num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中标单位要遵守国家法律和地方法规各项规定，保障环卫工人的合法权益。如按照《</w:t>
            </w:r>
            <w:r>
              <w:rPr>
                <w:rFonts w:hint="eastAsia" w:ascii="宋体" w:hAnsi="宋体" w:cs="Arial"/>
                <w:color w:val="auto"/>
                <w:sz w:val="20"/>
                <w:szCs w:val="20"/>
                <w:highlight w:val="none"/>
                <w:lang w:eastAsia="zh-CN"/>
              </w:rPr>
              <w:t>中华人民共和国民法典</w:t>
            </w:r>
            <w:r>
              <w:rPr>
                <w:rFonts w:hint="eastAsia" w:ascii="宋体" w:hAnsi="宋体" w:cs="Arial"/>
                <w:color w:val="auto"/>
                <w:sz w:val="20"/>
                <w:szCs w:val="20"/>
                <w:highlight w:val="none"/>
              </w:rPr>
              <w:t>》的要求签订劳动合同，并办理各项社会保险手续，包括养老保险、医疗保险、失业保险、工伤保险和生育保险、人身意外险等；合理安排环卫工人的工作量和休息时间，超过法定工作时间的，要按照国家有关规定安排补休或给予补偿。</w:t>
            </w:r>
          </w:p>
          <w:p>
            <w:pPr>
              <w:numPr>
                <w:ilvl w:val="0"/>
                <w:numId w:val="12"/>
              </w:num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中标企业应当建立规章制度、岗位责任制度、工作考核机制等，并定期开展环卫工人安全教育等培训。</w:t>
            </w:r>
          </w:p>
          <w:p>
            <w:pPr>
              <w:numPr>
                <w:ilvl w:val="0"/>
                <w:numId w:val="12"/>
              </w:num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中标企业应当建立完备、真实的台帐资料，并能够真实提供完整的环卫工人工资、福利等待遇及保险凭证。</w:t>
            </w:r>
          </w:p>
        </w:tc>
        <w:tc>
          <w:tcPr>
            <w:tcW w:w="4894" w:type="dxa"/>
            <w:vAlign w:val="center"/>
          </w:tcPr>
          <w:p>
            <w:pPr>
              <w:spacing w:line="300" w:lineRule="exact"/>
              <w:rPr>
                <w:rFonts w:ascii="宋体" w:hAnsi="宋体" w:cs="Arial"/>
                <w:color w:val="auto"/>
                <w:sz w:val="20"/>
                <w:szCs w:val="20"/>
                <w:highlight w:val="none"/>
              </w:rPr>
            </w:pPr>
            <w:r>
              <w:rPr>
                <w:rFonts w:hint="eastAsia" w:ascii="宋体" w:hAnsi="宋体"/>
                <w:color w:val="auto"/>
                <w:sz w:val="20"/>
                <w:szCs w:val="20"/>
                <w:highlight w:val="none"/>
              </w:rPr>
              <w:t>发现未达标的扣0.5分/例；每月28日前向采购人提交本月环卫保洁出勤记录和下月环卫保洁计划（包括出勤人员名单、身份证及联系电话、车辆安排、出勤时间、现场负责人联系方式等）。每月结算前由乙方向甲方提供工人工资册（内容包括工人姓名、工资、身份证、考勤记录等信息），以及机械化车辆运行记录和人员作业记录，未提交以上台帐资料的，在下月考核总分中直接扣除5分。</w:t>
            </w:r>
          </w:p>
        </w:tc>
        <w:tc>
          <w:tcPr>
            <w:tcW w:w="2113" w:type="dxa"/>
            <w:vAlign w:val="center"/>
          </w:tcPr>
          <w:p>
            <w:pPr>
              <w:spacing w:line="300" w:lineRule="exact"/>
              <w:jc w:val="center"/>
              <w:rPr>
                <w:rFonts w:ascii="宋体" w:hAnsi="宋体" w:cs="Arial"/>
                <w:color w:val="auto"/>
                <w:sz w:val="20"/>
                <w:szCs w:val="20"/>
                <w:highlight w:val="none"/>
              </w:rPr>
            </w:pPr>
            <w:r>
              <w:rPr>
                <w:rFonts w:hint="eastAsia" w:ascii="宋体" w:hAnsi="宋体" w:cs="Arial"/>
                <w:color w:val="auto"/>
                <w:sz w:val="20"/>
                <w:szCs w:val="20"/>
                <w:highlight w:val="none"/>
              </w:rPr>
              <w:t>随机抽查和定期检查</w:t>
            </w:r>
          </w:p>
        </w:tc>
      </w:tr>
    </w:tbl>
    <w:p>
      <w:pPr>
        <w:rPr>
          <w:rFonts w:ascii="宋体" w:hAnsi="宋体"/>
          <w:b/>
          <w:color w:val="auto"/>
          <w:sz w:val="22"/>
          <w:highlight w:val="none"/>
        </w:rPr>
      </w:pPr>
    </w:p>
    <w:p>
      <w:pPr>
        <w:spacing w:line="360" w:lineRule="auto"/>
        <w:rPr>
          <w:rFonts w:ascii="宋体" w:hAnsi="宋体"/>
          <w:b/>
          <w:color w:val="auto"/>
          <w:sz w:val="22"/>
          <w:highlight w:val="none"/>
        </w:rPr>
      </w:pPr>
    </w:p>
    <w:p>
      <w:pPr>
        <w:spacing w:line="360" w:lineRule="auto"/>
        <w:rPr>
          <w:rFonts w:ascii="宋体" w:hAnsi="宋体"/>
          <w:b/>
          <w:color w:val="auto"/>
          <w:sz w:val="22"/>
          <w:highlight w:val="none"/>
        </w:rPr>
        <w:sectPr>
          <w:pgSz w:w="16838" w:h="11906" w:orient="landscape"/>
          <w:pgMar w:top="1134" w:right="1134" w:bottom="1134" w:left="1134" w:header="851" w:footer="851" w:gutter="0"/>
          <w:cols w:space="720" w:num="1"/>
          <w:titlePg/>
          <w:docGrid w:linePitch="312" w:charSpace="0"/>
        </w:sectPr>
      </w:pPr>
    </w:p>
    <w:p>
      <w:pPr>
        <w:rPr>
          <w:rFonts w:ascii="宋体" w:hAnsi="宋体"/>
          <w:b/>
          <w:color w:val="auto"/>
          <w:sz w:val="24"/>
          <w:highlight w:val="none"/>
        </w:rPr>
      </w:pPr>
      <w:r>
        <w:rPr>
          <w:rFonts w:hint="eastAsia" w:ascii="宋体" w:hAnsi="宋体"/>
          <w:b/>
          <w:color w:val="auto"/>
          <w:sz w:val="24"/>
          <w:highlight w:val="none"/>
        </w:rPr>
        <w:t>二、灵昆街道河道保洁质量考核评分细则</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827"/>
        <w:gridCol w:w="396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trPr>
        <w:tc>
          <w:tcPr>
            <w:tcW w:w="959" w:type="dxa"/>
            <w:vAlign w:val="center"/>
          </w:tcPr>
          <w:p>
            <w:pPr>
              <w:spacing w:line="300" w:lineRule="exact"/>
              <w:jc w:val="center"/>
              <w:rPr>
                <w:rFonts w:ascii="宋体" w:hAnsi="宋体" w:cs="Arial"/>
                <w:color w:val="auto"/>
                <w:sz w:val="22"/>
                <w:highlight w:val="none"/>
              </w:rPr>
            </w:pPr>
            <w:r>
              <w:rPr>
                <w:rFonts w:hint="eastAsia" w:ascii="宋体" w:hAnsi="宋体" w:cs="Arial"/>
                <w:color w:val="auto"/>
                <w:sz w:val="22"/>
                <w:highlight w:val="none"/>
              </w:rPr>
              <w:t>项目</w:t>
            </w:r>
          </w:p>
        </w:tc>
        <w:tc>
          <w:tcPr>
            <w:tcW w:w="3827" w:type="dxa"/>
            <w:vAlign w:val="center"/>
          </w:tcPr>
          <w:p>
            <w:pPr>
              <w:spacing w:line="300" w:lineRule="exact"/>
              <w:jc w:val="center"/>
              <w:rPr>
                <w:rFonts w:ascii="宋体" w:hAnsi="宋体" w:cs="Arial"/>
                <w:color w:val="auto"/>
                <w:sz w:val="22"/>
                <w:highlight w:val="none"/>
              </w:rPr>
            </w:pPr>
            <w:r>
              <w:rPr>
                <w:rFonts w:hint="eastAsia" w:ascii="宋体" w:hAnsi="宋体" w:cs="Arial"/>
                <w:color w:val="auto"/>
                <w:sz w:val="22"/>
                <w:highlight w:val="none"/>
              </w:rPr>
              <w:t>考 核 要 求</w:t>
            </w:r>
          </w:p>
        </w:tc>
        <w:tc>
          <w:tcPr>
            <w:tcW w:w="3969" w:type="dxa"/>
            <w:vAlign w:val="center"/>
          </w:tcPr>
          <w:p>
            <w:pPr>
              <w:spacing w:line="300" w:lineRule="exact"/>
              <w:jc w:val="center"/>
              <w:rPr>
                <w:rFonts w:ascii="宋体" w:hAnsi="宋体" w:cs="Arial"/>
                <w:color w:val="auto"/>
                <w:sz w:val="22"/>
                <w:highlight w:val="none"/>
              </w:rPr>
            </w:pPr>
            <w:r>
              <w:rPr>
                <w:rFonts w:hint="eastAsia" w:ascii="宋体" w:hAnsi="宋体" w:cs="Arial"/>
                <w:color w:val="auto"/>
                <w:sz w:val="22"/>
                <w:highlight w:val="none"/>
              </w:rPr>
              <w:t xml:space="preserve"> 评 分 标 准</w:t>
            </w:r>
          </w:p>
        </w:tc>
        <w:tc>
          <w:tcPr>
            <w:tcW w:w="992" w:type="dxa"/>
            <w:vAlign w:val="center"/>
          </w:tcPr>
          <w:p>
            <w:pPr>
              <w:spacing w:line="300" w:lineRule="exact"/>
              <w:jc w:val="center"/>
              <w:rPr>
                <w:rFonts w:ascii="宋体" w:hAnsi="宋体" w:cs="Arial"/>
                <w:color w:val="auto"/>
                <w:sz w:val="22"/>
                <w:highlight w:val="none"/>
              </w:rPr>
            </w:pPr>
            <w:r>
              <w:rPr>
                <w:rFonts w:hint="eastAsia" w:ascii="宋体" w:hAnsi="宋体" w:cs="Arial"/>
                <w:color w:val="auto"/>
                <w:sz w:val="22"/>
                <w:highlight w:val="none"/>
              </w:rPr>
              <w:t>考核  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1" w:hRule="atLeast"/>
        </w:trPr>
        <w:tc>
          <w:tcPr>
            <w:tcW w:w="959" w:type="dxa"/>
            <w:vAlign w:val="center"/>
          </w:tcPr>
          <w:p>
            <w:pPr>
              <w:spacing w:line="300" w:lineRule="exact"/>
              <w:jc w:val="center"/>
              <w:rPr>
                <w:rFonts w:ascii="宋体" w:hAnsi="宋体" w:cs="Arial"/>
                <w:color w:val="auto"/>
                <w:sz w:val="20"/>
                <w:szCs w:val="20"/>
                <w:highlight w:val="none"/>
              </w:rPr>
            </w:pPr>
            <w:r>
              <w:rPr>
                <w:rFonts w:hint="eastAsia" w:ascii="宋体" w:hAnsi="宋体" w:cs="Arial"/>
                <w:color w:val="auto"/>
                <w:sz w:val="20"/>
                <w:szCs w:val="20"/>
                <w:highlight w:val="none"/>
              </w:rPr>
              <w:t>日常</w:t>
            </w:r>
          </w:p>
          <w:p>
            <w:pPr>
              <w:spacing w:line="300" w:lineRule="exact"/>
              <w:jc w:val="center"/>
              <w:rPr>
                <w:rFonts w:ascii="宋体" w:hAnsi="宋体" w:cs="Arial"/>
                <w:color w:val="auto"/>
                <w:sz w:val="20"/>
                <w:szCs w:val="20"/>
                <w:highlight w:val="none"/>
              </w:rPr>
            </w:pPr>
            <w:r>
              <w:rPr>
                <w:rFonts w:hint="eastAsia" w:ascii="宋体" w:hAnsi="宋体" w:cs="Arial"/>
                <w:color w:val="auto"/>
                <w:sz w:val="20"/>
                <w:szCs w:val="20"/>
                <w:highlight w:val="none"/>
              </w:rPr>
              <w:t>保洁</w:t>
            </w:r>
          </w:p>
        </w:tc>
        <w:tc>
          <w:tcPr>
            <w:tcW w:w="3827" w:type="dxa"/>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河面、河滩、堤岸无垃圾和漂浮物，无明显水生植物（用于河水净化而专门设置的水生植物除外）；水面打捞物集中堆放妥善处置，无二次污染；河道通畅，河中无障碍物。河岸两旁（2米范围内）及隔离护栏下无垃圾、淤泥；临界处必须交叉保洁5米以上，打捞物、垃圾集中堆放并及时清运妥善处置；垃圾转运至指定地点倾倒，不得焚烧垃圾。</w:t>
            </w:r>
          </w:p>
        </w:tc>
        <w:tc>
          <w:tcPr>
            <w:tcW w:w="3969" w:type="dxa"/>
            <w:vAlign w:val="center"/>
          </w:tcPr>
          <w:p>
            <w:pPr>
              <w:spacing w:line="260" w:lineRule="exact"/>
              <w:rPr>
                <w:rFonts w:ascii="宋体" w:hAnsi="宋体" w:cs="Arial"/>
                <w:color w:val="auto"/>
                <w:sz w:val="20"/>
                <w:szCs w:val="20"/>
                <w:highlight w:val="none"/>
              </w:rPr>
            </w:pPr>
            <w:r>
              <w:rPr>
                <w:rFonts w:hint="eastAsia" w:ascii="宋体" w:hAnsi="宋体" w:cs="Arial"/>
                <w:color w:val="auto"/>
                <w:sz w:val="20"/>
                <w:szCs w:val="20"/>
                <w:highlight w:val="none"/>
              </w:rPr>
              <w:t>1.河面漂浮物（包括水葫芦、水草、浮萍等）每处漂浮物(面积1-2m2以内) 扣1-2分；每处漂浮物(面积2-5 m2以内) 扣3-4分；每处漂浮物(面积 5 m2 以上)扣4-6分；</w:t>
            </w:r>
          </w:p>
          <w:p>
            <w:pPr>
              <w:spacing w:line="260" w:lineRule="exact"/>
              <w:rPr>
                <w:rFonts w:ascii="宋体" w:hAnsi="宋体" w:cs="Arial"/>
                <w:color w:val="auto"/>
                <w:sz w:val="20"/>
                <w:szCs w:val="20"/>
                <w:highlight w:val="none"/>
              </w:rPr>
            </w:pPr>
            <w:r>
              <w:rPr>
                <w:rFonts w:hint="eastAsia" w:ascii="宋体" w:hAnsi="宋体" w:cs="Arial"/>
                <w:color w:val="auto"/>
                <w:sz w:val="20"/>
                <w:szCs w:val="20"/>
                <w:highlight w:val="none"/>
              </w:rPr>
              <w:t>2.河道内发现有木竹桩、高杆作物等阻水障碍物，每处扣2分，其余垃圾每发现一处扣1分；河岸两旁（2米范围内）及隔离护栏下有垃圾堆放，每处扣3分；</w:t>
            </w:r>
          </w:p>
          <w:p>
            <w:pPr>
              <w:spacing w:line="260" w:lineRule="exact"/>
              <w:rPr>
                <w:rFonts w:ascii="宋体" w:hAnsi="宋体" w:cs="Arial"/>
                <w:color w:val="auto"/>
                <w:sz w:val="20"/>
                <w:szCs w:val="20"/>
                <w:highlight w:val="none"/>
              </w:rPr>
            </w:pPr>
            <w:r>
              <w:rPr>
                <w:rFonts w:hint="eastAsia" w:ascii="宋体" w:hAnsi="宋体" w:cs="Arial"/>
                <w:color w:val="auto"/>
                <w:sz w:val="20"/>
                <w:szCs w:val="20"/>
                <w:highlight w:val="none"/>
              </w:rPr>
              <w:t>3.打捞上岸的垃圾、杂物未在指定地点堆放或未及时清运处置，每处扣2分；</w:t>
            </w:r>
          </w:p>
          <w:p>
            <w:pPr>
              <w:spacing w:line="260" w:lineRule="exact"/>
              <w:rPr>
                <w:rFonts w:ascii="宋体" w:hAnsi="宋体" w:cs="Arial"/>
                <w:color w:val="auto"/>
                <w:sz w:val="20"/>
                <w:szCs w:val="20"/>
                <w:highlight w:val="none"/>
              </w:rPr>
            </w:pPr>
            <w:r>
              <w:rPr>
                <w:rFonts w:hint="eastAsia" w:ascii="宋体" w:hAnsi="宋体" w:cs="Arial"/>
                <w:color w:val="auto"/>
                <w:sz w:val="20"/>
                <w:szCs w:val="20"/>
                <w:highlight w:val="none"/>
              </w:rPr>
              <w:t>4.未在指定地点倾倒或焚烧的发现一次扣5分。</w:t>
            </w:r>
          </w:p>
        </w:tc>
        <w:tc>
          <w:tcPr>
            <w:tcW w:w="992" w:type="dxa"/>
            <w:vAlign w:val="center"/>
          </w:tcPr>
          <w:p>
            <w:pPr>
              <w:spacing w:line="300" w:lineRule="exact"/>
              <w:jc w:val="center"/>
              <w:rPr>
                <w:rFonts w:ascii="宋体" w:hAnsi="宋体" w:cs="Arial"/>
                <w:color w:val="auto"/>
                <w:sz w:val="20"/>
                <w:szCs w:val="20"/>
                <w:highlight w:val="none"/>
              </w:rPr>
            </w:pPr>
            <w:r>
              <w:rPr>
                <w:rFonts w:hint="eastAsia" w:ascii="宋体" w:hAnsi="宋体" w:cs="Arial"/>
                <w:color w:val="auto"/>
                <w:sz w:val="20"/>
                <w:szCs w:val="20"/>
                <w:highlight w:val="none"/>
              </w:rPr>
              <w:t>随机</w:t>
            </w:r>
          </w:p>
          <w:p>
            <w:pPr>
              <w:spacing w:line="300" w:lineRule="exact"/>
              <w:jc w:val="center"/>
              <w:rPr>
                <w:rFonts w:ascii="宋体" w:hAnsi="宋体" w:cs="Arial"/>
                <w:color w:val="auto"/>
                <w:sz w:val="20"/>
                <w:szCs w:val="20"/>
                <w:highlight w:val="none"/>
              </w:rPr>
            </w:pPr>
            <w:r>
              <w:rPr>
                <w:rFonts w:hint="eastAsia" w:ascii="宋体" w:hAnsi="宋体" w:cs="Arial"/>
                <w:color w:val="auto"/>
                <w:sz w:val="20"/>
                <w:szCs w:val="20"/>
                <w:highlight w:val="none"/>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9" w:hRule="atLeast"/>
        </w:trPr>
        <w:tc>
          <w:tcPr>
            <w:tcW w:w="959" w:type="dxa"/>
            <w:vAlign w:val="center"/>
          </w:tcPr>
          <w:p>
            <w:pPr>
              <w:spacing w:line="300" w:lineRule="exact"/>
              <w:jc w:val="center"/>
              <w:rPr>
                <w:rFonts w:ascii="宋体" w:hAnsi="宋体" w:cs="Arial"/>
                <w:color w:val="auto"/>
                <w:sz w:val="20"/>
                <w:szCs w:val="20"/>
                <w:highlight w:val="none"/>
              </w:rPr>
            </w:pPr>
            <w:r>
              <w:rPr>
                <w:rFonts w:hint="eastAsia" w:ascii="宋体" w:hAnsi="宋体" w:cs="Arial"/>
                <w:color w:val="auto"/>
                <w:sz w:val="20"/>
                <w:szCs w:val="20"/>
                <w:highlight w:val="none"/>
              </w:rPr>
              <w:t>特殊</w:t>
            </w:r>
          </w:p>
          <w:p>
            <w:pPr>
              <w:spacing w:line="300" w:lineRule="exact"/>
              <w:jc w:val="center"/>
              <w:rPr>
                <w:rFonts w:ascii="宋体" w:hAnsi="宋体" w:cs="Arial"/>
                <w:color w:val="auto"/>
                <w:sz w:val="20"/>
                <w:szCs w:val="20"/>
                <w:highlight w:val="none"/>
              </w:rPr>
            </w:pPr>
            <w:r>
              <w:rPr>
                <w:rFonts w:hint="eastAsia" w:ascii="宋体" w:hAnsi="宋体" w:cs="Arial"/>
                <w:color w:val="auto"/>
                <w:sz w:val="20"/>
                <w:szCs w:val="20"/>
                <w:highlight w:val="none"/>
              </w:rPr>
              <w:t>保洁</w:t>
            </w:r>
          </w:p>
        </w:tc>
        <w:tc>
          <w:tcPr>
            <w:tcW w:w="3827" w:type="dxa"/>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1.台风、暴雨过后，应及时组织清理河道的垃圾、漂浮物、障碍物等，确保河道畅通和河面干净整洁。2.当发现河道内有病死动物或大范围鱼类等水生生物群体死亡情况，应及时向业主报告，并积极配合采取相应措施妥善处理。3.若发生突发水污染（如油类、化工产品等污染）事件、河水水质(水发黑、发黄、异味重)问题等事件，应立即向业主报告，并积极配合采取相应措施妥善处理。</w:t>
            </w:r>
          </w:p>
        </w:tc>
        <w:tc>
          <w:tcPr>
            <w:tcW w:w="3969" w:type="dxa"/>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每发现一起未按规定落实的扣3分。</w:t>
            </w:r>
          </w:p>
        </w:tc>
        <w:tc>
          <w:tcPr>
            <w:tcW w:w="992" w:type="dxa"/>
            <w:vAlign w:val="center"/>
          </w:tcPr>
          <w:p>
            <w:pPr>
              <w:spacing w:line="300" w:lineRule="exact"/>
              <w:jc w:val="center"/>
              <w:rPr>
                <w:rFonts w:ascii="宋体" w:hAnsi="宋体" w:cs="Arial"/>
                <w:color w:val="auto"/>
                <w:sz w:val="20"/>
                <w:szCs w:val="20"/>
                <w:highlight w:val="none"/>
              </w:rPr>
            </w:pPr>
            <w:r>
              <w:rPr>
                <w:rFonts w:hint="eastAsia" w:ascii="宋体" w:hAnsi="宋体" w:cs="Arial"/>
                <w:color w:val="auto"/>
                <w:sz w:val="20"/>
                <w:szCs w:val="20"/>
                <w:highlight w:val="none"/>
              </w:rPr>
              <w:t>随机</w:t>
            </w:r>
          </w:p>
          <w:p>
            <w:pPr>
              <w:spacing w:line="300" w:lineRule="exact"/>
              <w:jc w:val="center"/>
              <w:rPr>
                <w:rFonts w:ascii="宋体" w:hAnsi="宋体" w:cs="Arial"/>
                <w:color w:val="auto"/>
                <w:sz w:val="20"/>
                <w:szCs w:val="20"/>
                <w:highlight w:val="none"/>
              </w:rPr>
            </w:pPr>
            <w:r>
              <w:rPr>
                <w:rFonts w:hint="eastAsia" w:ascii="宋体" w:hAnsi="宋体" w:cs="Arial"/>
                <w:color w:val="auto"/>
                <w:sz w:val="20"/>
                <w:szCs w:val="20"/>
                <w:highlight w:val="none"/>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trPr>
        <w:tc>
          <w:tcPr>
            <w:tcW w:w="959" w:type="dxa"/>
            <w:vAlign w:val="center"/>
          </w:tcPr>
          <w:p>
            <w:pPr>
              <w:spacing w:line="300" w:lineRule="exact"/>
              <w:jc w:val="center"/>
              <w:rPr>
                <w:rFonts w:ascii="宋体" w:hAnsi="宋体" w:cs="Arial"/>
                <w:color w:val="auto"/>
                <w:sz w:val="20"/>
                <w:szCs w:val="20"/>
                <w:highlight w:val="none"/>
              </w:rPr>
            </w:pPr>
            <w:r>
              <w:rPr>
                <w:rFonts w:hint="eastAsia" w:ascii="宋体" w:hAnsi="宋体" w:cs="Arial"/>
                <w:color w:val="auto"/>
                <w:sz w:val="20"/>
                <w:szCs w:val="20"/>
                <w:highlight w:val="none"/>
              </w:rPr>
              <w:t>安全</w:t>
            </w:r>
          </w:p>
          <w:p>
            <w:pPr>
              <w:spacing w:line="300" w:lineRule="exact"/>
              <w:jc w:val="center"/>
              <w:rPr>
                <w:rFonts w:ascii="宋体" w:hAnsi="宋体" w:cs="Arial"/>
                <w:color w:val="auto"/>
                <w:sz w:val="20"/>
                <w:szCs w:val="20"/>
                <w:highlight w:val="none"/>
              </w:rPr>
            </w:pPr>
            <w:r>
              <w:rPr>
                <w:rFonts w:hint="eastAsia" w:ascii="宋体" w:hAnsi="宋体" w:cs="Arial"/>
                <w:color w:val="auto"/>
                <w:sz w:val="20"/>
                <w:szCs w:val="20"/>
                <w:highlight w:val="none"/>
              </w:rPr>
              <w:t>措施</w:t>
            </w:r>
          </w:p>
        </w:tc>
        <w:tc>
          <w:tcPr>
            <w:tcW w:w="3827" w:type="dxa"/>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保洁人员应按河道保洁要求足额配置，并统一穿着“灵昆街道河道保洁”字样反光安全服，各作业人员必须佩证上岗，必须熟悉水性，同事禁止饮酒作业；使用有统一编号的船只，保持船况良好，船容整洁并配备救生设备，做到规范文明作业。</w:t>
            </w:r>
          </w:p>
        </w:tc>
        <w:tc>
          <w:tcPr>
            <w:tcW w:w="3969" w:type="dxa"/>
            <w:vAlign w:val="center"/>
          </w:tcPr>
          <w:p>
            <w:pPr>
              <w:numPr>
                <w:ilvl w:val="0"/>
                <w:numId w:val="13"/>
              </w:num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发现一处不符合规定要求的扣1分；</w:t>
            </w:r>
          </w:p>
          <w:p>
            <w:pPr>
              <w:numPr>
                <w:ilvl w:val="0"/>
                <w:numId w:val="13"/>
              </w:num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发生人员重伤（3人以下及3人）事故的，扣5分；</w:t>
            </w:r>
          </w:p>
          <w:p>
            <w:pPr>
              <w:numPr>
                <w:ilvl w:val="0"/>
                <w:numId w:val="13"/>
              </w:num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发生死亡或3人以上重伤事故的，不得分，并且取消评优资格。</w:t>
            </w:r>
          </w:p>
        </w:tc>
        <w:tc>
          <w:tcPr>
            <w:tcW w:w="992" w:type="dxa"/>
            <w:vAlign w:val="center"/>
          </w:tcPr>
          <w:p>
            <w:pPr>
              <w:spacing w:line="300" w:lineRule="exact"/>
              <w:jc w:val="center"/>
              <w:rPr>
                <w:rFonts w:ascii="宋体" w:hAnsi="宋体" w:cs="Arial"/>
                <w:color w:val="auto"/>
                <w:sz w:val="20"/>
                <w:szCs w:val="20"/>
                <w:highlight w:val="none"/>
              </w:rPr>
            </w:pPr>
            <w:r>
              <w:rPr>
                <w:rFonts w:hint="eastAsia" w:ascii="宋体" w:hAnsi="宋体" w:cs="Arial"/>
                <w:color w:val="auto"/>
                <w:sz w:val="20"/>
                <w:szCs w:val="20"/>
                <w:highlight w:val="none"/>
              </w:rPr>
              <w:t>随机</w:t>
            </w:r>
          </w:p>
          <w:p>
            <w:pPr>
              <w:spacing w:line="300" w:lineRule="exact"/>
              <w:jc w:val="center"/>
              <w:rPr>
                <w:rFonts w:ascii="宋体" w:hAnsi="宋体" w:cs="Arial"/>
                <w:color w:val="auto"/>
                <w:sz w:val="20"/>
                <w:szCs w:val="20"/>
                <w:highlight w:val="none"/>
              </w:rPr>
            </w:pPr>
            <w:r>
              <w:rPr>
                <w:rFonts w:hint="eastAsia" w:ascii="宋体" w:hAnsi="宋体" w:cs="Arial"/>
                <w:color w:val="auto"/>
                <w:sz w:val="20"/>
                <w:szCs w:val="20"/>
                <w:highlight w:val="none"/>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7" w:hRule="atLeast"/>
        </w:trPr>
        <w:tc>
          <w:tcPr>
            <w:tcW w:w="959" w:type="dxa"/>
            <w:vAlign w:val="center"/>
          </w:tcPr>
          <w:p>
            <w:pPr>
              <w:rPr>
                <w:rFonts w:ascii="宋体" w:hAnsi="宋体" w:cs="Arial"/>
                <w:color w:val="auto"/>
                <w:sz w:val="20"/>
                <w:szCs w:val="20"/>
                <w:highlight w:val="none"/>
              </w:rPr>
            </w:pPr>
            <w:r>
              <w:rPr>
                <w:rFonts w:hint="eastAsia" w:ascii="宋体" w:hAnsi="宋体" w:cs="Arial"/>
                <w:color w:val="auto"/>
                <w:sz w:val="20"/>
                <w:szCs w:val="20"/>
                <w:highlight w:val="none"/>
              </w:rPr>
              <w:t xml:space="preserve"> 保洁</w:t>
            </w:r>
          </w:p>
          <w:p>
            <w:pPr>
              <w:rPr>
                <w:rFonts w:ascii="宋体" w:hAnsi="宋体" w:cs="Arial"/>
                <w:color w:val="auto"/>
                <w:sz w:val="20"/>
                <w:szCs w:val="20"/>
                <w:highlight w:val="none"/>
              </w:rPr>
            </w:pPr>
            <w:r>
              <w:rPr>
                <w:rFonts w:hint="eastAsia" w:ascii="宋体" w:hAnsi="宋体" w:cs="Arial"/>
                <w:color w:val="auto"/>
                <w:sz w:val="20"/>
                <w:szCs w:val="20"/>
                <w:highlight w:val="none"/>
              </w:rPr>
              <w:t xml:space="preserve"> 制度</w:t>
            </w:r>
          </w:p>
        </w:tc>
        <w:tc>
          <w:tcPr>
            <w:tcW w:w="3827" w:type="dxa"/>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1.建立河道保洁管理制度，包括人员管理、台账管理和自查制度，台账资料保存完整。</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2.应对河道疏通、河岸驳坎等公共建设工程影响河道正常保洁的情况做好登记备案，并及时报至区业主备案。</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3.遇重大活动或重要节日，要统一安排和调度，配合做好突击性保洁工作。</w:t>
            </w:r>
          </w:p>
        </w:tc>
        <w:tc>
          <w:tcPr>
            <w:tcW w:w="3969" w:type="dxa"/>
            <w:vAlign w:val="center"/>
          </w:tcPr>
          <w:p>
            <w:pPr>
              <w:spacing w:line="300" w:lineRule="exact"/>
              <w:rPr>
                <w:rFonts w:ascii="宋体" w:hAnsi="宋体" w:cs="Arial"/>
                <w:color w:val="auto"/>
                <w:sz w:val="20"/>
                <w:szCs w:val="20"/>
                <w:highlight w:val="none"/>
              </w:rPr>
            </w:pP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1.每发现一起保洁制度未落实的扣2分；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2.未及时配合工作以及上报河道保洁相关资料，扣2分；</w:t>
            </w:r>
          </w:p>
          <w:p>
            <w:pPr>
              <w:spacing w:line="300" w:lineRule="exact"/>
              <w:rPr>
                <w:rFonts w:ascii="宋体" w:hAnsi="宋体" w:cs="Arial"/>
                <w:color w:val="auto"/>
                <w:sz w:val="20"/>
                <w:szCs w:val="20"/>
                <w:highlight w:val="none"/>
              </w:rPr>
            </w:pPr>
          </w:p>
          <w:p>
            <w:pPr>
              <w:spacing w:line="300" w:lineRule="exact"/>
              <w:rPr>
                <w:rFonts w:ascii="宋体" w:hAnsi="宋体" w:cs="Arial"/>
                <w:color w:val="auto"/>
                <w:sz w:val="20"/>
                <w:szCs w:val="20"/>
                <w:highlight w:val="none"/>
              </w:rPr>
            </w:pPr>
          </w:p>
          <w:p>
            <w:pPr>
              <w:spacing w:line="300" w:lineRule="exact"/>
              <w:rPr>
                <w:rFonts w:ascii="宋体" w:hAnsi="宋体" w:cs="Arial"/>
                <w:color w:val="auto"/>
                <w:sz w:val="20"/>
                <w:szCs w:val="20"/>
                <w:highlight w:val="none"/>
              </w:rPr>
            </w:pPr>
          </w:p>
        </w:tc>
        <w:tc>
          <w:tcPr>
            <w:tcW w:w="992" w:type="dxa"/>
            <w:vAlign w:val="center"/>
          </w:tcPr>
          <w:p>
            <w:pPr>
              <w:spacing w:line="300" w:lineRule="exact"/>
              <w:jc w:val="center"/>
              <w:rPr>
                <w:rFonts w:ascii="宋体" w:hAnsi="宋体" w:cs="Arial"/>
                <w:color w:val="auto"/>
                <w:sz w:val="20"/>
                <w:szCs w:val="20"/>
                <w:highlight w:val="none"/>
              </w:rPr>
            </w:pPr>
            <w:r>
              <w:rPr>
                <w:rFonts w:hint="eastAsia" w:ascii="宋体" w:hAnsi="宋体" w:cs="Arial"/>
                <w:color w:val="auto"/>
                <w:sz w:val="20"/>
                <w:szCs w:val="20"/>
                <w:highlight w:val="none"/>
              </w:rPr>
              <w:t>随机</w:t>
            </w:r>
          </w:p>
          <w:p>
            <w:pPr>
              <w:spacing w:line="300" w:lineRule="exact"/>
              <w:jc w:val="center"/>
              <w:rPr>
                <w:rFonts w:ascii="宋体" w:hAnsi="宋体" w:cs="Arial"/>
                <w:color w:val="auto"/>
                <w:sz w:val="20"/>
                <w:szCs w:val="20"/>
                <w:highlight w:val="none"/>
              </w:rPr>
            </w:pPr>
            <w:r>
              <w:rPr>
                <w:rFonts w:hint="eastAsia" w:ascii="宋体" w:hAnsi="宋体" w:cs="Arial"/>
                <w:color w:val="auto"/>
                <w:sz w:val="20"/>
                <w:szCs w:val="20"/>
                <w:highlight w:val="none"/>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959" w:type="dxa"/>
            <w:vAlign w:val="center"/>
          </w:tcPr>
          <w:p>
            <w:pPr>
              <w:spacing w:line="300" w:lineRule="exact"/>
              <w:jc w:val="center"/>
              <w:rPr>
                <w:rFonts w:ascii="宋体" w:hAnsi="宋体" w:cs="Arial"/>
                <w:color w:val="auto"/>
                <w:sz w:val="20"/>
                <w:szCs w:val="20"/>
                <w:highlight w:val="none"/>
              </w:rPr>
            </w:pPr>
            <w:r>
              <w:rPr>
                <w:rFonts w:hint="eastAsia" w:ascii="宋体" w:hAnsi="宋体" w:cs="Arial"/>
                <w:color w:val="auto"/>
                <w:sz w:val="20"/>
                <w:szCs w:val="20"/>
                <w:highlight w:val="none"/>
              </w:rPr>
              <w:t>舆论</w:t>
            </w:r>
          </w:p>
          <w:p>
            <w:pPr>
              <w:spacing w:line="300" w:lineRule="exact"/>
              <w:jc w:val="center"/>
              <w:rPr>
                <w:rFonts w:ascii="宋体" w:hAnsi="宋体" w:cs="Arial"/>
                <w:color w:val="auto"/>
                <w:sz w:val="20"/>
                <w:szCs w:val="20"/>
                <w:highlight w:val="none"/>
              </w:rPr>
            </w:pPr>
            <w:r>
              <w:rPr>
                <w:rFonts w:hint="eastAsia" w:ascii="宋体" w:hAnsi="宋体" w:cs="Arial"/>
                <w:color w:val="auto"/>
                <w:sz w:val="20"/>
                <w:szCs w:val="20"/>
                <w:highlight w:val="none"/>
              </w:rPr>
              <w:t>监督</w:t>
            </w:r>
          </w:p>
        </w:tc>
        <w:tc>
          <w:tcPr>
            <w:tcW w:w="3827" w:type="dxa"/>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接受社会监督，对群众反映和管理部门人员检查发现的问题及时查办，有完整记录和整改措施。</w:t>
            </w:r>
          </w:p>
        </w:tc>
        <w:tc>
          <w:tcPr>
            <w:tcW w:w="3969" w:type="dxa"/>
            <w:vAlign w:val="center"/>
          </w:tcPr>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1.发生区级媒体曝光的扣2分，发生市级及以上媒体曝光的，扣3分；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2.街道领导点名批示或群众举报到区级部门，经核实一次扣2分；群众举报到区级及以上部门，经核实一次扣3分；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3.对群众反映和管理部门人员检查发现的问题不及时查办，无记录整改措施的扣2分；</w:t>
            </w:r>
          </w:p>
          <w:p>
            <w:pPr>
              <w:spacing w:line="300" w:lineRule="exact"/>
              <w:rPr>
                <w:rFonts w:ascii="宋体" w:hAnsi="宋体" w:cs="Arial"/>
                <w:color w:val="auto"/>
                <w:sz w:val="20"/>
                <w:szCs w:val="20"/>
                <w:highlight w:val="none"/>
              </w:rPr>
            </w:pPr>
            <w:r>
              <w:rPr>
                <w:rFonts w:hint="eastAsia" w:ascii="宋体" w:hAnsi="宋体" w:cs="Arial"/>
                <w:color w:val="auto"/>
                <w:sz w:val="20"/>
                <w:szCs w:val="20"/>
                <w:highlight w:val="none"/>
              </w:rPr>
              <w:t>4.被区级考核通报的，每处扣3分。</w:t>
            </w:r>
          </w:p>
        </w:tc>
        <w:tc>
          <w:tcPr>
            <w:tcW w:w="992" w:type="dxa"/>
            <w:vAlign w:val="center"/>
          </w:tcPr>
          <w:p>
            <w:pPr>
              <w:spacing w:line="300" w:lineRule="exact"/>
              <w:jc w:val="center"/>
              <w:rPr>
                <w:rFonts w:ascii="宋体" w:hAnsi="宋体" w:cs="Arial"/>
                <w:color w:val="auto"/>
                <w:sz w:val="20"/>
                <w:szCs w:val="20"/>
                <w:highlight w:val="none"/>
              </w:rPr>
            </w:pPr>
            <w:r>
              <w:rPr>
                <w:rFonts w:hint="eastAsia" w:ascii="宋体" w:hAnsi="宋体" w:cs="Arial"/>
                <w:color w:val="auto"/>
                <w:sz w:val="20"/>
                <w:szCs w:val="20"/>
                <w:highlight w:val="none"/>
              </w:rPr>
              <w:t>随机</w:t>
            </w:r>
          </w:p>
          <w:p>
            <w:pPr>
              <w:spacing w:line="300" w:lineRule="exact"/>
              <w:jc w:val="center"/>
              <w:rPr>
                <w:rFonts w:ascii="宋体" w:hAnsi="宋体" w:cs="Arial"/>
                <w:color w:val="auto"/>
                <w:sz w:val="20"/>
                <w:szCs w:val="20"/>
                <w:highlight w:val="none"/>
              </w:rPr>
            </w:pPr>
            <w:r>
              <w:rPr>
                <w:rFonts w:hint="eastAsia" w:ascii="宋体" w:hAnsi="宋体" w:cs="Arial"/>
                <w:color w:val="auto"/>
                <w:sz w:val="20"/>
                <w:szCs w:val="20"/>
                <w:highlight w:val="none"/>
              </w:rPr>
              <w:t>检查</w:t>
            </w:r>
          </w:p>
        </w:tc>
      </w:tr>
    </w:tbl>
    <w:p>
      <w:pPr>
        <w:spacing w:line="360" w:lineRule="auto"/>
        <w:rPr>
          <w:rFonts w:ascii="宋体" w:hAnsi="宋体"/>
          <w:b/>
          <w:color w:val="auto"/>
          <w:sz w:val="22"/>
          <w:highlight w:val="none"/>
        </w:rPr>
      </w:pPr>
    </w:p>
    <w:p>
      <w:pPr>
        <w:numPr>
          <w:ilvl w:val="0"/>
          <w:numId w:val="14"/>
        </w:numPr>
        <w:spacing w:line="460" w:lineRule="exact"/>
        <w:rPr>
          <w:rFonts w:ascii="宋体" w:hAnsi="宋体"/>
          <w:b/>
          <w:color w:val="auto"/>
          <w:sz w:val="22"/>
          <w:highlight w:val="none"/>
        </w:rPr>
      </w:pPr>
      <w:r>
        <w:rPr>
          <w:rFonts w:hint="eastAsia" w:ascii="宋体" w:hAnsi="宋体"/>
          <w:b/>
          <w:color w:val="auto"/>
          <w:sz w:val="22"/>
          <w:highlight w:val="none"/>
        </w:rPr>
        <w:t>考核方式</w:t>
      </w:r>
    </w:p>
    <w:p>
      <w:pPr>
        <w:spacing w:line="440" w:lineRule="exact"/>
        <w:ind w:firstLine="442" w:firstLineChars="200"/>
        <w:rPr>
          <w:rFonts w:ascii="宋体" w:hAnsi="宋体"/>
          <w:b/>
          <w:color w:val="auto"/>
          <w:highlight w:val="none"/>
        </w:rPr>
      </w:pPr>
      <w:r>
        <w:rPr>
          <w:rFonts w:hint="eastAsia" w:ascii="宋体" w:hAnsi="宋体" w:cs="Arial"/>
          <w:b/>
          <w:color w:val="auto"/>
          <w:sz w:val="22"/>
          <w:highlight w:val="none"/>
        </w:rPr>
        <w:t>一、合同条款考核</w:t>
      </w:r>
    </w:p>
    <w:p>
      <w:pPr>
        <w:spacing w:line="440" w:lineRule="exact"/>
        <w:ind w:firstLine="440" w:firstLineChars="200"/>
        <w:rPr>
          <w:rFonts w:ascii="宋体" w:hAnsi="宋体" w:cs="Arial"/>
          <w:color w:val="auto"/>
          <w:sz w:val="22"/>
          <w:highlight w:val="none"/>
        </w:rPr>
      </w:pPr>
      <w:r>
        <w:rPr>
          <w:rFonts w:ascii="宋体" w:hAnsi="宋体" w:cs="Arial"/>
          <w:color w:val="auto"/>
          <w:sz w:val="22"/>
          <w:highlight w:val="none"/>
        </w:rPr>
        <w:t>1</w:t>
      </w:r>
      <w:r>
        <w:rPr>
          <w:rFonts w:hint="eastAsia" w:ascii="宋体" w:hAnsi="宋体" w:cs="Arial"/>
          <w:color w:val="auto"/>
          <w:sz w:val="22"/>
          <w:highlight w:val="none"/>
        </w:rPr>
        <w:t>、灵昆街道相关职能部门组成的考核小组将依照“灵昆街道道路、河道保洁质量考核评分细则”对保洁质量进行检查考评，检查将采取明检、暗检相结合的方式，以暗检为主，每月综合考评一次。如需承包公司配合的将提前一小时通知该单位派员参加。</w:t>
      </w:r>
    </w:p>
    <w:p>
      <w:pPr>
        <w:spacing w:line="440" w:lineRule="exact"/>
        <w:ind w:firstLine="440" w:firstLineChars="200"/>
        <w:rPr>
          <w:rFonts w:ascii="宋体" w:hAnsi="宋体" w:cs="Arial"/>
          <w:color w:val="auto"/>
          <w:sz w:val="22"/>
          <w:highlight w:val="none"/>
        </w:rPr>
      </w:pPr>
      <w:r>
        <w:rPr>
          <w:rFonts w:ascii="宋体" w:hAnsi="宋体" w:cs="Arial"/>
          <w:color w:val="auto"/>
          <w:sz w:val="22"/>
          <w:highlight w:val="none"/>
        </w:rPr>
        <w:t>2</w:t>
      </w:r>
      <w:r>
        <w:rPr>
          <w:rFonts w:hint="eastAsia" w:ascii="宋体" w:hAnsi="宋体" w:cs="Arial"/>
          <w:color w:val="auto"/>
          <w:sz w:val="22"/>
          <w:highlight w:val="none"/>
        </w:rPr>
        <w:t>、灵昆街道道路、河道卫生合并考核，考核总分为100分，一级、二级、三级道路及河道达标分均为90分（含），每月综合考评为</w:t>
      </w:r>
      <w:r>
        <w:rPr>
          <w:rFonts w:hint="eastAsia" w:ascii="宋体" w:hAnsi="宋体" w:cs="Arial"/>
          <w:color w:val="auto"/>
          <w:sz w:val="22"/>
          <w:highlight w:val="none"/>
          <w:u w:val="single"/>
        </w:rPr>
        <w:t xml:space="preserve"> 90分 </w:t>
      </w:r>
      <w:r>
        <w:rPr>
          <w:rFonts w:hint="eastAsia" w:ascii="宋体" w:hAnsi="宋体" w:cs="Arial"/>
          <w:color w:val="auto"/>
          <w:sz w:val="22"/>
          <w:highlight w:val="none"/>
        </w:rPr>
        <w:t>以下的，将按照奖惩标准中相应条款进行的处罚。</w:t>
      </w:r>
    </w:p>
    <w:tbl>
      <w:tblPr>
        <w:tblStyle w:val="28"/>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5141"/>
        <w:gridCol w:w="3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3" w:type="dxa"/>
            <w:vAlign w:val="center"/>
          </w:tcPr>
          <w:p>
            <w:pPr>
              <w:spacing w:line="540" w:lineRule="exact"/>
              <w:jc w:val="center"/>
              <w:rPr>
                <w:rFonts w:ascii="宋体" w:hAnsi="宋体" w:cs="仿宋_GB2312"/>
                <w:color w:val="auto"/>
                <w:sz w:val="22"/>
                <w:highlight w:val="none"/>
              </w:rPr>
            </w:pPr>
            <w:r>
              <w:rPr>
                <w:rFonts w:hint="eastAsia" w:ascii="宋体" w:hAnsi="宋体" w:cs="仿宋_GB2312"/>
                <w:color w:val="auto"/>
                <w:sz w:val="22"/>
                <w:highlight w:val="none"/>
              </w:rPr>
              <w:t>序号</w:t>
            </w:r>
          </w:p>
        </w:tc>
        <w:tc>
          <w:tcPr>
            <w:tcW w:w="5141" w:type="dxa"/>
            <w:vAlign w:val="center"/>
          </w:tcPr>
          <w:p>
            <w:pPr>
              <w:spacing w:line="540" w:lineRule="exact"/>
              <w:jc w:val="center"/>
              <w:rPr>
                <w:rFonts w:ascii="宋体" w:hAnsi="宋体" w:cs="仿宋_GB2312"/>
                <w:color w:val="auto"/>
                <w:sz w:val="22"/>
                <w:highlight w:val="none"/>
              </w:rPr>
            </w:pPr>
            <w:r>
              <w:rPr>
                <w:rFonts w:hint="eastAsia" w:ascii="宋体" w:hAnsi="宋体" w:cs="仿宋_GB2312"/>
                <w:color w:val="auto"/>
                <w:sz w:val="22"/>
                <w:highlight w:val="none"/>
              </w:rPr>
              <w:t>考核分值</w:t>
            </w:r>
          </w:p>
        </w:tc>
        <w:tc>
          <w:tcPr>
            <w:tcW w:w="3209" w:type="dxa"/>
            <w:vAlign w:val="center"/>
          </w:tcPr>
          <w:p>
            <w:pPr>
              <w:spacing w:line="540" w:lineRule="exact"/>
              <w:jc w:val="center"/>
              <w:rPr>
                <w:rFonts w:ascii="宋体" w:hAnsi="宋体" w:cs="仿宋_GB2312"/>
                <w:color w:val="auto"/>
                <w:sz w:val="22"/>
                <w:highlight w:val="none"/>
              </w:rPr>
            </w:pPr>
            <w:r>
              <w:rPr>
                <w:rFonts w:hint="eastAsia" w:ascii="宋体" w:hAnsi="宋体" w:cs="仿宋_GB2312"/>
                <w:color w:val="auto"/>
                <w:sz w:val="22"/>
                <w:highlight w:val="none"/>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3" w:type="dxa"/>
            <w:vAlign w:val="center"/>
          </w:tcPr>
          <w:p>
            <w:pPr>
              <w:spacing w:line="540" w:lineRule="exact"/>
              <w:jc w:val="center"/>
              <w:rPr>
                <w:rFonts w:ascii="宋体" w:hAnsi="宋体" w:cs="仿宋_GB2312"/>
                <w:color w:val="auto"/>
                <w:sz w:val="22"/>
                <w:highlight w:val="none"/>
              </w:rPr>
            </w:pPr>
            <w:r>
              <w:rPr>
                <w:rFonts w:hint="eastAsia" w:ascii="宋体" w:hAnsi="宋体" w:cs="仿宋_GB2312"/>
                <w:color w:val="auto"/>
                <w:sz w:val="22"/>
                <w:highlight w:val="none"/>
              </w:rPr>
              <w:t>1</w:t>
            </w:r>
          </w:p>
        </w:tc>
        <w:tc>
          <w:tcPr>
            <w:tcW w:w="5141" w:type="dxa"/>
            <w:vAlign w:val="center"/>
          </w:tcPr>
          <w:p>
            <w:pPr>
              <w:spacing w:line="540" w:lineRule="exact"/>
              <w:jc w:val="center"/>
              <w:rPr>
                <w:rFonts w:ascii="宋体" w:hAnsi="宋体" w:cs="仿宋_GB2312"/>
                <w:color w:val="auto"/>
                <w:sz w:val="22"/>
                <w:highlight w:val="none"/>
              </w:rPr>
            </w:pPr>
            <w:r>
              <w:rPr>
                <w:rFonts w:hint="eastAsia" w:ascii="宋体" w:hAnsi="宋体" w:cs="仿宋_GB2312"/>
                <w:color w:val="auto"/>
                <w:sz w:val="22"/>
                <w:highlight w:val="none"/>
              </w:rPr>
              <w:t>95分以上（含95分）</w:t>
            </w:r>
          </w:p>
        </w:tc>
        <w:tc>
          <w:tcPr>
            <w:tcW w:w="3209" w:type="dxa"/>
            <w:vAlign w:val="center"/>
          </w:tcPr>
          <w:p>
            <w:pPr>
              <w:spacing w:line="540" w:lineRule="exact"/>
              <w:jc w:val="center"/>
              <w:rPr>
                <w:rFonts w:ascii="宋体" w:hAnsi="宋体" w:cs="仿宋_GB2312"/>
                <w:color w:val="auto"/>
                <w:sz w:val="22"/>
                <w:highlight w:val="none"/>
              </w:rPr>
            </w:pPr>
            <w:r>
              <w:rPr>
                <w:rFonts w:hint="eastAsia" w:ascii="宋体" w:hAnsi="宋体" w:cs="仿宋_GB2312"/>
                <w:color w:val="auto"/>
                <w:sz w:val="22"/>
                <w:highlight w:val="none"/>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3" w:type="dxa"/>
            <w:vAlign w:val="center"/>
          </w:tcPr>
          <w:p>
            <w:pPr>
              <w:spacing w:line="540" w:lineRule="exact"/>
              <w:jc w:val="center"/>
              <w:rPr>
                <w:rFonts w:ascii="宋体" w:hAnsi="宋体" w:cs="仿宋_GB2312"/>
                <w:color w:val="auto"/>
                <w:sz w:val="22"/>
                <w:highlight w:val="none"/>
              </w:rPr>
            </w:pPr>
            <w:r>
              <w:rPr>
                <w:rFonts w:hint="eastAsia" w:ascii="宋体" w:hAnsi="宋体" w:cs="仿宋_GB2312"/>
                <w:color w:val="auto"/>
                <w:sz w:val="22"/>
                <w:highlight w:val="none"/>
              </w:rPr>
              <w:t>2</w:t>
            </w:r>
          </w:p>
        </w:tc>
        <w:tc>
          <w:tcPr>
            <w:tcW w:w="5141" w:type="dxa"/>
            <w:vAlign w:val="center"/>
          </w:tcPr>
          <w:p>
            <w:pPr>
              <w:spacing w:line="540" w:lineRule="exact"/>
              <w:jc w:val="center"/>
              <w:rPr>
                <w:rFonts w:ascii="宋体" w:hAnsi="宋体" w:cs="仿宋_GB2312"/>
                <w:color w:val="auto"/>
                <w:sz w:val="22"/>
                <w:highlight w:val="none"/>
              </w:rPr>
            </w:pPr>
            <w:r>
              <w:rPr>
                <w:rFonts w:hint="eastAsia" w:ascii="宋体" w:hAnsi="宋体" w:cs="仿宋_GB2312"/>
                <w:color w:val="auto"/>
                <w:sz w:val="22"/>
                <w:highlight w:val="none"/>
              </w:rPr>
              <w:t>95-90分（含90分）</w:t>
            </w:r>
          </w:p>
        </w:tc>
        <w:tc>
          <w:tcPr>
            <w:tcW w:w="3209" w:type="dxa"/>
            <w:vAlign w:val="center"/>
          </w:tcPr>
          <w:p>
            <w:pPr>
              <w:spacing w:line="540" w:lineRule="exact"/>
              <w:jc w:val="center"/>
              <w:rPr>
                <w:rFonts w:ascii="宋体" w:hAnsi="宋体" w:cs="仿宋_GB2312"/>
                <w:color w:val="auto"/>
                <w:sz w:val="22"/>
                <w:highlight w:val="none"/>
              </w:rPr>
            </w:pPr>
            <w:r>
              <w:rPr>
                <w:rFonts w:hint="eastAsia" w:ascii="宋体" w:hAnsi="宋体" w:cs="仿宋_GB2312"/>
                <w:color w:val="auto"/>
                <w:sz w:val="22"/>
                <w:highlight w:val="none"/>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3" w:type="dxa"/>
            <w:vAlign w:val="center"/>
          </w:tcPr>
          <w:p>
            <w:pPr>
              <w:spacing w:line="540" w:lineRule="exact"/>
              <w:jc w:val="center"/>
              <w:rPr>
                <w:rFonts w:ascii="宋体" w:hAnsi="宋体" w:cs="仿宋_GB2312"/>
                <w:color w:val="auto"/>
                <w:sz w:val="22"/>
                <w:highlight w:val="none"/>
              </w:rPr>
            </w:pPr>
            <w:r>
              <w:rPr>
                <w:rFonts w:hint="eastAsia" w:ascii="宋体" w:hAnsi="宋体" w:cs="仿宋_GB2312"/>
                <w:color w:val="auto"/>
                <w:sz w:val="22"/>
                <w:highlight w:val="none"/>
              </w:rPr>
              <w:t>3</w:t>
            </w:r>
          </w:p>
        </w:tc>
        <w:tc>
          <w:tcPr>
            <w:tcW w:w="5141" w:type="dxa"/>
            <w:vAlign w:val="center"/>
          </w:tcPr>
          <w:p>
            <w:pPr>
              <w:spacing w:line="540" w:lineRule="exact"/>
              <w:jc w:val="center"/>
              <w:rPr>
                <w:rFonts w:ascii="宋体" w:hAnsi="宋体" w:cs="仿宋_GB2312"/>
                <w:color w:val="auto"/>
                <w:sz w:val="22"/>
                <w:highlight w:val="none"/>
              </w:rPr>
            </w:pPr>
            <w:r>
              <w:rPr>
                <w:rFonts w:hint="eastAsia" w:ascii="宋体" w:hAnsi="宋体" w:cs="仿宋_GB2312"/>
                <w:color w:val="auto"/>
                <w:sz w:val="22"/>
                <w:highlight w:val="none"/>
              </w:rPr>
              <w:t>90-85分（含85分）</w:t>
            </w:r>
          </w:p>
        </w:tc>
        <w:tc>
          <w:tcPr>
            <w:tcW w:w="3209" w:type="dxa"/>
            <w:vAlign w:val="center"/>
          </w:tcPr>
          <w:p>
            <w:pPr>
              <w:spacing w:line="540" w:lineRule="exact"/>
              <w:jc w:val="center"/>
              <w:rPr>
                <w:rFonts w:ascii="宋体" w:hAnsi="宋体" w:cs="仿宋_GB2312"/>
                <w:color w:val="auto"/>
                <w:sz w:val="22"/>
                <w:highlight w:val="none"/>
              </w:rPr>
            </w:pPr>
            <w:r>
              <w:rPr>
                <w:rFonts w:hint="eastAsia" w:ascii="宋体" w:hAnsi="宋体" w:cs="仿宋_GB2312"/>
                <w:color w:val="auto"/>
                <w:sz w:val="22"/>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3" w:type="dxa"/>
            <w:vAlign w:val="center"/>
          </w:tcPr>
          <w:p>
            <w:pPr>
              <w:spacing w:line="540" w:lineRule="exact"/>
              <w:jc w:val="center"/>
              <w:rPr>
                <w:rFonts w:ascii="宋体" w:hAnsi="宋体" w:cs="仿宋_GB2312"/>
                <w:color w:val="auto"/>
                <w:sz w:val="22"/>
                <w:highlight w:val="none"/>
              </w:rPr>
            </w:pPr>
            <w:r>
              <w:rPr>
                <w:rFonts w:hint="eastAsia" w:ascii="宋体" w:hAnsi="宋体" w:cs="仿宋_GB2312"/>
                <w:color w:val="auto"/>
                <w:sz w:val="22"/>
                <w:highlight w:val="none"/>
              </w:rPr>
              <w:t>4</w:t>
            </w:r>
          </w:p>
        </w:tc>
        <w:tc>
          <w:tcPr>
            <w:tcW w:w="5141" w:type="dxa"/>
            <w:vAlign w:val="center"/>
          </w:tcPr>
          <w:p>
            <w:pPr>
              <w:spacing w:line="540" w:lineRule="exact"/>
              <w:jc w:val="center"/>
              <w:rPr>
                <w:rFonts w:ascii="宋体" w:hAnsi="宋体" w:cs="仿宋_GB2312"/>
                <w:color w:val="auto"/>
                <w:sz w:val="22"/>
                <w:highlight w:val="none"/>
              </w:rPr>
            </w:pPr>
            <w:r>
              <w:rPr>
                <w:rFonts w:hint="eastAsia" w:ascii="宋体" w:hAnsi="宋体" w:cs="仿宋_GB2312"/>
                <w:color w:val="auto"/>
                <w:sz w:val="22"/>
                <w:highlight w:val="none"/>
              </w:rPr>
              <w:t>85分以下</w:t>
            </w:r>
          </w:p>
        </w:tc>
        <w:tc>
          <w:tcPr>
            <w:tcW w:w="3209" w:type="dxa"/>
            <w:vAlign w:val="center"/>
          </w:tcPr>
          <w:p>
            <w:pPr>
              <w:spacing w:line="540" w:lineRule="exact"/>
              <w:jc w:val="center"/>
              <w:rPr>
                <w:rFonts w:ascii="宋体" w:hAnsi="宋体" w:cs="仿宋_GB2312"/>
                <w:color w:val="auto"/>
                <w:sz w:val="22"/>
                <w:highlight w:val="none"/>
              </w:rPr>
            </w:pPr>
            <w:r>
              <w:rPr>
                <w:rFonts w:hint="eastAsia" w:ascii="宋体" w:hAnsi="宋体" w:cs="仿宋_GB2312"/>
                <w:color w:val="auto"/>
                <w:sz w:val="22"/>
                <w:highlight w:val="none"/>
              </w:rPr>
              <w:t>不合格</w:t>
            </w:r>
          </w:p>
        </w:tc>
      </w:tr>
    </w:tbl>
    <w:p>
      <w:pPr>
        <w:ind w:firstLine="422" w:firstLineChars="200"/>
        <w:rPr>
          <w:rFonts w:ascii="宋体" w:hAnsi="宋体"/>
          <w:b/>
          <w:color w:val="auto"/>
          <w:highlight w:val="none"/>
        </w:rPr>
      </w:pPr>
      <w:r>
        <w:rPr>
          <w:rFonts w:hint="eastAsia" w:ascii="宋体" w:hAnsi="宋体"/>
          <w:b/>
          <w:color w:val="auto"/>
          <w:highlight w:val="none"/>
        </w:rPr>
        <w:t>二、市级洁化情况考核</w:t>
      </w:r>
    </w:p>
    <w:p>
      <w:pPr>
        <w:pStyle w:val="35"/>
        <w:ind w:firstLine="440" w:firstLineChars="200"/>
        <w:rPr>
          <w:rFonts w:ascii="宋体" w:hAnsi="宋体" w:cs="Arial"/>
          <w:color w:val="auto"/>
          <w:kern w:val="2"/>
          <w:sz w:val="22"/>
          <w:szCs w:val="22"/>
          <w:highlight w:val="none"/>
        </w:rPr>
      </w:pPr>
      <w:r>
        <w:rPr>
          <w:rFonts w:hint="eastAsia" w:ascii="宋体" w:hAnsi="宋体" w:cs="Arial"/>
          <w:color w:val="auto"/>
          <w:kern w:val="2"/>
          <w:sz w:val="22"/>
          <w:szCs w:val="22"/>
          <w:highlight w:val="none"/>
        </w:rPr>
        <w:t>由市级暗访意见反馈处置、区街道明查暗访、智慧城管等部分组成考核每月通报一次。</w:t>
      </w:r>
    </w:p>
    <w:p>
      <w:pPr>
        <w:pStyle w:val="35"/>
        <w:ind w:firstLine="440" w:firstLineChars="200"/>
        <w:rPr>
          <w:rFonts w:ascii="宋体" w:hAnsi="宋体" w:cs="Arial"/>
          <w:color w:val="auto"/>
          <w:kern w:val="2"/>
          <w:sz w:val="22"/>
          <w:szCs w:val="22"/>
          <w:highlight w:val="none"/>
        </w:rPr>
      </w:pPr>
      <w:r>
        <w:rPr>
          <w:rFonts w:hint="eastAsia" w:ascii="宋体" w:hAnsi="宋体" w:cs="Arial"/>
          <w:color w:val="auto"/>
          <w:kern w:val="2"/>
          <w:sz w:val="22"/>
          <w:szCs w:val="22"/>
          <w:highlight w:val="none"/>
        </w:rPr>
        <w:t>(1)市级暗访意见反馈处置。按照《2018年度温州市城区街道市容环境考核办法(试行)》(温城管办[2018]2号)评分细则扣分。</w:t>
      </w:r>
    </w:p>
    <w:p>
      <w:pPr>
        <w:pStyle w:val="35"/>
        <w:ind w:firstLine="440" w:firstLineChars="200"/>
        <w:rPr>
          <w:rFonts w:ascii="宋体" w:hAnsi="宋体" w:cs="Arial"/>
          <w:color w:val="auto"/>
          <w:kern w:val="2"/>
          <w:sz w:val="22"/>
          <w:szCs w:val="22"/>
          <w:highlight w:val="none"/>
        </w:rPr>
      </w:pPr>
      <w:r>
        <w:rPr>
          <w:rFonts w:hint="eastAsia" w:ascii="宋体" w:hAnsi="宋体" w:cs="Arial"/>
          <w:color w:val="auto"/>
          <w:kern w:val="2"/>
          <w:sz w:val="22"/>
          <w:szCs w:val="22"/>
          <w:highlight w:val="none"/>
        </w:rPr>
        <w:t>(2)区街道明查暗访与智慧城管督查情况。根据《灵昆街道道路清扫保洁业务承包合同》合同特殊条款执行。</w:t>
      </w:r>
    </w:p>
    <w:p>
      <w:pPr>
        <w:spacing w:line="440" w:lineRule="exact"/>
        <w:rPr>
          <w:rFonts w:ascii="宋体" w:hAnsi="宋体"/>
          <w:b/>
          <w:color w:val="auto"/>
          <w:sz w:val="22"/>
          <w:highlight w:val="none"/>
        </w:rPr>
      </w:pPr>
      <w:r>
        <w:rPr>
          <w:rFonts w:hint="eastAsia" w:ascii="宋体" w:hAnsi="宋体"/>
          <w:b/>
          <w:color w:val="auto"/>
          <w:sz w:val="22"/>
          <w:highlight w:val="none"/>
        </w:rPr>
        <w:t>（二）奖惩标准（发包方有权根据实际情况进行适当调整）</w:t>
      </w:r>
      <w:r>
        <w:rPr>
          <w:rFonts w:hint="eastAsia" w:ascii="宋体" w:hAnsi="宋体" w:cs="Arial"/>
          <w:b/>
          <w:color w:val="auto"/>
          <w:sz w:val="22"/>
          <w:highlight w:val="none"/>
          <w:lang w:eastAsia="zh-CN"/>
        </w:rPr>
        <w:t>（</w:t>
      </w:r>
      <w:r>
        <w:rPr>
          <w:rFonts w:hint="eastAsia" w:ascii="宋体" w:hAnsi="宋体" w:cs="Arial"/>
          <w:b/>
          <w:color w:val="auto"/>
          <w:sz w:val="22"/>
          <w:highlight w:val="none"/>
          <w:lang w:val="en-US" w:eastAsia="zh-CN"/>
        </w:rPr>
        <w:t>考核金</w:t>
      </w:r>
      <w:r>
        <w:rPr>
          <w:rFonts w:hint="eastAsia" w:ascii="宋体" w:hAnsi="宋体" w:cs="Arial"/>
          <w:b/>
          <w:color w:val="auto"/>
          <w:sz w:val="22"/>
          <w:highlight w:val="none"/>
        </w:rPr>
        <w:t>奖惩</w:t>
      </w:r>
      <w:r>
        <w:rPr>
          <w:rFonts w:hint="eastAsia" w:ascii="宋体" w:hAnsi="宋体" w:cs="Arial"/>
          <w:b/>
          <w:color w:val="auto"/>
          <w:sz w:val="22"/>
          <w:highlight w:val="none"/>
          <w:lang w:eastAsia="zh-CN"/>
        </w:rPr>
        <w:t>）</w:t>
      </w:r>
    </w:p>
    <w:p>
      <w:pPr>
        <w:spacing w:line="440" w:lineRule="exact"/>
        <w:ind w:firstLine="442" w:firstLineChars="200"/>
        <w:rPr>
          <w:rFonts w:hint="eastAsia" w:ascii="宋体" w:hAnsi="宋体" w:eastAsia="宋体"/>
          <w:color w:val="auto"/>
          <w:szCs w:val="21"/>
          <w:highlight w:val="none"/>
          <w:lang w:eastAsia="zh-CN"/>
        </w:rPr>
      </w:pPr>
      <w:r>
        <w:rPr>
          <w:rFonts w:hint="eastAsia" w:ascii="宋体" w:hAnsi="宋体"/>
          <w:b/>
          <w:color w:val="auto"/>
          <w:sz w:val="22"/>
          <w:highlight w:val="none"/>
        </w:rPr>
        <w:t>一</w:t>
      </w:r>
      <w:r>
        <w:rPr>
          <w:rFonts w:hint="eastAsia" w:ascii="宋体" w:hAnsi="宋体"/>
          <w:color w:val="auto"/>
          <w:szCs w:val="21"/>
          <w:highlight w:val="none"/>
        </w:rPr>
        <w:t>、</w:t>
      </w:r>
      <w:r>
        <w:rPr>
          <w:rFonts w:hint="eastAsia" w:ascii="宋体" w:hAnsi="宋体" w:cs="Arial"/>
          <w:b/>
          <w:color w:val="auto"/>
          <w:sz w:val="22"/>
          <w:highlight w:val="none"/>
        </w:rPr>
        <w:t>合同条款考核奖惩</w:t>
      </w:r>
    </w:p>
    <w:p>
      <w:pPr>
        <w:spacing w:line="440" w:lineRule="exact"/>
        <w:ind w:firstLine="440" w:firstLineChars="200"/>
        <w:rPr>
          <w:rFonts w:ascii="宋体" w:hAnsi="宋体" w:cs="Arial"/>
          <w:color w:val="auto"/>
          <w:sz w:val="22"/>
          <w:highlight w:val="none"/>
        </w:rPr>
      </w:pPr>
      <w:r>
        <w:rPr>
          <w:rFonts w:hint="eastAsia" w:ascii="宋体" w:hAnsi="宋体" w:cs="宋体"/>
          <w:color w:val="auto"/>
          <w:sz w:val="22"/>
          <w:highlight w:val="none"/>
        </w:rPr>
        <w:t>1、在合同服务期内，如月考核评分为90分</w:t>
      </w:r>
      <w:r>
        <w:rPr>
          <w:rFonts w:hint="eastAsia" w:ascii="宋体" w:hAnsi="宋体" w:cs="Arial"/>
          <w:color w:val="auto"/>
          <w:sz w:val="22"/>
          <w:highlight w:val="none"/>
        </w:rPr>
        <w:t>以下的，每发生一次</w:t>
      </w:r>
      <w:r>
        <w:rPr>
          <w:rFonts w:hint="eastAsia" w:ascii="宋体" w:hAnsi="宋体" w:cs="宋体"/>
          <w:color w:val="auto"/>
          <w:sz w:val="22"/>
          <w:highlight w:val="none"/>
        </w:rPr>
        <w:t>按保洁总中标价1%的予以扣款；</w:t>
      </w:r>
      <w:r>
        <w:rPr>
          <w:rFonts w:hint="eastAsia" w:ascii="宋体" w:hAnsi="宋体" w:cs="Arial"/>
          <w:color w:val="auto"/>
          <w:sz w:val="22"/>
          <w:highlight w:val="none"/>
        </w:rPr>
        <w:t>如月评分连续</w:t>
      </w:r>
      <w:r>
        <w:rPr>
          <w:rFonts w:ascii="宋体" w:hAnsi="宋体" w:cs="Arial"/>
          <w:color w:val="auto"/>
          <w:sz w:val="22"/>
          <w:highlight w:val="none"/>
        </w:rPr>
        <w:t>2</w:t>
      </w:r>
      <w:r>
        <w:rPr>
          <w:rFonts w:hint="eastAsia" w:ascii="宋体" w:hAnsi="宋体" w:cs="Arial"/>
          <w:color w:val="auto"/>
          <w:sz w:val="22"/>
          <w:highlight w:val="none"/>
        </w:rPr>
        <w:t>个月或合同期内出现</w:t>
      </w:r>
      <w:r>
        <w:rPr>
          <w:rFonts w:ascii="宋体" w:hAnsi="宋体" w:cs="Arial"/>
          <w:color w:val="auto"/>
          <w:sz w:val="22"/>
          <w:highlight w:val="none"/>
        </w:rPr>
        <w:t>3</w:t>
      </w:r>
      <w:r>
        <w:rPr>
          <w:rFonts w:hint="eastAsia" w:ascii="宋体" w:hAnsi="宋体" w:cs="Arial"/>
          <w:color w:val="auto"/>
          <w:sz w:val="22"/>
          <w:highlight w:val="none"/>
        </w:rPr>
        <w:t>次月评分低于</w:t>
      </w:r>
      <w:r>
        <w:rPr>
          <w:rFonts w:ascii="宋体" w:hAnsi="宋体" w:cs="Arial"/>
          <w:color w:val="auto"/>
          <w:sz w:val="22"/>
          <w:highlight w:val="none"/>
        </w:rPr>
        <w:t>85</w:t>
      </w:r>
      <w:r>
        <w:rPr>
          <w:rFonts w:hint="eastAsia" w:ascii="宋体" w:hAnsi="宋体" w:cs="Arial"/>
          <w:color w:val="auto"/>
          <w:sz w:val="22"/>
          <w:highlight w:val="none"/>
        </w:rPr>
        <w:t>分的，将终止承包合同，并没收履约保证金。</w:t>
      </w:r>
    </w:p>
    <w:p>
      <w:pPr>
        <w:spacing w:line="440" w:lineRule="exact"/>
        <w:ind w:firstLine="440" w:firstLineChars="200"/>
        <w:rPr>
          <w:rFonts w:ascii="宋体" w:hAnsi="宋体" w:cs="Arial"/>
          <w:color w:val="auto"/>
          <w:sz w:val="22"/>
          <w:highlight w:val="none"/>
        </w:rPr>
      </w:pPr>
      <w:r>
        <w:rPr>
          <w:rFonts w:hint="default" w:ascii="宋体" w:hAnsi="宋体" w:cs="Arial"/>
          <w:color w:val="auto"/>
          <w:sz w:val="22"/>
          <w:highlight w:val="none"/>
          <w:lang w:val="en-US"/>
        </w:rPr>
        <w:t>2</w:t>
      </w:r>
      <w:r>
        <w:rPr>
          <w:rFonts w:hint="eastAsia" w:ascii="宋体" w:hAnsi="宋体" w:cs="Arial"/>
          <w:color w:val="auto"/>
          <w:sz w:val="22"/>
          <w:highlight w:val="none"/>
        </w:rPr>
        <w:t>、有市民投诉、媒体曝光的影响环境卫生事件</w:t>
      </w:r>
      <w:r>
        <w:rPr>
          <w:rFonts w:ascii="宋体" w:hAnsi="宋体" w:cs="Arial"/>
          <w:color w:val="auto"/>
          <w:sz w:val="22"/>
          <w:highlight w:val="none"/>
        </w:rPr>
        <w:t>,</w:t>
      </w:r>
      <w:r>
        <w:rPr>
          <w:rFonts w:hint="eastAsia" w:ascii="宋体" w:hAnsi="宋体" w:cs="Arial"/>
          <w:color w:val="auto"/>
          <w:sz w:val="22"/>
          <w:highlight w:val="none"/>
        </w:rPr>
        <w:t>经核实是由乙方或作业人员责任引起的，每次按</w:t>
      </w:r>
      <w:r>
        <w:rPr>
          <w:rFonts w:hint="eastAsia" w:ascii="宋体" w:hAnsi="宋体" w:cs="Arial"/>
          <w:color w:val="auto"/>
          <w:sz w:val="22"/>
          <w:highlight w:val="none"/>
          <w:lang w:val="en-US" w:eastAsia="zh-CN"/>
        </w:rPr>
        <w:t>本月</w:t>
      </w:r>
      <w:r>
        <w:rPr>
          <w:rFonts w:hint="eastAsia" w:ascii="宋体" w:hAnsi="宋体" w:cs="Arial"/>
          <w:color w:val="auto"/>
          <w:sz w:val="22"/>
          <w:highlight w:val="none"/>
        </w:rPr>
        <w:t>质量结算金额基数的</w:t>
      </w:r>
      <w:r>
        <w:rPr>
          <w:rFonts w:ascii="宋体" w:hAnsi="宋体" w:cs="Arial"/>
          <w:color w:val="auto"/>
          <w:sz w:val="22"/>
          <w:highlight w:val="none"/>
        </w:rPr>
        <w:t>5%</w:t>
      </w:r>
      <w:r>
        <w:rPr>
          <w:rFonts w:hint="eastAsia" w:ascii="宋体" w:hAnsi="宋体" w:cs="Arial"/>
          <w:color w:val="auto"/>
          <w:sz w:val="22"/>
          <w:highlight w:val="none"/>
        </w:rPr>
        <w:t>予以扣款。</w:t>
      </w:r>
    </w:p>
    <w:p>
      <w:pPr>
        <w:spacing w:line="440" w:lineRule="exact"/>
        <w:ind w:firstLine="440" w:firstLineChars="200"/>
        <w:rPr>
          <w:rFonts w:ascii="宋体" w:hAnsi="宋体" w:cs="Arial"/>
          <w:color w:val="auto"/>
          <w:sz w:val="22"/>
          <w:highlight w:val="none"/>
        </w:rPr>
      </w:pPr>
      <w:r>
        <w:rPr>
          <w:rFonts w:hint="default" w:ascii="宋体" w:hAnsi="宋体" w:cs="Arial"/>
          <w:color w:val="auto"/>
          <w:sz w:val="22"/>
          <w:highlight w:val="none"/>
          <w:lang w:val="en-US"/>
        </w:rPr>
        <w:t>3</w:t>
      </w:r>
      <w:r>
        <w:rPr>
          <w:rFonts w:hint="eastAsia" w:ascii="宋体" w:hAnsi="宋体" w:cs="Arial"/>
          <w:color w:val="auto"/>
          <w:sz w:val="22"/>
          <w:highlight w:val="none"/>
        </w:rPr>
        <w:t>、作业人员配备和职工福利待遇达不到招投标文件要求的，每发现缺少一名作业人员的，按人员月工资福利总额的2倍予以扣款；每发现一次故意克扣工人工资福利待遇的，按克扣额的2倍予以扣款。其中人员配置少于规定或承诺数90%以及故意被克扣工资福利人数超总人数20%的，将终止承包合同，并没收履约保证金。</w:t>
      </w:r>
    </w:p>
    <w:p>
      <w:pPr>
        <w:spacing w:line="440" w:lineRule="exact"/>
        <w:ind w:firstLine="440" w:firstLineChars="200"/>
        <w:rPr>
          <w:rFonts w:ascii="宋体" w:hAnsi="宋体" w:cs="Arial"/>
          <w:color w:val="auto"/>
          <w:sz w:val="22"/>
          <w:highlight w:val="none"/>
        </w:rPr>
      </w:pPr>
      <w:r>
        <w:rPr>
          <w:rFonts w:hint="default" w:ascii="宋体" w:hAnsi="宋体" w:cs="Arial"/>
          <w:color w:val="auto"/>
          <w:sz w:val="22"/>
          <w:highlight w:val="none"/>
          <w:lang w:val="en-US"/>
        </w:rPr>
        <w:t>4</w:t>
      </w:r>
      <w:r>
        <w:rPr>
          <w:rFonts w:hint="eastAsia" w:ascii="宋体" w:hAnsi="宋体" w:cs="Arial"/>
          <w:color w:val="auto"/>
          <w:sz w:val="22"/>
          <w:highlight w:val="none"/>
        </w:rPr>
        <w:t>、检查发现当天发现机械化作业频次未达到要求的，扣贰仟元人民币/次；检查发现当天作业车辆（船）配备未达到要求的，扣伍仟元/辆（艘）。作业车辆连续三次或者累计五次配备不到位的，将终止承包合同，并没收履约保证金（除人力不可抗拒的特殊情况外）。</w:t>
      </w:r>
    </w:p>
    <w:p>
      <w:pPr>
        <w:spacing w:line="440" w:lineRule="exact"/>
        <w:ind w:firstLine="440" w:firstLineChars="200"/>
        <w:rPr>
          <w:rFonts w:ascii="宋体" w:hAnsi="宋体" w:cs="Arial"/>
          <w:color w:val="auto"/>
          <w:sz w:val="22"/>
          <w:highlight w:val="none"/>
        </w:rPr>
      </w:pPr>
      <w:r>
        <w:rPr>
          <w:rFonts w:hint="default" w:ascii="宋体" w:hAnsi="宋体" w:cs="Arial"/>
          <w:color w:val="auto"/>
          <w:sz w:val="22"/>
          <w:highlight w:val="none"/>
          <w:lang w:val="en-US"/>
        </w:rPr>
        <w:t>5</w:t>
      </w:r>
      <w:r>
        <w:rPr>
          <w:rFonts w:hint="eastAsia" w:ascii="宋体" w:hAnsi="宋体" w:cs="Arial"/>
          <w:color w:val="auto"/>
          <w:sz w:val="22"/>
          <w:highlight w:val="none"/>
        </w:rPr>
        <w:t>、凡遇省、市、区重大活动或检查时，因道路清扫不到位而出现不良影响的，除给予通报批评外，将予以扣款。省级检查发现的，每处扣2000元以上；市级检查发现的，每处扣1000元以上；区级检查发现的，每处扣</w:t>
      </w:r>
      <w:r>
        <w:rPr>
          <w:rFonts w:hint="default" w:ascii="宋体" w:hAnsi="宋体" w:cs="Arial"/>
          <w:color w:val="auto"/>
          <w:sz w:val="22"/>
          <w:highlight w:val="none"/>
          <w:lang w:val="en-US"/>
        </w:rPr>
        <w:t>2</w:t>
      </w:r>
      <w:r>
        <w:rPr>
          <w:rFonts w:hint="eastAsia" w:ascii="宋体" w:hAnsi="宋体" w:cs="Arial"/>
          <w:color w:val="auto"/>
          <w:sz w:val="22"/>
          <w:highlight w:val="none"/>
        </w:rPr>
        <w:t>00元以上。对未能服从统一安排和调度的每次扣除3000元。</w:t>
      </w:r>
    </w:p>
    <w:p>
      <w:pPr>
        <w:widowControl/>
        <w:spacing w:line="460" w:lineRule="exact"/>
        <w:ind w:firstLine="440" w:firstLineChars="200"/>
        <w:rPr>
          <w:rFonts w:hint="eastAsia" w:ascii="宋体" w:hAnsi="宋体" w:cs="Arial"/>
          <w:color w:val="auto"/>
          <w:sz w:val="22"/>
          <w:highlight w:val="none"/>
        </w:rPr>
      </w:pPr>
      <w:r>
        <w:rPr>
          <w:rFonts w:hint="default" w:ascii="宋体" w:hAnsi="宋体" w:cs="Arial"/>
          <w:color w:val="auto"/>
          <w:sz w:val="22"/>
          <w:highlight w:val="none"/>
          <w:lang w:val="en-US"/>
        </w:rPr>
        <w:t>6</w:t>
      </w:r>
      <w:r>
        <w:rPr>
          <w:rFonts w:hint="eastAsia" w:ascii="宋体" w:hAnsi="宋体" w:cs="Arial"/>
          <w:color w:val="auto"/>
          <w:sz w:val="22"/>
          <w:highlight w:val="none"/>
        </w:rPr>
        <w:t>、以上违规情况涉及扣款均从每月承包经费中扣除，扣完为止。</w:t>
      </w:r>
    </w:p>
    <w:p>
      <w:pPr>
        <w:keepNext w:val="0"/>
        <w:keepLines w:val="0"/>
        <w:widowControl/>
        <w:suppressLineNumbers w:val="0"/>
        <w:wordWrap/>
        <w:spacing w:line="440" w:lineRule="exact"/>
        <w:ind w:firstLine="440" w:firstLineChars="200"/>
        <w:jc w:val="left"/>
        <w:textAlignment w:val="auto"/>
        <w:rPr>
          <w:rFonts w:hint="default" w:ascii="宋体" w:hAnsi="宋体" w:eastAsia="宋体" w:cs="Arial"/>
          <w:b w:val="0"/>
          <w:bCs w:val="0"/>
          <w:i w:val="0"/>
          <w:iCs w:val="0"/>
          <w:color w:val="auto"/>
          <w:sz w:val="22"/>
          <w:szCs w:val="22"/>
          <w:highlight w:val="none"/>
          <w:u w:val="none"/>
        </w:rPr>
      </w:pPr>
      <w:r>
        <w:rPr>
          <w:rFonts w:hint="default" w:ascii="宋体" w:hAnsi="宋体" w:eastAsia="宋体" w:cs="Arial"/>
          <w:b w:val="0"/>
          <w:bCs w:val="0"/>
          <w:i w:val="0"/>
          <w:iCs w:val="0"/>
          <w:color w:val="auto"/>
          <w:sz w:val="22"/>
          <w:szCs w:val="22"/>
          <w:highlight w:val="none"/>
          <w:u w:val="none"/>
        </w:rPr>
        <w:t>7、因保洁工作获得市级以上部门予以街道荣誉、评为先进典型代表等；在文明城市创建、卫生城市创建、和美乡村建设等环境卫生考核中，排名前3名的；经业主核实后，可以一次性给予5万元奖励。</w:t>
      </w:r>
    </w:p>
    <w:p>
      <w:pPr>
        <w:spacing w:line="440" w:lineRule="exact"/>
        <w:ind w:firstLine="440" w:firstLineChars="200"/>
        <w:rPr>
          <w:rFonts w:hint="default" w:ascii="宋体" w:hAnsi="宋体" w:cs="Arial"/>
          <w:color w:val="auto"/>
          <w:sz w:val="22"/>
          <w:highlight w:val="none"/>
          <w:lang w:val="en-US" w:eastAsia="zh-CN"/>
        </w:rPr>
      </w:pPr>
      <w:r>
        <w:rPr>
          <w:rFonts w:hint="default" w:ascii="宋体" w:hAnsi="宋体" w:eastAsia="宋体" w:cs="Arial"/>
          <w:b w:val="0"/>
          <w:bCs w:val="0"/>
          <w:i w:val="0"/>
          <w:iCs w:val="0"/>
          <w:color w:val="auto"/>
          <w:sz w:val="22"/>
          <w:szCs w:val="22"/>
          <w:highlight w:val="none"/>
          <w:u w:val="none"/>
        </w:rPr>
        <w:t>8、在文明城市创建、卫生城市创建、和美乡村建设等环境卫生考核中，排名最后3名的</w:t>
      </w:r>
      <w:r>
        <w:rPr>
          <w:rFonts w:hint="default" w:ascii="宋体" w:hAnsi="宋体" w:eastAsia="宋体" w:cs="Arial"/>
          <w:b w:val="0"/>
          <w:bCs w:val="0"/>
          <w:i w:val="0"/>
          <w:iCs w:val="0"/>
          <w:color w:val="auto"/>
          <w:sz w:val="22"/>
          <w:szCs w:val="22"/>
          <w:highlight w:val="none"/>
          <w:u w:val="none"/>
          <w:lang w:eastAsia="zh-CN"/>
        </w:rPr>
        <w:t>或被市区通报批评约谈的</w:t>
      </w:r>
      <w:r>
        <w:rPr>
          <w:rFonts w:hint="eastAsia" w:ascii="宋体" w:hAnsi="宋体" w:cs="Arial"/>
          <w:b w:val="0"/>
          <w:bCs w:val="0"/>
          <w:i w:val="0"/>
          <w:iCs w:val="0"/>
          <w:color w:val="auto"/>
          <w:sz w:val="22"/>
          <w:szCs w:val="22"/>
          <w:highlight w:val="none"/>
          <w:u w:val="none"/>
          <w:lang w:eastAsia="zh-CN"/>
        </w:rPr>
        <w:t>，</w:t>
      </w:r>
      <w:r>
        <w:rPr>
          <w:rFonts w:hint="default" w:ascii="宋体" w:hAnsi="宋体" w:eastAsia="宋体" w:cs="Arial"/>
          <w:b w:val="0"/>
          <w:bCs w:val="0"/>
          <w:i w:val="0"/>
          <w:iCs w:val="0"/>
          <w:color w:val="auto"/>
          <w:sz w:val="22"/>
          <w:szCs w:val="22"/>
          <w:highlight w:val="none"/>
          <w:u w:val="none"/>
        </w:rPr>
        <w:t>经业主核实后，扣除5万元考核金，并认定当月考核评分为90分以下</w:t>
      </w:r>
      <w:r>
        <w:rPr>
          <w:rFonts w:hint="default" w:ascii="宋体" w:hAnsi="宋体" w:eastAsia="宋体" w:cs="Arial"/>
          <w:b w:val="0"/>
          <w:bCs w:val="0"/>
          <w:i w:val="0"/>
          <w:iCs w:val="0"/>
          <w:color w:val="auto"/>
          <w:sz w:val="22"/>
          <w:szCs w:val="22"/>
          <w:highlight w:val="none"/>
          <w:u w:val="none"/>
          <w:lang w:eastAsia="zh-CN"/>
        </w:rPr>
        <w:t>，同时按照《灵昆街道道路及河道保洁项目质量考核评分细则》</w:t>
      </w:r>
      <w:r>
        <w:rPr>
          <w:rFonts w:hint="default" w:ascii="宋体" w:hAnsi="宋体" w:cs="Arial"/>
          <w:color w:val="auto"/>
          <w:sz w:val="22"/>
          <w:highlight w:val="none"/>
        </w:rPr>
        <w:t>予以总中标价1%的扣款</w:t>
      </w:r>
      <w:r>
        <w:rPr>
          <w:rFonts w:hint="default" w:ascii="宋体" w:hAnsi="宋体" w:eastAsia="宋体" w:cs="Arial"/>
          <w:b w:val="0"/>
          <w:bCs w:val="0"/>
          <w:i w:val="0"/>
          <w:iCs w:val="0"/>
          <w:color w:val="auto"/>
          <w:sz w:val="22"/>
          <w:szCs w:val="22"/>
          <w:highlight w:val="none"/>
          <w:u w:val="none"/>
        </w:rPr>
        <w:t>。</w:t>
      </w:r>
    </w:p>
    <w:p>
      <w:pPr>
        <w:tabs>
          <w:tab w:val="left" w:pos="4286"/>
        </w:tabs>
        <w:spacing w:line="360" w:lineRule="exact"/>
        <w:jc w:val="center"/>
        <w:rPr>
          <w:rFonts w:hint="eastAsia" w:ascii="宋体" w:hAnsi="宋体" w:eastAsia="宋体" w:cs="宋体"/>
          <w:b/>
          <w:color w:val="auto"/>
          <w:sz w:val="22"/>
          <w:highlight w:val="none"/>
        </w:rPr>
      </w:pPr>
    </w:p>
    <w:p>
      <w:pPr>
        <w:tabs>
          <w:tab w:val="left" w:pos="4286"/>
        </w:tabs>
        <w:spacing w:line="360" w:lineRule="exact"/>
        <w:jc w:val="center"/>
        <w:rPr>
          <w:rFonts w:hint="eastAsia" w:ascii="宋体" w:hAnsi="宋体" w:eastAsia="宋体" w:cs="宋体"/>
          <w:b/>
          <w:color w:val="auto"/>
          <w:sz w:val="22"/>
          <w:highlight w:val="none"/>
        </w:rPr>
      </w:pPr>
    </w:p>
    <w:p>
      <w:pPr>
        <w:tabs>
          <w:tab w:val="left" w:pos="4286"/>
        </w:tabs>
        <w:spacing w:line="360" w:lineRule="exact"/>
        <w:jc w:val="center"/>
        <w:rPr>
          <w:rFonts w:hint="eastAsia" w:ascii="宋体" w:hAnsi="宋体" w:eastAsia="宋体" w:cs="宋体"/>
          <w:b/>
          <w:color w:val="auto"/>
          <w:sz w:val="22"/>
          <w:highlight w:val="none"/>
        </w:rPr>
      </w:pPr>
    </w:p>
    <w:p>
      <w:pPr>
        <w:tabs>
          <w:tab w:val="left" w:pos="4286"/>
        </w:tabs>
        <w:spacing w:line="360" w:lineRule="exact"/>
        <w:jc w:val="center"/>
        <w:rPr>
          <w:rFonts w:hint="eastAsia" w:ascii="宋体" w:hAnsi="宋体" w:eastAsia="宋体" w:cs="宋体"/>
          <w:b/>
          <w:color w:val="auto"/>
          <w:sz w:val="22"/>
          <w:highlight w:val="none"/>
        </w:rPr>
      </w:pPr>
    </w:p>
    <w:p>
      <w:pPr>
        <w:tabs>
          <w:tab w:val="left" w:pos="4286"/>
        </w:tabs>
        <w:spacing w:line="360" w:lineRule="exact"/>
        <w:jc w:val="center"/>
        <w:rPr>
          <w:rFonts w:hint="eastAsia" w:ascii="宋体" w:hAnsi="宋体" w:eastAsia="宋体" w:cs="宋体"/>
          <w:b/>
          <w:color w:val="auto"/>
          <w:sz w:val="22"/>
          <w:highlight w:val="none"/>
        </w:rPr>
      </w:pPr>
    </w:p>
    <w:p>
      <w:pPr>
        <w:tabs>
          <w:tab w:val="left" w:pos="4286"/>
        </w:tabs>
        <w:spacing w:line="360" w:lineRule="exact"/>
        <w:jc w:val="center"/>
        <w:rPr>
          <w:rFonts w:hint="eastAsia" w:ascii="宋体" w:hAnsi="宋体" w:eastAsia="宋体" w:cs="宋体"/>
          <w:b/>
          <w:color w:val="auto"/>
          <w:sz w:val="22"/>
          <w:highlight w:val="none"/>
        </w:rPr>
      </w:pPr>
    </w:p>
    <w:p>
      <w:pPr>
        <w:tabs>
          <w:tab w:val="left" w:pos="4286"/>
        </w:tabs>
        <w:spacing w:line="360" w:lineRule="exact"/>
        <w:jc w:val="center"/>
        <w:rPr>
          <w:rFonts w:hint="eastAsia" w:ascii="宋体" w:hAnsi="宋体" w:eastAsia="宋体" w:cs="宋体"/>
          <w:b/>
          <w:color w:val="auto"/>
          <w:sz w:val="22"/>
          <w:highlight w:val="none"/>
        </w:rPr>
      </w:pPr>
    </w:p>
    <w:p>
      <w:pPr>
        <w:tabs>
          <w:tab w:val="left" w:pos="4286"/>
        </w:tabs>
        <w:spacing w:line="360" w:lineRule="exact"/>
        <w:jc w:val="center"/>
        <w:rPr>
          <w:rFonts w:hint="eastAsia" w:ascii="宋体" w:hAnsi="宋体" w:eastAsia="宋体" w:cs="宋体"/>
          <w:b/>
          <w:color w:val="auto"/>
          <w:sz w:val="22"/>
          <w:highlight w:val="none"/>
        </w:rPr>
      </w:pPr>
    </w:p>
    <w:p>
      <w:pPr>
        <w:tabs>
          <w:tab w:val="left" w:pos="4286"/>
        </w:tabs>
        <w:spacing w:line="400" w:lineRule="exact"/>
        <w:jc w:val="center"/>
        <w:rPr>
          <w:rFonts w:hint="eastAsia" w:ascii="宋体" w:hAnsi="宋体" w:eastAsia="宋体" w:cs="宋体"/>
          <w:b/>
          <w:color w:val="auto"/>
          <w:sz w:val="22"/>
          <w:highlight w:val="none"/>
        </w:rPr>
      </w:pPr>
    </w:p>
    <w:p>
      <w:pPr>
        <w:pStyle w:val="2"/>
        <w:ind w:firstLine="221"/>
        <w:rPr>
          <w:rFonts w:hint="eastAsia" w:ascii="宋体" w:hAnsi="宋体" w:eastAsia="宋体" w:cs="宋体"/>
          <w:color w:val="auto"/>
          <w:sz w:val="22"/>
          <w:highlight w:val="none"/>
        </w:rPr>
      </w:pPr>
    </w:p>
    <w:p>
      <w:pPr>
        <w:pStyle w:val="2"/>
        <w:ind w:firstLine="221"/>
        <w:rPr>
          <w:rFonts w:hint="eastAsia" w:ascii="宋体" w:hAnsi="宋体" w:eastAsia="宋体" w:cs="宋体"/>
          <w:color w:val="auto"/>
          <w:sz w:val="22"/>
          <w:highlight w:val="none"/>
        </w:rPr>
      </w:pPr>
    </w:p>
    <w:p>
      <w:pPr>
        <w:pStyle w:val="2"/>
        <w:ind w:firstLine="221"/>
        <w:rPr>
          <w:rFonts w:hint="eastAsia" w:ascii="宋体" w:hAnsi="宋体" w:eastAsia="宋体" w:cs="宋体"/>
          <w:color w:val="auto"/>
          <w:sz w:val="22"/>
          <w:highlight w:val="none"/>
        </w:rPr>
      </w:pPr>
    </w:p>
    <w:p>
      <w:pPr>
        <w:pStyle w:val="2"/>
        <w:ind w:firstLine="221"/>
        <w:rPr>
          <w:rFonts w:hint="eastAsia" w:ascii="宋体" w:hAnsi="宋体" w:eastAsia="宋体" w:cs="宋体"/>
          <w:color w:val="auto"/>
          <w:sz w:val="22"/>
          <w:highlight w:val="none"/>
        </w:rPr>
      </w:pPr>
    </w:p>
    <w:p>
      <w:pPr>
        <w:pStyle w:val="2"/>
        <w:ind w:firstLine="221"/>
        <w:rPr>
          <w:rFonts w:hint="eastAsia" w:ascii="宋体" w:hAnsi="宋体" w:eastAsia="宋体" w:cs="宋体"/>
          <w:color w:val="auto"/>
          <w:sz w:val="22"/>
          <w:highlight w:val="none"/>
        </w:rPr>
      </w:pPr>
    </w:p>
    <w:p>
      <w:pPr>
        <w:tabs>
          <w:tab w:val="left" w:pos="4286"/>
        </w:tabs>
        <w:spacing w:line="400" w:lineRule="exact"/>
        <w:jc w:val="center"/>
        <w:rPr>
          <w:rFonts w:hint="eastAsia" w:ascii="宋体" w:hAnsi="宋体" w:eastAsia="宋体" w:cs="宋体"/>
          <w:b/>
          <w:color w:val="auto"/>
          <w:sz w:val="32"/>
          <w:highlight w:val="none"/>
        </w:rPr>
      </w:pPr>
    </w:p>
    <w:p>
      <w:pPr>
        <w:tabs>
          <w:tab w:val="left" w:pos="4286"/>
        </w:tabs>
        <w:spacing w:line="400" w:lineRule="exact"/>
        <w:jc w:val="center"/>
        <w:rPr>
          <w:rFonts w:hint="eastAsia" w:ascii="宋体" w:hAnsi="宋体" w:eastAsia="宋体" w:cs="宋体"/>
          <w:b/>
          <w:color w:val="auto"/>
          <w:sz w:val="32"/>
          <w:highlight w:val="none"/>
        </w:rPr>
      </w:pPr>
    </w:p>
    <w:p>
      <w:pPr>
        <w:tabs>
          <w:tab w:val="left" w:pos="4286"/>
        </w:tabs>
        <w:spacing w:line="400" w:lineRule="exact"/>
        <w:jc w:val="center"/>
        <w:rPr>
          <w:rFonts w:hint="eastAsia" w:ascii="宋体" w:hAnsi="宋体" w:eastAsia="宋体" w:cs="宋体"/>
          <w:b/>
          <w:color w:val="auto"/>
          <w:sz w:val="32"/>
          <w:highlight w:val="none"/>
        </w:rPr>
      </w:pPr>
    </w:p>
    <w:p>
      <w:pPr>
        <w:tabs>
          <w:tab w:val="left" w:pos="4286"/>
        </w:tabs>
        <w:spacing w:line="400" w:lineRule="exact"/>
        <w:jc w:val="center"/>
        <w:rPr>
          <w:rFonts w:hint="eastAsia" w:ascii="宋体" w:hAnsi="宋体" w:eastAsia="宋体" w:cs="宋体"/>
          <w:b/>
          <w:color w:val="auto"/>
          <w:sz w:val="32"/>
          <w:highlight w:val="none"/>
        </w:rPr>
      </w:pPr>
    </w:p>
    <w:p>
      <w:pPr>
        <w:tabs>
          <w:tab w:val="left" w:pos="4286"/>
        </w:tabs>
        <w:spacing w:line="400" w:lineRule="exact"/>
        <w:jc w:val="center"/>
        <w:rPr>
          <w:rFonts w:hint="eastAsia" w:ascii="宋体" w:hAnsi="宋体" w:eastAsia="宋体" w:cs="宋体"/>
          <w:b/>
          <w:color w:val="auto"/>
          <w:sz w:val="32"/>
          <w:highlight w:val="none"/>
        </w:rPr>
      </w:pPr>
    </w:p>
    <w:p>
      <w:pPr>
        <w:tabs>
          <w:tab w:val="left" w:pos="4286"/>
        </w:tabs>
        <w:spacing w:line="400" w:lineRule="exact"/>
        <w:jc w:val="center"/>
        <w:rPr>
          <w:rFonts w:hint="eastAsia" w:ascii="宋体" w:hAnsi="宋体" w:eastAsia="宋体" w:cs="宋体"/>
          <w:b/>
          <w:color w:val="auto"/>
          <w:sz w:val="32"/>
          <w:highlight w:val="none"/>
        </w:rPr>
      </w:pPr>
    </w:p>
    <w:p>
      <w:pPr>
        <w:tabs>
          <w:tab w:val="left" w:pos="4286"/>
        </w:tabs>
        <w:spacing w:line="400" w:lineRule="exact"/>
        <w:jc w:val="center"/>
        <w:rPr>
          <w:rFonts w:hint="eastAsia" w:ascii="宋体" w:hAnsi="宋体" w:eastAsia="宋体" w:cs="宋体"/>
          <w:b/>
          <w:color w:val="auto"/>
          <w:sz w:val="32"/>
          <w:highlight w:val="none"/>
        </w:rPr>
      </w:pPr>
    </w:p>
    <w:p>
      <w:pPr>
        <w:tabs>
          <w:tab w:val="left" w:pos="4286"/>
        </w:tabs>
        <w:spacing w:line="400" w:lineRule="exact"/>
        <w:jc w:val="center"/>
        <w:rPr>
          <w:rFonts w:hint="eastAsia" w:ascii="宋体" w:hAnsi="宋体" w:eastAsia="宋体" w:cs="宋体"/>
          <w:b/>
          <w:color w:val="auto"/>
          <w:sz w:val="32"/>
          <w:highlight w:val="none"/>
        </w:rPr>
      </w:pPr>
    </w:p>
    <w:p>
      <w:pPr>
        <w:tabs>
          <w:tab w:val="left" w:pos="4286"/>
        </w:tabs>
        <w:spacing w:line="400" w:lineRule="exact"/>
        <w:jc w:val="center"/>
        <w:rPr>
          <w:rFonts w:hint="eastAsia" w:ascii="宋体" w:hAnsi="宋体" w:eastAsia="宋体" w:cs="宋体"/>
          <w:b/>
          <w:color w:val="auto"/>
          <w:sz w:val="32"/>
          <w:highlight w:val="none"/>
        </w:rPr>
      </w:pPr>
    </w:p>
    <w:p>
      <w:pPr>
        <w:tabs>
          <w:tab w:val="left" w:pos="4286"/>
        </w:tabs>
        <w:spacing w:line="400" w:lineRule="exact"/>
        <w:jc w:val="center"/>
        <w:rPr>
          <w:rFonts w:hint="eastAsia" w:ascii="宋体" w:hAnsi="宋体" w:eastAsia="宋体" w:cs="宋体"/>
          <w:b/>
          <w:color w:val="auto"/>
          <w:sz w:val="32"/>
          <w:highlight w:val="none"/>
        </w:rPr>
      </w:pPr>
    </w:p>
    <w:p>
      <w:pPr>
        <w:tabs>
          <w:tab w:val="left" w:pos="4286"/>
        </w:tabs>
        <w:spacing w:line="400" w:lineRule="exact"/>
        <w:jc w:val="center"/>
        <w:rPr>
          <w:rFonts w:hint="eastAsia" w:ascii="宋体" w:hAnsi="宋体" w:eastAsia="宋体" w:cs="宋体"/>
          <w:b/>
          <w:color w:val="auto"/>
          <w:sz w:val="32"/>
          <w:highlight w:val="none"/>
        </w:rPr>
      </w:pPr>
    </w:p>
    <w:p>
      <w:pPr>
        <w:tabs>
          <w:tab w:val="left" w:pos="4286"/>
        </w:tabs>
        <w:spacing w:line="4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第四部分    附件</w:t>
      </w:r>
    </w:p>
    <w:p>
      <w:pPr>
        <w:snapToGrid w:val="0"/>
        <w:spacing w:beforeLines="50" w:after="50"/>
        <w:jc w:val="center"/>
        <w:outlineLvl w:val="1"/>
        <w:rPr>
          <w:rFonts w:hint="eastAsia" w:ascii="宋体" w:hAnsi="宋体" w:eastAsia="宋体" w:cs="宋体"/>
          <w:b/>
          <w:bCs/>
          <w:color w:val="auto"/>
          <w:sz w:val="32"/>
          <w:szCs w:val="32"/>
          <w:highlight w:val="none"/>
        </w:rPr>
      </w:pPr>
    </w:p>
    <w:p>
      <w:pPr>
        <w:snapToGrid w:val="0"/>
        <w:spacing w:beforeLines="50" w:after="50"/>
        <w:jc w:val="center"/>
        <w:outlineLvl w:val="1"/>
        <w:rPr>
          <w:rFonts w:hint="eastAsia" w:ascii="宋体" w:hAnsi="宋体" w:eastAsia="宋体" w:cs="宋体"/>
          <w:b/>
          <w:color w:val="auto"/>
          <w:sz w:val="32"/>
          <w:szCs w:val="32"/>
          <w:highlight w:val="none"/>
        </w:rPr>
      </w:pPr>
      <w:r>
        <w:rPr>
          <w:rFonts w:hint="eastAsia" w:ascii="宋体" w:hAnsi="宋体" w:eastAsia="宋体" w:cs="宋体"/>
          <w:b/>
          <w:bCs/>
          <w:color w:val="auto"/>
          <w:sz w:val="32"/>
          <w:szCs w:val="32"/>
          <w:highlight w:val="none"/>
        </w:rPr>
        <w:t>一、报价文件部分格式</w:t>
      </w:r>
    </w:p>
    <w:p>
      <w:pPr>
        <w:snapToGrid w:val="0"/>
        <w:spacing w:before="50" w:afterLines="50"/>
        <w:jc w:val="left"/>
        <w:rPr>
          <w:rFonts w:hint="eastAsia" w:ascii="宋体" w:hAnsi="宋体" w:eastAsia="宋体" w:cs="宋体"/>
          <w:b/>
          <w:color w:val="auto"/>
          <w:sz w:val="24"/>
          <w:highlight w:val="none"/>
        </w:rPr>
      </w:pPr>
    </w:p>
    <w:p>
      <w:pPr>
        <w:snapToGrid w:val="0"/>
        <w:spacing w:before="50" w:afterLines="50"/>
        <w:jc w:val="left"/>
        <w:rPr>
          <w:rFonts w:hint="eastAsia" w:ascii="宋体" w:hAnsi="宋体" w:eastAsia="宋体" w:cs="宋体"/>
          <w:b/>
          <w:color w:val="auto"/>
          <w:sz w:val="24"/>
          <w:szCs w:val="24"/>
          <w:highlight w:val="none"/>
        </w:rPr>
      </w:pPr>
      <w:r>
        <w:rPr>
          <w:rFonts w:hint="eastAsia" w:ascii="宋体" w:hAnsi="宋体" w:eastAsia="宋体" w:cs="宋体"/>
          <w:b/>
          <w:bCs/>
          <w:color w:val="auto"/>
          <w:sz w:val="24"/>
          <w:highlight w:val="none"/>
        </w:rPr>
        <w:t>投标报价文件封面格式：</w:t>
      </w:r>
    </w:p>
    <w:p>
      <w:pPr>
        <w:snapToGrid w:val="0"/>
        <w:spacing w:line="400" w:lineRule="exact"/>
        <w:jc w:val="center"/>
        <w:outlineLvl w:val="1"/>
        <w:rPr>
          <w:rFonts w:hint="eastAsia" w:ascii="宋体" w:hAnsi="宋体" w:eastAsia="宋体" w:cs="宋体"/>
          <w:b/>
          <w:bCs/>
          <w:color w:val="auto"/>
          <w:sz w:val="24"/>
          <w:szCs w:val="20"/>
          <w:highlight w:val="none"/>
        </w:rPr>
      </w:pPr>
    </w:p>
    <w:p>
      <w:pPr>
        <w:snapToGrid w:val="0"/>
        <w:spacing w:line="400" w:lineRule="exact"/>
        <w:jc w:val="center"/>
        <w:rPr>
          <w:rFonts w:hint="eastAsia" w:ascii="宋体" w:hAnsi="宋体" w:eastAsia="宋体" w:cs="宋体"/>
          <w:bCs/>
          <w:color w:val="auto"/>
          <w:sz w:val="24"/>
          <w:szCs w:val="20"/>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62336" behindDoc="0" locked="0" layoutInCell="1" allowOverlap="1">
                <wp:simplePos x="0" y="0"/>
                <wp:positionH relativeFrom="column">
                  <wp:posOffset>389890</wp:posOffset>
                </wp:positionH>
                <wp:positionV relativeFrom="paragraph">
                  <wp:posOffset>203200</wp:posOffset>
                </wp:positionV>
                <wp:extent cx="5076825" cy="3514090"/>
                <wp:effectExtent l="5080" t="5080" r="4445" b="5080"/>
                <wp:wrapTopAndBottom/>
                <wp:docPr id="4" name="文本框 4"/>
                <wp:cNvGraphicFramePr/>
                <a:graphic xmlns:a="http://schemas.openxmlformats.org/drawingml/2006/main">
                  <a:graphicData uri="http://schemas.microsoft.com/office/word/2010/wordprocessingShape">
                    <wps:wsp>
                      <wps:cNvSpPr txBox="1">
                        <a:spLocks noRot="1"/>
                      </wps:cNvSpPr>
                      <wps:spPr>
                        <a:xfrm>
                          <a:off x="0" y="0"/>
                          <a:ext cx="5076825" cy="35140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Lines="50" w:after="50"/>
                              <w:ind w:left="-850" w:leftChars="-405"/>
                              <w:rPr>
                                <w:rFonts w:ascii="宋体" w:hAnsi="宋体"/>
                                <w:sz w:val="24"/>
                                <w:szCs w:val="20"/>
                              </w:rPr>
                            </w:pPr>
                          </w:p>
                          <w:p>
                            <w:pPr>
                              <w:pStyle w:val="27"/>
                              <w:ind w:hanging="480"/>
                            </w:pPr>
                          </w:p>
                          <w:p>
                            <w:pPr>
                              <w:snapToGrid w:val="0"/>
                              <w:spacing w:beforeLines="50" w:after="50"/>
                              <w:jc w:val="center"/>
                              <w:rPr>
                                <w:rFonts w:ascii="宋体" w:hAnsi="宋体"/>
                                <w:bCs/>
                                <w:sz w:val="24"/>
                                <w:szCs w:val="20"/>
                              </w:rPr>
                            </w:pPr>
                            <w:r>
                              <w:rPr>
                                <w:rFonts w:hint="eastAsia" w:ascii="宋体" w:hAnsi="宋体"/>
                                <w:bCs/>
                                <w:sz w:val="24"/>
                                <w:szCs w:val="20"/>
                              </w:rPr>
                              <w:t>投标报价文件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ind w:firstLine="240" w:firstLineChars="100"/>
                            </w:pPr>
                            <w:r>
                              <w:rPr>
                                <w:rFonts w:hint="eastAsia"/>
                                <w:sz w:val="24"/>
                              </w:rPr>
                              <w:t>年 月 日</w:t>
                            </w:r>
                          </w:p>
                        </w:txbxContent>
                      </wps:txbx>
                      <wps:bodyPr upright="1"/>
                    </wps:wsp>
                  </a:graphicData>
                </a:graphic>
              </wp:anchor>
            </w:drawing>
          </mc:Choice>
          <mc:Fallback>
            <w:pict>
              <v:shape id="_x0000_s1026" o:spid="_x0000_s1026" o:spt="202" type="#_x0000_t202" style="position:absolute;left:0pt;margin-left:30.7pt;margin-top:16pt;height:276.7pt;width:399.75pt;mso-wrap-distance-bottom:0pt;mso-wrap-distance-top:0pt;z-index:251662336;mso-width-relative:page;mso-height-relative:page;" fillcolor="#FFFFFF" filled="t" stroked="t" coordsize="21600,21600" o:gfxdata="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ZKwS&#10;itkAAAAJAQAADwAAAAAAAAABACAAAAAiAAAAZHJzL2Rvd25yZXYueG1sUEsBAhQAFAAAAAgAh07i&#10;QPbfYoQhAgAAaAQAAA4AAAAAAAAAAQAgAAAAKAEAAGRycy9lMm9Eb2MueG1sUEsFBgAAAAAGAAYA&#10;WQEAALsFAAAAAA==&#10;">
                <v:fill on="t" focussize="0,0"/>
                <v:stroke color="#000000" joinstyle="miter"/>
                <v:imagedata o:title=""/>
                <o:lock v:ext="edit" rotation="t" aspectratio="f"/>
                <v:textbox>
                  <w:txbxContent>
                    <w:p>
                      <w:pPr>
                        <w:snapToGrid w:val="0"/>
                        <w:spacing w:beforeLines="50" w:after="50"/>
                        <w:ind w:left="-850" w:leftChars="-405"/>
                        <w:rPr>
                          <w:rFonts w:ascii="宋体" w:hAnsi="宋体"/>
                          <w:sz w:val="24"/>
                          <w:szCs w:val="20"/>
                        </w:rPr>
                      </w:pPr>
                    </w:p>
                    <w:p>
                      <w:pPr>
                        <w:pStyle w:val="27"/>
                        <w:ind w:hanging="480"/>
                      </w:pPr>
                    </w:p>
                    <w:p>
                      <w:pPr>
                        <w:snapToGrid w:val="0"/>
                        <w:spacing w:beforeLines="50" w:after="50"/>
                        <w:jc w:val="center"/>
                        <w:rPr>
                          <w:rFonts w:ascii="宋体" w:hAnsi="宋体"/>
                          <w:bCs/>
                          <w:sz w:val="24"/>
                          <w:szCs w:val="20"/>
                        </w:rPr>
                      </w:pPr>
                      <w:r>
                        <w:rPr>
                          <w:rFonts w:hint="eastAsia" w:ascii="宋体" w:hAnsi="宋体"/>
                          <w:bCs/>
                          <w:sz w:val="24"/>
                          <w:szCs w:val="20"/>
                        </w:rPr>
                        <w:t>投标报价文件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ind w:firstLine="240" w:firstLineChars="100"/>
                      </w:pPr>
                      <w:r>
                        <w:rPr>
                          <w:rFonts w:hint="eastAsia"/>
                          <w:sz w:val="24"/>
                        </w:rPr>
                        <w:t>年 月 日</w:t>
                      </w:r>
                    </w:p>
                  </w:txbxContent>
                </v:textbox>
                <w10:wrap type="topAndBottom"/>
              </v:shape>
            </w:pict>
          </mc:Fallback>
        </mc:AlternateContent>
      </w:r>
    </w:p>
    <w:p>
      <w:pPr>
        <w:snapToGrid w:val="0"/>
        <w:spacing w:line="400" w:lineRule="exact"/>
        <w:jc w:val="center"/>
        <w:outlineLvl w:val="1"/>
        <w:rPr>
          <w:rFonts w:hint="eastAsia" w:ascii="宋体" w:hAnsi="宋体" w:eastAsia="宋体" w:cs="宋体"/>
          <w:color w:val="auto"/>
          <w:highlight w:val="none"/>
        </w:rPr>
      </w:pPr>
    </w:p>
    <w:p>
      <w:pPr>
        <w:snapToGrid w:val="0"/>
        <w:spacing w:line="400" w:lineRule="exact"/>
        <w:jc w:val="center"/>
        <w:outlineLvl w:val="1"/>
        <w:rPr>
          <w:rFonts w:hint="eastAsia" w:ascii="宋体" w:hAnsi="宋体" w:eastAsia="宋体" w:cs="宋体"/>
          <w:color w:val="auto"/>
          <w:highlight w:val="none"/>
        </w:rPr>
      </w:pPr>
    </w:p>
    <w:p>
      <w:pPr>
        <w:snapToGrid w:val="0"/>
        <w:spacing w:line="400" w:lineRule="exact"/>
        <w:jc w:val="center"/>
        <w:outlineLvl w:val="1"/>
        <w:rPr>
          <w:rFonts w:hint="eastAsia" w:ascii="宋体" w:hAnsi="宋体" w:eastAsia="宋体" w:cs="宋体"/>
          <w:bCs/>
          <w:color w:val="auto"/>
          <w:sz w:val="24"/>
          <w:szCs w:val="20"/>
          <w:highlight w:val="none"/>
        </w:rPr>
      </w:pPr>
    </w:p>
    <w:p>
      <w:pPr>
        <w:snapToGrid w:val="0"/>
        <w:spacing w:line="400" w:lineRule="exact"/>
        <w:jc w:val="center"/>
        <w:rPr>
          <w:rFonts w:hint="eastAsia" w:ascii="宋体" w:hAnsi="宋体" w:eastAsia="宋体" w:cs="宋体"/>
          <w:b/>
          <w:color w:val="auto"/>
          <w:sz w:val="24"/>
          <w:highlight w:val="none"/>
        </w:rPr>
      </w:pPr>
      <w:r>
        <w:rPr>
          <w:rFonts w:hint="eastAsia" w:ascii="宋体" w:hAnsi="宋体" w:eastAsia="宋体" w:cs="宋体"/>
          <w:bCs/>
          <w:color w:val="auto"/>
          <w:sz w:val="24"/>
          <w:szCs w:val="20"/>
          <w:highlight w:val="none"/>
        </w:rPr>
        <w:br w:type="page"/>
      </w: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附件1</w:t>
      </w:r>
    </w:p>
    <w:p>
      <w:pPr>
        <w:spacing w:line="4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开标一览表</w:t>
      </w:r>
    </w:p>
    <w:p>
      <w:pPr>
        <w:spacing w:line="40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项目名称：                                   单位：人民币（元）                </w:t>
      </w:r>
    </w:p>
    <w:tbl>
      <w:tblPr>
        <w:tblStyle w:val="28"/>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1019"/>
        <w:gridCol w:w="1527"/>
        <w:gridCol w:w="3123"/>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2208" w:type="dxa"/>
            <w:noWrap w:val="0"/>
            <w:vAlign w:val="center"/>
          </w:tcPr>
          <w:p>
            <w:pPr>
              <w:pStyle w:val="15"/>
              <w:spacing w:line="400" w:lineRule="atLeast"/>
              <w:jc w:val="center"/>
              <w:rPr>
                <w:rFonts w:hint="eastAsia" w:hAnsi="宋体"/>
                <w:color w:val="auto"/>
                <w:sz w:val="22"/>
                <w:szCs w:val="22"/>
                <w:highlight w:val="none"/>
              </w:rPr>
            </w:pPr>
            <w:r>
              <w:rPr>
                <w:rFonts w:hint="eastAsia" w:hAnsi="宋体"/>
                <w:color w:val="auto"/>
                <w:sz w:val="22"/>
                <w:szCs w:val="22"/>
                <w:highlight w:val="none"/>
              </w:rPr>
              <w:t>项目名称</w:t>
            </w:r>
          </w:p>
        </w:tc>
        <w:tc>
          <w:tcPr>
            <w:tcW w:w="2546" w:type="dxa"/>
            <w:gridSpan w:val="2"/>
            <w:noWrap w:val="0"/>
            <w:vAlign w:val="center"/>
          </w:tcPr>
          <w:p>
            <w:pPr>
              <w:pStyle w:val="15"/>
              <w:spacing w:line="400" w:lineRule="atLeast"/>
              <w:jc w:val="center"/>
              <w:rPr>
                <w:rFonts w:hint="eastAsia" w:hAnsi="宋体"/>
                <w:color w:val="auto"/>
                <w:sz w:val="22"/>
                <w:szCs w:val="22"/>
                <w:highlight w:val="none"/>
              </w:rPr>
            </w:pPr>
            <w:r>
              <w:rPr>
                <w:rFonts w:hint="eastAsia" w:hAnsi="宋体"/>
                <w:color w:val="auto"/>
                <w:sz w:val="22"/>
                <w:szCs w:val="22"/>
                <w:highlight w:val="none"/>
              </w:rPr>
              <w:t>报价项目</w:t>
            </w:r>
          </w:p>
        </w:tc>
        <w:tc>
          <w:tcPr>
            <w:tcW w:w="3123" w:type="dxa"/>
            <w:noWrap w:val="0"/>
            <w:vAlign w:val="center"/>
          </w:tcPr>
          <w:p>
            <w:pPr>
              <w:pStyle w:val="15"/>
              <w:spacing w:line="400" w:lineRule="atLeast"/>
              <w:jc w:val="center"/>
              <w:rPr>
                <w:rFonts w:hint="eastAsia" w:hAnsi="宋体"/>
                <w:color w:val="auto"/>
                <w:sz w:val="22"/>
                <w:szCs w:val="22"/>
                <w:highlight w:val="none"/>
              </w:rPr>
            </w:pPr>
            <w:r>
              <w:rPr>
                <w:rFonts w:hint="eastAsia" w:hAnsi="宋体"/>
                <w:color w:val="auto"/>
                <w:sz w:val="22"/>
                <w:szCs w:val="22"/>
                <w:highlight w:val="none"/>
              </w:rPr>
              <w:t>投标报价</w:t>
            </w:r>
          </w:p>
          <w:p>
            <w:pPr>
              <w:pStyle w:val="15"/>
              <w:spacing w:line="400" w:lineRule="atLeast"/>
              <w:jc w:val="center"/>
              <w:rPr>
                <w:rFonts w:hint="eastAsia" w:hAnsi="宋体"/>
                <w:color w:val="auto"/>
                <w:sz w:val="22"/>
                <w:szCs w:val="22"/>
                <w:highlight w:val="none"/>
              </w:rPr>
            </w:pPr>
            <w:r>
              <w:rPr>
                <w:rFonts w:hint="eastAsia" w:hAnsi="宋体"/>
                <w:color w:val="auto"/>
                <w:sz w:val="22"/>
                <w:szCs w:val="22"/>
                <w:highlight w:val="none"/>
              </w:rPr>
              <w:t>《</w:t>
            </w:r>
            <w:r>
              <w:rPr>
                <w:rFonts w:hint="eastAsia" w:hAnsi="宋体"/>
                <w:color w:val="auto"/>
                <w:sz w:val="22"/>
                <w:szCs w:val="22"/>
                <w:highlight w:val="none"/>
                <w:lang w:eastAsia="zh-CN"/>
              </w:rPr>
              <w:t>一年</w:t>
            </w:r>
            <w:r>
              <w:rPr>
                <w:rFonts w:hint="eastAsia" w:hAnsi="宋体"/>
                <w:color w:val="auto"/>
                <w:sz w:val="22"/>
                <w:szCs w:val="22"/>
                <w:highlight w:val="none"/>
              </w:rPr>
              <w:t>的报价》</w:t>
            </w:r>
          </w:p>
        </w:tc>
        <w:tc>
          <w:tcPr>
            <w:tcW w:w="1870" w:type="dxa"/>
            <w:noWrap w:val="0"/>
            <w:vAlign w:val="center"/>
          </w:tcPr>
          <w:p>
            <w:pPr>
              <w:pStyle w:val="15"/>
              <w:spacing w:line="400" w:lineRule="atLeast"/>
              <w:jc w:val="center"/>
              <w:rPr>
                <w:rFonts w:hint="eastAsia" w:hAnsi="宋体"/>
                <w:color w:val="auto"/>
                <w:sz w:val="22"/>
                <w:szCs w:val="22"/>
                <w:highlight w:val="none"/>
              </w:rPr>
            </w:pPr>
            <w:r>
              <w:rPr>
                <w:rFonts w:hint="eastAsia" w:hAnsi="宋体"/>
                <w:color w:val="auto"/>
                <w:sz w:val="22"/>
                <w:szCs w:val="22"/>
                <w:highlight w:val="none"/>
              </w:rPr>
              <w:t>是否为小微企业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2208" w:type="dxa"/>
            <w:vMerge w:val="restart"/>
            <w:noWrap w:val="0"/>
            <w:vAlign w:val="center"/>
          </w:tcPr>
          <w:p>
            <w:pPr>
              <w:pStyle w:val="15"/>
              <w:spacing w:line="400" w:lineRule="atLeast"/>
              <w:jc w:val="center"/>
              <w:rPr>
                <w:rFonts w:hint="eastAsia" w:hAnsi="宋体" w:eastAsia="宋体"/>
                <w:color w:val="auto"/>
                <w:sz w:val="22"/>
                <w:szCs w:val="22"/>
                <w:highlight w:val="none"/>
                <w:lang w:eastAsia="zh-CN"/>
              </w:rPr>
            </w:pPr>
            <w:r>
              <w:rPr>
                <w:rFonts w:hint="eastAsia" w:hAnsi="宋体"/>
                <w:color w:val="auto"/>
                <w:sz w:val="22"/>
                <w:szCs w:val="22"/>
                <w:highlight w:val="none"/>
                <w:lang w:eastAsia="zh-CN"/>
              </w:rPr>
              <w:t>2023年灵昆街道道路及河道保洁项目</w:t>
            </w:r>
          </w:p>
        </w:tc>
        <w:tc>
          <w:tcPr>
            <w:tcW w:w="2546" w:type="dxa"/>
            <w:gridSpan w:val="2"/>
            <w:noWrap w:val="0"/>
            <w:vAlign w:val="center"/>
          </w:tcPr>
          <w:p>
            <w:pPr>
              <w:pStyle w:val="15"/>
              <w:spacing w:line="400" w:lineRule="atLeast"/>
              <w:jc w:val="center"/>
              <w:rPr>
                <w:rFonts w:hint="eastAsia" w:hAnsi="宋体"/>
                <w:color w:val="auto"/>
                <w:sz w:val="22"/>
                <w:szCs w:val="22"/>
                <w:highlight w:val="none"/>
              </w:rPr>
            </w:pPr>
            <w:r>
              <w:rPr>
                <w:rFonts w:hint="eastAsia" w:hAnsi="宋体"/>
                <w:color w:val="auto"/>
                <w:sz w:val="22"/>
                <w:szCs w:val="22"/>
                <w:highlight w:val="none"/>
              </w:rPr>
              <w:t>道路清扫保洁服务</w:t>
            </w:r>
          </w:p>
        </w:tc>
        <w:tc>
          <w:tcPr>
            <w:tcW w:w="3123" w:type="dxa"/>
            <w:noWrap w:val="0"/>
            <w:vAlign w:val="center"/>
          </w:tcPr>
          <w:p>
            <w:pPr>
              <w:rPr>
                <w:rFonts w:ascii="宋体" w:hAnsi="宋体"/>
                <w:color w:val="auto"/>
                <w:sz w:val="22"/>
                <w:szCs w:val="22"/>
                <w:highlight w:val="none"/>
              </w:rPr>
            </w:pPr>
          </w:p>
        </w:tc>
        <w:tc>
          <w:tcPr>
            <w:tcW w:w="1870" w:type="dxa"/>
            <w:vMerge w:val="restart"/>
            <w:noWrap w:val="0"/>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2208" w:type="dxa"/>
            <w:vMerge w:val="continue"/>
            <w:noWrap w:val="0"/>
            <w:vAlign w:val="center"/>
          </w:tcPr>
          <w:p>
            <w:pPr>
              <w:pStyle w:val="15"/>
              <w:spacing w:line="400" w:lineRule="atLeast"/>
              <w:jc w:val="center"/>
              <w:rPr>
                <w:rFonts w:hint="eastAsia" w:hAnsi="宋体"/>
                <w:color w:val="auto"/>
                <w:sz w:val="22"/>
                <w:szCs w:val="22"/>
                <w:highlight w:val="none"/>
              </w:rPr>
            </w:pPr>
          </w:p>
        </w:tc>
        <w:tc>
          <w:tcPr>
            <w:tcW w:w="2546" w:type="dxa"/>
            <w:gridSpan w:val="2"/>
            <w:noWrap w:val="0"/>
            <w:vAlign w:val="center"/>
          </w:tcPr>
          <w:p>
            <w:pPr>
              <w:pStyle w:val="15"/>
              <w:spacing w:line="400" w:lineRule="atLeast"/>
              <w:jc w:val="center"/>
              <w:rPr>
                <w:rFonts w:hint="eastAsia" w:hAnsi="宋体"/>
                <w:color w:val="auto"/>
                <w:sz w:val="22"/>
                <w:szCs w:val="22"/>
                <w:highlight w:val="none"/>
              </w:rPr>
            </w:pPr>
            <w:r>
              <w:rPr>
                <w:rFonts w:hint="eastAsia" w:hAnsi="宋体"/>
                <w:color w:val="auto"/>
                <w:sz w:val="22"/>
                <w:szCs w:val="22"/>
                <w:highlight w:val="none"/>
              </w:rPr>
              <w:t>河道保洁服务</w:t>
            </w:r>
          </w:p>
        </w:tc>
        <w:tc>
          <w:tcPr>
            <w:tcW w:w="3123" w:type="dxa"/>
            <w:noWrap w:val="0"/>
            <w:vAlign w:val="center"/>
          </w:tcPr>
          <w:p>
            <w:pPr>
              <w:rPr>
                <w:rFonts w:ascii="宋体" w:hAnsi="宋体"/>
                <w:color w:val="auto"/>
                <w:sz w:val="22"/>
                <w:szCs w:val="22"/>
                <w:highlight w:val="none"/>
              </w:rPr>
            </w:pPr>
          </w:p>
        </w:tc>
        <w:tc>
          <w:tcPr>
            <w:tcW w:w="1870" w:type="dxa"/>
            <w:vMerge w:val="continue"/>
            <w:noWrap w:val="0"/>
            <w:vAlign w:val="center"/>
          </w:tcPr>
          <w:p>
            <w:pPr>
              <w:pStyle w:val="24"/>
              <w:spacing w:line="400" w:lineRule="atLeast"/>
              <w:ind w:left="5250"/>
              <w:rPr>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3227" w:type="dxa"/>
            <w:gridSpan w:val="2"/>
            <w:noWrap w:val="0"/>
            <w:vAlign w:val="center"/>
          </w:tcPr>
          <w:p>
            <w:pPr>
              <w:pStyle w:val="15"/>
              <w:spacing w:line="400" w:lineRule="atLeast"/>
              <w:jc w:val="center"/>
              <w:rPr>
                <w:rFonts w:hint="eastAsia" w:hAnsi="宋体"/>
                <w:color w:val="auto"/>
                <w:sz w:val="22"/>
                <w:szCs w:val="22"/>
                <w:highlight w:val="none"/>
              </w:rPr>
            </w:pPr>
            <w:r>
              <w:rPr>
                <w:rFonts w:hint="eastAsia" w:hAnsi="宋体"/>
                <w:color w:val="auto"/>
                <w:sz w:val="22"/>
                <w:szCs w:val="22"/>
                <w:highlight w:val="none"/>
              </w:rPr>
              <w:t>合计总价（大写）</w:t>
            </w:r>
          </w:p>
        </w:tc>
        <w:tc>
          <w:tcPr>
            <w:tcW w:w="6520" w:type="dxa"/>
            <w:gridSpan w:val="3"/>
            <w:noWrap w:val="0"/>
            <w:vAlign w:val="center"/>
          </w:tcPr>
          <w:p>
            <w:pPr>
              <w:pStyle w:val="15"/>
              <w:spacing w:line="400" w:lineRule="atLeast"/>
              <w:rPr>
                <w:rFonts w:hint="eastAsia" w:hAnsi="宋体"/>
                <w:color w:val="auto"/>
                <w:sz w:val="22"/>
                <w:szCs w:val="22"/>
                <w:highlight w:val="none"/>
              </w:rPr>
            </w:pPr>
          </w:p>
        </w:tc>
      </w:tr>
    </w:tbl>
    <w:p>
      <w:pPr>
        <w:spacing w:before="159" w:beforeLines="50" w:beforeAutospacing="0" w:line="380" w:lineRule="exact"/>
        <w:ind w:left="941" w:hanging="941" w:hangingChars="426"/>
        <w:rPr>
          <w:rFonts w:hint="eastAsia" w:ascii="宋体" w:hAnsi="宋体"/>
          <w:b/>
          <w:color w:val="auto"/>
          <w:sz w:val="22"/>
          <w:szCs w:val="22"/>
          <w:highlight w:val="none"/>
        </w:rPr>
      </w:pPr>
      <w:r>
        <w:rPr>
          <w:rFonts w:hint="eastAsia" w:ascii="宋体" w:hAnsi="宋体"/>
          <w:b/>
          <w:color w:val="auto"/>
          <w:sz w:val="22"/>
          <w:szCs w:val="22"/>
          <w:highlight w:val="none"/>
        </w:rPr>
        <w:t>注：（1）▲</w:t>
      </w:r>
      <w:r>
        <w:rPr>
          <w:rFonts w:hint="eastAsia" w:ascii="宋体" w:hAnsi="宋体" w:cs="宋体"/>
          <w:b/>
          <w:bCs/>
          <w:color w:val="auto"/>
          <w:sz w:val="22"/>
          <w:szCs w:val="22"/>
          <w:highlight w:val="none"/>
          <w:u w:val="single"/>
        </w:rPr>
        <w:t>本次投标报价为</w:t>
      </w:r>
      <w:r>
        <w:rPr>
          <w:rFonts w:hint="eastAsia" w:ascii="宋体" w:hAnsi="宋体" w:cs="宋体"/>
          <w:b/>
          <w:bCs/>
          <w:color w:val="auto"/>
          <w:sz w:val="22"/>
          <w:szCs w:val="22"/>
          <w:highlight w:val="none"/>
          <w:u w:val="single"/>
          <w:lang w:eastAsia="zh-CN"/>
        </w:rPr>
        <w:t>一年</w:t>
      </w:r>
      <w:r>
        <w:rPr>
          <w:rFonts w:hint="eastAsia" w:ascii="宋体" w:hAnsi="宋体" w:cs="宋体"/>
          <w:b/>
          <w:bCs/>
          <w:color w:val="auto"/>
          <w:sz w:val="22"/>
          <w:szCs w:val="22"/>
          <w:highlight w:val="none"/>
          <w:u w:val="single"/>
        </w:rPr>
        <w:t>的承包费的报价，</w:t>
      </w:r>
      <w:r>
        <w:rPr>
          <w:rFonts w:hint="eastAsia" w:ascii="宋体" w:hAnsi="宋体" w:cs="宋体"/>
          <w:b/>
          <w:color w:val="auto"/>
          <w:sz w:val="22"/>
          <w:szCs w:val="22"/>
          <w:highlight w:val="none"/>
          <w:u w:val="single"/>
        </w:rPr>
        <w:t>投标报价是指完成全部承包区域内的保洁服务工作（详见第一部分招标内容及要求），承包总价必须包括在承包指定区域内提供清扫保洁服务所需的人工费（包括环卫工人工资、奖金、房补、劳保福利、社保、工伤费、教育培训费、体检费、暂住费及处理一切伤亡事故等费用）及车辆（含六辆清运车（甲供））、保洁船只及机械等全部费用、水电费、工具材料费、垃圾清运费、环卫作业GPS管理相关费用、水电费、工具材料费、垃圾清运费安全文明生产装备费（包括环卫工人四季工作服</w:t>
      </w:r>
      <w:r>
        <w:rPr>
          <w:rFonts w:hint="eastAsia" w:ascii="宋体" w:hAnsi="宋体" w:cs="宋体"/>
          <w:b/>
          <w:color w:val="auto"/>
          <w:sz w:val="22"/>
          <w:szCs w:val="22"/>
          <w:highlight w:val="none"/>
          <w:u w:val="single"/>
          <w:lang w:eastAsia="zh-CN"/>
        </w:rPr>
        <w:t>（</w:t>
      </w:r>
      <w:r>
        <w:rPr>
          <w:rFonts w:hint="eastAsia" w:ascii="宋体" w:hAnsi="宋体" w:cs="宋体"/>
          <w:b/>
          <w:color w:val="auto"/>
          <w:sz w:val="22"/>
          <w:szCs w:val="22"/>
          <w:highlight w:val="none"/>
          <w:u w:val="single"/>
        </w:rPr>
        <w:t>含帽、衣、裤、鞋、雨衣、雨裤、雨鞋</w:t>
      </w:r>
      <w:r>
        <w:rPr>
          <w:rFonts w:hint="eastAsia" w:ascii="宋体" w:hAnsi="宋体" w:cs="宋体"/>
          <w:b/>
          <w:color w:val="auto"/>
          <w:sz w:val="22"/>
          <w:szCs w:val="22"/>
          <w:highlight w:val="none"/>
          <w:u w:val="single"/>
          <w:lang w:eastAsia="zh-CN"/>
        </w:rPr>
        <w:t>）</w:t>
      </w:r>
      <w:r>
        <w:rPr>
          <w:rFonts w:hint="eastAsia" w:ascii="宋体" w:hAnsi="宋体" w:cs="宋体"/>
          <w:b/>
          <w:color w:val="auto"/>
          <w:sz w:val="22"/>
          <w:szCs w:val="22"/>
          <w:highlight w:val="none"/>
          <w:u w:val="single"/>
        </w:rPr>
        <w:t>并带有警示反光标记等）、项目管理费、企业应缴税金和应得利润、突发应急（成立不少于10人的应急小队）及上级布置的专项任务、物价因素、垃圾中转站相关费用（设备液压油费用、设备修理、水电费）、招标代理服务费等完成合同所需的一切本身和不可或缺的所有工作开支、政策性文件规定及合同包含的所有风险、责任等各项全部费用并承担一切风险责任</w:t>
      </w:r>
      <w:r>
        <w:rPr>
          <w:rFonts w:hint="eastAsia" w:ascii="宋体" w:hAnsi="宋体"/>
          <w:b/>
          <w:color w:val="auto"/>
          <w:sz w:val="22"/>
          <w:szCs w:val="22"/>
          <w:highlight w:val="none"/>
        </w:rPr>
        <w:t>。</w:t>
      </w:r>
    </w:p>
    <w:p>
      <w:pPr>
        <w:spacing w:line="380" w:lineRule="exact"/>
        <w:ind w:left="925" w:leftChars="150" w:hanging="610" w:hangingChars="276"/>
        <w:rPr>
          <w:rFonts w:hint="eastAsia" w:ascii="宋体" w:hAnsi="宋体"/>
          <w:color w:val="auto"/>
          <w:sz w:val="22"/>
          <w:szCs w:val="22"/>
          <w:highlight w:val="none"/>
        </w:rPr>
      </w:pPr>
      <w:r>
        <w:rPr>
          <w:rFonts w:hint="eastAsia" w:ascii="宋体" w:hAnsi="宋体"/>
          <w:b/>
          <w:color w:val="auto"/>
          <w:sz w:val="22"/>
          <w:szCs w:val="22"/>
          <w:highlight w:val="none"/>
        </w:rPr>
        <w:t xml:space="preserve"> （2）</w:t>
      </w:r>
      <w:r>
        <w:rPr>
          <w:rFonts w:hint="eastAsia" w:ascii="宋体" w:hAnsi="宋体"/>
          <w:color w:val="auto"/>
          <w:sz w:val="22"/>
          <w:szCs w:val="22"/>
          <w:highlight w:val="none"/>
        </w:rPr>
        <w:t>此表中投标报价应与附件</w:t>
      </w:r>
      <w:r>
        <w:rPr>
          <w:rFonts w:hint="eastAsia" w:ascii="宋体" w:hAnsi="宋体"/>
          <w:color w:val="auto"/>
          <w:sz w:val="22"/>
          <w:szCs w:val="22"/>
          <w:highlight w:val="none"/>
          <w:lang w:val="en-US" w:eastAsia="zh-CN"/>
        </w:rPr>
        <w:t>2</w:t>
      </w:r>
      <w:r>
        <w:rPr>
          <w:rFonts w:hint="eastAsia" w:ascii="宋体" w:hAnsi="宋体"/>
          <w:color w:val="auto"/>
          <w:sz w:val="22"/>
          <w:szCs w:val="22"/>
          <w:highlight w:val="none"/>
        </w:rPr>
        <w:t>中对应的投标分项报价表</w:t>
      </w:r>
      <w:r>
        <w:rPr>
          <w:rFonts w:hint="eastAsia" w:ascii="宋体" w:hAnsi="宋体"/>
          <w:color w:val="auto"/>
          <w:sz w:val="22"/>
          <w:highlight w:val="none"/>
        </w:rPr>
        <w:t>总价</w:t>
      </w:r>
      <w:r>
        <w:rPr>
          <w:rFonts w:hint="eastAsia" w:ascii="宋体" w:hAnsi="宋体"/>
          <w:color w:val="auto"/>
          <w:sz w:val="22"/>
          <w:szCs w:val="22"/>
          <w:highlight w:val="none"/>
        </w:rPr>
        <w:t>一致。</w:t>
      </w:r>
    </w:p>
    <w:p>
      <w:pPr>
        <w:spacing w:line="380" w:lineRule="exact"/>
        <w:ind w:left="528" w:leftChars="194" w:hanging="121" w:hangingChars="55"/>
        <w:rPr>
          <w:rFonts w:hint="eastAsia" w:ascii="宋体" w:hAnsi="宋体"/>
          <w:b/>
          <w:bCs/>
          <w:color w:val="auto"/>
          <w:sz w:val="22"/>
          <w:szCs w:val="22"/>
          <w:highlight w:val="none"/>
        </w:rPr>
      </w:pPr>
      <w:r>
        <w:rPr>
          <w:rFonts w:hint="eastAsia" w:ascii="宋体" w:hAnsi="宋体"/>
          <w:b/>
          <w:color w:val="auto"/>
          <w:sz w:val="22"/>
          <w:szCs w:val="22"/>
          <w:highlight w:val="none"/>
        </w:rPr>
        <w:t>▲</w:t>
      </w:r>
      <w:r>
        <w:rPr>
          <w:rFonts w:hint="eastAsia" w:ascii="宋体" w:hAnsi="宋体"/>
          <w:b/>
          <w:color w:val="auto"/>
          <w:sz w:val="22"/>
          <w:szCs w:val="22"/>
          <w:highlight w:val="none"/>
          <w:u w:val="single"/>
        </w:rPr>
        <w:t>不提供开标一览表的投标文件将被视为未实质性响应采购文件</w:t>
      </w:r>
      <w:r>
        <w:rPr>
          <w:rFonts w:hint="eastAsia" w:ascii="宋体" w:hAnsi="宋体"/>
          <w:b/>
          <w:color w:val="auto"/>
          <w:sz w:val="22"/>
          <w:szCs w:val="22"/>
          <w:highlight w:val="none"/>
        </w:rPr>
        <w:t>。</w:t>
      </w:r>
    </w:p>
    <w:p>
      <w:pPr>
        <w:widowControl/>
        <w:spacing w:line="400" w:lineRule="exact"/>
        <w:rPr>
          <w:rFonts w:hint="eastAsia" w:ascii="宋体" w:hAnsi="宋体" w:eastAsia="宋体" w:cs="宋体"/>
          <w:color w:val="auto"/>
          <w:kern w:val="0"/>
          <w:sz w:val="22"/>
          <w:highlight w:val="none"/>
        </w:rPr>
      </w:pPr>
    </w:p>
    <w:p>
      <w:pPr>
        <w:widowControl/>
        <w:spacing w:line="400" w:lineRule="exact"/>
        <w:rPr>
          <w:rFonts w:hint="eastAsia" w:ascii="宋体" w:hAnsi="宋体" w:eastAsia="宋体" w:cs="宋体"/>
          <w:color w:val="auto"/>
          <w:kern w:val="0"/>
          <w:sz w:val="22"/>
          <w:highlight w:val="none"/>
          <w:u w:val="single"/>
        </w:rPr>
      </w:pPr>
      <w:r>
        <w:rPr>
          <w:rFonts w:hint="eastAsia" w:ascii="宋体" w:hAnsi="宋体" w:eastAsia="宋体" w:cs="宋体"/>
          <w:color w:val="auto"/>
          <w:kern w:val="0"/>
          <w:sz w:val="22"/>
          <w:highlight w:val="none"/>
        </w:rPr>
        <w:t>投标人全称(电子签章)：</w:t>
      </w:r>
    </w:p>
    <w:p>
      <w:pPr>
        <w:widowControl/>
        <w:spacing w:line="40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法定代表人或授权代表(签字或盖章)：</w:t>
      </w:r>
    </w:p>
    <w:p>
      <w:pPr>
        <w:snapToGrid w:val="0"/>
        <w:spacing w:line="400" w:lineRule="exact"/>
        <w:jc w:val="lef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日期：    年   月    日</w:t>
      </w: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附件2</w:t>
      </w:r>
    </w:p>
    <w:p>
      <w:pPr>
        <w:autoSpaceDE w:val="0"/>
        <w:autoSpaceDN w:val="0"/>
        <w:adjustRightInd w:val="0"/>
        <w:spacing w:line="460" w:lineRule="atLeast"/>
        <w:jc w:val="center"/>
        <w:rPr>
          <w:rFonts w:hint="eastAsia" w:ascii="宋体"/>
          <w:b/>
          <w:color w:val="auto"/>
          <w:sz w:val="36"/>
          <w:szCs w:val="36"/>
          <w:highlight w:val="none"/>
          <w:lang w:val="zh-CN"/>
        </w:rPr>
      </w:pPr>
      <w:r>
        <w:rPr>
          <w:rFonts w:hint="eastAsia" w:ascii="宋体"/>
          <w:b/>
          <w:color w:val="auto"/>
          <w:sz w:val="36"/>
          <w:szCs w:val="36"/>
          <w:highlight w:val="none"/>
          <w:lang w:val="zh-CN"/>
        </w:rPr>
        <w:t>道路清扫保洁服务投标分项报价表(一)</w:t>
      </w:r>
    </w:p>
    <w:p>
      <w:pPr>
        <w:autoSpaceDE w:val="0"/>
        <w:autoSpaceDN w:val="0"/>
        <w:adjustRightInd w:val="0"/>
        <w:spacing w:line="240" w:lineRule="exact"/>
        <w:jc w:val="center"/>
        <w:rPr>
          <w:rFonts w:hint="eastAsia" w:ascii="宋体"/>
          <w:b/>
          <w:color w:val="auto"/>
          <w:sz w:val="36"/>
          <w:szCs w:val="36"/>
          <w:highlight w:val="none"/>
          <w:lang w:val="zh-CN"/>
        </w:rPr>
      </w:pPr>
    </w:p>
    <w:p>
      <w:pPr>
        <w:rPr>
          <w:rFonts w:hint="eastAsia" w:ascii="宋体"/>
          <w:color w:val="auto"/>
          <w:sz w:val="22"/>
          <w:szCs w:val="22"/>
          <w:highlight w:val="none"/>
        </w:rPr>
      </w:pPr>
      <w:r>
        <w:rPr>
          <w:rFonts w:hint="eastAsia" w:ascii="宋体"/>
          <w:color w:val="auto"/>
          <w:sz w:val="22"/>
          <w:szCs w:val="22"/>
          <w:highlight w:val="none"/>
        </w:rPr>
        <w:t>项目名称：                             项目编号：                      单位：元</w:t>
      </w:r>
    </w:p>
    <w:tbl>
      <w:tblPr>
        <w:tblStyle w:val="28"/>
        <w:tblW w:w="10033" w:type="dxa"/>
        <w:tblInd w:w="-142"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677"/>
        <w:gridCol w:w="1140"/>
        <w:gridCol w:w="3750"/>
        <w:gridCol w:w="1473"/>
        <w:gridCol w:w="1336"/>
        <w:gridCol w:w="1657"/>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7" w:type="dxa"/>
            <w:noWrap w:val="0"/>
            <w:vAlign w:val="center"/>
          </w:tcPr>
          <w:p>
            <w:pPr>
              <w:jc w:val="center"/>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序号</w:t>
            </w:r>
          </w:p>
        </w:tc>
        <w:tc>
          <w:tcPr>
            <w:tcW w:w="4890" w:type="dxa"/>
            <w:gridSpan w:val="2"/>
            <w:noWrap w:val="0"/>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项</w:t>
            </w:r>
            <w:r>
              <w:rPr>
                <w:rFonts w:ascii="新宋体" w:hAnsi="新宋体" w:eastAsia="新宋体"/>
                <w:color w:val="auto"/>
                <w:sz w:val="22"/>
                <w:szCs w:val="22"/>
                <w:highlight w:val="none"/>
              </w:rPr>
              <w:t xml:space="preserve">     </w:t>
            </w:r>
            <w:r>
              <w:rPr>
                <w:rFonts w:hint="eastAsia" w:ascii="新宋体" w:hAnsi="新宋体" w:eastAsia="新宋体"/>
                <w:color w:val="auto"/>
                <w:sz w:val="22"/>
                <w:szCs w:val="22"/>
                <w:highlight w:val="none"/>
              </w:rPr>
              <w:t>目</w:t>
            </w:r>
          </w:p>
        </w:tc>
        <w:tc>
          <w:tcPr>
            <w:tcW w:w="1473" w:type="dxa"/>
            <w:noWrap w:val="0"/>
            <w:vAlign w:val="center"/>
          </w:tcPr>
          <w:p>
            <w:pPr>
              <w:jc w:val="center"/>
              <w:rPr>
                <w:rFonts w:ascii="新宋体" w:hAnsi="新宋体" w:eastAsia="新宋体"/>
                <w:color w:val="auto"/>
                <w:spacing w:val="-20"/>
                <w:sz w:val="22"/>
                <w:szCs w:val="22"/>
                <w:highlight w:val="none"/>
              </w:rPr>
            </w:pPr>
            <w:r>
              <w:rPr>
                <w:rFonts w:hint="eastAsia" w:ascii="新宋体" w:hAnsi="新宋体" w:eastAsia="新宋体"/>
                <w:color w:val="auto"/>
                <w:spacing w:val="-20"/>
                <w:sz w:val="22"/>
                <w:szCs w:val="22"/>
                <w:highlight w:val="none"/>
              </w:rPr>
              <w:t>月支出</w:t>
            </w:r>
          </w:p>
        </w:tc>
        <w:tc>
          <w:tcPr>
            <w:tcW w:w="1336" w:type="dxa"/>
            <w:noWrap w:val="0"/>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年支出</w:t>
            </w:r>
          </w:p>
        </w:tc>
        <w:tc>
          <w:tcPr>
            <w:tcW w:w="1657" w:type="dxa"/>
            <w:noWrap w:val="0"/>
            <w:vAlign w:val="center"/>
          </w:tcPr>
          <w:p>
            <w:pPr>
              <w:jc w:val="cente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说</w:t>
            </w:r>
            <w:r>
              <w:rPr>
                <w:rFonts w:ascii="新宋体" w:hAnsi="新宋体" w:eastAsia="新宋体"/>
                <w:color w:val="auto"/>
                <w:sz w:val="22"/>
                <w:szCs w:val="22"/>
                <w:highlight w:val="none"/>
              </w:rPr>
              <w:t xml:space="preserve">  </w:t>
            </w:r>
            <w:r>
              <w:rPr>
                <w:rFonts w:hint="eastAsia" w:ascii="新宋体" w:hAnsi="新宋体" w:eastAsia="新宋体"/>
                <w:color w:val="auto"/>
                <w:sz w:val="22"/>
                <w:szCs w:val="22"/>
                <w:highlight w:val="none"/>
              </w:rPr>
              <w:t>明</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restart"/>
            <w:noWrap w:val="0"/>
            <w:vAlign w:val="center"/>
          </w:tcPr>
          <w:p>
            <w:pPr>
              <w:spacing w:line="360" w:lineRule="auto"/>
              <w:jc w:val="center"/>
              <w:rPr>
                <w:rFonts w:hint="eastAsia"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1</w:t>
            </w:r>
          </w:p>
        </w:tc>
        <w:tc>
          <w:tcPr>
            <w:tcW w:w="1140" w:type="dxa"/>
            <w:vMerge w:val="restart"/>
            <w:noWrap w:val="0"/>
            <w:vAlign w:val="center"/>
          </w:tcPr>
          <w:p>
            <w:pPr>
              <w:spacing w:line="360" w:lineRule="auto"/>
              <w:jc w:val="center"/>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固定资产折旧</w:t>
            </w:r>
          </w:p>
        </w:tc>
        <w:tc>
          <w:tcPr>
            <w:tcW w:w="3750" w:type="dxa"/>
            <w:noWrap w:val="0"/>
            <w:vAlign w:val="center"/>
          </w:tcPr>
          <w:p>
            <w:pPr>
              <w:spacing w:line="240" w:lineRule="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1、机械折旧</w:t>
            </w:r>
          </w:p>
        </w:tc>
        <w:tc>
          <w:tcPr>
            <w:tcW w:w="1473" w:type="dxa"/>
            <w:noWrap w:val="0"/>
            <w:vAlign w:val="center"/>
          </w:tcPr>
          <w:p>
            <w:pPr>
              <w:spacing w:line="360" w:lineRule="auto"/>
              <w:jc w:val="center"/>
              <w:rPr>
                <w:rFonts w:ascii="新宋体" w:hAnsi="新宋体" w:eastAsia="新宋体"/>
                <w:bCs/>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z w:val="22"/>
                <w:szCs w:val="22"/>
                <w:highlight w:val="none"/>
              </w:rPr>
            </w:pPr>
          </w:p>
        </w:tc>
        <w:tc>
          <w:tcPr>
            <w:tcW w:w="1657" w:type="dxa"/>
            <w:noWrap w:val="0"/>
            <w:vAlign w:val="center"/>
          </w:tcPr>
          <w:p>
            <w:pPr>
              <w:spacing w:line="360" w:lineRule="auto"/>
              <w:jc w:val="center"/>
              <w:rPr>
                <w:rFonts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hint="eastAsia" w:ascii="新宋体" w:hAnsi="新宋体" w:eastAsia="新宋体"/>
                <w:bCs/>
                <w:color w:val="auto"/>
                <w:sz w:val="22"/>
                <w:szCs w:val="22"/>
                <w:highlight w:val="none"/>
              </w:rPr>
            </w:pPr>
          </w:p>
        </w:tc>
        <w:tc>
          <w:tcPr>
            <w:tcW w:w="1140" w:type="dxa"/>
            <w:vMerge w:val="continue"/>
            <w:noWrap w:val="0"/>
            <w:vAlign w:val="center"/>
          </w:tcPr>
          <w:p>
            <w:pPr>
              <w:spacing w:line="360" w:lineRule="auto"/>
              <w:jc w:val="center"/>
              <w:rPr>
                <w:rFonts w:hint="eastAsia" w:ascii="新宋体" w:hAnsi="新宋体" w:eastAsia="新宋体"/>
                <w:bCs/>
                <w:color w:val="auto"/>
                <w:sz w:val="22"/>
                <w:szCs w:val="22"/>
                <w:highlight w:val="none"/>
              </w:rPr>
            </w:pPr>
          </w:p>
        </w:tc>
        <w:tc>
          <w:tcPr>
            <w:tcW w:w="3750" w:type="dxa"/>
            <w:noWrap w:val="0"/>
            <w:vAlign w:val="center"/>
          </w:tcPr>
          <w:p>
            <w:pPr>
              <w:spacing w:line="240" w:lineRule="auto"/>
              <w:rPr>
                <w:rFonts w:ascii="新宋体" w:hAnsi="新宋体" w:eastAsia="新宋体"/>
                <w:color w:val="auto"/>
                <w:sz w:val="22"/>
                <w:szCs w:val="22"/>
                <w:highlight w:val="none"/>
              </w:rPr>
            </w:pPr>
            <w:r>
              <w:rPr>
                <w:rFonts w:ascii="新宋体" w:hAnsi="新宋体" w:eastAsia="新宋体"/>
                <w:color w:val="auto"/>
                <w:sz w:val="22"/>
                <w:szCs w:val="22"/>
                <w:highlight w:val="none"/>
              </w:rPr>
              <w:t>(1)</w:t>
            </w:r>
            <w:r>
              <w:rPr>
                <w:rFonts w:hint="eastAsia" w:ascii="新宋体" w:hAnsi="新宋体" w:eastAsia="新宋体" w:cs="Times New Roman"/>
                <w:color w:val="auto"/>
                <w:sz w:val="22"/>
                <w:szCs w:val="22"/>
                <w:highlight w:val="none"/>
              </w:rPr>
              <w:t>洒水车</w:t>
            </w:r>
          </w:p>
        </w:tc>
        <w:tc>
          <w:tcPr>
            <w:tcW w:w="1473" w:type="dxa"/>
            <w:noWrap w:val="0"/>
            <w:vAlign w:val="center"/>
          </w:tcPr>
          <w:p>
            <w:pPr>
              <w:spacing w:line="360" w:lineRule="auto"/>
              <w:jc w:val="center"/>
              <w:rPr>
                <w:rFonts w:ascii="新宋体" w:hAnsi="新宋体" w:eastAsia="新宋体"/>
                <w:bCs/>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z w:val="22"/>
                <w:szCs w:val="22"/>
                <w:highlight w:val="none"/>
              </w:rPr>
            </w:pPr>
          </w:p>
        </w:tc>
        <w:tc>
          <w:tcPr>
            <w:tcW w:w="1657" w:type="dxa"/>
            <w:noWrap w:val="0"/>
            <w:vAlign w:val="center"/>
          </w:tcPr>
          <w:p>
            <w:pPr>
              <w:spacing w:line="360" w:lineRule="auto"/>
              <w:jc w:val="center"/>
              <w:rPr>
                <w:rFonts w:hint="eastAsia"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240" w:lineRule="auto"/>
              <w:rPr>
                <w:rFonts w:ascii="新宋体" w:hAnsi="新宋体" w:eastAsia="新宋体"/>
                <w:color w:val="auto"/>
                <w:sz w:val="22"/>
                <w:szCs w:val="22"/>
                <w:highlight w:val="none"/>
              </w:rPr>
            </w:pPr>
            <w:r>
              <w:rPr>
                <w:rFonts w:ascii="新宋体" w:hAnsi="新宋体" w:eastAsia="新宋体"/>
                <w:color w:val="auto"/>
                <w:sz w:val="22"/>
                <w:szCs w:val="22"/>
                <w:highlight w:val="none"/>
              </w:rPr>
              <w:t>(2)</w:t>
            </w:r>
            <w:r>
              <w:rPr>
                <w:rFonts w:hint="eastAsia" w:ascii="新宋体" w:hAnsi="新宋体" w:eastAsia="新宋体" w:cs="Times New Roman"/>
                <w:color w:val="auto"/>
                <w:sz w:val="22"/>
                <w:szCs w:val="22"/>
                <w:highlight w:val="none"/>
              </w:rPr>
              <w:t>洗扫一体车</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z w:val="22"/>
                <w:szCs w:val="22"/>
                <w:highlight w:val="none"/>
              </w:rPr>
            </w:pPr>
          </w:p>
        </w:tc>
        <w:tc>
          <w:tcPr>
            <w:tcW w:w="1657" w:type="dxa"/>
            <w:noWrap w:val="0"/>
            <w:vAlign w:val="center"/>
          </w:tcPr>
          <w:p>
            <w:pPr>
              <w:spacing w:line="360" w:lineRule="auto"/>
              <w:jc w:val="center"/>
              <w:rPr>
                <w:rFonts w:hint="eastAsia"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240" w:lineRule="auto"/>
              <w:rPr>
                <w:rFonts w:ascii="新宋体" w:hAnsi="新宋体" w:eastAsia="新宋体" w:cs="Times New Roman"/>
                <w:color w:val="auto"/>
                <w:sz w:val="22"/>
                <w:szCs w:val="22"/>
                <w:highlight w:val="none"/>
              </w:rPr>
            </w:pPr>
            <w:r>
              <w:rPr>
                <w:rFonts w:ascii="新宋体" w:hAnsi="新宋体" w:eastAsia="新宋体"/>
                <w:color w:val="auto"/>
                <w:sz w:val="22"/>
                <w:szCs w:val="22"/>
                <w:highlight w:val="none"/>
              </w:rPr>
              <w:t>(</w:t>
            </w:r>
            <w:r>
              <w:rPr>
                <w:rFonts w:hint="eastAsia" w:ascii="新宋体" w:hAnsi="新宋体" w:eastAsia="新宋体"/>
                <w:color w:val="auto"/>
                <w:sz w:val="22"/>
                <w:szCs w:val="22"/>
                <w:highlight w:val="none"/>
                <w:lang w:val="en-US" w:eastAsia="zh-CN"/>
              </w:rPr>
              <w:t>3</w:t>
            </w:r>
            <w:r>
              <w:rPr>
                <w:rFonts w:ascii="新宋体" w:hAnsi="新宋体" w:eastAsia="新宋体"/>
                <w:color w:val="auto"/>
                <w:sz w:val="22"/>
                <w:szCs w:val="22"/>
                <w:highlight w:val="none"/>
              </w:rPr>
              <w:t>)</w:t>
            </w:r>
            <w:r>
              <w:rPr>
                <w:rFonts w:hint="eastAsia" w:ascii="新宋体" w:hAnsi="新宋体" w:eastAsia="新宋体" w:cs="Times New Roman"/>
                <w:color w:val="auto"/>
                <w:sz w:val="22"/>
                <w:szCs w:val="22"/>
                <w:highlight w:val="none"/>
              </w:rPr>
              <w:t>电动三轮高压冲洗车</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z w:val="22"/>
                <w:szCs w:val="22"/>
                <w:highlight w:val="none"/>
              </w:rPr>
            </w:pPr>
          </w:p>
        </w:tc>
        <w:tc>
          <w:tcPr>
            <w:tcW w:w="1657" w:type="dxa"/>
            <w:noWrap w:val="0"/>
            <w:vAlign w:val="center"/>
          </w:tcPr>
          <w:p>
            <w:pPr>
              <w:spacing w:line="360" w:lineRule="auto"/>
              <w:jc w:val="center"/>
              <w:rPr>
                <w:rFonts w:hint="eastAsia"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240" w:lineRule="auto"/>
              <w:rPr>
                <w:rFonts w:ascii="新宋体" w:hAnsi="新宋体" w:eastAsia="新宋体" w:cs="Times New Roman"/>
                <w:color w:val="auto"/>
                <w:sz w:val="22"/>
                <w:szCs w:val="22"/>
                <w:highlight w:val="none"/>
              </w:rPr>
            </w:pPr>
            <w:r>
              <w:rPr>
                <w:rFonts w:ascii="新宋体" w:hAnsi="新宋体" w:eastAsia="新宋体"/>
                <w:color w:val="auto"/>
                <w:sz w:val="22"/>
                <w:szCs w:val="22"/>
                <w:highlight w:val="none"/>
              </w:rPr>
              <w:t>(</w:t>
            </w:r>
            <w:r>
              <w:rPr>
                <w:rFonts w:hint="eastAsia" w:ascii="新宋体" w:hAnsi="新宋体" w:eastAsia="新宋体"/>
                <w:color w:val="auto"/>
                <w:sz w:val="22"/>
                <w:szCs w:val="22"/>
                <w:highlight w:val="none"/>
                <w:lang w:val="en-US" w:eastAsia="zh-CN"/>
              </w:rPr>
              <w:t>4</w:t>
            </w:r>
            <w:r>
              <w:rPr>
                <w:rFonts w:ascii="新宋体" w:hAnsi="新宋体" w:eastAsia="新宋体"/>
                <w:color w:val="auto"/>
                <w:sz w:val="22"/>
                <w:szCs w:val="22"/>
                <w:highlight w:val="none"/>
              </w:rPr>
              <w:t>)</w:t>
            </w:r>
            <w:r>
              <w:rPr>
                <w:rFonts w:hint="eastAsia" w:ascii="新宋体" w:hAnsi="新宋体" w:eastAsia="新宋体" w:cs="Times New Roman"/>
                <w:color w:val="auto"/>
                <w:sz w:val="22"/>
                <w:szCs w:val="22"/>
                <w:highlight w:val="none"/>
              </w:rPr>
              <w:t>垃圾清运车（直运车）</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z w:val="22"/>
                <w:szCs w:val="22"/>
                <w:highlight w:val="none"/>
              </w:rPr>
            </w:pPr>
          </w:p>
        </w:tc>
        <w:tc>
          <w:tcPr>
            <w:tcW w:w="1657" w:type="dxa"/>
            <w:noWrap w:val="0"/>
            <w:vAlign w:val="center"/>
          </w:tcPr>
          <w:p>
            <w:pPr>
              <w:spacing w:line="360" w:lineRule="auto"/>
              <w:jc w:val="center"/>
              <w:rPr>
                <w:rFonts w:hint="eastAsia"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26"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240" w:lineRule="auto"/>
              <w:rPr>
                <w:rFonts w:ascii="新宋体" w:hAnsi="新宋体" w:eastAsia="新宋体" w:cs="Times New Roman"/>
                <w:color w:val="auto"/>
                <w:sz w:val="22"/>
                <w:szCs w:val="22"/>
                <w:highlight w:val="none"/>
              </w:rPr>
            </w:pPr>
            <w:r>
              <w:rPr>
                <w:rFonts w:ascii="新宋体" w:hAnsi="新宋体" w:eastAsia="新宋体"/>
                <w:color w:val="auto"/>
                <w:sz w:val="22"/>
                <w:szCs w:val="22"/>
                <w:highlight w:val="none"/>
              </w:rPr>
              <w:t>(</w:t>
            </w:r>
            <w:r>
              <w:rPr>
                <w:rFonts w:hint="eastAsia" w:ascii="新宋体" w:hAnsi="新宋体" w:eastAsia="新宋体"/>
                <w:color w:val="auto"/>
                <w:sz w:val="22"/>
                <w:szCs w:val="22"/>
                <w:highlight w:val="none"/>
                <w:lang w:val="en-US" w:eastAsia="zh-CN"/>
              </w:rPr>
              <w:t>5</w:t>
            </w:r>
            <w:r>
              <w:rPr>
                <w:rFonts w:ascii="新宋体" w:hAnsi="新宋体" w:eastAsia="新宋体"/>
                <w:color w:val="auto"/>
                <w:sz w:val="22"/>
                <w:szCs w:val="22"/>
                <w:highlight w:val="none"/>
              </w:rPr>
              <w:t>)</w:t>
            </w:r>
            <w:r>
              <w:rPr>
                <w:rFonts w:hint="eastAsia" w:ascii="新宋体" w:hAnsi="新宋体" w:eastAsia="新宋体" w:cs="Times New Roman"/>
                <w:color w:val="auto"/>
                <w:sz w:val="22"/>
                <w:szCs w:val="22"/>
                <w:highlight w:val="none"/>
              </w:rPr>
              <w:t>电动三轮车二分类垃圾收集车</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z w:val="22"/>
                <w:szCs w:val="22"/>
                <w:highlight w:val="none"/>
              </w:rPr>
            </w:pPr>
          </w:p>
        </w:tc>
        <w:tc>
          <w:tcPr>
            <w:tcW w:w="1657" w:type="dxa"/>
            <w:noWrap w:val="0"/>
            <w:vAlign w:val="center"/>
          </w:tcPr>
          <w:p>
            <w:pPr>
              <w:spacing w:line="360" w:lineRule="auto"/>
              <w:jc w:val="center"/>
              <w:rPr>
                <w:rFonts w:hint="eastAsia"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240" w:lineRule="auto"/>
              <w:rPr>
                <w:rFonts w:hint="eastAsia" w:ascii="新宋体" w:hAnsi="新宋体" w:eastAsia="新宋体"/>
                <w:color w:val="auto"/>
                <w:sz w:val="22"/>
                <w:szCs w:val="22"/>
                <w:highlight w:val="none"/>
              </w:rPr>
            </w:pPr>
            <w:r>
              <w:rPr>
                <w:rFonts w:hint="eastAsia" w:ascii="宋体" w:hAnsi="宋体" w:cs="仿宋_GB2312"/>
                <w:color w:val="auto"/>
                <w:szCs w:val="21"/>
                <w:highlight w:val="none"/>
                <w:lang w:val="zh-CN"/>
              </w:rPr>
              <w:t>……</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z w:val="22"/>
                <w:szCs w:val="22"/>
                <w:highlight w:val="none"/>
              </w:rPr>
            </w:pPr>
          </w:p>
        </w:tc>
        <w:tc>
          <w:tcPr>
            <w:tcW w:w="1657" w:type="dxa"/>
            <w:noWrap w:val="0"/>
            <w:vAlign w:val="center"/>
          </w:tcPr>
          <w:p>
            <w:pPr>
              <w:spacing w:line="360" w:lineRule="auto"/>
              <w:jc w:val="center"/>
              <w:rPr>
                <w:rFonts w:hint="eastAsia"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restart"/>
            <w:noWrap w:val="0"/>
            <w:vAlign w:val="center"/>
          </w:tcPr>
          <w:p>
            <w:pPr>
              <w:spacing w:line="360" w:lineRule="auto"/>
              <w:jc w:val="center"/>
              <w:rPr>
                <w:rFonts w:hint="eastAsia"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 xml:space="preserve">2         </w:t>
            </w:r>
          </w:p>
        </w:tc>
        <w:tc>
          <w:tcPr>
            <w:tcW w:w="1140" w:type="dxa"/>
            <w:vMerge w:val="restart"/>
            <w:noWrap w:val="0"/>
            <w:vAlign w:val="center"/>
          </w:tcPr>
          <w:p>
            <w:pPr>
              <w:spacing w:line="360" w:lineRule="auto"/>
              <w:rPr>
                <w:rFonts w:ascii="新宋体" w:hAnsi="新宋体" w:eastAsia="新宋体"/>
                <w:bCs/>
                <w:color w:val="auto"/>
                <w:sz w:val="22"/>
                <w:szCs w:val="22"/>
                <w:highlight w:val="none"/>
              </w:rPr>
            </w:pPr>
            <w:r>
              <w:rPr>
                <w:rFonts w:hint="eastAsia" w:ascii="新宋体" w:hAnsi="新宋体" w:eastAsia="新宋体"/>
                <w:color w:val="auto"/>
                <w:sz w:val="22"/>
                <w:szCs w:val="22"/>
                <w:highlight w:val="none"/>
              </w:rPr>
              <w:t>道路清扫保洁营业费用</w:t>
            </w:r>
          </w:p>
        </w:tc>
        <w:tc>
          <w:tcPr>
            <w:tcW w:w="3750" w:type="dxa"/>
            <w:noWrap w:val="0"/>
            <w:vAlign w:val="center"/>
          </w:tcPr>
          <w:p>
            <w:pPr>
              <w:spacing w:line="240" w:lineRule="auto"/>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2、人员工资</w:t>
            </w:r>
          </w:p>
        </w:tc>
        <w:tc>
          <w:tcPr>
            <w:tcW w:w="1473" w:type="dxa"/>
            <w:noWrap w:val="0"/>
            <w:vAlign w:val="center"/>
          </w:tcPr>
          <w:p>
            <w:pPr>
              <w:spacing w:line="360" w:lineRule="auto"/>
              <w:jc w:val="center"/>
              <w:rPr>
                <w:rFonts w:ascii="新宋体" w:hAnsi="新宋体" w:eastAsia="新宋体"/>
                <w:bCs/>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240" w:lineRule="auto"/>
              <w:jc w:val="both"/>
              <w:rPr>
                <w:rFonts w:ascii="新宋体" w:hAnsi="新宋体" w:eastAsia="新宋体"/>
                <w:color w:val="auto"/>
                <w:sz w:val="22"/>
                <w:szCs w:val="22"/>
                <w:highlight w:val="none"/>
              </w:rPr>
            </w:pPr>
            <w:r>
              <w:rPr>
                <w:rFonts w:ascii="新宋体" w:hAnsi="新宋体" w:eastAsia="新宋体"/>
                <w:color w:val="auto"/>
                <w:sz w:val="22"/>
                <w:szCs w:val="22"/>
                <w:highlight w:val="none"/>
              </w:rPr>
              <w:t>(1)</w:t>
            </w:r>
            <w:r>
              <w:rPr>
                <w:rFonts w:hint="eastAsia" w:ascii="新宋体" w:hAnsi="新宋体" w:eastAsia="新宋体"/>
                <w:color w:val="auto"/>
                <w:sz w:val="22"/>
                <w:szCs w:val="22"/>
                <w:highlight w:val="none"/>
              </w:rPr>
              <w:t>管理员</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z w:val="22"/>
                <w:szCs w:val="22"/>
                <w:highlight w:val="none"/>
              </w:rPr>
            </w:pPr>
            <w:r>
              <w:rPr>
                <w:rFonts w:ascii="新宋体" w:hAnsi="新宋体" w:eastAsia="新宋体"/>
                <w:color w:val="auto"/>
                <w:sz w:val="22"/>
                <w:szCs w:val="22"/>
                <w:highlight w:val="none"/>
              </w:rPr>
              <w:t>(</w:t>
            </w:r>
            <w:r>
              <w:rPr>
                <w:rFonts w:hint="eastAsia" w:ascii="新宋体" w:hAnsi="新宋体" w:eastAsia="新宋体"/>
                <w:color w:val="auto"/>
                <w:sz w:val="22"/>
                <w:szCs w:val="22"/>
                <w:highlight w:val="none"/>
              </w:rPr>
              <w:t>人数</w:t>
            </w:r>
            <w:r>
              <w:rPr>
                <w:rFonts w:ascii="新宋体" w:hAnsi="新宋体" w:eastAsia="新宋体"/>
                <w:color w:val="auto"/>
                <w:sz w:val="22"/>
                <w:szCs w:val="22"/>
                <w:highlight w:val="none"/>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240" w:lineRule="auto"/>
              <w:jc w:val="both"/>
              <w:rPr>
                <w:rFonts w:ascii="新宋体" w:hAnsi="新宋体" w:eastAsia="新宋体"/>
                <w:color w:val="auto"/>
                <w:sz w:val="22"/>
                <w:szCs w:val="22"/>
                <w:highlight w:val="none"/>
              </w:rPr>
            </w:pPr>
            <w:r>
              <w:rPr>
                <w:rFonts w:ascii="新宋体" w:hAnsi="新宋体" w:eastAsia="新宋体"/>
                <w:color w:val="auto"/>
                <w:sz w:val="22"/>
                <w:szCs w:val="22"/>
                <w:highlight w:val="none"/>
              </w:rPr>
              <w:t>(2)</w:t>
            </w:r>
            <w:r>
              <w:rPr>
                <w:rFonts w:hint="eastAsia" w:ascii="新宋体" w:hAnsi="新宋体" w:eastAsia="新宋体"/>
                <w:color w:val="auto"/>
                <w:sz w:val="22"/>
                <w:szCs w:val="22"/>
                <w:highlight w:val="none"/>
              </w:rPr>
              <w:t>驾驶员</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z w:val="22"/>
                <w:szCs w:val="22"/>
                <w:highlight w:val="none"/>
              </w:rPr>
            </w:pPr>
            <w:r>
              <w:rPr>
                <w:rFonts w:ascii="新宋体" w:hAnsi="新宋体" w:eastAsia="新宋体"/>
                <w:color w:val="auto"/>
                <w:sz w:val="22"/>
                <w:szCs w:val="22"/>
                <w:highlight w:val="none"/>
              </w:rPr>
              <w:t>(</w:t>
            </w:r>
            <w:r>
              <w:rPr>
                <w:rFonts w:hint="eastAsia" w:ascii="新宋体" w:hAnsi="新宋体" w:eastAsia="新宋体"/>
                <w:color w:val="auto"/>
                <w:sz w:val="22"/>
                <w:szCs w:val="22"/>
                <w:highlight w:val="none"/>
              </w:rPr>
              <w:t>人数</w:t>
            </w:r>
            <w:r>
              <w:rPr>
                <w:rFonts w:ascii="新宋体" w:hAnsi="新宋体" w:eastAsia="新宋体"/>
                <w:color w:val="auto"/>
                <w:sz w:val="22"/>
                <w:szCs w:val="22"/>
                <w:highlight w:val="none"/>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240" w:lineRule="auto"/>
              <w:jc w:val="both"/>
              <w:rPr>
                <w:rFonts w:ascii="新宋体" w:hAnsi="新宋体" w:eastAsia="新宋体"/>
                <w:color w:val="auto"/>
                <w:sz w:val="22"/>
                <w:szCs w:val="22"/>
                <w:highlight w:val="none"/>
              </w:rPr>
            </w:pPr>
            <w:r>
              <w:rPr>
                <w:rFonts w:ascii="新宋体" w:hAnsi="新宋体" w:eastAsia="新宋体"/>
                <w:color w:val="auto"/>
                <w:sz w:val="22"/>
                <w:szCs w:val="22"/>
                <w:highlight w:val="none"/>
              </w:rPr>
              <w:t>(</w:t>
            </w:r>
            <w:r>
              <w:rPr>
                <w:rFonts w:hint="eastAsia" w:ascii="新宋体" w:hAnsi="新宋体" w:eastAsia="新宋体"/>
                <w:color w:val="auto"/>
                <w:sz w:val="22"/>
                <w:szCs w:val="22"/>
                <w:highlight w:val="none"/>
              </w:rPr>
              <w:t>3</w:t>
            </w:r>
            <w:r>
              <w:rPr>
                <w:rFonts w:ascii="新宋体" w:hAnsi="新宋体" w:eastAsia="新宋体"/>
                <w:color w:val="auto"/>
                <w:sz w:val="22"/>
                <w:szCs w:val="22"/>
                <w:highlight w:val="none"/>
              </w:rPr>
              <w:t>)</w:t>
            </w:r>
            <w:r>
              <w:rPr>
                <w:rFonts w:hint="eastAsia" w:ascii="新宋体" w:hAnsi="新宋体" w:eastAsia="新宋体"/>
                <w:color w:val="auto"/>
                <w:sz w:val="22"/>
                <w:szCs w:val="22"/>
                <w:highlight w:val="none"/>
              </w:rPr>
              <w:t>保洁人员</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z w:val="22"/>
                <w:szCs w:val="22"/>
                <w:highlight w:val="none"/>
              </w:rPr>
            </w:pPr>
            <w:r>
              <w:rPr>
                <w:rFonts w:ascii="新宋体" w:hAnsi="新宋体" w:eastAsia="新宋体"/>
                <w:color w:val="auto"/>
                <w:sz w:val="22"/>
                <w:szCs w:val="22"/>
                <w:highlight w:val="none"/>
              </w:rPr>
              <w:t>(</w:t>
            </w:r>
            <w:r>
              <w:rPr>
                <w:rFonts w:hint="eastAsia" w:ascii="新宋体" w:hAnsi="新宋体" w:eastAsia="新宋体"/>
                <w:color w:val="auto"/>
                <w:sz w:val="22"/>
                <w:szCs w:val="22"/>
                <w:highlight w:val="none"/>
              </w:rPr>
              <w:t>人数</w:t>
            </w:r>
            <w:r>
              <w:rPr>
                <w:rFonts w:ascii="新宋体" w:hAnsi="新宋体" w:eastAsia="新宋体"/>
                <w:color w:val="auto"/>
                <w:sz w:val="22"/>
                <w:szCs w:val="22"/>
                <w:highlight w:val="none"/>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240" w:lineRule="auto"/>
              <w:jc w:val="both"/>
              <w:rPr>
                <w:rFonts w:ascii="新宋体" w:hAnsi="新宋体" w:eastAsia="新宋体"/>
                <w:color w:val="auto"/>
                <w:sz w:val="22"/>
                <w:szCs w:val="22"/>
                <w:highlight w:val="none"/>
              </w:rPr>
            </w:pPr>
            <w:r>
              <w:rPr>
                <w:rFonts w:ascii="新宋体" w:hAnsi="新宋体" w:eastAsia="新宋体"/>
                <w:color w:val="auto"/>
                <w:sz w:val="22"/>
                <w:szCs w:val="22"/>
                <w:highlight w:val="none"/>
              </w:rPr>
              <w:t>(</w:t>
            </w:r>
            <w:r>
              <w:rPr>
                <w:rFonts w:hint="eastAsia" w:ascii="新宋体" w:hAnsi="新宋体" w:eastAsia="新宋体"/>
                <w:color w:val="auto"/>
                <w:sz w:val="22"/>
                <w:szCs w:val="22"/>
                <w:highlight w:val="none"/>
              </w:rPr>
              <w:t>4</w:t>
            </w:r>
            <w:r>
              <w:rPr>
                <w:rFonts w:ascii="新宋体" w:hAnsi="新宋体" w:eastAsia="新宋体"/>
                <w:color w:val="auto"/>
                <w:sz w:val="22"/>
                <w:szCs w:val="22"/>
                <w:highlight w:val="none"/>
              </w:rPr>
              <w:t>)</w:t>
            </w:r>
            <w:r>
              <w:rPr>
                <w:rFonts w:hint="eastAsia" w:ascii="新宋体" w:hAnsi="新宋体" w:eastAsia="新宋体"/>
                <w:color w:val="auto"/>
                <w:sz w:val="22"/>
                <w:szCs w:val="22"/>
                <w:highlight w:val="none"/>
              </w:rPr>
              <w:t>机动人员</w:t>
            </w:r>
          </w:p>
        </w:tc>
        <w:tc>
          <w:tcPr>
            <w:tcW w:w="1473" w:type="dxa"/>
            <w:noWrap w:val="0"/>
            <w:vAlign w:val="center"/>
          </w:tcPr>
          <w:p>
            <w:pPr>
              <w:spacing w:line="240" w:lineRule="exact"/>
              <w:jc w:val="center"/>
              <w:rPr>
                <w:rFonts w:ascii="新宋体" w:hAnsi="新宋体" w:eastAsia="新宋体"/>
                <w:color w:val="auto"/>
                <w:sz w:val="22"/>
                <w:szCs w:val="22"/>
                <w:highlight w:val="none"/>
              </w:rPr>
            </w:pPr>
          </w:p>
        </w:tc>
        <w:tc>
          <w:tcPr>
            <w:tcW w:w="1336" w:type="dxa"/>
            <w:noWrap w:val="0"/>
            <w:vAlign w:val="center"/>
          </w:tcPr>
          <w:p>
            <w:pPr>
              <w:spacing w:line="240" w:lineRule="exact"/>
              <w:jc w:val="center"/>
              <w:rPr>
                <w:rFonts w:ascii="新宋体" w:hAnsi="新宋体" w:eastAsia="新宋体"/>
                <w:color w:val="auto"/>
                <w:spacing w:val="-20"/>
                <w:sz w:val="22"/>
                <w:szCs w:val="22"/>
                <w:highlight w:val="none"/>
              </w:rPr>
            </w:pPr>
          </w:p>
        </w:tc>
        <w:tc>
          <w:tcPr>
            <w:tcW w:w="1657" w:type="dxa"/>
            <w:noWrap w:val="0"/>
            <w:vAlign w:val="center"/>
          </w:tcPr>
          <w:p>
            <w:pPr>
              <w:spacing w:line="240" w:lineRule="auto"/>
              <w:jc w:val="center"/>
              <w:rPr>
                <w:rFonts w:ascii="新宋体" w:hAnsi="新宋体" w:eastAsia="新宋体"/>
                <w:color w:val="auto"/>
                <w:sz w:val="22"/>
                <w:szCs w:val="22"/>
                <w:highlight w:val="none"/>
              </w:rPr>
            </w:pPr>
            <w:r>
              <w:rPr>
                <w:rFonts w:ascii="新宋体" w:hAnsi="新宋体" w:eastAsia="新宋体"/>
                <w:color w:val="auto"/>
                <w:sz w:val="22"/>
                <w:szCs w:val="22"/>
                <w:highlight w:val="none"/>
              </w:rPr>
              <w:t>(</w:t>
            </w:r>
            <w:r>
              <w:rPr>
                <w:rFonts w:hint="eastAsia" w:ascii="新宋体" w:hAnsi="新宋体" w:eastAsia="新宋体"/>
                <w:color w:val="auto"/>
                <w:sz w:val="22"/>
                <w:szCs w:val="22"/>
                <w:highlight w:val="none"/>
              </w:rPr>
              <w:t>人数</w:t>
            </w:r>
            <w:r>
              <w:rPr>
                <w:rFonts w:ascii="新宋体" w:hAnsi="新宋体" w:eastAsia="新宋体"/>
                <w:color w:val="auto"/>
                <w:sz w:val="22"/>
                <w:szCs w:val="22"/>
                <w:highlight w:val="none"/>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240" w:lineRule="auto"/>
              <w:jc w:val="both"/>
              <w:rPr>
                <w:rFonts w:hint="eastAsia" w:ascii="新宋体" w:hAnsi="新宋体" w:eastAsia="新宋体"/>
                <w:color w:val="auto"/>
                <w:sz w:val="22"/>
                <w:szCs w:val="22"/>
                <w:highlight w:val="none"/>
              </w:rPr>
            </w:pPr>
            <w:r>
              <w:rPr>
                <w:rFonts w:ascii="新宋体" w:hAnsi="新宋体" w:eastAsia="新宋体"/>
                <w:color w:val="auto"/>
                <w:sz w:val="22"/>
                <w:szCs w:val="22"/>
                <w:highlight w:val="none"/>
              </w:rPr>
              <w:t>(</w:t>
            </w:r>
            <w:r>
              <w:rPr>
                <w:rFonts w:hint="eastAsia" w:ascii="新宋体" w:hAnsi="新宋体" w:eastAsia="新宋体"/>
                <w:color w:val="auto"/>
                <w:sz w:val="22"/>
                <w:szCs w:val="22"/>
                <w:highlight w:val="none"/>
              </w:rPr>
              <w:t>5</w:t>
            </w:r>
            <w:r>
              <w:rPr>
                <w:rFonts w:ascii="新宋体" w:hAnsi="新宋体" w:eastAsia="新宋体"/>
                <w:color w:val="auto"/>
                <w:sz w:val="22"/>
                <w:szCs w:val="22"/>
                <w:highlight w:val="none"/>
              </w:rPr>
              <w:t>)</w:t>
            </w:r>
            <w:r>
              <w:rPr>
                <w:rFonts w:hint="eastAsia" w:ascii="新宋体" w:hAnsi="新宋体" w:eastAsia="新宋体"/>
                <w:color w:val="auto"/>
                <w:sz w:val="22"/>
                <w:szCs w:val="22"/>
                <w:highlight w:val="none"/>
              </w:rPr>
              <w:t>社保费</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240" w:lineRule="auto"/>
              <w:jc w:val="center"/>
              <w:rPr>
                <w:rFonts w:ascii="新宋体" w:hAnsi="新宋体" w:eastAsia="新宋体"/>
                <w:color w:val="auto"/>
                <w:sz w:val="22"/>
                <w:szCs w:val="22"/>
                <w:highlight w:val="none"/>
              </w:rPr>
            </w:pPr>
            <w:r>
              <w:rPr>
                <w:rFonts w:ascii="新宋体" w:hAnsi="新宋体" w:eastAsia="新宋体"/>
                <w:color w:val="auto"/>
                <w:sz w:val="22"/>
                <w:szCs w:val="22"/>
                <w:highlight w:val="none"/>
              </w:rPr>
              <w:t>(</w:t>
            </w:r>
            <w:r>
              <w:rPr>
                <w:rFonts w:hint="eastAsia" w:ascii="新宋体" w:hAnsi="新宋体" w:eastAsia="新宋体"/>
                <w:color w:val="auto"/>
                <w:sz w:val="22"/>
                <w:szCs w:val="22"/>
                <w:highlight w:val="none"/>
              </w:rPr>
              <w:t>人数</w:t>
            </w:r>
            <w:r>
              <w:rPr>
                <w:rFonts w:ascii="新宋体" w:hAnsi="新宋体" w:eastAsia="新宋体"/>
                <w:color w:val="auto"/>
                <w:sz w:val="22"/>
                <w:szCs w:val="22"/>
                <w:highlight w:val="none"/>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top"/>
          </w:tcPr>
          <w:p>
            <w:pPr>
              <w:spacing w:line="240" w:lineRule="auto"/>
              <w:rPr>
                <w:rFonts w:ascii="新宋体" w:hAnsi="新宋体" w:eastAsia="新宋体"/>
                <w:color w:val="auto"/>
                <w:sz w:val="22"/>
                <w:szCs w:val="22"/>
                <w:highlight w:val="none"/>
              </w:rPr>
            </w:pPr>
            <w:r>
              <w:rPr>
                <w:rFonts w:hint="eastAsia" w:ascii="宋体" w:hAnsi="宋体" w:cs="仿宋_GB2312"/>
                <w:color w:val="auto"/>
                <w:szCs w:val="21"/>
                <w:highlight w:val="none"/>
                <w:lang w:val="zh-CN"/>
              </w:rPr>
              <w:t>……</w:t>
            </w:r>
          </w:p>
        </w:tc>
        <w:tc>
          <w:tcPr>
            <w:tcW w:w="1473" w:type="dxa"/>
            <w:noWrap w:val="0"/>
            <w:vAlign w:val="center"/>
          </w:tcPr>
          <w:p>
            <w:pPr>
              <w:spacing w:line="240" w:lineRule="auto"/>
              <w:jc w:val="center"/>
              <w:rPr>
                <w:rFonts w:ascii="新宋体" w:hAnsi="新宋体" w:eastAsia="新宋体"/>
                <w:color w:val="auto"/>
                <w:sz w:val="22"/>
                <w:szCs w:val="22"/>
                <w:highlight w:val="none"/>
              </w:rPr>
            </w:pPr>
          </w:p>
        </w:tc>
        <w:tc>
          <w:tcPr>
            <w:tcW w:w="1336" w:type="dxa"/>
            <w:noWrap w:val="0"/>
            <w:vAlign w:val="center"/>
          </w:tcPr>
          <w:p>
            <w:pPr>
              <w:spacing w:line="240" w:lineRule="auto"/>
              <w:jc w:val="center"/>
              <w:rPr>
                <w:rFonts w:ascii="新宋体" w:hAnsi="新宋体" w:eastAsia="新宋体"/>
                <w:color w:val="auto"/>
                <w:spacing w:val="-20"/>
                <w:sz w:val="22"/>
                <w:szCs w:val="22"/>
                <w:highlight w:val="none"/>
              </w:rPr>
            </w:pPr>
          </w:p>
        </w:tc>
        <w:tc>
          <w:tcPr>
            <w:tcW w:w="1657" w:type="dxa"/>
            <w:noWrap w:val="0"/>
            <w:vAlign w:val="top"/>
          </w:tcPr>
          <w:p>
            <w:pPr>
              <w:spacing w:line="240" w:lineRule="auto"/>
              <w:jc w:val="center"/>
              <w:rPr>
                <w:rFonts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320" w:lineRule="exact"/>
              <w:jc w:val="both"/>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3、出勤补贴（按每人每天10元计取）</w:t>
            </w:r>
          </w:p>
        </w:tc>
        <w:tc>
          <w:tcPr>
            <w:tcW w:w="1473" w:type="dxa"/>
            <w:noWrap w:val="0"/>
            <w:vAlign w:val="center"/>
          </w:tcPr>
          <w:p>
            <w:pPr>
              <w:spacing w:line="360" w:lineRule="auto"/>
              <w:jc w:val="center"/>
              <w:rPr>
                <w:rFonts w:ascii="新宋体" w:hAnsi="新宋体" w:eastAsia="新宋体"/>
                <w:bCs/>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hint="eastAsia"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320" w:lineRule="exact"/>
              <w:jc w:val="both"/>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4、福利费用（春节、环卫节、其它重要节日等，最少按11天计取）</w:t>
            </w:r>
          </w:p>
        </w:tc>
        <w:tc>
          <w:tcPr>
            <w:tcW w:w="1473" w:type="dxa"/>
            <w:noWrap w:val="0"/>
            <w:vAlign w:val="center"/>
          </w:tcPr>
          <w:p>
            <w:pPr>
              <w:spacing w:line="360" w:lineRule="auto"/>
              <w:jc w:val="center"/>
              <w:rPr>
                <w:rFonts w:ascii="新宋体" w:hAnsi="新宋体" w:eastAsia="新宋体"/>
                <w:bCs/>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320" w:lineRule="exact"/>
              <w:jc w:val="both"/>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5、待遇费用（高温补贴等其它补贴，其中高温补贴按一线工人每人每年不少于1200元计取）</w:t>
            </w:r>
          </w:p>
        </w:tc>
        <w:tc>
          <w:tcPr>
            <w:tcW w:w="1473" w:type="dxa"/>
            <w:noWrap w:val="0"/>
            <w:vAlign w:val="center"/>
          </w:tcPr>
          <w:p>
            <w:pPr>
              <w:spacing w:line="360" w:lineRule="auto"/>
              <w:jc w:val="center"/>
              <w:rPr>
                <w:rFonts w:ascii="新宋体" w:hAnsi="新宋体" w:eastAsia="新宋体"/>
                <w:bCs/>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360" w:lineRule="auto"/>
              <w:jc w:val="both"/>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6、劳保用品费</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pacing w:val="-2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360" w:lineRule="auto"/>
              <w:jc w:val="both"/>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7、作业机械车辆</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360" w:lineRule="auto"/>
              <w:jc w:val="both"/>
              <w:rPr>
                <w:rFonts w:ascii="新宋体" w:hAnsi="新宋体" w:eastAsia="新宋体"/>
                <w:color w:val="auto"/>
                <w:sz w:val="22"/>
                <w:szCs w:val="22"/>
                <w:highlight w:val="none"/>
              </w:rPr>
            </w:pPr>
            <w:r>
              <w:rPr>
                <w:rFonts w:ascii="新宋体" w:hAnsi="新宋体" w:eastAsia="新宋体"/>
                <w:color w:val="auto"/>
                <w:sz w:val="22"/>
                <w:szCs w:val="22"/>
                <w:highlight w:val="none"/>
              </w:rPr>
              <w:t>(1)</w:t>
            </w:r>
            <w:r>
              <w:rPr>
                <w:rFonts w:hint="eastAsia" w:ascii="新宋体" w:hAnsi="新宋体" w:eastAsia="新宋体"/>
                <w:color w:val="auto"/>
                <w:sz w:val="22"/>
                <w:szCs w:val="22"/>
                <w:highlight w:val="none"/>
              </w:rPr>
              <w:t>燃料用油费</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360" w:lineRule="auto"/>
              <w:jc w:val="both"/>
              <w:rPr>
                <w:rFonts w:ascii="新宋体" w:hAnsi="新宋体" w:eastAsia="新宋体"/>
                <w:color w:val="auto"/>
                <w:sz w:val="22"/>
                <w:szCs w:val="22"/>
                <w:highlight w:val="none"/>
              </w:rPr>
            </w:pPr>
            <w:r>
              <w:rPr>
                <w:rFonts w:ascii="新宋体" w:hAnsi="新宋体" w:eastAsia="新宋体"/>
                <w:color w:val="auto"/>
                <w:sz w:val="22"/>
                <w:szCs w:val="22"/>
                <w:highlight w:val="none"/>
              </w:rPr>
              <w:t>(</w:t>
            </w:r>
            <w:r>
              <w:rPr>
                <w:rFonts w:hint="eastAsia" w:ascii="新宋体" w:hAnsi="新宋体" w:eastAsia="新宋体"/>
                <w:color w:val="auto"/>
                <w:sz w:val="22"/>
                <w:szCs w:val="22"/>
                <w:highlight w:val="none"/>
              </w:rPr>
              <w:t>2</w:t>
            </w:r>
            <w:r>
              <w:rPr>
                <w:rFonts w:ascii="新宋体" w:hAnsi="新宋体" w:eastAsia="新宋体"/>
                <w:color w:val="auto"/>
                <w:sz w:val="22"/>
                <w:szCs w:val="22"/>
                <w:highlight w:val="none"/>
              </w:rPr>
              <w:t>)</w:t>
            </w:r>
            <w:r>
              <w:rPr>
                <w:rFonts w:hint="eastAsia" w:ascii="新宋体" w:hAnsi="新宋体" w:eastAsia="新宋体"/>
                <w:color w:val="auto"/>
                <w:sz w:val="22"/>
                <w:szCs w:val="22"/>
                <w:highlight w:val="none"/>
              </w:rPr>
              <w:t>保养、修理费</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360" w:lineRule="auto"/>
              <w:jc w:val="both"/>
              <w:rPr>
                <w:rFonts w:ascii="新宋体" w:hAnsi="新宋体" w:eastAsia="新宋体"/>
                <w:color w:val="auto"/>
                <w:sz w:val="22"/>
                <w:szCs w:val="22"/>
                <w:highlight w:val="none"/>
              </w:rPr>
            </w:pPr>
            <w:r>
              <w:rPr>
                <w:rFonts w:ascii="新宋体" w:hAnsi="新宋体" w:eastAsia="新宋体"/>
                <w:color w:val="auto"/>
                <w:sz w:val="22"/>
                <w:szCs w:val="22"/>
                <w:highlight w:val="none"/>
              </w:rPr>
              <w:t>(</w:t>
            </w:r>
            <w:r>
              <w:rPr>
                <w:rFonts w:hint="eastAsia" w:ascii="新宋体" w:hAnsi="新宋体" w:eastAsia="新宋体"/>
                <w:color w:val="auto"/>
                <w:sz w:val="22"/>
                <w:szCs w:val="22"/>
                <w:highlight w:val="none"/>
              </w:rPr>
              <w:t>3</w:t>
            </w:r>
            <w:r>
              <w:rPr>
                <w:rFonts w:ascii="新宋体" w:hAnsi="新宋体" w:eastAsia="新宋体"/>
                <w:color w:val="auto"/>
                <w:sz w:val="22"/>
                <w:szCs w:val="22"/>
                <w:highlight w:val="none"/>
              </w:rPr>
              <w:t>)</w:t>
            </w:r>
            <w:r>
              <w:rPr>
                <w:rFonts w:hint="eastAsia" w:ascii="新宋体" w:hAnsi="新宋体" w:eastAsia="新宋体"/>
                <w:color w:val="auto"/>
                <w:sz w:val="22"/>
                <w:szCs w:val="22"/>
                <w:highlight w:val="none"/>
              </w:rPr>
              <w:t>车辆保险费</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360" w:lineRule="auto"/>
              <w:rPr>
                <w:rFonts w:ascii="新宋体" w:hAnsi="新宋体" w:eastAsia="新宋体"/>
                <w:color w:val="auto"/>
                <w:sz w:val="22"/>
                <w:szCs w:val="22"/>
                <w:highlight w:val="none"/>
              </w:rPr>
            </w:pPr>
            <w:r>
              <w:rPr>
                <w:rFonts w:ascii="新宋体" w:hAnsi="新宋体" w:eastAsia="新宋体"/>
                <w:color w:val="auto"/>
                <w:sz w:val="22"/>
                <w:szCs w:val="22"/>
                <w:highlight w:val="none"/>
              </w:rPr>
              <w:t>……</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360" w:lineRule="auto"/>
              <w:rPr>
                <w:rFonts w:ascii="新宋体" w:hAnsi="新宋体" w:eastAsia="新宋体"/>
                <w:color w:val="auto"/>
                <w:sz w:val="22"/>
                <w:szCs w:val="22"/>
                <w:highlight w:val="none"/>
              </w:rPr>
            </w:pPr>
            <w:r>
              <w:rPr>
                <w:rFonts w:hint="eastAsia" w:ascii="新宋体" w:hAnsi="新宋体" w:eastAsia="新宋体"/>
                <w:color w:val="auto"/>
                <w:spacing w:val="-20"/>
                <w:sz w:val="22"/>
                <w:szCs w:val="22"/>
                <w:highlight w:val="none"/>
              </w:rPr>
              <w:t>8、</w:t>
            </w:r>
            <w:r>
              <w:rPr>
                <w:rFonts w:hint="eastAsia" w:ascii="新宋体" w:hAnsi="新宋体" w:eastAsia="新宋体"/>
                <w:color w:val="auto"/>
                <w:szCs w:val="21"/>
                <w:highlight w:val="none"/>
              </w:rPr>
              <w:t>水 费</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320" w:lineRule="exact"/>
              <w:rPr>
                <w:rFonts w:ascii="新宋体" w:hAnsi="新宋体" w:eastAsia="新宋体"/>
                <w:color w:val="auto"/>
                <w:spacing w:val="-20"/>
                <w:sz w:val="22"/>
                <w:szCs w:val="22"/>
                <w:highlight w:val="none"/>
              </w:rPr>
            </w:pPr>
            <w:r>
              <w:rPr>
                <w:rFonts w:hint="eastAsia" w:ascii="新宋体" w:hAnsi="新宋体" w:eastAsia="新宋体"/>
                <w:color w:val="auto"/>
                <w:spacing w:val="-20"/>
                <w:sz w:val="22"/>
                <w:szCs w:val="22"/>
                <w:highlight w:val="none"/>
              </w:rPr>
              <w:t>9、</w:t>
            </w:r>
            <w:r>
              <w:rPr>
                <w:rFonts w:hint="eastAsia" w:ascii="新宋体" w:hAnsi="新宋体" w:eastAsia="新宋体"/>
                <w:color w:val="auto"/>
                <w:sz w:val="22"/>
                <w:szCs w:val="22"/>
                <w:highlight w:val="none"/>
              </w:rPr>
              <w:t>工具</w:t>
            </w:r>
            <w:r>
              <w:rPr>
                <w:rFonts w:hint="eastAsia" w:ascii="新宋体" w:hAnsi="新宋体" w:eastAsia="新宋体"/>
                <w:color w:val="auto"/>
                <w:spacing w:val="-20"/>
                <w:sz w:val="22"/>
                <w:szCs w:val="22"/>
                <w:highlight w:val="none"/>
              </w:rPr>
              <w:t>用品（</w:t>
            </w:r>
            <w:r>
              <w:rPr>
                <w:rFonts w:hint="eastAsia" w:ascii="新宋体" w:hAnsi="新宋体" w:eastAsia="新宋体"/>
                <w:color w:val="auto"/>
                <w:sz w:val="22"/>
                <w:szCs w:val="22"/>
                <w:highlight w:val="none"/>
              </w:rPr>
              <w:t>扫帚、畚斗、</w:t>
            </w:r>
            <w:r>
              <w:rPr>
                <w:rFonts w:hint="eastAsia" w:ascii="宋体"/>
                <w:color w:val="auto"/>
                <w:sz w:val="22"/>
                <w:szCs w:val="22"/>
                <w:highlight w:val="none"/>
              </w:rPr>
              <w:t>三轮垃圾收集车及板车</w:t>
            </w:r>
            <w:r>
              <w:rPr>
                <w:rFonts w:hint="eastAsia" w:ascii="新宋体" w:hAnsi="新宋体" w:eastAsia="新宋体"/>
                <w:color w:val="auto"/>
                <w:spacing w:val="-20"/>
                <w:sz w:val="22"/>
                <w:szCs w:val="22"/>
                <w:highlight w:val="none"/>
              </w:rPr>
              <w:t>）</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pacing w:val="-2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restart"/>
            <w:noWrap w:val="0"/>
            <w:vAlign w:val="center"/>
          </w:tcPr>
          <w:p>
            <w:pPr>
              <w:spacing w:line="360" w:lineRule="auto"/>
              <w:jc w:val="center"/>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3</w:t>
            </w:r>
          </w:p>
        </w:tc>
        <w:tc>
          <w:tcPr>
            <w:tcW w:w="1140" w:type="dxa"/>
            <w:vMerge w:val="restart"/>
            <w:noWrap w:val="0"/>
            <w:vAlign w:val="center"/>
          </w:tcPr>
          <w:p>
            <w:pPr>
              <w:spacing w:line="360" w:lineRule="auto"/>
              <w:jc w:val="left"/>
              <w:rPr>
                <w:rFonts w:ascii="新宋体" w:hAnsi="新宋体" w:eastAsia="新宋体"/>
                <w:color w:val="auto"/>
                <w:sz w:val="22"/>
                <w:szCs w:val="22"/>
                <w:highlight w:val="none"/>
              </w:rPr>
            </w:pPr>
            <w:r>
              <w:rPr>
                <w:rFonts w:hint="eastAsia" w:ascii="新宋体" w:hAnsi="新宋体" w:eastAsia="新宋体"/>
                <w:bCs/>
                <w:color w:val="auto"/>
                <w:sz w:val="22"/>
                <w:szCs w:val="22"/>
                <w:highlight w:val="none"/>
              </w:rPr>
              <w:t>办公费用</w:t>
            </w:r>
          </w:p>
        </w:tc>
        <w:tc>
          <w:tcPr>
            <w:tcW w:w="3750" w:type="dxa"/>
            <w:noWrap w:val="0"/>
            <w:vAlign w:val="center"/>
          </w:tcPr>
          <w:p>
            <w:pPr>
              <w:spacing w:line="360" w:lineRule="auto"/>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1、办公用品</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z w:val="22"/>
                <w:szCs w:val="22"/>
                <w:highlight w:val="none"/>
              </w:rPr>
            </w:pPr>
          </w:p>
        </w:tc>
        <w:tc>
          <w:tcPr>
            <w:tcW w:w="1657" w:type="dxa"/>
            <w:noWrap w:val="0"/>
            <w:vAlign w:val="center"/>
          </w:tcPr>
          <w:p>
            <w:pPr>
              <w:spacing w:line="360" w:lineRule="auto"/>
              <w:jc w:val="center"/>
              <w:rPr>
                <w:rFonts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360" w:lineRule="auto"/>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2、业务开支</w:t>
            </w:r>
          </w:p>
        </w:tc>
        <w:tc>
          <w:tcPr>
            <w:tcW w:w="1473" w:type="dxa"/>
            <w:noWrap w:val="0"/>
            <w:vAlign w:val="center"/>
          </w:tcPr>
          <w:p>
            <w:pPr>
              <w:spacing w:line="360" w:lineRule="auto"/>
              <w:jc w:val="center"/>
              <w:rPr>
                <w:rFonts w:ascii="新宋体" w:hAnsi="新宋体" w:eastAsia="新宋体"/>
                <w:bCs/>
                <w:color w:val="auto"/>
                <w:sz w:val="22"/>
                <w:szCs w:val="22"/>
                <w:highlight w:val="none"/>
              </w:rPr>
            </w:pPr>
          </w:p>
        </w:tc>
        <w:tc>
          <w:tcPr>
            <w:tcW w:w="1336" w:type="dxa"/>
            <w:noWrap w:val="0"/>
            <w:vAlign w:val="center"/>
          </w:tcPr>
          <w:p>
            <w:pPr>
              <w:spacing w:line="360" w:lineRule="auto"/>
              <w:jc w:val="center"/>
              <w:rPr>
                <w:rFonts w:ascii="新宋体" w:hAnsi="新宋体" w:eastAsia="新宋体"/>
                <w:bCs/>
                <w:color w:val="auto"/>
                <w:sz w:val="22"/>
                <w:szCs w:val="22"/>
                <w:highlight w:val="none"/>
              </w:rPr>
            </w:pPr>
          </w:p>
        </w:tc>
        <w:tc>
          <w:tcPr>
            <w:tcW w:w="1657" w:type="dxa"/>
            <w:noWrap w:val="0"/>
            <w:vAlign w:val="center"/>
          </w:tcPr>
          <w:p>
            <w:pPr>
              <w:spacing w:line="360" w:lineRule="auto"/>
              <w:jc w:val="center"/>
              <w:rPr>
                <w:rFonts w:ascii="新宋体" w:hAnsi="新宋体" w:eastAsia="新宋体"/>
                <w:bCs/>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360" w:lineRule="auto"/>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3、租赁费及其他费用</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z w:val="22"/>
                <w:szCs w:val="22"/>
                <w:highlight w:val="none"/>
              </w:rPr>
            </w:pPr>
          </w:p>
        </w:tc>
        <w:tc>
          <w:tcPr>
            <w:tcW w:w="1657" w:type="dxa"/>
            <w:noWrap w:val="0"/>
            <w:vAlign w:val="center"/>
          </w:tcPr>
          <w:p>
            <w:pPr>
              <w:spacing w:line="360" w:lineRule="auto"/>
              <w:jc w:val="center"/>
              <w:rPr>
                <w:rFonts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cantSplit/>
          <w:trHeight w:val="454" w:hRule="atLeast"/>
        </w:trPr>
        <w:tc>
          <w:tcPr>
            <w:tcW w:w="677"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360" w:lineRule="auto"/>
              <w:rPr>
                <w:rFonts w:ascii="新宋体" w:hAnsi="新宋体" w:eastAsia="新宋体"/>
                <w:color w:val="auto"/>
                <w:sz w:val="22"/>
                <w:szCs w:val="22"/>
                <w:highlight w:val="none"/>
              </w:rPr>
            </w:pPr>
            <w:r>
              <w:rPr>
                <w:rFonts w:ascii="新宋体" w:hAnsi="新宋体" w:eastAsia="新宋体"/>
                <w:color w:val="auto"/>
                <w:sz w:val="22"/>
                <w:szCs w:val="22"/>
                <w:highlight w:val="none"/>
              </w:rPr>
              <w:t>……</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z w:val="22"/>
                <w:szCs w:val="22"/>
                <w:highlight w:val="none"/>
              </w:rPr>
            </w:pPr>
          </w:p>
        </w:tc>
        <w:tc>
          <w:tcPr>
            <w:tcW w:w="1657" w:type="dxa"/>
            <w:noWrap w:val="0"/>
            <w:vAlign w:val="center"/>
          </w:tcPr>
          <w:p>
            <w:pPr>
              <w:spacing w:line="360" w:lineRule="auto"/>
              <w:jc w:val="center"/>
              <w:rPr>
                <w:rFonts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restart"/>
            <w:noWrap w:val="0"/>
            <w:vAlign w:val="center"/>
          </w:tcPr>
          <w:p>
            <w:pPr>
              <w:spacing w:line="240" w:lineRule="auto"/>
              <w:jc w:val="center"/>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4</w:t>
            </w:r>
          </w:p>
        </w:tc>
        <w:tc>
          <w:tcPr>
            <w:tcW w:w="1140" w:type="dxa"/>
            <w:vMerge w:val="restart"/>
            <w:noWrap w:val="0"/>
            <w:vAlign w:val="center"/>
          </w:tcPr>
          <w:p>
            <w:pPr>
              <w:spacing w:line="360" w:lineRule="auto"/>
              <w:jc w:val="center"/>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其他</w:t>
            </w:r>
          </w:p>
        </w:tc>
        <w:tc>
          <w:tcPr>
            <w:tcW w:w="3750" w:type="dxa"/>
            <w:noWrap w:val="0"/>
            <w:vAlign w:val="center"/>
          </w:tcPr>
          <w:p>
            <w:pPr>
              <w:spacing w:line="360" w:lineRule="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垃圾死角治理</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pacing w:val="-2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24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rPr>
                <w:rFonts w:ascii="新宋体" w:hAnsi="新宋体" w:eastAsia="新宋体"/>
                <w:color w:val="auto"/>
                <w:sz w:val="22"/>
                <w:szCs w:val="22"/>
                <w:highlight w:val="none"/>
              </w:rPr>
            </w:pPr>
          </w:p>
        </w:tc>
        <w:tc>
          <w:tcPr>
            <w:tcW w:w="3750" w:type="dxa"/>
            <w:noWrap w:val="0"/>
            <w:vAlign w:val="center"/>
          </w:tcPr>
          <w:p>
            <w:pPr>
              <w:spacing w:line="360" w:lineRule="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建筑废土清运</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pacing w:val="-2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24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rPr>
                <w:rFonts w:ascii="新宋体" w:hAnsi="新宋体" w:eastAsia="新宋体"/>
                <w:color w:val="auto"/>
                <w:sz w:val="22"/>
                <w:szCs w:val="22"/>
                <w:highlight w:val="none"/>
              </w:rPr>
            </w:pPr>
          </w:p>
        </w:tc>
        <w:tc>
          <w:tcPr>
            <w:tcW w:w="3750" w:type="dxa"/>
            <w:noWrap w:val="0"/>
            <w:vAlign w:val="center"/>
          </w:tcPr>
          <w:p>
            <w:pPr>
              <w:spacing w:line="360" w:lineRule="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突击治理活动</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pacing w:val="-2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24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rPr>
                <w:rFonts w:ascii="新宋体" w:hAnsi="新宋体" w:eastAsia="新宋体"/>
                <w:color w:val="auto"/>
                <w:sz w:val="22"/>
                <w:szCs w:val="22"/>
                <w:highlight w:val="none"/>
              </w:rPr>
            </w:pPr>
          </w:p>
        </w:tc>
        <w:tc>
          <w:tcPr>
            <w:tcW w:w="3750" w:type="dxa"/>
            <w:noWrap w:val="0"/>
            <w:vAlign w:val="center"/>
          </w:tcPr>
          <w:p>
            <w:pPr>
              <w:spacing w:line="360" w:lineRule="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小广告果壳箱清洗清理</w:t>
            </w:r>
          </w:p>
        </w:tc>
        <w:tc>
          <w:tcPr>
            <w:tcW w:w="1473" w:type="dxa"/>
            <w:noWrap w:val="0"/>
            <w:vAlign w:val="center"/>
          </w:tcPr>
          <w:p>
            <w:pPr>
              <w:spacing w:line="360" w:lineRule="auto"/>
              <w:jc w:val="center"/>
              <w:rPr>
                <w:rFonts w:hint="eastAsia"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pacing w:val="-2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vMerge w:val="continue"/>
            <w:noWrap w:val="0"/>
            <w:vAlign w:val="center"/>
          </w:tcPr>
          <w:p>
            <w:pPr>
              <w:spacing w:line="240" w:lineRule="auto"/>
              <w:jc w:val="center"/>
              <w:rPr>
                <w:rFonts w:ascii="新宋体" w:hAnsi="新宋体" w:eastAsia="新宋体"/>
                <w:color w:val="auto"/>
                <w:sz w:val="22"/>
                <w:szCs w:val="22"/>
                <w:highlight w:val="none"/>
              </w:rPr>
            </w:pPr>
          </w:p>
        </w:tc>
        <w:tc>
          <w:tcPr>
            <w:tcW w:w="1140" w:type="dxa"/>
            <w:vMerge w:val="continue"/>
            <w:noWrap w:val="0"/>
            <w:vAlign w:val="center"/>
          </w:tcPr>
          <w:p>
            <w:pPr>
              <w:spacing w:line="360" w:lineRule="auto"/>
              <w:jc w:val="center"/>
              <w:rPr>
                <w:rFonts w:ascii="新宋体" w:hAnsi="新宋体" w:eastAsia="新宋体"/>
                <w:color w:val="auto"/>
                <w:sz w:val="22"/>
                <w:szCs w:val="22"/>
                <w:highlight w:val="none"/>
              </w:rPr>
            </w:pPr>
          </w:p>
        </w:tc>
        <w:tc>
          <w:tcPr>
            <w:tcW w:w="3750" w:type="dxa"/>
            <w:noWrap w:val="0"/>
            <w:vAlign w:val="center"/>
          </w:tcPr>
          <w:p>
            <w:pPr>
              <w:spacing w:line="360" w:lineRule="auto"/>
              <w:rPr>
                <w:rFonts w:hint="eastAsia" w:ascii="新宋体" w:hAnsi="新宋体" w:eastAsia="新宋体"/>
                <w:color w:val="auto"/>
                <w:sz w:val="22"/>
                <w:szCs w:val="22"/>
                <w:highlight w:val="none"/>
              </w:rPr>
            </w:pPr>
            <w:r>
              <w:rPr>
                <w:rFonts w:ascii="新宋体" w:hAnsi="新宋体" w:eastAsia="新宋体"/>
                <w:color w:val="auto"/>
                <w:sz w:val="22"/>
                <w:szCs w:val="22"/>
                <w:highlight w:val="none"/>
              </w:rPr>
              <w:t>……</w:t>
            </w:r>
          </w:p>
        </w:tc>
        <w:tc>
          <w:tcPr>
            <w:tcW w:w="1473" w:type="dxa"/>
            <w:noWrap w:val="0"/>
            <w:vAlign w:val="center"/>
          </w:tcPr>
          <w:p>
            <w:pPr>
              <w:spacing w:line="360" w:lineRule="auto"/>
              <w:jc w:val="center"/>
              <w:rPr>
                <w:rFonts w:hint="eastAsia"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pacing w:val="-2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7" w:type="dxa"/>
            <w:noWrap w:val="0"/>
            <w:vAlign w:val="center"/>
          </w:tcPr>
          <w:p>
            <w:pPr>
              <w:spacing w:line="240" w:lineRule="auto"/>
              <w:jc w:val="center"/>
              <w:rPr>
                <w:rFonts w:hint="eastAsia"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5</w:t>
            </w:r>
          </w:p>
        </w:tc>
        <w:tc>
          <w:tcPr>
            <w:tcW w:w="4890" w:type="dxa"/>
            <w:gridSpan w:val="2"/>
            <w:noWrap w:val="0"/>
            <w:vAlign w:val="center"/>
          </w:tcPr>
          <w:p>
            <w:pPr>
              <w:spacing w:line="360" w:lineRule="auto"/>
              <w:jc w:val="center"/>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经营管理费</w:t>
            </w:r>
          </w:p>
        </w:tc>
        <w:tc>
          <w:tcPr>
            <w:tcW w:w="1473" w:type="dxa"/>
            <w:noWrap w:val="0"/>
            <w:vAlign w:val="center"/>
          </w:tcPr>
          <w:p>
            <w:pPr>
              <w:spacing w:line="360" w:lineRule="auto"/>
              <w:jc w:val="center"/>
              <w:rPr>
                <w:rFonts w:ascii="新宋体" w:hAnsi="新宋体" w:eastAsia="新宋体"/>
                <w:bCs/>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7" w:type="dxa"/>
            <w:noWrap w:val="0"/>
            <w:vAlign w:val="center"/>
          </w:tcPr>
          <w:p>
            <w:pPr>
              <w:spacing w:line="240" w:lineRule="auto"/>
              <w:jc w:val="center"/>
              <w:rPr>
                <w:rFonts w:hint="eastAsia"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6</w:t>
            </w:r>
          </w:p>
        </w:tc>
        <w:tc>
          <w:tcPr>
            <w:tcW w:w="4890" w:type="dxa"/>
            <w:gridSpan w:val="2"/>
            <w:noWrap w:val="0"/>
            <w:vAlign w:val="center"/>
          </w:tcPr>
          <w:p>
            <w:pPr>
              <w:spacing w:line="360" w:lineRule="auto"/>
              <w:jc w:val="center"/>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利润</w:t>
            </w:r>
          </w:p>
        </w:tc>
        <w:tc>
          <w:tcPr>
            <w:tcW w:w="1473" w:type="dxa"/>
            <w:noWrap w:val="0"/>
            <w:vAlign w:val="center"/>
          </w:tcPr>
          <w:p>
            <w:pPr>
              <w:spacing w:line="360" w:lineRule="auto"/>
              <w:jc w:val="center"/>
              <w:rPr>
                <w:rFonts w:ascii="新宋体" w:hAnsi="新宋体" w:eastAsia="新宋体"/>
                <w:bCs/>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77" w:type="dxa"/>
            <w:tcBorders>
              <w:right w:val="single" w:color="auto" w:sz="4" w:space="0"/>
            </w:tcBorders>
            <w:noWrap w:val="0"/>
            <w:vAlign w:val="center"/>
          </w:tcPr>
          <w:p>
            <w:pPr>
              <w:spacing w:line="240" w:lineRule="auto"/>
              <w:jc w:val="center"/>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7</w:t>
            </w:r>
          </w:p>
        </w:tc>
        <w:tc>
          <w:tcPr>
            <w:tcW w:w="4890" w:type="dxa"/>
            <w:gridSpan w:val="2"/>
            <w:tcBorders>
              <w:left w:val="single" w:color="auto" w:sz="4" w:space="0"/>
            </w:tcBorders>
            <w:noWrap w:val="0"/>
            <w:vAlign w:val="center"/>
          </w:tcPr>
          <w:p>
            <w:pPr>
              <w:spacing w:line="360" w:lineRule="auto"/>
              <w:jc w:val="center"/>
              <w:rPr>
                <w:rFonts w:hint="eastAsia" w:ascii="新宋体" w:hAnsi="新宋体" w:eastAsia="新宋体"/>
                <w:color w:val="auto"/>
                <w:sz w:val="22"/>
                <w:szCs w:val="22"/>
                <w:highlight w:val="none"/>
              </w:rPr>
            </w:pPr>
            <w:r>
              <w:rPr>
                <w:rFonts w:hint="eastAsia" w:ascii="新宋体" w:hAnsi="新宋体" w:eastAsia="新宋体"/>
                <w:bCs/>
                <w:color w:val="auto"/>
                <w:sz w:val="22"/>
                <w:szCs w:val="22"/>
                <w:highlight w:val="none"/>
              </w:rPr>
              <w:t>税金</w:t>
            </w:r>
          </w:p>
        </w:tc>
        <w:tc>
          <w:tcPr>
            <w:tcW w:w="1473" w:type="dxa"/>
            <w:noWrap w:val="0"/>
            <w:vAlign w:val="center"/>
          </w:tcPr>
          <w:p>
            <w:pPr>
              <w:spacing w:line="360" w:lineRule="auto"/>
              <w:jc w:val="center"/>
              <w:rPr>
                <w:rFonts w:ascii="新宋体" w:hAnsi="新宋体" w:eastAsia="新宋体"/>
                <w:color w:val="auto"/>
                <w:sz w:val="22"/>
                <w:szCs w:val="22"/>
                <w:highlight w:val="none"/>
              </w:rPr>
            </w:pPr>
          </w:p>
        </w:tc>
        <w:tc>
          <w:tcPr>
            <w:tcW w:w="1336" w:type="dxa"/>
            <w:noWrap w:val="0"/>
            <w:vAlign w:val="center"/>
          </w:tcPr>
          <w:p>
            <w:pPr>
              <w:spacing w:line="360" w:lineRule="auto"/>
              <w:jc w:val="center"/>
              <w:rPr>
                <w:rFonts w:ascii="新宋体" w:hAnsi="新宋体" w:eastAsia="新宋体"/>
                <w:color w:val="auto"/>
                <w:spacing w:val="-20"/>
                <w:sz w:val="22"/>
                <w:szCs w:val="22"/>
                <w:highlight w:val="none"/>
              </w:rPr>
            </w:pPr>
          </w:p>
        </w:tc>
        <w:tc>
          <w:tcPr>
            <w:tcW w:w="1657" w:type="dxa"/>
            <w:noWrap w:val="0"/>
            <w:vAlign w:val="center"/>
          </w:tcPr>
          <w:p>
            <w:pPr>
              <w:spacing w:line="360" w:lineRule="auto"/>
              <w:jc w:val="center"/>
              <w:rPr>
                <w:rFonts w:ascii="新宋体" w:hAnsi="新宋体" w:eastAsia="新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7" w:type="dxa"/>
            <w:tcBorders>
              <w:right w:val="single" w:color="auto" w:sz="4" w:space="0"/>
            </w:tcBorders>
            <w:noWrap w:val="0"/>
            <w:vAlign w:val="center"/>
          </w:tcPr>
          <w:p>
            <w:pPr>
              <w:spacing w:line="240" w:lineRule="auto"/>
              <w:jc w:val="center"/>
              <w:rPr>
                <w:rFonts w:hint="eastAsia"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8</w:t>
            </w:r>
          </w:p>
        </w:tc>
        <w:tc>
          <w:tcPr>
            <w:tcW w:w="4890" w:type="dxa"/>
            <w:gridSpan w:val="2"/>
            <w:tcBorders>
              <w:left w:val="single" w:color="auto" w:sz="4" w:space="0"/>
            </w:tcBorders>
            <w:noWrap w:val="0"/>
            <w:vAlign w:val="center"/>
          </w:tcPr>
          <w:p>
            <w:pPr>
              <w:spacing w:line="360" w:lineRule="auto"/>
              <w:ind w:firstLine="0" w:firstLineChars="0"/>
              <w:jc w:val="center"/>
              <w:rPr>
                <w:rFonts w:hint="eastAsia"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总价（</w:t>
            </w:r>
            <w:r>
              <w:rPr>
                <w:rFonts w:hint="eastAsia" w:ascii="宋体"/>
                <w:color w:val="auto"/>
                <w:sz w:val="22"/>
                <w:szCs w:val="22"/>
                <w:highlight w:val="none"/>
              </w:rPr>
              <w:t>1+2+3+4+5+6+7</w:t>
            </w:r>
            <w:r>
              <w:rPr>
                <w:rFonts w:hint="eastAsia" w:ascii="新宋体" w:hAnsi="新宋体" w:eastAsia="新宋体"/>
                <w:bCs/>
                <w:color w:val="auto"/>
                <w:sz w:val="22"/>
                <w:szCs w:val="22"/>
                <w:highlight w:val="none"/>
              </w:rPr>
              <w:t>）</w:t>
            </w:r>
          </w:p>
        </w:tc>
        <w:tc>
          <w:tcPr>
            <w:tcW w:w="4466" w:type="dxa"/>
            <w:gridSpan w:val="3"/>
            <w:noWrap w:val="0"/>
            <w:vAlign w:val="center"/>
          </w:tcPr>
          <w:p>
            <w:pPr>
              <w:spacing w:line="360" w:lineRule="auto"/>
              <w:jc w:val="center"/>
              <w:rPr>
                <w:rFonts w:ascii="新宋体" w:hAnsi="新宋体" w:eastAsia="新宋体"/>
                <w:color w:val="auto"/>
                <w:sz w:val="22"/>
                <w:szCs w:val="22"/>
                <w:highlight w:val="none"/>
              </w:rPr>
            </w:pPr>
          </w:p>
        </w:tc>
      </w:tr>
    </w:tbl>
    <w:p>
      <w:pPr>
        <w:spacing w:line="300" w:lineRule="exact"/>
        <w:rPr>
          <w:rFonts w:hint="eastAsia" w:ascii="楷体_GB2312" w:hAnsi="新宋体" w:eastAsia="楷体_GB2312"/>
          <w:b/>
          <w:color w:val="auto"/>
          <w:sz w:val="22"/>
          <w:highlight w:val="none"/>
        </w:rPr>
      </w:pPr>
      <w:r>
        <w:rPr>
          <w:rFonts w:hint="eastAsia" w:ascii="宋体" w:hAnsi="宋体"/>
          <w:color w:val="auto"/>
          <w:sz w:val="22"/>
          <w:szCs w:val="22"/>
          <w:highlight w:val="none"/>
        </w:rPr>
        <w:t>说明：</w:t>
      </w:r>
    </w:p>
    <w:p>
      <w:pPr>
        <w:tabs>
          <w:tab w:val="left" w:pos="900"/>
        </w:tabs>
        <w:spacing w:line="300" w:lineRule="exact"/>
        <w:rPr>
          <w:rFonts w:hint="eastAsia" w:ascii="宋体" w:hAnsi="宋体"/>
          <w:color w:val="auto"/>
          <w:sz w:val="22"/>
          <w:szCs w:val="22"/>
          <w:highlight w:val="none"/>
        </w:rPr>
      </w:pPr>
      <w:r>
        <w:rPr>
          <w:rFonts w:hint="eastAsia" w:ascii="宋体" w:hAnsi="宋体"/>
          <w:color w:val="auto"/>
          <w:sz w:val="22"/>
          <w:szCs w:val="22"/>
          <w:highlight w:val="none"/>
        </w:rPr>
        <w:t>1) 以上核算需符合国家相关法律、法规及温州市有关劳动法、税务、社会保险等方面的规定。</w:t>
      </w:r>
    </w:p>
    <w:p>
      <w:pPr>
        <w:tabs>
          <w:tab w:val="left" w:pos="900"/>
        </w:tabs>
        <w:spacing w:line="300" w:lineRule="exact"/>
        <w:rPr>
          <w:rFonts w:hint="eastAsia" w:ascii="宋体" w:hAnsi="宋体"/>
          <w:b/>
          <w:bCs/>
          <w:color w:val="auto"/>
          <w:sz w:val="22"/>
          <w:szCs w:val="22"/>
          <w:highlight w:val="none"/>
        </w:rPr>
      </w:pPr>
      <w:r>
        <w:rPr>
          <w:rFonts w:hint="eastAsia" w:ascii="宋体" w:hAnsi="宋体"/>
          <w:color w:val="auto"/>
          <w:sz w:val="22"/>
          <w:szCs w:val="22"/>
          <w:highlight w:val="none"/>
        </w:rPr>
        <w:t>2)</w:t>
      </w:r>
      <w:r>
        <w:rPr>
          <w:rFonts w:hint="eastAsia" w:ascii="宋体" w:hAnsi="宋体"/>
          <w:b/>
          <w:bCs/>
          <w:color w:val="auto"/>
          <w:sz w:val="28"/>
          <w:szCs w:val="28"/>
          <w:highlight w:val="none"/>
        </w:rPr>
        <w:t xml:space="preserve"> </w:t>
      </w:r>
      <w:r>
        <w:rPr>
          <w:rFonts w:hint="eastAsia" w:ascii="宋体" w:hAnsi="宋体"/>
          <w:bCs/>
          <w:color w:val="auto"/>
          <w:spacing w:val="-4"/>
          <w:sz w:val="22"/>
          <w:szCs w:val="22"/>
          <w:highlight w:val="none"/>
        </w:rPr>
        <w:t>投标报价明细表</w:t>
      </w:r>
      <w:r>
        <w:rPr>
          <w:rFonts w:hint="eastAsia" w:ascii="宋体" w:hAnsi="宋体"/>
          <w:color w:val="auto"/>
          <w:spacing w:val="-4"/>
          <w:sz w:val="22"/>
          <w:szCs w:val="22"/>
          <w:highlight w:val="none"/>
        </w:rPr>
        <w:t>内总计价应与附件二“</w:t>
      </w:r>
      <w:r>
        <w:rPr>
          <w:rFonts w:hint="eastAsia" w:hAnsi="宋体"/>
          <w:color w:val="auto"/>
          <w:spacing w:val="-4"/>
          <w:sz w:val="22"/>
          <w:szCs w:val="22"/>
          <w:highlight w:val="none"/>
        </w:rPr>
        <w:t>投标报价一览表</w:t>
      </w:r>
      <w:r>
        <w:rPr>
          <w:rFonts w:hint="eastAsia" w:ascii="宋体" w:hAnsi="宋体"/>
          <w:color w:val="auto"/>
          <w:spacing w:val="-4"/>
          <w:sz w:val="22"/>
          <w:szCs w:val="22"/>
          <w:highlight w:val="none"/>
        </w:rPr>
        <w:t>”中“</w:t>
      </w:r>
      <w:r>
        <w:rPr>
          <w:rFonts w:hint="eastAsia" w:hAnsi="宋体"/>
          <w:color w:val="auto"/>
          <w:spacing w:val="-4"/>
          <w:sz w:val="22"/>
          <w:szCs w:val="22"/>
          <w:highlight w:val="none"/>
        </w:rPr>
        <w:t>道路清扫保洁服务</w:t>
      </w:r>
      <w:r>
        <w:rPr>
          <w:rFonts w:ascii="宋体" w:hAnsi="宋体"/>
          <w:color w:val="auto"/>
          <w:spacing w:val="-4"/>
          <w:sz w:val="22"/>
          <w:szCs w:val="22"/>
          <w:highlight w:val="none"/>
        </w:rPr>
        <w:t>”</w:t>
      </w:r>
      <w:r>
        <w:rPr>
          <w:rFonts w:hint="eastAsia" w:ascii="宋体" w:hAnsi="宋体"/>
          <w:color w:val="auto"/>
          <w:spacing w:val="-4"/>
          <w:sz w:val="22"/>
          <w:szCs w:val="22"/>
          <w:highlight w:val="none"/>
        </w:rPr>
        <w:t>投标报价相一致。</w:t>
      </w:r>
    </w:p>
    <w:p>
      <w:pPr>
        <w:tabs>
          <w:tab w:val="left" w:pos="900"/>
        </w:tabs>
        <w:spacing w:line="300" w:lineRule="exact"/>
        <w:rPr>
          <w:rFonts w:hint="eastAsia" w:ascii="宋体" w:hAnsi="宋体"/>
          <w:color w:val="auto"/>
          <w:sz w:val="22"/>
          <w:szCs w:val="22"/>
          <w:highlight w:val="none"/>
        </w:rPr>
      </w:pPr>
      <w:r>
        <w:rPr>
          <w:rFonts w:hint="eastAsia" w:ascii="宋体" w:hAnsi="宋体"/>
          <w:color w:val="auto"/>
          <w:sz w:val="22"/>
          <w:szCs w:val="22"/>
          <w:highlight w:val="none"/>
        </w:rPr>
        <w:t>3)</w:t>
      </w:r>
      <w:r>
        <w:rPr>
          <w:rFonts w:hint="eastAsia" w:ascii="宋体" w:hAnsi="宋体"/>
          <w:b/>
          <w:bCs/>
          <w:color w:val="auto"/>
          <w:sz w:val="22"/>
          <w:szCs w:val="22"/>
          <w:highlight w:val="none"/>
        </w:rPr>
        <w:t xml:space="preserve"> ▲</w:t>
      </w:r>
      <w:r>
        <w:rPr>
          <w:rFonts w:hint="eastAsia" w:ascii="宋体" w:hAnsi="宋体"/>
          <w:color w:val="auto"/>
          <w:sz w:val="22"/>
          <w:szCs w:val="22"/>
          <w:highlight w:val="none"/>
          <w:u w:val="single"/>
        </w:rPr>
        <w:t>不提供此表的报价，视为没有实质性响应招标文件要求</w:t>
      </w:r>
      <w:r>
        <w:rPr>
          <w:rFonts w:hint="eastAsia" w:ascii="宋体" w:hAnsi="宋体"/>
          <w:color w:val="auto"/>
          <w:sz w:val="22"/>
          <w:szCs w:val="22"/>
          <w:highlight w:val="none"/>
        </w:rPr>
        <w:t>。</w:t>
      </w:r>
    </w:p>
    <w:p>
      <w:pPr>
        <w:tabs>
          <w:tab w:val="left" w:pos="900"/>
        </w:tabs>
        <w:spacing w:line="300" w:lineRule="exact"/>
        <w:rPr>
          <w:rFonts w:hint="eastAsia" w:ascii="宋体" w:hAnsi="宋体"/>
          <w:color w:val="auto"/>
          <w:sz w:val="22"/>
          <w:szCs w:val="22"/>
          <w:highlight w:val="none"/>
        </w:rPr>
      </w:pPr>
      <w:r>
        <w:rPr>
          <w:rFonts w:hint="eastAsia" w:ascii="宋体" w:hAnsi="宋体"/>
          <w:color w:val="auto"/>
          <w:sz w:val="22"/>
          <w:szCs w:val="22"/>
          <w:highlight w:val="none"/>
        </w:rPr>
        <w:t>4）此报价表中的“人工费”测算要求测算此次投入人员的总人数的全部费用，不可只计算部分人员费用。</w:t>
      </w:r>
    </w:p>
    <w:p>
      <w:pPr>
        <w:tabs>
          <w:tab w:val="left" w:pos="900"/>
        </w:tabs>
        <w:spacing w:line="300" w:lineRule="exact"/>
        <w:rPr>
          <w:rFonts w:hint="eastAsia" w:ascii="宋体" w:hAnsi="宋体"/>
          <w:color w:val="auto"/>
          <w:sz w:val="22"/>
          <w:szCs w:val="22"/>
          <w:highlight w:val="none"/>
        </w:rPr>
      </w:pPr>
      <w:r>
        <w:rPr>
          <w:rFonts w:hint="eastAsia" w:ascii="宋体" w:hAnsi="宋体"/>
          <w:color w:val="auto"/>
          <w:sz w:val="22"/>
          <w:szCs w:val="22"/>
          <w:highlight w:val="none"/>
        </w:rPr>
        <w:t>5)各项费用如已包含在其它费用中请注明“含”，若免费请注明“免”, 若没有请注明“无”。</w:t>
      </w:r>
    </w:p>
    <w:p>
      <w:pPr>
        <w:tabs>
          <w:tab w:val="left" w:pos="900"/>
        </w:tabs>
        <w:spacing w:line="300" w:lineRule="exact"/>
        <w:rPr>
          <w:rFonts w:hint="eastAsia" w:ascii="宋体" w:hAnsi="宋体"/>
          <w:color w:val="auto"/>
          <w:sz w:val="22"/>
          <w:szCs w:val="22"/>
          <w:highlight w:val="none"/>
        </w:rPr>
      </w:pPr>
      <w:r>
        <w:rPr>
          <w:rFonts w:hint="eastAsia" w:ascii="宋体" w:hAnsi="宋体"/>
          <w:color w:val="auto"/>
          <w:sz w:val="22"/>
          <w:szCs w:val="22"/>
          <w:highlight w:val="none"/>
        </w:rPr>
        <w:t>6）投标人可根据此表格式适当修改/扩充/减少报价项目名称。</w:t>
      </w:r>
    </w:p>
    <w:p>
      <w:pPr>
        <w:spacing w:line="300" w:lineRule="exact"/>
        <w:rPr>
          <w:rFonts w:hint="eastAsia" w:ascii="宋体"/>
          <w:color w:val="auto"/>
          <w:szCs w:val="21"/>
          <w:highlight w:val="none"/>
        </w:rPr>
      </w:pPr>
      <w:r>
        <w:rPr>
          <w:rFonts w:hint="eastAsia" w:ascii="宋体" w:hAnsi="宋体"/>
          <w:color w:val="auto"/>
          <w:sz w:val="22"/>
          <w:szCs w:val="22"/>
          <w:highlight w:val="none"/>
        </w:rPr>
        <w:t>7）</w:t>
      </w:r>
      <w:r>
        <w:rPr>
          <w:rFonts w:hint="eastAsia" w:ascii="宋体"/>
          <w:color w:val="auto"/>
          <w:szCs w:val="21"/>
          <w:highlight w:val="none"/>
        </w:rPr>
        <w:t>本表所列费用为本项目道路清扫保洁部分</w:t>
      </w:r>
      <w:r>
        <w:rPr>
          <w:rFonts w:hint="eastAsia" w:ascii="宋体"/>
          <w:color w:val="auto"/>
          <w:szCs w:val="21"/>
          <w:highlight w:val="none"/>
          <w:lang w:eastAsia="zh-CN"/>
        </w:rPr>
        <w:t>1年</w:t>
      </w:r>
      <w:r>
        <w:rPr>
          <w:rFonts w:hint="eastAsia" w:ascii="宋体"/>
          <w:color w:val="auto"/>
          <w:szCs w:val="21"/>
          <w:highlight w:val="none"/>
        </w:rPr>
        <w:t>的全部费用，未列费用均为综合考虑。</w:t>
      </w:r>
    </w:p>
    <w:p>
      <w:pPr>
        <w:spacing w:line="340" w:lineRule="exact"/>
        <w:ind w:right="880"/>
        <w:jc w:val="center"/>
        <w:rPr>
          <w:rFonts w:hint="eastAsia" w:ascii="宋体" w:hAnsi="宋体" w:cs="宋体"/>
          <w:color w:val="auto"/>
          <w:sz w:val="22"/>
          <w:highlight w:val="none"/>
        </w:rPr>
      </w:pPr>
      <w:r>
        <w:rPr>
          <w:rFonts w:hint="eastAsia" w:ascii="宋体" w:hAnsi="宋体" w:cs="宋体"/>
          <w:color w:val="auto"/>
          <w:sz w:val="22"/>
          <w:highlight w:val="none"/>
        </w:rPr>
        <w:t xml:space="preserve">                                                 </w:t>
      </w:r>
    </w:p>
    <w:p>
      <w:pPr>
        <w:spacing w:line="340" w:lineRule="exact"/>
        <w:ind w:right="880"/>
        <w:jc w:val="center"/>
        <w:rPr>
          <w:rFonts w:hint="eastAsia" w:ascii="宋体" w:hAnsi="宋体" w:cs="宋体"/>
          <w:color w:val="auto"/>
          <w:sz w:val="22"/>
          <w:highlight w:val="none"/>
          <w:lang w:val="en-US" w:eastAsia="zh-CN"/>
        </w:rPr>
      </w:pPr>
      <w:r>
        <w:rPr>
          <w:rFonts w:hint="eastAsia" w:ascii="宋体" w:hAnsi="宋体" w:cs="宋体"/>
          <w:color w:val="auto"/>
          <w:sz w:val="22"/>
          <w:highlight w:val="none"/>
          <w:lang w:val="en-US" w:eastAsia="zh-CN"/>
        </w:rPr>
        <w:t xml:space="preserve">                                                       </w:t>
      </w:r>
    </w:p>
    <w:p>
      <w:pPr>
        <w:spacing w:line="340" w:lineRule="exact"/>
        <w:ind w:left="5922" w:leftChars="2820" w:right="0" w:firstLine="110" w:firstLineChars="50"/>
        <w:jc w:val="left"/>
        <w:rPr>
          <w:rFonts w:hint="eastAsia" w:ascii="宋体" w:hAnsi="宋体" w:cs="宋体"/>
          <w:color w:val="auto"/>
          <w:sz w:val="22"/>
          <w:szCs w:val="22"/>
          <w:highlight w:val="none"/>
        </w:rPr>
      </w:pPr>
      <w:r>
        <w:rPr>
          <w:rFonts w:hint="eastAsia" w:ascii="宋体" w:hAnsi="宋体" w:cs="宋体"/>
          <w:color w:val="auto"/>
          <w:sz w:val="22"/>
          <w:highlight w:val="none"/>
        </w:rPr>
        <w:t>投</w:t>
      </w:r>
      <w:r>
        <w:rPr>
          <w:rFonts w:hint="eastAsia" w:ascii="宋体" w:hAnsi="宋体" w:cs="宋体"/>
          <w:color w:val="auto"/>
          <w:sz w:val="22"/>
          <w:szCs w:val="22"/>
          <w:highlight w:val="none"/>
        </w:rPr>
        <w:t>标人全称（盖章）：</w:t>
      </w:r>
    </w:p>
    <w:p>
      <w:pPr>
        <w:spacing w:line="340" w:lineRule="exact"/>
        <w:ind w:firstLine="6050" w:firstLineChars="2750"/>
        <w:rPr>
          <w:rFonts w:hint="eastAsia" w:ascii="宋体" w:hAnsi="宋体" w:cs="宋体"/>
          <w:color w:val="auto"/>
          <w:sz w:val="22"/>
          <w:szCs w:val="22"/>
          <w:highlight w:val="none"/>
        </w:rPr>
      </w:pPr>
      <w:r>
        <w:rPr>
          <w:rFonts w:hint="eastAsia" w:ascii="宋体" w:hAnsi="宋体" w:cs="宋体"/>
          <w:color w:val="auto"/>
          <w:sz w:val="22"/>
          <w:szCs w:val="22"/>
          <w:highlight w:val="none"/>
        </w:rPr>
        <w:t>法定代表人或授权代表（签名）：</w:t>
      </w:r>
    </w:p>
    <w:p>
      <w:pPr>
        <w:spacing w:line="340" w:lineRule="exact"/>
        <w:ind w:left="5922" w:leftChars="2820" w:firstLine="110" w:firstLineChars="50"/>
        <w:rPr>
          <w:rFonts w:hint="eastAsia" w:ascii="宋体" w:hAnsi="宋体" w:cs="宋体"/>
          <w:color w:val="auto"/>
          <w:sz w:val="22"/>
          <w:szCs w:val="22"/>
          <w:highlight w:val="none"/>
        </w:rPr>
      </w:pPr>
      <w:r>
        <w:rPr>
          <w:rFonts w:hint="eastAsia" w:ascii="宋体" w:hAnsi="宋体" w:cs="宋体"/>
          <w:color w:val="auto"/>
          <w:sz w:val="22"/>
          <w:szCs w:val="22"/>
          <w:highlight w:val="none"/>
        </w:rPr>
        <w:t>日 期：  年  月  日</w:t>
      </w:r>
    </w:p>
    <w:p>
      <w:pPr>
        <w:jc w:val="center"/>
        <w:rPr>
          <w:rFonts w:hint="eastAsia" w:ascii="宋体"/>
          <w:b/>
          <w:color w:val="auto"/>
          <w:sz w:val="36"/>
          <w:szCs w:val="36"/>
          <w:highlight w:val="none"/>
          <w:lang w:val="zh-CN"/>
        </w:rPr>
      </w:pPr>
    </w:p>
    <w:p>
      <w:pPr>
        <w:jc w:val="center"/>
        <w:rPr>
          <w:rFonts w:hint="eastAsia" w:ascii="宋体"/>
          <w:b/>
          <w:color w:val="auto"/>
          <w:sz w:val="36"/>
          <w:szCs w:val="36"/>
          <w:highlight w:val="none"/>
          <w:lang w:val="zh-CN"/>
        </w:rPr>
      </w:pPr>
    </w:p>
    <w:p>
      <w:pPr>
        <w:jc w:val="center"/>
        <w:rPr>
          <w:rFonts w:hint="eastAsia" w:ascii="宋体"/>
          <w:b/>
          <w:color w:val="auto"/>
          <w:sz w:val="36"/>
          <w:szCs w:val="36"/>
          <w:highlight w:val="none"/>
          <w:lang w:val="zh-CN"/>
        </w:rPr>
      </w:pPr>
    </w:p>
    <w:p>
      <w:pPr>
        <w:jc w:val="center"/>
        <w:rPr>
          <w:rFonts w:hint="eastAsia" w:ascii="宋体"/>
          <w:b/>
          <w:color w:val="auto"/>
          <w:sz w:val="36"/>
          <w:szCs w:val="36"/>
          <w:highlight w:val="none"/>
          <w:lang w:val="zh-CN"/>
        </w:rPr>
      </w:pPr>
    </w:p>
    <w:p>
      <w:pPr>
        <w:jc w:val="center"/>
        <w:rPr>
          <w:rFonts w:hint="eastAsia" w:ascii="宋体"/>
          <w:b/>
          <w:color w:val="auto"/>
          <w:sz w:val="36"/>
          <w:szCs w:val="36"/>
          <w:highlight w:val="none"/>
          <w:lang w:val="zh-CN"/>
        </w:rPr>
      </w:pPr>
    </w:p>
    <w:p>
      <w:pPr>
        <w:jc w:val="center"/>
        <w:rPr>
          <w:rFonts w:hint="eastAsia" w:ascii="宋体"/>
          <w:b/>
          <w:color w:val="auto"/>
          <w:sz w:val="36"/>
          <w:szCs w:val="36"/>
          <w:highlight w:val="none"/>
          <w:lang w:val="zh-CN"/>
        </w:rPr>
      </w:pPr>
    </w:p>
    <w:p>
      <w:pPr>
        <w:jc w:val="center"/>
        <w:rPr>
          <w:rFonts w:hint="eastAsia" w:ascii="宋体"/>
          <w:b/>
          <w:color w:val="auto"/>
          <w:sz w:val="36"/>
          <w:szCs w:val="36"/>
          <w:highlight w:val="none"/>
          <w:lang w:val="zh-CN"/>
        </w:rPr>
      </w:pPr>
    </w:p>
    <w:p>
      <w:pPr>
        <w:jc w:val="center"/>
        <w:rPr>
          <w:rFonts w:hint="eastAsia" w:ascii="宋体"/>
          <w:b/>
          <w:color w:val="auto"/>
          <w:sz w:val="36"/>
          <w:szCs w:val="36"/>
          <w:highlight w:val="none"/>
          <w:lang w:val="zh-CN"/>
        </w:rPr>
      </w:pPr>
      <w:r>
        <w:rPr>
          <w:rFonts w:hint="eastAsia" w:ascii="宋体"/>
          <w:b/>
          <w:color w:val="auto"/>
          <w:sz w:val="36"/>
          <w:szCs w:val="36"/>
          <w:highlight w:val="none"/>
          <w:lang w:val="zh-CN"/>
        </w:rPr>
        <w:t>河道保洁服务投标分项报价表(二)</w:t>
      </w:r>
    </w:p>
    <w:p>
      <w:pPr>
        <w:autoSpaceDE w:val="0"/>
        <w:autoSpaceDN w:val="0"/>
        <w:adjustRightInd w:val="0"/>
        <w:spacing w:line="240" w:lineRule="exact"/>
        <w:jc w:val="center"/>
        <w:rPr>
          <w:rFonts w:hint="eastAsia" w:ascii="宋体"/>
          <w:b/>
          <w:color w:val="auto"/>
          <w:sz w:val="36"/>
          <w:szCs w:val="36"/>
          <w:highlight w:val="none"/>
          <w:lang w:val="zh-CN"/>
        </w:rPr>
      </w:pPr>
    </w:p>
    <w:p>
      <w:pPr>
        <w:rPr>
          <w:rFonts w:hint="eastAsia" w:ascii="宋体"/>
          <w:color w:val="auto"/>
          <w:sz w:val="22"/>
          <w:szCs w:val="22"/>
          <w:highlight w:val="none"/>
        </w:rPr>
      </w:pPr>
      <w:r>
        <w:rPr>
          <w:rFonts w:hint="eastAsia" w:ascii="宋体"/>
          <w:color w:val="auto"/>
          <w:sz w:val="22"/>
          <w:szCs w:val="22"/>
          <w:highlight w:val="none"/>
        </w:rPr>
        <w:t>项目名称：                        采购编号：           （价格单位：元）</w:t>
      </w:r>
    </w:p>
    <w:tbl>
      <w:tblPr>
        <w:tblStyle w:val="28"/>
        <w:tblW w:w="9578" w:type="dxa"/>
        <w:tblInd w:w="-4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06"/>
        <w:gridCol w:w="1103"/>
        <w:gridCol w:w="2668"/>
        <w:gridCol w:w="1577"/>
        <w:gridCol w:w="1577"/>
        <w:gridCol w:w="194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6" w:type="dxa"/>
            <w:noWrap w:val="0"/>
            <w:vAlign w:val="center"/>
          </w:tcPr>
          <w:p>
            <w:pPr>
              <w:jc w:val="center"/>
              <w:rPr>
                <w:rFonts w:hint="eastAsia" w:ascii="宋体"/>
                <w:color w:val="auto"/>
                <w:sz w:val="22"/>
                <w:szCs w:val="22"/>
                <w:highlight w:val="none"/>
              </w:rPr>
            </w:pPr>
            <w:r>
              <w:rPr>
                <w:rFonts w:hint="eastAsia" w:ascii="宋体"/>
                <w:color w:val="auto"/>
                <w:sz w:val="22"/>
                <w:szCs w:val="22"/>
                <w:highlight w:val="none"/>
              </w:rPr>
              <w:t>序号</w:t>
            </w:r>
          </w:p>
        </w:tc>
        <w:tc>
          <w:tcPr>
            <w:tcW w:w="3771" w:type="dxa"/>
            <w:gridSpan w:val="2"/>
            <w:noWrap w:val="0"/>
            <w:vAlign w:val="center"/>
          </w:tcPr>
          <w:p>
            <w:pPr>
              <w:jc w:val="center"/>
              <w:rPr>
                <w:rFonts w:ascii="宋体"/>
                <w:color w:val="auto"/>
                <w:sz w:val="22"/>
                <w:szCs w:val="22"/>
                <w:highlight w:val="none"/>
              </w:rPr>
            </w:pPr>
            <w:r>
              <w:rPr>
                <w:rFonts w:hint="eastAsia" w:ascii="宋体"/>
                <w:color w:val="auto"/>
                <w:sz w:val="22"/>
                <w:szCs w:val="22"/>
                <w:highlight w:val="none"/>
              </w:rPr>
              <w:t>项</w:t>
            </w:r>
            <w:r>
              <w:rPr>
                <w:rFonts w:ascii="宋体"/>
                <w:color w:val="auto"/>
                <w:sz w:val="22"/>
                <w:szCs w:val="22"/>
                <w:highlight w:val="none"/>
              </w:rPr>
              <w:t xml:space="preserve">     </w:t>
            </w:r>
            <w:r>
              <w:rPr>
                <w:rFonts w:hint="eastAsia" w:ascii="宋体"/>
                <w:color w:val="auto"/>
                <w:sz w:val="22"/>
                <w:szCs w:val="22"/>
                <w:highlight w:val="none"/>
              </w:rPr>
              <w:t>目</w:t>
            </w:r>
          </w:p>
        </w:tc>
        <w:tc>
          <w:tcPr>
            <w:tcW w:w="1577" w:type="dxa"/>
            <w:noWrap w:val="0"/>
            <w:vAlign w:val="center"/>
          </w:tcPr>
          <w:p>
            <w:pPr>
              <w:jc w:val="center"/>
              <w:rPr>
                <w:rFonts w:ascii="宋体"/>
                <w:color w:val="auto"/>
                <w:spacing w:val="-20"/>
                <w:sz w:val="22"/>
                <w:szCs w:val="22"/>
                <w:highlight w:val="none"/>
              </w:rPr>
            </w:pPr>
            <w:r>
              <w:rPr>
                <w:rFonts w:hint="eastAsia" w:ascii="宋体"/>
                <w:color w:val="auto"/>
                <w:spacing w:val="-20"/>
                <w:sz w:val="22"/>
                <w:szCs w:val="22"/>
                <w:highlight w:val="none"/>
              </w:rPr>
              <w:t>月支出</w:t>
            </w:r>
          </w:p>
        </w:tc>
        <w:tc>
          <w:tcPr>
            <w:tcW w:w="1577" w:type="dxa"/>
            <w:noWrap w:val="0"/>
            <w:vAlign w:val="center"/>
          </w:tcPr>
          <w:p>
            <w:pPr>
              <w:jc w:val="center"/>
              <w:rPr>
                <w:rFonts w:ascii="宋体"/>
                <w:color w:val="auto"/>
                <w:sz w:val="22"/>
                <w:szCs w:val="22"/>
                <w:highlight w:val="none"/>
              </w:rPr>
            </w:pPr>
            <w:r>
              <w:rPr>
                <w:rFonts w:hint="eastAsia" w:ascii="宋体"/>
                <w:color w:val="auto"/>
                <w:sz w:val="22"/>
                <w:szCs w:val="22"/>
                <w:highlight w:val="none"/>
              </w:rPr>
              <w:t>年支出</w:t>
            </w:r>
          </w:p>
        </w:tc>
        <w:tc>
          <w:tcPr>
            <w:tcW w:w="1947" w:type="dxa"/>
            <w:noWrap w:val="0"/>
            <w:vAlign w:val="center"/>
          </w:tcPr>
          <w:p>
            <w:pPr>
              <w:jc w:val="center"/>
              <w:rPr>
                <w:rFonts w:ascii="宋体"/>
                <w:color w:val="auto"/>
                <w:sz w:val="22"/>
                <w:szCs w:val="22"/>
                <w:highlight w:val="none"/>
              </w:rPr>
            </w:pPr>
            <w:r>
              <w:rPr>
                <w:rFonts w:hint="eastAsia" w:ascii="宋体"/>
                <w:color w:val="auto"/>
                <w:sz w:val="22"/>
                <w:szCs w:val="22"/>
                <w:highlight w:val="none"/>
              </w:rPr>
              <w:t>说</w:t>
            </w:r>
            <w:r>
              <w:rPr>
                <w:rFonts w:ascii="宋体"/>
                <w:color w:val="auto"/>
                <w:sz w:val="22"/>
                <w:szCs w:val="22"/>
                <w:highlight w:val="none"/>
              </w:rPr>
              <w:t xml:space="preserve">  </w:t>
            </w:r>
            <w:r>
              <w:rPr>
                <w:rFonts w:hint="eastAsia" w:ascii="宋体"/>
                <w:color w:val="auto"/>
                <w:sz w:val="22"/>
                <w:szCs w:val="22"/>
                <w:highlight w:val="none"/>
              </w:rPr>
              <w:t>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restart"/>
            <w:noWrap w:val="0"/>
            <w:vAlign w:val="center"/>
          </w:tcPr>
          <w:p>
            <w:pPr>
              <w:spacing w:line="240" w:lineRule="auto"/>
              <w:jc w:val="center"/>
              <w:rPr>
                <w:rFonts w:hint="eastAsia" w:ascii="宋体"/>
                <w:bCs/>
                <w:color w:val="auto"/>
                <w:sz w:val="22"/>
                <w:szCs w:val="22"/>
                <w:highlight w:val="none"/>
              </w:rPr>
            </w:pPr>
            <w:r>
              <w:rPr>
                <w:rFonts w:hint="eastAsia" w:ascii="宋体"/>
                <w:bCs/>
                <w:color w:val="auto"/>
                <w:sz w:val="22"/>
                <w:szCs w:val="22"/>
                <w:highlight w:val="none"/>
              </w:rPr>
              <w:t>1</w:t>
            </w:r>
          </w:p>
        </w:tc>
        <w:tc>
          <w:tcPr>
            <w:tcW w:w="1103" w:type="dxa"/>
            <w:vMerge w:val="restart"/>
            <w:noWrap w:val="0"/>
            <w:vAlign w:val="center"/>
          </w:tcPr>
          <w:p>
            <w:pPr>
              <w:spacing w:line="240" w:lineRule="auto"/>
              <w:jc w:val="center"/>
              <w:rPr>
                <w:rFonts w:ascii="宋体"/>
                <w:bCs/>
                <w:color w:val="auto"/>
                <w:sz w:val="22"/>
                <w:szCs w:val="22"/>
                <w:highlight w:val="none"/>
              </w:rPr>
            </w:pPr>
            <w:r>
              <w:rPr>
                <w:rFonts w:hint="eastAsia" w:ascii="宋体"/>
                <w:bCs/>
                <w:color w:val="auto"/>
                <w:sz w:val="22"/>
                <w:szCs w:val="22"/>
                <w:highlight w:val="none"/>
              </w:rPr>
              <w:t>固定资产折旧</w:t>
            </w:r>
          </w:p>
        </w:tc>
        <w:tc>
          <w:tcPr>
            <w:tcW w:w="2668" w:type="dxa"/>
            <w:noWrap w:val="0"/>
            <w:vAlign w:val="center"/>
          </w:tcPr>
          <w:p>
            <w:pPr>
              <w:spacing w:line="240" w:lineRule="auto"/>
              <w:jc w:val="both"/>
              <w:rPr>
                <w:rFonts w:hint="eastAsia" w:ascii="宋体"/>
                <w:color w:val="auto"/>
                <w:sz w:val="22"/>
                <w:szCs w:val="22"/>
                <w:highlight w:val="none"/>
              </w:rPr>
            </w:pPr>
            <w:r>
              <w:rPr>
                <w:rFonts w:hint="eastAsia" w:ascii="宋体"/>
                <w:color w:val="auto"/>
                <w:sz w:val="22"/>
                <w:szCs w:val="22"/>
                <w:highlight w:val="none"/>
              </w:rPr>
              <w:t>1、机械折旧</w:t>
            </w:r>
          </w:p>
        </w:tc>
        <w:tc>
          <w:tcPr>
            <w:tcW w:w="1577" w:type="dxa"/>
            <w:noWrap w:val="0"/>
            <w:vAlign w:val="center"/>
          </w:tcPr>
          <w:p>
            <w:pPr>
              <w:spacing w:line="360" w:lineRule="auto"/>
              <w:jc w:val="center"/>
              <w:rPr>
                <w:rFonts w:ascii="宋体"/>
                <w:bCs/>
                <w:color w:val="auto"/>
                <w:sz w:val="22"/>
                <w:szCs w:val="22"/>
                <w:highlight w:val="none"/>
              </w:rPr>
            </w:pPr>
          </w:p>
        </w:tc>
        <w:tc>
          <w:tcPr>
            <w:tcW w:w="1577" w:type="dxa"/>
            <w:noWrap w:val="0"/>
            <w:vAlign w:val="center"/>
          </w:tcPr>
          <w:p>
            <w:pPr>
              <w:spacing w:line="360" w:lineRule="auto"/>
              <w:jc w:val="center"/>
              <w:rPr>
                <w:rFonts w:ascii="宋体"/>
                <w:color w:val="auto"/>
                <w:sz w:val="22"/>
                <w:szCs w:val="22"/>
                <w:highlight w:val="none"/>
              </w:rPr>
            </w:pPr>
          </w:p>
        </w:tc>
        <w:tc>
          <w:tcPr>
            <w:tcW w:w="1947" w:type="dxa"/>
            <w:noWrap w:val="0"/>
            <w:vAlign w:val="center"/>
          </w:tcPr>
          <w:p>
            <w:pPr>
              <w:spacing w:line="360" w:lineRule="auto"/>
              <w:jc w:val="center"/>
              <w:rPr>
                <w:rFonts w:ascii="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hint="eastAsia" w:ascii="宋体"/>
                <w:bCs/>
                <w:color w:val="auto"/>
                <w:sz w:val="22"/>
                <w:szCs w:val="22"/>
                <w:highlight w:val="none"/>
              </w:rPr>
            </w:pPr>
          </w:p>
        </w:tc>
        <w:tc>
          <w:tcPr>
            <w:tcW w:w="1103" w:type="dxa"/>
            <w:vMerge w:val="continue"/>
            <w:noWrap w:val="0"/>
            <w:vAlign w:val="center"/>
          </w:tcPr>
          <w:p>
            <w:pPr>
              <w:spacing w:line="240" w:lineRule="auto"/>
              <w:jc w:val="center"/>
              <w:rPr>
                <w:rFonts w:hint="eastAsia" w:ascii="宋体"/>
                <w:bCs/>
                <w:color w:val="auto"/>
                <w:sz w:val="22"/>
                <w:szCs w:val="22"/>
                <w:highlight w:val="none"/>
              </w:rPr>
            </w:pPr>
          </w:p>
        </w:tc>
        <w:tc>
          <w:tcPr>
            <w:tcW w:w="2668" w:type="dxa"/>
            <w:noWrap w:val="0"/>
            <w:vAlign w:val="center"/>
          </w:tcPr>
          <w:p>
            <w:pPr>
              <w:spacing w:line="240" w:lineRule="auto"/>
              <w:rPr>
                <w:rFonts w:ascii="宋体"/>
                <w:color w:val="auto"/>
                <w:sz w:val="22"/>
                <w:szCs w:val="22"/>
                <w:highlight w:val="none"/>
              </w:rPr>
            </w:pPr>
            <w:r>
              <w:rPr>
                <w:rFonts w:ascii="宋体"/>
                <w:color w:val="auto"/>
                <w:sz w:val="22"/>
                <w:szCs w:val="22"/>
                <w:highlight w:val="none"/>
              </w:rPr>
              <w:t>(1)</w:t>
            </w:r>
            <w:r>
              <w:rPr>
                <w:rFonts w:hint="eastAsia" w:ascii="新宋体" w:hAnsi="新宋体" w:eastAsia="新宋体"/>
                <w:color w:val="auto"/>
                <w:sz w:val="22"/>
                <w:szCs w:val="22"/>
                <w:highlight w:val="none"/>
              </w:rPr>
              <w:t xml:space="preserve"> </w:t>
            </w:r>
            <w:r>
              <w:rPr>
                <w:rFonts w:hint="eastAsia" w:ascii="新宋体" w:hAnsi="新宋体" w:eastAsia="新宋体"/>
                <w:color w:val="auto"/>
                <w:sz w:val="22"/>
                <w:highlight w:val="none"/>
              </w:rPr>
              <w:t>人力船或动力船</w:t>
            </w:r>
          </w:p>
        </w:tc>
        <w:tc>
          <w:tcPr>
            <w:tcW w:w="1577" w:type="dxa"/>
            <w:noWrap w:val="0"/>
            <w:vAlign w:val="center"/>
          </w:tcPr>
          <w:p>
            <w:pPr>
              <w:spacing w:line="360" w:lineRule="auto"/>
              <w:jc w:val="center"/>
              <w:rPr>
                <w:rFonts w:ascii="宋体"/>
                <w:bCs/>
                <w:color w:val="auto"/>
                <w:sz w:val="22"/>
                <w:szCs w:val="22"/>
                <w:highlight w:val="none"/>
              </w:rPr>
            </w:pPr>
          </w:p>
        </w:tc>
        <w:tc>
          <w:tcPr>
            <w:tcW w:w="1577" w:type="dxa"/>
            <w:noWrap w:val="0"/>
            <w:vAlign w:val="center"/>
          </w:tcPr>
          <w:p>
            <w:pPr>
              <w:spacing w:line="360" w:lineRule="auto"/>
              <w:jc w:val="center"/>
              <w:rPr>
                <w:rFonts w:ascii="宋体"/>
                <w:color w:val="auto"/>
                <w:sz w:val="22"/>
                <w:szCs w:val="22"/>
                <w:highlight w:val="none"/>
              </w:rPr>
            </w:pPr>
          </w:p>
        </w:tc>
        <w:tc>
          <w:tcPr>
            <w:tcW w:w="1947" w:type="dxa"/>
            <w:noWrap w:val="0"/>
            <w:vAlign w:val="center"/>
          </w:tcPr>
          <w:p>
            <w:pPr>
              <w:spacing w:line="360" w:lineRule="auto"/>
              <w:jc w:val="center"/>
              <w:rPr>
                <w:rFonts w:hint="eastAsia" w:ascii="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hint="eastAsia" w:ascii="宋体"/>
                <w:color w:val="auto"/>
                <w:sz w:val="22"/>
                <w:szCs w:val="22"/>
                <w:highlight w:val="none"/>
              </w:rPr>
            </w:pPr>
            <w:r>
              <w:rPr>
                <w:rFonts w:ascii="新宋体" w:hAnsi="新宋体" w:eastAsia="新宋体"/>
                <w:color w:val="auto"/>
                <w:sz w:val="22"/>
                <w:szCs w:val="22"/>
                <w:highlight w:val="none"/>
              </w:rPr>
              <w:t>……</w:t>
            </w:r>
          </w:p>
        </w:tc>
        <w:tc>
          <w:tcPr>
            <w:tcW w:w="1577" w:type="dxa"/>
            <w:noWrap w:val="0"/>
            <w:vAlign w:val="center"/>
          </w:tcPr>
          <w:p>
            <w:pPr>
              <w:spacing w:line="360" w:lineRule="auto"/>
              <w:jc w:val="center"/>
              <w:rPr>
                <w:rFonts w:ascii="宋体"/>
                <w:color w:val="auto"/>
                <w:sz w:val="22"/>
                <w:szCs w:val="22"/>
                <w:highlight w:val="none"/>
              </w:rPr>
            </w:pPr>
          </w:p>
        </w:tc>
        <w:tc>
          <w:tcPr>
            <w:tcW w:w="1577" w:type="dxa"/>
            <w:noWrap w:val="0"/>
            <w:vAlign w:val="center"/>
          </w:tcPr>
          <w:p>
            <w:pPr>
              <w:spacing w:line="360" w:lineRule="auto"/>
              <w:jc w:val="center"/>
              <w:rPr>
                <w:rFonts w:ascii="宋体"/>
                <w:color w:val="auto"/>
                <w:sz w:val="22"/>
                <w:szCs w:val="22"/>
                <w:highlight w:val="none"/>
              </w:rPr>
            </w:pPr>
          </w:p>
        </w:tc>
        <w:tc>
          <w:tcPr>
            <w:tcW w:w="1947" w:type="dxa"/>
            <w:noWrap w:val="0"/>
            <w:vAlign w:val="center"/>
          </w:tcPr>
          <w:p>
            <w:pPr>
              <w:spacing w:line="360" w:lineRule="auto"/>
              <w:jc w:val="center"/>
              <w:rPr>
                <w:rFonts w:hint="eastAsia" w:ascii="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restart"/>
            <w:noWrap w:val="0"/>
            <w:vAlign w:val="center"/>
          </w:tcPr>
          <w:p>
            <w:pPr>
              <w:spacing w:line="240" w:lineRule="auto"/>
              <w:jc w:val="center"/>
              <w:rPr>
                <w:rFonts w:hint="eastAsia" w:ascii="宋体"/>
                <w:bCs/>
                <w:color w:val="auto"/>
                <w:sz w:val="22"/>
                <w:szCs w:val="22"/>
                <w:highlight w:val="none"/>
              </w:rPr>
            </w:pPr>
            <w:r>
              <w:rPr>
                <w:rFonts w:hint="eastAsia" w:ascii="宋体"/>
                <w:bCs/>
                <w:color w:val="auto"/>
                <w:sz w:val="22"/>
                <w:szCs w:val="22"/>
                <w:highlight w:val="none"/>
              </w:rPr>
              <w:t xml:space="preserve">2         </w:t>
            </w:r>
          </w:p>
        </w:tc>
        <w:tc>
          <w:tcPr>
            <w:tcW w:w="1103" w:type="dxa"/>
            <w:vMerge w:val="restart"/>
            <w:noWrap w:val="0"/>
            <w:vAlign w:val="center"/>
          </w:tcPr>
          <w:p>
            <w:pPr>
              <w:spacing w:line="240" w:lineRule="auto"/>
              <w:rPr>
                <w:rFonts w:ascii="宋体"/>
                <w:bCs/>
                <w:color w:val="auto"/>
                <w:sz w:val="22"/>
                <w:szCs w:val="22"/>
                <w:highlight w:val="none"/>
              </w:rPr>
            </w:pPr>
            <w:r>
              <w:rPr>
                <w:rFonts w:hint="eastAsia" w:ascii="宋体"/>
                <w:color w:val="auto"/>
                <w:sz w:val="22"/>
                <w:szCs w:val="22"/>
                <w:highlight w:val="none"/>
              </w:rPr>
              <w:t>河道保洁营业费用</w:t>
            </w:r>
          </w:p>
        </w:tc>
        <w:tc>
          <w:tcPr>
            <w:tcW w:w="2668" w:type="dxa"/>
            <w:noWrap w:val="0"/>
            <w:vAlign w:val="center"/>
          </w:tcPr>
          <w:p>
            <w:pPr>
              <w:spacing w:line="240" w:lineRule="auto"/>
              <w:jc w:val="both"/>
              <w:rPr>
                <w:rFonts w:ascii="宋体"/>
                <w:color w:val="auto"/>
                <w:sz w:val="22"/>
                <w:szCs w:val="22"/>
                <w:highlight w:val="none"/>
              </w:rPr>
            </w:pPr>
            <w:r>
              <w:rPr>
                <w:rFonts w:hint="eastAsia" w:ascii="宋体"/>
                <w:color w:val="auto"/>
                <w:sz w:val="22"/>
                <w:szCs w:val="22"/>
                <w:highlight w:val="none"/>
              </w:rPr>
              <w:t>2、人员工资</w:t>
            </w:r>
          </w:p>
        </w:tc>
        <w:tc>
          <w:tcPr>
            <w:tcW w:w="1577" w:type="dxa"/>
            <w:noWrap w:val="0"/>
            <w:vAlign w:val="center"/>
          </w:tcPr>
          <w:p>
            <w:pPr>
              <w:spacing w:line="360" w:lineRule="auto"/>
              <w:jc w:val="center"/>
              <w:rPr>
                <w:rFonts w:ascii="宋体"/>
                <w:bCs/>
                <w:color w:val="auto"/>
                <w:sz w:val="22"/>
                <w:szCs w:val="22"/>
                <w:highlight w:val="none"/>
              </w:rPr>
            </w:pPr>
          </w:p>
        </w:tc>
        <w:tc>
          <w:tcPr>
            <w:tcW w:w="1577" w:type="dxa"/>
            <w:noWrap w:val="0"/>
            <w:vAlign w:val="center"/>
          </w:tcPr>
          <w:p>
            <w:pPr>
              <w:spacing w:line="360" w:lineRule="auto"/>
              <w:jc w:val="center"/>
              <w:rPr>
                <w:rFonts w:ascii="宋体"/>
                <w:color w:val="auto"/>
                <w:spacing w:val="-20"/>
                <w:sz w:val="22"/>
                <w:szCs w:val="22"/>
                <w:highlight w:val="none"/>
              </w:rPr>
            </w:pPr>
          </w:p>
        </w:tc>
        <w:tc>
          <w:tcPr>
            <w:tcW w:w="1947" w:type="dxa"/>
            <w:noWrap w:val="0"/>
            <w:vAlign w:val="center"/>
          </w:tcPr>
          <w:p>
            <w:pPr>
              <w:spacing w:line="360" w:lineRule="auto"/>
              <w:jc w:val="center"/>
              <w:rPr>
                <w:rFonts w:ascii="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ascii="宋体"/>
                <w:color w:val="auto"/>
                <w:sz w:val="22"/>
                <w:szCs w:val="22"/>
                <w:highlight w:val="none"/>
              </w:rPr>
            </w:pPr>
            <w:r>
              <w:rPr>
                <w:rFonts w:ascii="宋体"/>
                <w:color w:val="auto"/>
                <w:sz w:val="22"/>
                <w:szCs w:val="22"/>
                <w:highlight w:val="none"/>
              </w:rPr>
              <w:t>(1)</w:t>
            </w:r>
            <w:r>
              <w:rPr>
                <w:rFonts w:hint="eastAsia" w:ascii="宋体"/>
                <w:color w:val="auto"/>
                <w:sz w:val="22"/>
                <w:szCs w:val="22"/>
                <w:highlight w:val="none"/>
              </w:rPr>
              <w:t>管理员</w:t>
            </w:r>
          </w:p>
        </w:tc>
        <w:tc>
          <w:tcPr>
            <w:tcW w:w="1577" w:type="dxa"/>
            <w:noWrap w:val="0"/>
            <w:vAlign w:val="center"/>
          </w:tcPr>
          <w:p>
            <w:pPr>
              <w:spacing w:line="240" w:lineRule="auto"/>
              <w:jc w:val="center"/>
              <w:rPr>
                <w:rFonts w:ascii="宋体"/>
                <w:color w:val="auto"/>
                <w:sz w:val="22"/>
                <w:szCs w:val="22"/>
                <w:highlight w:val="none"/>
              </w:rPr>
            </w:pPr>
          </w:p>
        </w:tc>
        <w:tc>
          <w:tcPr>
            <w:tcW w:w="1577" w:type="dxa"/>
            <w:noWrap w:val="0"/>
            <w:vAlign w:val="center"/>
          </w:tcPr>
          <w:p>
            <w:pPr>
              <w:spacing w:line="240" w:lineRule="auto"/>
              <w:jc w:val="center"/>
              <w:rPr>
                <w:rFonts w:ascii="宋体"/>
                <w:color w:val="auto"/>
                <w:spacing w:val="-20"/>
                <w:sz w:val="22"/>
                <w:szCs w:val="22"/>
                <w:highlight w:val="none"/>
              </w:rPr>
            </w:pPr>
          </w:p>
        </w:tc>
        <w:tc>
          <w:tcPr>
            <w:tcW w:w="1947" w:type="dxa"/>
            <w:noWrap w:val="0"/>
            <w:vAlign w:val="center"/>
          </w:tcPr>
          <w:p>
            <w:pPr>
              <w:spacing w:line="240" w:lineRule="auto"/>
              <w:jc w:val="center"/>
              <w:rPr>
                <w:rFonts w:ascii="宋体"/>
                <w:color w:val="auto"/>
                <w:sz w:val="22"/>
                <w:szCs w:val="22"/>
                <w:highlight w:val="none"/>
              </w:rPr>
            </w:pPr>
            <w:r>
              <w:rPr>
                <w:rFonts w:ascii="宋体"/>
                <w:color w:val="auto"/>
                <w:sz w:val="22"/>
                <w:szCs w:val="22"/>
                <w:highlight w:val="none"/>
              </w:rPr>
              <w:t>(</w:t>
            </w:r>
            <w:r>
              <w:rPr>
                <w:rFonts w:hint="eastAsia" w:ascii="宋体"/>
                <w:color w:val="auto"/>
                <w:sz w:val="22"/>
                <w:szCs w:val="22"/>
                <w:highlight w:val="none"/>
              </w:rPr>
              <w:t>人数</w:t>
            </w:r>
            <w:r>
              <w:rPr>
                <w:rFonts w:ascii="宋体"/>
                <w:color w:val="auto"/>
                <w:sz w:val="22"/>
                <w:szCs w:val="22"/>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ascii="宋体"/>
                <w:color w:val="auto"/>
                <w:sz w:val="22"/>
                <w:szCs w:val="22"/>
                <w:highlight w:val="none"/>
              </w:rPr>
            </w:pPr>
            <w:r>
              <w:rPr>
                <w:rFonts w:ascii="宋体"/>
                <w:color w:val="auto"/>
                <w:sz w:val="22"/>
                <w:szCs w:val="22"/>
                <w:highlight w:val="none"/>
              </w:rPr>
              <w:t>(</w:t>
            </w:r>
            <w:r>
              <w:rPr>
                <w:rFonts w:hint="eastAsia" w:ascii="宋体"/>
                <w:color w:val="auto"/>
                <w:sz w:val="22"/>
                <w:szCs w:val="22"/>
                <w:highlight w:val="none"/>
                <w:lang w:val="en-US" w:eastAsia="zh-CN"/>
              </w:rPr>
              <w:t>2</w:t>
            </w:r>
            <w:r>
              <w:rPr>
                <w:rFonts w:ascii="宋体"/>
                <w:color w:val="auto"/>
                <w:sz w:val="22"/>
                <w:szCs w:val="22"/>
                <w:highlight w:val="none"/>
              </w:rPr>
              <w:t>)</w:t>
            </w:r>
            <w:r>
              <w:rPr>
                <w:rFonts w:hint="eastAsia" w:ascii="宋体"/>
                <w:color w:val="auto"/>
                <w:sz w:val="22"/>
                <w:szCs w:val="22"/>
                <w:highlight w:val="none"/>
              </w:rPr>
              <w:t>驾驶员</w:t>
            </w:r>
          </w:p>
        </w:tc>
        <w:tc>
          <w:tcPr>
            <w:tcW w:w="1577" w:type="dxa"/>
            <w:noWrap w:val="0"/>
            <w:vAlign w:val="center"/>
          </w:tcPr>
          <w:p>
            <w:pPr>
              <w:spacing w:line="240" w:lineRule="auto"/>
              <w:jc w:val="center"/>
              <w:rPr>
                <w:rFonts w:ascii="宋体"/>
                <w:color w:val="auto"/>
                <w:sz w:val="22"/>
                <w:szCs w:val="22"/>
                <w:highlight w:val="none"/>
              </w:rPr>
            </w:pPr>
          </w:p>
        </w:tc>
        <w:tc>
          <w:tcPr>
            <w:tcW w:w="1577" w:type="dxa"/>
            <w:noWrap w:val="0"/>
            <w:vAlign w:val="center"/>
          </w:tcPr>
          <w:p>
            <w:pPr>
              <w:spacing w:line="240" w:lineRule="auto"/>
              <w:jc w:val="center"/>
              <w:rPr>
                <w:rFonts w:ascii="宋体"/>
                <w:color w:val="auto"/>
                <w:spacing w:val="-20"/>
                <w:sz w:val="22"/>
                <w:szCs w:val="22"/>
                <w:highlight w:val="none"/>
              </w:rPr>
            </w:pPr>
          </w:p>
        </w:tc>
        <w:tc>
          <w:tcPr>
            <w:tcW w:w="1947" w:type="dxa"/>
            <w:noWrap w:val="0"/>
            <w:vAlign w:val="center"/>
          </w:tcPr>
          <w:p>
            <w:pPr>
              <w:spacing w:line="240" w:lineRule="auto"/>
              <w:jc w:val="center"/>
              <w:rPr>
                <w:rFonts w:ascii="宋体"/>
                <w:color w:val="auto"/>
                <w:sz w:val="22"/>
                <w:szCs w:val="22"/>
                <w:highlight w:val="none"/>
              </w:rPr>
            </w:pPr>
            <w:r>
              <w:rPr>
                <w:rFonts w:ascii="宋体"/>
                <w:color w:val="auto"/>
                <w:sz w:val="22"/>
                <w:szCs w:val="22"/>
                <w:highlight w:val="none"/>
              </w:rPr>
              <w:t>(</w:t>
            </w:r>
            <w:r>
              <w:rPr>
                <w:rFonts w:hint="eastAsia" w:ascii="宋体"/>
                <w:color w:val="auto"/>
                <w:sz w:val="22"/>
                <w:szCs w:val="22"/>
                <w:highlight w:val="none"/>
              </w:rPr>
              <w:t>人数</w:t>
            </w:r>
            <w:r>
              <w:rPr>
                <w:rFonts w:ascii="宋体"/>
                <w:color w:val="auto"/>
                <w:sz w:val="22"/>
                <w:szCs w:val="22"/>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ascii="宋体"/>
                <w:color w:val="auto"/>
                <w:sz w:val="22"/>
                <w:szCs w:val="22"/>
                <w:highlight w:val="none"/>
              </w:rPr>
            </w:pPr>
            <w:r>
              <w:rPr>
                <w:rFonts w:ascii="宋体"/>
                <w:color w:val="auto"/>
                <w:sz w:val="22"/>
                <w:szCs w:val="22"/>
                <w:highlight w:val="none"/>
              </w:rPr>
              <w:t>(</w:t>
            </w:r>
            <w:r>
              <w:rPr>
                <w:rFonts w:hint="eastAsia" w:ascii="宋体"/>
                <w:color w:val="auto"/>
                <w:sz w:val="22"/>
                <w:szCs w:val="22"/>
                <w:highlight w:val="none"/>
                <w:lang w:val="en-US" w:eastAsia="zh-CN"/>
              </w:rPr>
              <w:t>3</w:t>
            </w:r>
            <w:r>
              <w:rPr>
                <w:rFonts w:ascii="宋体"/>
                <w:color w:val="auto"/>
                <w:sz w:val="22"/>
                <w:szCs w:val="22"/>
                <w:highlight w:val="none"/>
              </w:rPr>
              <w:t>)</w:t>
            </w:r>
            <w:r>
              <w:rPr>
                <w:rFonts w:hint="eastAsia" w:ascii="宋体"/>
                <w:color w:val="auto"/>
                <w:sz w:val="22"/>
                <w:szCs w:val="22"/>
                <w:highlight w:val="none"/>
              </w:rPr>
              <w:t>保洁人员</w:t>
            </w:r>
          </w:p>
        </w:tc>
        <w:tc>
          <w:tcPr>
            <w:tcW w:w="1577" w:type="dxa"/>
            <w:noWrap w:val="0"/>
            <w:vAlign w:val="center"/>
          </w:tcPr>
          <w:p>
            <w:pPr>
              <w:spacing w:line="240" w:lineRule="auto"/>
              <w:jc w:val="center"/>
              <w:rPr>
                <w:rFonts w:ascii="宋体"/>
                <w:color w:val="auto"/>
                <w:sz w:val="22"/>
                <w:szCs w:val="22"/>
                <w:highlight w:val="none"/>
              </w:rPr>
            </w:pPr>
          </w:p>
        </w:tc>
        <w:tc>
          <w:tcPr>
            <w:tcW w:w="1577" w:type="dxa"/>
            <w:noWrap w:val="0"/>
            <w:vAlign w:val="center"/>
          </w:tcPr>
          <w:p>
            <w:pPr>
              <w:spacing w:line="240" w:lineRule="auto"/>
              <w:jc w:val="center"/>
              <w:rPr>
                <w:rFonts w:ascii="宋体"/>
                <w:color w:val="auto"/>
                <w:spacing w:val="-20"/>
                <w:sz w:val="22"/>
                <w:szCs w:val="22"/>
                <w:highlight w:val="none"/>
              </w:rPr>
            </w:pPr>
          </w:p>
        </w:tc>
        <w:tc>
          <w:tcPr>
            <w:tcW w:w="1947" w:type="dxa"/>
            <w:noWrap w:val="0"/>
            <w:vAlign w:val="center"/>
          </w:tcPr>
          <w:p>
            <w:pPr>
              <w:spacing w:line="240" w:lineRule="auto"/>
              <w:jc w:val="center"/>
              <w:rPr>
                <w:rFonts w:ascii="宋体"/>
                <w:color w:val="auto"/>
                <w:sz w:val="22"/>
                <w:szCs w:val="22"/>
                <w:highlight w:val="none"/>
              </w:rPr>
            </w:pPr>
            <w:r>
              <w:rPr>
                <w:rFonts w:ascii="宋体"/>
                <w:color w:val="auto"/>
                <w:sz w:val="22"/>
                <w:szCs w:val="22"/>
                <w:highlight w:val="none"/>
              </w:rPr>
              <w:t>(</w:t>
            </w:r>
            <w:r>
              <w:rPr>
                <w:rFonts w:hint="eastAsia" w:ascii="宋体"/>
                <w:color w:val="auto"/>
                <w:sz w:val="22"/>
                <w:szCs w:val="22"/>
                <w:highlight w:val="none"/>
              </w:rPr>
              <w:t>人数</w:t>
            </w:r>
            <w:r>
              <w:rPr>
                <w:rFonts w:ascii="宋体"/>
                <w:color w:val="auto"/>
                <w:sz w:val="22"/>
                <w:szCs w:val="22"/>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ascii="宋体"/>
                <w:color w:val="auto"/>
                <w:sz w:val="22"/>
                <w:szCs w:val="22"/>
                <w:highlight w:val="none"/>
              </w:rPr>
            </w:pPr>
            <w:r>
              <w:rPr>
                <w:rFonts w:ascii="宋体"/>
                <w:color w:val="auto"/>
                <w:sz w:val="22"/>
                <w:szCs w:val="22"/>
                <w:highlight w:val="none"/>
              </w:rPr>
              <w:t>(</w:t>
            </w:r>
            <w:r>
              <w:rPr>
                <w:rFonts w:hint="eastAsia" w:ascii="宋体"/>
                <w:color w:val="auto"/>
                <w:sz w:val="22"/>
                <w:szCs w:val="22"/>
                <w:highlight w:val="none"/>
                <w:lang w:val="en-US" w:eastAsia="zh-CN"/>
              </w:rPr>
              <w:t>4</w:t>
            </w:r>
            <w:r>
              <w:rPr>
                <w:rFonts w:ascii="宋体"/>
                <w:color w:val="auto"/>
                <w:sz w:val="22"/>
                <w:szCs w:val="22"/>
                <w:highlight w:val="none"/>
              </w:rPr>
              <w:t>)</w:t>
            </w:r>
            <w:r>
              <w:rPr>
                <w:rFonts w:hint="eastAsia" w:ascii="宋体"/>
                <w:color w:val="auto"/>
                <w:sz w:val="22"/>
                <w:szCs w:val="22"/>
                <w:highlight w:val="none"/>
              </w:rPr>
              <w:t>机动人员</w:t>
            </w:r>
          </w:p>
        </w:tc>
        <w:tc>
          <w:tcPr>
            <w:tcW w:w="1577" w:type="dxa"/>
            <w:noWrap w:val="0"/>
            <w:vAlign w:val="center"/>
          </w:tcPr>
          <w:p>
            <w:pPr>
              <w:spacing w:line="240" w:lineRule="auto"/>
              <w:jc w:val="center"/>
              <w:rPr>
                <w:rFonts w:ascii="宋体"/>
                <w:color w:val="auto"/>
                <w:sz w:val="22"/>
                <w:szCs w:val="22"/>
                <w:highlight w:val="none"/>
              </w:rPr>
            </w:pPr>
          </w:p>
        </w:tc>
        <w:tc>
          <w:tcPr>
            <w:tcW w:w="1577" w:type="dxa"/>
            <w:noWrap w:val="0"/>
            <w:vAlign w:val="center"/>
          </w:tcPr>
          <w:p>
            <w:pPr>
              <w:spacing w:line="240" w:lineRule="auto"/>
              <w:jc w:val="center"/>
              <w:rPr>
                <w:rFonts w:ascii="宋体"/>
                <w:color w:val="auto"/>
                <w:spacing w:val="-20"/>
                <w:sz w:val="22"/>
                <w:szCs w:val="22"/>
                <w:highlight w:val="none"/>
              </w:rPr>
            </w:pPr>
          </w:p>
        </w:tc>
        <w:tc>
          <w:tcPr>
            <w:tcW w:w="1947" w:type="dxa"/>
            <w:noWrap w:val="0"/>
            <w:vAlign w:val="center"/>
          </w:tcPr>
          <w:p>
            <w:pPr>
              <w:spacing w:line="240" w:lineRule="auto"/>
              <w:jc w:val="center"/>
              <w:rPr>
                <w:rFonts w:ascii="宋体"/>
                <w:color w:val="auto"/>
                <w:sz w:val="22"/>
                <w:szCs w:val="22"/>
                <w:highlight w:val="none"/>
              </w:rPr>
            </w:pPr>
            <w:r>
              <w:rPr>
                <w:rFonts w:ascii="宋体"/>
                <w:color w:val="auto"/>
                <w:sz w:val="22"/>
                <w:szCs w:val="22"/>
                <w:highlight w:val="none"/>
              </w:rPr>
              <w:t>(</w:t>
            </w:r>
            <w:r>
              <w:rPr>
                <w:rFonts w:hint="eastAsia" w:ascii="宋体"/>
                <w:color w:val="auto"/>
                <w:sz w:val="22"/>
                <w:szCs w:val="22"/>
                <w:highlight w:val="none"/>
              </w:rPr>
              <w:t>人数</w:t>
            </w:r>
            <w:r>
              <w:rPr>
                <w:rFonts w:ascii="宋体"/>
                <w:color w:val="auto"/>
                <w:sz w:val="22"/>
                <w:szCs w:val="22"/>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hint="eastAsia" w:ascii="宋体"/>
                <w:color w:val="auto"/>
                <w:sz w:val="22"/>
                <w:szCs w:val="22"/>
                <w:highlight w:val="none"/>
              </w:rPr>
            </w:pPr>
            <w:r>
              <w:rPr>
                <w:rFonts w:ascii="宋体"/>
                <w:color w:val="auto"/>
                <w:sz w:val="22"/>
                <w:szCs w:val="22"/>
                <w:highlight w:val="none"/>
              </w:rPr>
              <w:t>(</w:t>
            </w:r>
            <w:r>
              <w:rPr>
                <w:rFonts w:hint="eastAsia" w:ascii="宋体"/>
                <w:color w:val="auto"/>
                <w:sz w:val="22"/>
                <w:szCs w:val="22"/>
                <w:highlight w:val="none"/>
                <w:lang w:val="en-US" w:eastAsia="zh-CN"/>
              </w:rPr>
              <w:t>5</w:t>
            </w:r>
            <w:r>
              <w:rPr>
                <w:rFonts w:ascii="宋体"/>
                <w:color w:val="auto"/>
                <w:sz w:val="22"/>
                <w:szCs w:val="22"/>
                <w:highlight w:val="none"/>
              </w:rPr>
              <w:t>)</w:t>
            </w:r>
            <w:r>
              <w:rPr>
                <w:rFonts w:hint="eastAsia" w:ascii="新宋体" w:hAnsi="新宋体" w:eastAsia="新宋体"/>
                <w:color w:val="auto"/>
                <w:sz w:val="22"/>
                <w:szCs w:val="22"/>
                <w:highlight w:val="none"/>
              </w:rPr>
              <w:t>社保费</w:t>
            </w:r>
          </w:p>
        </w:tc>
        <w:tc>
          <w:tcPr>
            <w:tcW w:w="1577" w:type="dxa"/>
            <w:noWrap w:val="0"/>
            <w:vAlign w:val="center"/>
          </w:tcPr>
          <w:p>
            <w:pPr>
              <w:spacing w:line="240" w:lineRule="auto"/>
              <w:jc w:val="center"/>
              <w:rPr>
                <w:rFonts w:ascii="宋体"/>
                <w:color w:val="auto"/>
                <w:sz w:val="22"/>
                <w:szCs w:val="22"/>
                <w:highlight w:val="none"/>
              </w:rPr>
            </w:pPr>
          </w:p>
        </w:tc>
        <w:tc>
          <w:tcPr>
            <w:tcW w:w="1577" w:type="dxa"/>
            <w:noWrap w:val="0"/>
            <w:vAlign w:val="center"/>
          </w:tcPr>
          <w:p>
            <w:pPr>
              <w:spacing w:line="240" w:lineRule="auto"/>
              <w:jc w:val="center"/>
              <w:rPr>
                <w:rFonts w:ascii="宋体"/>
                <w:color w:val="auto"/>
                <w:spacing w:val="-20"/>
                <w:sz w:val="22"/>
                <w:szCs w:val="22"/>
                <w:highlight w:val="none"/>
              </w:rPr>
            </w:pPr>
          </w:p>
        </w:tc>
        <w:tc>
          <w:tcPr>
            <w:tcW w:w="1947" w:type="dxa"/>
            <w:noWrap w:val="0"/>
            <w:vAlign w:val="center"/>
          </w:tcPr>
          <w:p>
            <w:pPr>
              <w:spacing w:line="240" w:lineRule="auto"/>
              <w:jc w:val="center"/>
              <w:rPr>
                <w:rFonts w:ascii="宋体"/>
                <w:color w:val="auto"/>
                <w:sz w:val="22"/>
                <w:szCs w:val="22"/>
                <w:highlight w:val="none"/>
              </w:rPr>
            </w:pPr>
            <w:r>
              <w:rPr>
                <w:rFonts w:ascii="宋体"/>
                <w:color w:val="auto"/>
                <w:sz w:val="22"/>
                <w:szCs w:val="22"/>
                <w:highlight w:val="none"/>
              </w:rPr>
              <w:t>(</w:t>
            </w:r>
            <w:r>
              <w:rPr>
                <w:rFonts w:hint="eastAsia" w:ascii="宋体"/>
                <w:color w:val="auto"/>
                <w:sz w:val="22"/>
                <w:szCs w:val="22"/>
                <w:highlight w:val="none"/>
              </w:rPr>
              <w:t>人数</w:t>
            </w:r>
            <w:r>
              <w:rPr>
                <w:rFonts w:ascii="宋体"/>
                <w:color w:val="auto"/>
                <w:sz w:val="22"/>
                <w:szCs w:val="22"/>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ascii="宋体"/>
                <w:color w:val="auto"/>
                <w:sz w:val="22"/>
                <w:szCs w:val="22"/>
                <w:highlight w:val="none"/>
              </w:rPr>
            </w:pPr>
            <w:r>
              <w:rPr>
                <w:rFonts w:ascii="新宋体" w:hAnsi="新宋体" w:eastAsia="新宋体"/>
                <w:color w:val="auto"/>
                <w:sz w:val="22"/>
                <w:szCs w:val="22"/>
                <w:highlight w:val="none"/>
              </w:rPr>
              <w:t>……</w:t>
            </w:r>
          </w:p>
        </w:tc>
        <w:tc>
          <w:tcPr>
            <w:tcW w:w="1577" w:type="dxa"/>
            <w:noWrap w:val="0"/>
            <w:vAlign w:val="center"/>
          </w:tcPr>
          <w:p>
            <w:pPr>
              <w:spacing w:line="360" w:lineRule="auto"/>
              <w:jc w:val="center"/>
              <w:rPr>
                <w:rFonts w:ascii="宋体"/>
                <w:color w:val="auto"/>
                <w:sz w:val="22"/>
                <w:szCs w:val="22"/>
                <w:highlight w:val="none"/>
              </w:rPr>
            </w:pPr>
          </w:p>
        </w:tc>
        <w:tc>
          <w:tcPr>
            <w:tcW w:w="1577" w:type="dxa"/>
            <w:noWrap w:val="0"/>
            <w:vAlign w:val="center"/>
          </w:tcPr>
          <w:p>
            <w:pPr>
              <w:spacing w:line="360" w:lineRule="auto"/>
              <w:jc w:val="center"/>
              <w:rPr>
                <w:rFonts w:ascii="宋体"/>
                <w:color w:val="auto"/>
                <w:spacing w:val="-20"/>
                <w:sz w:val="22"/>
                <w:szCs w:val="22"/>
                <w:highlight w:val="none"/>
              </w:rPr>
            </w:pPr>
          </w:p>
        </w:tc>
        <w:tc>
          <w:tcPr>
            <w:tcW w:w="1947" w:type="dxa"/>
            <w:noWrap w:val="0"/>
            <w:vAlign w:val="top"/>
          </w:tcPr>
          <w:p>
            <w:pPr>
              <w:spacing w:line="360" w:lineRule="auto"/>
              <w:jc w:val="center"/>
              <w:rPr>
                <w:rFonts w:ascii="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hint="eastAsia" w:ascii="宋体"/>
                <w:color w:val="auto"/>
                <w:sz w:val="22"/>
                <w:szCs w:val="22"/>
                <w:highlight w:val="none"/>
              </w:rPr>
            </w:pPr>
            <w:r>
              <w:rPr>
                <w:rFonts w:hint="eastAsia" w:ascii="宋体"/>
                <w:color w:val="auto"/>
                <w:sz w:val="22"/>
                <w:szCs w:val="22"/>
                <w:highlight w:val="none"/>
              </w:rPr>
              <w:t>3、出勤补贴（按每人每天10元计取）</w:t>
            </w:r>
          </w:p>
        </w:tc>
        <w:tc>
          <w:tcPr>
            <w:tcW w:w="1577" w:type="dxa"/>
            <w:noWrap w:val="0"/>
            <w:vAlign w:val="center"/>
          </w:tcPr>
          <w:p>
            <w:pPr>
              <w:spacing w:line="360" w:lineRule="auto"/>
              <w:jc w:val="center"/>
              <w:rPr>
                <w:rFonts w:ascii="宋体"/>
                <w:bCs/>
                <w:color w:val="auto"/>
                <w:sz w:val="22"/>
                <w:szCs w:val="22"/>
                <w:highlight w:val="none"/>
              </w:rPr>
            </w:pPr>
          </w:p>
        </w:tc>
        <w:tc>
          <w:tcPr>
            <w:tcW w:w="1577" w:type="dxa"/>
            <w:noWrap w:val="0"/>
            <w:vAlign w:val="center"/>
          </w:tcPr>
          <w:p>
            <w:pPr>
              <w:spacing w:line="360" w:lineRule="auto"/>
              <w:jc w:val="center"/>
              <w:rPr>
                <w:rFonts w:ascii="宋体"/>
                <w:color w:val="auto"/>
                <w:spacing w:val="-20"/>
                <w:sz w:val="22"/>
                <w:szCs w:val="22"/>
                <w:highlight w:val="none"/>
              </w:rPr>
            </w:pPr>
          </w:p>
        </w:tc>
        <w:tc>
          <w:tcPr>
            <w:tcW w:w="1947" w:type="dxa"/>
            <w:noWrap w:val="0"/>
            <w:vAlign w:val="center"/>
          </w:tcPr>
          <w:p>
            <w:pPr>
              <w:spacing w:line="360" w:lineRule="auto"/>
              <w:jc w:val="center"/>
              <w:rPr>
                <w:rFonts w:hint="eastAsia" w:ascii="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ascii="宋体"/>
                <w:color w:val="auto"/>
                <w:sz w:val="22"/>
                <w:szCs w:val="22"/>
                <w:highlight w:val="none"/>
              </w:rPr>
            </w:pPr>
            <w:r>
              <w:rPr>
                <w:rFonts w:hint="eastAsia" w:ascii="宋体"/>
                <w:color w:val="auto"/>
                <w:sz w:val="22"/>
                <w:szCs w:val="22"/>
                <w:highlight w:val="none"/>
              </w:rPr>
              <w:t>4、福利费用（春节、环卫节、其它重要节日等，最少按11天计取）</w:t>
            </w:r>
          </w:p>
        </w:tc>
        <w:tc>
          <w:tcPr>
            <w:tcW w:w="1577" w:type="dxa"/>
            <w:noWrap w:val="0"/>
            <w:vAlign w:val="center"/>
          </w:tcPr>
          <w:p>
            <w:pPr>
              <w:spacing w:line="360" w:lineRule="auto"/>
              <w:jc w:val="center"/>
              <w:rPr>
                <w:rFonts w:ascii="宋体"/>
                <w:bCs/>
                <w:color w:val="auto"/>
                <w:sz w:val="22"/>
                <w:szCs w:val="22"/>
                <w:highlight w:val="none"/>
              </w:rPr>
            </w:pPr>
          </w:p>
        </w:tc>
        <w:tc>
          <w:tcPr>
            <w:tcW w:w="1577" w:type="dxa"/>
            <w:noWrap w:val="0"/>
            <w:vAlign w:val="center"/>
          </w:tcPr>
          <w:p>
            <w:pPr>
              <w:spacing w:line="360" w:lineRule="auto"/>
              <w:jc w:val="center"/>
              <w:rPr>
                <w:rFonts w:ascii="宋体"/>
                <w:color w:val="auto"/>
                <w:spacing w:val="-20"/>
                <w:sz w:val="22"/>
                <w:szCs w:val="22"/>
                <w:highlight w:val="none"/>
              </w:rPr>
            </w:pPr>
          </w:p>
        </w:tc>
        <w:tc>
          <w:tcPr>
            <w:tcW w:w="1947" w:type="dxa"/>
            <w:noWrap w:val="0"/>
            <w:vAlign w:val="center"/>
          </w:tcPr>
          <w:p>
            <w:pPr>
              <w:spacing w:line="360" w:lineRule="auto"/>
              <w:jc w:val="center"/>
              <w:rPr>
                <w:rFonts w:ascii="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hint="eastAsia" w:ascii="宋体"/>
                <w:color w:val="auto"/>
                <w:sz w:val="22"/>
                <w:szCs w:val="22"/>
                <w:highlight w:val="none"/>
              </w:rPr>
            </w:pPr>
            <w:r>
              <w:rPr>
                <w:rFonts w:hint="eastAsia" w:ascii="宋体"/>
                <w:color w:val="auto"/>
                <w:sz w:val="22"/>
                <w:szCs w:val="22"/>
                <w:highlight w:val="none"/>
              </w:rPr>
              <w:t>5、待遇费用（高温补贴等其它补贴，其中高温补贴按一线工人每人每年不少于1200元计取）</w:t>
            </w:r>
          </w:p>
        </w:tc>
        <w:tc>
          <w:tcPr>
            <w:tcW w:w="1577" w:type="dxa"/>
            <w:noWrap w:val="0"/>
            <w:vAlign w:val="center"/>
          </w:tcPr>
          <w:p>
            <w:pPr>
              <w:spacing w:line="360" w:lineRule="auto"/>
              <w:jc w:val="center"/>
              <w:rPr>
                <w:rFonts w:ascii="宋体"/>
                <w:bCs/>
                <w:color w:val="auto"/>
                <w:sz w:val="22"/>
                <w:szCs w:val="22"/>
                <w:highlight w:val="none"/>
              </w:rPr>
            </w:pPr>
          </w:p>
        </w:tc>
        <w:tc>
          <w:tcPr>
            <w:tcW w:w="1577" w:type="dxa"/>
            <w:noWrap w:val="0"/>
            <w:vAlign w:val="center"/>
          </w:tcPr>
          <w:p>
            <w:pPr>
              <w:spacing w:line="360" w:lineRule="auto"/>
              <w:jc w:val="center"/>
              <w:rPr>
                <w:rFonts w:ascii="宋体"/>
                <w:color w:val="auto"/>
                <w:spacing w:val="-20"/>
                <w:sz w:val="22"/>
                <w:szCs w:val="22"/>
                <w:highlight w:val="none"/>
              </w:rPr>
            </w:pPr>
          </w:p>
        </w:tc>
        <w:tc>
          <w:tcPr>
            <w:tcW w:w="1947" w:type="dxa"/>
            <w:noWrap w:val="0"/>
            <w:vAlign w:val="center"/>
          </w:tcPr>
          <w:p>
            <w:pPr>
              <w:spacing w:line="360" w:lineRule="auto"/>
              <w:jc w:val="center"/>
              <w:rPr>
                <w:rFonts w:ascii="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hint="eastAsia" w:ascii="宋体"/>
                <w:color w:val="auto"/>
                <w:sz w:val="22"/>
                <w:szCs w:val="22"/>
                <w:highlight w:val="none"/>
              </w:rPr>
            </w:pPr>
            <w:r>
              <w:rPr>
                <w:rFonts w:hint="eastAsia" w:ascii="宋体"/>
                <w:color w:val="auto"/>
                <w:sz w:val="22"/>
                <w:szCs w:val="22"/>
                <w:highlight w:val="none"/>
              </w:rPr>
              <w:t>6、劳保用品费</w:t>
            </w:r>
          </w:p>
        </w:tc>
        <w:tc>
          <w:tcPr>
            <w:tcW w:w="1577" w:type="dxa"/>
            <w:noWrap w:val="0"/>
            <w:vAlign w:val="center"/>
          </w:tcPr>
          <w:p>
            <w:pPr>
              <w:spacing w:line="360" w:lineRule="auto"/>
              <w:jc w:val="center"/>
              <w:rPr>
                <w:rFonts w:ascii="宋体"/>
                <w:color w:val="auto"/>
                <w:sz w:val="22"/>
                <w:szCs w:val="22"/>
                <w:highlight w:val="none"/>
              </w:rPr>
            </w:pPr>
          </w:p>
        </w:tc>
        <w:tc>
          <w:tcPr>
            <w:tcW w:w="1577" w:type="dxa"/>
            <w:noWrap w:val="0"/>
            <w:vAlign w:val="center"/>
          </w:tcPr>
          <w:p>
            <w:pPr>
              <w:spacing w:line="360" w:lineRule="auto"/>
              <w:jc w:val="center"/>
              <w:rPr>
                <w:rFonts w:ascii="宋体"/>
                <w:color w:val="auto"/>
                <w:spacing w:val="-20"/>
                <w:sz w:val="22"/>
                <w:szCs w:val="22"/>
                <w:highlight w:val="none"/>
              </w:rPr>
            </w:pPr>
          </w:p>
        </w:tc>
        <w:tc>
          <w:tcPr>
            <w:tcW w:w="1947" w:type="dxa"/>
            <w:noWrap w:val="0"/>
            <w:vAlign w:val="center"/>
          </w:tcPr>
          <w:p>
            <w:pPr>
              <w:spacing w:line="360" w:lineRule="auto"/>
              <w:jc w:val="center"/>
              <w:rPr>
                <w:rFonts w:ascii="宋体"/>
                <w:color w:val="auto"/>
                <w:spacing w:val="-2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ascii="宋体"/>
                <w:color w:val="auto"/>
                <w:sz w:val="22"/>
                <w:szCs w:val="22"/>
                <w:highlight w:val="none"/>
              </w:rPr>
            </w:pPr>
            <w:r>
              <w:rPr>
                <w:rFonts w:hint="eastAsia" w:ascii="宋体"/>
                <w:color w:val="auto"/>
                <w:sz w:val="22"/>
                <w:szCs w:val="22"/>
                <w:highlight w:val="none"/>
              </w:rPr>
              <w:t>7、作业机械车辆、船只</w:t>
            </w:r>
          </w:p>
        </w:tc>
        <w:tc>
          <w:tcPr>
            <w:tcW w:w="1577" w:type="dxa"/>
            <w:noWrap w:val="0"/>
            <w:vAlign w:val="center"/>
          </w:tcPr>
          <w:p>
            <w:pPr>
              <w:spacing w:line="360" w:lineRule="auto"/>
              <w:jc w:val="center"/>
              <w:rPr>
                <w:rFonts w:ascii="宋体"/>
                <w:color w:val="auto"/>
                <w:sz w:val="22"/>
                <w:szCs w:val="22"/>
                <w:highlight w:val="none"/>
              </w:rPr>
            </w:pPr>
          </w:p>
        </w:tc>
        <w:tc>
          <w:tcPr>
            <w:tcW w:w="1577" w:type="dxa"/>
            <w:noWrap w:val="0"/>
            <w:vAlign w:val="center"/>
          </w:tcPr>
          <w:p>
            <w:pPr>
              <w:spacing w:line="360" w:lineRule="auto"/>
              <w:jc w:val="center"/>
              <w:rPr>
                <w:rFonts w:ascii="宋体"/>
                <w:color w:val="auto"/>
                <w:spacing w:val="-20"/>
                <w:sz w:val="22"/>
                <w:szCs w:val="22"/>
                <w:highlight w:val="none"/>
              </w:rPr>
            </w:pPr>
          </w:p>
        </w:tc>
        <w:tc>
          <w:tcPr>
            <w:tcW w:w="1947" w:type="dxa"/>
            <w:noWrap w:val="0"/>
            <w:vAlign w:val="center"/>
          </w:tcPr>
          <w:p>
            <w:pPr>
              <w:spacing w:line="360" w:lineRule="auto"/>
              <w:jc w:val="center"/>
              <w:rPr>
                <w:rFonts w:ascii="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ascii="宋体"/>
                <w:color w:val="auto"/>
                <w:sz w:val="22"/>
                <w:szCs w:val="22"/>
                <w:highlight w:val="none"/>
              </w:rPr>
            </w:pPr>
            <w:r>
              <w:rPr>
                <w:rFonts w:ascii="宋体"/>
                <w:color w:val="auto"/>
                <w:sz w:val="22"/>
                <w:szCs w:val="22"/>
                <w:highlight w:val="none"/>
              </w:rPr>
              <w:t>(1)</w:t>
            </w:r>
            <w:r>
              <w:rPr>
                <w:rFonts w:hint="eastAsia" w:ascii="宋体"/>
                <w:color w:val="auto"/>
                <w:sz w:val="22"/>
                <w:szCs w:val="22"/>
                <w:highlight w:val="none"/>
              </w:rPr>
              <w:t>燃料用油费、电费</w:t>
            </w:r>
          </w:p>
        </w:tc>
        <w:tc>
          <w:tcPr>
            <w:tcW w:w="1577" w:type="dxa"/>
            <w:noWrap w:val="0"/>
            <w:vAlign w:val="center"/>
          </w:tcPr>
          <w:p>
            <w:pPr>
              <w:spacing w:line="360" w:lineRule="auto"/>
              <w:jc w:val="center"/>
              <w:rPr>
                <w:rFonts w:ascii="宋体"/>
                <w:color w:val="auto"/>
                <w:sz w:val="22"/>
                <w:szCs w:val="22"/>
                <w:highlight w:val="none"/>
              </w:rPr>
            </w:pPr>
          </w:p>
        </w:tc>
        <w:tc>
          <w:tcPr>
            <w:tcW w:w="1577" w:type="dxa"/>
            <w:noWrap w:val="0"/>
            <w:vAlign w:val="center"/>
          </w:tcPr>
          <w:p>
            <w:pPr>
              <w:spacing w:line="360" w:lineRule="auto"/>
              <w:jc w:val="center"/>
              <w:rPr>
                <w:rFonts w:ascii="宋体"/>
                <w:color w:val="auto"/>
                <w:spacing w:val="-20"/>
                <w:sz w:val="22"/>
                <w:szCs w:val="22"/>
                <w:highlight w:val="none"/>
              </w:rPr>
            </w:pPr>
          </w:p>
        </w:tc>
        <w:tc>
          <w:tcPr>
            <w:tcW w:w="1947" w:type="dxa"/>
            <w:noWrap w:val="0"/>
            <w:vAlign w:val="center"/>
          </w:tcPr>
          <w:p>
            <w:pPr>
              <w:spacing w:line="360" w:lineRule="auto"/>
              <w:jc w:val="center"/>
              <w:rPr>
                <w:rFonts w:ascii="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ascii="宋体"/>
                <w:color w:val="auto"/>
                <w:sz w:val="22"/>
                <w:szCs w:val="22"/>
                <w:highlight w:val="none"/>
              </w:rPr>
            </w:pPr>
            <w:r>
              <w:rPr>
                <w:rFonts w:ascii="宋体"/>
                <w:color w:val="auto"/>
                <w:sz w:val="22"/>
                <w:szCs w:val="22"/>
                <w:highlight w:val="none"/>
              </w:rPr>
              <w:t>(</w:t>
            </w:r>
            <w:r>
              <w:rPr>
                <w:rFonts w:hint="eastAsia" w:ascii="宋体"/>
                <w:color w:val="auto"/>
                <w:sz w:val="22"/>
                <w:szCs w:val="22"/>
                <w:highlight w:val="none"/>
              </w:rPr>
              <w:t>2</w:t>
            </w:r>
            <w:r>
              <w:rPr>
                <w:rFonts w:ascii="宋体"/>
                <w:color w:val="auto"/>
                <w:sz w:val="22"/>
                <w:szCs w:val="22"/>
                <w:highlight w:val="none"/>
              </w:rPr>
              <w:t>)</w:t>
            </w:r>
            <w:r>
              <w:rPr>
                <w:rFonts w:hint="eastAsia" w:ascii="新宋体" w:hAnsi="新宋体" w:eastAsia="新宋体"/>
                <w:color w:val="auto"/>
                <w:sz w:val="22"/>
                <w:szCs w:val="22"/>
                <w:highlight w:val="none"/>
              </w:rPr>
              <w:t xml:space="preserve"> 保养、修理费</w:t>
            </w:r>
          </w:p>
        </w:tc>
        <w:tc>
          <w:tcPr>
            <w:tcW w:w="1577" w:type="dxa"/>
            <w:noWrap w:val="0"/>
            <w:vAlign w:val="center"/>
          </w:tcPr>
          <w:p>
            <w:pPr>
              <w:spacing w:line="360" w:lineRule="auto"/>
              <w:jc w:val="center"/>
              <w:rPr>
                <w:rFonts w:ascii="宋体"/>
                <w:color w:val="auto"/>
                <w:sz w:val="22"/>
                <w:szCs w:val="22"/>
                <w:highlight w:val="none"/>
              </w:rPr>
            </w:pPr>
          </w:p>
        </w:tc>
        <w:tc>
          <w:tcPr>
            <w:tcW w:w="1577" w:type="dxa"/>
            <w:noWrap w:val="0"/>
            <w:vAlign w:val="center"/>
          </w:tcPr>
          <w:p>
            <w:pPr>
              <w:spacing w:line="360" w:lineRule="auto"/>
              <w:jc w:val="center"/>
              <w:rPr>
                <w:rFonts w:ascii="宋体"/>
                <w:color w:val="auto"/>
                <w:spacing w:val="-20"/>
                <w:sz w:val="22"/>
                <w:szCs w:val="22"/>
                <w:highlight w:val="none"/>
              </w:rPr>
            </w:pPr>
          </w:p>
        </w:tc>
        <w:tc>
          <w:tcPr>
            <w:tcW w:w="1947" w:type="dxa"/>
            <w:noWrap w:val="0"/>
            <w:vAlign w:val="center"/>
          </w:tcPr>
          <w:p>
            <w:pPr>
              <w:spacing w:line="360" w:lineRule="auto"/>
              <w:jc w:val="center"/>
              <w:rPr>
                <w:rFonts w:ascii="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ascii="宋体"/>
                <w:color w:val="auto"/>
                <w:sz w:val="22"/>
                <w:szCs w:val="22"/>
                <w:highlight w:val="none"/>
              </w:rPr>
            </w:pPr>
            <w:r>
              <w:rPr>
                <w:rFonts w:ascii="新宋体" w:hAnsi="新宋体" w:eastAsia="新宋体"/>
                <w:color w:val="auto"/>
                <w:sz w:val="22"/>
                <w:szCs w:val="22"/>
                <w:highlight w:val="none"/>
              </w:rPr>
              <w:t>……</w:t>
            </w:r>
          </w:p>
        </w:tc>
        <w:tc>
          <w:tcPr>
            <w:tcW w:w="1577" w:type="dxa"/>
            <w:noWrap w:val="0"/>
            <w:vAlign w:val="center"/>
          </w:tcPr>
          <w:p>
            <w:pPr>
              <w:spacing w:line="360" w:lineRule="auto"/>
              <w:jc w:val="center"/>
              <w:rPr>
                <w:rFonts w:ascii="宋体"/>
                <w:color w:val="auto"/>
                <w:sz w:val="22"/>
                <w:szCs w:val="22"/>
                <w:highlight w:val="none"/>
              </w:rPr>
            </w:pPr>
          </w:p>
        </w:tc>
        <w:tc>
          <w:tcPr>
            <w:tcW w:w="1577" w:type="dxa"/>
            <w:noWrap w:val="0"/>
            <w:vAlign w:val="center"/>
          </w:tcPr>
          <w:p>
            <w:pPr>
              <w:spacing w:line="360" w:lineRule="auto"/>
              <w:jc w:val="center"/>
              <w:rPr>
                <w:rFonts w:ascii="宋体"/>
                <w:color w:val="auto"/>
                <w:spacing w:val="-20"/>
                <w:sz w:val="22"/>
                <w:szCs w:val="22"/>
                <w:highlight w:val="none"/>
              </w:rPr>
            </w:pPr>
          </w:p>
        </w:tc>
        <w:tc>
          <w:tcPr>
            <w:tcW w:w="1947" w:type="dxa"/>
            <w:noWrap w:val="0"/>
            <w:vAlign w:val="center"/>
          </w:tcPr>
          <w:p>
            <w:pPr>
              <w:spacing w:line="360" w:lineRule="auto"/>
              <w:jc w:val="center"/>
              <w:rPr>
                <w:rFonts w:ascii="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ascii="宋体"/>
                <w:color w:val="auto"/>
                <w:spacing w:val="-20"/>
                <w:sz w:val="22"/>
                <w:szCs w:val="22"/>
                <w:highlight w:val="none"/>
              </w:rPr>
            </w:pPr>
            <w:r>
              <w:rPr>
                <w:rFonts w:hint="eastAsia" w:ascii="宋体"/>
                <w:color w:val="auto"/>
                <w:spacing w:val="-20"/>
                <w:sz w:val="22"/>
                <w:szCs w:val="22"/>
                <w:highlight w:val="none"/>
              </w:rPr>
              <w:t>8、</w:t>
            </w:r>
            <w:r>
              <w:rPr>
                <w:rFonts w:hint="eastAsia" w:ascii="宋体"/>
                <w:color w:val="auto"/>
                <w:sz w:val="22"/>
                <w:szCs w:val="22"/>
                <w:highlight w:val="none"/>
              </w:rPr>
              <w:t>工具</w:t>
            </w:r>
            <w:r>
              <w:rPr>
                <w:rFonts w:hint="eastAsia" w:ascii="宋体"/>
                <w:color w:val="auto"/>
                <w:spacing w:val="-20"/>
                <w:sz w:val="22"/>
                <w:szCs w:val="22"/>
                <w:highlight w:val="none"/>
              </w:rPr>
              <w:t>用 品</w:t>
            </w:r>
          </w:p>
        </w:tc>
        <w:tc>
          <w:tcPr>
            <w:tcW w:w="1577" w:type="dxa"/>
            <w:noWrap w:val="0"/>
            <w:vAlign w:val="center"/>
          </w:tcPr>
          <w:p>
            <w:pPr>
              <w:spacing w:line="360" w:lineRule="auto"/>
              <w:jc w:val="center"/>
              <w:rPr>
                <w:rFonts w:ascii="宋体"/>
                <w:color w:val="auto"/>
                <w:sz w:val="22"/>
                <w:szCs w:val="22"/>
                <w:highlight w:val="none"/>
              </w:rPr>
            </w:pPr>
          </w:p>
        </w:tc>
        <w:tc>
          <w:tcPr>
            <w:tcW w:w="1577" w:type="dxa"/>
            <w:noWrap w:val="0"/>
            <w:vAlign w:val="center"/>
          </w:tcPr>
          <w:p>
            <w:pPr>
              <w:spacing w:line="360" w:lineRule="auto"/>
              <w:jc w:val="center"/>
              <w:rPr>
                <w:rFonts w:ascii="宋体"/>
                <w:color w:val="auto"/>
                <w:spacing w:val="-20"/>
                <w:sz w:val="22"/>
                <w:szCs w:val="22"/>
                <w:highlight w:val="none"/>
              </w:rPr>
            </w:pPr>
          </w:p>
        </w:tc>
        <w:tc>
          <w:tcPr>
            <w:tcW w:w="1947" w:type="dxa"/>
            <w:noWrap w:val="0"/>
            <w:vAlign w:val="center"/>
          </w:tcPr>
          <w:p>
            <w:pPr>
              <w:spacing w:line="360" w:lineRule="auto"/>
              <w:jc w:val="center"/>
              <w:rPr>
                <w:rFonts w:ascii="宋体"/>
                <w:color w:val="auto"/>
                <w:spacing w:val="-2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restart"/>
            <w:noWrap w:val="0"/>
            <w:vAlign w:val="center"/>
          </w:tcPr>
          <w:p>
            <w:pPr>
              <w:spacing w:line="240" w:lineRule="auto"/>
              <w:jc w:val="center"/>
              <w:rPr>
                <w:rFonts w:hint="eastAsia" w:ascii="宋体"/>
                <w:color w:val="auto"/>
                <w:sz w:val="22"/>
                <w:szCs w:val="22"/>
                <w:highlight w:val="none"/>
              </w:rPr>
            </w:pPr>
            <w:r>
              <w:rPr>
                <w:rFonts w:hint="eastAsia" w:ascii="宋体"/>
                <w:color w:val="auto"/>
                <w:sz w:val="22"/>
                <w:szCs w:val="22"/>
                <w:highlight w:val="none"/>
              </w:rPr>
              <w:t>3</w:t>
            </w:r>
          </w:p>
        </w:tc>
        <w:tc>
          <w:tcPr>
            <w:tcW w:w="1103" w:type="dxa"/>
            <w:vMerge w:val="restart"/>
            <w:noWrap w:val="0"/>
            <w:vAlign w:val="center"/>
          </w:tcPr>
          <w:p>
            <w:pPr>
              <w:spacing w:line="240" w:lineRule="auto"/>
              <w:jc w:val="center"/>
              <w:rPr>
                <w:rFonts w:ascii="宋体"/>
                <w:color w:val="auto"/>
                <w:sz w:val="22"/>
                <w:szCs w:val="22"/>
                <w:highlight w:val="none"/>
              </w:rPr>
            </w:pPr>
            <w:r>
              <w:rPr>
                <w:rFonts w:hint="eastAsia" w:ascii="宋体"/>
                <w:bCs/>
                <w:color w:val="auto"/>
                <w:sz w:val="22"/>
                <w:szCs w:val="22"/>
                <w:highlight w:val="none"/>
              </w:rPr>
              <w:t>办公费用</w:t>
            </w:r>
          </w:p>
        </w:tc>
        <w:tc>
          <w:tcPr>
            <w:tcW w:w="2668" w:type="dxa"/>
            <w:noWrap w:val="0"/>
            <w:vAlign w:val="center"/>
          </w:tcPr>
          <w:p>
            <w:pPr>
              <w:spacing w:line="240" w:lineRule="auto"/>
              <w:jc w:val="both"/>
              <w:rPr>
                <w:rFonts w:ascii="宋体"/>
                <w:color w:val="auto"/>
                <w:sz w:val="22"/>
                <w:szCs w:val="22"/>
                <w:highlight w:val="none"/>
              </w:rPr>
            </w:pPr>
            <w:r>
              <w:rPr>
                <w:rFonts w:hint="eastAsia" w:ascii="宋体"/>
                <w:color w:val="auto"/>
                <w:sz w:val="22"/>
                <w:szCs w:val="22"/>
                <w:highlight w:val="none"/>
              </w:rPr>
              <w:t>1、办公用品</w:t>
            </w:r>
          </w:p>
        </w:tc>
        <w:tc>
          <w:tcPr>
            <w:tcW w:w="1577" w:type="dxa"/>
            <w:noWrap w:val="0"/>
            <w:vAlign w:val="center"/>
          </w:tcPr>
          <w:p>
            <w:pPr>
              <w:spacing w:line="360" w:lineRule="auto"/>
              <w:jc w:val="center"/>
              <w:rPr>
                <w:rFonts w:ascii="宋体"/>
                <w:color w:val="auto"/>
                <w:sz w:val="22"/>
                <w:szCs w:val="22"/>
                <w:highlight w:val="none"/>
              </w:rPr>
            </w:pPr>
          </w:p>
        </w:tc>
        <w:tc>
          <w:tcPr>
            <w:tcW w:w="1577" w:type="dxa"/>
            <w:noWrap w:val="0"/>
            <w:vAlign w:val="center"/>
          </w:tcPr>
          <w:p>
            <w:pPr>
              <w:spacing w:line="360" w:lineRule="auto"/>
              <w:jc w:val="center"/>
              <w:rPr>
                <w:rFonts w:ascii="宋体"/>
                <w:color w:val="auto"/>
                <w:sz w:val="22"/>
                <w:szCs w:val="22"/>
                <w:highlight w:val="none"/>
              </w:rPr>
            </w:pPr>
          </w:p>
        </w:tc>
        <w:tc>
          <w:tcPr>
            <w:tcW w:w="1947" w:type="dxa"/>
            <w:noWrap w:val="0"/>
            <w:vAlign w:val="center"/>
          </w:tcPr>
          <w:p>
            <w:pPr>
              <w:spacing w:line="360" w:lineRule="auto"/>
              <w:jc w:val="center"/>
              <w:rPr>
                <w:rFonts w:ascii="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ascii="宋体"/>
                <w:color w:val="auto"/>
                <w:sz w:val="22"/>
                <w:szCs w:val="22"/>
                <w:highlight w:val="none"/>
              </w:rPr>
            </w:pPr>
            <w:r>
              <w:rPr>
                <w:rFonts w:hint="eastAsia" w:ascii="宋体"/>
                <w:color w:val="auto"/>
                <w:sz w:val="22"/>
                <w:szCs w:val="22"/>
                <w:highlight w:val="none"/>
              </w:rPr>
              <w:t>2、业务开支</w:t>
            </w:r>
          </w:p>
        </w:tc>
        <w:tc>
          <w:tcPr>
            <w:tcW w:w="1577" w:type="dxa"/>
            <w:noWrap w:val="0"/>
            <w:vAlign w:val="center"/>
          </w:tcPr>
          <w:p>
            <w:pPr>
              <w:spacing w:line="360" w:lineRule="auto"/>
              <w:jc w:val="center"/>
              <w:rPr>
                <w:rFonts w:ascii="宋体"/>
                <w:bCs/>
                <w:color w:val="auto"/>
                <w:sz w:val="22"/>
                <w:szCs w:val="22"/>
                <w:highlight w:val="none"/>
              </w:rPr>
            </w:pPr>
          </w:p>
        </w:tc>
        <w:tc>
          <w:tcPr>
            <w:tcW w:w="1577" w:type="dxa"/>
            <w:noWrap w:val="0"/>
            <w:vAlign w:val="center"/>
          </w:tcPr>
          <w:p>
            <w:pPr>
              <w:spacing w:line="360" w:lineRule="auto"/>
              <w:jc w:val="center"/>
              <w:rPr>
                <w:rFonts w:ascii="宋体"/>
                <w:bCs/>
                <w:color w:val="auto"/>
                <w:sz w:val="22"/>
                <w:szCs w:val="22"/>
                <w:highlight w:val="none"/>
              </w:rPr>
            </w:pPr>
          </w:p>
        </w:tc>
        <w:tc>
          <w:tcPr>
            <w:tcW w:w="1947" w:type="dxa"/>
            <w:noWrap w:val="0"/>
            <w:vAlign w:val="center"/>
          </w:tcPr>
          <w:p>
            <w:pPr>
              <w:spacing w:line="360" w:lineRule="auto"/>
              <w:jc w:val="center"/>
              <w:rPr>
                <w:rFonts w:ascii="宋体"/>
                <w:bCs/>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ascii="宋体"/>
                <w:color w:val="auto"/>
                <w:sz w:val="22"/>
                <w:szCs w:val="22"/>
                <w:highlight w:val="none"/>
              </w:rPr>
            </w:pPr>
            <w:r>
              <w:rPr>
                <w:rFonts w:hint="eastAsia" w:ascii="宋体"/>
                <w:color w:val="auto"/>
                <w:sz w:val="22"/>
                <w:szCs w:val="22"/>
                <w:highlight w:val="none"/>
              </w:rPr>
              <w:t>3、租赁费及其他费用</w:t>
            </w:r>
          </w:p>
        </w:tc>
        <w:tc>
          <w:tcPr>
            <w:tcW w:w="1577" w:type="dxa"/>
            <w:noWrap w:val="0"/>
            <w:vAlign w:val="center"/>
          </w:tcPr>
          <w:p>
            <w:pPr>
              <w:spacing w:line="360" w:lineRule="auto"/>
              <w:jc w:val="center"/>
              <w:rPr>
                <w:rFonts w:ascii="宋体"/>
                <w:color w:val="auto"/>
                <w:sz w:val="22"/>
                <w:szCs w:val="22"/>
                <w:highlight w:val="none"/>
              </w:rPr>
            </w:pPr>
          </w:p>
        </w:tc>
        <w:tc>
          <w:tcPr>
            <w:tcW w:w="1577" w:type="dxa"/>
            <w:noWrap w:val="0"/>
            <w:vAlign w:val="center"/>
          </w:tcPr>
          <w:p>
            <w:pPr>
              <w:spacing w:line="360" w:lineRule="auto"/>
              <w:jc w:val="center"/>
              <w:rPr>
                <w:rFonts w:ascii="宋体"/>
                <w:color w:val="auto"/>
                <w:sz w:val="22"/>
                <w:szCs w:val="22"/>
                <w:highlight w:val="none"/>
              </w:rPr>
            </w:pPr>
          </w:p>
        </w:tc>
        <w:tc>
          <w:tcPr>
            <w:tcW w:w="1947" w:type="dxa"/>
            <w:noWrap w:val="0"/>
            <w:vAlign w:val="center"/>
          </w:tcPr>
          <w:p>
            <w:pPr>
              <w:spacing w:line="360" w:lineRule="auto"/>
              <w:jc w:val="center"/>
              <w:rPr>
                <w:rFonts w:ascii="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ascii="宋体"/>
                <w:color w:val="auto"/>
                <w:sz w:val="22"/>
                <w:szCs w:val="22"/>
                <w:highlight w:val="none"/>
              </w:rPr>
            </w:pPr>
            <w:r>
              <w:rPr>
                <w:rFonts w:ascii="新宋体" w:hAnsi="新宋体" w:eastAsia="新宋体"/>
                <w:color w:val="auto"/>
                <w:sz w:val="22"/>
                <w:szCs w:val="22"/>
                <w:highlight w:val="none"/>
              </w:rPr>
              <w:t>……</w:t>
            </w:r>
          </w:p>
        </w:tc>
        <w:tc>
          <w:tcPr>
            <w:tcW w:w="1577" w:type="dxa"/>
            <w:noWrap w:val="0"/>
            <w:vAlign w:val="center"/>
          </w:tcPr>
          <w:p>
            <w:pPr>
              <w:spacing w:line="360" w:lineRule="auto"/>
              <w:jc w:val="center"/>
              <w:rPr>
                <w:rFonts w:ascii="宋体"/>
                <w:color w:val="auto"/>
                <w:sz w:val="22"/>
                <w:szCs w:val="22"/>
                <w:highlight w:val="none"/>
              </w:rPr>
            </w:pPr>
          </w:p>
        </w:tc>
        <w:tc>
          <w:tcPr>
            <w:tcW w:w="1577" w:type="dxa"/>
            <w:noWrap w:val="0"/>
            <w:vAlign w:val="center"/>
          </w:tcPr>
          <w:p>
            <w:pPr>
              <w:spacing w:line="360" w:lineRule="auto"/>
              <w:jc w:val="center"/>
              <w:rPr>
                <w:rFonts w:ascii="宋体"/>
                <w:color w:val="auto"/>
                <w:sz w:val="22"/>
                <w:szCs w:val="22"/>
                <w:highlight w:val="none"/>
              </w:rPr>
            </w:pPr>
          </w:p>
        </w:tc>
        <w:tc>
          <w:tcPr>
            <w:tcW w:w="1947" w:type="dxa"/>
            <w:noWrap w:val="0"/>
            <w:vAlign w:val="center"/>
          </w:tcPr>
          <w:p>
            <w:pPr>
              <w:spacing w:line="360" w:lineRule="auto"/>
              <w:jc w:val="center"/>
              <w:rPr>
                <w:rFonts w:ascii="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restart"/>
            <w:noWrap w:val="0"/>
            <w:vAlign w:val="center"/>
          </w:tcPr>
          <w:p>
            <w:pPr>
              <w:spacing w:line="240" w:lineRule="auto"/>
              <w:jc w:val="center"/>
              <w:rPr>
                <w:rFonts w:hint="eastAsia" w:ascii="宋体"/>
                <w:color w:val="auto"/>
                <w:sz w:val="22"/>
                <w:szCs w:val="22"/>
                <w:highlight w:val="none"/>
              </w:rPr>
            </w:pPr>
            <w:r>
              <w:rPr>
                <w:rFonts w:hint="eastAsia" w:ascii="宋体"/>
                <w:color w:val="auto"/>
                <w:sz w:val="22"/>
                <w:szCs w:val="22"/>
                <w:highlight w:val="none"/>
              </w:rPr>
              <w:t>4</w:t>
            </w:r>
          </w:p>
        </w:tc>
        <w:tc>
          <w:tcPr>
            <w:tcW w:w="1103" w:type="dxa"/>
            <w:vMerge w:val="restart"/>
            <w:noWrap w:val="0"/>
            <w:vAlign w:val="center"/>
          </w:tcPr>
          <w:p>
            <w:pPr>
              <w:spacing w:line="240" w:lineRule="auto"/>
              <w:jc w:val="center"/>
              <w:rPr>
                <w:rFonts w:hint="eastAsia" w:ascii="宋体"/>
                <w:color w:val="auto"/>
                <w:sz w:val="22"/>
                <w:szCs w:val="22"/>
                <w:highlight w:val="none"/>
              </w:rPr>
            </w:pPr>
            <w:r>
              <w:rPr>
                <w:rFonts w:hint="eastAsia" w:ascii="宋体"/>
                <w:bCs/>
                <w:color w:val="auto"/>
                <w:sz w:val="22"/>
                <w:szCs w:val="22"/>
                <w:highlight w:val="none"/>
              </w:rPr>
              <w:t>其他</w:t>
            </w:r>
          </w:p>
        </w:tc>
        <w:tc>
          <w:tcPr>
            <w:tcW w:w="2668" w:type="dxa"/>
            <w:noWrap w:val="0"/>
            <w:vAlign w:val="center"/>
          </w:tcPr>
          <w:p>
            <w:pPr>
              <w:spacing w:line="240" w:lineRule="auto"/>
              <w:jc w:val="both"/>
              <w:rPr>
                <w:rFonts w:hint="eastAsia" w:ascii="宋体"/>
                <w:color w:val="auto"/>
                <w:sz w:val="22"/>
                <w:szCs w:val="22"/>
                <w:highlight w:val="none"/>
              </w:rPr>
            </w:pPr>
            <w:r>
              <w:rPr>
                <w:rFonts w:hint="eastAsia" w:ascii="宋体"/>
                <w:color w:val="auto"/>
                <w:sz w:val="22"/>
                <w:szCs w:val="22"/>
                <w:highlight w:val="none"/>
              </w:rPr>
              <w:t>河岸保洁经费（含两岸）</w:t>
            </w:r>
          </w:p>
        </w:tc>
        <w:tc>
          <w:tcPr>
            <w:tcW w:w="1577" w:type="dxa"/>
            <w:noWrap w:val="0"/>
            <w:vAlign w:val="center"/>
          </w:tcPr>
          <w:p>
            <w:pPr>
              <w:spacing w:line="360" w:lineRule="auto"/>
              <w:jc w:val="center"/>
              <w:rPr>
                <w:rFonts w:ascii="宋体"/>
                <w:color w:val="auto"/>
                <w:sz w:val="22"/>
                <w:szCs w:val="22"/>
                <w:highlight w:val="none"/>
              </w:rPr>
            </w:pPr>
          </w:p>
        </w:tc>
        <w:tc>
          <w:tcPr>
            <w:tcW w:w="1577" w:type="dxa"/>
            <w:noWrap w:val="0"/>
            <w:vAlign w:val="center"/>
          </w:tcPr>
          <w:p>
            <w:pPr>
              <w:spacing w:line="360" w:lineRule="auto"/>
              <w:jc w:val="center"/>
              <w:rPr>
                <w:rFonts w:ascii="宋体"/>
                <w:color w:val="auto"/>
                <w:spacing w:val="-20"/>
                <w:sz w:val="22"/>
                <w:szCs w:val="22"/>
                <w:highlight w:val="none"/>
              </w:rPr>
            </w:pPr>
          </w:p>
        </w:tc>
        <w:tc>
          <w:tcPr>
            <w:tcW w:w="1947" w:type="dxa"/>
            <w:noWrap w:val="0"/>
            <w:vAlign w:val="center"/>
          </w:tcPr>
          <w:p>
            <w:pPr>
              <w:spacing w:line="360" w:lineRule="auto"/>
              <w:jc w:val="center"/>
              <w:rPr>
                <w:rFonts w:ascii="宋体"/>
                <w:color w:val="auto"/>
                <w:spacing w:val="-2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rPr>
                <w:rFonts w:ascii="宋体"/>
                <w:color w:val="auto"/>
                <w:sz w:val="22"/>
                <w:szCs w:val="22"/>
                <w:highlight w:val="none"/>
              </w:rPr>
            </w:pPr>
          </w:p>
        </w:tc>
        <w:tc>
          <w:tcPr>
            <w:tcW w:w="2668" w:type="dxa"/>
            <w:noWrap w:val="0"/>
            <w:vAlign w:val="center"/>
          </w:tcPr>
          <w:p>
            <w:pPr>
              <w:spacing w:line="240" w:lineRule="auto"/>
              <w:rPr>
                <w:rFonts w:hint="eastAsia" w:ascii="宋体"/>
                <w:color w:val="auto"/>
                <w:sz w:val="22"/>
                <w:szCs w:val="22"/>
                <w:highlight w:val="none"/>
              </w:rPr>
            </w:pPr>
            <w:r>
              <w:rPr>
                <w:rFonts w:hint="eastAsia" w:ascii="宋体"/>
                <w:color w:val="auto"/>
                <w:sz w:val="22"/>
                <w:szCs w:val="22"/>
                <w:highlight w:val="none"/>
              </w:rPr>
              <w:t>杂草、水葫芦、浮萍、垃圾等清理</w:t>
            </w:r>
          </w:p>
        </w:tc>
        <w:tc>
          <w:tcPr>
            <w:tcW w:w="1577" w:type="dxa"/>
            <w:noWrap w:val="0"/>
            <w:vAlign w:val="center"/>
          </w:tcPr>
          <w:p>
            <w:pPr>
              <w:spacing w:line="360" w:lineRule="auto"/>
              <w:jc w:val="center"/>
              <w:rPr>
                <w:rFonts w:ascii="宋体"/>
                <w:color w:val="auto"/>
                <w:sz w:val="22"/>
                <w:szCs w:val="22"/>
                <w:highlight w:val="none"/>
              </w:rPr>
            </w:pPr>
          </w:p>
        </w:tc>
        <w:tc>
          <w:tcPr>
            <w:tcW w:w="1577" w:type="dxa"/>
            <w:noWrap w:val="0"/>
            <w:vAlign w:val="center"/>
          </w:tcPr>
          <w:p>
            <w:pPr>
              <w:spacing w:line="360" w:lineRule="auto"/>
              <w:jc w:val="center"/>
              <w:rPr>
                <w:rFonts w:ascii="宋体"/>
                <w:color w:val="auto"/>
                <w:spacing w:val="-20"/>
                <w:sz w:val="22"/>
                <w:szCs w:val="22"/>
                <w:highlight w:val="none"/>
              </w:rPr>
            </w:pPr>
          </w:p>
        </w:tc>
        <w:tc>
          <w:tcPr>
            <w:tcW w:w="1947" w:type="dxa"/>
            <w:noWrap w:val="0"/>
            <w:vAlign w:val="center"/>
          </w:tcPr>
          <w:p>
            <w:pPr>
              <w:spacing w:line="360" w:lineRule="auto"/>
              <w:jc w:val="center"/>
              <w:rPr>
                <w:rFonts w:ascii="宋体"/>
                <w:color w:val="auto"/>
                <w:spacing w:val="-2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rPr>
                <w:rFonts w:ascii="宋体"/>
                <w:color w:val="auto"/>
                <w:sz w:val="22"/>
                <w:szCs w:val="22"/>
                <w:highlight w:val="none"/>
              </w:rPr>
            </w:pPr>
          </w:p>
        </w:tc>
        <w:tc>
          <w:tcPr>
            <w:tcW w:w="2668" w:type="dxa"/>
            <w:noWrap w:val="0"/>
            <w:vAlign w:val="center"/>
          </w:tcPr>
          <w:p>
            <w:pPr>
              <w:spacing w:line="240" w:lineRule="auto"/>
              <w:rPr>
                <w:rFonts w:hint="eastAsia" w:ascii="宋体"/>
                <w:color w:val="auto"/>
                <w:sz w:val="22"/>
                <w:szCs w:val="22"/>
                <w:highlight w:val="none"/>
              </w:rPr>
            </w:pPr>
            <w:r>
              <w:rPr>
                <w:rFonts w:hint="eastAsia" w:ascii="宋体"/>
                <w:color w:val="auto"/>
                <w:sz w:val="22"/>
                <w:szCs w:val="22"/>
                <w:highlight w:val="none"/>
              </w:rPr>
              <w:t>垃圾清运消纳</w:t>
            </w:r>
          </w:p>
        </w:tc>
        <w:tc>
          <w:tcPr>
            <w:tcW w:w="1577" w:type="dxa"/>
            <w:noWrap w:val="0"/>
            <w:vAlign w:val="center"/>
          </w:tcPr>
          <w:p>
            <w:pPr>
              <w:spacing w:line="360" w:lineRule="auto"/>
              <w:jc w:val="center"/>
              <w:rPr>
                <w:rFonts w:hint="eastAsia" w:ascii="宋体"/>
                <w:color w:val="auto"/>
                <w:sz w:val="22"/>
                <w:szCs w:val="22"/>
                <w:highlight w:val="none"/>
              </w:rPr>
            </w:pPr>
          </w:p>
        </w:tc>
        <w:tc>
          <w:tcPr>
            <w:tcW w:w="1577" w:type="dxa"/>
            <w:noWrap w:val="0"/>
            <w:vAlign w:val="center"/>
          </w:tcPr>
          <w:p>
            <w:pPr>
              <w:spacing w:line="360" w:lineRule="auto"/>
              <w:jc w:val="center"/>
              <w:rPr>
                <w:rFonts w:ascii="宋体"/>
                <w:color w:val="auto"/>
                <w:spacing w:val="-20"/>
                <w:sz w:val="22"/>
                <w:szCs w:val="22"/>
                <w:highlight w:val="none"/>
              </w:rPr>
            </w:pPr>
          </w:p>
        </w:tc>
        <w:tc>
          <w:tcPr>
            <w:tcW w:w="1947" w:type="dxa"/>
            <w:noWrap w:val="0"/>
            <w:vAlign w:val="center"/>
          </w:tcPr>
          <w:p>
            <w:pPr>
              <w:spacing w:line="360" w:lineRule="auto"/>
              <w:jc w:val="center"/>
              <w:rPr>
                <w:rFonts w:ascii="宋体"/>
                <w:color w:val="auto"/>
                <w:spacing w:val="-2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hint="eastAsia" w:ascii="宋体"/>
                <w:color w:val="auto"/>
                <w:sz w:val="22"/>
                <w:szCs w:val="22"/>
                <w:highlight w:val="none"/>
              </w:rPr>
            </w:pPr>
            <w:r>
              <w:rPr>
                <w:rFonts w:hint="eastAsia" w:ascii="宋体"/>
                <w:color w:val="auto"/>
                <w:sz w:val="22"/>
                <w:szCs w:val="22"/>
                <w:highlight w:val="none"/>
              </w:rPr>
              <w:t>突击治理活动</w:t>
            </w:r>
          </w:p>
        </w:tc>
        <w:tc>
          <w:tcPr>
            <w:tcW w:w="1577" w:type="dxa"/>
            <w:noWrap w:val="0"/>
            <w:vAlign w:val="center"/>
          </w:tcPr>
          <w:p>
            <w:pPr>
              <w:spacing w:line="360" w:lineRule="auto"/>
              <w:jc w:val="center"/>
              <w:rPr>
                <w:rFonts w:hint="eastAsia" w:ascii="宋体"/>
                <w:color w:val="auto"/>
                <w:sz w:val="22"/>
                <w:szCs w:val="22"/>
                <w:highlight w:val="none"/>
              </w:rPr>
            </w:pPr>
          </w:p>
        </w:tc>
        <w:tc>
          <w:tcPr>
            <w:tcW w:w="1577" w:type="dxa"/>
            <w:noWrap w:val="0"/>
            <w:vAlign w:val="center"/>
          </w:tcPr>
          <w:p>
            <w:pPr>
              <w:spacing w:line="360" w:lineRule="auto"/>
              <w:jc w:val="center"/>
              <w:rPr>
                <w:rFonts w:ascii="宋体"/>
                <w:color w:val="auto"/>
                <w:spacing w:val="-20"/>
                <w:sz w:val="22"/>
                <w:szCs w:val="22"/>
                <w:highlight w:val="none"/>
              </w:rPr>
            </w:pPr>
          </w:p>
        </w:tc>
        <w:tc>
          <w:tcPr>
            <w:tcW w:w="1947" w:type="dxa"/>
            <w:noWrap w:val="0"/>
            <w:vAlign w:val="center"/>
          </w:tcPr>
          <w:p>
            <w:pPr>
              <w:spacing w:line="360" w:lineRule="auto"/>
              <w:jc w:val="center"/>
              <w:rPr>
                <w:rFonts w:ascii="宋体"/>
                <w:color w:val="auto"/>
                <w:spacing w:val="-2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vMerge w:val="continue"/>
            <w:noWrap w:val="0"/>
            <w:vAlign w:val="center"/>
          </w:tcPr>
          <w:p>
            <w:pPr>
              <w:spacing w:line="240" w:lineRule="auto"/>
              <w:jc w:val="center"/>
              <w:rPr>
                <w:rFonts w:ascii="宋体"/>
                <w:color w:val="auto"/>
                <w:sz w:val="22"/>
                <w:szCs w:val="22"/>
                <w:highlight w:val="none"/>
              </w:rPr>
            </w:pPr>
          </w:p>
        </w:tc>
        <w:tc>
          <w:tcPr>
            <w:tcW w:w="1103" w:type="dxa"/>
            <w:vMerge w:val="continue"/>
            <w:noWrap w:val="0"/>
            <w:vAlign w:val="center"/>
          </w:tcPr>
          <w:p>
            <w:pPr>
              <w:spacing w:line="240" w:lineRule="auto"/>
              <w:jc w:val="center"/>
              <w:rPr>
                <w:rFonts w:ascii="宋体"/>
                <w:color w:val="auto"/>
                <w:sz w:val="22"/>
                <w:szCs w:val="22"/>
                <w:highlight w:val="none"/>
              </w:rPr>
            </w:pPr>
          </w:p>
        </w:tc>
        <w:tc>
          <w:tcPr>
            <w:tcW w:w="2668" w:type="dxa"/>
            <w:noWrap w:val="0"/>
            <w:vAlign w:val="center"/>
          </w:tcPr>
          <w:p>
            <w:pPr>
              <w:spacing w:line="240" w:lineRule="auto"/>
              <w:rPr>
                <w:rFonts w:ascii="宋体"/>
                <w:color w:val="auto"/>
                <w:sz w:val="22"/>
                <w:szCs w:val="22"/>
                <w:highlight w:val="none"/>
              </w:rPr>
            </w:pPr>
            <w:r>
              <w:rPr>
                <w:rFonts w:ascii="新宋体" w:hAnsi="新宋体" w:eastAsia="新宋体"/>
                <w:color w:val="auto"/>
                <w:sz w:val="22"/>
                <w:szCs w:val="22"/>
                <w:highlight w:val="none"/>
              </w:rPr>
              <w:t>……</w:t>
            </w:r>
          </w:p>
        </w:tc>
        <w:tc>
          <w:tcPr>
            <w:tcW w:w="1577" w:type="dxa"/>
            <w:noWrap w:val="0"/>
            <w:vAlign w:val="center"/>
          </w:tcPr>
          <w:p>
            <w:pPr>
              <w:spacing w:line="360" w:lineRule="auto"/>
              <w:jc w:val="center"/>
              <w:rPr>
                <w:rFonts w:hint="eastAsia" w:ascii="宋体"/>
                <w:color w:val="auto"/>
                <w:sz w:val="22"/>
                <w:szCs w:val="22"/>
                <w:highlight w:val="none"/>
              </w:rPr>
            </w:pPr>
          </w:p>
        </w:tc>
        <w:tc>
          <w:tcPr>
            <w:tcW w:w="1577" w:type="dxa"/>
            <w:noWrap w:val="0"/>
            <w:vAlign w:val="center"/>
          </w:tcPr>
          <w:p>
            <w:pPr>
              <w:spacing w:line="360" w:lineRule="auto"/>
              <w:jc w:val="center"/>
              <w:rPr>
                <w:rFonts w:ascii="宋体"/>
                <w:color w:val="auto"/>
                <w:spacing w:val="-20"/>
                <w:sz w:val="22"/>
                <w:szCs w:val="22"/>
                <w:highlight w:val="none"/>
              </w:rPr>
            </w:pPr>
          </w:p>
        </w:tc>
        <w:tc>
          <w:tcPr>
            <w:tcW w:w="1947" w:type="dxa"/>
            <w:noWrap w:val="0"/>
            <w:vAlign w:val="center"/>
          </w:tcPr>
          <w:p>
            <w:pPr>
              <w:spacing w:line="360" w:lineRule="auto"/>
              <w:jc w:val="center"/>
              <w:rPr>
                <w:rFonts w:ascii="宋体"/>
                <w:color w:val="auto"/>
                <w:spacing w:val="-20"/>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6" w:type="dxa"/>
            <w:noWrap w:val="0"/>
            <w:vAlign w:val="center"/>
          </w:tcPr>
          <w:p>
            <w:pPr>
              <w:spacing w:line="240" w:lineRule="auto"/>
              <w:jc w:val="center"/>
              <w:rPr>
                <w:rFonts w:hint="eastAsia" w:ascii="宋体"/>
                <w:bCs/>
                <w:color w:val="auto"/>
                <w:sz w:val="22"/>
                <w:szCs w:val="22"/>
                <w:highlight w:val="none"/>
              </w:rPr>
            </w:pPr>
            <w:r>
              <w:rPr>
                <w:rFonts w:hint="eastAsia" w:ascii="宋体"/>
                <w:bCs/>
                <w:color w:val="auto"/>
                <w:sz w:val="22"/>
                <w:szCs w:val="22"/>
                <w:highlight w:val="none"/>
              </w:rPr>
              <w:t>5</w:t>
            </w:r>
          </w:p>
        </w:tc>
        <w:tc>
          <w:tcPr>
            <w:tcW w:w="3771" w:type="dxa"/>
            <w:gridSpan w:val="2"/>
            <w:noWrap w:val="0"/>
            <w:vAlign w:val="center"/>
          </w:tcPr>
          <w:p>
            <w:pPr>
              <w:spacing w:line="240" w:lineRule="auto"/>
              <w:jc w:val="center"/>
              <w:rPr>
                <w:rFonts w:ascii="宋体"/>
                <w:bCs/>
                <w:color w:val="auto"/>
                <w:sz w:val="22"/>
                <w:szCs w:val="22"/>
                <w:highlight w:val="none"/>
              </w:rPr>
            </w:pPr>
            <w:r>
              <w:rPr>
                <w:rFonts w:hint="eastAsia" w:ascii="宋体"/>
                <w:bCs/>
                <w:color w:val="auto"/>
                <w:sz w:val="22"/>
                <w:szCs w:val="22"/>
                <w:highlight w:val="none"/>
              </w:rPr>
              <w:t>经营管理费</w:t>
            </w:r>
          </w:p>
        </w:tc>
        <w:tc>
          <w:tcPr>
            <w:tcW w:w="1577" w:type="dxa"/>
            <w:noWrap w:val="0"/>
            <w:vAlign w:val="center"/>
          </w:tcPr>
          <w:p>
            <w:pPr>
              <w:spacing w:line="360" w:lineRule="auto"/>
              <w:jc w:val="center"/>
              <w:rPr>
                <w:rFonts w:ascii="宋体"/>
                <w:bCs/>
                <w:color w:val="auto"/>
                <w:sz w:val="22"/>
                <w:szCs w:val="22"/>
                <w:highlight w:val="none"/>
              </w:rPr>
            </w:pPr>
          </w:p>
        </w:tc>
        <w:tc>
          <w:tcPr>
            <w:tcW w:w="1577" w:type="dxa"/>
            <w:noWrap w:val="0"/>
            <w:vAlign w:val="center"/>
          </w:tcPr>
          <w:p>
            <w:pPr>
              <w:spacing w:line="360" w:lineRule="auto"/>
              <w:jc w:val="center"/>
              <w:rPr>
                <w:rFonts w:ascii="宋体"/>
                <w:color w:val="auto"/>
                <w:spacing w:val="-20"/>
                <w:sz w:val="22"/>
                <w:szCs w:val="22"/>
                <w:highlight w:val="none"/>
              </w:rPr>
            </w:pPr>
          </w:p>
        </w:tc>
        <w:tc>
          <w:tcPr>
            <w:tcW w:w="1947" w:type="dxa"/>
            <w:noWrap w:val="0"/>
            <w:vAlign w:val="center"/>
          </w:tcPr>
          <w:p>
            <w:pPr>
              <w:spacing w:line="360" w:lineRule="auto"/>
              <w:jc w:val="center"/>
              <w:rPr>
                <w:rFonts w:ascii="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6" w:type="dxa"/>
            <w:noWrap w:val="0"/>
            <w:vAlign w:val="center"/>
          </w:tcPr>
          <w:p>
            <w:pPr>
              <w:spacing w:line="240" w:lineRule="auto"/>
              <w:jc w:val="center"/>
              <w:rPr>
                <w:rFonts w:hint="eastAsia" w:ascii="宋体"/>
                <w:bCs/>
                <w:color w:val="auto"/>
                <w:sz w:val="22"/>
                <w:szCs w:val="22"/>
                <w:highlight w:val="none"/>
              </w:rPr>
            </w:pPr>
            <w:r>
              <w:rPr>
                <w:rFonts w:hint="eastAsia" w:ascii="宋体"/>
                <w:bCs/>
                <w:color w:val="auto"/>
                <w:sz w:val="22"/>
                <w:szCs w:val="22"/>
                <w:highlight w:val="none"/>
              </w:rPr>
              <w:t>6</w:t>
            </w:r>
          </w:p>
        </w:tc>
        <w:tc>
          <w:tcPr>
            <w:tcW w:w="3771" w:type="dxa"/>
            <w:gridSpan w:val="2"/>
            <w:noWrap w:val="0"/>
            <w:vAlign w:val="center"/>
          </w:tcPr>
          <w:p>
            <w:pPr>
              <w:spacing w:line="240" w:lineRule="auto"/>
              <w:jc w:val="center"/>
              <w:rPr>
                <w:rFonts w:ascii="宋体"/>
                <w:bCs/>
                <w:color w:val="auto"/>
                <w:sz w:val="22"/>
                <w:szCs w:val="22"/>
                <w:highlight w:val="none"/>
              </w:rPr>
            </w:pPr>
            <w:r>
              <w:rPr>
                <w:rFonts w:hint="eastAsia" w:ascii="宋体"/>
                <w:bCs/>
                <w:color w:val="auto"/>
                <w:sz w:val="22"/>
                <w:szCs w:val="22"/>
                <w:highlight w:val="none"/>
              </w:rPr>
              <w:t>利润</w:t>
            </w:r>
          </w:p>
        </w:tc>
        <w:tc>
          <w:tcPr>
            <w:tcW w:w="1577" w:type="dxa"/>
            <w:noWrap w:val="0"/>
            <w:vAlign w:val="center"/>
          </w:tcPr>
          <w:p>
            <w:pPr>
              <w:spacing w:line="360" w:lineRule="auto"/>
              <w:jc w:val="center"/>
              <w:rPr>
                <w:rFonts w:ascii="宋体"/>
                <w:bCs/>
                <w:color w:val="auto"/>
                <w:sz w:val="22"/>
                <w:szCs w:val="22"/>
                <w:highlight w:val="none"/>
              </w:rPr>
            </w:pPr>
          </w:p>
        </w:tc>
        <w:tc>
          <w:tcPr>
            <w:tcW w:w="1577" w:type="dxa"/>
            <w:noWrap w:val="0"/>
            <w:vAlign w:val="center"/>
          </w:tcPr>
          <w:p>
            <w:pPr>
              <w:spacing w:line="360" w:lineRule="auto"/>
              <w:jc w:val="center"/>
              <w:rPr>
                <w:rFonts w:ascii="宋体"/>
                <w:color w:val="auto"/>
                <w:spacing w:val="-20"/>
                <w:sz w:val="22"/>
                <w:szCs w:val="22"/>
                <w:highlight w:val="none"/>
              </w:rPr>
            </w:pPr>
          </w:p>
        </w:tc>
        <w:tc>
          <w:tcPr>
            <w:tcW w:w="1947" w:type="dxa"/>
            <w:noWrap w:val="0"/>
            <w:vAlign w:val="center"/>
          </w:tcPr>
          <w:p>
            <w:pPr>
              <w:spacing w:line="360" w:lineRule="auto"/>
              <w:jc w:val="center"/>
              <w:rPr>
                <w:rFonts w:ascii="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tcBorders>
              <w:right w:val="single" w:color="auto" w:sz="4" w:space="0"/>
            </w:tcBorders>
            <w:noWrap w:val="0"/>
            <w:vAlign w:val="center"/>
          </w:tcPr>
          <w:p>
            <w:pPr>
              <w:spacing w:line="240" w:lineRule="auto"/>
              <w:jc w:val="center"/>
              <w:rPr>
                <w:rFonts w:hint="eastAsia" w:ascii="宋体"/>
                <w:color w:val="auto"/>
                <w:sz w:val="22"/>
                <w:szCs w:val="22"/>
                <w:highlight w:val="none"/>
              </w:rPr>
            </w:pPr>
            <w:r>
              <w:rPr>
                <w:rFonts w:hint="eastAsia" w:ascii="宋体"/>
                <w:color w:val="auto"/>
                <w:sz w:val="22"/>
                <w:szCs w:val="22"/>
                <w:highlight w:val="none"/>
              </w:rPr>
              <w:t>7</w:t>
            </w:r>
          </w:p>
        </w:tc>
        <w:tc>
          <w:tcPr>
            <w:tcW w:w="3771" w:type="dxa"/>
            <w:gridSpan w:val="2"/>
            <w:tcBorders>
              <w:left w:val="single" w:color="auto" w:sz="4" w:space="0"/>
            </w:tcBorders>
            <w:noWrap w:val="0"/>
            <w:vAlign w:val="center"/>
          </w:tcPr>
          <w:p>
            <w:pPr>
              <w:spacing w:line="240" w:lineRule="auto"/>
              <w:jc w:val="center"/>
              <w:rPr>
                <w:rFonts w:hint="eastAsia" w:ascii="宋体"/>
                <w:color w:val="auto"/>
                <w:sz w:val="22"/>
                <w:szCs w:val="22"/>
                <w:highlight w:val="none"/>
              </w:rPr>
            </w:pPr>
            <w:r>
              <w:rPr>
                <w:rFonts w:hint="eastAsia" w:ascii="宋体"/>
                <w:bCs/>
                <w:color w:val="auto"/>
                <w:sz w:val="22"/>
                <w:szCs w:val="22"/>
                <w:highlight w:val="none"/>
              </w:rPr>
              <w:t>税金</w:t>
            </w:r>
          </w:p>
        </w:tc>
        <w:tc>
          <w:tcPr>
            <w:tcW w:w="1577" w:type="dxa"/>
            <w:noWrap w:val="0"/>
            <w:vAlign w:val="center"/>
          </w:tcPr>
          <w:p>
            <w:pPr>
              <w:spacing w:line="360" w:lineRule="auto"/>
              <w:jc w:val="center"/>
              <w:rPr>
                <w:rFonts w:ascii="宋体"/>
                <w:color w:val="auto"/>
                <w:sz w:val="22"/>
                <w:szCs w:val="22"/>
                <w:highlight w:val="none"/>
              </w:rPr>
            </w:pPr>
          </w:p>
        </w:tc>
        <w:tc>
          <w:tcPr>
            <w:tcW w:w="1577" w:type="dxa"/>
            <w:noWrap w:val="0"/>
            <w:vAlign w:val="center"/>
          </w:tcPr>
          <w:p>
            <w:pPr>
              <w:spacing w:line="360" w:lineRule="auto"/>
              <w:jc w:val="center"/>
              <w:rPr>
                <w:rFonts w:ascii="宋体"/>
                <w:color w:val="auto"/>
                <w:spacing w:val="-20"/>
                <w:sz w:val="22"/>
                <w:szCs w:val="22"/>
                <w:highlight w:val="none"/>
              </w:rPr>
            </w:pPr>
          </w:p>
        </w:tc>
        <w:tc>
          <w:tcPr>
            <w:tcW w:w="1947" w:type="dxa"/>
            <w:noWrap w:val="0"/>
            <w:vAlign w:val="center"/>
          </w:tcPr>
          <w:p>
            <w:pPr>
              <w:spacing w:line="360" w:lineRule="auto"/>
              <w:jc w:val="center"/>
              <w:rPr>
                <w:rFonts w:ascii="宋体"/>
                <w:color w:val="auto"/>
                <w:sz w:val="22"/>
                <w:szCs w:val="22"/>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6" w:type="dxa"/>
            <w:tcBorders>
              <w:right w:val="single" w:color="auto" w:sz="4" w:space="0"/>
            </w:tcBorders>
            <w:noWrap w:val="0"/>
            <w:vAlign w:val="center"/>
          </w:tcPr>
          <w:p>
            <w:pPr>
              <w:spacing w:line="240" w:lineRule="auto"/>
              <w:jc w:val="center"/>
              <w:rPr>
                <w:rFonts w:hint="eastAsia" w:ascii="宋体"/>
                <w:bCs/>
                <w:color w:val="auto"/>
                <w:sz w:val="22"/>
                <w:szCs w:val="22"/>
                <w:highlight w:val="none"/>
              </w:rPr>
            </w:pPr>
            <w:r>
              <w:rPr>
                <w:rFonts w:hint="eastAsia" w:ascii="宋体"/>
                <w:bCs/>
                <w:color w:val="auto"/>
                <w:sz w:val="22"/>
                <w:szCs w:val="22"/>
                <w:highlight w:val="none"/>
              </w:rPr>
              <w:t>8</w:t>
            </w:r>
          </w:p>
        </w:tc>
        <w:tc>
          <w:tcPr>
            <w:tcW w:w="3771" w:type="dxa"/>
            <w:gridSpan w:val="2"/>
            <w:tcBorders>
              <w:left w:val="single" w:color="auto" w:sz="4" w:space="0"/>
            </w:tcBorders>
            <w:noWrap w:val="0"/>
            <w:vAlign w:val="center"/>
          </w:tcPr>
          <w:p>
            <w:pPr>
              <w:spacing w:line="240" w:lineRule="auto"/>
              <w:jc w:val="center"/>
              <w:rPr>
                <w:rFonts w:hint="eastAsia" w:ascii="宋体"/>
                <w:bCs/>
                <w:color w:val="auto"/>
                <w:sz w:val="22"/>
                <w:szCs w:val="22"/>
                <w:highlight w:val="none"/>
              </w:rPr>
            </w:pPr>
            <w:r>
              <w:rPr>
                <w:rFonts w:hint="eastAsia" w:ascii="宋体"/>
                <w:bCs/>
                <w:color w:val="auto"/>
                <w:sz w:val="22"/>
                <w:highlight w:val="none"/>
              </w:rPr>
              <w:t>总价</w:t>
            </w:r>
            <w:r>
              <w:rPr>
                <w:rFonts w:hint="eastAsia" w:ascii="新宋体" w:hAnsi="新宋体" w:eastAsia="新宋体"/>
                <w:bCs/>
                <w:color w:val="auto"/>
                <w:sz w:val="22"/>
                <w:szCs w:val="22"/>
                <w:highlight w:val="none"/>
              </w:rPr>
              <w:t>（</w:t>
            </w:r>
            <w:r>
              <w:rPr>
                <w:rFonts w:hint="eastAsia" w:ascii="宋体"/>
                <w:color w:val="auto"/>
                <w:sz w:val="22"/>
                <w:szCs w:val="22"/>
                <w:highlight w:val="none"/>
              </w:rPr>
              <w:t>1+2+3+4+5+6+7</w:t>
            </w:r>
            <w:r>
              <w:rPr>
                <w:rFonts w:hint="eastAsia" w:ascii="新宋体" w:hAnsi="新宋体" w:eastAsia="新宋体"/>
                <w:bCs/>
                <w:color w:val="auto"/>
                <w:sz w:val="22"/>
                <w:szCs w:val="22"/>
                <w:highlight w:val="none"/>
              </w:rPr>
              <w:t>）</w:t>
            </w:r>
          </w:p>
        </w:tc>
        <w:tc>
          <w:tcPr>
            <w:tcW w:w="5101" w:type="dxa"/>
            <w:gridSpan w:val="3"/>
            <w:noWrap w:val="0"/>
            <w:vAlign w:val="center"/>
          </w:tcPr>
          <w:p>
            <w:pPr>
              <w:spacing w:line="360" w:lineRule="auto"/>
              <w:jc w:val="center"/>
              <w:rPr>
                <w:rFonts w:ascii="宋体"/>
                <w:color w:val="auto"/>
                <w:sz w:val="22"/>
                <w:szCs w:val="22"/>
                <w:highlight w:val="none"/>
              </w:rPr>
            </w:pPr>
          </w:p>
        </w:tc>
      </w:tr>
    </w:tbl>
    <w:p>
      <w:pPr>
        <w:spacing w:line="380" w:lineRule="exact"/>
        <w:rPr>
          <w:rFonts w:hint="eastAsia" w:ascii="楷体_GB2312" w:hAnsi="新宋体" w:eastAsia="楷体_GB2312"/>
          <w:b/>
          <w:color w:val="auto"/>
          <w:sz w:val="22"/>
          <w:highlight w:val="none"/>
        </w:rPr>
      </w:pPr>
      <w:r>
        <w:rPr>
          <w:rFonts w:hint="eastAsia" w:ascii="宋体" w:hAnsi="宋体"/>
          <w:color w:val="auto"/>
          <w:sz w:val="22"/>
          <w:szCs w:val="22"/>
          <w:highlight w:val="none"/>
        </w:rPr>
        <w:t>说明：</w:t>
      </w:r>
    </w:p>
    <w:p>
      <w:pPr>
        <w:tabs>
          <w:tab w:val="left" w:pos="900"/>
        </w:tabs>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1)以上核算需符合国家相关法律、法规及温州市有关劳动法、税务、社会保险等方面的规定。</w:t>
      </w:r>
    </w:p>
    <w:p>
      <w:pPr>
        <w:tabs>
          <w:tab w:val="left" w:pos="900"/>
        </w:tabs>
        <w:spacing w:line="360" w:lineRule="exact"/>
        <w:rPr>
          <w:rFonts w:hint="eastAsia" w:ascii="宋体" w:hAnsi="宋体"/>
          <w:b/>
          <w:bCs/>
          <w:color w:val="auto"/>
          <w:sz w:val="22"/>
          <w:szCs w:val="22"/>
          <w:highlight w:val="none"/>
        </w:rPr>
      </w:pPr>
      <w:r>
        <w:rPr>
          <w:rFonts w:hint="eastAsia" w:ascii="宋体" w:hAnsi="宋体"/>
          <w:color w:val="auto"/>
          <w:sz w:val="22"/>
          <w:szCs w:val="22"/>
          <w:highlight w:val="none"/>
        </w:rPr>
        <w:t>2)</w:t>
      </w:r>
      <w:r>
        <w:rPr>
          <w:rFonts w:hint="eastAsia" w:ascii="宋体" w:hAnsi="宋体"/>
          <w:b/>
          <w:bCs/>
          <w:color w:val="auto"/>
          <w:sz w:val="28"/>
          <w:szCs w:val="28"/>
          <w:highlight w:val="none"/>
        </w:rPr>
        <w:t xml:space="preserve"> </w:t>
      </w:r>
      <w:r>
        <w:rPr>
          <w:rFonts w:hint="eastAsia" w:ascii="宋体" w:hAnsi="宋体"/>
          <w:bCs/>
          <w:color w:val="auto"/>
          <w:sz w:val="22"/>
          <w:szCs w:val="22"/>
          <w:highlight w:val="none"/>
        </w:rPr>
        <w:t>投标报价明细表</w:t>
      </w:r>
      <w:r>
        <w:rPr>
          <w:rFonts w:hint="eastAsia" w:ascii="宋体" w:hAnsi="宋体"/>
          <w:color w:val="auto"/>
          <w:sz w:val="22"/>
          <w:szCs w:val="22"/>
          <w:highlight w:val="none"/>
        </w:rPr>
        <w:t>内总计价应与附件二“</w:t>
      </w:r>
      <w:r>
        <w:rPr>
          <w:rFonts w:hint="eastAsia" w:hAnsi="宋体"/>
          <w:color w:val="auto"/>
          <w:sz w:val="22"/>
          <w:szCs w:val="22"/>
          <w:highlight w:val="none"/>
        </w:rPr>
        <w:t>投标报价一览表</w:t>
      </w:r>
      <w:r>
        <w:rPr>
          <w:rFonts w:hint="eastAsia" w:ascii="宋体" w:hAnsi="宋体"/>
          <w:color w:val="auto"/>
          <w:sz w:val="22"/>
          <w:szCs w:val="22"/>
          <w:highlight w:val="none"/>
        </w:rPr>
        <w:t>”中“</w:t>
      </w:r>
      <w:r>
        <w:rPr>
          <w:rFonts w:hint="eastAsia" w:hAnsi="宋体"/>
          <w:color w:val="auto"/>
          <w:sz w:val="22"/>
          <w:szCs w:val="22"/>
          <w:highlight w:val="none"/>
        </w:rPr>
        <w:t>河道保洁服务</w:t>
      </w:r>
      <w:r>
        <w:rPr>
          <w:rFonts w:ascii="宋体" w:hAnsi="宋体"/>
          <w:color w:val="auto"/>
          <w:sz w:val="22"/>
          <w:szCs w:val="22"/>
          <w:highlight w:val="none"/>
        </w:rPr>
        <w:t>”</w:t>
      </w:r>
      <w:r>
        <w:rPr>
          <w:rFonts w:hint="eastAsia" w:ascii="宋体" w:hAnsi="宋体"/>
          <w:color w:val="auto"/>
          <w:sz w:val="22"/>
          <w:szCs w:val="22"/>
          <w:highlight w:val="none"/>
        </w:rPr>
        <w:t>投标报价相一致。</w:t>
      </w:r>
    </w:p>
    <w:p>
      <w:pPr>
        <w:tabs>
          <w:tab w:val="left" w:pos="900"/>
        </w:tabs>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3)</w:t>
      </w:r>
      <w:r>
        <w:rPr>
          <w:rFonts w:hint="eastAsia" w:ascii="宋体" w:hAnsi="宋体"/>
          <w:b/>
          <w:bCs/>
          <w:color w:val="auto"/>
          <w:sz w:val="22"/>
          <w:szCs w:val="22"/>
          <w:highlight w:val="none"/>
          <w:u w:val="single"/>
        </w:rPr>
        <w:t xml:space="preserve"> ▲</w:t>
      </w:r>
      <w:r>
        <w:rPr>
          <w:rFonts w:hint="eastAsia" w:ascii="宋体" w:hAnsi="宋体"/>
          <w:color w:val="auto"/>
          <w:sz w:val="22"/>
          <w:szCs w:val="22"/>
          <w:highlight w:val="none"/>
          <w:u w:val="single"/>
        </w:rPr>
        <w:t>不提供此表的报价，视为没有实质性响应招标文件要求</w:t>
      </w:r>
      <w:r>
        <w:rPr>
          <w:rFonts w:hint="eastAsia" w:ascii="宋体" w:hAnsi="宋体"/>
          <w:color w:val="auto"/>
          <w:sz w:val="22"/>
          <w:szCs w:val="22"/>
          <w:highlight w:val="none"/>
        </w:rPr>
        <w:t>。</w:t>
      </w:r>
    </w:p>
    <w:p>
      <w:pPr>
        <w:tabs>
          <w:tab w:val="left" w:pos="900"/>
        </w:tabs>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4）此报价表中的“人工费”测算要求测算此次投入人员的总人数的全部费用，不可只计算部分人员费用。</w:t>
      </w:r>
    </w:p>
    <w:p>
      <w:pPr>
        <w:tabs>
          <w:tab w:val="left" w:pos="900"/>
        </w:tabs>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5)各项费用如已包含在其它费用中请注明“含”，若免费请注明“免”, 若没有请注明“无”。</w:t>
      </w:r>
    </w:p>
    <w:p>
      <w:pPr>
        <w:tabs>
          <w:tab w:val="left" w:pos="900"/>
        </w:tabs>
        <w:spacing w:line="360" w:lineRule="exact"/>
        <w:rPr>
          <w:rFonts w:hint="eastAsia" w:ascii="宋体" w:hAnsi="宋体"/>
          <w:color w:val="auto"/>
          <w:sz w:val="22"/>
          <w:szCs w:val="22"/>
          <w:highlight w:val="none"/>
        </w:rPr>
      </w:pPr>
      <w:r>
        <w:rPr>
          <w:rFonts w:hint="eastAsia" w:ascii="宋体" w:hAnsi="宋体"/>
          <w:color w:val="auto"/>
          <w:sz w:val="22"/>
          <w:szCs w:val="22"/>
          <w:highlight w:val="none"/>
        </w:rPr>
        <w:t>6）投标人可根据此表格式适当修改/扩充/减少报价项目名称。</w:t>
      </w:r>
    </w:p>
    <w:p>
      <w:pPr>
        <w:spacing w:line="320" w:lineRule="exact"/>
        <w:rPr>
          <w:rFonts w:hint="eastAsia" w:ascii="宋体" w:hAnsi="宋体"/>
          <w:color w:val="auto"/>
          <w:sz w:val="22"/>
          <w:szCs w:val="22"/>
          <w:highlight w:val="none"/>
        </w:rPr>
      </w:pPr>
      <w:r>
        <w:rPr>
          <w:rFonts w:hint="eastAsia" w:ascii="宋体" w:hAnsi="宋体"/>
          <w:color w:val="auto"/>
          <w:sz w:val="22"/>
          <w:szCs w:val="22"/>
          <w:highlight w:val="none"/>
        </w:rPr>
        <w:t>7）本表所列费用为本项目河道保洁部分</w:t>
      </w:r>
      <w:r>
        <w:rPr>
          <w:rFonts w:hint="eastAsia" w:ascii="宋体"/>
          <w:color w:val="auto"/>
          <w:szCs w:val="21"/>
          <w:highlight w:val="none"/>
          <w:lang w:eastAsia="zh-CN"/>
        </w:rPr>
        <w:t>1年</w:t>
      </w:r>
      <w:r>
        <w:rPr>
          <w:rFonts w:hint="eastAsia" w:ascii="宋体" w:hAnsi="宋体"/>
          <w:color w:val="auto"/>
          <w:sz w:val="22"/>
          <w:szCs w:val="22"/>
          <w:highlight w:val="none"/>
        </w:rPr>
        <w:t>的全部费用，未列费用均为综合考虑。</w:t>
      </w:r>
    </w:p>
    <w:p>
      <w:pPr>
        <w:spacing w:line="380" w:lineRule="exact"/>
        <w:ind w:firstLine="4400" w:firstLineChars="2000"/>
        <w:rPr>
          <w:rFonts w:hint="eastAsia" w:ascii="宋体" w:hAnsi="宋体" w:cs="宋体"/>
          <w:color w:val="auto"/>
          <w:sz w:val="22"/>
          <w:highlight w:val="none"/>
        </w:rPr>
      </w:pPr>
    </w:p>
    <w:p>
      <w:pPr>
        <w:spacing w:line="500" w:lineRule="exact"/>
        <w:ind w:right="880"/>
        <w:jc w:val="center"/>
        <w:rPr>
          <w:rFonts w:hint="eastAsia" w:ascii="宋体" w:hAnsi="宋体" w:cs="宋体"/>
          <w:color w:val="auto"/>
          <w:sz w:val="22"/>
          <w:szCs w:val="22"/>
          <w:highlight w:val="none"/>
        </w:rPr>
      </w:pPr>
      <w:r>
        <w:rPr>
          <w:rFonts w:hint="eastAsia" w:ascii="宋体" w:hAnsi="宋体" w:cs="宋体"/>
          <w:color w:val="auto"/>
          <w:sz w:val="22"/>
          <w:highlight w:val="none"/>
        </w:rPr>
        <w:t xml:space="preserve">                                                </w:t>
      </w:r>
      <w:r>
        <w:rPr>
          <w:rFonts w:hint="eastAsia" w:ascii="宋体" w:hAnsi="宋体" w:cs="宋体"/>
          <w:color w:val="auto"/>
          <w:sz w:val="22"/>
          <w:highlight w:val="none"/>
          <w:lang w:val="en-US" w:eastAsia="zh-CN"/>
        </w:rPr>
        <w:t xml:space="preserve">      </w:t>
      </w:r>
      <w:r>
        <w:rPr>
          <w:rFonts w:hint="eastAsia" w:ascii="宋体" w:hAnsi="宋体" w:cs="宋体"/>
          <w:color w:val="auto"/>
          <w:sz w:val="22"/>
          <w:highlight w:val="none"/>
        </w:rPr>
        <w:t xml:space="preserve"> 投</w:t>
      </w:r>
      <w:r>
        <w:rPr>
          <w:rFonts w:hint="eastAsia" w:ascii="宋体" w:hAnsi="宋体" w:cs="宋体"/>
          <w:color w:val="auto"/>
          <w:sz w:val="22"/>
          <w:szCs w:val="22"/>
          <w:highlight w:val="none"/>
        </w:rPr>
        <w:t>标人全称（盖章）：</w:t>
      </w:r>
    </w:p>
    <w:p>
      <w:pPr>
        <w:spacing w:line="500" w:lineRule="exact"/>
        <w:ind w:firstLine="6050" w:firstLineChars="2750"/>
        <w:rPr>
          <w:rFonts w:hint="eastAsia" w:ascii="宋体" w:hAnsi="宋体" w:cs="宋体"/>
          <w:color w:val="auto"/>
          <w:sz w:val="22"/>
          <w:szCs w:val="22"/>
          <w:highlight w:val="none"/>
        </w:rPr>
      </w:pPr>
      <w:r>
        <w:rPr>
          <w:rFonts w:hint="eastAsia" w:ascii="宋体" w:hAnsi="宋体" w:cs="宋体"/>
          <w:color w:val="auto"/>
          <w:sz w:val="22"/>
          <w:szCs w:val="22"/>
          <w:highlight w:val="none"/>
        </w:rPr>
        <w:t>法定代表人或授权代表（签名）：</w:t>
      </w:r>
    </w:p>
    <w:p>
      <w:pPr>
        <w:spacing w:line="500" w:lineRule="exact"/>
        <w:ind w:left="5922" w:leftChars="2820" w:firstLine="110" w:firstLineChars="50"/>
        <w:rPr>
          <w:rFonts w:hint="eastAsia" w:ascii="宋体" w:hAnsi="宋体" w:cs="宋体"/>
          <w:color w:val="auto"/>
          <w:sz w:val="22"/>
          <w:szCs w:val="22"/>
          <w:highlight w:val="none"/>
        </w:rPr>
      </w:pPr>
      <w:r>
        <w:rPr>
          <w:rFonts w:hint="eastAsia" w:ascii="宋体" w:hAnsi="宋体" w:cs="宋体"/>
          <w:color w:val="auto"/>
          <w:sz w:val="22"/>
          <w:szCs w:val="22"/>
          <w:highlight w:val="none"/>
        </w:rPr>
        <w:t>日 期：  年  月  日</w:t>
      </w:r>
    </w:p>
    <w:p>
      <w:pPr>
        <w:tabs>
          <w:tab w:val="left" w:pos="0"/>
        </w:tabs>
        <w:adjustRightInd w:val="0"/>
        <w:snapToGrid w:val="0"/>
        <w:spacing w:line="360" w:lineRule="auto"/>
        <w:rPr>
          <w:rFonts w:hint="eastAsia" w:ascii="宋体" w:hAnsi="宋体" w:cs="Arial"/>
          <w:b/>
          <w:bCs/>
          <w:color w:val="auto"/>
          <w:sz w:val="22"/>
          <w:szCs w:val="22"/>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pStyle w:val="35"/>
        <w:rPr>
          <w:rFonts w:hint="eastAsia" w:ascii="宋体" w:hAnsi="宋体" w:eastAsia="宋体" w:cs="宋体"/>
          <w:b/>
          <w:color w:val="auto"/>
          <w:sz w:val="24"/>
          <w:szCs w:val="24"/>
          <w:highlight w:val="none"/>
        </w:rPr>
      </w:pPr>
    </w:p>
    <w:p>
      <w:pPr>
        <w:pStyle w:val="3"/>
        <w:rPr>
          <w:rFonts w:hint="eastAsia" w:ascii="宋体" w:hAnsi="宋体" w:eastAsia="宋体" w:cs="宋体"/>
          <w:b/>
          <w:color w:val="auto"/>
          <w:sz w:val="24"/>
          <w:szCs w:val="24"/>
          <w:highlight w:val="none"/>
        </w:rPr>
      </w:pPr>
    </w:p>
    <w:p>
      <w:pPr>
        <w:pStyle w:val="2"/>
        <w:rPr>
          <w:rFonts w:hint="eastAsia"/>
          <w:color w:val="auto"/>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color w:val="auto"/>
          <w:highlight w:val="none"/>
        </w:rPr>
      </w:pPr>
      <w:r>
        <w:rPr>
          <w:rFonts w:hint="eastAsia" w:ascii="宋体" w:hAnsi="宋体" w:eastAsia="宋体" w:cs="宋体"/>
          <w:b/>
          <w:color w:val="auto"/>
          <w:sz w:val="24"/>
          <w:szCs w:val="24"/>
          <w:highlight w:val="none"/>
        </w:rPr>
        <w:t>附件3</w:t>
      </w:r>
    </w:p>
    <w:p>
      <w:pPr>
        <w:widowControl/>
        <w:spacing w:line="400" w:lineRule="exact"/>
        <w:jc w:val="center"/>
        <w:rPr>
          <w:rFonts w:hint="eastAsia" w:ascii="宋体" w:hAnsi="宋体" w:eastAsia="宋体" w:cs="宋体"/>
          <w:b/>
          <w:bCs/>
          <w:color w:val="auto"/>
          <w:sz w:val="32"/>
          <w:highlight w:val="none"/>
        </w:rPr>
      </w:pPr>
      <w:r>
        <w:rPr>
          <w:rFonts w:hint="eastAsia" w:ascii="宋体" w:hAnsi="宋体" w:eastAsia="宋体" w:cs="宋体"/>
          <w:b/>
          <w:bCs/>
          <w:color w:val="auto"/>
          <w:sz w:val="24"/>
          <w:highlight w:val="none"/>
        </w:rPr>
        <w:t>小微企业证明材料（加盖电子签章）（非小微企业不用提供）</w:t>
      </w:r>
    </w:p>
    <w:p>
      <w:pPr>
        <w:widowControl/>
        <w:adjustRightInd w:val="0"/>
        <w:snapToGrid w:val="0"/>
        <w:spacing w:line="324" w:lineRule="auto"/>
        <w:ind w:firstLine="440" w:firstLineChars="200"/>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【不属于小微企业的无需填写、递交】</w:t>
      </w:r>
    </w:p>
    <w:p>
      <w:pPr>
        <w:pStyle w:val="66"/>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中小企业声明函（服务）</w:t>
      </w:r>
    </w:p>
    <w:p>
      <w:pPr>
        <w:pStyle w:val="67"/>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本公司郑重声明，根据《政府采购促进中小企业发展管理办法》（财库（2020）46号）的规定，本公司参加</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val="en-US" w:eastAsia="zh-CN"/>
        </w:rPr>
        <w:t>单</w:t>
      </w:r>
      <w:r>
        <w:rPr>
          <w:rFonts w:hint="eastAsia" w:ascii="宋体" w:hAnsi="宋体" w:eastAsia="宋体" w:cs="宋体"/>
          <w:color w:val="auto"/>
          <w:sz w:val="24"/>
          <w:szCs w:val="24"/>
          <w:highlight w:val="none"/>
          <w:u w:val="single"/>
        </w:rPr>
        <w:t>位名称）</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（项目名称）</w:t>
      </w:r>
      <w:r>
        <w:rPr>
          <w:rFonts w:hint="eastAsia" w:ascii="宋体" w:hAnsi="宋体" w:eastAsia="宋体" w:cs="宋体"/>
          <w:color w:val="auto"/>
          <w:sz w:val="24"/>
          <w:szCs w:val="24"/>
          <w:highlight w:val="none"/>
        </w:rPr>
        <w:t>采购</w:t>
      </w:r>
      <w:r>
        <w:rPr>
          <w:rFonts w:hint="eastAsia" w:ascii="宋体" w:hAnsi="宋体" w:eastAsia="宋体" w:cs="宋体"/>
          <w:color w:val="auto"/>
          <w:sz w:val="24"/>
          <w:szCs w:val="24"/>
          <w:highlight w:val="none"/>
          <w:lang w:val="zh-CN" w:eastAsia="zh-CN" w:bidi="zh-CN"/>
        </w:rPr>
        <w:t>活动，</w:t>
      </w:r>
      <w:r>
        <w:rPr>
          <w:rFonts w:hint="eastAsia" w:ascii="宋体" w:hAnsi="宋体" w:eastAsia="宋体" w:cs="宋体"/>
          <w:color w:val="auto"/>
          <w:sz w:val="24"/>
          <w:szCs w:val="24"/>
          <w:highlight w:val="none"/>
        </w:rPr>
        <w:t>服务 全部由符合政策要求的中小企业承接。相关企业的具体情况如下：</w:t>
      </w:r>
    </w:p>
    <w:p>
      <w:pPr>
        <w:pStyle w:val="67"/>
        <w:keepNext w:val="0"/>
        <w:keepLines w:val="0"/>
        <w:pageBreakBefore w:val="0"/>
        <w:widowControl w:val="0"/>
        <w:numPr>
          <w:ilvl w:val="0"/>
          <w:numId w:val="15"/>
        </w:numPr>
        <w:tabs>
          <w:tab w:val="left" w:pos="879"/>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（标的名称）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lang w:val="en-US" w:eastAsia="zh-CN" w:bidi="en-US"/>
        </w:rPr>
        <w:t>；</w:t>
      </w:r>
      <w:r>
        <w:rPr>
          <w:rFonts w:hint="eastAsia" w:ascii="宋体" w:hAnsi="宋体" w:eastAsia="宋体" w:cs="宋体"/>
          <w:color w:val="auto"/>
          <w:sz w:val="24"/>
          <w:szCs w:val="24"/>
          <w:highlight w:val="none"/>
        </w:rPr>
        <w:t>承建（承接）企业为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（企业名称）</w:t>
      </w:r>
      <w:r>
        <w:rPr>
          <w:rFonts w:hint="eastAsia" w:ascii="宋体" w:hAnsi="宋体" w:eastAsia="宋体" w:cs="宋体"/>
          <w:i/>
          <w:iCs/>
          <w:color w:val="auto"/>
          <w:sz w:val="24"/>
          <w:szCs w:val="24"/>
          <w:highlight w:val="none"/>
          <w:lang w:eastAsia="zh-CN"/>
        </w:rPr>
        <w:t>，</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w:t>
      </w:r>
      <w:r>
        <w:rPr>
          <w:rStyle w:val="34"/>
          <w:rFonts w:hint="eastAsia" w:ascii="宋体" w:hAnsi="宋体" w:eastAsia="宋体" w:cs="宋体"/>
          <w:color w:val="auto"/>
          <w:sz w:val="24"/>
          <w:szCs w:val="24"/>
          <w:highlight w:val="none"/>
        </w:rPr>
        <w:footnoteReference w:id="0"/>
      </w:r>
      <w:r>
        <w:rPr>
          <w:rFonts w:hint="eastAsia" w:ascii="宋体" w:hAnsi="宋体" w:eastAsia="宋体" w:cs="宋体"/>
          <w:color w:val="auto"/>
          <w:sz w:val="24"/>
          <w:szCs w:val="24"/>
          <w:highlight w:val="none"/>
          <w:lang w:val="en-US" w:eastAsia="zh-CN" w:bidi="en-US"/>
        </w:rPr>
        <w:t>，</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（中型企业、 小型企业、微型企业）</w:t>
      </w:r>
      <w:r>
        <w:rPr>
          <w:rFonts w:hint="eastAsia" w:ascii="宋体" w:hAnsi="宋体" w:eastAsia="宋体" w:cs="宋体"/>
          <w:color w:val="auto"/>
          <w:sz w:val="24"/>
          <w:szCs w:val="24"/>
          <w:highlight w:val="none"/>
          <w:lang w:eastAsia="zh-CN"/>
        </w:rPr>
        <w:t>；</w:t>
      </w:r>
    </w:p>
    <w:p>
      <w:pPr>
        <w:pStyle w:val="67"/>
        <w:keepNext w:val="0"/>
        <w:keepLines w:val="0"/>
        <w:pageBreakBefore w:val="0"/>
        <w:widowControl w:val="0"/>
        <w:numPr>
          <w:ilvl w:val="0"/>
          <w:numId w:val="15"/>
        </w:numPr>
        <w:tabs>
          <w:tab w:val="left" w:pos="879"/>
          <w:tab w:val="left" w:pos="1136"/>
          <w:tab w:val="left" w:pos="3461"/>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（标的名称）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承建（承接）企业为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（企业名称）</w:t>
      </w:r>
      <w:r>
        <w:rPr>
          <w:rFonts w:hint="eastAsia" w:ascii="宋体" w:hAnsi="宋体" w:eastAsia="宋体" w:cs="宋体"/>
          <w:i/>
          <w:iCs/>
          <w:color w:val="auto"/>
          <w:sz w:val="24"/>
          <w:szCs w:val="24"/>
          <w:highlight w:val="none"/>
        </w:rPr>
        <w:t>、</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万元，属于</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（中型企业、</w:t>
      </w:r>
      <w:r>
        <w:rPr>
          <w:rFonts w:hint="eastAsia" w:ascii="宋体" w:hAnsi="宋体" w:eastAsia="宋体" w:cs="宋体"/>
          <w:color w:val="auto"/>
          <w:sz w:val="24"/>
          <w:szCs w:val="24"/>
          <w:highlight w:val="none"/>
          <w:u w:val="single"/>
          <w:lang w:val="zh-CN" w:eastAsia="zh-CN" w:bidi="zh-CN"/>
        </w:rPr>
        <w:t>小型</w:t>
      </w:r>
      <w:r>
        <w:rPr>
          <w:rFonts w:hint="eastAsia" w:ascii="宋体" w:hAnsi="宋体" w:eastAsia="宋体" w:cs="宋体"/>
          <w:color w:val="auto"/>
          <w:sz w:val="24"/>
          <w:szCs w:val="24"/>
          <w:highlight w:val="none"/>
          <w:u w:val="single"/>
        </w:rPr>
        <w:t>企业、微型企业）</w:t>
      </w:r>
      <w:r>
        <w:rPr>
          <w:rFonts w:hint="eastAsia" w:ascii="宋体" w:hAnsi="宋体" w:eastAsia="宋体" w:cs="宋体"/>
          <w:color w:val="auto"/>
          <w:sz w:val="24"/>
          <w:szCs w:val="24"/>
          <w:highlight w:val="none"/>
          <w:lang w:eastAsia="zh-CN"/>
        </w:rPr>
        <w:t>；</w:t>
      </w:r>
    </w:p>
    <w:p>
      <w:pPr>
        <w:pStyle w:val="67"/>
        <w:keepNext w:val="0"/>
        <w:keepLines w:val="0"/>
        <w:pageBreakBefore w:val="0"/>
        <w:widowControl w:val="0"/>
        <w:tabs>
          <w:tab w:val="left" w:pos="879"/>
          <w:tab w:val="left" w:pos="1136"/>
          <w:tab w:val="left" w:pos="3461"/>
        </w:tabs>
        <w:kinsoku/>
        <w:wordWrap/>
        <w:overflowPunct/>
        <w:topLinePunct w:val="0"/>
        <w:autoSpaceDE/>
        <w:autoSpaceDN/>
        <w:bidi w:val="0"/>
        <w:adjustRightInd/>
        <w:snapToGrid/>
        <w:spacing w:line="360" w:lineRule="auto"/>
        <w:ind w:left="480" w:firstLine="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w:t>
      </w:r>
    </w:p>
    <w:p>
      <w:pPr>
        <w:pStyle w:val="67"/>
        <w:keepNext w:val="0"/>
        <w:keepLines w:val="0"/>
        <w:pageBreakBefore w:val="0"/>
        <w:widowControl w:val="0"/>
        <w:tabs>
          <w:tab w:val="left" w:leader="dot" w:pos="-489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以上企业，不属于大企业的分支机构，不存在控股股东为大企业的情形，也不存在与大企业的负责人为同一人的情形。</w:t>
      </w:r>
    </w:p>
    <w:p>
      <w:pPr>
        <w:pStyle w:val="67"/>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本企业对上述声明内容的真实性负责。如有虚假，将依法承担相应责任。</w:t>
      </w:r>
    </w:p>
    <w:p>
      <w:pPr>
        <w:pStyle w:val="67"/>
        <w:spacing w:line="374" w:lineRule="exact"/>
        <w:ind w:firstLine="0"/>
        <w:jc w:val="center"/>
        <w:rPr>
          <w:rFonts w:hint="eastAsia" w:ascii="宋体" w:hAnsi="宋体" w:eastAsia="宋体" w:cs="宋体"/>
          <w:color w:val="auto"/>
          <w:sz w:val="24"/>
          <w:szCs w:val="24"/>
          <w:highlight w:val="none"/>
        </w:rPr>
      </w:pPr>
    </w:p>
    <w:p>
      <w:pPr>
        <w:pStyle w:val="67"/>
        <w:spacing w:line="374" w:lineRule="exact"/>
        <w:ind w:firstLine="0"/>
        <w:jc w:val="center"/>
        <w:rPr>
          <w:rFonts w:hint="eastAsia" w:ascii="宋体" w:hAnsi="宋体" w:eastAsia="宋体" w:cs="宋体"/>
          <w:color w:val="auto"/>
          <w:sz w:val="24"/>
          <w:szCs w:val="24"/>
          <w:highlight w:val="none"/>
        </w:rPr>
      </w:pPr>
    </w:p>
    <w:p>
      <w:pPr>
        <w:pStyle w:val="67"/>
        <w:spacing w:line="374" w:lineRule="exact"/>
        <w:ind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企业名称（盖章）：</w:t>
      </w:r>
    </w:p>
    <w:p>
      <w:pPr>
        <w:pStyle w:val="67"/>
        <w:spacing w:line="374" w:lineRule="exact"/>
        <w:ind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p>
    <w:p>
      <w:pPr>
        <w:jc w:val="center"/>
        <w:rPr>
          <w:rFonts w:hint="eastAsia" w:ascii="宋体" w:hAnsi="宋体" w:eastAsia="宋体" w:cs="宋体"/>
          <w:b/>
          <w:bCs/>
          <w:color w:val="auto"/>
          <w:sz w:val="24"/>
          <w:highlight w:val="none"/>
        </w:rPr>
      </w:pPr>
    </w:p>
    <w:p>
      <w:pPr>
        <w:jc w:val="center"/>
        <w:rPr>
          <w:rFonts w:hint="eastAsia" w:ascii="宋体" w:hAnsi="宋体" w:eastAsia="宋体" w:cs="宋体"/>
          <w:b/>
          <w:bCs/>
          <w:color w:val="auto"/>
          <w:sz w:val="24"/>
          <w:highlight w:val="none"/>
        </w:rPr>
      </w:pPr>
    </w:p>
    <w:p>
      <w:pPr>
        <w:pStyle w:val="67"/>
        <w:tabs>
          <w:tab w:val="left" w:pos="662"/>
          <w:tab w:val="left" w:pos="908"/>
          <w:tab w:val="left" w:pos="2945"/>
        </w:tabs>
        <w:spacing w:line="370" w:lineRule="exact"/>
        <w:ind w:firstLine="0"/>
        <w:rPr>
          <w:rFonts w:hint="eastAsia" w:ascii="宋体" w:hAnsi="宋体" w:eastAsia="宋体" w:cs="宋体"/>
          <w:b/>
          <w:bCs/>
          <w:color w:val="auto"/>
          <w:highlight w:val="none"/>
        </w:rPr>
      </w:pPr>
      <w:r>
        <w:rPr>
          <w:rFonts w:hint="eastAsia" w:ascii="宋体" w:hAnsi="宋体" w:eastAsia="宋体" w:cs="宋体"/>
          <w:b/>
          <w:bCs/>
          <w:color w:val="auto"/>
          <w:highlight w:val="none"/>
        </w:rPr>
        <w:t>注：</w:t>
      </w:r>
      <w:r>
        <w:rPr>
          <w:rFonts w:hint="eastAsia" w:ascii="宋体" w:hAnsi="宋体" w:eastAsia="宋体" w:cs="宋体"/>
          <w:b/>
          <w:bCs/>
          <w:color w:val="auto"/>
          <w:highlight w:val="none"/>
          <w:lang w:val="en-US" w:eastAsia="zh-CN"/>
        </w:rPr>
        <w:t>1.</w:t>
      </w:r>
      <w:r>
        <w:rPr>
          <w:rFonts w:hint="eastAsia" w:ascii="宋体" w:hAnsi="宋体" w:eastAsia="宋体" w:cs="宋体"/>
          <w:b/>
          <w:bCs/>
          <w:color w:val="auto"/>
          <w:highlight w:val="none"/>
        </w:rPr>
        <w:t>从业人员、营业收入、资产总额填报上一年度数据，无上一年度数据的新成立企业可不填报。</w:t>
      </w:r>
    </w:p>
    <w:p>
      <w:pPr>
        <w:pStyle w:val="67"/>
        <w:tabs>
          <w:tab w:val="left" w:pos="662"/>
          <w:tab w:val="left" w:pos="908"/>
          <w:tab w:val="left" w:pos="2945"/>
        </w:tabs>
        <w:spacing w:line="370" w:lineRule="exact"/>
        <w:ind w:firstLine="44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2.</w:t>
      </w:r>
      <w:r>
        <w:rPr>
          <w:rFonts w:hint="eastAsia" w:ascii="宋体" w:hAnsi="宋体" w:eastAsia="宋体" w:cs="宋体"/>
          <w:b/>
          <w:bCs/>
          <w:color w:val="auto"/>
          <w:highlight w:val="none"/>
          <w:lang w:eastAsia="zh-CN"/>
        </w:rPr>
        <w:t>投标人提供中小企业声明函且符合《政府采购促进中小企业发展管理办法》（财库〔2020〕46号）文件规定的要求并符合《工业和信息化部、国家统计局、国家发展和改革委员会、财政部关于印发中小企业划型标准规定的通知》（工信部联企业〔2011〕300号）规定的小、微企业的划型标准规定。</w:t>
      </w:r>
    </w:p>
    <w:p>
      <w:pPr>
        <w:pStyle w:val="67"/>
        <w:tabs>
          <w:tab w:val="left" w:pos="662"/>
          <w:tab w:val="left" w:pos="908"/>
          <w:tab w:val="left" w:pos="2945"/>
        </w:tabs>
        <w:spacing w:line="370" w:lineRule="exact"/>
        <w:ind w:firstLine="442" w:firstLineChars="20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3.</w:t>
      </w:r>
      <w:r>
        <w:rPr>
          <w:rFonts w:hint="eastAsia" w:ascii="宋体" w:hAnsi="宋体" w:eastAsia="宋体" w:cs="宋体"/>
          <w:b/>
          <w:bCs/>
          <w:color w:val="auto"/>
          <w:highlight w:val="none"/>
          <w:lang w:eastAsia="zh-CN"/>
        </w:rPr>
        <w:t>在服务采购项目中，服务由中小企业承接，即提供服务的人员为中小企业依照《中华人民共和国民法典》订立劳动合同的从业人员。</w:t>
      </w:r>
    </w:p>
    <w:p>
      <w:pPr>
        <w:pStyle w:val="67"/>
        <w:tabs>
          <w:tab w:val="left" w:pos="662"/>
          <w:tab w:val="left" w:pos="908"/>
          <w:tab w:val="left" w:pos="2945"/>
        </w:tabs>
        <w:spacing w:line="370" w:lineRule="exact"/>
        <w:ind w:firstLine="44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4.如</w:t>
      </w:r>
      <w:r>
        <w:rPr>
          <w:rFonts w:hint="eastAsia" w:ascii="宋体" w:hAnsi="宋体" w:eastAsia="宋体" w:cs="宋体"/>
          <w:b/>
          <w:bCs/>
          <w:color w:val="auto"/>
          <w:highlight w:val="none"/>
          <w:lang w:eastAsia="zh-CN"/>
        </w:rPr>
        <w:t>中标人</w:t>
      </w:r>
      <w:r>
        <w:rPr>
          <w:rFonts w:hint="eastAsia" w:ascii="宋体" w:hAnsi="宋体" w:eastAsia="宋体" w:cs="宋体"/>
          <w:b/>
          <w:bCs/>
          <w:color w:val="auto"/>
          <w:highlight w:val="none"/>
        </w:rPr>
        <w:t>声明为小微企业，本声明函将随中标(成交)结果同时公告，接受社会监督。</w:t>
      </w:r>
    </w:p>
    <w:p>
      <w:pPr>
        <w:tabs>
          <w:tab w:val="left" w:pos="420"/>
        </w:tabs>
        <w:spacing w:line="400" w:lineRule="exact"/>
        <w:rPr>
          <w:rFonts w:hint="eastAsia" w:ascii="宋体" w:hAnsi="宋体" w:eastAsia="宋体" w:cs="宋体"/>
          <w:b/>
          <w:color w:val="auto"/>
          <w:sz w:val="22"/>
          <w:highlight w:val="none"/>
        </w:rPr>
      </w:pPr>
    </w:p>
    <w:p>
      <w:pPr>
        <w:pStyle w:val="14"/>
        <w:spacing w:after="0" w:line="400" w:lineRule="exact"/>
        <w:ind w:left="0" w:leftChars="0" w:right="0" w:rightChars="0"/>
        <w:jc w:val="center"/>
        <w:rPr>
          <w:rFonts w:hint="eastAsia" w:ascii="宋体" w:hAnsi="宋体" w:eastAsia="宋体" w:cs="宋体"/>
          <w:b/>
          <w:bCs/>
          <w:color w:val="auto"/>
          <w:sz w:val="24"/>
          <w:highlight w:val="none"/>
        </w:rPr>
      </w:pPr>
    </w:p>
    <w:p>
      <w:pPr>
        <w:pStyle w:val="14"/>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监狱企业资格证明材料</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（注：符合条件的监狱企业请提供本函，不符合的不提供本函）</w:t>
      </w:r>
    </w:p>
    <w:p>
      <w:pPr>
        <w:pStyle w:val="14"/>
        <w:spacing w:after="0" w:line="400" w:lineRule="exact"/>
        <w:ind w:left="0" w:leftChars="0" w:right="0" w:rightChars="0"/>
        <w:jc w:val="center"/>
        <w:rPr>
          <w:rFonts w:hint="eastAsia" w:ascii="宋体" w:hAnsi="宋体" w:eastAsia="宋体" w:cs="宋体"/>
          <w:b/>
          <w:bCs/>
          <w:color w:val="auto"/>
          <w:sz w:val="24"/>
          <w:highlight w:val="none"/>
        </w:rPr>
      </w:pPr>
    </w:p>
    <w:p>
      <w:pPr>
        <w:spacing w:line="360" w:lineRule="auto"/>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（省级以上监狱管理局、戒毒管理局（含新疆生产建设兵团）出具的属于监狱企业的证明文件）</w:t>
      </w:r>
    </w:p>
    <w:p>
      <w:pPr>
        <w:pStyle w:val="14"/>
        <w:spacing w:after="0" w:line="400" w:lineRule="exact"/>
        <w:ind w:left="0" w:leftChars="0" w:right="0" w:rightChars="0"/>
        <w:rPr>
          <w:rFonts w:hint="eastAsia" w:ascii="宋体" w:hAnsi="宋体" w:eastAsia="宋体" w:cs="宋体"/>
          <w:color w:val="auto"/>
          <w:sz w:val="22"/>
          <w:highlight w:val="none"/>
        </w:rPr>
      </w:pPr>
    </w:p>
    <w:p>
      <w:pPr>
        <w:pStyle w:val="14"/>
        <w:spacing w:after="0" w:line="400" w:lineRule="exact"/>
        <w:ind w:left="0" w:leftChars="0" w:right="0" w:rightChars="0"/>
        <w:rPr>
          <w:rFonts w:hint="eastAsia" w:ascii="宋体" w:hAnsi="宋体" w:eastAsia="宋体" w:cs="宋体"/>
          <w:color w:val="auto"/>
          <w:sz w:val="22"/>
          <w:highlight w:val="none"/>
        </w:rPr>
      </w:pPr>
    </w:p>
    <w:p>
      <w:pPr>
        <w:pStyle w:val="14"/>
        <w:spacing w:after="0" w:line="400" w:lineRule="exact"/>
        <w:ind w:left="0" w:leftChars="0" w:right="0" w:rightChars="0"/>
        <w:rPr>
          <w:rFonts w:hint="eastAsia" w:ascii="宋体" w:hAnsi="宋体" w:eastAsia="宋体" w:cs="宋体"/>
          <w:color w:val="auto"/>
          <w:sz w:val="22"/>
          <w:highlight w:val="none"/>
        </w:rPr>
      </w:pPr>
    </w:p>
    <w:p>
      <w:pPr>
        <w:pStyle w:val="14"/>
        <w:spacing w:after="0" w:line="400" w:lineRule="exact"/>
        <w:ind w:left="0" w:leftChars="0" w:right="0" w:rightChars="0"/>
        <w:rPr>
          <w:rFonts w:hint="eastAsia" w:ascii="宋体" w:hAnsi="宋体" w:eastAsia="宋体" w:cs="宋体"/>
          <w:color w:val="auto"/>
          <w:sz w:val="22"/>
          <w:highlight w:val="none"/>
        </w:rPr>
      </w:pPr>
    </w:p>
    <w:p>
      <w:pPr>
        <w:pStyle w:val="14"/>
        <w:spacing w:after="0" w:line="400" w:lineRule="exact"/>
        <w:ind w:left="0" w:leftChars="0" w:right="0" w:rightChars="0"/>
        <w:rPr>
          <w:rFonts w:hint="eastAsia" w:ascii="宋体" w:hAnsi="宋体" w:eastAsia="宋体" w:cs="宋体"/>
          <w:color w:val="auto"/>
          <w:sz w:val="22"/>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残疾人福利性单位声明函</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（注：符合条件的残疾人福利性单位请提供本函，不符合的不提供本函）</w:t>
      </w:r>
    </w:p>
    <w:p>
      <w:pPr>
        <w:spacing w:line="400" w:lineRule="exact"/>
        <w:rPr>
          <w:rFonts w:hint="eastAsia" w:ascii="宋体" w:hAnsi="宋体" w:eastAsia="宋体" w:cs="宋体"/>
          <w:b/>
          <w:color w:val="auto"/>
          <w:spacing w:val="6"/>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szCs w:val="24"/>
          <w:highlight w:val="none"/>
        </w:rPr>
        <w:t>〔2017〕 141</w:t>
      </w:r>
      <w:r>
        <w:rPr>
          <w:rFonts w:hint="eastAsia" w:ascii="宋体" w:hAnsi="宋体" w:eastAsia="宋体" w:cs="宋体"/>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本单位对上述声明的真实性负责。如有虚假，将依法承担相应责任。</w:t>
      </w:r>
    </w:p>
    <w:p>
      <w:pPr>
        <w:spacing w:line="400" w:lineRule="exact"/>
        <w:ind w:firstLine="504" w:firstLineChars="200"/>
        <w:rPr>
          <w:rFonts w:hint="eastAsia" w:ascii="宋体" w:hAnsi="宋体" w:eastAsia="宋体" w:cs="宋体"/>
          <w:color w:val="auto"/>
          <w:spacing w:val="6"/>
          <w:sz w:val="24"/>
          <w:szCs w:val="24"/>
          <w:highlight w:val="none"/>
        </w:rPr>
      </w:pPr>
    </w:p>
    <w:p>
      <w:pPr>
        <w:tabs>
          <w:tab w:val="left" w:pos="4860"/>
        </w:tabs>
        <w:spacing w:line="400" w:lineRule="exact"/>
        <w:ind w:firstLine="504" w:firstLineChars="200"/>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单位名称（电子签章）：</w:t>
      </w:r>
    </w:p>
    <w:p>
      <w:pPr>
        <w:tabs>
          <w:tab w:val="left" w:pos="4860"/>
        </w:tabs>
        <w:spacing w:line="400" w:lineRule="exact"/>
        <w:ind w:firstLine="504"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 xml:space="preserve">                           日        期：</w:t>
      </w: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注：投标人不属于残疾人福利性单位的，无需提供此声明函，如提供所引起的后果由投标人承担。中标、中标人为残疾人福利性单位的，采购代理机构将随中标结果同时公告其《残疾人福利性单位声明函》，接受社会监督。</w:t>
      </w:r>
    </w:p>
    <w:p>
      <w:pPr>
        <w:spacing w:line="400" w:lineRule="exact"/>
        <w:rPr>
          <w:rFonts w:hint="eastAsia" w:ascii="宋体" w:hAnsi="宋体" w:eastAsia="宋体" w:cs="宋体"/>
          <w:b/>
          <w:color w:val="auto"/>
          <w:sz w:val="24"/>
          <w:szCs w:val="24"/>
          <w:highlight w:val="none"/>
        </w:rPr>
      </w:pPr>
    </w:p>
    <w:p>
      <w:pPr>
        <w:pStyle w:val="14"/>
        <w:ind w:left="1470" w:right="1470"/>
        <w:rPr>
          <w:rFonts w:hint="eastAsia" w:ascii="宋体" w:hAnsi="宋体" w:eastAsia="宋体" w:cs="宋体"/>
          <w:color w:val="auto"/>
          <w:highlight w:val="none"/>
        </w:rPr>
      </w:pPr>
    </w:p>
    <w:p>
      <w:pPr>
        <w:pStyle w:val="14"/>
        <w:ind w:left="1470" w:right="1470"/>
        <w:rPr>
          <w:rFonts w:hint="eastAsia" w:ascii="宋体" w:hAnsi="宋体" w:eastAsia="宋体" w:cs="宋体"/>
          <w:color w:val="auto"/>
          <w:highlight w:val="none"/>
        </w:rPr>
      </w:pPr>
    </w:p>
    <w:p>
      <w:pPr>
        <w:snapToGrid w:val="0"/>
        <w:spacing w:beforeLines="50" w:after="50"/>
        <w:jc w:val="center"/>
        <w:outlineLvl w:val="1"/>
        <w:rPr>
          <w:rFonts w:hint="eastAsia" w:ascii="宋体" w:hAnsi="宋体" w:eastAsia="宋体" w:cs="宋体"/>
          <w:b/>
          <w:bCs/>
          <w:color w:val="auto"/>
          <w:sz w:val="24"/>
          <w:highlight w:val="none"/>
        </w:rPr>
      </w:pPr>
    </w:p>
    <w:p>
      <w:pPr>
        <w:snapToGrid w:val="0"/>
        <w:spacing w:beforeLines="50" w:after="50"/>
        <w:jc w:val="center"/>
        <w:outlineLvl w:val="1"/>
        <w:rPr>
          <w:rFonts w:hint="eastAsia" w:ascii="宋体" w:hAnsi="宋体" w:eastAsia="宋体" w:cs="宋体"/>
          <w:b/>
          <w:color w:val="auto"/>
          <w:sz w:val="32"/>
          <w:szCs w:val="32"/>
          <w:highlight w:val="none"/>
        </w:rPr>
      </w:pPr>
      <w:r>
        <w:rPr>
          <w:rFonts w:hint="eastAsia" w:ascii="宋体" w:hAnsi="宋体" w:eastAsia="宋体" w:cs="宋体"/>
          <w:b/>
          <w:bCs/>
          <w:color w:val="auto"/>
          <w:sz w:val="32"/>
          <w:szCs w:val="32"/>
          <w:highlight w:val="none"/>
        </w:rPr>
        <w:t>二、资格文件部分封面格式</w:t>
      </w:r>
    </w:p>
    <w:p>
      <w:pPr>
        <w:snapToGrid w:val="0"/>
        <w:spacing w:beforeLines="50" w:after="50"/>
        <w:jc w:val="center"/>
        <w:outlineLvl w:val="1"/>
        <w:rPr>
          <w:rFonts w:hint="eastAsia" w:ascii="宋体" w:hAnsi="宋体" w:eastAsia="宋体" w:cs="宋体"/>
          <w:b/>
          <w:bCs/>
          <w:color w:val="auto"/>
          <w:sz w:val="24"/>
          <w:highlight w:val="none"/>
        </w:rPr>
      </w:pPr>
    </w:p>
    <w:p>
      <w:pPr>
        <w:pStyle w:val="14"/>
        <w:ind w:left="0" w:leftChars="0" w:right="1470"/>
        <w:rPr>
          <w:rFonts w:hint="eastAsia" w:ascii="宋体" w:hAnsi="宋体" w:eastAsia="宋体" w:cs="宋体"/>
          <w:b/>
          <w:color w:val="auto"/>
          <w:sz w:val="24"/>
          <w:szCs w:val="24"/>
          <w:highlight w:val="none"/>
        </w:rPr>
      </w:pPr>
    </w:p>
    <w:p>
      <w:pPr>
        <w:snapToGrid w:val="0"/>
        <w:spacing w:line="400" w:lineRule="exact"/>
        <w:jc w:val="center"/>
        <w:outlineLvl w:val="1"/>
        <w:rPr>
          <w:rFonts w:hint="eastAsia" w:ascii="宋体" w:hAnsi="宋体" w:eastAsia="宋体" w:cs="宋体"/>
          <w:b/>
          <w:bCs/>
          <w:color w:val="auto"/>
          <w:sz w:val="24"/>
          <w:szCs w:val="20"/>
          <w:highlight w:val="none"/>
        </w:rPr>
      </w:pPr>
    </w:p>
    <w:p>
      <w:pPr>
        <w:snapToGrid w:val="0"/>
        <w:spacing w:line="400" w:lineRule="exact"/>
        <w:jc w:val="center"/>
        <w:rPr>
          <w:rFonts w:hint="eastAsia" w:ascii="宋体" w:hAnsi="宋体" w:eastAsia="宋体" w:cs="宋体"/>
          <w:bCs/>
          <w:color w:val="auto"/>
          <w:sz w:val="24"/>
          <w:szCs w:val="20"/>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389890</wp:posOffset>
                </wp:positionH>
                <wp:positionV relativeFrom="paragraph">
                  <wp:posOffset>203200</wp:posOffset>
                </wp:positionV>
                <wp:extent cx="5076825" cy="3344545"/>
                <wp:effectExtent l="4445" t="5080" r="5080" b="22225"/>
                <wp:wrapTopAndBottom/>
                <wp:docPr id="10" name="文本框 10"/>
                <wp:cNvGraphicFramePr/>
                <a:graphic xmlns:a="http://schemas.openxmlformats.org/drawingml/2006/main">
                  <a:graphicData uri="http://schemas.microsoft.com/office/word/2010/wordprocessingShape">
                    <wps:wsp>
                      <wps:cNvSpPr txBox="1">
                        <a:spLocks noRot="1"/>
                      </wps:cNvSpPr>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资格文件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txbxContent>
                      </wps:txbx>
                      <wps:bodyPr upright="1"/>
                    </wps:wsp>
                  </a:graphicData>
                </a:graphic>
              </wp:anchor>
            </w:drawing>
          </mc:Choice>
          <mc:Fallback>
            <w:pict>
              <v:shape id="_x0000_s1026" o:spid="_x0000_s1026" o:spt="202" type="#_x0000_t202" style="position:absolute;left:0pt;margin-left:30.7pt;margin-top:16pt;height:263.35pt;width:399.75pt;mso-wrap-distance-bottom:0pt;mso-wrap-distance-top:0pt;z-index:251660288;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zosQ3&#10;2QAAAAkBAAAPAAAAAAAAAAEAIAAAACIAAABkcnMvZG93bnJldi54bWxQSwECFAAUAAAACACHTuJA&#10;cC66vyACAABqBAAADgAAAAAAAAABACAAAAAoAQAAZHJzL2Uyb0RvYy54bWxQSwUGAAAAAAYABgBZ&#10;AQAAugUAAAAA&#10;">
                <v:fill on="t" focussize="0,0"/>
                <v:stroke color="#000000" joinstyle="miter"/>
                <v:imagedata o:title=""/>
                <o:lock v:ext="edit" rotation="t" aspectratio="f"/>
                <v:textbo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资格文件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txbxContent>
                </v:textbox>
                <w10:wrap type="topAndBottom"/>
              </v:shape>
            </w:pict>
          </mc:Fallback>
        </mc:AlternateContent>
      </w:r>
    </w:p>
    <w:p>
      <w:pPr>
        <w:snapToGrid w:val="0"/>
        <w:spacing w:beforeLines="50" w:after="50"/>
        <w:jc w:val="center"/>
        <w:outlineLvl w:val="1"/>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附件4                             </w:t>
      </w:r>
    </w:p>
    <w:p>
      <w:pPr>
        <w:spacing w:line="4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资格文件</w:t>
      </w:r>
    </w:p>
    <w:p>
      <w:pPr>
        <w:pStyle w:val="14"/>
        <w:ind w:left="1470" w:right="1470"/>
        <w:rPr>
          <w:rFonts w:hint="eastAsia" w:ascii="宋体" w:hAnsi="宋体" w:eastAsia="宋体" w:cs="宋体"/>
          <w:color w:val="auto"/>
          <w:sz w:val="24"/>
          <w:szCs w:val="24"/>
          <w:highlight w:val="none"/>
        </w:rPr>
      </w:pPr>
    </w:p>
    <w:p>
      <w:pPr>
        <w:pStyle w:val="14"/>
        <w:ind w:left="1470" w:right="1470"/>
        <w:rPr>
          <w:rFonts w:hint="eastAsia" w:ascii="宋体" w:hAnsi="宋体" w:eastAsia="宋体" w:cs="宋体"/>
          <w:color w:val="auto"/>
          <w:sz w:val="24"/>
          <w:szCs w:val="24"/>
          <w:highlight w:val="none"/>
        </w:rPr>
      </w:pPr>
    </w:p>
    <w:p>
      <w:pPr>
        <w:spacing w:line="400" w:lineRule="exac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附件4-1</w:t>
      </w:r>
    </w:p>
    <w:p>
      <w:pPr>
        <w:spacing w:line="360" w:lineRule="auto"/>
        <w:jc w:val="center"/>
        <w:rPr>
          <w:rFonts w:hint="eastAsia" w:ascii="宋体" w:hAnsi="宋体" w:eastAsia="宋体" w:cs="宋体"/>
          <w:b/>
          <w:color w:val="auto"/>
          <w:sz w:val="22"/>
          <w:szCs w:val="22"/>
          <w:highlight w:val="none"/>
        </w:rPr>
      </w:pPr>
    </w:p>
    <w:p>
      <w:pPr>
        <w:spacing w:line="360" w:lineRule="auto"/>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有效的法人或者其他组织的营业执照等证明文件，自然人的身份证明（五选一）</w:t>
      </w:r>
    </w:p>
    <w:p>
      <w:pPr>
        <w:spacing w:line="360" w:lineRule="auto"/>
        <w:rPr>
          <w:rFonts w:hint="eastAsia" w:ascii="宋体" w:hAnsi="宋体" w:eastAsia="宋体" w:cs="宋体"/>
          <w:b/>
          <w:color w:val="auto"/>
          <w:sz w:val="22"/>
          <w:szCs w:val="22"/>
          <w:highlight w:val="none"/>
        </w:rPr>
      </w:pPr>
    </w:p>
    <w:p>
      <w:pPr>
        <w:spacing w:line="360" w:lineRule="auto"/>
        <w:rPr>
          <w:rFonts w:hint="eastAsia" w:ascii="宋体" w:hAnsi="宋体" w:eastAsia="宋体" w:cs="宋体"/>
          <w:b/>
          <w:color w:val="auto"/>
          <w:spacing w:val="-6"/>
          <w:sz w:val="22"/>
          <w:szCs w:val="22"/>
          <w:highlight w:val="none"/>
        </w:rPr>
      </w:pPr>
      <w:r>
        <w:rPr>
          <w:rFonts w:hint="eastAsia" w:ascii="宋体" w:hAnsi="宋体" w:eastAsia="宋体" w:cs="宋体"/>
          <w:b/>
          <w:color w:val="auto"/>
          <w:spacing w:val="-6"/>
          <w:sz w:val="22"/>
          <w:szCs w:val="22"/>
          <w:highlight w:val="none"/>
        </w:rPr>
        <w:t>说明：</w:t>
      </w:r>
    </w:p>
    <w:p>
      <w:pPr>
        <w:pStyle w:val="22"/>
        <w:spacing w:line="360" w:lineRule="auto"/>
        <w:ind w:left="418" w:hanging="418"/>
        <w:rPr>
          <w:rFonts w:hint="eastAsia" w:ascii="宋体" w:hAnsi="宋体" w:eastAsia="宋体" w:cs="宋体"/>
          <w:b/>
          <w:color w:val="auto"/>
          <w:spacing w:val="-6"/>
          <w:sz w:val="22"/>
          <w:szCs w:val="22"/>
          <w:highlight w:val="none"/>
        </w:rPr>
      </w:pPr>
      <w:r>
        <w:rPr>
          <w:rFonts w:hint="eastAsia" w:ascii="宋体" w:hAnsi="宋体" w:eastAsia="宋体" w:cs="宋体"/>
          <w:b/>
          <w:color w:val="auto"/>
          <w:spacing w:val="-6"/>
          <w:sz w:val="22"/>
          <w:szCs w:val="22"/>
          <w:highlight w:val="none"/>
        </w:rPr>
        <w:t>1.如投标人是企业（包括合伙企业），提供有效“企业法人营业执照”或“营业执照”；</w:t>
      </w:r>
    </w:p>
    <w:p>
      <w:pPr>
        <w:pStyle w:val="22"/>
        <w:spacing w:line="360" w:lineRule="auto"/>
        <w:ind w:left="418" w:hanging="418"/>
        <w:rPr>
          <w:rFonts w:hint="eastAsia" w:ascii="宋体" w:hAnsi="宋体" w:eastAsia="宋体" w:cs="宋体"/>
          <w:b/>
          <w:color w:val="auto"/>
          <w:spacing w:val="-6"/>
          <w:sz w:val="22"/>
          <w:szCs w:val="22"/>
          <w:highlight w:val="none"/>
        </w:rPr>
      </w:pPr>
      <w:r>
        <w:rPr>
          <w:rFonts w:hint="eastAsia" w:ascii="宋体" w:hAnsi="宋体" w:eastAsia="宋体" w:cs="宋体"/>
          <w:b/>
          <w:color w:val="auto"/>
          <w:spacing w:val="-6"/>
          <w:sz w:val="22"/>
          <w:szCs w:val="22"/>
          <w:highlight w:val="none"/>
        </w:rPr>
        <w:t>2.如投标人是事业单位，提供有效的“事业单位法人证书”；</w:t>
      </w:r>
    </w:p>
    <w:p>
      <w:pPr>
        <w:pStyle w:val="22"/>
        <w:spacing w:line="360" w:lineRule="auto"/>
        <w:ind w:left="418" w:hanging="418"/>
        <w:rPr>
          <w:rFonts w:hint="eastAsia" w:ascii="宋体" w:hAnsi="宋体" w:eastAsia="宋体" w:cs="宋体"/>
          <w:b/>
          <w:color w:val="auto"/>
          <w:spacing w:val="-6"/>
          <w:sz w:val="22"/>
          <w:szCs w:val="22"/>
          <w:highlight w:val="none"/>
        </w:rPr>
      </w:pPr>
      <w:r>
        <w:rPr>
          <w:rFonts w:hint="eastAsia" w:ascii="宋体" w:hAnsi="宋体" w:eastAsia="宋体" w:cs="宋体"/>
          <w:b/>
          <w:color w:val="auto"/>
          <w:spacing w:val="-6"/>
          <w:sz w:val="22"/>
          <w:szCs w:val="22"/>
          <w:highlight w:val="none"/>
        </w:rPr>
        <w:t>3.如投标人是非企业专业服务机构的，提供执业许可证等证明文件；</w:t>
      </w:r>
    </w:p>
    <w:p>
      <w:pPr>
        <w:pStyle w:val="22"/>
        <w:spacing w:line="360" w:lineRule="auto"/>
        <w:ind w:left="418" w:hanging="418"/>
        <w:rPr>
          <w:rFonts w:hint="eastAsia" w:ascii="宋体" w:hAnsi="宋体" w:eastAsia="宋体" w:cs="宋体"/>
          <w:b/>
          <w:color w:val="auto"/>
          <w:spacing w:val="-6"/>
          <w:sz w:val="22"/>
          <w:szCs w:val="22"/>
          <w:highlight w:val="none"/>
        </w:rPr>
      </w:pPr>
      <w:r>
        <w:rPr>
          <w:rFonts w:hint="eastAsia" w:ascii="宋体" w:hAnsi="宋体" w:eastAsia="宋体" w:cs="宋体"/>
          <w:b/>
          <w:color w:val="auto"/>
          <w:spacing w:val="-6"/>
          <w:sz w:val="22"/>
          <w:szCs w:val="22"/>
          <w:highlight w:val="none"/>
        </w:rPr>
        <w:t>4.如投标人是个体工商户，提供有效的“个体工商户营业执照”；</w:t>
      </w:r>
    </w:p>
    <w:p>
      <w:pPr>
        <w:pStyle w:val="22"/>
        <w:spacing w:line="360" w:lineRule="auto"/>
        <w:ind w:left="418" w:hanging="418"/>
        <w:rPr>
          <w:rFonts w:hint="eastAsia" w:ascii="宋体" w:hAnsi="宋体" w:eastAsia="宋体" w:cs="宋体"/>
          <w:color w:val="auto"/>
          <w:sz w:val="22"/>
          <w:szCs w:val="22"/>
          <w:highlight w:val="none"/>
        </w:rPr>
      </w:pPr>
      <w:r>
        <w:rPr>
          <w:rFonts w:hint="eastAsia" w:ascii="宋体" w:hAnsi="宋体" w:eastAsia="宋体" w:cs="宋体"/>
          <w:b/>
          <w:color w:val="auto"/>
          <w:spacing w:val="-6"/>
          <w:sz w:val="22"/>
          <w:szCs w:val="22"/>
          <w:highlight w:val="none"/>
        </w:rPr>
        <w:t>5.如投标人是自然人，提供有效的自然人身份证明（居民身份证正反面或公安机关出具的临时居民身份证正反面或港澳台胞证或证照）。</w:t>
      </w:r>
    </w:p>
    <w:p>
      <w:pPr>
        <w:pStyle w:val="14"/>
        <w:spacing w:after="0" w:line="400" w:lineRule="exact"/>
        <w:ind w:left="0" w:leftChars="0" w:right="0" w:rightChars="0"/>
        <w:rPr>
          <w:rFonts w:hint="eastAsia" w:ascii="宋体" w:hAnsi="宋体" w:eastAsia="宋体" w:cs="宋体"/>
          <w:b/>
          <w:color w:val="auto"/>
          <w:sz w:val="24"/>
          <w:szCs w:val="24"/>
          <w:highlight w:val="none"/>
        </w:rPr>
      </w:pPr>
    </w:p>
    <w:p>
      <w:pPr>
        <w:pStyle w:val="14"/>
        <w:spacing w:after="0" w:line="400" w:lineRule="exact"/>
        <w:ind w:left="0" w:leftChars="0" w:right="0" w:rightChars="0"/>
        <w:rPr>
          <w:rFonts w:hint="eastAsia" w:ascii="宋体" w:hAnsi="宋体" w:eastAsia="宋体" w:cs="宋体"/>
          <w:b/>
          <w:color w:val="auto"/>
          <w:sz w:val="24"/>
          <w:szCs w:val="24"/>
          <w:highlight w:val="none"/>
        </w:rPr>
      </w:pPr>
    </w:p>
    <w:p>
      <w:pPr>
        <w:pStyle w:val="14"/>
        <w:spacing w:after="0" w:line="400" w:lineRule="exact"/>
        <w:ind w:left="0" w:leftChars="0" w:right="0" w:rightChars="0"/>
        <w:rPr>
          <w:rFonts w:hint="eastAsia" w:ascii="宋体" w:hAnsi="宋体" w:eastAsia="宋体" w:cs="宋体"/>
          <w:b/>
          <w:color w:val="auto"/>
          <w:sz w:val="24"/>
          <w:szCs w:val="24"/>
          <w:highlight w:val="none"/>
        </w:rPr>
      </w:pPr>
    </w:p>
    <w:p>
      <w:pPr>
        <w:pStyle w:val="14"/>
        <w:spacing w:after="0" w:line="400" w:lineRule="exact"/>
        <w:ind w:left="0" w:leftChars="0" w:right="0" w:rightChars="0"/>
        <w:rPr>
          <w:rFonts w:hint="eastAsia" w:ascii="宋体" w:hAnsi="宋体" w:eastAsia="宋体" w:cs="宋体"/>
          <w:b/>
          <w:color w:val="auto"/>
          <w:sz w:val="24"/>
          <w:szCs w:val="24"/>
          <w:highlight w:val="none"/>
        </w:rPr>
      </w:pPr>
    </w:p>
    <w:p>
      <w:pPr>
        <w:pStyle w:val="14"/>
        <w:spacing w:after="0" w:line="400" w:lineRule="exact"/>
        <w:ind w:left="0" w:leftChars="0" w:right="0" w:rightChars="0"/>
        <w:rPr>
          <w:rFonts w:hint="eastAsia" w:ascii="宋体" w:hAnsi="宋体" w:eastAsia="宋体" w:cs="宋体"/>
          <w:b/>
          <w:color w:val="auto"/>
          <w:sz w:val="24"/>
          <w:szCs w:val="24"/>
          <w:highlight w:val="none"/>
        </w:rPr>
      </w:pPr>
    </w:p>
    <w:p>
      <w:pPr>
        <w:pStyle w:val="14"/>
        <w:spacing w:after="0" w:line="400" w:lineRule="exact"/>
        <w:ind w:left="0" w:leftChars="0" w:right="0" w:rightChars="0"/>
        <w:rPr>
          <w:rFonts w:hint="eastAsia" w:ascii="宋体" w:hAnsi="宋体" w:eastAsia="宋体" w:cs="宋体"/>
          <w:b/>
          <w:color w:val="auto"/>
          <w:sz w:val="24"/>
          <w:szCs w:val="24"/>
          <w:highlight w:val="none"/>
        </w:rPr>
      </w:pPr>
    </w:p>
    <w:p>
      <w:pPr>
        <w:pStyle w:val="14"/>
        <w:spacing w:after="0" w:line="400" w:lineRule="exact"/>
        <w:ind w:left="0" w:leftChars="0" w:right="0" w:rightChars="0"/>
        <w:rPr>
          <w:rFonts w:hint="eastAsia" w:ascii="宋体" w:hAnsi="宋体" w:eastAsia="宋体" w:cs="宋体"/>
          <w:b/>
          <w:color w:val="auto"/>
          <w:sz w:val="24"/>
          <w:szCs w:val="24"/>
          <w:highlight w:val="none"/>
        </w:rPr>
      </w:pPr>
    </w:p>
    <w:p>
      <w:pPr>
        <w:pStyle w:val="14"/>
        <w:spacing w:after="0" w:line="400" w:lineRule="exact"/>
        <w:ind w:left="0" w:leftChars="0" w:right="0" w:rightChars="0"/>
        <w:rPr>
          <w:rFonts w:hint="eastAsia" w:ascii="宋体" w:hAnsi="宋体" w:eastAsia="宋体" w:cs="宋体"/>
          <w:b/>
          <w:color w:val="auto"/>
          <w:sz w:val="24"/>
          <w:szCs w:val="24"/>
          <w:highlight w:val="none"/>
        </w:rPr>
      </w:pPr>
    </w:p>
    <w:p>
      <w:pPr>
        <w:pStyle w:val="14"/>
        <w:spacing w:after="0" w:line="400" w:lineRule="exact"/>
        <w:ind w:left="0" w:leftChars="0" w:right="0" w:rightChars="0"/>
        <w:rPr>
          <w:rFonts w:hint="eastAsia" w:ascii="宋体" w:hAnsi="宋体" w:eastAsia="宋体" w:cs="宋体"/>
          <w:b/>
          <w:color w:val="auto"/>
          <w:sz w:val="24"/>
          <w:szCs w:val="24"/>
          <w:highlight w:val="none"/>
        </w:rPr>
      </w:pPr>
    </w:p>
    <w:p>
      <w:pPr>
        <w:pStyle w:val="14"/>
        <w:spacing w:after="0" w:line="400" w:lineRule="exact"/>
        <w:ind w:left="0" w:leftChars="0" w:right="0" w:rightChars="0"/>
        <w:rPr>
          <w:rFonts w:hint="eastAsia" w:ascii="宋体" w:hAnsi="宋体" w:eastAsia="宋体" w:cs="宋体"/>
          <w:b/>
          <w:color w:val="auto"/>
          <w:sz w:val="24"/>
          <w:szCs w:val="24"/>
          <w:highlight w:val="none"/>
        </w:rPr>
      </w:pPr>
    </w:p>
    <w:p>
      <w:pPr>
        <w:pStyle w:val="14"/>
        <w:spacing w:after="0" w:line="400" w:lineRule="exact"/>
        <w:ind w:left="0" w:leftChars="0" w:right="0" w:rightChars="0"/>
        <w:rPr>
          <w:rFonts w:hint="eastAsia" w:ascii="宋体" w:hAnsi="宋体" w:eastAsia="宋体" w:cs="宋体"/>
          <w:b/>
          <w:color w:val="auto"/>
          <w:sz w:val="24"/>
          <w:szCs w:val="24"/>
          <w:highlight w:val="none"/>
        </w:rPr>
      </w:pPr>
    </w:p>
    <w:p>
      <w:pPr>
        <w:pStyle w:val="14"/>
        <w:spacing w:after="0" w:line="400" w:lineRule="exact"/>
        <w:ind w:left="0" w:leftChars="0" w:right="0" w:rightChars="0"/>
        <w:rPr>
          <w:rFonts w:hint="eastAsia" w:ascii="宋体" w:hAnsi="宋体" w:eastAsia="宋体" w:cs="宋体"/>
          <w:b/>
          <w:color w:val="auto"/>
          <w:sz w:val="24"/>
          <w:szCs w:val="24"/>
          <w:highlight w:val="none"/>
        </w:rPr>
      </w:pPr>
    </w:p>
    <w:p>
      <w:pPr>
        <w:pStyle w:val="14"/>
        <w:spacing w:after="0" w:line="400" w:lineRule="exact"/>
        <w:ind w:left="0" w:leftChars="0" w:right="0" w:rightChars="0"/>
        <w:rPr>
          <w:rFonts w:hint="eastAsia" w:ascii="宋体" w:hAnsi="宋体" w:eastAsia="宋体" w:cs="宋体"/>
          <w:b/>
          <w:color w:val="auto"/>
          <w:sz w:val="24"/>
          <w:szCs w:val="24"/>
          <w:highlight w:val="none"/>
        </w:rPr>
      </w:pPr>
    </w:p>
    <w:p>
      <w:pPr>
        <w:pStyle w:val="14"/>
        <w:spacing w:after="0" w:line="400" w:lineRule="exact"/>
        <w:ind w:left="0" w:leftChars="0" w:right="0" w:rightChars="0"/>
        <w:rPr>
          <w:rFonts w:hint="eastAsia" w:ascii="宋体" w:hAnsi="宋体" w:eastAsia="宋体" w:cs="宋体"/>
          <w:b/>
          <w:color w:val="auto"/>
          <w:sz w:val="24"/>
          <w:szCs w:val="24"/>
          <w:highlight w:val="none"/>
        </w:rPr>
      </w:pPr>
    </w:p>
    <w:p>
      <w:pPr>
        <w:pStyle w:val="14"/>
        <w:spacing w:after="0" w:line="400" w:lineRule="exact"/>
        <w:ind w:left="0" w:leftChars="0" w:right="0" w:rightChars="0"/>
        <w:rPr>
          <w:rFonts w:hint="eastAsia" w:ascii="宋体" w:hAnsi="宋体" w:eastAsia="宋体" w:cs="宋体"/>
          <w:b/>
          <w:color w:val="auto"/>
          <w:sz w:val="24"/>
          <w:szCs w:val="24"/>
          <w:highlight w:val="none"/>
        </w:rPr>
      </w:pPr>
    </w:p>
    <w:p>
      <w:pPr>
        <w:pStyle w:val="14"/>
        <w:spacing w:after="0" w:line="400" w:lineRule="exact"/>
        <w:ind w:left="0" w:leftChars="0" w:right="0" w:rightChars="0"/>
        <w:rPr>
          <w:rFonts w:hint="eastAsia" w:ascii="宋体" w:hAnsi="宋体" w:eastAsia="宋体" w:cs="宋体"/>
          <w:b/>
          <w:color w:val="auto"/>
          <w:sz w:val="24"/>
          <w:szCs w:val="24"/>
          <w:highlight w:val="none"/>
        </w:rPr>
      </w:pPr>
    </w:p>
    <w:p>
      <w:pPr>
        <w:pStyle w:val="14"/>
        <w:spacing w:after="0" w:line="400" w:lineRule="exact"/>
        <w:ind w:left="0" w:leftChars="0" w:right="0" w:rightChars="0"/>
        <w:rPr>
          <w:rFonts w:hint="eastAsia" w:ascii="宋体" w:hAnsi="宋体" w:eastAsia="宋体" w:cs="宋体"/>
          <w:b/>
          <w:color w:val="auto"/>
          <w:sz w:val="24"/>
          <w:szCs w:val="24"/>
          <w:highlight w:val="none"/>
        </w:rPr>
      </w:pPr>
    </w:p>
    <w:p>
      <w:pPr>
        <w:pStyle w:val="14"/>
        <w:spacing w:after="0" w:line="400" w:lineRule="exact"/>
        <w:ind w:left="0" w:leftChars="0" w:right="0" w:rightChars="0"/>
        <w:rPr>
          <w:rFonts w:hint="eastAsia" w:ascii="宋体" w:hAnsi="宋体" w:eastAsia="宋体" w:cs="宋体"/>
          <w:b/>
          <w:color w:val="auto"/>
          <w:sz w:val="24"/>
          <w:szCs w:val="24"/>
          <w:highlight w:val="none"/>
        </w:rPr>
      </w:pPr>
    </w:p>
    <w:p>
      <w:pPr>
        <w:pStyle w:val="14"/>
        <w:spacing w:after="0" w:line="400" w:lineRule="exact"/>
        <w:ind w:left="0" w:leftChars="0" w:right="0" w:rightChars="0"/>
        <w:rPr>
          <w:rFonts w:hint="eastAsia" w:ascii="宋体" w:hAnsi="宋体" w:eastAsia="宋体" w:cs="宋体"/>
          <w:b/>
          <w:color w:val="auto"/>
          <w:sz w:val="24"/>
          <w:szCs w:val="24"/>
          <w:highlight w:val="none"/>
        </w:rPr>
      </w:pPr>
    </w:p>
    <w:p>
      <w:pPr>
        <w:pStyle w:val="14"/>
        <w:spacing w:after="0" w:line="400" w:lineRule="exact"/>
        <w:ind w:left="0" w:leftChars="0" w:right="0" w:rightChars="0"/>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附件4-2</w:t>
      </w:r>
    </w:p>
    <w:p>
      <w:pPr>
        <w:spacing w:beforeLines="100" w:afterLines="100"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关于符合《中华人民共和国政府采购法》第二十二条规定的承诺函</w:t>
      </w:r>
    </w:p>
    <w:p>
      <w:pPr>
        <w:spacing w:beforeLines="100" w:afterLines="100" w:line="360" w:lineRule="auto"/>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致：</w:t>
      </w:r>
      <w:r>
        <w:rPr>
          <w:rFonts w:hint="eastAsia" w:ascii="宋体" w:hAnsi="宋体" w:cs="宋体"/>
          <w:color w:val="auto"/>
          <w:sz w:val="22"/>
          <w:highlight w:val="none"/>
          <w:lang w:eastAsia="zh-CN"/>
        </w:rPr>
        <w:t>温州市洞头区人民政府灵昆街道办事处</w:t>
      </w:r>
      <w:r>
        <w:rPr>
          <w:rFonts w:hint="eastAsia" w:ascii="宋体" w:hAnsi="宋体" w:eastAsia="宋体" w:cs="宋体"/>
          <w:color w:val="auto"/>
          <w:sz w:val="22"/>
          <w:highlight w:val="none"/>
        </w:rPr>
        <w:t>、</w:t>
      </w:r>
      <w:r>
        <w:rPr>
          <w:rFonts w:hint="eastAsia" w:ascii="宋体" w:hAnsi="宋体" w:cs="宋体"/>
          <w:color w:val="auto"/>
          <w:sz w:val="22"/>
          <w:highlight w:val="none"/>
          <w:lang w:eastAsia="zh-CN"/>
        </w:rPr>
        <w:t>温州市建设工程咨询有限公司</w:t>
      </w:r>
      <w:r>
        <w:rPr>
          <w:rFonts w:hint="eastAsia" w:ascii="宋体" w:hAnsi="宋体" w:eastAsia="宋体" w:cs="宋体"/>
          <w:color w:val="auto"/>
          <w:spacing w:val="-6"/>
          <w:sz w:val="22"/>
          <w:highlight w:val="none"/>
        </w:rPr>
        <w:t>：</w:t>
      </w:r>
    </w:p>
    <w:p>
      <w:pPr>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我单位就</w:t>
      </w:r>
      <w:r>
        <w:rPr>
          <w:rFonts w:hint="eastAsia" w:ascii="宋体" w:hAnsi="宋体" w:eastAsia="宋体" w:cs="宋体"/>
          <w:color w:val="auto"/>
          <w:sz w:val="22"/>
          <w:highlight w:val="none"/>
          <w:u w:val="single"/>
        </w:rPr>
        <w:t xml:space="preserve">            （项目名称）           （项目编号）</w:t>
      </w:r>
      <w:r>
        <w:rPr>
          <w:rFonts w:hint="eastAsia" w:ascii="宋体" w:hAnsi="宋体" w:eastAsia="宋体" w:cs="宋体"/>
          <w:color w:val="auto"/>
          <w:sz w:val="22"/>
          <w:highlight w:val="none"/>
        </w:rPr>
        <w:t>项目承诺具备下列条件：</w:t>
      </w:r>
    </w:p>
    <w:p>
      <w:pPr>
        <w:pStyle w:val="24"/>
        <w:spacing w:before="0" w:beforeAutospacing="0" w:after="0" w:afterAutospacing="0" w:line="360" w:lineRule="auto"/>
        <w:ind w:firstLine="440" w:firstLineChars="200"/>
        <w:rPr>
          <w:rFonts w:hint="eastAsia" w:ascii="宋体" w:hAnsi="宋体" w:eastAsia="宋体" w:cs="宋体"/>
          <w:bCs/>
          <w:color w:val="auto"/>
          <w:kern w:val="2"/>
          <w:sz w:val="22"/>
          <w:highlight w:val="none"/>
        </w:rPr>
      </w:pPr>
      <w:r>
        <w:rPr>
          <w:rFonts w:hint="eastAsia" w:ascii="宋体" w:hAnsi="宋体" w:eastAsia="宋体" w:cs="宋体"/>
          <w:bCs/>
          <w:color w:val="auto"/>
          <w:kern w:val="2"/>
          <w:sz w:val="22"/>
          <w:highlight w:val="none"/>
        </w:rPr>
        <w:t>（一）具有独立承担民事责任的能力；</w:t>
      </w:r>
    </w:p>
    <w:p>
      <w:pPr>
        <w:pStyle w:val="24"/>
        <w:spacing w:before="0" w:beforeAutospacing="0" w:after="0" w:afterAutospacing="0" w:line="360" w:lineRule="auto"/>
        <w:ind w:firstLine="440" w:firstLineChars="200"/>
        <w:rPr>
          <w:rFonts w:hint="eastAsia" w:ascii="宋体" w:hAnsi="宋体" w:eastAsia="宋体" w:cs="宋体"/>
          <w:bCs/>
          <w:color w:val="auto"/>
          <w:kern w:val="2"/>
          <w:sz w:val="22"/>
          <w:highlight w:val="none"/>
        </w:rPr>
      </w:pPr>
      <w:r>
        <w:rPr>
          <w:rFonts w:hint="eastAsia" w:ascii="宋体" w:hAnsi="宋体" w:eastAsia="宋体" w:cs="宋体"/>
          <w:bCs/>
          <w:color w:val="auto"/>
          <w:kern w:val="2"/>
          <w:sz w:val="22"/>
          <w:highlight w:val="none"/>
        </w:rPr>
        <w:t>（二）具有良好的商业信誉和健全的财务会计制度；</w:t>
      </w:r>
    </w:p>
    <w:p>
      <w:pPr>
        <w:pStyle w:val="24"/>
        <w:spacing w:before="0" w:beforeAutospacing="0" w:after="0" w:afterAutospacing="0" w:line="360" w:lineRule="auto"/>
        <w:ind w:firstLine="440" w:firstLineChars="200"/>
        <w:rPr>
          <w:rFonts w:hint="eastAsia" w:ascii="宋体" w:hAnsi="宋体" w:eastAsia="宋体" w:cs="宋体"/>
          <w:bCs/>
          <w:color w:val="auto"/>
          <w:kern w:val="2"/>
          <w:sz w:val="22"/>
          <w:highlight w:val="none"/>
        </w:rPr>
      </w:pPr>
      <w:r>
        <w:rPr>
          <w:rFonts w:hint="eastAsia" w:ascii="宋体" w:hAnsi="宋体" w:eastAsia="宋体" w:cs="宋体"/>
          <w:bCs/>
          <w:color w:val="auto"/>
          <w:kern w:val="2"/>
          <w:sz w:val="22"/>
          <w:highlight w:val="none"/>
        </w:rPr>
        <w:t>（三）具有履行合同所必需的设备和专业技术能力；</w:t>
      </w:r>
    </w:p>
    <w:p>
      <w:pPr>
        <w:pStyle w:val="24"/>
        <w:spacing w:before="0" w:beforeAutospacing="0" w:after="0" w:afterAutospacing="0" w:line="360" w:lineRule="auto"/>
        <w:ind w:firstLine="440" w:firstLineChars="200"/>
        <w:rPr>
          <w:rFonts w:hint="eastAsia" w:ascii="宋体" w:hAnsi="宋体" w:eastAsia="宋体" w:cs="宋体"/>
          <w:bCs/>
          <w:color w:val="auto"/>
          <w:kern w:val="2"/>
          <w:sz w:val="22"/>
          <w:highlight w:val="none"/>
        </w:rPr>
      </w:pPr>
      <w:r>
        <w:rPr>
          <w:rFonts w:hint="eastAsia" w:ascii="宋体" w:hAnsi="宋体" w:eastAsia="宋体" w:cs="宋体"/>
          <w:bCs/>
          <w:color w:val="auto"/>
          <w:kern w:val="2"/>
          <w:sz w:val="22"/>
          <w:highlight w:val="none"/>
        </w:rPr>
        <w:t>（四）有依法缴纳税收和社会保障资金的良好记录；</w:t>
      </w:r>
    </w:p>
    <w:p>
      <w:pPr>
        <w:pStyle w:val="24"/>
        <w:spacing w:before="0" w:beforeAutospacing="0" w:after="0" w:afterAutospacing="0" w:line="360" w:lineRule="auto"/>
        <w:ind w:firstLine="440" w:firstLineChars="200"/>
        <w:rPr>
          <w:rFonts w:hint="eastAsia" w:ascii="宋体" w:hAnsi="宋体" w:eastAsia="宋体" w:cs="宋体"/>
          <w:bCs/>
          <w:color w:val="auto"/>
          <w:kern w:val="2"/>
          <w:sz w:val="22"/>
          <w:highlight w:val="none"/>
        </w:rPr>
      </w:pPr>
      <w:r>
        <w:rPr>
          <w:rFonts w:hint="eastAsia" w:ascii="宋体" w:hAnsi="宋体" w:eastAsia="宋体" w:cs="宋体"/>
          <w:bCs/>
          <w:color w:val="auto"/>
          <w:kern w:val="2"/>
          <w:sz w:val="22"/>
          <w:highlight w:val="none"/>
        </w:rPr>
        <w:t>（五）参加政府采购活动前三年内，在经营活动中没有重大违法记录（重大违法记录是指供应商因违法经营受到刑事处罚或者责令停产停业、吊销许可证或者执照、较大数额罚款等行政处罚。）；</w:t>
      </w:r>
    </w:p>
    <w:p>
      <w:pPr>
        <w:pStyle w:val="24"/>
        <w:spacing w:before="0" w:beforeAutospacing="0" w:after="0" w:afterAutospacing="0" w:line="360" w:lineRule="auto"/>
        <w:ind w:firstLine="440" w:firstLineChars="200"/>
        <w:rPr>
          <w:rFonts w:hint="eastAsia" w:ascii="宋体" w:hAnsi="宋体" w:eastAsia="宋体" w:cs="宋体"/>
          <w:bCs/>
          <w:color w:val="auto"/>
          <w:kern w:val="2"/>
          <w:sz w:val="22"/>
          <w:highlight w:val="none"/>
        </w:rPr>
      </w:pPr>
      <w:r>
        <w:rPr>
          <w:rFonts w:hint="eastAsia" w:ascii="宋体" w:hAnsi="宋体" w:eastAsia="宋体" w:cs="宋体"/>
          <w:bCs/>
          <w:color w:val="auto"/>
          <w:kern w:val="2"/>
          <w:sz w:val="22"/>
          <w:highlight w:val="none"/>
        </w:rPr>
        <w:t>（六）未被“信用中国”（www.creditchina.gov.cn）、中国政府采购网（www.ccgp.gov.cn）列入失信被执行人、重大税收违法案件当事人名单、政府采购严重违法失信行为记录名单：以采购代理机构在开标当日查询记录为准。</w:t>
      </w:r>
    </w:p>
    <w:p>
      <w:pPr>
        <w:pStyle w:val="24"/>
        <w:spacing w:before="0" w:beforeAutospacing="0" w:after="0" w:afterAutospacing="0" w:line="360" w:lineRule="auto"/>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kern w:val="2"/>
          <w:sz w:val="22"/>
          <w:highlight w:val="none"/>
        </w:rPr>
        <w:t>如有虚假，采购人可取消我单位任何资格（投标/中标/签订合同</w:t>
      </w:r>
      <w:r>
        <w:rPr>
          <w:rFonts w:hint="eastAsia" w:ascii="宋体" w:hAnsi="宋体" w:eastAsia="宋体" w:cs="宋体"/>
          <w:b/>
          <w:color w:val="auto"/>
          <w:sz w:val="22"/>
          <w:highlight w:val="none"/>
        </w:rPr>
        <w:t>），我单位对此无任何异议。</w:t>
      </w:r>
    </w:p>
    <w:p>
      <w:pPr>
        <w:snapToGrid w:val="0"/>
        <w:spacing w:line="360" w:lineRule="auto"/>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特此承诺！</w:t>
      </w:r>
    </w:p>
    <w:p>
      <w:pPr>
        <w:tabs>
          <w:tab w:val="left" w:pos="9180"/>
        </w:tabs>
        <w:spacing w:line="360" w:lineRule="auto"/>
        <w:ind w:firstLine="440" w:firstLineChars="200"/>
        <w:rPr>
          <w:rFonts w:hint="eastAsia" w:ascii="宋体" w:hAnsi="宋体" w:eastAsia="宋体" w:cs="宋体"/>
          <w:snapToGrid w:val="0"/>
          <w:color w:val="auto"/>
          <w:sz w:val="22"/>
          <w:highlight w:val="none"/>
        </w:rPr>
      </w:pPr>
    </w:p>
    <w:p>
      <w:pPr>
        <w:tabs>
          <w:tab w:val="left" w:pos="9180"/>
        </w:tabs>
        <w:spacing w:line="360" w:lineRule="auto"/>
        <w:ind w:firstLine="440" w:firstLineChars="2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注：（1）参加政府采购活动的时间是指供应商参加本项目的政府采购活动时间为准（具体以投标截止时间为准）。</w:t>
      </w:r>
    </w:p>
    <w:p>
      <w:pPr>
        <w:tabs>
          <w:tab w:val="left" w:pos="9180"/>
        </w:tabs>
        <w:spacing w:line="360" w:lineRule="auto"/>
        <w:ind w:firstLine="880" w:firstLineChars="400"/>
        <w:rPr>
          <w:rFonts w:hint="eastAsia" w:ascii="宋体" w:hAnsi="宋体" w:eastAsia="宋体" w:cs="宋体"/>
          <w:snapToGrid w:val="0"/>
          <w:color w:val="auto"/>
          <w:sz w:val="22"/>
          <w:highlight w:val="none"/>
        </w:rPr>
      </w:pPr>
      <w:r>
        <w:rPr>
          <w:rFonts w:hint="eastAsia" w:ascii="宋体" w:hAnsi="宋体" w:eastAsia="宋体" w:cs="宋体"/>
          <w:snapToGrid w:val="0"/>
          <w:color w:val="auto"/>
          <w:sz w:val="22"/>
          <w:highlight w:val="none"/>
        </w:rPr>
        <w:t>（2）本承诺函必须提供。</w:t>
      </w:r>
    </w:p>
    <w:p>
      <w:pPr>
        <w:spacing w:line="360" w:lineRule="auto"/>
        <w:ind w:left="4620" w:leftChars="2200"/>
        <w:rPr>
          <w:rFonts w:hint="eastAsia" w:ascii="宋体" w:hAnsi="宋体" w:eastAsia="宋体" w:cs="宋体"/>
          <w:color w:val="auto"/>
          <w:szCs w:val="21"/>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pacing w:line="400" w:lineRule="exact"/>
        <w:jc w:val="center"/>
        <w:rPr>
          <w:rFonts w:hint="eastAsia" w:ascii="宋体" w:hAnsi="宋体" w:eastAsia="宋体" w:cs="宋体"/>
          <w:b/>
          <w:color w:val="auto"/>
          <w:sz w:val="24"/>
          <w:highlight w:val="none"/>
        </w:rPr>
      </w:pPr>
    </w:p>
    <w:p>
      <w:pPr>
        <w:spacing w:line="400" w:lineRule="exact"/>
        <w:jc w:val="center"/>
        <w:rPr>
          <w:rFonts w:hint="eastAsia" w:ascii="宋体" w:hAnsi="宋体" w:eastAsia="宋体" w:cs="宋体"/>
          <w:b/>
          <w:color w:val="auto"/>
          <w:sz w:val="24"/>
          <w:highlight w:val="none"/>
        </w:rPr>
      </w:pPr>
    </w:p>
    <w:p>
      <w:pPr>
        <w:pStyle w:val="14"/>
        <w:ind w:left="1470" w:right="1470"/>
        <w:rPr>
          <w:rFonts w:hint="eastAsia" w:ascii="宋体" w:hAnsi="宋体" w:eastAsia="宋体" w:cs="宋体"/>
          <w:b/>
          <w:color w:val="auto"/>
          <w:sz w:val="24"/>
          <w:highlight w:val="none"/>
        </w:rPr>
      </w:pPr>
    </w:p>
    <w:p>
      <w:pPr>
        <w:pStyle w:val="14"/>
        <w:ind w:left="1470" w:right="1470"/>
        <w:rPr>
          <w:rFonts w:hint="eastAsia" w:ascii="宋体" w:hAnsi="宋体" w:eastAsia="宋体" w:cs="宋体"/>
          <w:b/>
          <w:color w:val="auto"/>
          <w:sz w:val="24"/>
          <w:highlight w:val="none"/>
        </w:rPr>
      </w:pPr>
    </w:p>
    <w:p>
      <w:pPr>
        <w:pStyle w:val="14"/>
        <w:ind w:left="1470" w:right="1470"/>
        <w:rPr>
          <w:rFonts w:hint="eastAsia" w:ascii="宋体" w:hAnsi="宋体" w:eastAsia="宋体" w:cs="宋体"/>
          <w:b/>
          <w:color w:val="auto"/>
          <w:sz w:val="24"/>
          <w:highlight w:val="none"/>
        </w:rPr>
      </w:pPr>
    </w:p>
    <w:p>
      <w:pPr>
        <w:pStyle w:val="14"/>
        <w:ind w:left="1470" w:right="1470"/>
        <w:rPr>
          <w:rFonts w:hint="eastAsia" w:ascii="宋体" w:hAnsi="宋体" w:eastAsia="宋体" w:cs="宋体"/>
          <w:b/>
          <w:color w:val="auto"/>
          <w:sz w:val="24"/>
          <w:highlight w:val="none"/>
        </w:rPr>
      </w:pPr>
    </w:p>
    <w:p>
      <w:pPr>
        <w:pStyle w:val="14"/>
        <w:ind w:left="1470" w:right="1470"/>
        <w:rPr>
          <w:rFonts w:hint="eastAsia" w:ascii="宋体" w:hAnsi="宋体" w:eastAsia="宋体" w:cs="宋体"/>
          <w:b/>
          <w:color w:val="auto"/>
          <w:sz w:val="24"/>
          <w:highlight w:val="none"/>
        </w:rPr>
      </w:pPr>
    </w:p>
    <w:p>
      <w:pPr>
        <w:snapToGrid w:val="0"/>
        <w:spacing w:beforeLines="50" w:after="50"/>
        <w:jc w:val="center"/>
        <w:outlineLvl w:val="1"/>
        <w:rPr>
          <w:rFonts w:hint="eastAsia" w:ascii="宋体" w:hAnsi="宋体" w:eastAsia="宋体" w:cs="宋体"/>
          <w:b/>
          <w:color w:val="auto"/>
          <w:sz w:val="32"/>
          <w:szCs w:val="32"/>
          <w:highlight w:val="none"/>
        </w:rPr>
      </w:pPr>
      <w:r>
        <w:rPr>
          <w:rFonts w:hint="eastAsia" w:ascii="宋体" w:hAnsi="宋体" w:eastAsia="宋体" w:cs="宋体"/>
          <w:b/>
          <w:bCs/>
          <w:color w:val="auto"/>
          <w:sz w:val="32"/>
          <w:szCs w:val="32"/>
          <w:highlight w:val="none"/>
        </w:rPr>
        <w:t>三、商务和技术文件部分封面格式</w:t>
      </w:r>
    </w:p>
    <w:p>
      <w:pPr>
        <w:snapToGrid w:val="0"/>
        <w:spacing w:beforeLines="50" w:after="50"/>
        <w:jc w:val="center"/>
        <w:outlineLvl w:val="1"/>
        <w:rPr>
          <w:rFonts w:hint="eastAsia" w:ascii="宋体" w:hAnsi="宋体" w:eastAsia="宋体" w:cs="宋体"/>
          <w:b/>
          <w:bCs/>
          <w:color w:val="auto"/>
          <w:sz w:val="24"/>
          <w:highlight w:val="none"/>
        </w:rPr>
      </w:pPr>
    </w:p>
    <w:p>
      <w:pPr>
        <w:pStyle w:val="14"/>
        <w:ind w:left="0" w:leftChars="0" w:right="1470"/>
        <w:rPr>
          <w:rFonts w:hint="eastAsia" w:ascii="宋体" w:hAnsi="宋体" w:eastAsia="宋体" w:cs="宋体"/>
          <w:b/>
          <w:color w:val="auto"/>
          <w:sz w:val="24"/>
          <w:szCs w:val="24"/>
          <w:highlight w:val="none"/>
        </w:rPr>
      </w:pPr>
    </w:p>
    <w:p>
      <w:pPr>
        <w:snapToGrid w:val="0"/>
        <w:spacing w:line="400" w:lineRule="exact"/>
        <w:jc w:val="center"/>
        <w:outlineLvl w:val="1"/>
        <w:rPr>
          <w:rFonts w:hint="eastAsia" w:ascii="宋体" w:hAnsi="宋体" w:eastAsia="宋体" w:cs="宋体"/>
          <w:b/>
          <w:bCs/>
          <w:color w:val="auto"/>
          <w:sz w:val="24"/>
          <w:szCs w:val="20"/>
          <w:highlight w:val="none"/>
        </w:rPr>
      </w:pPr>
    </w:p>
    <w:p>
      <w:pPr>
        <w:snapToGrid w:val="0"/>
        <w:spacing w:line="400" w:lineRule="exact"/>
        <w:jc w:val="center"/>
        <w:rPr>
          <w:rFonts w:hint="eastAsia" w:ascii="宋体" w:hAnsi="宋体" w:eastAsia="宋体" w:cs="宋体"/>
          <w:bCs/>
          <w:color w:val="auto"/>
          <w:sz w:val="24"/>
          <w:szCs w:val="20"/>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389890</wp:posOffset>
                </wp:positionH>
                <wp:positionV relativeFrom="paragraph">
                  <wp:posOffset>203200</wp:posOffset>
                </wp:positionV>
                <wp:extent cx="5076825" cy="3622040"/>
                <wp:effectExtent l="4445" t="4445" r="5080" b="12065"/>
                <wp:wrapTopAndBottom/>
                <wp:docPr id="23" name="文本框 23"/>
                <wp:cNvGraphicFramePr/>
                <a:graphic xmlns:a="http://schemas.openxmlformats.org/drawingml/2006/main">
                  <a:graphicData uri="http://schemas.microsoft.com/office/word/2010/wordprocessingShape">
                    <wps:wsp>
                      <wps:cNvSpPr txBox="1">
                        <a:spLocks noRot="1"/>
                      </wps:cNvSpPr>
                      <wps:spPr>
                        <a:xfrm>
                          <a:off x="0" y="0"/>
                          <a:ext cx="5076825" cy="3622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txbxContent>
                      </wps:txbx>
                      <wps:bodyPr upright="1"/>
                    </wps:wsp>
                  </a:graphicData>
                </a:graphic>
              </wp:anchor>
            </w:drawing>
          </mc:Choice>
          <mc:Fallback>
            <w:pict>
              <v:shape id="_x0000_s1026" o:spid="_x0000_s1026" o:spt="202" type="#_x0000_t202" style="position:absolute;left:0pt;margin-left:30.7pt;margin-top:16pt;height:285.2pt;width:399.75pt;mso-wrap-distance-bottom:0pt;mso-wrap-distance-top:0pt;z-index:251661312;mso-width-relative:page;mso-height-relative:page;" fillcolor="#FFFFFF" filled="t" stroked="t" coordsize="21600,21600" o:gfxdata="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Brtx3&#10;2AAAAAkBAAAPAAAAAAAAAAEAIAAAACIAAABkcnMvZG93bnJldi54bWxQSwECFAAUAAAACACHTuJA&#10;pp1b8iECAABqBAAADgAAAAAAAAABACAAAAAnAQAAZHJzL2Uyb0RvYy54bWxQSwUGAAAAAAYABgBZ&#10;AQAAugUAAAAA&#10;">
                <v:fill on="t" focussize="0,0"/>
                <v:stroke color="#000000" joinstyle="miter"/>
                <v:imagedata o:title=""/>
                <o:lock v:ext="edit" rotation="t" aspectratio="f"/>
                <v:textbo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txbxContent>
                </v:textbox>
                <w10:wrap type="topAndBottom"/>
              </v:shape>
            </w:pict>
          </mc:Fallback>
        </mc:AlternateContent>
      </w:r>
    </w:p>
    <w:p>
      <w:pPr>
        <w:snapToGrid w:val="0"/>
        <w:spacing w:beforeLines="50" w:after="50"/>
        <w:jc w:val="center"/>
        <w:outlineLvl w:val="1"/>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pStyle w:val="14"/>
        <w:ind w:left="1470" w:right="1470"/>
        <w:rPr>
          <w:rFonts w:hint="eastAsia" w:ascii="宋体" w:hAnsi="宋体" w:eastAsia="宋体" w:cs="宋体"/>
          <w:b/>
          <w:bCs/>
          <w:color w:val="auto"/>
          <w:sz w:val="24"/>
          <w:highlight w:val="none"/>
        </w:rPr>
      </w:pPr>
    </w:p>
    <w:p>
      <w:pPr>
        <w:spacing w:line="400" w:lineRule="exact"/>
        <w:jc w:val="center"/>
        <w:rPr>
          <w:rFonts w:hint="eastAsia" w:ascii="宋体" w:hAnsi="宋体" w:eastAsia="宋体" w:cs="宋体"/>
          <w:b/>
          <w:color w:val="auto"/>
          <w:sz w:val="28"/>
          <w:highlight w:val="none"/>
        </w:rPr>
      </w:pPr>
    </w:p>
    <w:p>
      <w:pP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8"/>
          <w:highlight w:val="none"/>
        </w:rPr>
        <w:t>商务和技术文件</w:t>
      </w: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附件5</w:t>
      </w:r>
    </w:p>
    <w:p>
      <w:pPr>
        <w:ind w:right="-1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评分索引表</w:t>
      </w:r>
    </w:p>
    <w:p>
      <w:pPr>
        <w:spacing w:line="400" w:lineRule="exact"/>
        <w:ind w:firstLine="480" w:firstLineChars="200"/>
        <w:jc w:val="lef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为了方便专家评审商务和技术文件，针对招标文件评分细则要求，投标人应制作商务和技术文件索引，置于商务和技术文件首页，格式如下：</w:t>
      </w:r>
    </w:p>
    <w:tbl>
      <w:tblPr>
        <w:tblStyle w:val="2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9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序号</w:t>
            </w:r>
          </w:p>
        </w:tc>
        <w:tc>
          <w:tcPr>
            <w:tcW w:w="6956" w:type="dxa"/>
            <w:vAlign w:val="center"/>
          </w:tcPr>
          <w:p>
            <w:pPr>
              <w:spacing w:line="400" w:lineRule="exact"/>
              <w:jc w:val="center"/>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评分内容</w:t>
            </w:r>
          </w:p>
        </w:tc>
        <w:tc>
          <w:tcPr>
            <w:tcW w:w="1313" w:type="dxa"/>
            <w:vAlign w:val="center"/>
          </w:tcPr>
          <w:p>
            <w:pPr>
              <w:pStyle w:val="53"/>
              <w:spacing w:line="400" w:lineRule="exact"/>
              <w:rPr>
                <w:rFonts w:hint="eastAsia" w:ascii="宋体" w:hAnsi="宋体" w:eastAsia="宋体" w:cs="宋体"/>
                <w:b/>
                <w:color w:val="auto"/>
                <w:spacing w:val="-6"/>
                <w:szCs w:val="24"/>
                <w:highlight w:val="none"/>
              </w:rPr>
            </w:pPr>
            <w:r>
              <w:rPr>
                <w:rFonts w:hint="eastAsia" w:ascii="宋体" w:hAnsi="宋体" w:eastAsia="宋体" w:cs="宋体"/>
                <w:b/>
                <w:color w:val="auto"/>
                <w:spacing w:val="-6"/>
                <w:szCs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sz w:val="24"/>
                <w:szCs w:val="24"/>
                <w:highlight w:val="none"/>
              </w:rPr>
              <w:t>1</w:t>
            </w:r>
          </w:p>
        </w:tc>
        <w:tc>
          <w:tcPr>
            <w:tcW w:w="6956" w:type="dxa"/>
            <w:vAlign w:val="center"/>
          </w:tcPr>
          <w:p>
            <w:pPr>
              <w:spacing w:line="400" w:lineRule="exact"/>
              <w:jc w:val="left"/>
              <w:rPr>
                <w:rFonts w:hint="eastAsia" w:ascii="宋体" w:hAnsi="宋体" w:eastAsia="宋体" w:cs="宋体"/>
                <w:color w:val="auto"/>
                <w:kern w:val="0"/>
                <w:sz w:val="24"/>
                <w:szCs w:val="24"/>
                <w:highlight w:val="none"/>
              </w:rPr>
            </w:pPr>
          </w:p>
          <w:p>
            <w:pPr>
              <w:spacing w:line="400" w:lineRule="exact"/>
              <w:jc w:val="left"/>
              <w:rPr>
                <w:rFonts w:hint="eastAsia" w:ascii="宋体" w:hAnsi="宋体" w:eastAsia="宋体" w:cs="宋体"/>
                <w:color w:val="auto"/>
                <w:kern w:val="0"/>
                <w:sz w:val="24"/>
                <w:szCs w:val="24"/>
                <w:highlight w:val="none"/>
              </w:rPr>
            </w:pPr>
          </w:p>
        </w:tc>
        <w:tc>
          <w:tcPr>
            <w:tcW w:w="1313" w:type="dxa"/>
            <w:vAlign w:val="center"/>
          </w:tcPr>
          <w:p>
            <w:pPr>
              <w:pStyle w:val="12"/>
              <w:spacing w:line="400" w:lineRule="exact"/>
              <w:ind w:left="456" w:hanging="456"/>
              <w:rPr>
                <w:rFonts w:hint="eastAsia" w:ascii="宋体" w:hAnsi="宋体" w:eastAsia="宋体" w:cs="宋体"/>
                <w:color w:val="auto"/>
                <w:spacing w:val="-6"/>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sz w:val="24"/>
                <w:szCs w:val="24"/>
                <w:highlight w:val="none"/>
              </w:rPr>
              <w:t>2</w:t>
            </w:r>
          </w:p>
        </w:tc>
        <w:tc>
          <w:tcPr>
            <w:tcW w:w="6956" w:type="dxa"/>
            <w:vAlign w:val="center"/>
          </w:tcPr>
          <w:p>
            <w:pPr>
              <w:spacing w:line="400" w:lineRule="exact"/>
              <w:jc w:val="left"/>
              <w:rPr>
                <w:rFonts w:hint="eastAsia" w:ascii="宋体" w:hAnsi="宋体" w:eastAsia="宋体" w:cs="宋体"/>
                <w:color w:val="auto"/>
                <w:kern w:val="0"/>
                <w:sz w:val="24"/>
                <w:szCs w:val="24"/>
                <w:highlight w:val="none"/>
              </w:rPr>
            </w:pPr>
          </w:p>
        </w:tc>
        <w:tc>
          <w:tcPr>
            <w:tcW w:w="1313" w:type="dxa"/>
            <w:vAlign w:val="center"/>
          </w:tcPr>
          <w:p>
            <w:pPr>
              <w:pStyle w:val="12"/>
              <w:spacing w:line="400" w:lineRule="exact"/>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3</w:t>
            </w:r>
          </w:p>
        </w:tc>
        <w:tc>
          <w:tcPr>
            <w:tcW w:w="6956" w:type="dxa"/>
            <w:vAlign w:val="center"/>
          </w:tcPr>
          <w:p>
            <w:pPr>
              <w:spacing w:line="400" w:lineRule="exac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w:t>
            </w:r>
          </w:p>
        </w:tc>
        <w:tc>
          <w:tcPr>
            <w:tcW w:w="6956" w:type="dxa"/>
            <w:vAlign w:val="center"/>
          </w:tcPr>
          <w:p>
            <w:pPr>
              <w:spacing w:line="400" w:lineRule="exac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w:t>
            </w:r>
          </w:p>
        </w:tc>
        <w:tc>
          <w:tcPr>
            <w:tcW w:w="6956" w:type="dxa"/>
            <w:vAlign w:val="center"/>
          </w:tcPr>
          <w:p>
            <w:pPr>
              <w:spacing w:line="400" w:lineRule="exact"/>
              <w:jc w:val="lef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6</w:t>
            </w:r>
          </w:p>
        </w:tc>
        <w:tc>
          <w:tcPr>
            <w:tcW w:w="6956" w:type="dxa"/>
            <w:vAlign w:val="center"/>
          </w:tcPr>
          <w:p>
            <w:pPr>
              <w:spacing w:line="400" w:lineRule="exact"/>
              <w:jc w:val="lef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7</w:t>
            </w:r>
          </w:p>
        </w:tc>
        <w:tc>
          <w:tcPr>
            <w:tcW w:w="6956" w:type="dxa"/>
            <w:vAlign w:val="center"/>
          </w:tcPr>
          <w:p>
            <w:pPr>
              <w:spacing w:line="400" w:lineRule="exact"/>
              <w:jc w:val="lef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8</w:t>
            </w:r>
          </w:p>
        </w:tc>
        <w:tc>
          <w:tcPr>
            <w:tcW w:w="6956" w:type="dxa"/>
            <w:vAlign w:val="center"/>
          </w:tcPr>
          <w:p>
            <w:pPr>
              <w:spacing w:line="400" w:lineRule="exac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9</w:t>
            </w:r>
          </w:p>
        </w:tc>
        <w:tc>
          <w:tcPr>
            <w:tcW w:w="6956" w:type="dxa"/>
            <w:vAlign w:val="center"/>
          </w:tcPr>
          <w:p>
            <w:pPr>
              <w:spacing w:line="400" w:lineRule="exact"/>
              <w:jc w:val="lef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w:t>
            </w:r>
          </w:p>
        </w:tc>
        <w:tc>
          <w:tcPr>
            <w:tcW w:w="6956" w:type="dxa"/>
            <w:vAlign w:val="center"/>
          </w:tcPr>
          <w:p>
            <w:pPr>
              <w:spacing w:line="400" w:lineRule="exact"/>
              <w:jc w:val="left"/>
              <w:rPr>
                <w:rFonts w:hint="eastAsia" w:ascii="宋体" w:hAnsi="宋体" w:eastAsia="宋体" w:cs="宋体"/>
                <w:color w:val="auto"/>
                <w:sz w:val="24"/>
                <w:szCs w:val="24"/>
                <w:highlight w:val="none"/>
              </w:rPr>
            </w:pPr>
          </w:p>
        </w:tc>
        <w:tc>
          <w:tcPr>
            <w:tcW w:w="1313" w:type="dxa"/>
          </w:tcPr>
          <w:p>
            <w:pPr>
              <w:spacing w:line="400" w:lineRule="exact"/>
              <w:rPr>
                <w:rFonts w:hint="eastAsia" w:ascii="宋体" w:hAnsi="宋体" w:eastAsia="宋体" w:cs="宋体"/>
                <w:bCs/>
                <w:color w:val="auto"/>
                <w:sz w:val="24"/>
                <w:szCs w:val="24"/>
                <w:highlight w:val="none"/>
              </w:rPr>
            </w:pPr>
          </w:p>
        </w:tc>
      </w:tr>
    </w:tbl>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备注：一.“评分内容”对应“第六部分”评标原则及方法。</w:t>
      </w:r>
    </w:p>
    <w:p>
      <w:pPr>
        <w:spacing w:line="400" w:lineRule="exact"/>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二.评标内容自行添加。本表可扩展。</w:t>
      </w:r>
    </w:p>
    <w:p>
      <w:pPr>
        <w:spacing w:line="400" w:lineRule="exact"/>
        <w:ind w:firstLine="720" w:firstLineChars="3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三.各投标人在投标文件最前页根据本评标细则制作评分索引表，清楚标注响应内容及证明材料的所在页码。</w:t>
      </w:r>
    </w:p>
    <w:p>
      <w:pPr>
        <w:spacing w:line="400" w:lineRule="exact"/>
        <w:ind w:hanging="1"/>
        <w:rPr>
          <w:rFonts w:hint="eastAsia" w:ascii="宋体" w:hAnsi="宋体" w:eastAsia="宋体" w:cs="宋体"/>
          <w:b/>
          <w:color w:val="auto"/>
          <w:sz w:val="22"/>
          <w:highlight w:val="none"/>
        </w:rPr>
      </w:pPr>
    </w:p>
    <w:p>
      <w:pPr>
        <w:rPr>
          <w:rFonts w:hint="eastAsia" w:ascii="宋体" w:hAnsi="宋体" w:eastAsia="宋体" w:cs="宋体"/>
          <w:b/>
          <w:color w:val="auto"/>
          <w:sz w:val="22"/>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附件6</w:t>
      </w:r>
    </w:p>
    <w:p>
      <w:pPr>
        <w:ind w:right="-1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法定代表人资格证明书</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cs="宋体"/>
          <w:color w:val="auto"/>
          <w:sz w:val="24"/>
          <w:szCs w:val="24"/>
          <w:highlight w:val="none"/>
          <w:u w:val="single"/>
          <w:lang w:eastAsia="zh-CN"/>
        </w:rPr>
        <w:t>温州市洞头区人民政府灵昆街道办事处</w:t>
      </w:r>
      <w:r>
        <w:rPr>
          <w:rFonts w:hint="eastAsia" w:ascii="宋体" w:hAnsi="宋体" w:eastAsia="宋体" w:cs="宋体"/>
          <w:color w:val="auto"/>
          <w:sz w:val="24"/>
          <w:szCs w:val="24"/>
          <w:highlight w:val="none"/>
          <w:u w:val="single"/>
        </w:rPr>
        <w:t>、</w:t>
      </w:r>
      <w:r>
        <w:rPr>
          <w:rFonts w:hint="eastAsia" w:ascii="宋体" w:hAnsi="宋体" w:cs="宋体"/>
          <w:color w:val="auto"/>
          <w:sz w:val="24"/>
          <w:szCs w:val="24"/>
          <w:highlight w:val="none"/>
          <w:u w:val="single"/>
          <w:lang w:eastAsia="zh-CN"/>
        </w:rPr>
        <w:t>温州市建设工程咨询有限公司</w:t>
      </w:r>
      <w:r>
        <w:rPr>
          <w:rFonts w:hint="eastAsia" w:ascii="宋体" w:hAnsi="宋体" w:eastAsia="宋体" w:cs="宋体"/>
          <w:color w:val="auto"/>
          <w:sz w:val="24"/>
          <w:szCs w:val="24"/>
          <w:highlight w:val="none"/>
        </w:rPr>
        <w:t>：</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（姓名、性别、年龄）</w:t>
      </w:r>
      <w:r>
        <w:rPr>
          <w:rFonts w:hint="eastAsia" w:ascii="宋体" w:hAnsi="宋体" w:eastAsia="宋体" w:cs="宋体"/>
          <w:color w:val="auto"/>
          <w:sz w:val="24"/>
          <w:szCs w:val="24"/>
          <w:highlight w:val="none"/>
        </w:rPr>
        <w:t>在我单位任</w:t>
      </w:r>
      <w:r>
        <w:rPr>
          <w:rFonts w:hint="eastAsia" w:ascii="宋体" w:hAnsi="宋体" w:eastAsia="宋体" w:cs="宋体"/>
          <w:color w:val="auto"/>
          <w:sz w:val="24"/>
          <w:szCs w:val="24"/>
          <w:highlight w:val="none"/>
          <w:u w:val="single"/>
        </w:rPr>
        <w:t xml:space="preserve">                      （职务名称）</w:t>
      </w:r>
      <w:r>
        <w:rPr>
          <w:rFonts w:hint="eastAsia" w:ascii="宋体" w:hAnsi="宋体" w:eastAsia="宋体" w:cs="宋体"/>
          <w:color w:val="auto"/>
          <w:sz w:val="24"/>
          <w:szCs w:val="24"/>
          <w:highlight w:val="none"/>
        </w:rPr>
        <w:t>职务，是我单位的法定代表人。</w:t>
      </w:r>
    </w:p>
    <w:p>
      <w:pPr>
        <w:spacing w:line="400" w:lineRule="exact"/>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spacing w:line="400" w:lineRule="exact"/>
        <w:jc w:val="left"/>
        <w:rPr>
          <w:rFonts w:hint="eastAsia" w:ascii="宋体" w:hAnsi="宋体" w:eastAsia="宋体" w:cs="宋体"/>
          <w:b/>
          <w:bCs/>
          <w:color w:val="auto"/>
          <w:sz w:val="24"/>
          <w:szCs w:val="24"/>
          <w:highlight w:val="none"/>
        </w:rPr>
      </w:pPr>
    </w:p>
    <w:p>
      <w:pPr>
        <w:spacing w:line="40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法定代表人身份证号：（身份证复印附后）</w:t>
      </w:r>
    </w:p>
    <w:p>
      <w:pPr>
        <w:spacing w:line="40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法定代表人电话：</w:t>
      </w:r>
    </w:p>
    <w:p>
      <w:pPr>
        <w:spacing w:line="400" w:lineRule="exact"/>
        <w:jc w:val="left"/>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4"/>
          <w:szCs w:val="24"/>
          <w:highlight w:val="none"/>
        </w:rPr>
        <w:t>投标人全称（电子签章）</w:t>
      </w:r>
    </w:p>
    <w:p>
      <w:pPr>
        <w:spacing w:line="40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日 期：   年  月  日</w:t>
      </w:r>
    </w:p>
    <w:p>
      <w:pPr>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mc:AlternateContent>
          <mc:Choice Requires="wps">
            <w:drawing>
              <wp:anchor distT="0" distB="0" distL="114300" distR="114300" simplePos="0" relativeHeight="251664384" behindDoc="0" locked="0" layoutInCell="1" allowOverlap="1">
                <wp:simplePos x="0" y="0"/>
                <wp:positionH relativeFrom="column">
                  <wp:posOffset>598170</wp:posOffset>
                </wp:positionH>
                <wp:positionV relativeFrom="paragraph">
                  <wp:posOffset>158115</wp:posOffset>
                </wp:positionV>
                <wp:extent cx="3400425" cy="2377440"/>
                <wp:effectExtent l="4445" t="4445" r="5080" b="18415"/>
                <wp:wrapNone/>
                <wp:docPr id="2" name="文本框 2"/>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cs="宋体"/>
                                <w:sz w:val="24"/>
                                <w:szCs w:val="24"/>
                              </w:rPr>
                            </w:pPr>
                            <w:r>
                              <w:rPr>
                                <w:rFonts w:hint="eastAsia" w:ascii="宋体" w:hAnsi="宋体" w:cs="宋体"/>
                                <w:sz w:val="24"/>
                                <w:szCs w:val="24"/>
                              </w:rPr>
                              <w:t>法人代表身份证复印件粘贴：</w:t>
                            </w:r>
                          </w:p>
                        </w:txbxContent>
                      </wps:txbx>
                      <wps:bodyPr upright="1"/>
                    </wps:wsp>
                  </a:graphicData>
                </a:graphic>
              </wp:anchor>
            </w:drawing>
          </mc:Choice>
          <mc:Fallback>
            <w:pict>
              <v:shape id="_x0000_s1026" o:spid="_x0000_s1026" o:spt="202" type="#_x0000_t202" style="position:absolute;left:0pt;margin-left:47.1pt;margin-top:12.45pt;height:187.2pt;width:267.75pt;z-index:251664384;mso-width-relative:page;mso-height-relative:page;" fillcolor="#FFFFFF" filled="t" stroked="t" coordsize="21600,21600" o:gfxdata="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ZfJg7YAAAACQEAAA8AAAAA&#10;AAAAAQAgAAAAIgAAAGRycy9kb3ducmV2LnhtbFBLAQIUABQAAAAIAIdO4kD16S5iFAIAAEUEAAAO&#10;AAAAAAAAAAEAIAAAACcBAABkcnMvZTJvRG9jLnhtbFBLBQYAAAAABgAGAFkBAACtBQAAAAA=&#10;">
                <v:fill on="t" focussize="0,0"/>
                <v:stroke color="#000000" joinstyle="miter"/>
                <v:imagedata o:title=""/>
                <o:lock v:ext="edit" aspectratio="f"/>
                <v:textbox>
                  <w:txbxContent>
                    <w:p>
                      <w:pPr>
                        <w:rPr>
                          <w:rFonts w:ascii="宋体" w:hAnsi="宋体" w:cs="宋体"/>
                          <w:sz w:val="24"/>
                          <w:szCs w:val="24"/>
                        </w:rPr>
                      </w:pPr>
                      <w:r>
                        <w:rPr>
                          <w:rFonts w:hint="eastAsia" w:ascii="宋体" w:hAnsi="宋体" w:cs="宋体"/>
                          <w:sz w:val="24"/>
                          <w:szCs w:val="24"/>
                        </w:rPr>
                        <w:t>法人代表身份证复印件粘贴：</w:t>
                      </w:r>
                    </w:p>
                  </w:txbxContent>
                </v:textbox>
              </v:shape>
            </w:pict>
          </mc:Fallback>
        </mc:AlternateContent>
      </w: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b/>
          <w:bCs/>
          <w:color w:val="auto"/>
          <w:sz w:val="24"/>
          <w:szCs w:val="24"/>
          <w:highlight w:val="none"/>
        </w:rPr>
      </w:pPr>
    </w:p>
    <w:p>
      <w:pPr>
        <w:snapToGrid w:val="0"/>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b/>
          <w:bCs/>
          <w:color w:val="auto"/>
          <w:spacing w:val="-6"/>
          <w:sz w:val="24"/>
          <w:highlight w:val="none"/>
        </w:rPr>
      </w:pPr>
      <w:r>
        <w:rPr>
          <w:rFonts w:hint="eastAsia" w:ascii="宋体" w:hAnsi="宋体" w:eastAsia="宋体" w:cs="宋体"/>
          <w:b/>
          <w:bCs/>
          <w:color w:val="auto"/>
          <w:spacing w:val="-6"/>
          <w:sz w:val="24"/>
          <w:highlight w:val="none"/>
        </w:rPr>
        <w:t>说明：投标人的法定代表人参加投标，须在投标文件中提供法定代表人资格证明书；投标人的法定代表人委托授权代表参加投标，须在投标文件中提供法定代表人授权委托书。</w:t>
      </w:r>
    </w:p>
    <w:p>
      <w:pPr>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color w:val="auto"/>
          <w:sz w:val="24"/>
          <w:szCs w:val="24"/>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pStyle w:val="14"/>
        <w:ind w:left="1470" w:right="1470"/>
        <w:rPr>
          <w:rFonts w:hint="eastAsia" w:ascii="宋体" w:hAnsi="宋体" w:eastAsia="宋体" w:cs="宋体"/>
          <w:color w:val="auto"/>
          <w:highlight w:val="none"/>
        </w:rPr>
      </w:pPr>
    </w:p>
    <w:p>
      <w:pPr>
        <w:pStyle w:val="14"/>
        <w:ind w:left="1470" w:right="1470"/>
        <w:rPr>
          <w:rFonts w:hint="eastAsia" w:ascii="宋体" w:hAnsi="宋体" w:eastAsia="宋体" w:cs="宋体"/>
          <w:color w:val="auto"/>
          <w:highlight w:val="none"/>
        </w:rPr>
      </w:pPr>
    </w:p>
    <w:p>
      <w:pPr>
        <w:pStyle w:val="14"/>
        <w:ind w:left="1470" w:right="1470"/>
        <w:rPr>
          <w:rFonts w:hint="eastAsia" w:ascii="宋体" w:hAnsi="宋体" w:eastAsia="宋体" w:cs="宋体"/>
          <w:color w:val="auto"/>
          <w:highlight w:val="none"/>
        </w:rPr>
      </w:pPr>
    </w:p>
    <w:p>
      <w:pPr>
        <w:snapToGrid w:val="0"/>
        <w:spacing w:line="400" w:lineRule="exact"/>
        <w:jc w:val="center"/>
        <w:rPr>
          <w:rFonts w:hint="eastAsia" w:ascii="宋体" w:hAnsi="宋体" w:eastAsia="宋体" w:cs="宋体"/>
          <w:b/>
          <w:color w:val="auto"/>
          <w:spacing w:val="-6"/>
          <w:sz w:val="24"/>
          <w:szCs w:val="24"/>
          <w:highlight w:val="none"/>
        </w:rPr>
      </w:pPr>
    </w:p>
    <w:p>
      <w:pPr>
        <w:snapToGrid w:val="0"/>
        <w:spacing w:line="400" w:lineRule="exact"/>
        <w:jc w:val="center"/>
        <w:rPr>
          <w:rFonts w:hint="eastAsia" w:ascii="宋体" w:hAnsi="宋体" w:eastAsia="宋体" w:cs="宋体"/>
          <w:b/>
          <w:color w:val="auto"/>
          <w:spacing w:val="-6"/>
          <w:sz w:val="24"/>
          <w:szCs w:val="24"/>
          <w:highlight w:val="none"/>
        </w:rPr>
      </w:pPr>
    </w:p>
    <w:p>
      <w:pPr>
        <w:ind w:right="-10"/>
        <w:jc w:val="center"/>
        <w:rPr>
          <w:rFonts w:hint="eastAsia" w:ascii="宋体" w:hAnsi="宋体" w:eastAsia="宋体" w:cs="宋体"/>
          <w:b/>
          <w:bCs/>
          <w:color w:val="auto"/>
          <w:sz w:val="32"/>
          <w:szCs w:val="32"/>
          <w:highlight w:val="none"/>
        </w:rPr>
      </w:pPr>
    </w:p>
    <w:p>
      <w:pPr>
        <w:ind w:right="-1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法定代表人授权委托书</w:t>
      </w:r>
    </w:p>
    <w:p>
      <w:pPr>
        <w:spacing w:line="400" w:lineRule="exact"/>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bCs/>
          <w:color w:val="auto"/>
          <w:spacing w:val="-6"/>
          <w:sz w:val="24"/>
          <w:szCs w:val="24"/>
          <w:highlight w:val="none"/>
        </w:rPr>
      </w:pPr>
      <w:r>
        <w:rPr>
          <w:rFonts w:hint="eastAsia" w:ascii="宋体" w:hAnsi="宋体" w:eastAsia="宋体" w:cs="宋体"/>
          <w:color w:val="auto"/>
          <w:sz w:val="24"/>
          <w:szCs w:val="24"/>
          <w:highlight w:val="none"/>
        </w:rPr>
        <w:t>致：</w:t>
      </w:r>
      <w:r>
        <w:rPr>
          <w:rFonts w:hint="eastAsia" w:ascii="宋体" w:hAnsi="宋体" w:cs="宋体"/>
          <w:color w:val="auto"/>
          <w:sz w:val="24"/>
          <w:szCs w:val="24"/>
          <w:highlight w:val="none"/>
          <w:u w:val="single"/>
          <w:lang w:eastAsia="zh-CN"/>
        </w:rPr>
        <w:t>温州市洞头区人民政府灵昆街道办事处</w:t>
      </w:r>
      <w:r>
        <w:rPr>
          <w:rFonts w:hint="eastAsia" w:ascii="宋体" w:hAnsi="宋体" w:eastAsia="宋体" w:cs="宋体"/>
          <w:color w:val="auto"/>
          <w:sz w:val="24"/>
          <w:szCs w:val="24"/>
          <w:highlight w:val="none"/>
          <w:u w:val="single"/>
        </w:rPr>
        <w:t>、</w:t>
      </w:r>
      <w:r>
        <w:rPr>
          <w:rFonts w:hint="eastAsia" w:ascii="宋体" w:hAnsi="宋体" w:cs="宋体"/>
          <w:color w:val="auto"/>
          <w:sz w:val="24"/>
          <w:szCs w:val="24"/>
          <w:highlight w:val="none"/>
          <w:u w:val="single"/>
          <w:lang w:eastAsia="zh-CN"/>
        </w:rPr>
        <w:t>温州市建设工程咨询有限公司</w:t>
      </w:r>
      <w:r>
        <w:rPr>
          <w:rFonts w:hint="eastAsia" w:ascii="宋体" w:hAnsi="宋体" w:eastAsia="宋体" w:cs="宋体"/>
          <w:color w:val="auto"/>
          <w:spacing w:val="-6"/>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56"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pacing w:val="-6"/>
          <w:sz w:val="24"/>
          <w:szCs w:val="24"/>
          <w:highlight w:val="none"/>
        </w:rPr>
        <w:t>（姓名）系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pacing w:val="-6"/>
          <w:sz w:val="24"/>
          <w:szCs w:val="24"/>
          <w:highlight w:val="none"/>
        </w:rPr>
        <w:t xml:space="preserve">（投标人名称）的法定代表人，现授权委托本单位在职职工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pacing w:val="-6"/>
          <w:sz w:val="24"/>
          <w:szCs w:val="24"/>
          <w:highlight w:val="none"/>
        </w:rPr>
        <w:t>（姓名）（身份证号：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pacing w:val="-6"/>
          <w:sz w:val="24"/>
          <w:szCs w:val="24"/>
          <w:highlight w:val="none"/>
        </w:rPr>
        <w:t>）以我方的名义参加</w:t>
      </w:r>
      <w:r>
        <w:rPr>
          <w:rFonts w:hint="eastAsia" w:ascii="宋体" w:hAnsi="宋体" w:cs="宋体"/>
          <w:color w:val="auto"/>
          <w:spacing w:val="-6"/>
          <w:sz w:val="24"/>
          <w:szCs w:val="24"/>
          <w:highlight w:val="none"/>
          <w:lang w:eastAsia="zh-CN"/>
        </w:rPr>
        <w:t>温州市洞头区人民政府灵昆街道办事处</w:t>
      </w:r>
      <w:r>
        <w:rPr>
          <w:rFonts w:hint="eastAsia" w:ascii="宋体" w:hAnsi="宋体" w:eastAsia="宋体" w:cs="宋体"/>
          <w:color w:val="auto"/>
          <w:spacing w:val="-6"/>
          <w:sz w:val="24"/>
          <w:szCs w:val="24"/>
          <w:highlight w:val="none"/>
        </w:rPr>
        <w:t xml:space="preserve">项目（项目编号：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pacing w:val="-6"/>
          <w:sz w:val="24"/>
          <w:szCs w:val="24"/>
          <w:highlight w:val="none"/>
        </w:rPr>
        <w:t>）的投标活动，并代表我方全权办理针对上述项目的投标、开标、评标、签约等具体事务和签署相关文件。</w:t>
      </w:r>
    </w:p>
    <w:p>
      <w:pPr>
        <w:keepNext w:val="0"/>
        <w:keepLines w:val="0"/>
        <w:pageBreakBefore w:val="0"/>
        <w:widowControl w:val="0"/>
        <w:kinsoku/>
        <w:wordWrap/>
        <w:overflowPunct/>
        <w:topLinePunct w:val="0"/>
        <w:autoSpaceDE/>
        <w:autoSpaceDN/>
        <w:bidi w:val="0"/>
        <w:adjustRightInd/>
        <w:snapToGrid w:val="0"/>
        <w:spacing w:line="360" w:lineRule="auto"/>
        <w:ind w:firstLine="456"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我方对被授权人的签名负全部责任。</w:t>
      </w:r>
    </w:p>
    <w:p>
      <w:pPr>
        <w:keepNext w:val="0"/>
        <w:keepLines w:val="0"/>
        <w:pageBreakBefore w:val="0"/>
        <w:widowControl w:val="0"/>
        <w:kinsoku/>
        <w:wordWrap/>
        <w:overflowPunct/>
        <w:topLinePunct w:val="0"/>
        <w:autoSpaceDE/>
        <w:autoSpaceDN/>
        <w:bidi w:val="0"/>
        <w:adjustRightInd/>
        <w:snapToGrid w:val="0"/>
        <w:spacing w:line="360" w:lineRule="auto"/>
        <w:ind w:firstLine="456"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在撤销授权的书面通知以前，本授权书一直有效。被授权人在授权书有效期内签署的所有文件不因授权的撤销而失效。</w:t>
      </w:r>
    </w:p>
    <w:p>
      <w:pPr>
        <w:keepNext w:val="0"/>
        <w:keepLines w:val="0"/>
        <w:pageBreakBefore w:val="0"/>
        <w:widowControl w:val="0"/>
        <w:kinsoku/>
        <w:wordWrap/>
        <w:overflowPunct/>
        <w:topLinePunct w:val="0"/>
        <w:autoSpaceDE/>
        <w:autoSpaceDN/>
        <w:bidi w:val="0"/>
        <w:adjustRightInd/>
        <w:snapToGrid w:val="0"/>
        <w:spacing w:line="360" w:lineRule="auto"/>
        <w:ind w:firstLine="456"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被授权人无转委托权，特此委托。</w:t>
      </w:r>
    </w:p>
    <w:p>
      <w:pPr>
        <w:snapToGrid w:val="0"/>
        <w:spacing w:line="400" w:lineRule="exact"/>
        <w:rPr>
          <w:rFonts w:hint="eastAsia" w:ascii="宋体" w:hAnsi="宋体" w:eastAsia="宋体" w:cs="宋体"/>
          <w:color w:val="auto"/>
          <w:spacing w:val="-6"/>
          <w:sz w:val="24"/>
          <w:szCs w:val="24"/>
          <w:highlight w:val="none"/>
        </w:rPr>
      </w:pPr>
    </w:p>
    <w:p>
      <w:pPr>
        <w:snapToGrid w:val="0"/>
        <w:spacing w:line="400" w:lineRule="exact"/>
        <w:rPr>
          <w:rFonts w:hint="eastAsia" w:ascii="宋体" w:hAnsi="宋体" w:eastAsia="宋体" w:cs="宋体"/>
          <w:color w:val="auto"/>
          <w:spacing w:val="-6"/>
          <w:sz w:val="24"/>
          <w:szCs w:val="24"/>
          <w:highlight w:val="none"/>
        </w:rPr>
      </w:pPr>
    </w:p>
    <w:p>
      <w:pPr>
        <w:snapToGrid w:val="0"/>
        <w:spacing w:line="400" w:lineRule="exact"/>
        <w:rPr>
          <w:rFonts w:hint="eastAsia" w:ascii="宋体" w:hAnsi="宋体" w:eastAsia="宋体" w:cs="宋体"/>
          <w:color w:val="auto"/>
          <w:spacing w:val="-6"/>
          <w:sz w:val="24"/>
          <w:szCs w:val="24"/>
          <w:highlight w:val="none"/>
          <w:u w:val="single"/>
        </w:rPr>
      </w:pPr>
      <w:r>
        <w:rPr>
          <w:rFonts w:hint="eastAsia" w:ascii="宋体" w:hAnsi="宋体" w:eastAsia="宋体" w:cs="宋体"/>
          <w:color w:val="auto"/>
          <w:spacing w:val="-6"/>
          <w:sz w:val="24"/>
          <w:szCs w:val="24"/>
          <w:highlight w:val="none"/>
        </w:rPr>
        <w:t>被授权人签字：                 法定代表人签字或盖章：</w:t>
      </w:r>
    </w:p>
    <w:p>
      <w:pPr>
        <w:snapToGrid w:val="0"/>
        <w:spacing w:line="400" w:lineRule="exact"/>
        <w:ind w:firstLine="912" w:firstLineChars="4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职务：                  职务：</w:t>
      </w:r>
    </w:p>
    <w:p>
      <w:pPr>
        <w:snapToGrid w:val="0"/>
        <w:spacing w:line="400" w:lineRule="exac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被授权人身份证号码：</w:t>
      </w:r>
    </w:p>
    <w:p>
      <w:pPr>
        <w:snapToGrid w:val="0"/>
        <w:spacing w:line="400" w:lineRule="exac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投标人全称(电子签章)：</w:t>
      </w:r>
    </w:p>
    <w:p>
      <w:pPr>
        <w:snapToGrid w:val="0"/>
        <w:spacing w:line="400" w:lineRule="exact"/>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年    月    日</w:t>
      </w:r>
    </w:p>
    <w:p>
      <w:pPr>
        <w:spacing w:line="400" w:lineRule="exac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148590</wp:posOffset>
                </wp:positionV>
                <wp:extent cx="5191125" cy="2360295"/>
                <wp:effectExtent l="4445" t="4445" r="5080" b="16510"/>
                <wp:wrapNone/>
                <wp:docPr id="6" name="文本框 6"/>
                <wp:cNvGraphicFramePr/>
                <a:graphic xmlns:a="http://schemas.openxmlformats.org/drawingml/2006/main">
                  <a:graphicData uri="http://schemas.microsoft.com/office/word/2010/wordprocessingShape">
                    <wps:wsp>
                      <wps:cNvSpPr txBox="1"/>
                      <wps:spPr>
                        <a:xfrm>
                          <a:off x="0" y="0"/>
                          <a:ext cx="5191125" cy="23602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sz w:val="24"/>
                              </w:rPr>
                            </w:pPr>
                            <w:r>
                              <w:rPr>
                                <w:rFonts w:hint="eastAsia" w:ascii="新宋体" w:hAnsi="新宋体" w:eastAsia="新宋体"/>
                                <w:sz w:val="22"/>
                              </w:rPr>
                              <w:t xml:space="preserve">  被授权人</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wps:txbx>
                      <wps:bodyPr upright="1"/>
                    </wps:wsp>
                  </a:graphicData>
                </a:graphic>
              </wp:anchor>
            </w:drawing>
          </mc:Choice>
          <mc:Fallback>
            <w:pict>
              <v:shape id="_x0000_s1026" o:spid="_x0000_s1026" o:spt="202" type="#_x0000_t202" style="position:absolute;left:0pt;margin-left:0pt;margin-top:11.7pt;height:185.85pt;width:408.75pt;z-index:251663360;mso-width-relative:page;mso-height-relative:page;" fillcolor="#FFFFFF" filled="t" stroked="t" coordsize="21600,21600" o:gfxdata="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8q/5NgAAAAHAQAADwAAAAAAAAAB&#10;ACAAAAAiAAAAZHJzL2Rvd25yZXYueG1sUEsBAhQAFAAAAAgAh07iQCzM5yQQAgAARQQAAA4AAAAA&#10;AAAAAQAgAAAAJwEAAGRycy9lMm9Eb2MueG1sUEsFBgAAAAAGAAYAWQEAAKkFAAAAAA==&#10;">
                <v:fill on="t" focussize="0,0"/>
                <v:stroke color="#000000" joinstyle="miter"/>
                <v:imagedata o:title=""/>
                <o:lock v:ext="edit" aspectratio="f"/>
                <v:textbox>
                  <w:txbxContent>
                    <w:p>
                      <w:pPr>
                        <w:rPr>
                          <w:rFonts w:ascii="宋体" w:hAnsi="宋体"/>
                          <w:sz w:val="24"/>
                        </w:rPr>
                      </w:pPr>
                      <w:r>
                        <w:rPr>
                          <w:rFonts w:hint="eastAsia" w:ascii="新宋体" w:hAnsi="新宋体" w:eastAsia="新宋体"/>
                          <w:sz w:val="22"/>
                        </w:rPr>
                        <w:t xml:space="preserve">  被授权人</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v:textbox>
              </v:shape>
            </w:pict>
          </mc:Fallback>
        </mc:AlternateContent>
      </w:r>
    </w:p>
    <w:p>
      <w:pPr>
        <w:spacing w:line="400" w:lineRule="exact"/>
        <w:rPr>
          <w:rFonts w:hint="eastAsia" w:ascii="宋体" w:hAnsi="宋体" w:eastAsia="宋体" w:cs="宋体"/>
          <w:color w:val="auto"/>
          <w:spacing w:val="-6"/>
          <w:sz w:val="24"/>
          <w:szCs w:val="24"/>
          <w:highlight w:val="none"/>
        </w:rPr>
      </w:pPr>
    </w:p>
    <w:p>
      <w:pPr>
        <w:spacing w:line="400" w:lineRule="exact"/>
        <w:rPr>
          <w:rFonts w:hint="eastAsia" w:ascii="宋体" w:hAnsi="宋体" w:eastAsia="宋体" w:cs="宋体"/>
          <w:color w:val="auto"/>
          <w:spacing w:val="-6"/>
          <w:sz w:val="24"/>
          <w:szCs w:val="24"/>
          <w:highlight w:val="none"/>
        </w:rPr>
      </w:pPr>
    </w:p>
    <w:p>
      <w:pPr>
        <w:spacing w:line="400" w:lineRule="exact"/>
        <w:rPr>
          <w:rFonts w:hint="eastAsia" w:ascii="宋体" w:hAnsi="宋体" w:eastAsia="宋体" w:cs="宋体"/>
          <w:color w:val="auto"/>
          <w:spacing w:val="-6"/>
          <w:sz w:val="24"/>
          <w:szCs w:val="24"/>
          <w:highlight w:val="none"/>
        </w:rPr>
      </w:pPr>
    </w:p>
    <w:p>
      <w:pPr>
        <w:spacing w:line="400" w:lineRule="exact"/>
        <w:rPr>
          <w:rFonts w:hint="eastAsia" w:ascii="宋体" w:hAnsi="宋体" w:eastAsia="宋体" w:cs="宋体"/>
          <w:color w:val="auto"/>
          <w:spacing w:val="-6"/>
          <w:sz w:val="24"/>
          <w:szCs w:val="24"/>
          <w:highlight w:val="none"/>
        </w:rPr>
      </w:pPr>
    </w:p>
    <w:p>
      <w:pPr>
        <w:spacing w:line="400" w:lineRule="exact"/>
        <w:rPr>
          <w:rFonts w:hint="eastAsia" w:ascii="宋体" w:hAnsi="宋体" w:eastAsia="宋体" w:cs="宋体"/>
          <w:color w:val="auto"/>
          <w:spacing w:val="-6"/>
          <w:sz w:val="24"/>
          <w:szCs w:val="24"/>
          <w:highlight w:val="none"/>
        </w:rPr>
      </w:pPr>
    </w:p>
    <w:p>
      <w:pPr>
        <w:spacing w:line="400" w:lineRule="exact"/>
        <w:rPr>
          <w:rFonts w:hint="eastAsia" w:ascii="宋体" w:hAnsi="宋体" w:eastAsia="宋体" w:cs="宋体"/>
          <w:color w:val="auto"/>
          <w:spacing w:val="-6"/>
          <w:sz w:val="24"/>
          <w:szCs w:val="24"/>
          <w:highlight w:val="none"/>
        </w:rPr>
      </w:pPr>
    </w:p>
    <w:p>
      <w:pPr>
        <w:spacing w:line="400" w:lineRule="exact"/>
        <w:rPr>
          <w:rFonts w:hint="eastAsia" w:ascii="宋体" w:hAnsi="宋体" w:eastAsia="宋体" w:cs="宋体"/>
          <w:color w:val="auto"/>
          <w:spacing w:val="-6"/>
          <w:sz w:val="24"/>
          <w:szCs w:val="24"/>
          <w:highlight w:val="none"/>
        </w:rPr>
      </w:pPr>
    </w:p>
    <w:p>
      <w:pPr>
        <w:spacing w:line="400" w:lineRule="exact"/>
        <w:rPr>
          <w:rFonts w:hint="eastAsia" w:ascii="宋体" w:hAnsi="宋体" w:eastAsia="宋体" w:cs="宋体"/>
          <w:color w:val="auto"/>
          <w:spacing w:val="-6"/>
          <w:sz w:val="24"/>
          <w:szCs w:val="24"/>
          <w:highlight w:val="none"/>
        </w:rPr>
      </w:pPr>
    </w:p>
    <w:p>
      <w:pPr>
        <w:spacing w:line="400" w:lineRule="exact"/>
        <w:jc w:val="cente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法定代表人授权书</w:t>
      </w:r>
    </w:p>
    <w:p>
      <w:pPr>
        <w:spacing w:line="400" w:lineRule="exact"/>
        <w:ind w:firstLine="240" w:firstLineChars="100"/>
        <w:rPr>
          <w:rFonts w:hint="eastAsia" w:ascii="宋体" w:hAnsi="宋体" w:eastAsia="宋体" w:cs="宋体"/>
          <w:color w:val="auto"/>
          <w:sz w:val="24"/>
          <w:szCs w:val="24"/>
          <w:highlight w:val="none"/>
        </w:rPr>
      </w:pPr>
    </w:p>
    <w:p>
      <w:pPr>
        <w:spacing w:line="400" w:lineRule="exact"/>
        <w:ind w:firstLine="240" w:firstLineChars="100"/>
        <w:rPr>
          <w:rFonts w:hint="eastAsia" w:ascii="宋体" w:hAnsi="宋体" w:eastAsia="宋体" w:cs="宋体"/>
          <w:color w:val="auto"/>
          <w:sz w:val="24"/>
          <w:szCs w:val="24"/>
          <w:highlight w:val="none"/>
        </w:rPr>
      </w:pPr>
    </w:p>
    <w:p>
      <w:pPr>
        <w:pStyle w:val="14"/>
        <w:ind w:left="1470" w:right="1470"/>
        <w:rPr>
          <w:rFonts w:hint="eastAsia" w:ascii="宋体" w:hAnsi="宋体" w:eastAsia="宋体" w:cs="宋体"/>
          <w:color w:val="auto"/>
          <w:sz w:val="24"/>
          <w:szCs w:val="24"/>
          <w:highlight w:val="none"/>
        </w:rPr>
      </w:pPr>
    </w:p>
    <w:p>
      <w:pPr>
        <w:pStyle w:val="14"/>
        <w:ind w:left="1470" w:right="1470"/>
        <w:rPr>
          <w:rFonts w:hint="eastAsia" w:ascii="宋体" w:hAnsi="宋体" w:eastAsia="宋体" w:cs="宋体"/>
          <w:color w:val="auto"/>
          <w:sz w:val="24"/>
          <w:szCs w:val="24"/>
          <w:highlight w:val="none"/>
        </w:rPr>
      </w:pPr>
    </w:p>
    <w:p>
      <w:pPr>
        <w:spacing w:line="400" w:lineRule="exact"/>
        <w:ind w:hanging="1"/>
        <w:rPr>
          <w:rFonts w:hint="eastAsia" w:ascii="宋体" w:hAnsi="宋体" w:eastAsia="宋体" w:cs="宋体"/>
          <w:b/>
          <w:color w:val="auto"/>
          <w:sz w:val="22"/>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附件7</w:t>
      </w:r>
    </w:p>
    <w:p>
      <w:pPr>
        <w:ind w:right="-1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投 标 函</w:t>
      </w:r>
    </w:p>
    <w:p>
      <w:pPr>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致：</w:t>
      </w:r>
      <w:r>
        <w:rPr>
          <w:rFonts w:hint="eastAsia" w:ascii="宋体" w:hAnsi="宋体" w:cs="宋体"/>
          <w:color w:val="auto"/>
          <w:sz w:val="24"/>
          <w:szCs w:val="24"/>
          <w:highlight w:val="none"/>
          <w:u w:val="single"/>
          <w:lang w:eastAsia="zh-CN"/>
        </w:rPr>
        <w:t>温州市洞头区人民政府灵昆街道办事处</w:t>
      </w:r>
      <w:r>
        <w:rPr>
          <w:rFonts w:hint="eastAsia" w:ascii="宋体" w:hAnsi="宋体" w:eastAsia="宋体" w:cs="宋体"/>
          <w:color w:val="auto"/>
          <w:sz w:val="24"/>
          <w:szCs w:val="24"/>
          <w:highlight w:val="none"/>
          <w:u w:val="single"/>
        </w:rPr>
        <w:t>、</w:t>
      </w:r>
      <w:r>
        <w:rPr>
          <w:rFonts w:hint="eastAsia" w:ascii="宋体" w:hAnsi="宋体" w:cs="宋体"/>
          <w:color w:val="auto"/>
          <w:sz w:val="24"/>
          <w:szCs w:val="24"/>
          <w:highlight w:val="none"/>
          <w:u w:val="single"/>
          <w:lang w:eastAsia="zh-CN"/>
        </w:rPr>
        <w:t>温州市建设工程咨询有限公司</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根据贵方为</w:t>
      </w:r>
      <w:r>
        <w:rPr>
          <w:rFonts w:hint="eastAsia" w:ascii="宋体" w:hAnsi="宋体" w:cs="宋体"/>
          <w:color w:val="auto"/>
          <w:sz w:val="24"/>
          <w:szCs w:val="24"/>
          <w:highlight w:val="none"/>
          <w:lang w:eastAsia="zh-CN"/>
        </w:rPr>
        <w:t>温州市洞头区人民政府灵昆街道办事处</w:t>
      </w:r>
      <w:r>
        <w:rPr>
          <w:rFonts w:hint="eastAsia" w:ascii="宋体" w:hAnsi="宋体" w:eastAsia="宋体" w:cs="宋体"/>
          <w:color w:val="auto"/>
          <w:sz w:val="22"/>
          <w:highlight w:val="none"/>
        </w:rPr>
        <w:t>_____________</w:t>
      </w:r>
      <w:r>
        <w:rPr>
          <w:rFonts w:hint="eastAsia" w:ascii="宋体" w:hAnsi="宋体" w:eastAsia="宋体" w:cs="宋体"/>
          <w:color w:val="auto"/>
          <w:sz w:val="24"/>
          <w:szCs w:val="24"/>
          <w:highlight w:val="none"/>
        </w:rPr>
        <w:t>项目（项目编号：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）的投标邀请，我方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（投标人名称）作为投标人正式授权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（授权代表全名，职务）代表我方处理本次项目中的一切投标相关事宜。</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我方己完全明白招标文件的所有条款要求，并重申以下几点：</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（一）本投标文件的有效期自提交投标文件的截止之日起 </w:t>
      </w:r>
      <w:r>
        <w:rPr>
          <w:rFonts w:hint="eastAsia" w:ascii="宋体" w:hAnsi="宋体" w:eastAsia="宋体" w:cs="宋体"/>
          <w:color w:val="auto"/>
          <w:sz w:val="24"/>
          <w:szCs w:val="24"/>
          <w:highlight w:val="none"/>
          <w:u w:val="single"/>
        </w:rPr>
        <w:t>90</w:t>
      </w:r>
      <w:r>
        <w:rPr>
          <w:rFonts w:hint="eastAsia" w:ascii="宋体" w:hAnsi="宋体" w:eastAsia="宋体" w:cs="宋体"/>
          <w:color w:val="auto"/>
          <w:sz w:val="24"/>
          <w:szCs w:val="24"/>
          <w:highlight w:val="none"/>
        </w:rPr>
        <w:t>天内有效，如中标，有效期将延至合同终止日为止；</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（二）我方已详细研究了招标文件的所有内容包括修改书（如有）和所有已提供的参考资料以及有关附件，我方完全理解并同意放弃在此方面提出含糊意见或误解的一切权力；</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（三）我方明白并愿意在规定的开标时间之后，投标人在投标有效期内不撤回投标；</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（四）我方同意提供按照贵方可能要求的与投标有关的一切数据或资料；</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（五）我方理解贵方不一定接受最低报价。</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（六）如中标，本投标文件至本项目合同履行完毕止均保持有效，本投标人将按“招标文件”及政府采购法律、法规的规定履行合同责任和义务。</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（七）所有与本投标有关的函件请发往下列地址：</w:t>
      </w:r>
    </w:p>
    <w:p>
      <w:pPr>
        <w:spacing w:line="400" w:lineRule="exact"/>
        <w:ind w:firstLine="43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地址</w:t>
      </w:r>
      <w:r>
        <w:rPr>
          <w:rFonts w:hint="eastAsia" w:ascii="宋体" w:hAnsi="宋体" w:eastAsia="宋体" w:cs="宋体"/>
          <w:color w:val="auto"/>
          <w:sz w:val="24"/>
          <w:szCs w:val="24"/>
          <w:highlight w:val="none"/>
          <w:u w:val="single"/>
        </w:rPr>
        <w:t xml:space="preserve">                　　  　　</w:t>
      </w:r>
    </w:p>
    <w:p>
      <w:pPr>
        <w:spacing w:line="400" w:lineRule="exact"/>
        <w:ind w:firstLine="43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w:t>
      </w:r>
      <w:r>
        <w:rPr>
          <w:rFonts w:hint="eastAsia" w:ascii="宋体" w:hAnsi="宋体" w:eastAsia="宋体" w:cs="宋体"/>
          <w:color w:val="auto"/>
          <w:sz w:val="24"/>
          <w:szCs w:val="24"/>
          <w:highlight w:val="none"/>
          <w:u w:val="single"/>
        </w:rPr>
        <w:t xml:space="preserve">               　　   　　</w:t>
      </w:r>
    </w:p>
    <w:p>
      <w:pPr>
        <w:spacing w:line="400" w:lineRule="exact"/>
        <w:ind w:firstLine="435"/>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传真</w:t>
      </w:r>
      <w:r>
        <w:rPr>
          <w:rFonts w:hint="eastAsia" w:ascii="宋体" w:hAnsi="宋体" w:eastAsia="宋体" w:cs="宋体"/>
          <w:color w:val="auto"/>
          <w:sz w:val="24"/>
          <w:szCs w:val="24"/>
          <w:highlight w:val="none"/>
          <w:u w:val="single"/>
        </w:rPr>
        <w:t xml:space="preserve">         　　         　　</w:t>
      </w:r>
    </w:p>
    <w:p>
      <w:pPr>
        <w:spacing w:line="400" w:lineRule="exact"/>
        <w:ind w:firstLine="840" w:firstLineChars="35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电子邮件</w:t>
      </w:r>
      <w:r>
        <w:rPr>
          <w:rFonts w:hint="eastAsia" w:ascii="宋体" w:hAnsi="宋体" w:eastAsia="宋体" w:cs="宋体"/>
          <w:color w:val="auto"/>
          <w:sz w:val="24"/>
          <w:szCs w:val="24"/>
          <w:highlight w:val="none"/>
          <w:u w:val="single"/>
        </w:rPr>
        <w:t xml:space="preserve">         　　         </w:t>
      </w:r>
    </w:p>
    <w:p>
      <w:pPr>
        <w:spacing w:line="400" w:lineRule="exact"/>
        <w:rPr>
          <w:rFonts w:hint="eastAsia" w:ascii="宋体" w:hAnsi="宋体" w:eastAsia="宋体" w:cs="宋体"/>
          <w:color w:val="auto"/>
          <w:sz w:val="24"/>
          <w:szCs w:val="24"/>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napToGrid w:val="0"/>
        <w:spacing w:line="400" w:lineRule="exact"/>
        <w:jc w:val="center"/>
        <w:rPr>
          <w:rFonts w:hint="eastAsia" w:ascii="宋体" w:hAnsi="宋体" w:eastAsia="宋体" w:cs="宋体"/>
          <w:b/>
          <w:bCs/>
          <w:color w:val="auto"/>
          <w:sz w:val="28"/>
          <w:szCs w:val="28"/>
          <w:highlight w:val="none"/>
        </w:rPr>
      </w:pPr>
    </w:p>
    <w:p>
      <w:pPr>
        <w:snapToGrid w:val="0"/>
        <w:spacing w:line="400" w:lineRule="exact"/>
        <w:jc w:val="center"/>
        <w:rPr>
          <w:rFonts w:hint="eastAsia" w:ascii="宋体" w:hAnsi="宋体" w:eastAsia="宋体" w:cs="宋体"/>
          <w:b/>
          <w:bCs/>
          <w:color w:val="auto"/>
          <w:sz w:val="28"/>
          <w:szCs w:val="28"/>
          <w:highlight w:val="none"/>
        </w:rPr>
      </w:pPr>
    </w:p>
    <w:p>
      <w:pPr>
        <w:snapToGrid w:val="0"/>
        <w:spacing w:line="400" w:lineRule="exact"/>
        <w:jc w:val="center"/>
        <w:rPr>
          <w:rFonts w:hint="eastAsia" w:ascii="宋体" w:hAnsi="宋体" w:eastAsia="宋体" w:cs="宋体"/>
          <w:b/>
          <w:bCs/>
          <w:color w:val="auto"/>
          <w:sz w:val="28"/>
          <w:szCs w:val="28"/>
          <w:highlight w:val="none"/>
        </w:rPr>
      </w:pPr>
    </w:p>
    <w:p>
      <w:pPr>
        <w:snapToGrid w:val="0"/>
        <w:spacing w:line="400" w:lineRule="exact"/>
        <w:jc w:val="center"/>
        <w:rPr>
          <w:rFonts w:hint="eastAsia" w:ascii="宋体" w:hAnsi="宋体" w:eastAsia="宋体" w:cs="宋体"/>
          <w:b/>
          <w:bCs/>
          <w:color w:val="auto"/>
          <w:sz w:val="28"/>
          <w:szCs w:val="28"/>
          <w:highlight w:val="none"/>
        </w:rPr>
      </w:pPr>
    </w:p>
    <w:p>
      <w:pPr>
        <w:pStyle w:val="14"/>
        <w:ind w:left="1470" w:right="1470"/>
        <w:rPr>
          <w:rFonts w:hint="eastAsia" w:ascii="宋体" w:hAnsi="宋体" w:eastAsia="宋体" w:cs="宋体"/>
          <w:color w:val="auto"/>
          <w:highlight w:val="none"/>
        </w:rPr>
      </w:pPr>
    </w:p>
    <w:p>
      <w:pPr>
        <w:pStyle w:val="2"/>
        <w:ind w:firstLine="321"/>
        <w:rPr>
          <w:rFonts w:hint="eastAsia" w:ascii="宋体" w:hAnsi="宋体" w:eastAsia="宋体" w:cs="宋体"/>
          <w:color w:val="auto"/>
          <w:highlight w:val="none"/>
        </w:rPr>
      </w:pPr>
    </w:p>
    <w:p>
      <w:pPr>
        <w:pStyle w:val="2"/>
        <w:ind w:firstLine="321"/>
        <w:rPr>
          <w:rFonts w:hint="eastAsia" w:ascii="宋体" w:hAnsi="宋体" w:eastAsia="宋体" w:cs="宋体"/>
          <w:color w:val="auto"/>
          <w:highlight w:val="none"/>
        </w:rPr>
      </w:pPr>
    </w:p>
    <w:p>
      <w:pPr>
        <w:spacing w:line="400" w:lineRule="exact"/>
        <w:rPr>
          <w:rFonts w:hint="eastAsia" w:ascii="宋体" w:hAnsi="宋体" w:eastAsia="宋体" w:cs="宋体"/>
          <w:b/>
          <w:bCs/>
          <w:color w:val="auto"/>
          <w:sz w:val="28"/>
          <w:szCs w:val="28"/>
          <w:highlight w:val="none"/>
        </w:rPr>
      </w:pPr>
      <w:r>
        <w:rPr>
          <w:rFonts w:hint="eastAsia" w:ascii="宋体" w:hAnsi="宋体" w:eastAsia="宋体" w:cs="宋体"/>
          <w:b/>
          <w:color w:val="auto"/>
          <w:sz w:val="24"/>
          <w:szCs w:val="24"/>
          <w:highlight w:val="none"/>
        </w:rPr>
        <w:t>附件8</w:t>
      </w:r>
    </w:p>
    <w:p>
      <w:pPr>
        <w:ind w:right="-1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投标声明书</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cs="宋体"/>
          <w:color w:val="auto"/>
          <w:sz w:val="24"/>
          <w:szCs w:val="24"/>
          <w:highlight w:val="none"/>
          <w:u w:val="single"/>
          <w:lang w:eastAsia="zh-CN"/>
        </w:rPr>
        <w:t>温州市洞头区人民政府灵昆街道办事处</w:t>
      </w:r>
      <w:r>
        <w:rPr>
          <w:rFonts w:hint="eastAsia" w:ascii="宋体" w:hAnsi="宋体" w:eastAsia="宋体" w:cs="宋体"/>
          <w:color w:val="auto"/>
          <w:sz w:val="24"/>
          <w:szCs w:val="24"/>
          <w:highlight w:val="none"/>
          <w:u w:val="single"/>
        </w:rPr>
        <w:t>、</w:t>
      </w:r>
      <w:r>
        <w:rPr>
          <w:rFonts w:hint="eastAsia" w:ascii="宋体" w:hAnsi="宋体" w:cs="宋体"/>
          <w:color w:val="auto"/>
          <w:sz w:val="24"/>
          <w:szCs w:val="24"/>
          <w:highlight w:val="none"/>
          <w:u w:val="single"/>
          <w:lang w:eastAsia="zh-CN"/>
        </w:rPr>
        <w:t>温州市建设工程咨询有限公司</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系中华人民共和国合法企业，经营地址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4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系（投标人名称）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的法定代表人，我方愿意参加贵方组织的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项目（项目编号：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）的投标，为便于贵方公正、择优地确定中标人及其服务，我方就本次投标有关事项郑重声明如下：</w:t>
      </w:r>
    </w:p>
    <w:p>
      <w:pPr>
        <w:keepNext w:val="0"/>
        <w:keepLines w:val="0"/>
        <w:pageBreakBefore w:val="0"/>
        <w:widowControl w:val="0"/>
        <w:kinsoku/>
        <w:wordWrap/>
        <w:overflowPunct/>
        <w:topLinePunct w:val="0"/>
        <w:autoSpaceDE/>
        <w:autoSpaceDN/>
        <w:bidi w:val="0"/>
        <w:adjustRightInd/>
        <w:spacing w:line="360" w:lineRule="auto"/>
        <w:ind w:firstLine="456" w:firstLineChars="200"/>
        <w:textAlignment w:val="auto"/>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1.我方向贵方提交的所有投标文件、资料都是准确的和真实的；</w:t>
      </w:r>
    </w:p>
    <w:p>
      <w:pPr>
        <w:keepNext w:val="0"/>
        <w:keepLines w:val="0"/>
        <w:pageBreakBefore w:val="0"/>
        <w:widowControl w:val="0"/>
        <w:kinsoku/>
        <w:wordWrap/>
        <w:overflowPunct/>
        <w:topLinePunct w:val="0"/>
        <w:autoSpaceDE/>
        <w:autoSpaceDN/>
        <w:bidi w:val="0"/>
        <w:adjustRightInd/>
        <w:spacing w:line="360" w:lineRule="auto"/>
        <w:ind w:firstLine="456" w:firstLineChars="200"/>
        <w:textAlignment w:val="auto"/>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2.我方不是采购人的附属机构；在获知本项目采购信息后，与采购人聘请的为此项目提供咨询服务的公司及其附属机构没有任何联系；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spacing w:line="360" w:lineRule="auto"/>
        <w:ind w:firstLine="456"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3.我方在参加政府采购活动前3年内：</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pacing w:val="-6"/>
          <w:sz w:val="24"/>
          <w:szCs w:val="24"/>
          <w:highlight w:val="none"/>
        </w:rPr>
        <w:t>（填写“有”或“没有”，如实填写，如不填写视同未按要求填写）</w:t>
      </w:r>
      <w:r>
        <w:rPr>
          <w:rFonts w:hint="eastAsia" w:ascii="宋体" w:hAnsi="宋体" w:eastAsia="宋体" w:cs="宋体"/>
          <w:color w:val="auto"/>
          <w:spacing w:val="-6"/>
          <w:sz w:val="24"/>
          <w:szCs w:val="24"/>
          <w:highlight w:val="none"/>
        </w:rPr>
        <w:t>因违法经营被禁止在一定期限内参加政府采购活动，且期限未满的情形；</w:t>
      </w:r>
    </w:p>
    <w:p>
      <w:pPr>
        <w:keepNext w:val="0"/>
        <w:keepLines w:val="0"/>
        <w:pageBreakBefore w:val="0"/>
        <w:widowControl w:val="0"/>
        <w:kinsoku/>
        <w:wordWrap/>
        <w:overflowPunct/>
        <w:topLinePunct w:val="0"/>
        <w:autoSpaceDE/>
        <w:autoSpaceDN/>
        <w:bidi w:val="0"/>
        <w:adjustRightInd/>
        <w:spacing w:line="360" w:lineRule="auto"/>
        <w:ind w:firstLine="456"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4.以上事项如有虚假或隐瞒，我方愿意承担一切后果和责任。</w:t>
      </w:r>
    </w:p>
    <w:p>
      <w:pPr>
        <w:pStyle w:val="13"/>
        <w:tabs>
          <w:tab w:val="left" w:pos="939"/>
        </w:tabs>
        <w:snapToGrid w:val="0"/>
        <w:spacing w:line="400" w:lineRule="exact"/>
        <w:ind w:left="458" w:leftChars="0" w:hanging="458" w:hangingChars="191"/>
        <w:rPr>
          <w:rFonts w:hint="eastAsia" w:ascii="宋体" w:hAnsi="宋体" w:eastAsia="宋体" w:cs="宋体"/>
          <w:color w:val="auto"/>
          <w:sz w:val="24"/>
          <w:szCs w:val="24"/>
          <w:highlight w:val="none"/>
        </w:rPr>
      </w:pPr>
    </w:p>
    <w:p>
      <w:pPr>
        <w:pStyle w:val="54"/>
        <w:snapToGrid w:val="0"/>
        <w:spacing w:line="400" w:lineRule="exact"/>
        <w:ind w:firstLine="200"/>
        <w:rPr>
          <w:rFonts w:hint="eastAsia" w:ascii="宋体" w:hAnsi="宋体" w:eastAsia="宋体" w:cs="宋体"/>
          <w:color w:val="auto"/>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pacing w:line="400" w:lineRule="exact"/>
        <w:ind w:firstLine="435"/>
        <w:jc w:val="center"/>
        <w:rPr>
          <w:rFonts w:hint="eastAsia" w:ascii="宋体" w:hAnsi="宋体" w:eastAsia="宋体" w:cs="宋体"/>
          <w:b/>
          <w:color w:val="auto"/>
          <w:spacing w:val="-6"/>
          <w:sz w:val="24"/>
          <w:highlight w:val="none"/>
        </w:rPr>
      </w:pPr>
    </w:p>
    <w:p>
      <w:pPr>
        <w:pStyle w:val="14"/>
        <w:spacing w:after="0" w:line="400" w:lineRule="exact"/>
        <w:ind w:left="0" w:leftChars="0" w:right="0" w:rightChars="0"/>
        <w:rPr>
          <w:rFonts w:hint="eastAsia" w:ascii="宋体" w:hAnsi="宋体" w:eastAsia="宋体" w:cs="宋体"/>
          <w:color w:val="auto"/>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ind w:firstLine="435"/>
        <w:jc w:val="center"/>
        <w:rPr>
          <w:rFonts w:hint="eastAsia" w:ascii="宋体" w:hAnsi="宋体" w:eastAsia="宋体" w:cs="宋体"/>
          <w:b/>
          <w:color w:val="auto"/>
          <w:spacing w:val="-6"/>
          <w:sz w:val="24"/>
          <w:highlight w:val="none"/>
        </w:rPr>
      </w:pPr>
    </w:p>
    <w:p>
      <w:pPr>
        <w:spacing w:line="400" w:lineRule="exact"/>
        <w:jc w:val="center"/>
        <w:rPr>
          <w:rFonts w:hint="eastAsia" w:ascii="宋体" w:hAnsi="宋体" w:eastAsia="宋体" w:cs="宋体"/>
          <w:b/>
          <w:color w:val="auto"/>
          <w:sz w:val="32"/>
          <w:highlight w:val="none"/>
        </w:rPr>
      </w:pPr>
    </w:p>
    <w:p>
      <w:pPr>
        <w:spacing w:line="400" w:lineRule="exact"/>
        <w:rPr>
          <w:rFonts w:hint="eastAsia" w:ascii="宋体" w:hAnsi="宋体" w:eastAsia="宋体" w:cs="宋体"/>
          <w:b/>
          <w:color w:val="auto"/>
          <w:spacing w:val="-6"/>
          <w:sz w:val="24"/>
          <w:highlight w:val="none"/>
        </w:rPr>
      </w:pPr>
      <w:r>
        <w:rPr>
          <w:rFonts w:hint="eastAsia" w:ascii="宋体" w:hAnsi="宋体" w:eastAsia="宋体" w:cs="宋体"/>
          <w:b/>
          <w:color w:val="auto"/>
          <w:sz w:val="24"/>
          <w:szCs w:val="24"/>
          <w:highlight w:val="none"/>
        </w:rPr>
        <w:t>附件9</w:t>
      </w:r>
    </w:p>
    <w:p>
      <w:pPr>
        <w:ind w:right="-1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投标人基本情况表</w:t>
      </w:r>
    </w:p>
    <w:p>
      <w:pPr>
        <w:pStyle w:val="35"/>
        <w:rPr>
          <w:rFonts w:hint="eastAsia"/>
          <w:color w:val="auto"/>
          <w:highlight w:val="none"/>
        </w:rPr>
      </w:pPr>
    </w:p>
    <w:tbl>
      <w:tblPr>
        <w:tblStyle w:val="28"/>
        <w:tblW w:w="92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1</w:t>
            </w:r>
          </w:p>
        </w:tc>
        <w:tc>
          <w:tcPr>
            <w:tcW w:w="8490" w:type="dxa"/>
            <w:gridSpan w:val="3"/>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2</w:t>
            </w:r>
          </w:p>
        </w:tc>
        <w:tc>
          <w:tcPr>
            <w:tcW w:w="8490" w:type="dxa"/>
            <w:gridSpan w:val="3"/>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3</w:t>
            </w:r>
          </w:p>
        </w:tc>
        <w:tc>
          <w:tcPr>
            <w:tcW w:w="8490" w:type="dxa"/>
            <w:gridSpan w:val="3"/>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4</w:t>
            </w:r>
          </w:p>
        </w:tc>
        <w:tc>
          <w:tcPr>
            <w:tcW w:w="4305" w:type="dxa"/>
            <w:gridSpan w:val="2"/>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电话：</w:t>
            </w:r>
          </w:p>
        </w:tc>
        <w:tc>
          <w:tcPr>
            <w:tcW w:w="4185" w:type="dxa"/>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5</w:t>
            </w:r>
          </w:p>
        </w:tc>
        <w:tc>
          <w:tcPr>
            <w:tcW w:w="4305" w:type="dxa"/>
            <w:gridSpan w:val="2"/>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传真：</w:t>
            </w:r>
          </w:p>
        </w:tc>
        <w:tc>
          <w:tcPr>
            <w:tcW w:w="4185" w:type="dxa"/>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6</w:t>
            </w:r>
          </w:p>
        </w:tc>
        <w:tc>
          <w:tcPr>
            <w:tcW w:w="4305" w:type="dxa"/>
            <w:gridSpan w:val="2"/>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注册地：</w:t>
            </w:r>
          </w:p>
        </w:tc>
        <w:tc>
          <w:tcPr>
            <w:tcW w:w="4185" w:type="dxa"/>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7</w:t>
            </w:r>
          </w:p>
        </w:tc>
        <w:tc>
          <w:tcPr>
            <w:tcW w:w="8490" w:type="dxa"/>
            <w:gridSpan w:val="3"/>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公司的资质等级（请附上有关证书）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8</w:t>
            </w:r>
          </w:p>
        </w:tc>
        <w:tc>
          <w:tcPr>
            <w:tcW w:w="8490" w:type="dxa"/>
            <w:gridSpan w:val="3"/>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公司（是否通过，何种）质量保证体系认证（如通过请附相关证书，提供认证机构年审监督报告）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9</w:t>
            </w:r>
          </w:p>
        </w:tc>
        <w:tc>
          <w:tcPr>
            <w:tcW w:w="2520" w:type="dxa"/>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作为承包人经历年数</w:t>
            </w:r>
          </w:p>
        </w:tc>
        <w:tc>
          <w:tcPr>
            <w:tcW w:w="5970" w:type="dxa"/>
            <w:gridSpan w:val="2"/>
            <w:vAlign w:val="center"/>
          </w:tcPr>
          <w:p>
            <w:pPr>
              <w:spacing w:line="400" w:lineRule="exact"/>
              <w:rPr>
                <w:rFonts w:hint="eastAsia" w:ascii="宋体" w:hAnsi="宋体" w:eastAsia="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10</w:t>
            </w:r>
          </w:p>
        </w:tc>
        <w:tc>
          <w:tcPr>
            <w:tcW w:w="2520" w:type="dxa"/>
            <w:vAlign w:val="center"/>
          </w:tcPr>
          <w:p>
            <w:pPr>
              <w:spacing w:line="40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其他需要说明的情况</w:t>
            </w:r>
          </w:p>
        </w:tc>
        <w:tc>
          <w:tcPr>
            <w:tcW w:w="5970" w:type="dxa"/>
            <w:gridSpan w:val="2"/>
            <w:vAlign w:val="center"/>
          </w:tcPr>
          <w:p>
            <w:pPr>
              <w:spacing w:line="400" w:lineRule="exact"/>
              <w:rPr>
                <w:rFonts w:hint="eastAsia" w:ascii="宋体" w:hAnsi="宋体" w:eastAsia="宋体" w:cs="宋体"/>
                <w:color w:val="auto"/>
                <w:spacing w:val="-6"/>
                <w:sz w:val="24"/>
                <w:highlight w:val="none"/>
              </w:rPr>
            </w:pPr>
          </w:p>
        </w:tc>
      </w:tr>
    </w:tbl>
    <w:p>
      <w:pPr>
        <w:spacing w:line="400" w:lineRule="exact"/>
        <w:rPr>
          <w:rFonts w:hint="eastAsia" w:ascii="宋体" w:hAnsi="宋体" w:eastAsia="宋体" w:cs="宋体"/>
          <w:color w:val="auto"/>
          <w:spacing w:val="-6"/>
          <w:sz w:val="24"/>
          <w:highlight w:val="none"/>
        </w:rPr>
      </w:pPr>
    </w:p>
    <w:p>
      <w:pPr>
        <w:spacing w:line="400" w:lineRule="exact"/>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说明：所有投标人都须填写此表。</w:t>
      </w:r>
    </w:p>
    <w:p>
      <w:pPr>
        <w:spacing w:line="400" w:lineRule="exact"/>
        <w:rPr>
          <w:rFonts w:hint="eastAsia" w:ascii="宋体" w:hAnsi="宋体" w:eastAsia="宋体" w:cs="宋体"/>
          <w:color w:val="auto"/>
          <w:spacing w:val="-6"/>
          <w:sz w:val="24"/>
          <w:highlight w:val="none"/>
        </w:rPr>
      </w:pPr>
    </w:p>
    <w:p>
      <w:pPr>
        <w:spacing w:line="400" w:lineRule="exact"/>
        <w:rPr>
          <w:rFonts w:hint="eastAsia" w:ascii="宋体" w:hAnsi="宋体" w:eastAsia="宋体" w:cs="宋体"/>
          <w:color w:val="auto"/>
          <w:spacing w:val="-6"/>
          <w:sz w:val="24"/>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pacing w:line="400" w:lineRule="exact"/>
        <w:jc w:val="center"/>
        <w:rPr>
          <w:rFonts w:hint="eastAsia" w:ascii="宋体" w:hAnsi="宋体" w:eastAsia="宋体" w:cs="宋体"/>
          <w:color w:val="auto"/>
          <w:sz w:val="24"/>
          <w:szCs w:val="24"/>
          <w:highlight w:val="none"/>
        </w:rPr>
      </w:pPr>
    </w:p>
    <w:p>
      <w:pPr>
        <w:spacing w:line="400" w:lineRule="exact"/>
        <w:jc w:val="center"/>
        <w:rPr>
          <w:rFonts w:hint="eastAsia" w:ascii="宋体" w:hAnsi="宋体" w:eastAsia="宋体" w:cs="宋体"/>
          <w:color w:val="auto"/>
          <w:sz w:val="24"/>
          <w:szCs w:val="24"/>
          <w:highlight w:val="none"/>
        </w:rPr>
      </w:pPr>
    </w:p>
    <w:p>
      <w:pPr>
        <w:spacing w:line="400" w:lineRule="exact"/>
        <w:jc w:val="center"/>
        <w:rPr>
          <w:rFonts w:hint="eastAsia" w:ascii="宋体" w:hAnsi="宋体" w:eastAsia="宋体" w:cs="宋体"/>
          <w:color w:val="auto"/>
          <w:sz w:val="24"/>
          <w:szCs w:val="24"/>
          <w:highlight w:val="none"/>
        </w:rPr>
      </w:pPr>
    </w:p>
    <w:p>
      <w:pPr>
        <w:spacing w:line="400" w:lineRule="exact"/>
        <w:jc w:val="center"/>
        <w:rPr>
          <w:rFonts w:hint="eastAsia" w:ascii="宋体" w:hAnsi="宋体" w:eastAsia="宋体" w:cs="宋体"/>
          <w:color w:val="auto"/>
          <w:sz w:val="24"/>
          <w:szCs w:val="24"/>
          <w:highlight w:val="none"/>
        </w:rPr>
      </w:pPr>
    </w:p>
    <w:p>
      <w:pPr>
        <w:spacing w:line="400" w:lineRule="exact"/>
        <w:jc w:val="center"/>
        <w:rPr>
          <w:rFonts w:hint="eastAsia" w:ascii="宋体" w:hAnsi="宋体" w:eastAsia="宋体" w:cs="宋体"/>
          <w:color w:val="auto"/>
          <w:sz w:val="24"/>
          <w:szCs w:val="24"/>
          <w:highlight w:val="none"/>
        </w:rPr>
      </w:pPr>
    </w:p>
    <w:p>
      <w:pPr>
        <w:spacing w:line="400" w:lineRule="exact"/>
        <w:jc w:val="center"/>
        <w:rPr>
          <w:rFonts w:hint="eastAsia" w:ascii="宋体" w:hAnsi="宋体" w:eastAsia="宋体" w:cs="宋体"/>
          <w:color w:val="auto"/>
          <w:sz w:val="24"/>
          <w:szCs w:val="24"/>
          <w:highlight w:val="none"/>
        </w:rPr>
      </w:pPr>
    </w:p>
    <w:p>
      <w:pPr>
        <w:spacing w:line="400" w:lineRule="exact"/>
        <w:jc w:val="center"/>
        <w:rPr>
          <w:rFonts w:hint="eastAsia" w:ascii="宋体" w:hAnsi="宋体" w:eastAsia="宋体" w:cs="宋体"/>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附件10</w:t>
      </w:r>
    </w:p>
    <w:p>
      <w:pPr>
        <w:ind w:right="-10"/>
        <w:jc w:val="center"/>
        <w:rPr>
          <w:rFonts w:hint="eastAsia" w:ascii="宋体" w:hAnsi="宋体" w:eastAsia="宋体" w:cs="宋体"/>
          <w:b/>
          <w:bCs/>
          <w:color w:val="auto"/>
          <w:sz w:val="32"/>
          <w:szCs w:val="32"/>
          <w:highlight w:val="none"/>
        </w:rPr>
      </w:pPr>
    </w:p>
    <w:p>
      <w:pPr>
        <w:ind w:right="-1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投标人</w:t>
      </w:r>
      <w:r>
        <w:rPr>
          <w:rFonts w:hint="eastAsia" w:ascii="宋体" w:hAnsi="宋体" w:cs="宋体"/>
          <w:b/>
          <w:bCs/>
          <w:color w:val="auto"/>
          <w:sz w:val="32"/>
          <w:szCs w:val="32"/>
          <w:highlight w:val="none"/>
          <w:lang w:eastAsia="zh-CN"/>
        </w:rPr>
        <w:t>类似项目业绩</w:t>
      </w:r>
      <w:r>
        <w:rPr>
          <w:rFonts w:hint="eastAsia" w:ascii="宋体" w:hAnsi="宋体" w:eastAsia="宋体" w:cs="宋体"/>
          <w:b/>
          <w:bCs/>
          <w:color w:val="auto"/>
          <w:sz w:val="32"/>
          <w:szCs w:val="32"/>
          <w:highlight w:val="none"/>
        </w:rPr>
        <w:t>一览表</w:t>
      </w:r>
    </w:p>
    <w:p>
      <w:pPr>
        <w:spacing w:line="400" w:lineRule="exact"/>
        <w:rPr>
          <w:rFonts w:hint="eastAsia" w:ascii="宋体" w:hAnsi="宋体" w:eastAsia="宋体" w:cs="宋体"/>
          <w:b/>
          <w:bCs/>
          <w:color w:val="auto"/>
          <w:sz w:val="24"/>
          <w:szCs w:val="24"/>
          <w:highlight w:val="none"/>
        </w:rPr>
      </w:pPr>
    </w:p>
    <w:p>
      <w:pPr>
        <w:pStyle w:val="14"/>
        <w:spacing w:after="0" w:line="400" w:lineRule="exact"/>
        <w:ind w:left="0" w:leftChars="0" w:right="0" w:rightChars="0"/>
        <w:rPr>
          <w:rFonts w:hint="eastAsia" w:ascii="宋体" w:hAnsi="宋体" w:eastAsia="宋体" w:cs="宋体"/>
          <w:bCs/>
          <w:color w:val="auto"/>
          <w:sz w:val="22"/>
          <w:highlight w:val="none"/>
        </w:rPr>
      </w:pPr>
      <w:r>
        <w:rPr>
          <w:rFonts w:hint="eastAsia" w:ascii="宋体" w:hAnsi="宋体" w:eastAsia="宋体" w:cs="宋体"/>
          <w:b/>
          <w:color w:val="auto"/>
          <w:sz w:val="22"/>
          <w:highlight w:val="none"/>
        </w:rPr>
        <w:t xml:space="preserve">项目名称：                         项目编号：                  </w:t>
      </w:r>
    </w:p>
    <w:tbl>
      <w:tblPr>
        <w:tblStyle w:val="28"/>
        <w:tblW w:w="8938"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9"/>
        <w:gridCol w:w="1559"/>
        <w:gridCol w:w="2127"/>
        <w:gridCol w:w="1275"/>
        <w:gridCol w:w="1276"/>
        <w:gridCol w:w="1066"/>
        <w:gridCol w:w="7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380" w:lineRule="exact"/>
              <w:jc w:val="center"/>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序号</w:t>
            </w:r>
          </w:p>
        </w:tc>
        <w:tc>
          <w:tcPr>
            <w:tcW w:w="1559" w:type="dxa"/>
            <w:vAlign w:val="center"/>
          </w:tcPr>
          <w:p>
            <w:pPr>
              <w:spacing w:line="380" w:lineRule="exact"/>
              <w:jc w:val="center"/>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项目名称</w:t>
            </w:r>
          </w:p>
        </w:tc>
        <w:tc>
          <w:tcPr>
            <w:tcW w:w="2127" w:type="dxa"/>
            <w:vAlign w:val="center"/>
          </w:tcPr>
          <w:p>
            <w:pPr>
              <w:spacing w:line="380" w:lineRule="exact"/>
              <w:jc w:val="center"/>
              <w:rPr>
                <w:rFonts w:hint="eastAsia" w:ascii="宋体" w:hAnsi="宋体" w:eastAsia="宋体" w:cs="宋体"/>
                <w:bCs/>
                <w:color w:val="auto"/>
                <w:sz w:val="22"/>
                <w:highlight w:val="none"/>
              </w:rPr>
            </w:pPr>
            <w:r>
              <w:rPr>
                <w:rFonts w:hint="eastAsia" w:ascii="宋体" w:hAnsi="宋体" w:eastAsia="宋体" w:cs="宋体"/>
                <w:color w:val="auto"/>
                <w:sz w:val="22"/>
                <w:highlight w:val="none"/>
              </w:rPr>
              <w:t>采购单位名称/项目所在地</w:t>
            </w:r>
          </w:p>
        </w:tc>
        <w:tc>
          <w:tcPr>
            <w:tcW w:w="1275" w:type="dxa"/>
            <w:vAlign w:val="center"/>
          </w:tcPr>
          <w:p>
            <w:pPr>
              <w:autoSpaceDE w:val="0"/>
              <w:autoSpaceDN w:val="0"/>
              <w:adjustRightInd w:val="0"/>
              <w:jc w:val="center"/>
              <w:rPr>
                <w:rFonts w:hint="eastAsia" w:ascii="宋体" w:hAnsi="宋体" w:eastAsia="宋体" w:cs="宋体"/>
                <w:bCs/>
                <w:color w:val="auto"/>
                <w:sz w:val="22"/>
                <w:highlight w:val="none"/>
                <w:lang w:val="zh-CN"/>
              </w:rPr>
            </w:pPr>
            <w:r>
              <w:rPr>
                <w:rFonts w:hint="eastAsia" w:ascii="宋体" w:hAnsi="宋体" w:eastAsia="宋体" w:cs="宋体"/>
                <w:bCs/>
                <w:color w:val="auto"/>
                <w:sz w:val="22"/>
                <w:highlight w:val="none"/>
                <w:lang w:val="zh-CN"/>
              </w:rPr>
              <w:t>合同起止时间</w:t>
            </w:r>
          </w:p>
        </w:tc>
        <w:tc>
          <w:tcPr>
            <w:tcW w:w="1276" w:type="dxa"/>
            <w:vAlign w:val="center"/>
          </w:tcPr>
          <w:p>
            <w:pPr>
              <w:autoSpaceDE w:val="0"/>
              <w:autoSpaceDN w:val="0"/>
              <w:adjustRightInd w:val="0"/>
              <w:jc w:val="center"/>
              <w:rPr>
                <w:rFonts w:hint="eastAsia" w:ascii="宋体" w:hAnsi="宋体" w:eastAsia="宋体" w:cs="宋体"/>
                <w:bCs/>
                <w:color w:val="auto"/>
                <w:sz w:val="22"/>
                <w:highlight w:val="none"/>
                <w:lang w:val="zh-CN"/>
              </w:rPr>
            </w:pPr>
            <w:r>
              <w:rPr>
                <w:rFonts w:hint="eastAsia" w:ascii="宋体" w:hAnsi="宋体" w:eastAsia="宋体" w:cs="宋体"/>
                <w:bCs/>
                <w:color w:val="auto"/>
                <w:sz w:val="22"/>
                <w:highlight w:val="none"/>
                <w:lang w:val="zh-CN"/>
              </w:rPr>
              <w:t>面积</w:t>
            </w:r>
          </w:p>
        </w:tc>
        <w:tc>
          <w:tcPr>
            <w:tcW w:w="1066" w:type="dxa"/>
            <w:vAlign w:val="center"/>
          </w:tcPr>
          <w:p>
            <w:pPr>
              <w:autoSpaceDE w:val="0"/>
              <w:autoSpaceDN w:val="0"/>
              <w:adjustRightInd w:val="0"/>
              <w:jc w:val="center"/>
              <w:rPr>
                <w:rFonts w:hint="eastAsia" w:ascii="宋体" w:hAnsi="宋体" w:eastAsia="宋体" w:cs="宋体"/>
                <w:bCs/>
                <w:color w:val="auto"/>
                <w:spacing w:val="-6"/>
                <w:sz w:val="22"/>
                <w:highlight w:val="none"/>
                <w:lang w:val="zh-CN"/>
              </w:rPr>
            </w:pPr>
            <w:r>
              <w:rPr>
                <w:rFonts w:hint="eastAsia" w:ascii="宋体" w:hAnsi="宋体" w:eastAsia="宋体" w:cs="宋体"/>
                <w:bCs/>
                <w:color w:val="auto"/>
                <w:spacing w:val="-6"/>
                <w:sz w:val="22"/>
                <w:highlight w:val="none"/>
                <w:lang w:val="zh-CN"/>
              </w:rPr>
              <w:t>合同金额</w:t>
            </w:r>
          </w:p>
          <w:p>
            <w:pPr>
              <w:autoSpaceDE w:val="0"/>
              <w:autoSpaceDN w:val="0"/>
              <w:adjustRightInd w:val="0"/>
              <w:jc w:val="center"/>
              <w:rPr>
                <w:rFonts w:hint="eastAsia" w:ascii="宋体" w:hAnsi="宋体" w:eastAsia="宋体" w:cs="宋体"/>
                <w:bCs/>
                <w:color w:val="auto"/>
                <w:sz w:val="22"/>
                <w:highlight w:val="none"/>
                <w:lang w:val="zh-CN"/>
              </w:rPr>
            </w:pPr>
            <w:r>
              <w:rPr>
                <w:rFonts w:hint="eastAsia" w:ascii="宋体" w:hAnsi="宋体" w:eastAsia="宋体" w:cs="宋体"/>
                <w:bCs/>
                <w:color w:val="auto"/>
                <w:sz w:val="22"/>
                <w:highlight w:val="none"/>
                <w:lang w:val="zh-CN"/>
              </w:rPr>
              <w:t>（万元）</w:t>
            </w:r>
          </w:p>
        </w:tc>
        <w:tc>
          <w:tcPr>
            <w:tcW w:w="746" w:type="dxa"/>
            <w:vAlign w:val="center"/>
          </w:tcPr>
          <w:p>
            <w:pPr>
              <w:autoSpaceDE w:val="0"/>
              <w:autoSpaceDN w:val="0"/>
              <w:adjustRightInd w:val="0"/>
              <w:jc w:val="center"/>
              <w:rPr>
                <w:rFonts w:hint="eastAsia" w:ascii="宋体" w:hAnsi="宋体" w:eastAsia="宋体" w:cs="宋体"/>
                <w:bCs/>
                <w:color w:val="auto"/>
                <w:sz w:val="22"/>
                <w:highlight w:val="none"/>
                <w:lang w:val="zh-CN"/>
              </w:rPr>
            </w:pPr>
            <w:r>
              <w:rPr>
                <w:rFonts w:hint="eastAsia" w:ascii="宋体" w:hAnsi="宋体" w:eastAsia="宋体" w:cs="宋体"/>
                <w:bCs/>
                <w:color w:val="auto"/>
                <w:sz w:val="22"/>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hint="eastAsia" w:ascii="宋体" w:hAnsi="宋体" w:eastAsia="宋体" w:cs="宋体"/>
                <w:b/>
                <w:bCs/>
                <w:color w:val="auto"/>
                <w:sz w:val="22"/>
                <w:highlight w:val="none"/>
              </w:rPr>
            </w:pPr>
          </w:p>
        </w:tc>
        <w:tc>
          <w:tcPr>
            <w:tcW w:w="1559" w:type="dxa"/>
            <w:vAlign w:val="center"/>
          </w:tcPr>
          <w:p>
            <w:pPr>
              <w:spacing w:line="400" w:lineRule="exact"/>
              <w:jc w:val="center"/>
              <w:rPr>
                <w:rFonts w:hint="eastAsia" w:ascii="宋体" w:hAnsi="宋体" w:eastAsia="宋体" w:cs="宋体"/>
                <w:b/>
                <w:bCs/>
                <w:color w:val="auto"/>
                <w:sz w:val="22"/>
                <w:highlight w:val="none"/>
              </w:rPr>
            </w:pPr>
          </w:p>
        </w:tc>
        <w:tc>
          <w:tcPr>
            <w:tcW w:w="2127" w:type="dxa"/>
            <w:vAlign w:val="center"/>
          </w:tcPr>
          <w:p>
            <w:pPr>
              <w:spacing w:line="400" w:lineRule="exact"/>
              <w:jc w:val="center"/>
              <w:rPr>
                <w:rFonts w:hint="eastAsia" w:ascii="宋体" w:hAnsi="宋体" w:eastAsia="宋体" w:cs="宋体"/>
                <w:b/>
                <w:bCs/>
                <w:color w:val="auto"/>
                <w:sz w:val="22"/>
                <w:highlight w:val="none"/>
              </w:rPr>
            </w:pPr>
          </w:p>
        </w:tc>
        <w:tc>
          <w:tcPr>
            <w:tcW w:w="1275" w:type="dxa"/>
            <w:vAlign w:val="center"/>
          </w:tcPr>
          <w:p>
            <w:pPr>
              <w:spacing w:line="400" w:lineRule="exact"/>
              <w:jc w:val="center"/>
              <w:rPr>
                <w:rFonts w:hint="eastAsia" w:ascii="宋体" w:hAnsi="宋体" w:eastAsia="宋体" w:cs="宋体"/>
                <w:b/>
                <w:bCs/>
                <w:color w:val="auto"/>
                <w:sz w:val="22"/>
                <w:highlight w:val="none"/>
              </w:rPr>
            </w:pPr>
          </w:p>
        </w:tc>
        <w:tc>
          <w:tcPr>
            <w:tcW w:w="1276" w:type="dxa"/>
            <w:vAlign w:val="center"/>
          </w:tcPr>
          <w:p>
            <w:pPr>
              <w:spacing w:line="400" w:lineRule="exact"/>
              <w:jc w:val="center"/>
              <w:rPr>
                <w:rFonts w:hint="eastAsia" w:ascii="宋体" w:hAnsi="宋体" w:eastAsia="宋体" w:cs="宋体"/>
                <w:b/>
                <w:bCs/>
                <w:color w:val="auto"/>
                <w:sz w:val="22"/>
                <w:highlight w:val="none"/>
              </w:rPr>
            </w:pPr>
          </w:p>
        </w:tc>
        <w:tc>
          <w:tcPr>
            <w:tcW w:w="1066" w:type="dxa"/>
          </w:tcPr>
          <w:p>
            <w:pPr>
              <w:spacing w:line="400" w:lineRule="exact"/>
              <w:jc w:val="center"/>
              <w:rPr>
                <w:rFonts w:hint="eastAsia" w:ascii="宋体" w:hAnsi="宋体" w:eastAsia="宋体" w:cs="宋体"/>
                <w:b/>
                <w:bCs/>
                <w:color w:val="auto"/>
                <w:sz w:val="22"/>
                <w:highlight w:val="none"/>
              </w:rPr>
            </w:pPr>
          </w:p>
        </w:tc>
        <w:tc>
          <w:tcPr>
            <w:tcW w:w="746" w:type="dxa"/>
          </w:tcPr>
          <w:p>
            <w:pPr>
              <w:spacing w:line="400" w:lineRule="exact"/>
              <w:jc w:val="center"/>
              <w:rPr>
                <w:rFonts w:hint="eastAsia" w:ascii="宋体" w:hAnsi="宋体" w:eastAsia="宋体" w:cs="宋体"/>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hint="eastAsia" w:ascii="宋体" w:hAnsi="宋体" w:eastAsia="宋体" w:cs="宋体"/>
                <w:b/>
                <w:bCs/>
                <w:color w:val="auto"/>
                <w:sz w:val="22"/>
                <w:highlight w:val="none"/>
              </w:rPr>
            </w:pPr>
          </w:p>
        </w:tc>
        <w:tc>
          <w:tcPr>
            <w:tcW w:w="1559" w:type="dxa"/>
            <w:vAlign w:val="center"/>
          </w:tcPr>
          <w:p>
            <w:pPr>
              <w:spacing w:line="400" w:lineRule="exact"/>
              <w:jc w:val="center"/>
              <w:rPr>
                <w:rFonts w:hint="eastAsia" w:ascii="宋体" w:hAnsi="宋体" w:eastAsia="宋体" w:cs="宋体"/>
                <w:b/>
                <w:bCs/>
                <w:color w:val="auto"/>
                <w:sz w:val="22"/>
                <w:highlight w:val="none"/>
              </w:rPr>
            </w:pPr>
          </w:p>
        </w:tc>
        <w:tc>
          <w:tcPr>
            <w:tcW w:w="2127" w:type="dxa"/>
            <w:vAlign w:val="center"/>
          </w:tcPr>
          <w:p>
            <w:pPr>
              <w:spacing w:line="400" w:lineRule="exact"/>
              <w:jc w:val="center"/>
              <w:rPr>
                <w:rFonts w:hint="eastAsia" w:ascii="宋体" w:hAnsi="宋体" w:eastAsia="宋体" w:cs="宋体"/>
                <w:b/>
                <w:bCs/>
                <w:color w:val="auto"/>
                <w:sz w:val="22"/>
                <w:highlight w:val="none"/>
              </w:rPr>
            </w:pPr>
          </w:p>
        </w:tc>
        <w:tc>
          <w:tcPr>
            <w:tcW w:w="1275" w:type="dxa"/>
            <w:vAlign w:val="center"/>
          </w:tcPr>
          <w:p>
            <w:pPr>
              <w:spacing w:line="400" w:lineRule="exact"/>
              <w:jc w:val="center"/>
              <w:rPr>
                <w:rFonts w:hint="eastAsia" w:ascii="宋体" w:hAnsi="宋体" w:eastAsia="宋体" w:cs="宋体"/>
                <w:b/>
                <w:bCs/>
                <w:color w:val="auto"/>
                <w:sz w:val="22"/>
                <w:highlight w:val="none"/>
              </w:rPr>
            </w:pPr>
          </w:p>
        </w:tc>
        <w:tc>
          <w:tcPr>
            <w:tcW w:w="1276" w:type="dxa"/>
            <w:vAlign w:val="center"/>
          </w:tcPr>
          <w:p>
            <w:pPr>
              <w:spacing w:line="400" w:lineRule="exact"/>
              <w:jc w:val="center"/>
              <w:rPr>
                <w:rFonts w:hint="eastAsia" w:ascii="宋体" w:hAnsi="宋体" w:eastAsia="宋体" w:cs="宋体"/>
                <w:b/>
                <w:bCs/>
                <w:color w:val="auto"/>
                <w:sz w:val="22"/>
                <w:highlight w:val="none"/>
              </w:rPr>
            </w:pPr>
          </w:p>
        </w:tc>
        <w:tc>
          <w:tcPr>
            <w:tcW w:w="1066" w:type="dxa"/>
          </w:tcPr>
          <w:p>
            <w:pPr>
              <w:spacing w:line="400" w:lineRule="exact"/>
              <w:jc w:val="center"/>
              <w:rPr>
                <w:rFonts w:hint="eastAsia" w:ascii="宋体" w:hAnsi="宋体" w:eastAsia="宋体" w:cs="宋体"/>
                <w:b/>
                <w:bCs/>
                <w:color w:val="auto"/>
                <w:sz w:val="22"/>
                <w:highlight w:val="none"/>
              </w:rPr>
            </w:pPr>
          </w:p>
        </w:tc>
        <w:tc>
          <w:tcPr>
            <w:tcW w:w="746" w:type="dxa"/>
          </w:tcPr>
          <w:p>
            <w:pPr>
              <w:spacing w:line="400" w:lineRule="exact"/>
              <w:jc w:val="center"/>
              <w:rPr>
                <w:rFonts w:hint="eastAsia" w:ascii="宋体" w:hAnsi="宋体" w:eastAsia="宋体" w:cs="宋体"/>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hint="eastAsia" w:ascii="宋体" w:hAnsi="宋体" w:eastAsia="宋体" w:cs="宋体"/>
                <w:b/>
                <w:bCs/>
                <w:color w:val="auto"/>
                <w:sz w:val="22"/>
                <w:highlight w:val="none"/>
              </w:rPr>
            </w:pPr>
          </w:p>
        </w:tc>
        <w:tc>
          <w:tcPr>
            <w:tcW w:w="1559" w:type="dxa"/>
            <w:vAlign w:val="center"/>
          </w:tcPr>
          <w:p>
            <w:pPr>
              <w:spacing w:line="400" w:lineRule="exact"/>
              <w:jc w:val="center"/>
              <w:rPr>
                <w:rFonts w:hint="eastAsia" w:ascii="宋体" w:hAnsi="宋体" w:eastAsia="宋体" w:cs="宋体"/>
                <w:b/>
                <w:bCs/>
                <w:color w:val="auto"/>
                <w:sz w:val="22"/>
                <w:highlight w:val="none"/>
              </w:rPr>
            </w:pPr>
          </w:p>
        </w:tc>
        <w:tc>
          <w:tcPr>
            <w:tcW w:w="2127" w:type="dxa"/>
            <w:vAlign w:val="center"/>
          </w:tcPr>
          <w:p>
            <w:pPr>
              <w:spacing w:line="400" w:lineRule="exact"/>
              <w:jc w:val="center"/>
              <w:rPr>
                <w:rFonts w:hint="eastAsia" w:ascii="宋体" w:hAnsi="宋体" w:eastAsia="宋体" w:cs="宋体"/>
                <w:b/>
                <w:bCs/>
                <w:color w:val="auto"/>
                <w:sz w:val="22"/>
                <w:highlight w:val="none"/>
              </w:rPr>
            </w:pPr>
          </w:p>
        </w:tc>
        <w:tc>
          <w:tcPr>
            <w:tcW w:w="1275" w:type="dxa"/>
            <w:vAlign w:val="center"/>
          </w:tcPr>
          <w:p>
            <w:pPr>
              <w:spacing w:line="400" w:lineRule="exact"/>
              <w:jc w:val="center"/>
              <w:rPr>
                <w:rFonts w:hint="eastAsia" w:ascii="宋体" w:hAnsi="宋体" w:eastAsia="宋体" w:cs="宋体"/>
                <w:b/>
                <w:bCs/>
                <w:color w:val="auto"/>
                <w:sz w:val="22"/>
                <w:highlight w:val="none"/>
              </w:rPr>
            </w:pPr>
          </w:p>
        </w:tc>
        <w:tc>
          <w:tcPr>
            <w:tcW w:w="1276" w:type="dxa"/>
            <w:vAlign w:val="center"/>
          </w:tcPr>
          <w:p>
            <w:pPr>
              <w:spacing w:line="400" w:lineRule="exact"/>
              <w:jc w:val="center"/>
              <w:rPr>
                <w:rFonts w:hint="eastAsia" w:ascii="宋体" w:hAnsi="宋体" w:eastAsia="宋体" w:cs="宋体"/>
                <w:b/>
                <w:bCs/>
                <w:color w:val="auto"/>
                <w:sz w:val="22"/>
                <w:highlight w:val="none"/>
              </w:rPr>
            </w:pPr>
          </w:p>
        </w:tc>
        <w:tc>
          <w:tcPr>
            <w:tcW w:w="1066" w:type="dxa"/>
          </w:tcPr>
          <w:p>
            <w:pPr>
              <w:spacing w:line="400" w:lineRule="exact"/>
              <w:jc w:val="center"/>
              <w:rPr>
                <w:rFonts w:hint="eastAsia" w:ascii="宋体" w:hAnsi="宋体" w:eastAsia="宋体" w:cs="宋体"/>
                <w:b/>
                <w:bCs/>
                <w:color w:val="auto"/>
                <w:sz w:val="22"/>
                <w:highlight w:val="none"/>
              </w:rPr>
            </w:pPr>
          </w:p>
        </w:tc>
        <w:tc>
          <w:tcPr>
            <w:tcW w:w="746" w:type="dxa"/>
          </w:tcPr>
          <w:p>
            <w:pPr>
              <w:spacing w:line="400" w:lineRule="exact"/>
              <w:jc w:val="center"/>
              <w:rPr>
                <w:rFonts w:hint="eastAsia" w:ascii="宋体" w:hAnsi="宋体" w:eastAsia="宋体" w:cs="宋体"/>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hint="eastAsia" w:ascii="宋体" w:hAnsi="宋体" w:eastAsia="宋体" w:cs="宋体"/>
                <w:b/>
                <w:bCs/>
                <w:color w:val="auto"/>
                <w:sz w:val="22"/>
                <w:highlight w:val="none"/>
              </w:rPr>
            </w:pPr>
          </w:p>
        </w:tc>
        <w:tc>
          <w:tcPr>
            <w:tcW w:w="1559" w:type="dxa"/>
            <w:vAlign w:val="center"/>
          </w:tcPr>
          <w:p>
            <w:pPr>
              <w:spacing w:line="400" w:lineRule="exact"/>
              <w:jc w:val="center"/>
              <w:rPr>
                <w:rFonts w:hint="eastAsia" w:ascii="宋体" w:hAnsi="宋体" w:eastAsia="宋体" w:cs="宋体"/>
                <w:b/>
                <w:bCs/>
                <w:color w:val="auto"/>
                <w:sz w:val="22"/>
                <w:highlight w:val="none"/>
              </w:rPr>
            </w:pPr>
          </w:p>
        </w:tc>
        <w:tc>
          <w:tcPr>
            <w:tcW w:w="2127" w:type="dxa"/>
            <w:vAlign w:val="center"/>
          </w:tcPr>
          <w:p>
            <w:pPr>
              <w:spacing w:line="400" w:lineRule="exact"/>
              <w:jc w:val="center"/>
              <w:rPr>
                <w:rFonts w:hint="eastAsia" w:ascii="宋体" w:hAnsi="宋体" w:eastAsia="宋体" w:cs="宋体"/>
                <w:b/>
                <w:bCs/>
                <w:color w:val="auto"/>
                <w:sz w:val="22"/>
                <w:highlight w:val="none"/>
              </w:rPr>
            </w:pPr>
          </w:p>
        </w:tc>
        <w:tc>
          <w:tcPr>
            <w:tcW w:w="1275" w:type="dxa"/>
            <w:vAlign w:val="center"/>
          </w:tcPr>
          <w:p>
            <w:pPr>
              <w:spacing w:line="400" w:lineRule="exact"/>
              <w:jc w:val="center"/>
              <w:rPr>
                <w:rFonts w:hint="eastAsia" w:ascii="宋体" w:hAnsi="宋体" w:eastAsia="宋体" w:cs="宋体"/>
                <w:b/>
                <w:bCs/>
                <w:color w:val="auto"/>
                <w:sz w:val="22"/>
                <w:highlight w:val="none"/>
              </w:rPr>
            </w:pPr>
          </w:p>
        </w:tc>
        <w:tc>
          <w:tcPr>
            <w:tcW w:w="1276" w:type="dxa"/>
            <w:vAlign w:val="center"/>
          </w:tcPr>
          <w:p>
            <w:pPr>
              <w:spacing w:line="400" w:lineRule="exact"/>
              <w:jc w:val="center"/>
              <w:rPr>
                <w:rFonts w:hint="eastAsia" w:ascii="宋体" w:hAnsi="宋体" w:eastAsia="宋体" w:cs="宋体"/>
                <w:b/>
                <w:bCs/>
                <w:color w:val="auto"/>
                <w:sz w:val="22"/>
                <w:highlight w:val="none"/>
              </w:rPr>
            </w:pPr>
          </w:p>
        </w:tc>
        <w:tc>
          <w:tcPr>
            <w:tcW w:w="1066" w:type="dxa"/>
          </w:tcPr>
          <w:p>
            <w:pPr>
              <w:spacing w:line="400" w:lineRule="exact"/>
              <w:jc w:val="center"/>
              <w:rPr>
                <w:rFonts w:hint="eastAsia" w:ascii="宋体" w:hAnsi="宋体" w:eastAsia="宋体" w:cs="宋体"/>
                <w:b/>
                <w:bCs/>
                <w:color w:val="auto"/>
                <w:sz w:val="22"/>
                <w:highlight w:val="none"/>
              </w:rPr>
            </w:pPr>
          </w:p>
        </w:tc>
        <w:tc>
          <w:tcPr>
            <w:tcW w:w="746" w:type="dxa"/>
          </w:tcPr>
          <w:p>
            <w:pPr>
              <w:spacing w:line="400" w:lineRule="exact"/>
              <w:jc w:val="center"/>
              <w:rPr>
                <w:rFonts w:hint="eastAsia" w:ascii="宋体" w:hAnsi="宋体" w:eastAsia="宋体" w:cs="宋体"/>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hint="eastAsia" w:ascii="宋体" w:hAnsi="宋体" w:eastAsia="宋体" w:cs="宋体"/>
                <w:b/>
                <w:bCs/>
                <w:color w:val="auto"/>
                <w:sz w:val="22"/>
                <w:highlight w:val="none"/>
              </w:rPr>
            </w:pPr>
          </w:p>
        </w:tc>
        <w:tc>
          <w:tcPr>
            <w:tcW w:w="1559" w:type="dxa"/>
            <w:vAlign w:val="center"/>
          </w:tcPr>
          <w:p>
            <w:pPr>
              <w:spacing w:line="400" w:lineRule="exact"/>
              <w:jc w:val="center"/>
              <w:rPr>
                <w:rFonts w:hint="eastAsia" w:ascii="宋体" w:hAnsi="宋体" w:eastAsia="宋体" w:cs="宋体"/>
                <w:b/>
                <w:bCs/>
                <w:color w:val="auto"/>
                <w:sz w:val="22"/>
                <w:highlight w:val="none"/>
              </w:rPr>
            </w:pPr>
          </w:p>
        </w:tc>
        <w:tc>
          <w:tcPr>
            <w:tcW w:w="2127" w:type="dxa"/>
            <w:vAlign w:val="center"/>
          </w:tcPr>
          <w:p>
            <w:pPr>
              <w:spacing w:line="400" w:lineRule="exact"/>
              <w:jc w:val="center"/>
              <w:rPr>
                <w:rFonts w:hint="eastAsia" w:ascii="宋体" w:hAnsi="宋体" w:eastAsia="宋体" w:cs="宋体"/>
                <w:b/>
                <w:bCs/>
                <w:color w:val="auto"/>
                <w:sz w:val="22"/>
                <w:highlight w:val="none"/>
              </w:rPr>
            </w:pPr>
          </w:p>
        </w:tc>
        <w:tc>
          <w:tcPr>
            <w:tcW w:w="1275" w:type="dxa"/>
            <w:vAlign w:val="center"/>
          </w:tcPr>
          <w:p>
            <w:pPr>
              <w:spacing w:line="400" w:lineRule="exact"/>
              <w:jc w:val="center"/>
              <w:rPr>
                <w:rFonts w:hint="eastAsia" w:ascii="宋体" w:hAnsi="宋体" w:eastAsia="宋体" w:cs="宋体"/>
                <w:b/>
                <w:bCs/>
                <w:color w:val="auto"/>
                <w:sz w:val="22"/>
                <w:highlight w:val="none"/>
              </w:rPr>
            </w:pPr>
          </w:p>
        </w:tc>
        <w:tc>
          <w:tcPr>
            <w:tcW w:w="1276" w:type="dxa"/>
            <w:vAlign w:val="center"/>
          </w:tcPr>
          <w:p>
            <w:pPr>
              <w:spacing w:line="400" w:lineRule="exact"/>
              <w:jc w:val="center"/>
              <w:rPr>
                <w:rFonts w:hint="eastAsia" w:ascii="宋体" w:hAnsi="宋体" w:eastAsia="宋体" w:cs="宋体"/>
                <w:b/>
                <w:bCs/>
                <w:color w:val="auto"/>
                <w:sz w:val="22"/>
                <w:highlight w:val="none"/>
              </w:rPr>
            </w:pPr>
          </w:p>
        </w:tc>
        <w:tc>
          <w:tcPr>
            <w:tcW w:w="1066" w:type="dxa"/>
          </w:tcPr>
          <w:p>
            <w:pPr>
              <w:spacing w:line="400" w:lineRule="exact"/>
              <w:jc w:val="center"/>
              <w:rPr>
                <w:rFonts w:hint="eastAsia" w:ascii="宋体" w:hAnsi="宋体" w:eastAsia="宋体" w:cs="宋体"/>
                <w:b/>
                <w:bCs/>
                <w:color w:val="auto"/>
                <w:sz w:val="22"/>
                <w:highlight w:val="none"/>
              </w:rPr>
            </w:pPr>
          </w:p>
        </w:tc>
        <w:tc>
          <w:tcPr>
            <w:tcW w:w="746" w:type="dxa"/>
          </w:tcPr>
          <w:p>
            <w:pPr>
              <w:spacing w:line="400" w:lineRule="exact"/>
              <w:jc w:val="center"/>
              <w:rPr>
                <w:rFonts w:hint="eastAsia" w:ascii="宋体" w:hAnsi="宋体" w:eastAsia="宋体" w:cs="宋体"/>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hint="eastAsia" w:ascii="宋体" w:hAnsi="宋体" w:eastAsia="宋体" w:cs="宋体"/>
                <w:b/>
                <w:bCs/>
                <w:color w:val="auto"/>
                <w:sz w:val="22"/>
                <w:highlight w:val="none"/>
              </w:rPr>
            </w:pPr>
          </w:p>
        </w:tc>
        <w:tc>
          <w:tcPr>
            <w:tcW w:w="1559" w:type="dxa"/>
            <w:vAlign w:val="center"/>
          </w:tcPr>
          <w:p>
            <w:pPr>
              <w:spacing w:line="400" w:lineRule="exact"/>
              <w:jc w:val="center"/>
              <w:rPr>
                <w:rFonts w:hint="eastAsia" w:ascii="宋体" w:hAnsi="宋体" w:eastAsia="宋体" w:cs="宋体"/>
                <w:b/>
                <w:bCs/>
                <w:color w:val="auto"/>
                <w:sz w:val="22"/>
                <w:highlight w:val="none"/>
              </w:rPr>
            </w:pPr>
          </w:p>
        </w:tc>
        <w:tc>
          <w:tcPr>
            <w:tcW w:w="2127" w:type="dxa"/>
            <w:vAlign w:val="center"/>
          </w:tcPr>
          <w:p>
            <w:pPr>
              <w:spacing w:line="400" w:lineRule="exact"/>
              <w:jc w:val="center"/>
              <w:rPr>
                <w:rFonts w:hint="eastAsia" w:ascii="宋体" w:hAnsi="宋体" w:eastAsia="宋体" w:cs="宋体"/>
                <w:b/>
                <w:bCs/>
                <w:color w:val="auto"/>
                <w:sz w:val="22"/>
                <w:highlight w:val="none"/>
              </w:rPr>
            </w:pPr>
          </w:p>
        </w:tc>
        <w:tc>
          <w:tcPr>
            <w:tcW w:w="1275" w:type="dxa"/>
            <w:vAlign w:val="center"/>
          </w:tcPr>
          <w:p>
            <w:pPr>
              <w:spacing w:line="400" w:lineRule="exact"/>
              <w:jc w:val="center"/>
              <w:rPr>
                <w:rFonts w:hint="eastAsia" w:ascii="宋体" w:hAnsi="宋体" w:eastAsia="宋体" w:cs="宋体"/>
                <w:b/>
                <w:bCs/>
                <w:color w:val="auto"/>
                <w:sz w:val="22"/>
                <w:highlight w:val="none"/>
              </w:rPr>
            </w:pPr>
          </w:p>
        </w:tc>
        <w:tc>
          <w:tcPr>
            <w:tcW w:w="1276" w:type="dxa"/>
            <w:vAlign w:val="center"/>
          </w:tcPr>
          <w:p>
            <w:pPr>
              <w:spacing w:line="400" w:lineRule="exact"/>
              <w:jc w:val="center"/>
              <w:rPr>
                <w:rFonts w:hint="eastAsia" w:ascii="宋体" w:hAnsi="宋体" w:eastAsia="宋体" w:cs="宋体"/>
                <w:b/>
                <w:bCs/>
                <w:color w:val="auto"/>
                <w:sz w:val="22"/>
                <w:highlight w:val="none"/>
              </w:rPr>
            </w:pPr>
          </w:p>
        </w:tc>
        <w:tc>
          <w:tcPr>
            <w:tcW w:w="1066" w:type="dxa"/>
          </w:tcPr>
          <w:p>
            <w:pPr>
              <w:spacing w:line="400" w:lineRule="exact"/>
              <w:jc w:val="center"/>
              <w:rPr>
                <w:rFonts w:hint="eastAsia" w:ascii="宋体" w:hAnsi="宋体" w:eastAsia="宋体" w:cs="宋体"/>
                <w:b/>
                <w:bCs/>
                <w:color w:val="auto"/>
                <w:sz w:val="22"/>
                <w:highlight w:val="none"/>
              </w:rPr>
            </w:pPr>
          </w:p>
        </w:tc>
        <w:tc>
          <w:tcPr>
            <w:tcW w:w="746" w:type="dxa"/>
          </w:tcPr>
          <w:p>
            <w:pPr>
              <w:spacing w:line="400" w:lineRule="exact"/>
              <w:jc w:val="center"/>
              <w:rPr>
                <w:rFonts w:hint="eastAsia" w:ascii="宋体" w:hAnsi="宋体" w:eastAsia="宋体" w:cs="宋体"/>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hint="eastAsia" w:ascii="宋体" w:hAnsi="宋体" w:eastAsia="宋体" w:cs="宋体"/>
                <w:b/>
                <w:bCs/>
                <w:color w:val="auto"/>
                <w:sz w:val="22"/>
                <w:highlight w:val="none"/>
              </w:rPr>
            </w:pPr>
          </w:p>
        </w:tc>
        <w:tc>
          <w:tcPr>
            <w:tcW w:w="1559" w:type="dxa"/>
            <w:vAlign w:val="center"/>
          </w:tcPr>
          <w:p>
            <w:pPr>
              <w:spacing w:line="400" w:lineRule="exact"/>
              <w:jc w:val="center"/>
              <w:rPr>
                <w:rFonts w:hint="eastAsia" w:ascii="宋体" w:hAnsi="宋体" w:eastAsia="宋体" w:cs="宋体"/>
                <w:b/>
                <w:bCs/>
                <w:color w:val="auto"/>
                <w:sz w:val="22"/>
                <w:highlight w:val="none"/>
              </w:rPr>
            </w:pPr>
          </w:p>
        </w:tc>
        <w:tc>
          <w:tcPr>
            <w:tcW w:w="2127" w:type="dxa"/>
            <w:vAlign w:val="center"/>
          </w:tcPr>
          <w:p>
            <w:pPr>
              <w:spacing w:line="400" w:lineRule="exact"/>
              <w:jc w:val="center"/>
              <w:rPr>
                <w:rFonts w:hint="eastAsia" w:ascii="宋体" w:hAnsi="宋体" w:eastAsia="宋体" w:cs="宋体"/>
                <w:b/>
                <w:bCs/>
                <w:color w:val="auto"/>
                <w:sz w:val="22"/>
                <w:highlight w:val="none"/>
              </w:rPr>
            </w:pPr>
          </w:p>
        </w:tc>
        <w:tc>
          <w:tcPr>
            <w:tcW w:w="1275" w:type="dxa"/>
            <w:vAlign w:val="center"/>
          </w:tcPr>
          <w:p>
            <w:pPr>
              <w:spacing w:line="400" w:lineRule="exact"/>
              <w:jc w:val="center"/>
              <w:rPr>
                <w:rFonts w:hint="eastAsia" w:ascii="宋体" w:hAnsi="宋体" w:eastAsia="宋体" w:cs="宋体"/>
                <w:b/>
                <w:bCs/>
                <w:color w:val="auto"/>
                <w:sz w:val="22"/>
                <w:highlight w:val="none"/>
              </w:rPr>
            </w:pPr>
          </w:p>
        </w:tc>
        <w:tc>
          <w:tcPr>
            <w:tcW w:w="1276" w:type="dxa"/>
            <w:vAlign w:val="center"/>
          </w:tcPr>
          <w:p>
            <w:pPr>
              <w:spacing w:line="400" w:lineRule="exact"/>
              <w:jc w:val="center"/>
              <w:rPr>
                <w:rFonts w:hint="eastAsia" w:ascii="宋体" w:hAnsi="宋体" w:eastAsia="宋体" w:cs="宋体"/>
                <w:b/>
                <w:bCs/>
                <w:color w:val="auto"/>
                <w:sz w:val="22"/>
                <w:highlight w:val="none"/>
              </w:rPr>
            </w:pPr>
          </w:p>
        </w:tc>
        <w:tc>
          <w:tcPr>
            <w:tcW w:w="1066" w:type="dxa"/>
          </w:tcPr>
          <w:p>
            <w:pPr>
              <w:spacing w:line="400" w:lineRule="exact"/>
              <w:jc w:val="center"/>
              <w:rPr>
                <w:rFonts w:hint="eastAsia" w:ascii="宋体" w:hAnsi="宋体" w:eastAsia="宋体" w:cs="宋体"/>
                <w:b/>
                <w:bCs/>
                <w:color w:val="auto"/>
                <w:sz w:val="22"/>
                <w:highlight w:val="none"/>
              </w:rPr>
            </w:pPr>
          </w:p>
        </w:tc>
        <w:tc>
          <w:tcPr>
            <w:tcW w:w="746" w:type="dxa"/>
          </w:tcPr>
          <w:p>
            <w:pPr>
              <w:spacing w:line="400" w:lineRule="exact"/>
              <w:jc w:val="center"/>
              <w:rPr>
                <w:rFonts w:hint="eastAsia" w:ascii="宋体" w:hAnsi="宋体" w:eastAsia="宋体" w:cs="宋体"/>
                <w:b/>
                <w:bCs/>
                <w:color w:val="auto"/>
                <w:sz w:val="22"/>
                <w:highlight w:val="none"/>
              </w:rPr>
            </w:pPr>
          </w:p>
        </w:tc>
      </w:tr>
    </w:tbl>
    <w:p>
      <w:pPr>
        <w:numPr>
          <w:ilvl w:val="-1"/>
          <w:numId w:val="0"/>
        </w:numPr>
        <w:tabs>
          <w:tab w:val="left" w:pos="840"/>
          <w:tab w:val="left" w:pos="5355"/>
        </w:tabs>
        <w:spacing w:line="430" w:lineRule="exact"/>
        <w:rPr>
          <w:rFonts w:hint="eastAsia" w:ascii="宋体" w:hAnsi="宋体" w:eastAsia="宋体" w:cs="宋体"/>
          <w:color w:val="auto"/>
          <w:sz w:val="22"/>
          <w:szCs w:val="22"/>
          <w:highlight w:val="none"/>
        </w:rPr>
      </w:pPr>
      <w:r>
        <w:rPr>
          <w:rFonts w:hint="eastAsia" w:ascii="宋体" w:hAnsi="宋体" w:eastAsia="宋体" w:cs="宋体"/>
          <w:color w:val="auto"/>
          <w:sz w:val="22"/>
          <w:highlight w:val="none"/>
        </w:rPr>
        <w:t>备注：</w:t>
      </w:r>
      <w:r>
        <w:rPr>
          <w:rFonts w:hint="eastAsia" w:ascii="宋体" w:hAnsi="宋体" w:eastAsia="宋体" w:cs="宋体"/>
          <w:color w:val="auto"/>
          <w:sz w:val="22"/>
          <w:szCs w:val="22"/>
          <w:highlight w:val="none"/>
        </w:rPr>
        <w:t>1、</w:t>
      </w:r>
      <w:bookmarkStart w:id="1" w:name="_Hlk63159004"/>
      <w:r>
        <w:rPr>
          <w:rFonts w:hint="eastAsia" w:ascii="宋体" w:hAnsi="宋体" w:cs="宋体"/>
          <w:color w:val="auto"/>
          <w:sz w:val="22"/>
          <w:highlight w:val="none"/>
        </w:rPr>
        <w:t>提供中标通知书和合同扫描件业绩为有效业绩，续签的业绩不重复得分</w:t>
      </w:r>
      <w:bookmarkEnd w:id="1"/>
      <w:r>
        <w:rPr>
          <w:rFonts w:hint="eastAsia" w:ascii="宋体" w:hAnsi="宋体" w:eastAsia="宋体" w:cs="宋体"/>
          <w:color w:val="auto"/>
          <w:sz w:val="22"/>
          <w:szCs w:val="22"/>
          <w:highlight w:val="none"/>
        </w:rPr>
        <w:t>。</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2、本表可在不改变格式的情况下根据具体需要自行增减，证明材料附后。</w:t>
      </w:r>
    </w:p>
    <w:p>
      <w:pPr>
        <w:spacing w:line="380" w:lineRule="exact"/>
        <w:ind w:firstLine="4400" w:firstLineChars="2000"/>
        <w:rPr>
          <w:rFonts w:hint="eastAsia" w:ascii="宋体" w:hAnsi="宋体" w:eastAsia="宋体" w:cs="宋体"/>
          <w:color w:val="auto"/>
          <w:sz w:val="22"/>
          <w:szCs w:val="22"/>
          <w:highlight w:val="none"/>
        </w:rPr>
      </w:pPr>
    </w:p>
    <w:p>
      <w:pPr>
        <w:widowControl/>
        <w:spacing w:line="400" w:lineRule="exact"/>
        <w:rPr>
          <w:rFonts w:hint="eastAsia" w:ascii="宋体" w:hAnsi="宋体" w:eastAsia="宋体" w:cs="宋体"/>
          <w:color w:val="auto"/>
          <w:kern w:val="0"/>
          <w:sz w:val="22"/>
          <w:szCs w:val="22"/>
          <w:highlight w:val="none"/>
          <w:u w:val="single"/>
        </w:rPr>
      </w:pPr>
      <w:r>
        <w:rPr>
          <w:rFonts w:hint="eastAsia" w:ascii="宋体" w:hAnsi="宋体" w:eastAsia="宋体" w:cs="宋体"/>
          <w:color w:val="auto"/>
          <w:kern w:val="0"/>
          <w:sz w:val="22"/>
          <w:szCs w:val="22"/>
          <w:highlight w:val="none"/>
        </w:rPr>
        <w:t>投标人全称(电子签章)：</w:t>
      </w:r>
    </w:p>
    <w:p>
      <w:pPr>
        <w:widowControl/>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法定代表人或授权代表(签字或盖章)：</w:t>
      </w:r>
    </w:p>
    <w:p>
      <w:pPr>
        <w:snapToGrid w:val="0"/>
        <w:spacing w:line="400" w:lineRule="exact"/>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日期：    年    月    日</w:t>
      </w:r>
    </w:p>
    <w:p>
      <w:pPr>
        <w:spacing w:line="400" w:lineRule="exact"/>
        <w:rPr>
          <w:rFonts w:hint="eastAsia" w:ascii="宋体" w:hAnsi="宋体" w:eastAsia="宋体" w:cs="宋体"/>
          <w:color w:val="auto"/>
          <w:sz w:val="24"/>
          <w:szCs w:val="24"/>
          <w:highlight w:val="none"/>
        </w:rPr>
      </w:pPr>
    </w:p>
    <w:p>
      <w:pPr>
        <w:pStyle w:val="2"/>
        <w:ind w:firstLine="241"/>
        <w:rPr>
          <w:rFonts w:hint="eastAsia" w:ascii="宋体" w:hAnsi="宋体" w:eastAsia="宋体" w:cs="宋体"/>
          <w:color w:val="auto"/>
          <w:sz w:val="24"/>
          <w:szCs w:val="24"/>
          <w:highlight w:val="none"/>
        </w:rPr>
      </w:pPr>
    </w:p>
    <w:p>
      <w:pPr>
        <w:pStyle w:val="2"/>
        <w:ind w:firstLine="241"/>
        <w:rPr>
          <w:rFonts w:hint="eastAsia" w:ascii="宋体" w:hAnsi="宋体" w:eastAsia="宋体" w:cs="宋体"/>
          <w:color w:val="auto"/>
          <w:sz w:val="24"/>
          <w:szCs w:val="24"/>
          <w:highlight w:val="none"/>
        </w:rPr>
      </w:pPr>
    </w:p>
    <w:p>
      <w:pPr>
        <w:spacing w:line="240" w:lineRule="auto"/>
        <w:ind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spacing w:line="400" w:lineRule="exact"/>
        <w:ind w:firstLine="118" w:firstLineChars="4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附件1</w:t>
      </w:r>
      <w:r>
        <w:rPr>
          <w:rFonts w:hint="eastAsia" w:ascii="宋体" w:hAnsi="宋体" w:cs="宋体"/>
          <w:b/>
          <w:color w:val="auto"/>
          <w:sz w:val="24"/>
          <w:szCs w:val="24"/>
          <w:highlight w:val="none"/>
          <w:lang w:val="en-US" w:eastAsia="zh-CN"/>
        </w:rPr>
        <w:t>1</w:t>
      </w:r>
    </w:p>
    <w:p>
      <w:pPr>
        <w:spacing w:line="400" w:lineRule="exact"/>
        <w:jc w:val="center"/>
        <w:rPr>
          <w:rFonts w:hint="eastAsia" w:ascii="宋体" w:hAnsi="宋体" w:eastAsia="宋体" w:cs="宋体"/>
          <w:b/>
          <w:color w:val="auto"/>
          <w:sz w:val="24"/>
          <w:szCs w:val="24"/>
          <w:highlight w:val="none"/>
        </w:rPr>
      </w:pPr>
    </w:p>
    <w:p>
      <w:pPr>
        <w:ind w:right="-1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采购需求偏离表</w:t>
      </w:r>
    </w:p>
    <w:p>
      <w:pPr>
        <w:pStyle w:val="35"/>
        <w:rPr>
          <w:rFonts w:hint="eastAsia"/>
          <w:color w:val="auto"/>
          <w:highlight w:val="none"/>
        </w:rPr>
      </w:pPr>
    </w:p>
    <w:p>
      <w:pPr>
        <w:pStyle w:val="14"/>
        <w:spacing w:after="0" w:line="400" w:lineRule="exact"/>
        <w:ind w:left="0" w:leftChars="0" w:right="0" w:rightChars="0"/>
        <w:rPr>
          <w:rFonts w:hint="eastAsia" w:ascii="宋体" w:hAnsi="宋体" w:eastAsia="宋体" w:cs="宋体"/>
          <w:color w:val="auto"/>
          <w:sz w:val="22"/>
          <w:highlight w:val="none"/>
        </w:rPr>
      </w:pPr>
      <w:r>
        <w:rPr>
          <w:rFonts w:hint="eastAsia" w:ascii="宋体" w:hAnsi="宋体" w:eastAsia="宋体" w:cs="宋体"/>
          <w:b/>
          <w:color w:val="auto"/>
          <w:sz w:val="22"/>
          <w:highlight w:val="none"/>
        </w:rPr>
        <w:t xml:space="preserve">项目名称：                       项目编号：                  </w:t>
      </w:r>
    </w:p>
    <w:tbl>
      <w:tblPr>
        <w:tblStyle w:val="28"/>
        <w:tblW w:w="928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56"/>
        <w:gridCol w:w="3219"/>
        <w:gridCol w:w="1822"/>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hint="eastAsia" w:ascii="宋体" w:hAnsi="宋体" w:eastAsia="宋体" w:cs="宋体"/>
                <w:b/>
                <w:color w:val="auto"/>
                <w:spacing w:val="-6"/>
                <w:sz w:val="22"/>
                <w:highlight w:val="none"/>
              </w:rPr>
            </w:pPr>
            <w:r>
              <w:rPr>
                <w:rFonts w:hint="eastAsia" w:ascii="宋体" w:hAnsi="宋体" w:eastAsia="宋体" w:cs="宋体"/>
                <w:b/>
                <w:color w:val="auto"/>
                <w:spacing w:val="-6"/>
                <w:sz w:val="22"/>
                <w:highlight w:val="none"/>
              </w:rPr>
              <w:t>序号</w:t>
            </w:r>
          </w:p>
        </w:tc>
        <w:tc>
          <w:tcPr>
            <w:tcW w:w="1656" w:type="dxa"/>
            <w:vAlign w:val="center"/>
          </w:tcPr>
          <w:p>
            <w:pPr>
              <w:snapToGrid w:val="0"/>
              <w:spacing w:line="400" w:lineRule="exact"/>
              <w:jc w:val="center"/>
              <w:rPr>
                <w:rFonts w:hint="eastAsia" w:ascii="宋体" w:hAnsi="宋体" w:eastAsia="宋体" w:cs="宋体"/>
                <w:b/>
                <w:color w:val="auto"/>
                <w:spacing w:val="-6"/>
                <w:sz w:val="22"/>
                <w:highlight w:val="none"/>
              </w:rPr>
            </w:pPr>
            <w:r>
              <w:rPr>
                <w:rFonts w:hint="eastAsia" w:ascii="宋体" w:hAnsi="宋体" w:eastAsia="宋体" w:cs="宋体"/>
                <w:b/>
                <w:color w:val="auto"/>
                <w:spacing w:val="-6"/>
                <w:sz w:val="22"/>
                <w:highlight w:val="none"/>
              </w:rPr>
              <w:t>招标文件要求</w:t>
            </w:r>
          </w:p>
        </w:tc>
        <w:tc>
          <w:tcPr>
            <w:tcW w:w="3219" w:type="dxa"/>
            <w:vAlign w:val="center"/>
          </w:tcPr>
          <w:p>
            <w:pPr>
              <w:snapToGrid w:val="0"/>
              <w:spacing w:line="400" w:lineRule="exact"/>
              <w:jc w:val="center"/>
              <w:rPr>
                <w:rFonts w:hint="eastAsia" w:ascii="宋体" w:hAnsi="宋体" w:eastAsia="宋体" w:cs="宋体"/>
                <w:b/>
                <w:color w:val="auto"/>
                <w:spacing w:val="-6"/>
                <w:sz w:val="22"/>
                <w:highlight w:val="none"/>
              </w:rPr>
            </w:pPr>
            <w:r>
              <w:rPr>
                <w:rFonts w:hint="eastAsia" w:ascii="宋体" w:hAnsi="宋体" w:eastAsia="宋体" w:cs="宋体"/>
                <w:b/>
                <w:color w:val="auto"/>
                <w:spacing w:val="-6"/>
                <w:sz w:val="22"/>
                <w:highlight w:val="none"/>
              </w:rPr>
              <w:t>投标文件对应规范</w:t>
            </w:r>
          </w:p>
        </w:tc>
        <w:tc>
          <w:tcPr>
            <w:tcW w:w="1822" w:type="dxa"/>
            <w:vAlign w:val="center"/>
          </w:tcPr>
          <w:p>
            <w:pPr>
              <w:snapToGrid w:val="0"/>
              <w:spacing w:line="400" w:lineRule="exact"/>
              <w:jc w:val="center"/>
              <w:rPr>
                <w:rFonts w:hint="eastAsia" w:ascii="宋体" w:hAnsi="宋体" w:eastAsia="宋体" w:cs="宋体"/>
                <w:b/>
                <w:color w:val="auto"/>
                <w:spacing w:val="-6"/>
                <w:sz w:val="22"/>
                <w:highlight w:val="none"/>
              </w:rPr>
            </w:pPr>
            <w:r>
              <w:rPr>
                <w:rFonts w:hint="eastAsia" w:ascii="宋体" w:hAnsi="宋体" w:eastAsia="宋体" w:cs="宋体"/>
                <w:b/>
                <w:color w:val="auto"/>
                <w:spacing w:val="-6"/>
                <w:sz w:val="22"/>
                <w:highlight w:val="none"/>
              </w:rPr>
              <w:t>是否偏离</w:t>
            </w:r>
          </w:p>
          <w:p>
            <w:pPr>
              <w:snapToGrid w:val="0"/>
              <w:spacing w:line="400" w:lineRule="exact"/>
              <w:jc w:val="center"/>
              <w:rPr>
                <w:rFonts w:hint="eastAsia" w:ascii="宋体" w:hAnsi="宋体" w:eastAsia="宋体" w:cs="宋体"/>
                <w:b/>
                <w:color w:val="auto"/>
                <w:spacing w:val="-6"/>
                <w:sz w:val="22"/>
                <w:highlight w:val="none"/>
              </w:rPr>
            </w:pPr>
            <w:r>
              <w:rPr>
                <w:rFonts w:hint="eastAsia" w:ascii="宋体" w:hAnsi="宋体" w:eastAsia="宋体" w:cs="宋体"/>
                <w:b/>
                <w:color w:val="auto"/>
                <w:spacing w:val="-6"/>
                <w:sz w:val="22"/>
                <w:highlight w:val="none"/>
              </w:rPr>
              <w:t>（提供说明）</w:t>
            </w:r>
          </w:p>
        </w:tc>
        <w:tc>
          <w:tcPr>
            <w:tcW w:w="1735" w:type="dxa"/>
            <w:vAlign w:val="center"/>
          </w:tcPr>
          <w:p>
            <w:pPr>
              <w:snapToGrid w:val="0"/>
              <w:spacing w:line="400" w:lineRule="exact"/>
              <w:jc w:val="center"/>
              <w:rPr>
                <w:rFonts w:hint="eastAsia" w:ascii="宋体" w:hAnsi="宋体" w:eastAsia="宋体" w:cs="宋体"/>
                <w:b/>
                <w:color w:val="auto"/>
                <w:spacing w:val="-6"/>
                <w:sz w:val="22"/>
                <w:highlight w:val="none"/>
              </w:rPr>
            </w:pPr>
            <w:r>
              <w:rPr>
                <w:rFonts w:hint="eastAsia" w:ascii="宋体" w:hAnsi="宋体" w:eastAsia="宋体" w:cs="宋体"/>
                <w:b/>
                <w:color w:val="auto"/>
                <w:spacing w:val="-6"/>
                <w:sz w:val="22"/>
                <w:highlight w:val="none"/>
              </w:rPr>
              <w:t>要求提供的证明材料页码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3" w:type="dxa"/>
            <w:gridSpan w:val="5"/>
            <w:vAlign w:val="center"/>
          </w:tcPr>
          <w:p>
            <w:pPr>
              <w:snapToGrid w:val="0"/>
              <w:spacing w:line="400" w:lineRule="exac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商务部分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735" w:type="dxa"/>
            <w:vAlign w:val="center"/>
          </w:tcPr>
          <w:p>
            <w:pPr>
              <w:snapToGrid w:val="0"/>
              <w:spacing w:line="400" w:lineRule="exact"/>
              <w:jc w:val="center"/>
              <w:rPr>
                <w:rFonts w:hint="eastAsia" w:ascii="宋体" w:hAnsi="宋体" w:eastAsia="宋体" w:cs="宋体"/>
                <w:color w:val="auto"/>
                <w:spacing w:val="-6"/>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735" w:type="dxa"/>
            <w:vAlign w:val="center"/>
          </w:tcPr>
          <w:p>
            <w:pPr>
              <w:snapToGrid w:val="0"/>
              <w:spacing w:line="400" w:lineRule="exact"/>
              <w:jc w:val="center"/>
              <w:rPr>
                <w:rFonts w:hint="eastAsia" w:ascii="宋体" w:hAnsi="宋体" w:eastAsia="宋体" w:cs="宋体"/>
                <w:color w:val="auto"/>
                <w:spacing w:val="-6"/>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735" w:type="dxa"/>
            <w:vAlign w:val="center"/>
          </w:tcPr>
          <w:p>
            <w:pPr>
              <w:snapToGrid w:val="0"/>
              <w:spacing w:line="400" w:lineRule="exact"/>
              <w:jc w:val="center"/>
              <w:rPr>
                <w:rFonts w:hint="eastAsia" w:ascii="宋体" w:hAnsi="宋体" w:eastAsia="宋体" w:cs="宋体"/>
                <w:color w:val="auto"/>
                <w:spacing w:val="-6"/>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735" w:type="dxa"/>
            <w:vAlign w:val="center"/>
          </w:tcPr>
          <w:p>
            <w:pPr>
              <w:snapToGrid w:val="0"/>
              <w:spacing w:line="400" w:lineRule="exact"/>
              <w:jc w:val="center"/>
              <w:rPr>
                <w:rFonts w:hint="eastAsia" w:ascii="宋体" w:hAnsi="宋体" w:eastAsia="宋体" w:cs="宋体"/>
                <w:color w:val="auto"/>
                <w:spacing w:val="-6"/>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rPr>
                <w:rFonts w:hint="eastAsia" w:ascii="宋体" w:hAnsi="宋体" w:eastAsia="宋体" w:cs="宋体"/>
                <w:color w:val="auto"/>
                <w:spacing w:val="-6"/>
                <w:sz w:val="22"/>
                <w:highlight w:val="none"/>
              </w:rPr>
            </w:pPr>
          </w:p>
        </w:tc>
        <w:tc>
          <w:tcPr>
            <w:tcW w:w="1656" w:type="dxa"/>
            <w:vAlign w:val="center"/>
          </w:tcPr>
          <w:p>
            <w:pPr>
              <w:snapToGrid w:val="0"/>
              <w:spacing w:line="400" w:lineRule="exact"/>
              <w:rPr>
                <w:rFonts w:hint="eastAsia" w:ascii="宋体" w:hAnsi="宋体" w:eastAsia="宋体" w:cs="宋体"/>
                <w:color w:val="auto"/>
                <w:spacing w:val="-6"/>
                <w:sz w:val="22"/>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735" w:type="dxa"/>
            <w:vAlign w:val="center"/>
          </w:tcPr>
          <w:p>
            <w:pPr>
              <w:snapToGrid w:val="0"/>
              <w:spacing w:line="400" w:lineRule="exact"/>
              <w:jc w:val="center"/>
              <w:rPr>
                <w:rFonts w:hint="eastAsia" w:ascii="宋体" w:hAnsi="宋体" w:eastAsia="宋体" w:cs="宋体"/>
                <w:color w:val="auto"/>
                <w:spacing w:val="-6"/>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3" w:type="dxa"/>
            <w:gridSpan w:val="5"/>
            <w:vAlign w:val="center"/>
          </w:tcPr>
          <w:p>
            <w:pPr>
              <w:snapToGrid w:val="0"/>
              <w:spacing w:line="400" w:lineRule="exact"/>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rPr>
                <w:rFonts w:hint="eastAsia" w:ascii="宋体" w:hAnsi="宋体" w:eastAsia="宋体" w:cs="宋体"/>
                <w:color w:val="auto"/>
                <w:spacing w:val="-6"/>
                <w:sz w:val="22"/>
                <w:highlight w:val="none"/>
              </w:rPr>
            </w:pPr>
          </w:p>
        </w:tc>
        <w:tc>
          <w:tcPr>
            <w:tcW w:w="1656" w:type="dxa"/>
            <w:vAlign w:val="center"/>
          </w:tcPr>
          <w:p>
            <w:pPr>
              <w:snapToGrid w:val="0"/>
              <w:spacing w:line="400" w:lineRule="exact"/>
              <w:rPr>
                <w:rFonts w:hint="eastAsia" w:ascii="宋体" w:hAnsi="宋体" w:eastAsia="宋体" w:cs="宋体"/>
                <w:color w:val="auto"/>
                <w:spacing w:val="-6"/>
                <w:sz w:val="22"/>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735" w:type="dxa"/>
            <w:vAlign w:val="center"/>
          </w:tcPr>
          <w:p>
            <w:pPr>
              <w:snapToGrid w:val="0"/>
              <w:spacing w:line="400" w:lineRule="exact"/>
              <w:jc w:val="center"/>
              <w:rPr>
                <w:rFonts w:hint="eastAsia" w:ascii="宋体" w:hAnsi="宋体" w:eastAsia="宋体" w:cs="宋体"/>
                <w:color w:val="auto"/>
                <w:spacing w:val="-6"/>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735" w:type="dxa"/>
            <w:vAlign w:val="center"/>
          </w:tcPr>
          <w:p>
            <w:pPr>
              <w:snapToGrid w:val="0"/>
              <w:spacing w:line="400" w:lineRule="exact"/>
              <w:jc w:val="center"/>
              <w:rPr>
                <w:rFonts w:hint="eastAsia" w:ascii="宋体" w:hAnsi="宋体" w:eastAsia="宋体" w:cs="宋体"/>
                <w:color w:val="auto"/>
                <w:spacing w:val="-6"/>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735" w:type="dxa"/>
            <w:vAlign w:val="center"/>
          </w:tcPr>
          <w:p>
            <w:pPr>
              <w:snapToGrid w:val="0"/>
              <w:spacing w:line="400" w:lineRule="exact"/>
              <w:jc w:val="center"/>
              <w:rPr>
                <w:rFonts w:hint="eastAsia" w:ascii="宋体" w:hAnsi="宋体" w:eastAsia="宋体" w:cs="宋体"/>
                <w:color w:val="auto"/>
                <w:spacing w:val="-6"/>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735" w:type="dxa"/>
            <w:vAlign w:val="center"/>
          </w:tcPr>
          <w:p>
            <w:pPr>
              <w:snapToGrid w:val="0"/>
              <w:spacing w:line="400" w:lineRule="exact"/>
              <w:jc w:val="center"/>
              <w:rPr>
                <w:rFonts w:hint="eastAsia" w:ascii="宋体" w:hAnsi="宋体" w:eastAsia="宋体" w:cs="宋体"/>
                <w:color w:val="auto"/>
                <w:spacing w:val="-6"/>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656"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3219"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822" w:type="dxa"/>
            <w:vAlign w:val="center"/>
          </w:tcPr>
          <w:p>
            <w:pPr>
              <w:snapToGrid w:val="0"/>
              <w:spacing w:line="400" w:lineRule="exact"/>
              <w:jc w:val="center"/>
              <w:rPr>
                <w:rFonts w:hint="eastAsia" w:ascii="宋体" w:hAnsi="宋体" w:eastAsia="宋体" w:cs="宋体"/>
                <w:color w:val="auto"/>
                <w:spacing w:val="-6"/>
                <w:sz w:val="22"/>
                <w:highlight w:val="none"/>
              </w:rPr>
            </w:pPr>
          </w:p>
        </w:tc>
        <w:tc>
          <w:tcPr>
            <w:tcW w:w="1735" w:type="dxa"/>
            <w:vAlign w:val="center"/>
          </w:tcPr>
          <w:p>
            <w:pPr>
              <w:snapToGrid w:val="0"/>
              <w:spacing w:line="400" w:lineRule="exact"/>
              <w:jc w:val="center"/>
              <w:rPr>
                <w:rFonts w:hint="eastAsia" w:ascii="宋体" w:hAnsi="宋体" w:eastAsia="宋体" w:cs="宋体"/>
                <w:color w:val="auto"/>
                <w:spacing w:val="-6"/>
                <w:sz w:val="22"/>
                <w:highlight w:val="none"/>
              </w:rPr>
            </w:pPr>
          </w:p>
        </w:tc>
      </w:tr>
    </w:tbl>
    <w:p>
      <w:pPr>
        <w:pStyle w:val="14"/>
        <w:spacing w:after="0" w:line="400" w:lineRule="exact"/>
        <w:ind w:left="0" w:leftChars="0" w:right="0" w:rightChars="0"/>
        <w:rPr>
          <w:rFonts w:hint="eastAsia" w:ascii="宋体" w:hAnsi="宋体" w:eastAsia="宋体" w:cs="宋体"/>
          <w:b/>
          <w:bCs/>
          <w:color w:val="auto"/>
          <w:spacing w:val="-6"/>
          <w:sz w:val="22"/>
          <w:highlight w:val="none"/>
        </w:rPr>
      </w:pPr>
    </w:p>
    <w:p>
      <w:pPr>
        <w:adjustRightInd w:val="0"/>
        <w:snapToGrid w:val="0"/>
        <w:spacing w:line="400" w:lineRule="exact"/>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注意：1.逐项按照招标文件要求填写响应规格；</w:t>
      </w:r>
    </w:p>
    <w:p>
      <w:pPr>
        <w:adjustRightInd w:val="0"/>
        <w:snapToGrid w:val="0"/>
        <w:spacing w:line="400" w:lineRule="exact"/>
        <w:ind w:firstLine="627" w:firstLineChars="3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2.偏离说明是指对招标文件要求存在不同之处的解释说明。偏离系指：正偏离（高于采购需求）、负偏离（低于采购需求或未按采购需求提供相应证明材料的）、无偏离（满足采购需求）；</w:t>
      </w:r>
    </w:p>
    <w:p>
      <w:pPr>
        <w:adjustRightInd w:val="0"/>
        <w:snapToGrid w:val="0"/>
        <w:spacing w:line="400" w:lineRule="exact"/>
        <w:ind w:firstLine="627" w:firstLineChars="300"/>
        <w:jc w:val="left"/>
        <w:rPr>
          <w:rFonts w:hint="eastAsia" w:ascii="宋体" w:hAnsi="宋体" w:eastAsia="宋体" w:cs="宋体"/>
          <w:b/>
          <w:bCs/>
          <w:color w:val="auto"/>
          <w:spacing w:val="-6"/>
          <w:sz w:val="22"/>
          <w:highlight w:val="none"/>
        </w:rPr>
      </w:pPr>
      <w:r>
        <w:rPr>
          <w:rFonts w:hint="eastAsia" w:ascii="宋体" w:hAnsi="宋体" w:eastAsia="宋体" w:cs="宋体"/>
          <w:b/>
          <w:bCs/>
          <w:color w:val="auto"/>
          <w:spacing w:val="-6"/>
          <w:sz w:val="22"/>
          <w:highlight w:val="none"/>
        </w:rPr>
        <w:t>3.此表留空或者不填视为完全响应招标文件要求，投标人自行承担其风险。</w:t>
      </w:r>
    </w:p>
    <w:p>
      <w:pPr>
        <w:widowControl/>
        <w:spacing w:line="400" w:lineRule="exact"/>
        <w:rPr>
          <w:rFonts w:hint="eastAsia" w:ascii="宋体" w:hAnsi="宋体" w:eastAsia="宋体" w:cs="宋体"/>
          <w:color w:val="auto"/>
          <w:kern w:val="0"/>
          <w:sz w:val="22"/>
          <w:highlight w:val="none"/>
        </w:rPr>
      </w:pPr>
    </w:p>
    <w:p>
      <w:pPr>
        <w:widowControl/>
        <w:spacing w:line="400" w:lineRule="exact"/>
        <w:rPr>
          <w:rFonts w:hint="eastAsia" w:ascii="宋体" w:hAnsi="宋体" w:eastAsia="宋体" w:cs="宋体"/>
          <w:color w:val="auto"/>
          <w:kern w:val="0"/>
          <w:sz w:val="22"/>
          <w:highlight w:val="none"/>
          <w:u w:val="single"/>
        </w:rPr>
      </w:pPr>
      <w:r>
        <w:rPr>
          <w:rFonts w:hint="eastAsia" w:ascii="宋体" w:hAnsi="宋体" w:eastAsia="宋体" w:cs="宋体"/>
          <w:color w:val="auto"/>
          <w:kern w:val="0"/>
          <w:sz w:val="22"/>
          <w:highlight w:val="none"/>
        </w:rPr>
        <w:t>投标人全称(电子签章)：</w:t>
      </w:r>
    </w:p>
    <w:p>
      <w:pPr>
        <w:widowControl/>
        <w:spacing w:line="40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法定代表人或授权代表(签字或盖章)：</w:t>
      </w:r>
    </w:p>
    <w:p>
      <w:pPr>
        <w:snapToGrid w:val="0"/>
        <w:spacing w:line="400" w:lineRule="exact"/>
        <w:jc w:val="lef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日期：    年    月    日</w:t>
      </w:r>
    </w:p>
    <w:p>
      <w:pPr>
        <w:spacing w:line="400" w:lineRule="exact"/>
        <w:rPr>
          <w:rFonts w:hint="eastAsia" w:ascii="宋体" w:hAnsi="宋体" w:eastAsia="宋体" w:cs="宋体"/>
          <w:b/>
          <w:color w:val="auto"/>
          <w:sz w:val="24"/>
          <w:szCs w:val="24"/>
          <w:highlight w:val="none"/>
        </w:rPr>
      </w:pPr>
    </w:p>
    <w:p>
      <w:pPr>
        <w:pStyle w:val="2"/>
        <w:ind w:firstLine="321"/>
        <w:rPr>
          <w:rFonts w:hint="eastAsia" w:ascii="宋体" w:hAnsi="宋体" w:eastAsia="宋体" w:cs="宋体"/>
          <w:color w:val="auto"/>
          <w:highlight w:val="none"/>
        </w:rPr>
      </w:pPr>
    </w:p>
    <w:p>
      <w:pPr>
        <w:spacing w:line="400" w:lineRule="exact"/>
        <w:rPr>
          <w:rFonts w:hint="eastAsia" w:ascii="宋体" w:hAnsi="宋体" w:cs="宋体"/>
          <w:b/>
          <w:color w:val="auto"/>
          <w:sz w:val="24"/>
          <w:szCs w:val="24"/>
          <w:highlight w:val="none"/>
          <w:lang w:val="en-US" w:eastAsia="zh-CN"/>
        </w:rPr>
      </w:pPr>
      <w:r>
        <w:rPr>
          <w:rFonts w:hint="eastAsia" w:ascii="宋体" w:hAnsi="宋体" w:eastAsia="宋体" w:cs="宋体"/>
          <w:b/>
          <w:color w:val="auto"/>
          <w:sz w:val="24"/>
          <w:szCs w:val="24"/>
          <w:highlight w:val="none"/>
        </w:rPr>
        <w:t>附件1</w:t>
      </w:r>
      <w:r>
        <w:rPr>
          <w:rFonts w:hint="eastAsia" w:ascii="宋体" w:hAnsi="宋体" w:cs="宋体"/>
          <w:b/>
          <w:color w:val="auto"/>
          <w:sz w:val="24"/>
          <w:szCs w:val="24"/>
          <w:highlight w:val="none"/>
          <w:lang w:val="en-US" w:eastAsia="zh-CN"/>
        </w:rPr>
        <w:t>2</w:t>
      </w:r>
    </w:p>
    <w:p>
      <w:pPr>
        <w:pStyle w:val="35"/>
        <w:rPr>
          <w:rFonts w:hint="eastAsia"/>
          <w:color w:val="auto"/>
          <w:highlight w:val="none"/>
          <w:lang w:eastAsia="zh-CN"/>
        </w:rPr>
      </w:pPr>
    </w:p>
    <w:p>
      <w:pPr>
        <w:ind w:right="-1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政府采购活动现场确认声明书</w:t>
      </w:r>
    </w:p>
    <w:p>
      <w:pPr>
        <w:pStyle w:val="35"/>
        <w:rPr>
          <w:rFonts w:hint="eastAsia"/>
          <w:color w:val="auto"/>
          <w:highlight w:val="none"/>
        </w:rPr>
      </w:pPr>
    </w:p>
    <w:p>
      <w:pPr>
        <w:pStyle w:val="60"/>
        <w:snapToGrid w:val="0"/>
        <w:spacing w:line="400" w:lineRule="exact"/>
        <w:rPr>
          <w:rFonts w:hint="eastAsia" w:ascii="宋体" w:hAnsi="宋体" w:eastAsia="宋体" w:cs="宋体"/>
          <w:b/>
          <w:color w:val="auto"/>
          <w:sz w:val="24"/>
          <w:szCs w:val="24"/>
          <w:highlight w:val="none"/>
        </w:rPr>
      </w:pPr>
      <w:r>
        <w:rPr>
          <w:rFonts w:hint="eastAsia" w:hAnsi="宋体" w:eastAsia="宋体" w:cs="宋体"/>
          <w:color w:val="auto"/>
          <w:kern w:val="0"/>
          <w:sz w:val="24"/>
          <w:szCs w:val="24"/>
          <w:highlight w:val="none"/>
          <w:u w:val="single"/>
          <w:lang w:eastAsia="zh-CN"/>
        </w:rPr>
        <w:t>温州市建设工程咨询有限公司</w:t>
      </w:r>
      <w:r>
        <w:rPr>
          <w:rFonts w:hint="eastAsia" w:ascii="宋体" w:hAnsi="宋体" w:eastAsia="宋体" w:cs="宋体"/>
          <w:color w:val="auto"/>
          <w:kern w:val="0"/>
          <w:sz w:val="24"/>
          <w:szCs w:val="24"/>
          <w:highlight w:val="none"/>
        </w:rPr>
        <w:t>：</w:t>
      </w:r>
    </w:p>
    <w:p>
      <w:pPr>
        <w:pStyle w:val="60"/>
        <w:snapToGrid w:val="0"/>
        <w:spacing w:line="400" w:lineRule="exact"/>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本人经由</w:t>
      </w:r>
      <w:r>
        <w:rPr>
          <w:rFonts w:hint="eastAsia" w:ascii="宋体" w:hAnsi="宋体" w:eastAsia="宋体" w:cs="宋体"/>
          <w:color w:val="auto"/>
          <w:sz w:val="24"/>
          <w:szCs w:val="24"/>
          <w:highlight w:val="none"/>
          <w:u w:val="single"/>
        </w:rPr>
        <w:tab/>
      </w:r>
      <w:r>
        <w:rPr>
          <w:rFonts w:hint="eastAsia" w:ascii="宋体" w:hAnsi="宋体" w:eastAsia="宋体" w:cs="宋体"/>
          <w:color w:val="auto"/>
          <w:kern w:val="0"/>
          <w:sz w:val="24"/>
          <w:szCs w:val="24"/>
          <w:highlight w:val="none"/>
          <w:u w:val="single"/>
        </w:rPr>
        <w:t>（</w:t>
      </w:r>
      <w:r>
        <w:rPr>
          <w:rFonts w:hint="eastAsia" w:ascii="宋体" w:hAnsi="宋体" w:eastAsia="宋体" w:cs="宋体"/>
          <w:color w:val="auto"/>
          <w:spacing w:val="6"/>
          <w:sz w:val="24"/>
          <w:szCs w:val="24"/>
          <w:highlight w:val="none"/>
          <w:u w:val="single"/>
        </w:rPr>
        <w:t>单位）</w:t>
      </w:r>
      <w:r>
        <w:rPr>
          <w:rFonts w:hint="eastAsia" w:ascii="宋体" w:hAnsi="宋体" w:eastAsia="宋体" w:cs="宋体"/>
          <w:color w:val="auto"/>
          <w:spacing w:val="6"/>
          <w:sz w:val="24"/>
          <w:szCs w:val="24"/>
          <w:highlight w:val="none"/>
        </w:rPr>
        <w:t>法人代表（负责人）</w:t>
      </w:r>
      <w:r>
        <w:rPr>
          <w:rFonts w:hint="eastAsia" w:ascii="宋体" w:hAnsi="宋体" w:eastAsia="宋体" w:cs="宋体"/>
          <w:color w:val="auto"/>
          <w:spacing w:val="6"/>
          <w:sz w:val="24"/>
          <w:szCs w:val="24"/>
          <w:highlight w:val="none"/>
          <w:u w:val="single"/>
        </w:rPr>
        <w:t xml:space="preserve">         （姓名）</w:t>
      </w:r>
      <w:r>
        <w:rPr>
          <w:rFonts w:hint="eastAsia" w:ascii="宋体" w:hAnsi="宋体" w:eastAsia="宋体" w:cs="宋体"/>
          <w:color w:val="auto"/>
          <w:spacing w:val="6"/>
          <w:sz w:val="24"/>
          <w:szCs w:val="24"/>
          <w:highlight w:val="none"/>
        </w:rPr>
        <w:t>合法授权参加（项目编号</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 xml:space="preserve">）政府采购活动，经与本单位法人代表（负责人）联系确认，现就有关公平竞争事项郑重声明如下： </w:t>
      </w:r>
    </w:p>
    <w:p>
      <w:pPr>
        <w:pStyle w:val="60"/>
        <w:numPr>
          <w:ilvl w:val="0"/>
          <w:numId w:val="16"/>
        </w:numPr>
        <w:snapToGrid w:val="0"/>
        <w:spacing w:line="400" w:lineRule="exact"/>
        <w:ind w:firstLine="240" w:firstLineChars="1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本单位与采购人之间□不存在利害关系 □存在下列利害关系</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w:t>
      </w:r>
    </w:p>
    <w:p>
      <w:pPr>
        <w:pStyle w:val="60"/>
        <w:snapToGrid w:val="0"/>
        <w:spacing w:line="400" w:lineRule="exact"/>
        <w:ind w:firstLine="240" w:firstLineChars="1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A.投资关系    B.行政隶属关系    C.业务指导关系</w:t>
      </w:r>
    </w:p>
    <w:p>
      <w:pPr>
        <w:pStyle w:val="60"/>
        <w:snapToGrid w:val="0"/>
        <w:spacing w:line="400" w:lineRule="exact"/>
        <w:ind w:firstLine="240" w:firstLineChars="1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D.其他可能</w:t>
      </w:r>
      <w:r>
        <w:rPr>
          <w:rFonts w:hint="eastAsia" w:ascii="宋体" w:hAnsi="宋体" w:eastAsia="宋体" w:cs="宋体"/>
          <w:color w:val="auto"/>
          <w:sz w:val="24"/>
          <w:szCs w:val="24"/>
          <w:highlight w:val="none"/>
        </w:rPr>
        <w:t>影响采购公正的</w:t>
      </w:r>
      <w:r>
        <w:rPr>
          <w:rFonts w:hint="eastAsia" w:ascii="宋体" w:hAnsi="宋体" w:eastAsia="宋体" w:cs="宋体"/>
          <w:color w:val="auto"/>
          <w:kern w:val="0"/>
          <w:sz w:val="24"/>
          <w:szCs w:val="24"/>
          <w:highlight w:val="none"/>
        </w:rPr>
        <w:t>利害关系</w:t>
      </w:r>
      <w:r>
        <w:rPr>
          <w:rFonts w:hint="eastAsia" w:ascii="宋体" w:hAnsi="宋体" w:eastAsia="宋体" w:cs="宋体"/>
          <w:color w:val="auto"/>
          <w:kern w:val="0"/>
          <w:sz w:val="24"/>
          <w:szCs w:val="24"/>
          <w:highlight w:val="none"/>
          <w:u w:val="single"/>
        </w:rPr>
        <w:t xml:space="preserve">（如有，请如实说明）                 </w:t>
      </w:r>
      <w:r>
        <w:rPr>
          <w:rFonts w:hint="eastAsia" w:ascii="宋体" w:hAnsi="宋体" w:eastAsia="宋体" w:cs="宋体"/>
          <w:color w:val="auto"/>
          <w:kern w:val="0"/>
          <w:sz w:val="24"/>
          <w:szCs w:val="24"/>
          <w:highlight w:val="none"/>
        </w:rPr>
        <w:t>。</w:t>
      </w:r>
    </w:p>
    <w:p>
      <w:pPr>
        <w:pStyle w:val="61"/>
        <w:widowControl/>
        <w:snapToGrid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spacing w:val="6"/>
          <w:sz w:val="24"/>
          <w:szCs w:val="24"/>
          <w:highlight w:val="none"/>
        </w:rPr>
        <w:t xml:space="preserve">  二、</w:t>
      </w:r>
      <w:r>
        <w:rPr>
          <w:rFonts w:hint="eastAsia" w:ascii="宋体" w:hAnsi="宋体" w:eastAsia="宋体" w:cs="宋体"/>
          <w:color w:val="auto"/>
          <w:kern w:val="0"/>
          <w:sz w:val="24"/>
          <w:szCs w:val="24"/>
          <w:highlight w:val="none"/>
        </w:rPr>
        <w:t>现已清楚知道参加本项目采购活动的其他所有供应商名称，本单位 □与其他所有供应商之间均不存在利害关系 □与</w:t>
      </w:r>
      <w:r>
        <w:rPr>
          <w:rFonts w:hint="eastAsia" w:ascii="宋体" w:hAnsi="宋体" w:eastAsia="宋体" w:cs="宋体"/>
          <w:color w:val="auto"/>
          <w:kern w:val="0"/>
          <w:sz w:val="24"/>
          <w:szCs w:val="24"/>
          <w:highlight w:val="none"/>
          <w:u w:val="single"/>
        </w:rPr>
        <w:t xml:space="preserve">           （供应商名称）</w:t>
      </w:r>
      <w:r>
        <w:rPr>
          <w:rFonts w:hint="eastAsia" w:ascii="宋体" w:hAnsi="宋体" w:eastAsia="宋体" w:cs="宋体"/>
          <w:color w:val="auto"/>
          <w:kern w:val="0"/>
          <w:sz w:val="24"/>
          <w:szCs w:val="24"/>
          <w:highlight w:val="none"/>
        </w:rPr>
        <w:t>之间存在下列利害关系</w:t>
      </w:r>
      <w:r>
        <w:rPr>
          <w:rFonts w:hint="eastAsia" w:ascii="宋体" w:hAnsi="宋体" w:eastAsia="宋体" w:cs="宋体"/>
          <w:b/>
          <w:bCs/>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w:t>
      </w:r>
    </w:p>
    <w:p>
      <w:pPr>
        <w:pStyle w:val="60"/>
        <w:snapToGrid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A.法定代表人或负责人或实际控制人是同一人</w:t>
      </w:r>
    </w:p>
    <w:p>
      <w:pPr>
        <w:pStyle w:val="60"/>
        <w:snapToGrid w:val="0"/>
        <w:spacing w:line="400" w:lineRule="exact"/>
        <w:rPr>
          <w:rFonts w:hint="eastAsia" w:ascii="宋体" w:hAnsi="宋体" w:eastAsia="宋体" w:cs="宋体"/>
          <w:color w:val="auto"/>
          <w:spacing w:val="6"/>
          <w:sz w:val="24"/>
          <w:szCs w:val="24"/>
          <w:highlight w:val="none"/>
        </w:rPr>
      </w:pPr>
      <w:r>
        <w:rPr>
          <w:rFonts w:hint="eastAsia" w:ascii="宋体" w:hAnsi="宋体" w:eastAsia="宋体" w:cs="宋体"/>
          <w:color w:val="auto"/>
          <w:kern w:val="0"/>
          <w:sz w:val="24"/>
          <w:szCs w:val="24"/>
          <w:highlight w:val="none"/>
        </w:rPr>
        <w:t xml:space="preserve">  B.法定代表人或负责人或实际控制人是夫妻关系</w:t>
      </w:r>
    </w:p>
    <w:p>
      <w:pPr>
        <w:pStyle w:val="60"/>
        <w:snapToGrid w:val="0"/>
        <w:spacing w:line="400" w:lineRule="exact"/>
        <w:rPr>
          <w:rFonts w:hint="eastAsia" w:ascii="宋体" w:hAnsi="宋体" w:eastAsia="宋体" w:cs="宋体"/>
          <w:color w:val="auto"/>
          <w:spacing w:val="6"/>
          <w:sz w:val="24"/>
          <w:szCs w:val="24"/>
          <w:highlight w:val="none"/>
        </w:rPr>
      </w:pPr>
      <w:r>
        <w:rPr>
          <w:rFonts w:hint="eastAsia" w:ascii="宋体" w:hAnsi="宋体" w:eastAsia="宋体" w:cs="宋体"/>
          <w:color w:val="auto"/>
          <w:kern w:val="0"/>
          <w:sz w:val="24"/>
          <w:szCs w:val="24"/>
          <w:highlight w:val="none"/>
        </w:rPr>
        <w:t xml:space="preserve">  C.法定代表人或负责人或实际控制人是直系血亲关系</w:t>
      </w:r>
    </w:p>
    <w:p>
      <w:pPr>
        <w:pStyle w:val="60"/>
        <w:snapToGrid w:val="0"/>
        <w:spacing w:line="400" w:lineRule="exact"/>
        <w:rPr>
          <w:rFonts w:hint="eastAsia" w:ascii="宋体" w:hAnsi="宋体" w:eastAsia="宋体" w:cs="宋体"/>
          <w:color w:val="auto"/>
          <w:spacing w:val="6"/>
          <w:sz w:val="24"/>
          <w:szCs w:val="24"/>
          <w:highlight w:val="none"/>
        </w:rPr>
      </w:pPr>
      <w:r>
        <w:rPr>
          <w:rFonts w:hint="eastAsia" w:ascii="宋体" w:hAnsi="宋体" w:eastAsia="宋体" w:cs="宋体"/>
          <w:color w:val="auto"/>
          <w:kern w:val="0"/>
          <w:sz w:val="24"/>
          <w:szCs w:val="24"/>
          <w:highlight w:val="none"/>
        </w:rPr>
        <w:t xml:space="preserve">  D.法定代表人或负责人或实际控制人存在三代以内旁系血亲关系</w:t>
      </w:r>
    </w:p>
    <w:p>
      <w:pPr>
        <w:pStyle w:val="60"/>
        <w:snapToGrid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E.法定代表人或负责人或实际控制人存在近姻亲关系</w:t>
      </w:r>
    </w:p>
    <w:p>
      <w:pPr>
        <w:pStyle w:val="60"/>
        <w:snapToGrid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F.法定代表人或负责人或实际控制人存在股份控制或实际控制关系</w:t>
      </w:r>
    </w:p>
    <w:p>
      <w:pPr>
        <w:pStyle w:val="60"/>
        <w:snapToGrid w:val="0"/>
        <w:spacing w:line="400" w:lineRule="exact"/>
        <w:outlineLvl w:val="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G.存在共同直接或间接投资设立子公司、联营企业和合营企业情况</w:t>
      </w:r>
    </w:p>
    <w:p>
      <w:pPr>
        <w:pStyle w:val="6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H.存在分级代理或代销关系、同一生产制造商关系、</w:t>
      </w:r>
      <w:r>
        <w:rPr>
          <w:rFonts w:hint="eastAsia" w:ascii="宋体" w:hAnsi="宋体" w:eastAsia="宋体" w:cs="宋体"/>
          <w:color w:val="auto"/>
          <w:sz w:val="24"/>
          <w:szCs w:val="24"/>
          <w:highlight w:val="none"/>
        </w:rPr>
        <w:t>管理关系、重要业务（占主营业务收入50%以上）或重要财务往来关系（如融资）等其他实质性控制关系</w:t>
      </w:r>
    </w:p>
    <w:p>
      <w:pPr>
        <w:pStyle w:val="60"/>
        <w:snapToGrid w:val="0"/>
        <w:spacing w:line="400" w:lineRule="exact"/>
        <w:rPr>
          <w:rFonts w:hint="eastAsia" w:ascii="宋体" w:hAnsi="宋体" w:eastAsia="宋体" w:cs="宋体"/>
          <w:color w:val="auto"/>
          <w:spacing w:val="6"/>
          <w:sz w:val="24"/>
          <w:szCs w:val="24"/>
          <w:highlight w:val="none"/>
        </w:rPr>
      </w:pPr>
      <w:r>
        <w:rPr>
          <w:rFonts w:hint="eastAsia" w:ascii="宋体" w:hAnsi="宋体" w:eastAsia="宋体" w:cs="宋体"/>
          <w:color w:val="auto"/>
          <w:sz w:val="24"/>
          <w:szCs w:val="24"/>
          <w:highlight w:val="none"/>
        </w:rPr>
        <w:t xml:space="preserve">    I</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其他利害关系情况</w:t>
      </w:r>
      <w:r>
        <w:rPr>
          <w:rFonts w:hint="eastAsia" w:ascii="宋体" w:hAnsi="宋体" w:eastAsia="宋体" w:cs="宋体"/>
          <w:b/>
          <w:bCs/>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w:t>
      </w:r>
    </w:p>
    <w:p>
      <w:pPr>
        <w:pStyle w:val="61"/>
        <w:widowControl/>
        <w:numPr>
          <w:ilvl w:val="0"/>
          <w:numId w:val="17"/>
        </w:numPr>
        <w:snapToGrid w:val="0"/>
        <w:spacing w:line="400" w:lineRule="exact"/>
        <w:ind w:firstLine="453" w:firstLineChars="189"/>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现已清楚知道并</w:t>
      </w:r>
      <w:r>
        <w:rPr>
          <w:rFonts w:hint="eastAsia" w:ascii="宋体" w:hAnsi="宋体" w:eastAsia="宋体" w:cs="宋体"/>
          <w:color w:val="auto"/>
          <w:kern w:val="0"/>
          <w:sz w:val="24"/>
          <w:szCs w:val="24"/>
          <w:highlight w:val="none"/>
        </w:rPr>
        <w:t>严格遵守政府采购法律法规和现场纪律。</w:t>
      </w:r>
    </w:p>
    <w:p>
      <w:pPr>
        <w:pStyle w:val="61"/>
        <w:widowControl/>
        <w:numPr>
          <w:ilvl w:val="0"/>
          <w:numId w:val="17"/>
        </w:numPr>
        <w:snapToGrid w:val="0"/>
        <w:spacing w:line="400" w:lineRule="exact"/>
        <w:ind w:firstLine="453" w:firstLineChars="18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我发现</w:t>
      </w:r>
      <w:r>
        <w:rPr>
          <w:rFonts w:hint="eastAsia" w:ascii="宋体" w:hAnsi="宋体" w:eastAsia="宋体" w:cs="宋体"/>
          <w:b/>
          <w:bCs/>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供应商之间存在或可能存在上述第二条第</w:t>
      </w:r>
      <w:r>
        <w:rPr>
          <w:rFonts w:hint="eastAsia" w:ascii="宋体" w:hAnsi="宋体" w:eastAsia="宋体" w:cs="宋体"/>
          <w:b/>
          <w:bCs/>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项利害关系。</w:t>
      </w:r>
    </w:p>
    <w:p>
      <w:pPr>
        <w:pStyle w:val="60"/>
        <w:snapToGrid w:val="0"/>
        <w:spacing w:line="400" w:lineRule="exact"/>
        <w:ind w:firstLine="480" w:firstLineChars="200"/>
        <w:rPr>
          <w:rFonts w:hint="eastAsia" w:ascii="宋体" w:hAnsi="宋体" w:eastAsia="宋体" w:cs="宋体"/>
          <w:color w:val="auto"/>
          <w:sz w:val="24"/>
          <w:szCs w:val="24"/>
          <w:highlight w:val="none"/>
        </w:rPr>
      </w:pPr>
    </w:p>
    <w:p>
      <w:pPr>
        <w:pStyle w:val="60"/>
        <w:snapToGrid w:val="0"/>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供应商授权代表签名：</w:t>
      </w:r>
    </w:p>
    <w:p>
      <w:pPr>
        <w:pStyle w:val="60"/>
        <w:snapToGrid w:val="0"/>
        <w:spacing w:line="600" w:lineRule="exact"/>
        <w:ind w:firstLine="480" w:firstLineChars="200"/>
        <w:jc w:val="righ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年    月    日</w:t>
      </w:r>
    </w:p>
    <w:p>
      <w:pPr>
        <w:pStyle w:val="60"/>
        <w:snapToGrid w:val="0"/>
        <w:spacing w:line="400" w:lineRule="exact"/>
        <w:ind w:firstLine="480" w:firstLineChars="200"/>
        <w:rPr>
          <w:rFonts w:hint="eastAsia" w:ascii="宋体" w:hAnsi="宋体" w:eastAsia="宋体" w:cs="宋体"/>
          <w:color w:val="auto"/>
          <w:sz w:val="24"/>
          <w:szCs w:val="24"/>
          <w:highlight w:val="none"/>
        </w:rPr>
      </w:pPr>
    </w:p>
    <w:p>
      <w:pPr>
        <w:pStyle w:val="60"/>
        <w:snapToGrid w:val="0"/>
        <w:spacing w:line="600" w:lineRule="exact"/>
        <w:ind w:firstLine="482" w:firstLineChars="200"/>
        <w:jc w:val="right"/>
        <w:rPr>
          <w:rFonts w:hint="eastAsia" w:ascii="宋体" w:hAnsi="宋体" w:eastAsia="宋体" w:cs="宋体"/>
          <w:b/>
          <w:color w:val="auto"/>
          <w:sz w:val="24"/>
          <w:highlight w:val="none"/>
        </w:rPr>
      </w:pPr>
    </w:p>
    <w:p>
      <w:pPr>
        <w:pStyle w:val="60"/>
        <w:snapToGrid w:val="0"/>
        <w:spacing w:line="600" w:lineRule="exact"/>
        <w:ind w:firstLine="482" w:firstLineChars="200"/>
        <w:jc w:val="right"/>
        <w:rPr>
          <w:rFonts w:hint="eastAsia" w:ascii="宋体" w:hAnsi="宋体" w:eastAsia="宋体" w:cs="宋体"/>
          <w:b/>
          <w:color w:val="auto"/>
          <w:sz w:val="24"/>
          <w:highlight w:val="none"/>
        </w:rPr>
      </w:pPr>
    </w:p>
    <w:p>
      <w:pPr>
        <w:spacing w:line="400" w:lineRule="exact"/>
        <w:jc w:val="center"/>
        <w:rPr>
          <w:rFonts w:hint="eastAsia" w:ascii="宋体" w:hAnsi="宋体" w:eastAsia="宋体" w:cs="宋体"/>
          <w:b/>
          <w:color w:val="auto"/>
          <w:sz w:val="24"/>
          <w:highlight w:val="none"/>
        </w:rPr>
      </w:pPr>
    </w:p>
    <w:p>
      <w:pPr>
        <w:spacing w:line="400" w:lineRule="exact"/>
        <w:rPr>
          <w:rFonts w:hint="eastAsia" w:ascii="宋体" w:hAnsi="宋体" w:eastAsia="宋体" w:cs="宋体"/>
          <w:b/>
          <w:bCs/>
          <w:color w:val="auto"/>
          <w:sz w:val="24"/>
          <w:szCs w:val="24"/>
          <w:highlight w:val="none"/>
          <w:lang w:eastAsia="zh-CN"/>
        </w:rPr>
      </w:pPr>
      <w:r>
        <w:rPr>
          <w:rFonts w:hint="eastAsia" w:ascii="宋体" w:hAnsi="宋体" w:eastAsia="宋体" w:cs="宋体"/>
          <w:b/>
          <w:color w:val="auto"/>
          <w:sz w:val="24"/>
          <w:szCs w:val="24"/>
          <w:highlight w:val="none"/>
        </w:rPr>
        <w:t>附件1</w:t>
      </w:r>
      <w:r>
        <w:rPr>
          <w:rFonts w:hint="eastAsia" w:ascii="宋体" w:hAnsi="宋体" w:cs="宋体"/>
          <w:b/>
          <w:color w:val="auto"/>
          <w:sz w:val="24"/>
          <w:szCs w:val="24"/>
          <w:highlight w:val="none"/>
          <w:lang w:val="en-US" w:eastAsia="zh-CN"/>
        </w:rPr>
        <w:t>3</w:t>
      </w:r>
    </w:p>
    <w:p>
      <w:pPr>
        <w:ind w:right="-1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拟派项目负责人情况表</w:t>
      </w:r>
    </w:p>
    <w:p>
      <w:pPr>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项目编号：</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63" w:type="dxa"/>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2463" w:type="dxa"/>
            <w:noWrap/>
            <w:vAlign w:val="center"/>
          </w:tcPr>
          <w:p>
            <w:pPr>
              <w:jc w:val="center"/>
              <w:rPr>
                <w:rFonts w:hint="eastAsia" w:ascii="宋体" w:hAnsi="宋体" w:eastAsia="宋体" w:cs="宋体"/>
                <w:color w:val="auto"/>
                <w:sz w:val="24"/>
                <w:szCs w:val="24"/>
                <w:highlight w:val="none"/>
              </w:rPr>
            </w:pPr>
          </w:p>
        </w:tc>
        <w:tc>
          <w:tcPr>
            <w:tcW w:w="2464" w:type="dxa"/>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性别</w:t>
            </w:r>
          </w:p>
        </w:tc>
        <w:tc>
          <w:tcPr>
            <w:tcW w:w="1461" w:type="dxa"/>
            <w:noWrap/>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63" w:type="dxa"/>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学历</w:t>
            </w:r>
          </w:p>
        </w:tc>
        <w:tc>
          <w:tcPr>
            <w:tcW w:w="2463" w:type="dxa"/>
            <w:noWrap/>
            <w:vAlign w:val="center"/>
          </w:tcPr>
          <w:p>
            <w:pPr>
              <w:jc w:val="center"/>
              <w:rPr>
                <w:rFonts w:hint="eastAsia" w:ascii="宋体" w:hAnsi="宋体" w:eastAsia="宋体" w:cs="宋体"/>
                <w:color w:val="auto"/>
                <w:sz w:val="24"/>
                <w:szCs w:val="24"/>
                <w:highlight w:val="none"/>
              </w:rPr>
            </w:pPr>
          </w:p>
        </w:tc>
        <w:tc>
          <w:tcPr>
            <w:tcW w:w="2464" w:type="dxa"/>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年龄</w:t>
            </w:r>
          </w:p>
        </w:tc>
        <w:tc>
          <w:tcPr>
            <w:tcW w:w="1461" w:type="dxa"/>
            <w:noWrap/>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63" w:type="dxa"/>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资格证书</w:t>
            </w:r>
          </w:p>
        </w:tc>
        <w:tc>
          <w:tcPr>
            <w:tcW w:w="6388" w:type="dxa"/>
            <w:gridSpan w:val="3"/>
            <w:noWrap/>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63" w:type="dxa"/>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现任职务</w:t>
            </w:r>
          </w:p>
        </w:tc>
        <w:tc>
          <w:tcPr>
            <w:tcW w:w="6388" w:type="dxa"/>
            <w:gridSpan w:val="3"/>
            <w:noWrap/>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3" w:hRule="atLeast"/>
        </w:trPr>
        <w:tc>
          <w:tcPr>
            <w:tcW w:w="2463" w:type="dxa"/>
            <w:noWrap/>
            <w:vAlign w:val="center"/>
          </w:tcPr>
          <w:p>
            <w:pPr>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近年来主要</w:t>
            </w:r>
          </w:p>
          <w:p>
            <w:pPr>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工作业绩</w:t>
            </w:r>
          </w:p>
        </w:tc>
        <w:tc>
          <w:tcPr>
            <w:tcW w:w="6388" w:type="dxa"/>
            <w:gridSpan w:val="3"/>
            <w:noWrap/>
            <w:vAlign w:val="center"/>
          </w:tcPr>
          <w:p>
            <w:pPr>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注：业绩证明应提供旁证材料</w:t>
            </w:r>
          </w:p>
          <w:p>
            <w:pPr>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（合同或中标通知书等，证明材料中须包含拟派类似人员信息、项目参与身份等）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63" w:type="dxa"/>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tc>
        <w:tc>
          <w:tcPr>
            <w:tcW w:w="6388" w:type="dxa"/>
            <w:gridSpan w:val="3"/>
            <w:noWrap/>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63" w:type="dxa"/>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6388" w:type="dxa"/>
            <w:gridSpan w:val="3"/>
            <w:noWrap/>
            <w:vAlign w:val="center"/>
          </w:tcPr>
          <w:p>
            <w:pPr>
              <w:jc w:val="center"/>
              <w:rPr>
                <w:rFonts w:hint="eastAsia" w:ascii="宋体" w:hAnsi="宋体" w:eastAsia="宋体" w:cs="宋体"/>
                <w:color w:val="auto"/>
                <w:sz w:val="24"/>
                <w:szCs w:val="24"/>
                <w:highlight w:val="none"/>
              </w:rPr>
            </w:pPr>
          </w:p>
        </w:tc>
      </w:tr>
    </w:tbl>
    <w:p>
      <w:pPr>
        <w:pStyle w:val="10"/>
        <w:spacing w:line="360" w:lineRule="auto"/>
        <w:ind w:firstLine="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注：1、本表应附项目负责人身份证。</w:t>
      </w:r>
    </w:p>
    <w:p>
      <w:pPr>
        <w:pStyle w:val="10"/>
        <w:spacing w:line="360" w:lineRule="auto"/>
        <w:ind w:firstLine="0"/>
        <w:rPr>
          <w:rFonts w:hint="eastAsia" w:ascii="宋体" w:hAnsi="宋体" w:eastAsia="宋体" w:cs="宋体"/>
          <w:color w:val="auto"/>
          <w:kern w:val="0"/>
          <w:sz w:val="22"/>
          <w:szCs w:val="22"/>
          <w:highlight w:val="none"/>
          <w:u w:val="none"/>
        </w:rPr>
      </w:pPr>
      <w:r>
        <w:rPr>
          <w:rFonts w:hint="eastAsia" w:ascii="宋体" w:hAnsi="宋体" w:eastAsia="宋体" w:cs="宋体"/>
          <w:color w:val="auto"/>
          <w:sz w:val="22"/>
          <w:szCs w:val="22"/>
          <w:highlight w:val="none"/>
        </w:rPr>
        <w:t>需提供项目负责人近半年社保证明加盖公章。</w:t>
      </w:r>
      <w:bookmarkStart w:id="2" w:name="_Toc513731633"/>
      <w:bookmarkStart w:id="3" w:name="_Toc301515381"/>
    </w:p>
    <w:p>
      <w:pPr>
        <w:pStyle w:val="10"/>
        <w:spacing w:line="360" w:lineRule="auto"/>
        <w:ind w:firstLine="0"/>
        <w:jc w:val="left"/>
        <w:rPr>
          <w:rFonts w:hint="eastAsia" w:ascii="宋体" w:hAnsi="宋体" w:eastAsia="宋体" w:cs="宋体"/>
          <w:color w:val="auto"/>
          <w:kern w:val="0"/>
          <w:sz w:val="22"/>
          <w:szCs w:val="22"/>
          <w:highlight w:val="none"/>
        </w:rPr>
      </w:pPr>
      <w:r>
        <w:rPr>
          <w:rFonts w:hint="eastAsia" w:ascii="宋体" w:hAnsi="宋体" w:eastAsia="宋体" w:cs="宋体"/>
          <w:color w:val="auto"/>
          <w:sz w:val="22"/>
          <w:highlight w:val="none"/>
        </w:rPr>
        <w:t>项目负责人在服务期内不得更换，必须有一年以上的管理经验，如遇特殊情况更换项目负责人的需经采购人同意。</w:t>
      </w:r>
    </w:p>
    <w:p>
      <w:pPr>
        <w:pStyle w:val="10"/>
        <w:spacing w:line="360" w:lineRule="auto"/>
        <w:ind w:firstLine="0"/>
        <w:rPr>
          <w:rFonts w:hint="eastAsia" w:ascii="宋体" w:hAnsi="宋体" w:eastAsia="宋体" w:cs="宋体"/>
          <w:color w:val="auto"/>
          <w:sz w:val="22"/>
          <w:szCs w:val="22"/>
          <w:highlight w:val="none"/>
        </w:rPr>
      </w:pPr>
    </w:p>
    <w:p>
      <w:pPr>
        <w:pStyle w:val="2"/>
        <w:ind w:firstLine="0" w:firstLineChars="0"/>
        <w:rPr>
          <w:rFonts w:hint="eastAsia" w:ascii="宋体" w:hAnsi="宋体" w:eastAsia="宋体" w:cs="宋体"/>
          <w:color w:val="auto"/>
          <w:sz w:val="22"/>
          <w:szCs w:val="22"/>
          <w:highlight w:val="none"/>
        </w:rPr>
      </w:pPr>
    </w:p>
    <w:p>
      <w:pPr>
        <w:widowControl/>
        <w:spacing w:line="400" w:lineRule="exact"/>
        <w:rPr>
          <w:rFonts w:hint="eastAsia" w:ascii="宋体" w:hAnsi="宋体" w:eastAsia="宋体" w:cs="宋体"/>
          <w:color w:val="auto"/>
          <w:kern w:val="0"/>
          <w:sz w:val="22"/>
          <w:szCs w:val="22"/>
          <w:highlight w:val="none"/>
          <w:u w:val="none"/>
        </w:rPr>
      </w:pPr>
      <w:r>
        <w:rPr>
          <w:rFonts w:hint="eastAsia" w:ascii="宋体" w:hAnsi="宋体" w:eastAsia="宋体" w:cs="宋体"/>
          <w:color w:val="auto"/>
          <w:kern w:val="0"/>
          <w:sz w:val="22"/>
          <w:szCs w:val="22"/>
          <w:highlight w:val="none"/>
        </w:rPr>
        <w:t>投标人全称(电子签章)：</w:t>
      </w:r>
    </w:p>
    <w:p>
      <w:pPr>
        <w:widowControl/>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法定代表人或授权代表(签字或盖章)：</w:t>
      </w:r>
    </w:p>
    <w:p>
      <w:pPr>
        <w:snapToGrid w:val="0"/>
        <w:spacing w:line="400" w:lineRule="exact"/>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日期：    年    月    日</w:t>
      </w:r>
    </w:p>
    <w:bookmarkEnd w:id="2"/>
    <w:bookmarkEnd w:id="3"/>
    <w:p>
      <w:pPr>
        <w:spacing w:beforeLines="100" w:afterLines="50"/>
        <w:jc w:val="center"/>
        <w:rPr>
          <w:rFonts w:hint="eastAsia" w:ascii="宋体" w:hAnsi="宋体" w:eastAsia="宋体" w:cs="宋体"/>
          <w:b/>
          <w:bCs/>
          <w:color w:val="auto"/>
          <w:sz w:val="30"/>
          <w:highlight w:val="none"/>
        </w:rPr>
      </w:pPr>
    </w:p>
    <w:p>
      <w:pPr>
        <w:spacing w:afterAutospacing="0" w:line="400" w:lineRule="exact"/>
        <w:rPr>
          <w:rFonts w:hint="eastAsia" w:ascii="宋体" w:hAnsi="宋体" w:eastAsia="宋体" w:cs="宋体"/>
          <w:b/>
          <w:bCs/>
          <w:color w:val="auto"/>
          <w:sz w:val="24"/>
          <w:szCs w:val="24"/>
          <w:highlight w:val="none"/>
          <w:lang w:eastAsia="zh-CN"/>
        </w:rPr>
      </w:pPr>
      <w:r>
        <w:rPr>
          <w:rFonts w:hint="eastAsia" w:ascii="宋体" w:hAnsi="宋体" w:eastAsia="宋体" w:cs="宋体"/>
          <w:b/>
          <w:color w:val="auto"/>
          <w:sz w:val="24"/>
          <w:szCs w:val="24"/>
          <w:highlight w:val="none"/>
        </w:rPr>
        <w:t>附件1</w:t>
      </w:r>
      <w:r>
        <w:rPr>
          <w:rFonts w:hint="eastAsia" w:ascii="宋体" w:hAnsi="宋体" w:cs="宋体"/>
          <w:b/>
          <w:color w:val="auto"/>
          <w:sz w:val="24"/>
          <w:szCs w:val="24"/>
          <w:highlight w:val="none"/>
          <w:lang w:val="en-US" w:eastAsia="zh-CN"/>
        </w:rPr>
        <w:t>4</w:t>
      </w:r>
    </w:p>
    <w:p>
      <w:pPr>
        <w:spacing w:before="159" w:beforeLines="50" w:beforeAutospacing="0" w:after="159" w:afterLines="50" w:afterAutospacing="0"/>
        <w:ind w:right="-1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拟派项目其他服务人员汇总表</w:t>
      </w:r>
    </w:p>
    <w:p>
      <w:pPr>
        <w:spacing w:beforeAutospacing="0" w:line="360" w:lineRule="auto"/>
        <w:rPr>
          <w:rFonts w:hint="eastAsia" w:ascii="宋体" w:hAnsi="宋体" w:eastAsia="宋体" w:cs="宋体"/>
          <w:color w:val="auto"/>
          <w:sz w:val="22"/>
          <w:highlight w:val="none"/>
        </w:rPr>
      </w:pPr>
      <w:r>
        <w:rPr>
          <w:rFonts w:hint="eastAsia" w:ascii="宋体" w:hAnsi="宋体" w:eastAsia="宋体" w:cs="宋体"/>
          <w:color w:val="auto"/>
          <w:sz w:val="22"/>
          <w:highlight w:val="none"/>
        </w:rPr>
        <w:t>项目编号：</w:t>
      </w:r>
    </w:p>
    <w:tbl>
      <w:tblPr>
        <w:tblStyle w:val="28"/>
        <w:tblW w:w="98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958"/>
        <w:gridCol w:w="958"/>
        <w:gridCol w:w="767"/>
        <w:gridCol w:w="767"/>
        <w:gridCol w:w="1340"/>
        <w:gridCol w:w="1326"/>
        <w:gridCol w:w="1825"/>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66" w:type="dxa"/>
            <w:noWrap w:val="0"/>
            <w:vAlign w:val="center"/>
          </w:tcPr>
          <w:p>
            <w:pPr>
              <w:spacing w:line="360" w:lineRule="auto"/>
              <w:jc w:val="center"/>
              <w:rPr>
                <w:rFonts w:hint="eastAsia" w:ascii="宋体" w:hAnsi="宋体"/>
                <w:color w:val="auto"/>
                <w:sz w:val="22"/>
                <w:highlight w:val="none"/>
              </w:rPr>
            </w:pPr>
            <w:r>
              <w:rPr>
                <w:rFonts w:hint="eastAsia" w:ascii="宋体" w:hAnsi="宋体"/>
                <w:color w:val="auto"/>
                <w:sz w:val="22"/>
                <w:highlight w:val="none"/>
              </w:rPr>
              <w:t>序号</w:t>
            </w:r>
          </w:p>
        </w:tc>
        <w:tc>
          <w:tcPr>
            <w:tcW w:w="958" w:type="dxa"/>
            <w:noWrap w:val="0"/>
            <w:vAlign w:val="center"/>
          </w:tcPr>
          <w:p>
            <w:pPr>
              <w:spacing w:line="360" w:lineRule="auto"/>
              <w:jc w:val="center"/>
              <w:rPr>
                <w:rFonts w:hint="eastAsia" w:ascii="宋体" w:hAnsi="宋体"/>
                <w:color w:val="auto"/>
                <w:sz w:val="22"/>
                <w:highlight w:val="none"/>
              </w:rPr>
            </w:pPr>
            <w:r>
              <w:rPr>
                <w:rFonts w:hint="eastAsia" w:ascii="宋体" w:hAnsi="宋体"/>
                <w:color w:val="auto"/>
                <w:sz w:val="22"/>
                <w:highlight w:val="none"/>
              </w:rPr>
              <w:t>姓名</w:t>
            </w:r>
          </w:p>
        </w:tc>
        <w:tc>
          <w:tcPr>
            <w:tcW w:w="958" w:type="dxa"/>
            <w:noWrap w:val="0"/>
            <w:vAlign w:val="center"/>
          </w:tcPr>
          <w:p>
            <w:pPr>
              <w:spacing w:line="360" w:lineRule="auto"/>
              <w:jc w:val="center"/>
              <w:rPr>
                <w:rFonts w:hint="eastAsia" w:ascii="宋体" w:hAnsi="宋体"/>
                <w:color w:val="auto"/>
                <w:sz w:val="22"/>
                <w:highlight w:val="none"/>
              </w:rPr>
            </w:pPr>
            <w:r>
              <w:rPr>
                <w:rFonts w:hint="eastAsia" w:ascii="宋体" w:hAnsi="宋体"/>
                <w:color w:val="auto"/>
                <w:sz w:val="22"/>
                <w:highlight w:val="none"/>
              </w:rPr>
              <w:t>性别</w:t>
            </w:r>
          </w:p>
        </w:tc>
        <w:tc>
          <w:tcPr>
            <w:tcW w:w="767" w:type="dxa"/>
            <w:noWrap w:val="0"/>
            <w:vAlign w:val="center"/>
          </w:tcPr>
          <w:p>
            <w:pPr>
              <w:spacing w:line="360" w:lineRule="auto"/>
              <w:jc w:val="center"/>
              <w:rPr>
                <w:rFonts w:hint="eastAsia" w:ascii="宋体" w:hAnsi="宋体"/>
                <w:color w:val="auto"/>
                <w:sz w:val="22"/>
                <w:highlight w:val="none"/>
              </w:rPr>
            </w:pPr>
            <w:r>
              <w:rPr>
                <w:rFonts w:hint="eastAsia" w:ascii="宋体" w:hAnsi="宋体"/>
                <w:color w:val="auto"/>
                <w:sz w:val="22"/>
                <w:highlight w:val="none"/>
              </w:rPr>
              <w:t>年龄</w:t>
            </w:r>
          </w:p>
        </w:tc>
        <w:tc>
          <w:tcPr>
            <w:tcW w:w="767" w:type="dxa"/>
            <w:noWrap w:val="0"/>
            <w:vAlign w:val="center"/>
          </w:tcPr>
          <w:p>
            <w:pPr>
              <w:spacing w:line="360" w:lineRule="auto"/>
              <w:jc w:val="center"/>
              <w:rPr>
                <w:rFonts w:hint="eastAsia" w:ascii="宋体" w:hAnsi="宋体"/>
                <w:color w:val="auto"/>
                <w:sz w:val="22"/>
                <w:highlight w:val="none"/>
              </w:rPr>
            </w:pPr>
            <w:r>
              <w:rPr>
                <w:rFonts w:hint="eastAsia" w:ascii="宋体" w:hAnsi="宋体"/>
                <w:color w:val="auto"/>
                <w:sz w:val="22"/>
                <w:highlight w:val="none"/>
              </w:rPr>
              <w:t>学历</w:t>
            </w:r>
          </w:p>
        </w:tc>
        <w:tc>
          <w:tcPr>
            <w:tcW w:w="1340" w:type="dxa"/>
            <w:noWrap w:val="0"/>
            <w:vAlign w:val="center"/>
          </w:tcPr>
          <w:p>
            <w:pPr>
              <w:spacing w:line="280" w:lineRule="exact"/>
              <w:jc w:val="center"/>
              <w:rPr>
                <w:rFonts w:hint="eastAsia" w:ascii="宋体" w:hAnsi="宋体"/>
                <w:color w:val="auto"/>
                <w:sz w:val="22"/>
                <w:highlight w:val="none"/>
              </w:rPr>
            </w:pPr>
            <w:r>
              <w:rPr>
                <w:rFonts w:hint="eastAsia" w:ascii="宋体" w:hAnsi="宋体"/>
                <w:color w:val="auto"/>
                <w:sz w:val="22"/>
                <w:highlight w:val="none"/>
              </w:rPr>
              <w:t>职称/职务</w:t>
            </w:r>
          </w:p>
        </w:tc>
        <w:tc>
          <w:tcPr>
            <w:tcW w:w="1326" w:type="dxa"/>
            <w:noWrap w:val="0"/>
            <w:vAlign w:val="center"/>
          </w:tcPr>
          <w:p>
            <w:pPr>
              <w:spacing w:line="280" w:lineRule="exact"/>
              <w:jc w:val="center"/>
              <w:rPr>
                <w:rFonts w:hint="eastAsia" w:ascii="宋体" w:hAnsi="宋体"/>
                <w:color w:val="auto"/>
                <w:sz w:val="22"/>
                <w:highlight w:val="none"/>
              </w:rPr>
            </w:pPr>
            <w:r>
              <w:rPr>
                <w:rFonts w:hint="eastAsia" w:ascii="宋体" w:hAnsi="宋体"/>
                <w:color w:val="auto"/>
                <w:highlight w:val="none"/>
              </w:rPr>
              <w:t>本次服务中的岗位</w:t>
            </w:r>
          </w:p>
        </w:tc>
        <w:tc>
          <w:tcPr>
            <w:tcW w:w="1825" w:type="dxa"/>
            <w:noWrap w:val="0"/>
            <w:vAlign w:val="center"/>
          </w:tcPr>
          <w:p>
            <w:pPr>
              <w:spacing w:line="360" w:lineRule="auto"/>
              <w:jc w:val="center"/>
              <w:rPr>
                <w:rFonts w:hint="eastAsia" w:ascii="宋体" w:hAnsi="宋体"/>
                <w:color w:val="auto"/>
                <w:sz w:val="22"/>
                <w:highlight w:val="none"/>
              </w:rPr>
            </w:pPr>
            <w:r>
              <w:rPr>
                <w:rFonts w:hint="eastAsia" w:ascii="宋体" w:hAnsi="宋体"/>
                <w:color w:val="auto"/>
                <w:sz w:val="22"/>
                <w:highlight w:val="none"/>
              </w:rPr>
              <w:t>从事专业年限</w:t>
            </w:r>
          </w:p>
        </w:tc>
        <w:tc>
          <w:tcPr>
            <w:tcW w:w="1147" w:type="dxa"/>
            <w:noWrap w:val="0"/>
            <w:vAlign w:val="center"/>
          </w:tcPr>
          <w:p>
            <w:pPr>
              <w:spacing w:line="360" w:lineRule="auto"/>
              <w:jc w:val="center"/>
              <w:rPr>
                <w:rFonts w:hint="eastAsia" w:ascii="宋体" w:hAnsi="宋体"/>
                <w:color w:val="auto"/>
                <w:sz w:val="22"/>
                <w:highlight w:val="none"/>
              </w:rPr>
            </w:pPr>
            <w:r>
              <w:rPr>
                <w:rFonts w:hint="eastAsia" w:ascii="宋体" w:hAnsi="宋体"/>
                <w:color w:val="auto"/>
                <w:sz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958"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767" w:type="dxa"/>
            <w:noWrap w:val="0"/>
            <w:vAlign w:val="center"/>
          </w:tcPr>
          <w:p>
            <w:pPr>
              <w:spacing w:line="360" w:lineRule="auto"/>
              <w:jc w:val="center"/>
              <w:rPr>
                <w:rFonts w:hint="eastAsia" w:ascii="宋体" w:hAnsi="宋体"/>
                <w:color w:val="auto"/>
                <w:sz w:val="22"/>
                <w:highlight w:val="none"/>
              </w:rPr>
            </w:pPr>
          </w:p>
        </w:tc>
        <w:tc>
          <w:tcPr>
            <w:tcW w:w="1340" w:type="dxa"/>
            <w:noWrap w:val="0"/>
            <w:vAlign w:val="center"/>
          </w:tcPr>
          <w:p>
            <w:pPr>
              <w:spacing w:line="360" w:lineRule="auto"/>
              <w:jc w:val="center"/>
              <w:rPr>
                <w:rFonts w:hint="eastAsia" w:ascii="宋体" w:hAnsi="宋体"/>
                <w:color w:val="auto"/>
                <w:sz w:val="22"/>
                <w:highlight w:val="none"/>
              </w:rPr>
            </w:pPr>
          </w:p>
        </w:tc>
        <w:tc>
          <w:tcPr>
            <w:tcW w:w="1326" w:type="dxa"/>
            <w:noWrap w:val="0"/>
            <w:vAlign w:val="center"/>
          </w:tcPr>
          <w:p>
            <w:pPr>
              <w:spacing w:line="360" w:lineRule="auto"/>
              <w:jc w:val="center"/>
              <w:rPr>
                <w:rFonts w:hint="eastAsia" w:ascii="宋体" w:hAnsi="宋体"/>
                <w:color w:val="auto"/>
                <w:sz w:val="22"/>
                <w:highlight w:val="none"/>
              </w:rPr>
            </w:pPr>
          </w:p>
        </w:tc>
        <w:tc>
          <w:tcPr>
            <w:tcW w:w="1825" w:type="dxa"/>
            <w:noWrap w:val="0"/>
            <w:vAlign w:val="top"/>
          </w:tcPr>
          <w:p>
            <w:pPr>
              <w:spacing w:line="360" w:lineRule="auto"/>
              <w:jc w:val="center"/>
              <w:rPr>
                <w:rFonts w:hint="eastAsia" w:ascii="宋体" w:hAnsi="宋体"/>
                <w:color w:val="auto"/>
                <w:sz w:val="22"/>
                <w:highlight w:val="none"/>
              </w:rPr>
            </w:pPr>
          </w:p>
        </w:tc>
        <w:tc>
          <w:tcPr>
            <w:tcW w:w="1147" w:type="dxa"/>
            <w:noWrap w:val="0"/>
            <w:vAlign w:val="center"/>
          </w:tcPr>
          <w:p>
            <w:pPr>
              <w:spacing w:line="360" w:lineRule="auto"/>
              <w:jc w:val="center"/>
              <w:rPr>
                <w:rFonts w:hint="eastAsia" w:ascii="宋体" w:hAnsi="宋体"/>
                <w:color w:val="auto"/>
                <w:sz w:val="22"/>
                <w:highlight w:val="none"/>
              </w:rPr>
            </w:pPr>
          </w:p>
        </w:tc>
      </w:tr>
    </w:tbl>
    <w:p>
      <w:pPr>
        <w:pStyle w:val="21"/>
        <w:keepNext w:val="0"/>
        <w:keepLines w:val="0"/>
        <w:pageBreakBefore w:val="0"/>
        <w:widowControl w:val="0"/>
        <w:tabs>
          <w:tab w:val="right" w:leader="dot" w:pos="9660"/>
        </w:tabs>
        <w:kinsoku/>
        <w:wordWrap/>
        <w:overflowPunct/>
        <w:topLinePunct w:val="0"/>
        <w:autoSpaceDE/>
        <w:autoSpaceDN/>
        <w:bidi w:val="0"/>
        <w:adjustRightInd/>
        <w:snapToGrid/>
        <w:spacing w:beforeLines="50" w:after="0" w:afterAutospacing="0" w:line="360" w:lineRule="auto"/>
        <w:ind w:left="883" w:hanging="883" w:hangingChars="4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注：1、此表仅提供了表格形式，投标人可按此表格复制。</w:t>
      </w:r>
    </w:p>
    <w:p>
      <w:pPr>
        <w:keepNext w:val="0"/>
        <w:keepLines w:val="0"/>
        <w:pageBreakBefore w:val="0"/>
        <w:widowControl w:val="0"/>
        <w:numPr>
          <w:ilvl w:val="0"/>
          <w:numId w:val="18"/>
        </w:numPr>
        <w:kinsoku/>
        <w:wordWrap/>
        <w:overflowPunct/>
        <w:topLinePunct w:val="0"/>
        <w:autoSpaceDE/>
        <w:autoSpaceDN/>
        <w:bidi w:val="0"/>
        <w:adjustRightInd/>
        <w:snapToGrid/>
        <w:spacing w:beforeAutospacing="0" w:line="360" w:lineRule="auto"/>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以上岗位人员均需提供相关证书（如有）材料原件扫描件加盖公章。</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sz w:val="22"/>
          <w:highlight w:val="none"/>
        </w:rPr>
      </w:pPr>
      <w:r>
        <w:rPr>
          <w:rFonts w:hint="eastAsia" w:ascii="宋体" w:hAnsi="宋体" w:eastAsia="宋体" w:cs="宋体"/>
          <w:color w:val="auto"/>
          <w:sz w:val="22"/>
          <w:highlight w:val="none"/>
        </w:rPr>
        <w:t>本表所列为本项目的所有人员，若投标人现有雇佣人员无法满足测算所需投入人员数量，可根据上表对预期雇佣人员进行预申报，预申报人员信息可不体现姓名，年龄可填写年龄段。</w:t>
      </w:r>
    </w:p>
    <w:p>
      <w:pPr>
        <w:widowControl/>
        <w:spacing w:before="315" w:beforeLines="100" w:line="400" w:lineRule="exact"/>
        <w:rPr>
          <w:rFonts w:hint="eastAsia" w:ascii="宋体" w:hAnsi="宋体" w:eastAsia="宋体" w:cs="宋体"/>
          <w:color w:val="auto"/>
          <w:kern w:val="0"/>
          <w:sz w:val="22"/>
          <w:highlight w:val="none"/>
          <w:u w:val="single"/>
        </w:rPr>
      </w:pPr>
      <w:bookmarkStart w:id="4" w:name="_Toc341813038"/>
      <w:bookmarkStart w:id="5" w:name="_Toc513731634"/>
      <w:r>
        <w:rPr>
          <w:rFonts w:hint="eastAsia" w:ascii="宋体" w:hAnsi="宋体" w:eastAsia="宋体" w:cs="宋体"/>
          <w:color w:val="auto"/>
          <w:kern w:val="0"/>
          <w:sz w:val="22"/>
          <w:highlight w:val="none"/>
        </w:rPr>
        <w:t>投标人全称(电子签章)：</w:t>
      </w:r>
    </w:p>
    <w:p>
      <w:pPr>
        <w:widowControl/>
        <w:spacing w:line="40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法定代表人或授权代表(签字或盖章)：</w:t>
      </w:r>
    </w:p>
    <w:p>
      <w:pPr>
        <w:snapToGrid w:val="0"/>
        <w:spacing w:line="400" w:lineRule="exact"/>
        <w:jc w:val="lef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日期：    年    月    日</w:t>
      </w:r>
    </w:p>
    <w:bookmarkEnd w:id="4"/>
    <w:bookmarkEnd w:id="5"/>
    <w:p>
      <w:pPr>
        <w:spacing w:line="400" w:lineRule="exact"/>
        <w:rPr>
          <w:rFonts w:hint="eastAsia" w:ascii="宋体" w:hAnsi="宋体" w:eastAsia="宋体" w:cs="宋体"/>
          <w:b/>
          <w:color w:val="auto"/>
          <w:sz w:val="24"/>
          <w:szCs w:val="24"/>
          <w:highlight w:val="none"/>
        </w:rPr>
      </w:pPr>
    </w:p>
    <w:p>
      <w:pPr>
        <w:spacing w:afterAutospacing="0" w:line="400" w:lineRule="exact"/>
        <w:rPr>
          <w:rFonts w:hint="eastAsia" w:ascii="宋体" w:hAnsi="宋体" w:eastAsia="宋体" w:cs="宋体"/>
          <w:b/>
          <w:bCs/>
          <w:color w:val="auto"/>
          <w:sz w:val="24"/>
          <w:szCs w:val="24"/>
          <w:highlight w:val="none"/>
          <w:lang w:eastAsia="zh-CN"/>
        </w:rPr>
      </w:pPr>
      <w:r>
        <w:rPr>
          <w:rFonts w:hint="eastAsia" w:ascii="宋体" w:hAnsi="宋体" w:eastAsia="宋体" w:cs="宋体"/>
          <w:b/>
          <w:color w:val="auto"/>
          <w:sz w:val="24"/>
          <w:szCs w:val="24"/>
          <w:highlight w:val="none"/>
        </w:rPr>
        <w:t>附件1</w:t>
      </w:r>
      <w:r>
        <w:rPr>
          <w:rFonts w:hint="eastAsia" w:ascii="宋体" w:hAnsi="宋体" w:cs="宋体"/>
          <w:b/>
          <w:color w:val="auto"/>
          <w:sz w:val="24"/>
          <w:szCs w:val="24"/>
          <w:highlight w:val="none"/>
          <w:lang w:val="en-US" w:eastAsia="zh-CN"/>
        </w:rPr>
        <w:t>5</w:t>
      </w:r>
    </w:p>
    <w:p>
      <w:pPr>
        <w:spacing w:before="159" w:beforeLines="50" w:beforeAutospacing="0" w:after="159" w:afterLines="50" w:afterAutospacing="0"/>
        <w:ind w:right="-10"/>
        <w:jc w:val="center"/>
        <w:rPr>
          <w:rFonts w:hint="eastAsia" w:ascii="宋体" w:hAnsi="宋体" w:eastAsia="宋体" w:cs="宋体"/>
          <w:b/>
          <w:bCs/>
          <w:color w:val="auto"/>
          <w:sz w:val="32"/>
          <w:szCs w:val="32"/>
          <w:highlight w:val="none"/>
        </w:rPr>
      </w:pPr>
      <w:bookmarkStart w:id="6" w:name="_Hlk63158312"/>
      <w:bookmarkStart w:id="7" w:name="_Toc508176410"/>
      <w:bookmarkStart w:id="8" w:name="_Toc466407240"/>
      <w:bookmarkStart w:id="9" w:name="_Toc513731636"/>
      <w:r>
        <w:rPr>
          <w:rFonts w:hint="eastAsia" w:ascii="宋体" w:hAnsi="宋体" w:eastAsia="宋体" w:cs="宋体"/>
          <w:b/>
          <w:bCs/>
          <w:color w:val="auto"/>
          <w:sz w:val="32"/>
          <w:szCs w:val="32"/>
          <w:highlight w:val="none"/>
        </w:rPr>
        <w:t>拟投入已有自有设备（工具）一览表</w:t>
      </w:r>
    </w:p>
    <w:bookmarkEnd w:id="6"/>
    <w:p>
      <w:pPr>
        <w:spacing w:beforeAutospacing="0" w:afterLines="50" w:line="40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项目名称：                                                  采购编号：</w:t>
      </w:r>
    </w:p>
    <w:tbl>
      <w:tblPr>
        <w:tblStyle w:val="28"/>
        <w:tblW w:w="876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7"/>
        <w:gridCol w:w="1864"/>
        <w:gridCol w:w="1251"/>
        <w:gridCol w:w="871"/>
        <w:gridCol w:w="1061"/>
        <w:gridCol w:w="1061"/>
        <w:gridCol w:w="1061"/>
        <w:gridCol w:w="10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3" w:hRule="atLeast"/>
        </w:trPr>
        <w:tc>
          <w:tcPr>
            <w:tcW w:w="537" w:type="dxa"/>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序号</w:t>
            </w:r>
          </w:p>
        </w:tc>
        <w:tc>
          <w:tcPr>
            <w:tcW w:w="1864" w:type="dxa"/>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设备名称</w:t>
            </w:r>
          </w:p>
        </w:tc>
        <w:tc>
          <w:tcPr>
            <w:tcW w:w="1251" w:type="dxa"/>
            <w:tcBorders>
              <w:right w:val="single" w:color="auto" w:sz="4" w:space="0"/>
            </w:tcBorders>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使用时间</w:t>
            </w:r>
          </w:p>
        </w:tc>
        <w:tc>
          <w:tcPr>
            <w:tcW w:w="871" w:type="dxa"/>
            <w:tcBorders>
              <w:left w:val="single" w:color="auto" w:sz="4" w:space="0"/>
              <w:right w:val="single" w:color="auto" w:sz="4" w:space="0"/>
            </w:tcBorders>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数量</w:t>
            </w:r>
          </w:p>
        </w:tc>
        <w:tc>
          <w:tcPr>
            <w:tcW w:w="1061" w:type="dxa"/>
            <w:tcBorders>
              <w:left w:val="single" w:color="auto" w:sz="4" w:space="0"/>
            </w:tcBorders>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规格型号、总质量</w:t>
            </w:r>
          </w:p>
        </w:tc>
        <w:tc>
          <w:tcPr>
            <w:tcW w:w="1061" w:type="dxa"/>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品牌/产地</w:t>
            </w:r>
          </w:p>
        </w:tc>
        <w:tc>
          <w:tcPr>
            <w:tcW w:w="1061" w:type="dxa"/>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车牌号</w:t>
            </w:r>
          </w:p>
        </w:tc>
        <w:tc>
          <w:tcPr>
            <w:tcW w:w="1061" w:type="dxa"/>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8" w:hRule="exact"/>
        </w:trPr>
        <w:tc>
          <w:tcPr>
            <w:tcW w:w="537" w:type="dxa"/>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p>
        </w:tc>
        <w:tc>
          <w:tcPr>
            <w:tcW w:w="1864" w:type="dxa"/>
            <w:vAlign w:val="center"/>
          </w:tcPr>
          <w:p>
            <w:pPr>
              <w:jc w:val="center"/>
              <w:rPr>
                <w:rFonts w:hint="eastAsia" w:ascii="宋体" w:hAnsi="宋体" w:eastAsia="宋体" w:cs="宋体"/>
                <w:color w:val="auto"/>
                <w:sz w:val="22"/>
                <w:highlight w:val="none"/>
              </w:rPr>
            </w:pPr>
            <w:r>
              <w:rPr>
                <w:rFonts w:hint="eastAsia" w:ascii="宋体" w:hAnsi="宋体" w:cs="宋体"/>
                <w:color w:val="auto"/>
                <w:sz w:val="22"/>
                <w:highlight w:val="none"/>
              </w:rPr>
              <w:t>洒水车</w:t>
            </w:r>
          </w:p>
        </w:tc>
        <w:tc>
          <w:tcPr>
            <w:tcW w:w="1251" w:type="dxa"/>
            <w:tcBorders>
              <w:right w:val="single" w:color="auto" w:sz="4" w:space="0"/>
            </w:tcBorders>
            <w:vAlign w:val="center"/>
          </w:tcPr>
          <w:p>
            <w:pPr>
              <w:jc w:val="center"/>
              <w:rPr>
                <w:rFonts w:hint="eastAsia" w:ascii="宋体" w:hAnsi="宋体" w:eastAsia="宋体" w:cs="宋体"/>
                <w:b/>
                <w:color w:val="auto"/>
                <w:sz w:val="22"/>
                <w:highlight w:val="none"/>
              </w:rPr>
            </w:pPr>
          </w:p>
        </w:tc>
        <w:tc>
          <w:tcPr>
            <w:tcW w:w="871" w:type="dxa"/>
            <w:tcBorders>
              <w:left w:val="single" w:color="auto" w:sz="4" w:space="0"/>
              <w:right w:val="single" w:color="auto" w:sz="4" w:space="0"/>
            </w:tcBorders>
            <w:vAlign w:val="center"/>
          </w:tcPr>
          <w:p>
            <w:pPr>
              <w:jc w:val="center"/>
              <w:rPr>
                <w:rFonts w:hint="eastAsia" w:ascii="宋体" w:hAnsi="宋体" w:eastAsia="宋体" w:cs="宋体"/>
                <w:b/>
                <w:color w:val="auto"/>
                <w:sz w:val="22"/>
                <w:highlight w:val="none"/>
              </w:rPr>
            </w:pPr>
          </w:p>
        </w:tc>
        <w:tc>
          <w:tcPr>
            <w:tcW w:w="1061" w:type="dxa"/>
            <w:tcBorders>
              <w:left w:val="single" w:color="auto" w:sz="4" w:space="0"/>
            </w:tcBorders>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8" w:hRule="exact"/>
        </w:trPr>
        <w:tc>
          <w:tcPr>
            <w:tcW w:w="537" w:type="dxa"/>
            <w:vAlign w:val="center"/>
          </w:tcPr>
          <w:p>
            <w:pPr>
              <w:jc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highlight w:val="none"/>
              </w:rPr>
              <w:t>2</w:t>
            </w:r>
          </w:p>
        </w:tc>
        <w:tc>
          <w:tcPr>
            <w:tcW w:w="1864" w:type="dxa"/>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洗扫一体车</w:t>
            </w:r>
          </w:p>
        </w:tc>
        <w:tc>
          <w:tcPr>
            <w:tcW w:w="1251" w:type="dxa"/>
            <w:tcBorders>
              <w:right w:val="single" w:color="auto" w:sz="4" w:space="0"/>
            </w:tcBorders>
            <w:vAlign w:val="center"/>
          </w:tcPr>
          <w:p>
            <w:pPr>
              <w:jc w:val="center"/>
              <w:rPr>
                <w:rFonts w:hint="eastAsia" w:ascii="宋体" w:hAnsi="宋体" w:eastAsia="宋体" w:cs="宋体"/>
                <w:b/>
                <w:color w:val="auto"/>
                <w:sz w:val="22"/>
                <w:highlight w:val="none"/>
              </w:rPr>
            </w:pPr>
          </w:p>
        </w:tc>
        <w:tc>
          <w:tcPr>
            <w:tcW w:w="871" w:type="dxa"/>
            <w:tcBorders>
              <w:left w:val="single" w:color="auto" w:sz="4" w:space="0"/>
              <w:right w:val="single" w:color="auto" w:sz="4" w:space="0"/>
            </w:tcBorders>
            <w:vAlign w:val="center"/>
          </w:tcPr>
          <w:p>
            <w:pPr>
              <w:jc w:val="center"/>
              <w:rPr>
                <w:rFonts w:hint="eastAsia" w:ascii="宋体" w:hAnsi="宋体" w:eastAsia="宋体" w:cs="宋体"/>
                <w:b/>
                <w:color w:val="auto"/>
                <w:sz w:val="22"/>
                <w:highlight w:val="none"/>
              </w:rPr>
            </w:pPr>
          </w:p>
        </w:tc>
        <w:tc>
          <w:tcPr>
            <w:tcW w:w="1061" w:type="dxa"/>
            <w:tcBorders>
              <w:left w:val="single" w:color="auto" w:sz="4" w:space="0"/>
            </w:tcBorders>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8" w:hRule="exact"/>
        </w:trPr>
        <w:tc>
          <w:tcPr>
            <w:tcW w:w="537" w:type="dxa"/>
            <w:vAlign w:val="center"/>
          </w:tcPr>
          <w:p>
            <w:pPr>
              <w:jc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highlight w:val="none"/>
              </w:rPr>
              <w:t>3</w:t>
            </w:r>
          </w:p>
        </w:tc>
        <w:tc>
          <w:tcPr>
            <w:tcW w:w="1864" w:type="dxa"/>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电动三轮高压冲洗车</w:t>
            </w:r>
          </w:p>
        </w:tc>
        <w:tc>
          <w:tcPr>
            <w:tcW w:w="1251" w:type="dxa"/>
            <w:tcBorders>
              <w:right w:val="single" w:color="auto" w:sz="4" w:space="0"/>
            </w:tcBorders>
            <w:vAlign w:val="center"/>
          </w:tcPr>
          <w:p>
            <w:pPr>
              <w:jc w:val="center"/>
              <w:rPr>
                <w:rFonts w:hint="eastAsia" w:ascii="宋体" w:hAnsi="宋体" w:eastAsia="宋体" w:cs="宋体"/>
                <w:b/>
                <w:color w:val="auto"/>
                <w:sz w:val="22"/>
                <w:highlight w:val="none"/>
              </w:rPr>
            </w:pPr>
          </w:p>
        </w:tc>
        <w:tc>
          <w:tcPr>
            <w:tcW w:w="871" w:type="dxa"/>
            <w:tcBorders>
              <w:left w:val="single" w:color="auto" w:sz="4" w:space="0"/>
              <w:right w:val="single" w:color="auto" w:sz="4" w:space="0"/>
            </w:tcBorders>
            <w:vAlign w:val="center"/>
          </w:tcPr>
          <w:p>
            <w:pPr>
              <w:jc w:val="center"/>
              <w:rPr>
                <w:rFonts w:hint="eastAsia" w:ascii="宋体" w:hAnsi="宋体" w:eastAsia="宋体" w:cs="宋体"/>
                <w:b/>
                <w:color w:val="auto"/>
                <w:sz w:val="22"/>
                <w:highlight w:val="none"/>
              </w:rPr>
            </w:pPr>
          </w:p>
        </w:tc>
        <w:tc>
          <w:tcPr>
            <w:tcW w:w="1061" w:type="dxa"/>
            <w:tcBorders>
              <w:left w:val="single" w:color="auto" w:sz="4" w:space="0"/>
            </w:tcBorders>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3" w:hRule="exact"/>
        </w:trPr>
        <w:tc>
          <w:tcPr>
            <w:tcW w:w="537" w:type="dxa"/>
            <w:vAlign w:val="center"/>
          </w:tcPr>
          <w:p>
            <w:pPr>
              <w:jc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highlight w:val="none"/>
              </w:rPr>
              <w:t>4</w:t>
            </w:r>
          </w:p>
        </w:tc>
        <w:tc>
          <w:tcPr>
            <w:tcW w:w="1864" w:type="dxa"/>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垃圾清运车（直运车）</w:t>
            </w:r>
          </w:p>
        </w:tc>
        <w:tc>
          <w:tcPr>
            <w:tcW w:w="1251" w:type="dxa"/>
            <w:tcBorders>
              <w:right w:val="single" w:color="auto" w:sz="4" w:space="0"/>
            </w:tcBorders>
            <w:vAlign w:val="center"/>
          </w:tcPr>
          <w:p>
            <w:pPr>
              <w:jc w:val="center"/>
              <w:rPr>
                <w:rFonts w:hint="eastAsia" w:ascii="宋体" w:hAnsi="宋体" w:eastAsia="宋体" w:cs="宋体"/>
                <w:b/>
                <w:color w:val="auto"/>
                <w:sz w:val="22"/>
                <w:highlight w:val="none"/>
              </w:rPr>
            </w:pPr>
          </w:p>
        </w:tc>
        <w:tc>
          <w:tcPr>
            <w:tcW w:w="871" w:type="dxa"/>
            <w:tcBorders>
              <w:left w:val="single" w:color="auto" w:sz="4" w:space="0"/>
              <w:right w:val="single" w:color="auto" w:sz="4" w:space="0"/>
            </w:tcBorders>
            <w:vAlign w:val="center"/>
          </w:tcPr>
          <w:p>
            <w:pPr>
              <w:jc w:val="center"/>
              <w:rPr>
                <w:rFonts w:hint="eastAsia" w:ascii="宋体" w:hAnsi="宋体" w:eastAsia="宋体" w:cs="宋体"/>
                <w:b/>
                <w:color w:val="auto"/>
                <w:sz w:val="22"/>
                <w:highlight w:val="none"/>
              </w:rPr>
            </w:pPr>
          </w:p>
        </w:tc>
        <w:tc>
          <w:tcPr>
            <w:tcW w:w="1061" w:type="dxa"/>
            <w:tcBorders>
              <w:left w:val="single" w:color="auto" w:sz="4" w:space="0"/>
            </w:tcBorders>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8" w:hRule="exact"/>
        </w:trPr>
        <w:tc>
          <w:tcPr>
            <w:tcW w:w="537" w:type="dxa"/>
            <w:vAlign w:val="center"/>
          </w:tcPr>
          <w:p>
            <w:pPr>
              <w:jc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highlight w:val="none"/>
              </w:rPr>
              <w:t>5</w:t>
            </w:r>
          </w:p>
        </w:tc>
        <w:tc>
          <w:tcPr>
            <w:tcW w:w="1864" w:type="dxa"/>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电动三轮车二分类垃圾收集车</w:t>
            </w:r>
          </w:p>
        </w:tc>
        <w:tc>
          <w:tcPr>
            <w:tcW w:w="1251" w:type="dxa"/>
            <w:tcBorders>
              <w:right w:val="single" w:color="auto" w:sz="4" w:space="0"/>
            </w:tcBorders>
            <w:vAlign w:val="center"/>
          </w:tcPr>
          <w:p>
            <w:pPr>
              <w:jc w:val="center"/>
              <w:rPr>
                <w:rFonts w:hint="eastAsia" w:ascii="宋体" w:hAnsi="宋体" w:eastAsia="宋体" w:cs="宋体"/>
                <w:b/>
                <w:color w:val="auto"/>
                <w:sz w:val="22"/>
                <w:highlight w:val="none"/>
              </w:rPr>
            </w:pPr>
          </w:p>
        </w:tc>
        <w:tc>
          <w:tcPr>
            <w:tcW w:w="871" w:type="dxa"/>
            <w:tcBorders>
              <w:left w:val="single" w:color="auto" w:sz="4" w:space="0"/>
              <w:right w:val="single" w:color="auto" w:sz="4" w:space="0"/>
            </w:tcBorders>
            <w:vAlign w:val="center"/>
          </w:tcPr>
          <w:p>
            <w:pPr>
              <w:jc w:val="center"/>
              <w:rPr>
                <w:rFonts w:hint="eastAsia" w:ascii="宋体" w:hAnsi="宋体" w:eastAsia="宋体" w:cs="宋体"/>
                <w:b/>
                <w:color w:val="auto"/>
                <w:sz w:val="22"/>
                <w:highlight w:val="none"/>
              </w:rPr>
            </w:pPr>
          </w:p>
        </w:tc>
        <w:tc>
          <w:tcPr>
            <w:tcW w:w="1061" w:type="dxa"/>
            <w:tcBorders>
              <w:left w:val="single" w:color="auto" w:sz="4" w:space="0"/>
            </w:tcBorders>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8" w:hRule="exact"/>
        </w:trPr>
        <w:tc>
          <w:tcPr>
            <w:tcW w:w="537" w:type="dxa"/>
            <w:vAlign w:val="center"/>
          </w:tcPr>
          <w:p>
            <w:pPr>
              <w:jc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highlight w:val="none"/>
              </w:rPr>
              <w:t>6</w:t>
            </w:r>
          </w:p>
        </w:tc>
        <w:tc>
          <w:tcPr>
            <w:tcW w:w="1864" w:type="dxa"/>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人力船或动力船</w:t>
            </w:r>
          </w:p>
        </w:tc>
        <w:tc>
          <w:tcPr>
            <w:tcW w:w="1251" w:type="dxa"/>
            <w:tcBorders>
              <w:right w:val="single" w:color="auto" w:sz="4" w:space="0"/>
            </w:tcBorders>
            <w:vAlign w:val="center"/>
          </w:tcPr>
          <w:p>
            <w:pPr>
              <w:jc w:val="center"/>
              <w:rPr>
                <w:rFonts w:hint="eastAsia" w:ascii="宋体" w:hAnsi="宋体" w:eastAsia="宋体" w:cs="宋体"/>
                <w:b/>
                <w:color w:val="auto"/>
                <w:sz w:val="22"/>
                <w:highlight w:val="none"/>
              </w:rPr>
            </w:pPr>
          </w:p>
        </w:tc>
        <w:tc>
          <w:tcPr>
            <w:tcW w:w="871" w:type="dxa"/>
            <w:tcBorders>
              <w:left w:val="single" w:color="auto" w:sz="4" w:space="0"/>
              <w:right w:val="single" w:color="auto" w:sz="4" w:space="0"/>
            </w:tcBorders>
            <w:vAlign w:val="center"/>
          </w:tcPr>
          <w:p>
            <w:pPr>
              <w:jc w:val="center"/>
              <w:rPr>
                <w:rFonts w:hint="eastAsia" w:ascii="宋体" w:hAnsi="宋体" w:eastAsia="宋体" w:cs="宋体"/>
                <w:b/>
                <w:color w:val="auto"/>
                <w:sz w:val="22"/>
                <w:highlight w:val="none"/>
              </w:rPr>
            </w:pPr>
          </w:p>
        </w:tc>
        <w:tc>
          <w:tcPr>
            <w:tcW w:w="1061" w:type="dxa"/>
            <w:tcBorders>
              <w:left w:val="single" w:color="auto" w:sz="4" w:space="0"/>
            </w:tcBorders>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8" w:hRule="exact"/>
        </w:trPr>
        <w:tc>
          <w:tcPr>
            <w:tcW w:w="537" w:type="dxa"/>
            <w:vAlign w:val="center"/>
          </w:tcPr>
          <w:p>
            <w:pPr>
              <w:jc w:val="center"/>
              <w:rPr>
                <w:rFonts w:hint="eastAsia" w:ascii="宋体" w:hAnsi="宋体" w:eastAsia="宋体" w:cs="宋体"/>
                <w:color w:val="auto"/>
                <w:sz w:val="22"/>
                <w:highlight w:val="none"/>
              </w:rPr>
            </w:pPr>
          </w:p>
        </w:tc>
        <w:tc>
          <w:tcPr>
            <w:tcW w:w="1864" w:type="dxa"/>
            <w:vAlign w:val="center"/>
          </w:tcPr>
          <w:p>
            <w:pPr>
              <w:jc w:val="cente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w:t>
            </w:r>
          </w:p>
        </w:tc>
        <w:tc>
          <w:tcPr>
            <w:tcW w:w="1251" w:type="dxa"/>
            <w:tcBorders>
              <w:right w:val="single" w:color="auto" w:sz="4" w:space="0"/>
            </w:tcBorders>
            <w:vAlign w:val="center"/>
          </w:tcPr>
          <w:p>
            <w:pPr>
              <w:jc w:val="center"/>
              <w:rPr>
                <w:rFonts w:hint="eastAsia" w:ascii="宋体" w:hAnsi="宋体" w:eastAsia="宋体" w:cs="宋体"/>
                <w:b/>
                <w:color w:val="auto"/>
                <w:sz w:val="22"/>
                <w:highlight w:val="none"/>
              </w:rPr>
            </w:pPr>
          </w:p>
        </w:tc>
        <w:tc>
          <w:tcPr>
            <w:tcW w:w="871" w:type="dxa"/>
            <w:tcBorders>
              <w:left w:val="single" w:color="auto" w:sz="4" w:space="0"/>
              <w:right w:val="single" w:color="auto" w:sz="4" w:space="0"/>
            </w:tcBorders>
            <w:vAlign w:val="center"/>
          </w:tcPr>
          <w:p>
            <w:pPr>
              <w:jc w:val="center"/>
              <w:rPr>
                <w:rFonts w:hint="eastAsia" w:ascii="宋体" w:hAnsi="宋体" w:eastAsia="宋体" w:cs="宋体"/>
                <w:b/>
                <w:color w:val="auto"/>
                <w:sz w:val="22"/>
                <w:highlight w:val="none"/>
              </w:rPr>
            </w:pPr>
          </w:p>
        </w:tc>
        <w:tc>
          <w:tcPr>
            <w:tcW w:w="1061" w:type="dxa"/>
            <w:tcBorders>
              <w:left w:val="single" w:color="auto" w:sz="4" w:space="0"/>
            </w:tcBorders>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b/>
                <w:color w:val="auto"/>
                <w:sz w:val="22"/>
                <w:highlight w:val="none"/>
              </w:rPr>
            </w:pPr>
          </w:p>
        </w:tc>
        <w:tc>
          <w:tcPr>
            <w:tcW w:w="1061" w:type="dxa"/>
            <w:vAlign w:val="center"/>
          </w:tcPr>
          <w:p>
            <w:pPr>
              <w:jc w:val="center"/>
              <w:rPr>
                <w:rFonts w:hint="eastAsia" w:ascii="宋体" w:hAnsi="宋体" w:eastAsia="宋体" w:cs="宋体"/>
                <w:color w:val="auto"/>
                <w:sz w:val="22"/>
                <w:highlight w:val="none"/>
              </w:rPr>
            </w:pPr>
          </w:p>
        </w:tc>
      </w:tr>
    </w:tbl>
    <w:p>
      <w:pPr>
        <w:pStyle w:val="10"/>
        <w:spacing w:line="360" w:lineRule="auto"/>
        <w:ind w:firstLine="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注：1、本表所列为投标人拟投入的已有自有的保洁机械化作业机具（如洒水车</w:t>
      </w:r>
      <w:r>
        <w:rPr>
          <w:rFonts w:hint="eastAsia" w:hAnsi="宋体" w:cs="宋体"/>
          <w:color w:val="auto"/>
          <w:sz w:val="22"/>
          <w:highlight w:val="none"/>
          <w:lang w:eastAsia="zh-CN"/>
        </w:rPr>
        <w:t>、</w:t>
      </w:r>
      <w:r>
        <w:rPr>
          <w:rFonts w:hint="eastAsia" w:ascii="宋体" w:hAnsi="宋体" w:eastAsia="宋体" w:cs="宋体"/>
          <w:color w:val="auto"/>
          <w:sz w:val="22"/>
          <w:highlight w:val="none"/>
        </w:rPr>
        <w:t>洗扫一体车</w:t>
      </w:r>
      <w:r>
        <w:rPr>
          <w:rFonts w:hint="eastAsia" w:hAnsi="宋体" w:cs="宋体"/>
          <w:color w:val="auto"/>
          <w:sz w:val="22"/>
          <w:highlight w:val="none"/>
          <w:lang w:eastAsia="zh-CN"/>
        </w:rPr>
        <w:t>、</w:t>
      </w:r>
      <w:r>
        <w:rPr>
          <w:rFonts w:hint="eastAsia" w:ascii="宋体" w:hAnsi="宋体" w:eastAsia="宋体" w:cs="宋体"/>
          <w:color w:val="auto"/>
          <w:sz w:val="22"/>
          <w:highlight w:val="none"/>
        </w:rPr>
        <w:t>电动三轮高压冲洗车等，附车辆行驶证、发票等证明材料，租赁车辆还须提供租赁合同，原件扫描件加盖公章）及项目实施所需要的设备及工具。</w:t>
      </w:r>
    </w:p>
    <w:p>
      <w:pPr>
        <w:pStyle w:val="10"/>
        <w:spacing w:line="360" w:lineRule="auto"/>
        <w:ind w:firstLine="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2、此表仅提供了表格形式，投标人应根据需要准备足够数量的表格来填写。</w:t>
      </w:r>
    </w:p>
    <w:p>
      <w:pPr>
        <w:pStyle w:val="10"/>
        <w:spacing w:line="360" w:lineRule="auto"/>
        <w:ind w:firstLine="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3、中标后必须按要求时间全部到位。</w:t>
      </w:r>
    </w:p>
    <w:p>
      <w:pPr>
        <w:tabs>
          <w:tab w:val="left" w:pos="840"/>
        </w:tabs>
        <w:adjustRightInd w:val="0"/>
        <w:snapToGrid w:val="0"/>
        <w:spacing w:line="360" w:lineRule="auto"/>
        <w:ind w:left="420" w:leftChars="200" w:firstLine="330" w:firstLineChars="150"/>
        <w:rPr>
          <w:rFonts w:hint="eastAsia" w:ascii="宋体" w:hAnsi="宋体" w:eastAsia="宋体" w:cs="宋体"/>
          <w:color w:val="auto"/>
          <w:sz w:val="22"/>
          <w:highlight w:val="none"/>
        </w:rPr>
      </w:pPr>
    </w:p>
    <w:p>
      <w:pPr>
        <w:tabs>
          <w:tab w:val="left" w:pos="840"/>
        </w:tabs>
        <w:adjustRightInd w:val="0"/>
        <w:snapToGrid w:val="0"/>
        <w:spacing w:line="360" w:lineRule="auto"/>
        <w:ind w:left="420" w:leftChars="200" w:firstLine="330" w:firstLineChars="150"/>
        <w:rPr>
          <w:rFonts w:hint="eastAsia" w:ascii="宋体" w:hAnsi="宋体" w:eastAsia="宋体" w:cs="宋体"/>
          <w:color w:val="auto"/>
          <w:sz w:val="22"/>
          <w:highlight w:val="none"/>
        </w:rPr>
      </w:pPr>
    </w:p>
    <w:p>
      <w:pPr>
        <w:widowControl/>
        <w:spacing w:line="400" w:lineRule="exact"/>
        <w:rPr>
          <w:rFonts w:hint="eastAsia" w:ascii="宋体" w:hAnsi="宋体" w:eastAsia="宋体" w:cs="宋体"/>
          <w:color w:val="auto"/>
          <w:kern w:val="0"/>
          <w:sz w:val="22"/>
          <w:highlight w:val="none"/>
          <w:u w:val="single"/>
        </w:rPr>
      </w:pPr>
      <w:r>
        <w:rPr>
          <w:rFonts w:hint="eastAsia" w:ascii="宋体" w:hAnsi="宋体" w:eastAsia="宋体" w:cs="宋体"/>
          <w:color w:val="auto"/>
          <w:kern w:val="0"/>
          <w:sz w:val="22"/>
          <w:highlight w:val="none"/>
        </w:rPr>
        <w:t>投标人全称(电子签章)：</w:t>
      </w:r>
    </w:p>
    <w:p>
      <w:pPr>
        <w:widowControl/>
        <w:spacing w:line="40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法定代表人或授权代表(签字或盖章)：</w:t>
      </w:r>
    </w:p>
    <w:p>
      <w:pPr>
        <w:snapToGrid w:val="0"/>
        <w:spacing w:line="400" w:lineRule="exact"/>
        <w:jc w:val="lef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日期：    年    月    日</w:t>
      </w:r>
    </w:p>
    <w:p>
      <w:pPr>
        <w:spacing w:line="400" w:lineRule="exact"/>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2"/>
          <w:highlight w:val="none"/>
        </w:rPr>
        <w:br w:type="page"/>
      </w:r>
      <w:r>
        <w:rPr>
          <w:rFonts w:hint="eastAsia" w:ascii="宋体" w:hAnsi="宋体" w:eastAsia="宋体" w:cs="宋体"/>
          <w:b/>
          <w:color w:val="auto"/>
          <w:sz w:val="24"/>
          <w:szCs w:val="24"/>
          <w:highlight w:val="none"/>
        </w:rPr>
        <w:t>附件1</w:t>
      </w:r>
      <w:r>
        <w:rPr>
          <w:rFonts w:hint="eastAsia" w:ascii="宋体" w:hAnsi="宋体" w:cs="宋体"/>
          <w:b/>
          <w:color w:val="auto"/>
          <w:sz w:val="24"/>
          <w:szCs w:val="24"/>
          <w:highlight w:val="none"/>
          <w:lang w:val="en-US" w:eastAsia="zh-CN"/>
        </w:rPr>
        <w:t>6</w:t>
      </w:r>
    </w:p>
    <w:p>
      <w:pPr>
        <w:ind w:right="-10"/>
        <w:jc w:val="center"/>
        <w:rPr>
          <w:rFonts w:hint="eastAsia" w:ascii="宋体" w:hAnsi="宋体" w:eastAsia="宋体" w:cs="宋体"/>
          <w:b/>
          <w:bCs/>
          <w:color w:val="auto"/>
          <w:sz w:val="32"/>
          <w:szCs w:val="32"/>
          <w:highlight w:val="none"/>
        </w:rPr>
      </w:pPr>
    </w:p>
    <w:p>
      <w:pPr>
        <w:ind w:right="-10"/>
        <w:jc w:val="center"/>
        <w:rPr>
          <w:rFonts w:hint="eastAsia" w:ascii="宋体" w:hAnsi="宋体" w:eastAsia="宋体" w:cs="宋体"/>
          <w:b/>
          <w:bCs/>
          <w:color w:val="auto"/>
          <w:sz w:val="32"/>
          <w:szCs w:val="32"/>
          <w:highlight w:val="none"/>
        </w:rPr>
      </w:pPr>
      <w:bookmarkStart w:id="10" w:name="_Hlk63158325"/>
      <w:r>
        <w:rPr>
          <w:rFonts w:hint="eastAsia" w:ascii="宋体" w:hAnsi="宋体" w:eastAsia="宋体" w:cs="宋体"/>
          <w:b/>
          <w:bCs/>
          <w:color w:val="auto"/>
          <w:sz w:val="32"/>
          <w:szCs w:val="32"/>
          <w:highlight w:val="none"/>
        </w:rPr>
        <w:t>拟投入中标后承诺购买的设备（工具）一览表</w:t>
      </w:r>
    </w:p>
    <w:bookmarkEnd w:id="10"/>
    <w:p>
      <w:pPr>
        <w:spacing w:afterLines="50" w:line="400" w:lineRule="exact"/>
        <w:rPr>
          <w:rFonts w:hint="eastAsia" w:ascii="宋体" w:hAnsi="宋体" w:eastAsia="宋体" w:cs="宋体"/>
          <w:color w:val="auto"/>
          <w:sz w:val="22"/>
          <w:highlight w:val="none"/>
        </w:rPr>
      </w:pPr>
    </w:p>
    <w:p>
      <w:pPr>
        <w:spacing w:afterLines="50" w:line="40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项目名称：                            项目编号：</w:t>
      </w:r>
    </w:p>
    <w:tbl>
      <w:tblPr>
        <w:tblStyle w:val="28"/>
        <w:tblW w:w="9828" w:type="dxa"/>
        <w:tblInd w:w="0" w:type="dxa"/>
        <w:tblLayout w:type="fixed"/>
        <w:tblCellMar>
          <w:top w:w="0" w:type="dxa"/>
          <w:left w:w="108" w:type="dxa"/>
          <w:bottom w:w="0" w:type="dxa"/>
          <w:right w:w="108" w:type="dxa"/>
        </w:tblCellMar>
      </w:tblPr>
      <w:tblGrid>
        <w:gridCol w:w="881"/>
        <w:gridCol w:w="2467"/>
        <w:gridCol w:w="1080"/>
        <w:gridCol w:w="1080"/>
        <w:gridCol w:w="1080"/>
        <w:gridCol w:w="1080"/>
        <w:gridCol w:w="1080"/>
        <w:gridCol w:w="1080"/>
      </w:tblGrid>
      <w:tr>
        <w:tblPrEx>
          <w:tblCellMar>
            <w:top w:w="0" w:type="dxa"/>
            <w:left w:w="108" w:type="dxa"/>
            <w:bottom w:w="0" w:type="dxa"/>
            <w:right w:w="108" w:type="dxa"/>
          </w:tblCellMar>
        </w:tblPrEx>
        <w:trPr>
          <w:trHeight w:val="567" w:hRule="atLeast"/>
        </w:trPr>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序号</w:t>
            </w:r>
          </w:p>
        </w:tc>
        <w:tc>
          <w:tcPr>
            <w:tcW w:w="246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设备工具名称</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数量</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规格型号、总质量</w:t>
            </w:r>
          </w:p>
        </w:tc>
        <w:tc>
          <w:tcPr>
            <w:tcW w:w="108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品牌/产地</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市场单价(元)</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合价</w:t>
            </w:r>
          </w:p>
        </w:tc>
        <w:tc>
          <w:tcPr>
            <w:tcW w:w="108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备注</w:t>
            </w: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w:t>
            </w:r>
          </w:p>
        </w:tc>
        <w:tc>
          <w:tcPr>
            <w:tcW w:w="2467" w:type="dxa"/>
            <w:tcBorders>
              <w:top w:val="nil"/>
              <w:left w:val="nil"/>
              <w:bottom w:val="single" w:color="auto" w:sz="4" w:space="0"/>
              <w:right w:val="single" w:color="auto" w:sz="4" w:space="0"/>
            </w:tcBorders>
            <w:vAlign w:val="center"/>
          </w:tcPr>
          <w:p>
            <w:pPr>
              <w:jc w:val="center"/>
              <w:rPr>
                <w:rFonts w:hint="eastAsia" w:ascii="宋体" w:hAnsi="宋体" w:eastAsia="宋体" w:cs="宋体"/>
                <w:b/>
                <w:color w:val="auto"/>
                <w:sz w:val="22"/>
                <w:highlight w:val="none"/>
              </w:rPr>
            </w:pPr>
            <w:r>
              <w:rPr>
                <w:rFonts w:hint="eastAsia" w:ascii="宋体" w:hAnsi="宋体" w:cs="宋体"/>
                <w:color w:val="auto"/>
                <w:sz w:val="22"/>
                <w:highlight w:val="none"/>
              </w:rPr>
              <w:t>洒水车</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2</w:t>
            </w:r>
          </w:p>
        </w:tc>
        <w:tc>
          <w:tcPr>
            <w:tcW w:w="2467" w:type="dxa"/>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洗扫一体车</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r>
      <w:tr>
        <w:trPr>
          <w:trHeight w:val="567" w:hRule="atLeast"/>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3</w:t>
            </w:r>
          </w:p>
        </w:tc>
        <w:tc>
          <w:tcPr>
            <w:tcW w:w="2467" w:type="dxa"/>
            <w:tcBorders>
              <w:top w:val="nil"/>
              <w:left w:val="nil"/>
              <w:bottom w:val="single" w:color="auto" w:sz="4" w:space="0"/>
              <w:right w:val="single" w:color="auto" w:sz="4" w:space="0"/>
            </w:tcBorders>
            <w:vAlign w:val="center"/>
          </w:tcPr>
          <w:p>
            <w:pPr>
              <w:jc w:val="center"/>
              <w:rPr>
                <w:rFonts w:hint="eastAsia" w:ascii="宋体" w:hAnsi="宋体" w:eastAsia="宋体" w:cs="宋体"/>
                <w:b/>
                <w:color w:val="auto"/>
                <w:sz w:val="22"/>
                <w:highlight w:val="none"/>
              </w:rPr>
            </w:pPr>
            <w:r>
              <w:rPr>
                <w:rFonts w:hint="eastAsia" w:ascii="宋体" w:hAnsi="宋体" w:eastAsia="宋体" w:cs="宋体"/>
                <w:color w:val="auto"/>
                <w:sz w:val="22"/>
                <w:highlight w:val="none"/>
              </w:rPr>
              <w:t>电动三轮高压冲洗车</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4</w:t>
            </w:r>
          </w:p>
        </w:tc>
        <w:tc>
          <w:tcPr>
            <w:tcW w:w="2467" w:type="dxa"/>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垃圾清运车（直运车）</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5</w:t>
            </w:r>
          </w:p>
        </w:tc>
        <w:tc>
          <w:tcPr>
            <w:tcW w:w="2467" w:type="dxa"/>
            <w:tcBorders>
              <w:top w:val="nil"/>
              <w:left w:val="nil"/>
              <w:bottom w:val="single" w:color="auto" w:sz="4" w:space="0"/>
              <w:right w:val="single" w:color="auto" w:sz="4" w:space="0"/>
            </w:tcBorders>
            <w:vAlign w:val="center"/>
          </w:tcPr>
          <w:p>
            <w:pPr>
              <w:jc w:val="center"/>
              <w:rPr>
                <w:rFonts w:hint="eastAsia" w:ascii="宋体" w:hAnsi="宋体" w:eastAsia="宋体" w:cs="宋体"/>
                <w:b/>
                <w:color w:val="auto"/>
                <w:sz w:val="22"/>
                <w:highlight w:val="none"/>
              </w:rPr>
            </w:pPr>
            <w:r>
              <w:rPr>
                <w:rFonts w:hint="eastAsia" w:ascii="宋体" w:hAnsi="宋体" w:eastAsia="宋体" w:cs="宋体"/>
                <w:color w:val="auto"/>
                <w:sz w:val="22"/>
                <w:highlight w:val="none"/>
              </w:rPr>
              <w:t>电动三轮车二分类垃圾收集车</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6</w:t>
            </w:r>
          </w:p>
        </w:tc>
        <w:tc>
          <w:tcPr>
            <w:tcW w:w="2467" w:type="dxa"/>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人力船或动力船</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7</w:t>
            </w:r>
          </w:p>
        </w:tc>
        <w:tc>
          <w:tcPr>
            <w:tcW w:w="246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b/>
                <w:color w:val="auto"/>
                <w:sz w:val="22"/>
                <w:highlight w:val="none"/>
              </w:rPr>
              <w:t>……</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8</w:t>
            </w:r>
          </w:p>
        </w:tc>
        <w:tc>
          <w:tcPr>
            <w:tcW w:w="246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9</w:t>
            </w:r>
          </w:p>
        </w:tc>
        <w:tc>
          <w:tcPr>
            <w:tcW w:w="246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10</w:t>
            </w:r>
          </w:p>
        </w:tc>
        <w:tc>
          <w:tcPr>
            <w:tcW w:w="246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11</w:t>
            </w:r>
          </w:p>
        </w:tc>
        <w:tc>
          <w:tcPr>
            <w:tcW w:w="246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567" w:hRule="atLeast"/>
        </w:trPr>
        <w:tc>
          <w:tcPr>
            <w:tcW w:w="88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246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合计</w:t>
            </w: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c>
          <w:tcPr>
            <w:tcW w:w="108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highlight w:val="none"/>
              </w:rPr>
            </w:pPr>
          </w:p>
        </w:tc>
      </w:tr>
    </w:tbl>
    <w:p>
      <w:pPr>
        <w:pStyle w:val="10"/>
        <w:spacing w:line="360" w:lineRule="auto"/>
        <w:ind w:firstLine="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注：1、本表所列为投标人中标后承诺购买的保洁机械化作业机具（如洒水车</w:t>
      </w:r>
      <w:r>
        <w:rPr>
          <w:rFonts w:hint="eastAsia" w:hAnsi="宋体" w:cs="宋体"/>
          <w:color w:val="auto"/>
          <w:sz w:val="22"/>
          <w:highlight w:val="none"/>
          <w:lang w:eastAsia="zh-CN"/>
        </w:rPr>
        <w:t>、</w:t>
      </w:r>
      <w:r>
        <w:rPr>
          <w:rFonts w:hint="eastAsia" w:ascii="宋体" w:hAnsi="宋体" w:eastAsia="宋体" w:cs="宋体"/>
          <w:color w:val="auto"/>
          <w:sz w:val="22"/>
          <w:highlight w:val="none"/>
        </w:rPr>
        <w:t>洗扫一体车</w:t>
      </w:r>
      <w:r>
        <w:rPr>
          <w:rFonts w:hint="eastAsia" w:hAnsi="宋体" w:cs="宋体"/>
          <w:color w:val="auto"/>
          <w:sz w:val="22"/>
          <w:highlight w:val="none"/>
          <w:lang w:eastAsia="zh-CN"/>
        </w:rPr>
        <w:t>、</w:t>
      </w:r>
      <w:r>
        <w:rPr>
          <w:rFonts w:hint="eastAsia" w:ascii="宋体" w:hAnsi="宋体" w:eastAsia="宋体" w:cs="宋体"/>
          <w:color w:val="auto"/>
          <w:sz w:val="22"/>
          <w:highlight w:val="none"/>
        </w:rPr>
        <w:t>电动三轮高压冲洗车船等）清单及项目实施所需要的设备及工具。</w:t>
      </w:r>
    </w:p>
    <w:p>
      <w:pPr>
        <w:pStyle w:val="10"/>
        <w:spacing w:line="360" w:lineRule="auto"/>
        <w:ind w:firstLine="0"/>
        <w:rPr>
          <w:rFonts w:hint="eastAsia" w:ascii="宋体" w:hAnsi="宋体" w:eastAsia="宋体" w:cs="宋体"/>
          <w:color w:val="auto"/>
          <w:sz w:val="22"/>
          <w:highlight w:val="none"/>
        </w:rPr>
      </w:pPr>
      <w:r>
        <w:rPr>
          <w:rFonts w:hint="eastAsia" w:ascii="宋体" w:hAnsi="宋体" w:eastAsia="宋体" w:cs="宋体"/>
          <w:color w:val="auto"/>
          <w:sz w:val="22"/>
          <w:highlight w:val="none"/>
        </w:rPr>
        <w:t>2、此表仅提供了表格形式，投标人可按此表格复制。</w:t>
      </w:r>
    </w:p>
    <w:p>
      <w:pPr>
        <w:pStyle w:val="10"/>
        <w:spacing w:line="360" w:lineRule="auto"/>
        <w:ind w:firstLine="0"/>
        <w:rPr>
          <w:rFonts w:hint="eastAsia" w:ascii="宋体" w:hAnsi="宋体" w:eastAsia="宋体" w:cs="宋体"/>
          <w:color w:val="auto"/>
          <w:sz w:val="22"/>
          <w:highlight w:val="none"/>
        </w:rPr>
      </w:pPr>
      <w:r>
        <w:rPr>
          <w:rFonts w:hint="eastAsia" w:ascii="宋体" w:hAnsi="宋体" w:eastAsia="宋体" w:cs="宋体"/>
          <w:color w:val="auto"/>
          <w:sz w:val="22"/>
          <w:highlight w:val="none"/>
        </w:rPr>
        <w:t>3、中标后必须按要求时间全部到位。</w:t>
      </w:r>
    </w:p>
    <w:p>
      <w:pPr>
        <w:spacing w:beforeLines="50" w:afterLines="50"/>
        <w:ind w:right="-10"/>
        <w:jc w:val="center"/>
        <w:rPr>
          <w:rFonts w:hint="eastAsia" w:ascii="宋体" w:hAnsi="宋体" w:eastAsia="宋体" w:cs="宋体"/>
          <w:color w:val="auto"/>
          <w:sz w:val="22"/>
          <w:highlight w:val="none"/>
        </w:rPr>
      </w:pPr>
    </w:p>
    <w:p>
      <w:pPr>
        <w:widowControl/>
        <w:spacing w:line="400" w:lineRule="exact"/>
        <w:rPr>
          <w:rFonts w:hint="eastAsia" w:ascii="宋体" w:hAnsi="宋体" w:eastAsia="宋体" w:cs="宋体"/>
          <w:color w:val="auto"/>
          <w:kern w:val="0"/>
          <w:sz w:val="22"/>
          <w:highlight w:val="none"/>
          <w:u w:val="single"/>
        </w:rPr>
      </w:pPr>
      <w:r>
        <w:rPr>
          <w:rFonts w:hint="eastAsia" w:ascii="宋体" w:hAnsi="宋体" w:eastAsia="宋体" w:cs="宋体"/>
          <w:color w:val="auto"/>
          <w:kern w:val="0"/>
          <w:sz w:val="22"/>
          <w:highlight w:val="none"/>
        </w:rPr>
        <w:t>投标人全称(电子签章)：</w:t>
      </w:r>
    </w:p>
    <w:p>
      <w:pPr>
        <w:widowControl/>
        <w:spacing w:line="40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法定代表人或授权代表(签字或盖章)：</w:t>
      </w:r>
    </w:p>
    <w:p>
      <w:pPr>
        <w:snapToGrid w:val="0"/>
        <w:spacing w:line="400" w:lineRule="exact"/>
        <w:jc w:val="lef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日期：    年    月    日</w:t>
      </w: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bCs/>
          <w:color w:val="auto"/>
          <w:sz w:val="24"/>
          <w:szCs w:val="24"/>
          <w:highlight w:val="none"/>
          <w:lang w:eastAsia="zh-CN"/>
        </w:rPr>
      </w:pPr>
      <w:r>
        <w:rPr>
          <w:rFonts w:hint="eastAsia" w:ascii="宋体" w:hAnsi="宋体" w:eastAsia="宋体" w:cs="宋体"/>
          <w:b/>
          <w:color w:val="auto"/>
          <w:sz w:val="24"/>
          <w:szCs w:val="24"/>
          <w:highlight w:val="none"/>
        </w:rPr>
        <w:t>附件1</w:t>
      </w:r>
      <w:r>
        <w:rPr>
          <w:rFonts w:hint="eastAsia" w:ascii="宋体" w:hAnsi="宋体" w:cs="宋体"/>
          <w:b/>
          <w:color w:val="auto"/>
          <w:sz w:val="24"/>
          <w:szCs w:val="24"/>
          <w:highlight w:val="none"/>
          <w:lang w:val="en-US" w:eastAsia="zh-CN"/>
        </w:rPr>
        <w:t>7</w:t>
      </w:r>
    </w:p>
    <w:bookmarkEnd w:id="7"/>
    <w:bookmarkEnd w:id="8"/>
    <w:bookmarkEnd w:id="9"/>
    <w:p>
      <w:pPr>
        <w:ind w:left="147" w:leftChars="70"/>
        <w:jc w:val="center"/>
        <w:rPr>
          <w:rFonts w:hint="eastAsia" w:ascii="宋体" w:hAnsi="宋体" w:eastAsia="宋体" w:cs="宋体"/>
          <w:b/>
          <w:color w:val="auto"/>
          <w:sz w:val="28"/>
          <w:szCs w:val="28"/>
          <w:highlight w:val="none"/>
        </w:rPr>
      </w:pPr>
    </w:p>
    <w:p>
      <w:pPr>
        <w:ind w:right="-10"/>
        <w:jc w:val="center"/>
        <w:rPr>
          <w:rFonts w:hint="eastAsia" w:ascii="宋体" w:hAnsi="宋体" w:eastAsia="宋体" w:cs="宋体"/>
          <w:b/>
          <w:bCs/>
          <w:color w:val="auto"/>
          <w:sz w:val="32"/>
          <w:szCs w:val="32"/>
          <w:highlight w:val="none"/>
        </w:rPr>
      </w:pPr>
      <w:bookmarkStart w:id="11" w:name="_Hlk63158362"/>
      <w:r>
        <w:rPr>
          <w:rFonts w:hint="eastAsia" w:ascii="宋体" w:hAnsi="宋体" w:eastAsia="宋体" w:cs="宋体"/>
          <w:b/>
          <w:bCs/>
          <w:color w:val="auto"/>
          <w:sz w:val="32"/>
          <w:szCs w:val="32"/>
          <w:highlight w:val="none"/>
        </w:rPr>
        <w:t>专车专用承诺书</w:t>
      </w:r>
    </w:p>
    <w:bookmarkEnd w:id="11"/>
    <w:p>
      <w:pPr>
        <w:spacing w:line="500" w:lineRule="exact"/>
        <w:rPr>
          <w:rFonts w:hint="eastAsia" w:ascii="宋体" w:hAnsi="宋体" w:eastAsia="宋体" w:cs="宋体"/>
          <w:color w:val="auto"/>
          <w:sz w:val="22"/>
          <w:highlight w:val="none"/>
        </w:rPr>
      </w:pPr>
    </w:p>
    <w:p>
      <w:pPr>
        <w:spacing w:line="48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温州市洞头区人民政府灵昆街道办事处</w:t>
      </w:r>
      <w:r>
        <w:rPr>
          <w:rFonts w:hint="eastAsia" w:ascii="宋体" w:hAnsi="宋体" w:eastAsia="宋体" w:cs="宋体"/>
          <w:color w:val="auto"/>
          <w:sz w:val="24"/>
          <w:szCs w:val="24"/>
          <w:highlight w:val="none"/>
        </w:rPr>
        <w:t>：</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我公司就</w:t>
      </w:r>
      <w:r>
        <w:rPr>
          <w:rFonts w:hint="eastAsia" w:ascii="宋体" w:hAnsi="宋体" w:cs="宋体"/>
          <w:color w:val="auto"/>
          <w:sz w:val="24"/>
          <w:szCs w:val="24"/>
          <w:highlight w:val="none"/>
          <w:lang w:eastAsia="zh-CN"/>
        </w:rPr>
        <w:t>2023年灵昆街道道路及河道保洁项目</w:t>
      </w:r>
      <w:r>
        <w:rPr>
          <w:rFonts w:hint="eastAsia" w:ascii="宋体" w:hAnsi="宋体" w:eastAsia="宋体" w:cs="宋体"/>
          <w:color w:val="auto"/>
          <w:sz w:val="24"/>
          <w:szCs w:val="24"/>
          <w:highlight w:val="none"/>
        </w:rPr>
        <w:t>（项目编号：</w:t>
      </w:r>
      <w:r>
        <w:rPr>
          <w:rFonts w:hint="eastAsia" w:ascii="宋体" w:hAnsi="宋体" w:eastAsia="宋体" w:cs="宋体"/>
          <w:b/>
          <w:bCs/>
          <w:color w:val="auto"/>
          <w:kern w:val="0"/>
          <w:sz w:val="24"/>
          <w:szCs w:val="24"/>
          <w:highlight w:val="none"/>
          <w:u w:val="single"/>
          <w:lang w:val="en-US" w:eastAsia="zh-CN"/>
        </w:rPr>
        <w:t xml:space="preserve">        </w:t>
      </w:r>
      <w:r>
        <w:rPr>
          <w:rFonts w:hint="eastAsia" w:ascii="宋体" w:hAnsi="宋体" w:eastAsia="宋体" w:cs="宋体"/>
          <w:color w:val="auto"/>
          <w:sz w:val="24"/>
          <w:szCs w:val="24"/>
          <w:highlight w:val="none"/>
        </w:rPr>
        <w:t>）的投标作如下承诺：</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若我公司在本项目中标，所投入本项目的机械车辆实行专车专用，未经采购人许可，不再用于其它项目的道路保洁清扫中，如不能履行上述承诺，采购人可以无责任取消合同，我公司对此无异议。</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特此承诺！</w:t>
      </w:r>
    </w:p>
    <w:p>
      <w:pPr>
        <w:tabs>
          <w:tab w:val="left" w:pos="840"/>
        </w:tabs>
        <w:adjustRightInd w:val="0"/>
        <w:snapToGrid w:val="0"/>
        <w:spacing w:line="480" w:lineRule="auto"/>
        <w:ind w:left="420" w:leftChars="200" w:firstLine="360" w:firstLineChars="150"/>
        <w:rPr>
          <w:rFonts w:hint="eastAsia" w:ascii="宋体" w:hAnsi="宋体" w:eastAsia="宋体" w:cs="宋体"/>
          <w:color w:val="auto"/>
          <w:sz w:val="24"/>
          <w:szCs w:val="24"/>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ind w:left="147" w:leftChars="70"/>
        <w:jc w:val="center"/>
        <w:rPr>
          <w:rFonts w:hint="eastAsia" w:ascii="宋体" w:hAnsi="宋体" w:eastAsia="宋体" w:cs="宋体"/>
          <w:b/>
          <w:color w:val="auto"/>
          <w:szCs w:val="21"/>
          <w:highlight w:val="none"/>
        </w:rPr>
      </w:pPr>
    </w:p>
    <w:p>
      <w:pPr>
        <w:ind w:left="147" w:leftChars="70"/>
        <w:jc w:val="center"/>
        <w:rPr>
          <w:rFonts w:hint="eastAsia" w:ascii="宋体" w:hAnsi="宋体" w:eastAsia="宋体" w:cs="宋体"/>
          <w:b/>
          <w:color w:val="auto"/>
          <w:sz w:val="28"/>
          <w:szCs w:val="28"/>
          <w:highlight w:val="none"/>
        </w:rPr>
      </w:pPr>
    </w:p>
    <w:p>
      <w:pPr>
        <w:ind w:left="147" w:leftChars="70"/>
        <w:jc w:val="center"/>
        <w:rPr>
          <w:rFonts w:hint="eastAsia" w:ascii="宋体" w:hAnsi="宋体" w:eastAsia="宋体" w:cs="宋体"/>
          <w:b/>
          <w:color w:val="auto"/>
          <w:sz w:val="28"/>
          <w:szCs w:val="28"/>
          <w:highlight w:val="none"/>
        </w:rPr>
      </w:pPr>
    </w:p>
    <w:p>
      <w:pPr>
        <w:ind w:left="147" w:leftChars="70"/>
        <w:jc w:val="center"/>
        <w:rPr>
          <w:rFonts w:hint="eastAsia" w:ascii="宋体" w:hAnsi="宋体" w:eastAsia="宋体" w:cs="宋体"/>
          <w:b/>
          <w:color w:val="auto"/>
          <w:sz w:val="28"/>
          <w:szCs w:val="28"/>
          <w:highlight w:val="none"/>
        </w:rPr>
      </w:pPr>
    </w:p>
    <w:p>
      <w:pPr>
        <w:ind w:left="147" w:leftChars="70"/>
        <w:jc w:val="center"/>
        <w:rPr>
          <w:rFonts w:hint="eastAsia" w:ascii="宋体" w:hAnsi="宋体" w:eastAsia="宋体" w:cs="宋体"/>
          <w:b/>
          <w:color w:val="auto"/>
          <w:sz w:val="28"/>
          <w:szCs w:val="28"/>
          <w:highlight w:val="none"/>
        </w:rPr>
      </w:pPr>
    </w:p>
    <w:p>
      <w:pPr>
        <w:ind w:left="147" w:leftChars="70"/>
        <w:jc w:val="center"/>
        <w:rPr>
          <w:rFonts w:hint="eastAsia" w:ascii="宋体" w:hAnsi="宋体" w:eastAsia="宋体" w:cs="宋体"/>
          <w:b/>
          <w:color w:val="auto"/>
          <w:sz w:val="28"/>
          <w:szCs w:val="28"/>
          <w:highlight w:val="none"/>
        </w:rPr>
      </w:pPr>
    </w:p>
    <w:p>
      <w:pPr>
        <w:ind w:left="147" w:leftChars="70"/>
        <w:jc w:val="center"/>
        <w:rPr>
          <w:rFonts w:hint="eastAsia" w:ascii="宋体" w:hAnsi="宋体" w:eastAsia="宋体" w:cs="宋体"/>
          <w:b/>
          <w:color w:val="auto"/>
          <w:sz w:val="28"/>
          <w:szCs w:val="28"/>
          <w:highlight w:val="none"/>
        </w:rPr>
      </w:pPr>
    </w:p>
    <w:p>
      <w:pPr>
        <w:ind w:left="147" w:leftChars="70"/>
        <w:jc w:val="center"/>
        <w:rPr>
          <w:rFonts w:hint="eastAsia" w:ascii="宋体" w:hAnsi="宋体" w:eastAsia="宋体" w:cs="宋体"/>
          <w:b/>
          <w:color w:val="auto"/>
          <w:sz w:val="28"/>
          <w:szCs w:val="28"/>
          <w:highlight w:val="none"/>
        </w:rPr>
      </w:pPr>
    </w:p>
    <w:p>
      <w:pPr>
        <w:ind w:left="147" w:leftChars="70"/>
        <w:jc w:val="center"/>
        <w:rPr>
          <w:rFonts w:hint="eastAsia" w:ascii="宋体" w:hAnsi="宋体" w:eastAsia="宋体" w:cs="宋体"/>
          <w:b/>
          <w:color w:val="auto"/>
          <w:sz w:val="28"/>
          <w:szCs w:val="28"/>
          <w:highlight w:val="none"/>
        </w:rPr>
      </w:pPr>
    </w:p>
    <w:p>
      <w:pPr>
        <w:ind w:left="147" w:leftChars="70"/>
        <w:jc w:val="center"/>
        <w:rPr>
          <w:rFonts w:hint="eastAsia" w:ascii="宋体" w:hAnsi="宋体" w:eastAsia="宋体" w:cs="宋体"/>
          <w:b/>
          <w:color w:val="auto"/>
          <w:sz w:val="28"/>
          <w:szCs w:val="28"/>
          <w:highlight w:val="none"/>
        </w:rPr>
      </w:pPr>
    </w:p>
    <w:p>
      <w:pPr>
        <w:ind w:left="147" w:leftChars="70"/>
        <w:jc w:val="center"/>
        <w:rPr>
          <w:rFonts w:hint="eastAsia" w:ascii="宋体" w:hAnsi="宋体" w:eastAsia="宋体" w:cs="宋体"/>
          <w:b/>
          <w:color w:val="auto"/>
          <w:sz w:val="28"/>
          <w:szCs w:val="28"/>
          <w:highlight w:val="none"/>
        </w:rPr>
      </w:pPr>
    </w:p>
    <w:p>
      <w:pPr>
        <w:ind w:left="147" w:leftChars="70"/>
        <w:jc w:val="center"/>
        <w:rPr>
          <w:rFonts w:hint="eastAsia" w:ascii="宋体" w:hAnsi="宋体" w:eastAsia="宋体" w:cs="宋体"/>
          <w:b/>
          <w:color w:val="auto"/>
          <w:sz w:val="28"/>
          <w:szCs w:val="28"/>
          <w:highlight w:val="none"/>
        </w:rPr>
      </w:pPr>
    </w:p>
    <w:p>
      <w:pPr>
        <w:ind w:left="147" w:leftChars="70"/>
        <w:jc w:val="center"/>
        <w:rPr>
          <w:rFonts w:hint="eastAsia" w:ascii="宋体" w:hAnsi="宋体" w:eastAsia="宋体" w:cs="宋体"/>
          <w:b/>
          <w:color w:val="auto"/>
          <w:sz w:val="28"/>
          <w:szCs w:val="28"/>
          <w:highlight w:val="none"/>
        </w:rPr>
      </w:pPr>
    </w:p>
    <w:p>
      <w:pPr>
        <w:ind w:left="147" w:leftChars="70"/>
        <w:jc w:val="center"/>
        <w:rPr>
          <w:rFonts w:hint="eastAsia" w:ascii="宋体" w:hAnsi="宋体" w:eastAsia="宋体" w:cs="宋体"/>
          <w:b/>
          <w:color w:val="auto"/>
          <w:sz w:val="28"/>
          <w:szCs w:val="28"/>
          <w:highlight w:val="none"/>
        </w:rPr>
      </w:pPr>
    </w:p>
    <w:p>
      <w:pPr>
        <w:ind w:left="147" w:leftChars="70"/>
        <w:jc w:val="center"/>
        <w:rPr>
          <w:rFonts w:hint="eastAsia" w:ascii="宋体" w:hAnsi="宋体" w:eastAsia="宋体" w:cs="宋体"/>
          <w:b/>
          <w:color w:val="auto"/>
          <w:sz w:val="28"/>
          <w:szCs w:val="28"/>
          <w:highlight w:val="none"/>
        </w:rPr>
      </w:pPr>
    </w:p>
    <w:p>
      <w:pPr>
        <w:ind w:left="147" w:leftChars="70"/>
        <w:jc w:val="center"/>
        <w:rPr>
          <w:rFonts w:hint="eastAsia" w:ascii="宋体" w:hAnsi="宋体" w:eastAsia="宋体" w:cs="宋体"/>
          <w:b/>
          <w:color w:val="auto"/>
          <w:sz w:val="28"/>
          <w:szCs w:val="28"/>
          <w:highlight w:val="none"/>
        </w:rPr>
      </w:pPr>
    </w:p>
    <w:p>
      <w:pPr>
        <w:ind w:left="147" w:leftChars="70"/>
        <w:jc w:val="center"/>
        <w:rPr>
          <w:rFonts w:hint="eastAsia" w:ascii="宋体" w:hAnsi="宋体" w:eastAsia="宋体" w:cs="宋体"/>
          <w:b/>
          <w:color w:val="auto"/>
          <w:sz w:val="28"/>
          <w:szCs w:val="28"/>
          <w:highlight w:val="none"/>
        </w:rPr>
      </w:pPr>
    </w:p>
    <w:p>
      <w:pPr>
        <w:ind w:left="147" w:leftChars="70"/>
        <w:jc w:val="center"/>
        <w:rPr>
          <w:rFonts w:hint="eastAsia" w:ascii="宋体" w:hAnsi="宋体" w:eastAsia="宋体" w:cs="宋体"/>
          <w:b/>
          <w:color w:val="auto"/>
          <w:sz w:val="28"/>
          <w:szCs w:val="28"/>
          <w:highlight w:val="none"/>
        </w:rPr>
      </w:pPr>
    </w:p>
    <w:p>
      <w:pPr>
        <w:spacing w:line="400" w:lineRule="exact"/>
        <w:rPr>
          <w:rFonts w:hint="default" w:ascii="宋体" w:hAnsi="宋体" w:eastAsia="宋体" w:cs="宋体"/>
          <w:b/>
          <w:bCs/>
          <w:color w:val="auto"/>
          <w:sz w:val="24"/>
          <w:szCs w:val="24"/>
          <w:highlight w:val="none"/>
          <w:lang w:val="en-US" w:eastAsia="zh-CN"/>
        </w:rPr>
      </w:pPr>
      <w:r>
        <w:rPr>
          <w:rFonts w:hint="eastAsia" w:ascii="宋体" w:hAnsi="宋体" w:eastAsia="宋体" w:cs="宋体"/>
          <w:b/>
          <w:color w:val="auto"/>
          <w:sz w:val="24"/>
          <w:szCs w:val="24"/>
          <w:highlight w:val="none"/>
        </w:rPr>
        <w:t>附件</w:t>
      </w:r>
      <w:r>
        <w:rPr>
          <w:rFonts w:hint="eastAsia" w:ascii="宋体" w:hAnsi="宋体" w:cs="宋体"/>
          <w:b/>
          <w:color w:val="auto"/>
          <w:sz w:val="24"/>
          <w:szCs w:val="24"/>
          <w:highlight w:val="none"/>
          <w:lang w:val="en-US" w:eastAsia="zh-CN"/>
        </w:rPr>
        <w:t>18</w:t>
      </w:r>
    </w:p>
    <w:p>
      <w:pPr>
        <w:ind w:left="147" w:leftChars="70"/>
        <w:jc w:val="center"/>
        <w:rPr>
          <w:rFonts w:hint="eastAsia" w:ascii="宋体" w:hAnsi="宋体" w:eastAsia="宋体" w:cs="宋体"/>
          <w:b/>
          <w:color w:val="auto"/>
          <w:sz w:val="28"/>
          <w:szCs w:val="28"/>
          <w:highlight w:val="none"/>
        </w:rPr>
      </w:pPr>
    </w:p>
    <w:p>
      <w:pPr>
        <w:ind w:left="147" w:leftChars="7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诚信投标承诺书</w:t>
      </w:r>
    </w:p>
    <w:p>
      <w:pPr>
        <w:spacing w:line="360" w:lineRule="auto"/>
        <w:ind w:right="-153" w:rightChars="-73"/>
        <w:rPr>
          <w:rFonts w:hint="eastAsia" w:ascii="宋体" w:hAnsi="宋体" w:eastAsia="宋体" w:cs="宋体"/>
          <w:color w:val="auto"/>
          <w:sz w:val="24"/>
          <w:highlight w:val="none"/>
        </w:rPr>
      </w:pPr>
    </w:p>
    <w:p>
      <w:pPr>
        <w:spacing w:line="560" w:lineRule="exact"/>
        <w:ind w:right="-153" w:rightChars="-73"/>
        <w:rPr>
          <w:rFonts w:hint="eastAsia" w:ascii="宋体" w:hAnsi="宋体" w:eastAsia="宋体" w:cs="宋体"/>
          <w:color w:val="auto"/>
          <w:sz w:val="24"/>
          <w:highlight w:val="none"/>
        </w:rPr>
      </w:pPr>
      <w:r>
        <w:rPr>
          <w:rFonts w:hint="eastAsia" w:ascii="宋体" w:hAnsi="宋体" w:cs="宋体"/>
          <w:color w:val="auto"/>
          <w:kern w:val="0"/>
          <w:sz w:val="24"/>
          <w:highlight w:val="none"/>
          <w:lang w:eastAsia="zh-CN"/>
        </w:rPr>
        <w:t>温州市洞头区人民政府灵昆街道办事处</w:t>
      </w:r>
      <w:r>
        <w:rPr>
          <w:rFonts w:hint="eastAsia" w:ascii="宋体" w:hAnsi="宋体" w:eastAsia="宋体" w:cs="宋体"/>
          <w:color w:val="auto"/>
          <w:sz w:val="24"/>
          <w:highlight w:val="none"/>
        </w:rPr>
        <w:t>：</w:t>
      </w:r>
    </w:p>
    <w:p>
      <w:pPr>
        <w:spacing w:line="560" w:lineRule="exact"/>
        <w:ind w:right="-153" w:rightChars="-73"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我公司参与</w:t>
      </w:r>
      <w:r>
        <w:rPr>
          <w:rFonts w:hint="eastAsia" w:ascii="宋体" w:hAnsi="宋体" w:eastAsia="宋体" w:cs="宋体"/>
          <w:color w:val="auto"/>
          <w:sz w:val="24"/>
          <w:highlight w:val="none"/>
          <w:u w:val="single"/>
        </w:rPr>
        <w:t xml:space="preserve">       （招标项目名称、编号）      </w:t>
      </w:r>
      <w:r>
        <w:rPr>
          <w:rFonts w:hint="eastAsia" w:ascii="宋体" w:hAnsi="宋体" w:eastAsia="宋体" w:cs="宋体"/>
          <w:color w:val="auto"/>
          <w:sz w:val="24"/>
          <w:highlight w:val="none"/>
        </w:rPr>
        <w:t>投标，本公司郑重承诺：</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1、自觉遵守《中华人民共和国政府采购法》等法律法规的规定。</w:t>
      </w:r>
    </w:p>
    <w:p>
      <w:pPr>
        <w:snapToGrid w:val="0"/>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2、在参加本项目政府采购活动前3年内在经营活动中没有重大违法记录。</w:t>
      </w:r>
    </w:p>
    <w:p>
      <w:pPr>
        <w:snapToGrid w:val="0"/>
        <w:spacing w:line="400" w:lineRule="exact"/>
        <w:ind w:left="839" w:leftChars="228" w:hanging="360" w:hanging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3、在参加本项目投标前未被列入“信用中国”网站（</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"http://www.creditchina.gov.cn" </w:instrText>
      </w:r>
      <w:r>
        <w:rPr>
          <w:rFonts w:hint="eastAsia" w:ascii="宋体" w:hAnsi="宋体" w:eastAsia="宋体" w:cs="宋体"/>
          <w:color w:val="auto"/>
          <w:highlight w:val="none"/>
        </w:rPr>
        <w:fldChar w:fldCharType="separate"/>
      </w:r>
      <w:r>
        <w:rPr>
          <w:rStyle w:val="32"/>
          <w:rFonts w:hint="eastAsia" w:ascii="宋体" w:hAnsi="宋体" w:eastAsia="宋体" w:cs="宋体"/>
          <w:color w:val="auto"/>
          <w:sz w:val="24"/>
          <w:highlight w:val="none"/>
        </w:rPr>
        <w:t>www.creditchina.gov.cn</w:t>
      </w:r>
      <w:r>
        <w:rPr>
          <w:rStyle w:val="32"/>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"http://www.creditchina.gov.cn)"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highlight w:val="none"/>
        </w:rPr>
        <w:t>“记录失信被执行人</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或重大税收违法案件当事人名单或政府采购严重违法失信行为”记录名单；不处于中国政府采购网(www.ccgp.gov.cn)“政府采购严重违法失信行为信息记录”中的禁止参加政府采购活动期间；</w:t>
      </w:r>
    </w:p>
    <w:p>
      <w:pPr>
        <w:snapToGrid w:val="0"/>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4、投标文件中所提供的材料真实有效，不存在虚假应标。</w:t>
      </w:r>
    </w:p>
    <w:p>
      <w:pPr>
        <w:snapToGrid w:val="0"/>
        <w:spacing w:line="400" w:lineRule="exact"/>
        <w:ind w:left="839" w:leftChars="228" w:hanging="360" w:hanging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5、如中标，将全面忠实的履行招标文件要求和投标文件所有响应与承诺，满足采购人采购需求。</w:t>
      </w:r>
    </w:p>
    <w:p>
      <w:pPr>
        <w:snapToGrid w:val="0"/>
        <w:spacing w:line="400" w:lineRule="exact"/>
        <w:ind w:left="839" w:leftChars="228" w:hanging="360" w:hanging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6、我方保证出具的抽样单和检验报告盖章落款单位名称与我方投标时所用单位名称一致。</w:t>
      </w:r>
    </w:p>
    <w:p>
      <w:pPr>
        <w:snapToGrid w:val="0"/>
        <w:spacing w:line="400" w:lineRule="exact"/>
        <w:ind w:left="839" w:leftChars="228" w:hanging="360" w:hanging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7、保证绝不采取不正当手段诋毁排挤其他投标人。</w:t>
      </w:r>
    </w:p>
    <w:p>
      <w:pPr>
        <w:snapToGrid w:val="0"/>
        <w:spacing w:line="400" w:lineRule="exact"/>
        <w:ind w:left="839" w:leftChars="228" w:hanging="360" w:hanging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8、保证绝不向采购人、采购代理机构有关工作人员提供不正当利益，以影响采购结果的公正性。</w:t>
      </w:r>
    </w:p>
    <w:p>
      <w:pPr>
        <w:snapToGrid w:val="0"/>
        <w:spacing w:line="360" w:lineRule="auto"/>
        <w:ind w:left="839" w:leftChars="228" w:hanging="360" w:hanging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9、如中标，将全面忠实的履行投标文件所有响应与承诺，在规定的时间内与采购人签订采购合同，并按要求向采购人缴纳履约保证金。</w:t>
      </w:r>
    </w:p>
    <w:p>
      <w:pPr>
        <w:snapToGrid w:val="0"/>
        <w:spacing w:line="360" w:lineRule="auto"/>
        <w:ind w:firstLine="480" w:firstLineChars="200"/>
        <w:rPr>
          <w:rFonts w:hint="eastAsia" w:ascii="宋体" w:hAnsi="宋体" w:eastAsia="宋体" w:cs="宋体"/>
          <w:color w:val="auto"/>
          <w:sz w:val="24"/>
          <w:highlight w:val="none"/>
        </w:rPr>
      </w:pPr>
    </w:p>
    <w:p>
      <w:pPr>
        <w:snapToGrid w:val="0"/>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我公司若违反上述承诺，愿接受取消投标（中标）资格及其他任何形式的处理。</w:t>
      </w:r>
    </w:p>
    <w:p>
      <w:pPr>
        <w:snapToGrid w:val="0"/>
        <w:spacing w:line="560" w:lineRule="exact"/>
        <w:ind w:firstLine="420" w:firstLineChars="175"/>
        <w:rPr>
          <w:rFonts w:hint="eastAsia" w:ascii="宋体" w:hAnsi="宋体" w:eastAsia="宋体" w:cs="宋体"/>
          <w:color w:val="auto"/>
          <w:sz w:val="24"/>
          <w:highlight w:val="none"/>
        </w:rPr>
      </w:pPr>
    </w:p>
    <w:p>
      <w:pPr>
        <w:spacing w:line="400" w:lineRule="exact"/>
        <w:ind w:firstLine="5611" w:firstLineChars="2338"/>
        <w:textAlignment w:val="baseline"/>
        <w:rPr>
          <w:rFonts w:hint="eastAsia" w:ascii="宋体" w:hAnsi="宋体" w:eastAsia="宋体" w:cs="宋体"/>
          <w:color w:val="auto"/>
          <w:sz w:val="24"/>
          <w:highlight w:val="none"/>
        </w:rPr>
      </w:pPr>
    </w:p>
    <w:p>
      <w:pPr>
        <w:widowControl/>
        <w:spacing w:line="400" w:lineRule="exac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投标人全称(电子签章)：</w:t>
      </w:r>
    </w:p>
    <w:p>
      <w:pPr>
        <w:widowControl/>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法定代表人或授权代表(签字或盖章)：</w:t>
      </w:r>
    </w:p>
    <w:p>
      <w:pPr>
        <w:snapToGrid w:val="0"/>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pStyle w:val="2"/>
        <w:ind w:firstLine="321"/>
        <w:rPr>
          <w:rFonts w:hint="eastAsia" w:ascii="宋体" w:hAnsi="宋体" w:eastAsia="宋体" w:cs="宋体"/>
          <w:color w:val="auto"/>
          <w:highlight w:val="none"/>
        </w:rPr>
      </w:pPr>
    </w:p>
    <w:p>
      <w:pPr>
        <w:pStyle w:val="14"/>
        <w:ind w:left="1470" w:right="1470"/>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第五部分 采购需求</w:t>
      </w:r>
    </w:p>
    <w:p>
      <w:pPr>
        <w:pStyle w:val="15"/>
        <w:keepNext w:val="0"/>
        <w:keepLines w:val="0"/>
        <w:pageBreakBefore w:val="0"/>
        <w:kinsoku/>
        <w:wordWrap/>
        <w:topLinePunct w:val="0"/>
        <w:bidi w:val="0"/>
        <w:snapToGrid w:val="0"/>
        <w:spacing w:line="360" w:lineRule="auto"/>
        <w:ind w:left="0" w:leftChars="0" w:firstLine="442" w:firstLineChars="200"/>
        <w:outlineLvl w:val="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一.采购内容及数量</w:t>
      </w:r>
    </w:p>
    <w:tbl>
      <w:tblPr>
        <w:tblStyle w:val="28"/>
        <w:tblW w:w="8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3819"/>
        <w:gridCol w:w="1697"/>
        <w:gridCol w:w="1122"/>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3" w:type="dxa"/>
            <w:vAlign w:val="center"/>
          </w:tcPr>
          <w:p>
            <w:pPr>
              <w:keepNext w:val="0"/>
              <w:keepLines w:val="0"/>
              <w:pageBreakBefore w:val="0"/>
              <w:kinsoku/>
              <w:wordWrap/>
              <w:topLinePunct w:val="0"/>
              <w:bidi w:val="0"/>
              <w:spacing w:line="240" w:lineRule="auto"/>
              <w:ind w:left="0" w:leftChars="0"/>
              <w:jc w:val="center"/>
              <w:rPr>
                <w:rFonts w:hint="eastAsia" w:ascii="宋体" w:hAnsi="宋体" w:eastAsia="宋体" w:cs="宋体"/>
                <w:b/>
                <w:color w:val="auto"/>
                <w:spacing w:val="-6"/>
                <w:sz w:val="22"/>
                <w:szCs w:val="22"/>
                <w:highlight w:val="none"/>
              </w:rPr>
            </w:pPr>
            <w:r>
              <w:rPr>
                <w:rFonts w:hint="eastAsia" w:ascii="宋体" w:hAnsi="宋体" w:eastAsia="宋体" w:cs="宋体"/>
                <w:b/>
                <w:color w:val="auto"/>
                <w:spacing w:val="-6"/>
                <w:sz w:val="22"/>
                <w:szCs w:val="22"/>
                <w:highlight w:val="none"/>
              </w:rPr>
              <w:t>序号</w:t>
            </w:r>
          </w:p>
        </w:tc>
        <w:tc>
          <w:tcPr>
            <w:tcW w:w="3819" w:type="dxa"/>
            <w:vAlign w:val="center"/>
          </w:tcPr>
          <w:p>
            <w:pPr>
              <w:keepNext w:val="0"/>
              <w:keepLines w:val="0"/>
              <w:pageBreakBefore w:val="0"/>
              <w:kinsoku/>
              <w:wordWrap/>
              <w:topLinePunct w:val="0"/>
              <w:bidi w:val="0"/>
              <w:spacing w:line="240" w:lineRule="auto"/>
              <w:ind w:left="0" w:leftChars="0"/>
              <w:jc w:val="center"/>
              <w:rPr>
                <w:rFonts w:hint="eastAsia" w:ascii="宋体" w:hAnsi="宋体" w:eastAsia="宋体" w:cs="宋体"/>
                <w:b/>
                <w:color w:val="auto"/>
                <w:spacing w:val="-6"/>
                <w:sz w:val="22"/>
                <w:szCs w:val="22"/>
                <w:highlight w:val="none"/>
              </w:rPr>
            </w:pPr>
            <w:r>
              <w:rPr>
                <w:rFonts w:hint="eastAsia" w:ascii="宋体" w:hAnsi="宋体" w:eastAsia="宋体" w:cs="宋体"/>
                <w:b/>
                <w:color w:val="auto"/>
                <w:spacing w:val="-6"/>
                <w:sz w:val="22"/>
                <w:szCs w:val="22"/>
                <w:highlight w:val="none"/>
              </w:rPr>
              <w:t>项目名称</w:t>
            </w:r>
          </w:p>
        </w:tc>
        <w:tc>
          <w:tcPr>
            <w:tcW w:w="1697" w:type="dxa"/>
            <w:vAlign w:val="center"/>
          </w:tcPr>
          <w:p>
            <w:pPr>
              <w:keepNext w:val="0"/>
              <w:keepLines w:val="0"/>
              <w:pageBreakBefore w:val="0"/>
              <w:kinsoku/>
              <w:wordWrap/>
              <w:topLinePunct w:val="0"/>
              <w:bidi w:val="0"/>
              <w:spacing w:line="240" w:lineRule="auto"/>
              <w:ind w:left="0" w:leftChars="0"/>
              <w:jc w:val="center"/>
              <w:rPr>
                <w:rFonts w:hint="eastAsia" w:ascii="宋体" w:hAnsi="宋体" w:eastAsia="宋体" w:cs="宋体"/>
                <w:b/>
                <w:color w:val="auto"/>
                <w:spacing w:val="-6"/>
                <w:sz w:val="22"/>
                <w:szCs w:val="22"/>
                <w:highlight w:val="none"/>
              </w:rPr>
            </w:pPr>
            <w:r>
              <w:rPr>
                <w:rFonts w:hint="eastAsia" w:ascii="宋体" w:hAnsi="宋体" w:eastAsia="宋体" w:cs="宋体"/>
                <w:b/>
                <w:color w:val="auto"/>
                <w:spacing w:val="-6"/>
                <w:sz w:val="22"/>
                <w:szCs w:val="22"/>
                <w:highlight w:val="none"/>
              </w:rPr>
              <w:t>预算金额(元）</w:t>
            </w:r>
          </w:p>
        </w:tc>
        <w:tc>
          <w:tcPr>
            <w:tcW w:w="1122" w:type="dxa"/>
            <w:vAlign w:val="center"/>
          </w:tcPr>
          <w:p>
            <w:pPr>
              <w:keepNext w:val="0"/>
              <w:keepLines w:val="0"/>
              <w:pageBreakBefore w:val="0"/>
              <w:kinsoku/>
              <w:wordWrap/>
              <w:topLinePunct w:val="0"/>
              <w:bidi w:val="0"/>
              <w:spacing w:line="240" w:lineRule="auto"/>
              <w:ind w:left="0" w:leftChars="0"/>
              <w:jc w:val="center"/>
              <w:rPr>
                <w:rFonts w:hint="eastAsia" w:ascii="宋体" w:hAnsi="宋体" w:eastAsia="宋体" w:cs="宋体"/>
                <w:b/>
                <w:bCs/>
                <w:color w:val="auto"/>
                <w:spacing w:val="-6"/>
                <w:sz w:val="22"/>
                <w:szCs w:val="22"/>
                <w:highlight w:val="none"/>
              </w:rPr>
            </w:pPr>
            <w:r>
              <w:rPr>
                <w:rFonts w:hint="eastAsia" w:ascii="宋体" w:hAnsi="宋体" w:eastAsia="宋体" w:cs="宋体"/>
                <w:b/>
                <w:bCs/>
                <w:color w:val="auto"/>
                <w:spacing w:val="-6"/>
                <w:sz w:val="22"/>
                <w:szCs w:val="22"/>
                <w:highlight w:val="none"/>
              </w:rPr>
              <w:t>服务年限</w:t>
            </w:r>
          </w:p>
        </w:tc>
        <w:tc>
          <w:tcPr>
            <w:tcW w:w="1122" w:type="dxa"/>
            <w:vAlign w:val="center"/>
          </w:tcPr>
          <w:p>
            <w:pPr>
              <w:keepNext w:val="0"/>
              <w:keepLines w:val="0"/>
              <w:pageBreakBefore w:val="0"/>
              <w:kinsoku/>
              <w:wordWrap/>
              <w:topLinePunct w:val="0"/>
              <w:bidi w:val="0"/>
              <w:spacing w:line="240" w:lineRule="auto"/>
              <w:ind w:left="0" w:leftChars="0"/>
              <w:jc w:val="center"/>
              <w:rPr>
                <w:rFonts w:hint="eastAsia" w:ascii="宋体" w:hAnsi="宋体" w:eastAsia="宋体" w:cs="宋体"/>
                <w:b/>
                <w:bCs/>
                <w:color w:val="auto"/>
                <w:spacing w:val="-6"/>
                <w:sz w:val="22"/>
                <w:szCs w:val="22"/>
                <w:highlight w:val="none"/>
              </w:rPr>
            </w:pPr>
            <w:r>
              <w:rPr>
                <w:rFonts w:hint="eastAsia" w:ascii="宋体" w:hAnsi="宋体" w:eastAsia="宋体" w:cs="宋体"/>
                <w:b/>
                <w:bCs/>
                <w:color w:val="auto"/>
                <w:spacing w:val="-6"/>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3" w:type="dxa"/>
            <w:vAlign w:val="center"/>
          </w:tcPr>
          <w:p>
            <w:pPr>
              <w:keepNext w:val="0"/>
              <w:keepLines w:val="0"/>
              <w:pageBreakBefore w:val="0"/>
              <w:kinsoku/>
              <w:wordWrap/>
              <w:topLinePunct w:val="0"/>
              <w:bidi w:val="0"/>
              <w:spacing w:line="240" w:lineRule="auto"/>
              <w:ind w:left="0" w:leftChars="0"/>
              <w:jc w:val="center"/>
              <w:rPr>
                <w:rFonts w:hint="eastAsia" w:ascii="宋体" w:hAnsi="宋体" w:eastAsia="宋体" w:cs="宋体"/>
                <w:b/>
                <w:color w:val="auto"/>
                <w:spacing w:val="-6"/>
                <w:sz w:val="22"/>
                <w:szCs w:val="22"/>
                <w:highlight w:val="none"/>
              </w:rPr>
            </w:pPr>
            <w:r>
              <w:rPr>
                <w:rFonts w:hint="eastAsia" w:ascii="宋体" w:hAnsi="宋体" w:eastAsia="宋体" w:cs="宋体"/>
                <w:bCs/>
                <w:color w:val="auto"/>
                <w:spacing w:val="-6"/>
                <w:sz w:val="22"/>
                <w:szCs w:val="22"/>
                <w:highlight w:val="none"/>
              </w:rPr>
              <w:t>1</w:t>
            </w:r>
          </w:p>
        </w:tc>
        <w:tc>
          <w:tcPr>
            <w:tcW w:w="3819" w:type="dxa"/>
            <w:vAlign w:val="center"/>
          </w:tcPr>
          <w:p>
            <w:pPr>
              <w:keepNext w:val="0"/>
              <w:keepLines w:val="0"/>
              <w:pageBreakBefore w:val="0"/>
              <w:kinsoku/>
              <w:wordWrap/>
              <w:topLinePunct w:val="0"/>
              <w:bidi w:val="0"/>
              <w:spacing w:line="240" w:lineRule="auto"/>
              <w:ind w:left="0" w:leftChars="0"/>
              <w:jc w:val="center"/>
              <w:rPr>
                <w:rFonts w:hint="eastAsia" w:ascii="宋体" w:hAnsi="宋体" w:eastAsia="宋体" w:cs="宋体"/>
                <w:bCs/>
                <w:color w:val="auto"/>
                <w:spacing w:val="-6"/>
                <w:sz w:val="22"/>
                <w:szCs w:val="22"/>
                <w:highlight w:val="none"/>
                <w:lang w:eastAsia="zh-CN"/>
              </w:rPr>
            </w:pPr>
            <w:r>
              <w:rPr>
                <w:rFonts w:hint="eastAsia" w:ascii="宋体" w:hAnsi="宋体" w:cs="宋体"/>
                <w:bCs/>
                <w:color w:val="auto"/>
                <w:spacing w:val="-6"/>
                <w:sz w:val="22"/>
                <w:szCs w:val="22"/>
                <w:highlight w:val="none"/>
                <w:lang w:eastAsia="zh-CN"/>
              </w:rPr>
              <w:t>2023年灵昆街道道路及河道保洁项目</w:t>
            </w:r>
          </w:p>
        </w:tc>
        <w:tc>
          <w:tcPr>
            <w:tcW w:w="1697" w:type="dxa"/>
            <w:vAlign w:val="center"/>
          </w:tcPr>
          <w:p>
            <w:pPr>
              <w:keepNext w:val="0"/>
              <w:keepLines w:val="0"/>
              <w:pageBreakBefore w:val="0"/>
              <w:kinsoku/>
              <w:wordWrap/>
              <w:topLinePunct w:val="0"/>
              <w:bidi w:val="0"/>
              <w:spacing w:line="240" w:lineRule="auto"/>
              <w:ind w:left="0" w:leftChars="0"/>
              <w:jc w:val="center"/>
              <w:rPr>
                <w:rFonts w:hint="default" w:ascii="宋体" w:hAnsi="宋体" w:eastAsia="宋体" w:cs="宋体"/>
                <w:bCs/>
                <w:color w:val="auto"/>
                <w:spacing w:val="-6"/>
                <w:sz w:val="22"/>
                <w:szCs w:val="22"/>
                <w:highlight w:val="none"/>
                <w:lang w:val="en-US" w:eastAsia="zh-CN"/>
              </w:rPr>
            </w:pPr>
            <w:r>
              <w:rPr>
                <w:rFonts w:hint="eastAsia" w:ascii="宋体" w:hAnsi="宋体" w:eastAsia="宋体" w:cs="宋体"/>
                <w:bCs/>
                <w:color w:val="auto"/>
                <w:spacing w:val="-6"/>
                <w:sz w:val="22"/>
                <w:szCs w:val="22"/>
                <w:highlight w:val="none"/>
                <w:lang w:val="en-US" w:eastAsia="zh-CN"/>
              </w:rPr>
              <w:t>9430000</w:t>
            </w:r>
          </w:p>
        </w:tc>
        <w:tc>
          <w:tcPr>
            <w:tcW w:w="1122" w:type="dxa"/>
            <w:vAlign w:val="center"/>
          </w:tcPr>
          <w:p>
            <w:pPr>
              <w:keepNext w:val="0"/>
              <w:keepLines w:val="0"/>
              <w:pageBreakBefore w:val="0"/>
              <w:kinsoku/>
              <w:wordWrap/>
              <w:topLinePunct w:val="0"/>
              <w:bidi w:val="0"/>
              <w:spacing w:line="240" w:lineRule="auto"/>
              <w:ind w:left="0" w:leftChars="0"/>
              <w:jc w:val="center"/>
              <w:rPr>
                <w:rFonts w:hint="eastAsia" w:ascii="宋体" w:hAnsi="宋体" w:eastAsia="宋体" w:cs="宋体"/>
                <w:b/>
                <w:bCs/>
                <w:color w:val="auto"/>
                <w:spacing w:val="-6"/>
                <w:sz w:val="22"/>
                <w:szCs w:val="22"/>
                <w:highlight w:val="none"/>
                <w:lang w:eastAsia="zh-CN"/>
              </w:rPr>
            </w:pPr>
            <w:r>
              <w:rPr>
                <w:rFonts w:hint="eastAsia" w:ascii="宋体" w:hAnsi="宋体" w:cs="宋体"/>
                <w:bCs/>
                <w:color w:val="auto"/>
                <w:spacing w:val="-6"/>
                <w:sz w:val="22"/>
                <w:szCs w:val="22"/>
                <w:highlight w:val="none"/>
                <w:lang w:eastAsia="zh-CN"/>
              </w:rPr>
              <w:t>一年</w:t>
            </w:r>
          </w:p>
        </w:tc>
        <w:tc>
          <w:tcPr>
            <w:tcW w:w="1122" w:type="dxa"/>
            <w:vAlign w:val="center"/>
          </w:tcPr>
          <w:p>
            <w:pPr>
              <w:keepNext w:val="0"/>
              <w:keepLines w:val="0"/>
              <w:pageBreakBefore w:val="0"/>
              <w:kinsoku/>
              <w:wordWrap/>
              <w:topLinePunct w:val="0"/>
              <w:bidi w:val="0"/>
              <w:spacing w:line="240" w:lineRule="auto"/>
              <w:ind w:left="0" w:leftChars="0"/>
              <w:jc w:val="center"/>
              <w:rPr>
                <w:rFonts w:hint="eastAsia" w:ascii="宋体" w:hAnsi="宋体" w:eastAsia="宋体" w:cs="宋体"/>
                <w:b/>
                <w:bCs/>
                <w:color w:val="auto"/>
                <w:spacing w:val="-6"/>
                <w:sz w:val="22"/>
                <w:szCs w:val="22"/>
                <w:highlight w:val="none"/>
              </w:rPr>
            </w:pPr>
          </w:p>
        </w:tc>
      </w:tr>
    </w:tbl>
    <w:p>
      <w:pPr>
        <w:keepNext w:val="0"/>
        <w:keepLines w:val="0"/>
        <w:pageBreakBefore w:val="0"/>
        <w:kinsoku/>
        <w:wordWrap/>
        <w:topLinePunct w:val="0"/>
        <w:bidi w:val="0"/>
        <w:spacing w:before="159" w:beforeLines="50" w:beforeAutospacing="0" w:line="360" w:lineRule="auto"/>
        <w:ind w:left="0" w:leftChars="0" w:firstLine="442" w:firstLineChars="20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二.为落实政府采购政策需满足的要求：</w:t>
      </w:r>
    </w:p>
    <w:tbl>
      <w:tblPr>
        <w:tblStyle w:val="28"/>
        <w:tblW w:w="8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2988"/>
        <w:gridCol w:w="4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Align w:val="center"/>
          </w:tcPr>
          <w:p>
            <w:pPr>
              <w:keepNext w:val="0"/>
              <w:keepLines w:val="0"/>
              <w:pageBreakBefore w:val="0"/>
              <w:kinsoku/>
              <w:wordWrap/>
              <w:topLinePunct w:val="0"/>
              <w:bidi w:val="0"/>
              <w:spacing w:line="240" w:lineRule="auto"/>
              <w:ind w:left="0" w:left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2988" w:type="dxa"/>
            <w:vAlign w:val="center"/>
          </w:tcPr>
          <w:p>
            <w:pPr>
              <w:keepNext w:val="0"/>
              <w:keepLines w:val="0"/>
              <w:pageBreakBefore w:val="0"/>
              <w:kinsoku/>
              <w:wordWrap/>
              <w:topLinePunct w:val="0"/>
              <w:bidi w:val="0"/>
              <w:spacing w:line="240" w:lineRule="auto"/>
              <w:ind w:left="0" w:left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政策名称</w:t>
            </w:r>
          </w:p>
        </w:tc>
        <w:tc>
          <w:tcPr>
            <w:tcW w:w="4900" w:type="dxa"/>
            <w:vAlign w:val="center"/>
          </w:tcPr>
          <w:p>
            <w:pPr>
              <w:keepNext w:val="0"/>
              <w:keepLines w:val="0"/>
              <w:pageBreakBefore w:val="0"/>
              <w:kinsoku/>
              <w:wordWrap/>
              <w:topLinePunct w:val="0"/>
              <w:bidi w:val="0"/>
              <w:spacing w:line="240" w:lineRule="auto"/>
              <w:ind w:left="0" w:left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Align w:val="center"/>
          </w:tcPr>
          <w:p>
            <w:pPr>
              <w:keepNext w:val="0"/>
              <w:keepLines w:val="0"/>
              <w:pageBreakBefore w:val="0"/>
              <w:kinsoku/>
              <w:wordWrap/>
              <w:topLinePunct w:val="0"/>
              <w:bidi w:val="0"/>
              <w:spacing w:line="240" w:lineRule="auto"/>
              <w:ind w:left="0" w:left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2988" w:type="dxa"/>
            <w:vAlign w:val="center"/>
          </w:tcPr>
          <w:p>
            <w:pPr>
              <w:keepNext w:val="0"/>
              <w:keepLines w:val="0"/>
              <w:pageBreakBefore w:val="0"/>
              <w:kinsoku/>
              <w:wordWrap/>
              <w:topLinePunct w:val="0"/>
              <w:bidi w:val="0"/>
              <w:spacing w:line="240" w:lineRule="auto"/>
              <w:ind w:left="0" w:leftChars="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政府采购促进中小企业发展</w:t>
            </w:r>
          </w:p>
        </w:tc>
        <w:tc>
          <w:tcPr>
            <w:tcW w:w="4900" w:type="dxa"/>
            <w:vAlign w:val="center"/>
          </w:tcPr>
          <w:p>
            <w:pPr>
              <w:keepNext w:val="0"/>
              <w:keepLines w:val="0"/>
              <w:pageBreakBefore w:val="0"/>
              <w:kinsoku/>
              <w:wordWrap/>
              <w:topLinePunct w:val="0"/>
              <w:bidi w:val="0"/>
              <w:spacing w:line="240" w:lineRule="auto"/>
              <w:ind w:left="0" w:left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提供材料详见招标文件第四部分附件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Align w:val="center"/>
          </w:tcPr>
          <w:p>
            <w:pPr>
              <w:keepNext w:val="0"/>
              <w:keepLines w:val="0"/>
              <w:pageBreakBefore w:val="0"/>
              <w:kinsoku/>
              <w:wordWrap/>
              <w:topLinePunct w:val="0"/>
              <w:bidi w:val="0"/>
              <w:spacing w:line="240" w:lineRule="auto"/>
              <w:ind w:left="0" w:left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2988" w:type="dxa"/>
            <w:vAlign w:val="center"/>
          </w:tcPr>
          <w:p>
            <w:pPr>
              <w:keepNext w:val="0"/>
              <w:keepLines w:val="0"/>
              <w:pageBreakBefore w:val="0"/>
              <w:kinsoku/>
              <w:wordWrap/>
              <w:topLinePunct w:val="0"/>
              <w:bidi w:val="0"/>
              <w:spacing w:line="240" w:lineRule="auto"/>
              <w:ind w:left="0" w:leftChars="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政府采购支持监狱企业发展</w:t>
            </w:r>
          </w:p>
        </w:tc>
        <w:tc>
          <w:tcPr>
            <w:tcW w:w="4900" w:type="dxa"/>
            <w:vAlign w:val="center"/>
          </w:tcPr>
          <w:p>
            <w:pPr>
              <w:keepNext w:val="0"/>
              <w:keepLines w:val="0"/>
              <w:pageBreakBefore w:val="0"/>
              <w:kinsoku/>
              <w:wordWrap/>
              <w:topLinePunct w:val="0"/>
              <w:bidi w:val="0"/>
              <w:spacing w:line="240" w:lineRule="auto"/>
              <w:ind w:left="0" w:leftChars="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Align w:val="center"/>
          </w:tcPr>
          <w:p>
            <w:pPr>
              <w:keepNext w:val="0"/>
              <w:keepLines w:val="0"/>
              <w:pageBreakBefore w:val="0"/>
              <w:kinsoku/>
              <w:wordWrap/>
              <w:topLinePunct w:val="0"/>
              <w:bidi w:val="0"/>
              <w:spacing w:line="240" w:lineRule="auto"/>
              <w:ind w:left="0" w:left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2988" w:type="dxa"/>
            <w:vAlign w:val="center"/>
          </w:tcPr>
          <w:p>
            <w:pPr>
              <w:keepNext w:val="0"/>
              <w:keepLines w:val="0"/>
              <w:pageBreakBefore w:val="0"/>
              <w:kinsoku/>
              <w:wordWrap/>
              <w:topLinePunct w:val="0"/>
              <w:bidi w:val="0"/>
              <w:spacing w:line="240" w:lineRule="auto"/>
              <w:ind w:left="0" w:leftChars="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政府采购促进残疾人就业</w:t>
            </w:r>
          </w:p>
        </w:tc>
        <w:tc>
          <w:tcPr>
            <w:tcW w:w="4900" w:type="dxa"/>
            <w:vAlign w:val="center"/>
          </w:tcPr>
          <w:p>
            <w:pPr>
              <w:keepNext w:val="0"/>
              <w:keepLines w:val="0"/>
              <w:pageBreakBefore w:val="0"/>
              <w:kinsoku/>
              <w:wordWrap/>
              <w:topLinePunct w:val="0"/>
              <w:bidi w:val="0"/>
              <w:spacing w:line="240" w:lineRule="auto"/>
              <w:ind w:left="0" w:left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Align w:val="center"/>
          </w:tcPr>
          <w:p>
            <w:pPr>
              <w:keepNext w:val="0"/>
              <w:keepLines w:val="0"/>
              <w:pageBreakBefore w:val="0"/>
              <w:kinsoku/>
              <w:wordWrap/>
              <w:topLinePunct w:val="0"/>
              <w:bidi w:val="0"/>
              <w:spacing w:line="240" w:lineRule="auto"/>
              <w:ind w:left="0" w:left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2988" w:type="dxa"/>
            <w:vAlign w:val="center"/>
          </w:tcPr>
          <w:p>
            <w:pPr>
              <w:keepNext w:val="0"/>
              <w:keepLines w:val="0"/>
              <w:pageBreakBefore w:val="0"/>
              <w:kinsoku/>
              <w:wordWrap/>
              <w:topLinePunct w:val="0"/>
              <w:bidi w:val="0"/>
              <w:spacing w:line="240" w:lineRule="auto"/>
              <w:ind w:left="0" w:leftChars="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政府采购节能环保产品</w:t>
            </w:r>
          </w:p>
        </w:tc>
        <w:tc>
          <w:tcPr>
            <w:tcW w:w="4900" w:type="dxa"/>
            <w:vAlign w:val="center"/>
          </w:tcPr>
          <w:p>
            <w:pPr>
              <w:keepNext w:val="0"/>
              <w:keepLines w:val="0"/>
              <w:pageBreakBefore w:val="0"/>
              <w:kinsoku/>
              <w:wordWrap/>
              <w:topLinePunct w:val="0"/>
              <w:bidi w:val="0"/>
              <w:spacing w:line="240" w:lineRule="auto"/>
              <w:ind w:left="0" w:left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vAlign w:val="center"/>
          </w:tcPr>
          <w:p>
            <w:pPr>
              <w:keepNext w:val="0"/>
              <w:keepLines w:val="0"/>
              <w:pageBreakBefore w:val="0"/>
              <w:kinsoku/>
              <w:wordWrap/>
              <w:topLinePunct w:val="0"/>
              <w:bidi w:val="0"/>
              <w:spacing w:line="240" w:lineRule="auto"/>
              <w:ind w:left="0" w:left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2988" w:type="dxa"/>
            <w:vAlign w:val="center"/>
          </w:tcPr>
          <w:p>
            <w:pPr>
              <w:keepNext w:val="0"/>
              <w:keepLines w:val="0"/>
              <w:pageBreakBefore w:val="0"/>
              <w:kinsoku/>
              <w:wordWrap/>
              <w:topLinePunct w:val="0"/>
              <w:bidi w:val="0"/>
              <w:spacing w:line="240" w:lineRule="auto"/>
              <w:ind w:left="0" w:leftChars="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政府采购进口产品</w:t>
            </w:r>
          </w:p>
        </w:tc>
        <w:tc>
          <w:tcPr>
            <w:tcW w:w="4900" w:type="dxa"/>
            <w:vAlign w:val="center"/>
          </w:tcPr>
          <w:p>
            <w:pPr>
              <w:keepNext w:val="0"/>
              <w:keepLines w:val="0"/>
              <w:pageBreakBefore w:val="0"/>
              <w:kinsoku/>
              <w:wordWrap/>
              <w:topLinePunct w:val="0"/>
              <w:bidi w:val="0"/>
              <w:spacing w:line="240" w:lineRule="auto"/>
              <w:ind w:left="0" w:leftChars="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不允许</w:t>
            </w:r>
          </w:p>
        </w:tc>
      </w:tr>
    </w:tbl>
    <w:p>
      <w:pPr>
        <w:keepNext w:val="0"/>
        <w:keepLines w:val="0"/>
        <w:pageBreakBefore w:val="0"/>
        <w:kinsoku/>
        <w:wordWrap/>
        <w:topLinePunct w:val="0"/>
        <w:bidi w:val="0"/>
        <w:snapToGrid w:val="0"/>
        <w:spacing w:before="159" w:beforeLines="50" w:beforeAutospacing="0" w:line="360" w:lineRule="auto"/>
        <w:ind w:left="0" w:leftChars="0" w:firstLine="442" w:firstLineChars="200"/>
        <w:outlineLvl w:val="0"/>
        <w:rPr>
          <w:rFonts w:hint="eastAsia" w:ascii="宋体" w:hAnsi="宋体" w:eastAsia="宋体" w:cs="宋体"/>
          <w:b/>
          <w:bCs/>
          <w:color w:val="auto"/>
          <w:spacing w:val="-6"/>
          <w:sz w:val="22"/>
          <w:szCs w:val="22"/>
          <w:highlight w:val="none"/>
        </w:rPr>
      </w:pPr>
      <w:r>
        <w:rPr>
          <w:rFonts w:hint="eastAsia" w:ascii="宋体" w:hAnsi="宋体" w:eastAsia="宋体" w:cs="宋体"/>
          <w:b/>
          <w:bCs/>
          <w:color w:val="auto"/>
          <w:kern w:val="0"/>
          <w:sz w:val="22"/>
          <w:szCs w:val="22"/>
          <w:highlight w:val="none"/>
        </w:rPr>
        <w:t>三.</w:t>
      </w:r>
      <w:r>
        <w:rPr>
          <w:rFonts w:hint="eastAsia" w:ascii="宋体" w:hAnsi="宋体" w:eastAsia="宋体" w:cs="宋体"/>
          <w:b/>
          <w:bCs/>
          <w:color w:val="auto"/>
          <w:spacing w:val="-6"/>
          <w:sz w:val="22"/>
          <w:szCs w:val="22"/>
          <w:highlight w:val="none"/>
        </w:rPr>
        <w:t>商务部分</w:t>
      </w:r>
    </w:p>
    <w:tbl>
      <w:tblPr>
        <w:tblStyle w:val="28"/>
        <w:tblW w:w="89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2"/>
        <w:gridCol w:w="74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auto"/>
              <w:ind w:left="0" w:leftChars="0" w:firstLine="0" w:firstLineChars="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支付方式</w:t>
            </w:r>
          </w:p>
        </w:tc>
        <w:tc>
          <w:tcPr>
            <w:tcW w:w="7455" w:type="dxa"/>
            <w:tcBorders>
              <w:top w:val="single" w:color="auto" w:sz="4" w:space="0"/>
              <w:left w:val="single" w:color="auto" w:sz="4" w:space="0"/>
              <w:bottom w:val="single" w:color="auto" w:sz="4" w:space="0"/>
              <w:right w:val="single" w:color="auto" w:sz="4" w:space="0"/>
            </w:tcBorders>
            <w:vAlign w:val="center"/>
          </w:tcPr>
          <w:p>
            <w:pPr>
              <w:pStyle w:val="46"/>
              <w:keepNext w:val="0"/>
              <w:keepLines w:val="0"/>
              <w:pageBreakBefore w:val="0"/>
              <w:tabs>
                <w:tab w:val="left" w:pos="680"/>
              </w:tabs>
              <w:kinsoku/>
              <w:wordWrap/>
              <w:topLinePunct w:val="0"/>
              <w:bidi w:val="0"/>
              <w:spacing w:line="240" w:lineRule="auto"/>
              <w:ind w:left="0" w:leftChars="0" w:firstLine="0" w:firstLineChars="0"/>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1、灵昆街道道路及河道保洁付款方式为先做后结,每月支付总金额=质量结算金额。</w:t>
            </w:r>
          </w:p>
          <w:p>
            <w:pPr>
              <w:pStyle w:val="46"/>
              <w:keepNext w:val="0"/>
              <w:keepLines w:val="0"/>
              <w:pageBreakBefore w:val="0"/>
              <w:tabs>
                <w:tab w:val="left" w:pos="680"/>
              </w:tabs>
              <w:kinsoku/>
              <w:wordWrap/>
              <w:topLinePunct w:val="0"/>
              <w:bidi w:val="0"/>
              <w:spacing w:line="240" w:lineRule="auto"/>
              <w:ind w:left="0" w:leftChars="0" w:firstLine="0" w:firstLineChars="0"/>
              <w:rPr>
                <w:rFonts w:hint="eastAsia" w:ascii="宋体" w:hAnsi="宋体" w:eastAsia="宋体" w:cs="宋体"/>
                <w:b w:val="0"/>
                <w:bCs w:val="0"/>
                <w:color w:val="auto"/>
                <w:kern w:val="2"/>
                <w:sz w:val="22"/>
                <w:szCs w:val="22"/>
                <w:highlight w:val="none"/>
              </w:rPr>
            </w:pPr>
            <w:r>
              <w:rPr>
                <w:rFonts w:hint="eastAsia" w:ascii="宋体" w:hAnsi="宋体" w:eastAsia="宋体" w:cs="宋体"/>
                <w:b w:val="0"/>
                <w:bCs w:val="0"/>
                <w:color w:val="auto"/>
                <w:kern w:val="2"/>
                <w:sz w:val="22"/>
                <w:szCs w:val="22"/>
                <w:highlight w:val="none"/>
              </w:rPr>
              <w:t>1）质量结算金额基数=（投标人投标总价-</w:t>
            </w:r>
            <w:r>
              <w:rPr>
                <w:rFonts w:hint="eastAsia" w:cs="宋体"/>
                <w:b w:val="0"/>
                <w:bCs w:val="0"/>
                <w:color w:val="auto"/>
                <w:kern w:val="2"/>
                <w:sz w:val="22"/>
                <w:szCs w:val="22"/>
                <w:highlight w:val="none"/>
                <w:lang w:val="en-US" w:eastAsia="zh-CN"/>
              </w:rPr>
              <w:t>35</w:t>
            </w:r>
            <w:r>
              <w:rPr>
                <w:rFonts w:hint="eastAsia" w:ascii="宋体" w:hAnsi="宋体" w:eastAsia="宋体" w:cs="宋体"/>
                <w:b w:val="0"/>
                <w:bCs w:val="0"/>
                <w:color w:val="auto"/>
                <w:kern w:val="2"/>
                <w:sz w:val="22"/>
                <w:szCs w:val="22"/>
                <w:highlight w:val="none"/>
              </w:rPr>
              <w:t>0000）/</w:t>
            </w:r>
            <w:r>
              <w:rPr>
                <w:rFonts w:hint="eastAsia" w:cs="宋体"/>
                <w:b w:val="0"/>
                <w:bCs w:val="0"/>
                <w:color w:val="auto"/>
                <w:kern w:val="2"/>
                <w:sz w:val="22"/>
                <w:szCs w:val="22"/>
                <w:highlight w:val="none"/>
                <w:lang w:val="en-US" w:eastAsia="zh-CN"/>
              </w:rPr>
              <w:t>12</w:t>
            </w:r>
            <w:r>
              <w:rPr>
                <w:rFonts w:hint="eastAsia" w:ascii="宋体" w:hAnsi="宋体" w:eastAsia="宋体" w:cs="宋体"/>
                <w:b w:val="0"/>
                <w:bCs w:val="0"/>
                <w:color w:val="auto"/>
                <w:kern w:val="2"/>
                <w:sz w:val="22"/>
                <w:szCs w:val="22"/>
                <w:highlight w:val="none"/>
              </w:rPr>
              <w:t>，其中</w:t>
            </w:r>
            <w:r>
              <w:rPr>
                <w:rFonts w:hint="eastAsia" w:cs="宋体"/>
                <w:b w:val="0"/>
                <w:bCs w:val="0"/>
                <w:color w:val="auto"/>
                <w:kern w:val="2"/>
                <w:sz w:val="22"/>
                <w:szCs w:val="22"/>
                <w:highlight w:val="none"/>
                <w:lang w:val="en-US" w:eastAsia="zh-CN"/>
              </w:rPr>
              <w:t>35</w:t>
            </w:r>
            <w:r>
              <w:rPr>
                <w:rFonts w:hint="eastAsia" w:ascii="宋体" w:hAnsi="宋体" w:eastAsia="宋体" w:cs="宋体"/>
                <w:b w:val="0"/>
                <w:bCs w:val="0"/>
                <w:color w:val="auto"/>
                <w:kern w:val="2"/>
                <w:sz w:val="22"/>
                <w:szCs w:val="22"/>
                <w:highlight w:val="none"/>
              </w:rPr>
              <w:t>0000元为</w:t>
            </w:r>
            <w:r>
              <w:rPr>
                <w:rFonts w:hint="eastAsia" w:cs="宋体"/>
                <w:b w:val="0"/>
                <w:bCs w:val="0"/>
                <w:color w:val="auto"/>
                <w:kern w:val="2"/>
                <w:sz w:val="22"/>
                <w:szCs w:val="22"/>
                <w:highlight w:val="none"/>
                <w:lang w:eastAsia="zh-CN"/>
              </w:rPr>
              <w:t>1年</w:t>
            </w:r>
            <w:r>
              <w:rPr>
                <w:rFonts w:hint="eastAsia" w:ascii="宋体" w:hAnsi="宋体" w:eastAsia="宋体" w:cs="宋体"/>
                <w:b w:val="0"/>
                <w:bCs w:val="0"/>
                <w:color w:val="auto"/>
                <w:kern w:val="2"/>
                <w:sz w:val="22"/>
                <w:szCs w:val="22"/>
                <w:highlight w:val="none"/>
              </w:rPr>
              <w:t>甲供的六辆清运车相关费用（包括但不限于维修费、年审费、油费等一切相关费用），实行实报实销，每年350000元封顶（如年费用超过350000元，当年按350000元支付），投标人需综合考虑。</w:t>
            </w:r>
          </w:p>
          <w:p>
            <w:pPr>
              <w:pStyle w:val="46"/>
              <w:keepNext w:val="0"/>
              <w:keepLines w:val="0"/>
              <w:pageBreakBefore w:val="0"/>
              <w:tabs>
                <w:tab w:val="left" w:pos="680"/>
              </w:tabs>
              <w:kinsoku/>
              <w:wordWrap/>
              <w:topLinePunct w:val="0"/>
              <w:bidi w:val="0"/>
              <w:spacing w:line="240" w:lineRule="auto"/>
              <w:ind w:left="0" w:leftChars="0" w:firstLine="0" w:firstLineChars="0"/>
              <w:rPr>
                <w:rFonts w:hint="eastAsia" w:ascii="宋体" w:hAnsi="宋体" w:eastAsia="宋体" w:cs="宋体"/>
                <w:b w:val="0"/>
                <w:bCs w:val="0"/>
                <w:color w:val="auto"/>
                <w:kern w:val="2"/>
                <w:sz w:val="22"/>
                <w:szCs w:val="22"/>
                <w:highlight w:val="none"/>
              </w:rPr>
            </w:pPr>
            <w:r>
              <w:rPr>
                <w:rFonts w:hint="eastAsia" w:ascii="宋体" w:hAnsi="宋体" w:eastAsia="宋体" w:cs="宋体"/>
                <w:b w:val="0"/>
                <w:bCs w:val="0"/>
                <w:color w:val="auto"/>
                <w:kern w:val="2"/>
                <w:sz w:val="22"/>
                <w:szCs w:val="22"/>
                <w:highlight w:val="none"/>
              </w:rPr>
              <w:t>2）质量结算金额=质量结算金额基数</w:t>
            </w:r>
            <w:r>
              <w:rPr>
                <w:rFonts w:hint="eastAsia" w:ascii="宋体" w:hAnsi="宋体" w:eastAsia="宋体" w:cs="宋体"/>
                <w:b w:val="0"/>
                <w:bCs w:val="0"/>
                <w:color w:val="auto"/>
                <w:kern w:val="2"/>
                <w:sz w:val="22"/>
                <w:szCs w:val="22"/>
                <w:highlight w:val="none"/>
                <w:lang w:val="en-US" w:eastAsia="zh-CN"/>
              </w:rPr>
              <w:t>±</w:t>
            </w:r>
            <w:r>
              <w:rPr>
                <w:rFonts w:hint="eastAsia" w:ascii="宋体" w:hAnsi="宋体" w:eastAsia="宋体" w:cs="宋体"/>
                <w:b w:val="0"/>
                <w:bCs w:val="0"/>
                <w:color w:val="auto"/>
                <w:kern w:val="2"/>
                <w:sz w:val="22"/>
                <w:szCs w:val="22"/>
                <w:highlight w:val="none"/>
                <w:lang w:eastAsia="zh-CN"/>
              </w:rPr>
              <w:t>考核金</w:t>
            </w:r>
            <w:r>
              <w:rPr>
                <w:rFonts w:hint="eastAsia" w:ascii="宋体" w:hAnsi="宋体" w:eastAsia="宋体" w:cs="宋体"/>
                <w:b w:val="0"/>
                <w:bCs w:val="0"/>
                <w:color w:val="auto"/>
                <w:kern w:val="2"/>
                <w:sz w:val="22"/>
                <w:szCs w:val="22"/>
                <w:highlight w:val="none"/>
              </w:rPr>
              <w:t>。</w:t>
            </w:r>
          </w:p>
          <w:p>
            <w:pPr>
              <w:pStyle w:val="46"/>
              <w:keepNext w:val="0"/>
              <w:keepLines w:val="0"/>
              <w:pageBreakBefore w:val="0"/>
              <w:tabs>
                <w:tab w:val="left" w:pos="680"/>
              </w:tabs>
              <w:kinsoku/>
              <w:wordWrap/>
              <w:topLinePunct w:val="0"/>
              <w:bidi w:val="0"/>
              <w:spacing w:line="240" w:lineRule="auto"/>
              <w:ind w:left="0" w:leftChars="0" w:firstLine="0" w:firstLineChars="0"/>
              <w:rPr>
                <w:rFonts w:hint="eastAsia" w:ascii="宋体" w:hAnsi="宋体" w:eastAsia="宋体" w:cs="宋体"/>
                <w:b w:val="0"/>
                <w:bCs w:val="0"/>
                <w:color w:val="auto"/>
                <w:kern w:val="2"/>
                <w:sz w:val="22"/>
                <w:szCs w:val="22"/>
                <w:highlight w:val="none"/>
              </w:rPr>
            </w:pPr>
            <w:r>
              <w:rPr>
                <w:rFonts w:hint="eastAsia" w:ascii="宋体" w:hAnsi="宋体" w:eastAsia="宋体" w:cs="宋体"/>
                <w:b w:val="0"/>
                <w:bCs w:val="0"/>
                <w:color w:val="auto"/>
                <w:kern w:val="2"/>
                <w:sz w:val="22"/>
                <w:szCs w:val="22"/>
                <w:highlight w:val="none"/>
              </w:rPr>
              <w:t>由采购单位根据上月的考核结果支付：中标单位出具有效发票（发票需附上月费用明细，包括但不限于社会保险，意外工伤险等相关费用，体检费以实际金额为准）并经采购人同意后，支付上月的费用。</w:t>
            </w:r>
          </w:p>
          <w:p>
            <w:pPr>
              <w:pStyle w:val="46"/>
              <w:keepNext w:val="0"/>
              <w:keepLines w:val="0"/>
              <w:pageBreakBefore w:val="0"/>
              <w:tabs>
                <w:tab w:val="left" w:pos="680"/>
              </w:tabs>
              <w:kinsoku/>
              <w:wordWrap/>
              <w:topLinePunct w:val="0"/>
              <w:bidi w:val="0"/>
              <w:spacing w:line="240" w:lineRule="auto"/>
              <w:ind w:left="0" w:leftChars="0" w:firstLine="0" w:firstLineChars="0"/>
              <w:rPr>
                <w:rFonts w:hint="eastAsia" w:ascii="宋体" w:hAnsi="宋体" w:eastAsia="宋体" w:cs="宋体"/>
                <w:b w:val="0"/>
                <w:bCs w:val="0"/>
                <w:color w:val="auto"/>
                <w:kern w:val="2"/>
                <w:sz w:val="22"/>
                <w:szCs w:val="22"/>
                <w:highlight w:val="none"/>
              </w:rPr>
            </w:pPr>
            <w:r>
              <w:rPr>
                <w:rFonts w:hint="eastAsia" w:ascii="宋体" w:hAnsi="宋体" w:eastAsia="宋体" w:cs="宋体"/>
                <w:b w:val="0"/>
                <w:bCs w:val="0"/>
                <w:color w:val="auto"/>
                <w:kern w:val="2"/>
                <w:sz w:val="22"/>
                <w:szCs w:val="22"/>
                <w:highlight w:val="none"/>
              </w:rPr>
              <w:t>2、本项目要求中标单位设立项目独立账户，承包经费将打入该账户，合同执行过程中的各项支出均通过该账户。合同期满后30天内，提供由第三方（由中标人自行委托具有审计资格的企业，该企业需经甲方认可，有关费用均已包含在投标报价中）出具的针对该账户的财务审计报告，审计单位将对照中标单位投标报价明细表进行详细审计。审计报告的内容也将作为履约保证金退还（或扣除）的依据。</w:t>
            </w:r>
          </w:p>
          <w:p>
            <w:pPr>
              <w:pStyle w:val="46"/>
              <w:keepNext w:val="0"/>
              <w:keepLines w:val="0"/>
              <w:pageBreakBefore w:val="0"/>
              <w:tabs>
                <w:tab w:val="left" w:pos="680"/>
              </w:tabs>
              <w:kinsoku/>
              <w:wordWrap/>
              <w:topLinePunct w:val="0"/>
              <w:bidi w:val="0"/>
              <w:spacing w:line="240" w:lineRule="auto"/>
              <w:ind w:left="0" w:leftChars="0" w:firstLine="0" w:firstLineChars="0"/>
              <w:rPr>
                <w:rFonts w:hint="eastAsia" w:ascii="宋体" w:hAnsi="宋体" w:eastAsia="宋体" w:cs="宋体"/>
                <w:color w:val="auto"/>
                <w:kern w:val="2"/>
                <w:sz w:val="22"/>
                <w:szCs w:val="22"/>
                <w:highlight w:val="none"/>
              </w:rPr>
            </w:pPr>
            <w:r>
              <w:rPr>
                <w:rFonts w:hint="eastAsia" w:ascii="宋体" w:hAnsi="宋体" w:eastAsia="宋体" w:cs="宋体"/>
                <w:b w:val="0"/>
                <w:bCs w:val="0"/>
                <w:color w:val="auto"/>
                <w:kern w:val="2"/>
                <w:sz w:val="22"/>
                <w:szCs w:val="22"/>
                <w:highlight w:val="none"/>
              </w:rPr>
              <w:t>采用全包干形式，即业务包干、经费包干方式。甲方将清扫保洁业务及相应的经费交给乙方，乙方按甲方的管理要求和标准组织清扫保洁工作，并接受甲方的指导、监督和检查验收。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auto"/>
              <w:ind w:left="0" w:leftChars="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服务期</w:t>
            </w:r>
          </w:p>
        </w:tc>
        <w:tc>
          <w:tcPr>
            <w:tcW w:w="7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auto"/>
              <w:ind w:left="0" w:leftChars="0"/>
              <w:jc w:val="lef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auto"/>
              <w:ind w:left="0" w:leftChars="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服务地点</w:t>
            </w:r>
          </w:p>
        </w:tc>
        <w:tc>
          <w:tcPr>
            <w:tcW w:w="7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auto"/>
              <w:ind w:left="0" w:leftChars="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240" w:lineRule="auto"/>
              <w:ind w:left="0" w:leftChars="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pacing w:val="-6"/>
                <w:sz w:val="22"/>
                <w:szCs w:val="22"/>
                <w:highlight w:val="none"/>
              </w:rPr>
              <w:t>验收标准</w:t>
            </w:r>
          </w:p>
        </w:tc>
        <w:tc>
          <w:tcPr>
            <w:tcW w:w="7455" w:type="dxa"/>
            <w:tcBorders>
              <w:top w:val="single" w:color="auto" w:sz="4" w:space="0"/>
              <w:left w:val="single" w:color="auto" w:sz="4" w:space="0"/>
              <w:bottom w:val="single" w:color="auto" w:sz="4" w:space="0"/>
              <w:right w:val="single" w:color="auto" w:sz="4" w:space="0"/>
            </w:tcBorders>
            <w:vAlign w:val="center"/>
          </w:tcPr>
          <w:p>
            <w:pPr>
              <w:pStyle w:val="46"/>
              <w:keepNext w:val="0"/>
              <w:keepLines w:val="0"/>
              <w:pageBreakBefore w:val="0"/>
              <w:tabs>
                <w:tab w:val="left" w:pos="680"/>
              </w:tabs>
              <w:kinsoku/>
              <w:wordWrap/>
              <w:topLinePunct w:val="0"/>
              <w:bidi w:val="0"/>
              <w:spacing w:line="240" w:lineRule="auto"/>
              <w:ind w:left="0" w:leftChars="0" w:firstLine="0" w:firstLineChars="0"/>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1.合同履约验收参照《温州市政府采购履约验收办法》(温财采[2020]6号)相关规定。</w:t>
            </w:r>
          </w:p>
          <w:p>
            <w:pPr>
              <w:pStyle w:val="46"/>
              <w:keepNext w:val="0"/>
              <w:keepLines w:val="0"/>
              <w:pageBreakBefore w:val="0"/>
              <w:tabs>
                <w:tab w:val="left" w:pos="680"/>
              </w:tabs>
              <w:kinsoku/>
              <w:wordWrap/>
              <w:topLinePunct w:val="0"/>
              <w:bidi w:val="0"/>
              <w:spacing w:line="240" w:lineRule="auto"/>
              <w:ind w:left="0" w:leftChars="0" w:firstLine="0" w:firstLineChars="0"/>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2.验收组织机构按照招标文件、投标文件、采购合同等内容进行验收。</w:t>
            </w:r>
          </w:p>
          <w:p>
            <w:pPr>
              <w:pStyle w:val="46"/>
              <w:keepNext w:val="0"/>
              <w:keepLines w:val="0"/>
              <w:pageBreakBefore w:val="0"/>
              <w:tabs>
                <w:tab w:val="left" w:pos="680"/>
              </w:tabs>
              <w:kinsoku/>
              <w:wordWrap/>
              <w:topLinePunct w:val="0"/>
              <w:bidi w:val="0"/>
              <w:spacing w:line="240" w:lineRule="auto"/>
              <w:ind w:left="0" w:leftChars="0" w:firstLine="0" w:firstLineChars="0"/>
              <w:rPr>
                <w:rFonts w:hint="eastAsia" w:ascii="宋体" w:hAnsi="宋体" w:eastAsia="宋体" w:cs="宋体"/>
                <w:color w:val="auto"/>
                <w:kern w:val="2"/>
                <w:sz w:val="22"/>
                <w:szCs w:val="22"/>
                <w:highlight w:val="none"/>
                <w:u w:val="single"/>
              </w:rPr>
            </w:pPr>
            <w:r>
              <w:rPr>
                <w:rFonts w:hint="eastAsia" w:ascii="宋体" w:hAnsi="宋体" w:eastAsia="宋体" w:cs="宋体"/>
                <w:color w:val="auto"/>
                <w:kern w:val="2"/>
                <w:sz w:val="22"/>
                <w:szCs w:val="22"/>
                <w:highlight w:val="none"/>
              </w:rPr>
              <w:t>3.验收费用由中标人支付。</w:t>
            </w:r>
          </w:p>
        </w:tc>
      </w:tr>
    </w:tbl>
    <w:p>
      <w:pPr>
        <w:keepNext w:val="0"/>
        <w:keepLines w:val="0"/>
        <w:pageBreakBefore w:val="0"/>
        <w:widowControl w:val="0"/>
        <w:numPr>
          <w:ilvl w:val="0"/>
          <w:numId w:val="19"/>
        </w:numPr>
        <w:kinsoku/>
        <w:wordWrap/>
        <w:overflowPunct/>
        <w:topLinePunct w:val="0"/>
        <w:autoSpaceDE/>
        <w:autoSpaceDN/>
        <w:bidi w:val="0"/>
        <w:snapToGrid w:val="0"/>
        <w:spacing w:before="159" w:beforeLines="50" w:beforeAutospacing="0" w:afterAutospacing="0" w:line="360" w:lineRule="auto"/>
        <w:ind w:left="0" w:leftChars="0" w:firstLine="418" w:firstLineChars="200"/>
        <w:rPr>
          <w:rFonts w:hint="eastAsia" w:ascii="宋体" w:hAnsi="宋体" w:eastAsia="宋体" w:cs="宋体"/>
          <w:b/>
          <w:bCs/>
          <w:color w:val="auto"/>
          <w:spacing w:val="-6"/>
          <w:sz w:val="22"/>
          <w:szCs w:val="22"/>
          <w:highlight w:val="none"/>
        </w:rPr>
      </w:pPr>
      <w:bookmarkStart w:id="12" w:name="_Toc1219"/>
      <w:r>
        <w:rPr>
          <w:rFonts w:hint="eastAsia" w:ascii="宋体" w:hAnsi="宋体" w:eastAsia="宋体" w:cs="宋体"/>
          <w:b/>
          <w:bCs/>
          <w:color w:val="auto"/>
          <w:spacing w:val="-6"/>
          <w:sz w:val="22"/>
          <w:szCs w:val="22"/>
          <w:highlight w:val="none"/>
        </w:rPr>
        <w:t>采购内容</w:t>
      </w:r>
    </w:p>
    <w:p>
      <w:pPr>
        <w:keepNext w:val="0"/>
        <w:keepLines w:val="0"/>
        <w:pageBreakBefore w:val="0"/>
        <w:widowControl w:val="0"/>
        <w:kinsoku/>
        <w:wordWrap/>
        <w:overflowPunct/>
        <w:topLinePunct w:val="0"/>
        <w:autoSpaceDE/>
        <w:autoSpaceDN/>
        <w:bidi w:val="0"/>
        <w:spacing w:beforeAutospacing="0" w:line="360" w:lineRule="auto"/>
        <w:ind w:firstLine="442" w:firstLineChars="200"/>
        <w:rPr>
          <w:rFonts w:hint="eastAsia" w:ascii="宋体" w:hAnsi="宋体"/>
          <w:b/>
          <w:color w:val="auto"/>
          <w:sz w:val="22"/>
          <w:szCs w:val="22"/>
          <w:highlight w:val="none"/>
        </w:rPr>
      </w:pPr>
      <w:r>
        <w:rPr>
          <w:rFonts w:hint="eastAsia" w:ascii="宋体" w:hAnsi="宋体"/>
          <w:b/>
          <w:color w:val="auto"/>
          <w:sz w:val="22"/>
          <w:szCs w:val="22"/>
          <w:highlight w:val="none"/>
          <w:lang w:eastAsia="zh-CN"/>
        </w:rPr>
        <w:t>（</w:t>
      </w:r>
      <w:r>
        <w:rPr>
          <w:rFonts w:hint="eastAsia" w:ascii="宋体" w:hAnsi="宋体"/>
          <w:b/>
          <w:color w:val="auto"/>
          <w:sz w:val="22"/>
          <w:szCs w:val="22"/>
          <w:highlight w:val="none"/>
        </w:rPr>
        <w:t>一</w:t>
      </w:r>
      <w:r>
        <w:rPr>
          <w:rFonts w:hint="eastAsia" w:ascii="宋体" w:hAnsi="宋体"/>
          <w:b/>
          <w:color w:val="auto"/>
          <w:sz w:val="22"/>
          <w:szCs w:val="22"/>
          <w:highlight w:val="none"/>
          <w:lang w:eastAsia="zh-CN"/>
        </w:rPr>
        <w:t>）</w:t>
      </w:r>
      <w:r>
        <w:rPr>
          <w:rFonts w:hint="eastAsia" w:ascii="宋体" w:hAnsi="宋体"/>
          <w:b/>
          <w:color w:val="auto"/>
          <w:sz w:val="22"/>
          <w:szCs w:val="22"/>
          <w:highlight w:val="none"/>
        </w:rPr>
        <w:t>招标内容</w:t>
      </w:r>
    </w:p>
    <w:bookmarkEnd w:id="12"/>
    <w:p>
      <w:pPr>
        <w:keepNext w:val="0"/>
        <w:keepLines w:val="0"/>
        <w:pageBreakBefore w:val="0"/>
        <w:widowControl w:val="0"/>
        <w:numPr>
          <w:ilvl w:val="0"/>
          <w:numId w:val="0"/>
        </w:numPr>
        <w:kinsoku/>
        <w:wordWrap/>
        <w:overflowPunct/>
        <w:topLinePunct w:val="0"/>
        <w:autoSpaceDE/>
        <w:autoSpaceDN/>
        <w:bidi w:val="0"/>
        <w:snapToGrid/>
        <w:spacing w:line="360" w:lineRule="auto"/>
        <w:ind w:firstLine="440" w:firstLineChars="200"/>
        <w:rPr>
          <w:rFonts w:hint="eastAsia" w:ascii="宋体" w:hAnsi="宋体"/>
          <w:color w:val="auto"/>
          <w:sz w:val="22"/>
          <w:szCs w:val="22"/>
          <w:highlight w:val="none"/>
        </w:rPr>
      </w:pPr>
      <w:r>
        <w:rPr>
          <w:rFonts w:hint="eastAsia" w:ascii="宋体" w:hAnsi="宋体"/>
          <w:color w:val="auto"/>
          <w:sz w:val="22"/>
          <w:szCs w:val="22"/>
          <w:highlight w:val="none"/>
          <w:lang w:val="en-US" w:eastAsia="zh-CN"/>
        </w:rPr>
        <w:t>1、</w:t>
      </w:r>
      <w:r>
        <w:rPr>
          <w:rFonts w:hint="eastAsia" w:ascii="宋体" w:hAnsi="宋体"/>
          <w:color w:val="auto"/>
          <w:sz w:val="22"/>
          <w:szCs w:val="22"/>
          <w:highlight w:val="none"/>
        </w:rPr>
        <w:t>本项预算约为</w:t>
      </w:r>
      <w:r>
        <w:rPr>
          <w:rFonts w:hint="eastAsia" w:ascii="宋体" w:hAnsi="宋体"/>
          <w:color w:val="auto"/>
          <w:sz w:val="22"/>
          <w:szCs w:val="22"/>
          <w:highlight w:val="none"/>
          <w:lang w:val="en-US" w:eastAsia="zh-CN"/>
        </w:rPr>
        <w:t>9430000</w:t>
      </w:r>
      <w:r>
        <w:rPr>
          <w:rFonts w:hint="eastAsia" w:ascii="宋体" w:hAnsi="宋体"/>
          <w:color w:val="auto"/>
          <w:sz w:val="22"/>
          <w:szCs w:val="22"/>
          <w:highlight w:val="none"/>
        </w:rPr>
        <w:t>元。</w:t>
      </w:r>
    </w:p>
    <w:p>
      <w:pPr>
        <w:keepNext w:val="0"/>
        <w:keepLines w:val="0"/>
        <w:pageBreakBefore w:val="0"/>
        <w:widowControl w:val="0"/>
        <w:kinsoku/>
        <w:wordWrap/>
        <w:overflowPunct/>
        <w:topLinePunct w:val="0"/>
        <w:autoSpaceDE/>
        <w:autoSpaceDN/>
        <w:bidi w:val="0"/>
        <w:snapToGrid/>
        <w:spacing w:line="360" w:lineRule="auto"/>
        <w:ind w:left="0"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2、投标人在投标文中承诺投入的保洁人员及保洁专用车辆（船）必须只用所投标段，未经采购人同意不得自行变更或另用他处。</w:t>
      </w:r>
    </w:p>
    <w:p>
      <w:pPr>
        <w:keepNext w:val="0"/>
        <w:keepLines w:val="0"/>
        <w:pageBreakBefore w:val="0"/>
        <w:widowControl w:val="0"/>
        <w:kinsoku/>
        <w:wordWrap/>
        <w:overflowPunct/>
        <w:topLinePunct w:val="0"/>
        <w:autoSpaceDE/>
        <w:autoSpaceDN/>
        <w:bidi w:val="0"/>
        <w:snapToGrid/>
        <w:spacing w:line="360" w:lineRule="auto"/>
        <w:ind w:left="0"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3、投标人应根据道路、河道情况并结合实际需求，在保证本项目道路、河道保洁服务质量要求的前提下，由投标人按照项目的实际情况自行科学、合理测算本项目须投入的人员配备及保洁机械机具数量，列入投标文件中并作出具体的说明。</w:t>
      </w:r>
    </w:p>
    <w:p>
      <w:pPr>
        <w:pStyle w:val="35"/>
        <w:keepNext w:val="0"/>
        <w:keepLines w:val="0"/>
        <w:pageBreakBefore w:val="0"/>
        <w:widowControl w:val="0"/>
        <w:kinsoku/>
        <w:wordWrap/>
        <w:overflowPunct/>
        <w:topLinePunct w:val="0"/>
        <w:autoSpaceDE/>
        <w:autoSpaceDN/>
        <w:bidi w:val="0"/>
        <w:snapToGrid/>
        <w:spacing w:line="360" w:lineRule="auto"/>
        <w:ind w:left="0"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4、承包期限：本次招标合同期为</w:t>
      </w:r>
      <w:r>
        <w:rPr>
          <w:rFonts w:hint="eastAsia" w:ascii="宋体" w:hAnsi="宋体"/>
          <w:color w:val="auto"/>
          <w:sz w:val="22"/>
          <w:szCs w:val="22"/>
          <w:highlight w:val="none"/>
          <w:lang w:eastAsia="zh-CN"/>
        </w:rPr>
        <w:t>一年</w:t>
      </w:r>
      <w:r>
        <w:rPr>
          <w:rFonts w:hint="eastAsia" w:ascii="宋体" w:hAnsi="宋体"/>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442" w:firstLineChars="200"/>
        <w:textAlignment w:val="auto"/>
        <w:rPr>
          <w:rFonts w:hint="eastAsia" w:ascii="宋体" w:hAnsi="宋体"/>
          <w:b/>
          <w:color w:val="auto"/>
          <w:sz w:val="22"/>
          <w:szCs w:val="22"/>
          <w:highlight w:val="none"/>
          <w:lang w:eastAsia="zh-CN"/>
        </w:rPr>
      </w:pPr>
      <w:r>
        <w:rPr>
          <w:rFonts w:hint="eastAsia" w:ascii="宋体" w:hAnsi="宋体"/>
          <w:b/>
          <w:color w:val="auto"/>
          <w:sz w:val="22"/>
          <w:szCs w:val="22"/>
          <w:highlight w:val="none"/>
          <w:lang w:eastAsia="zh-CN"/>
        </w:rPr>
        <w:t>（二）道路清扫保洁、河道保洁服务内容及范围</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rPr>
          <w:rFonts w:hint="eastAsia" w:ascii="宋体" w:hAnsi="宋体"/>
          <w:b/>
          <w:bCs/>
          <w:color w:val="auto"/>
          <w:sz w:val="22"/>
          <w:szCs w:val="22"/>
          <w:highlight w:val="none"/>
        </w:rPr>
      </w:pPr>
      <w:r>
        <w:rPr>
          <w:rFonts w:hint="eastAsia" w:ascii="宋体" w:hAnsi="宋体" w:cs="Arial"/>
          <w:b/>
          <w:bCs/>
          <w:color w:val="auto"/>
          <w:sz w:val="22"/>
          <w:szCs w:val="22"/>
          <w:highlight w:val="none"/>
          <w:lang w:val="en-US" w:eastAsia="zh-CN"/>
        </w:rPr>
        <w:t>1、</w:t>
      </w:r>
      <w:r>
        <w:rPr>
          <w:rFonts w:hint="eastAsia" w:ascii="宋体" w:hAnsi="宋体" w:cs="Arial"/>
          <w:b/>
          <w:bCs/>
          <w:color w:val="auto"/>
          <w:sz w:val="22"/>
          <w:szCs w:val="22"/>
          <w:highlight w:val="none"/>
        </w:rPr>
        <w:t>▲</w:t>
      </w:r>
      <w:r>
        <w:rPr>
          <w:rFonts w:hint="eastAsia" w:ascii="宋体" w:hAnsi="宋体"/>
          <w:b/>
          <w:bCs/>
          <w:color w:val="auto"/>
          <w:sz w:val="22"/>
          <w:szCs w:val="22"/>
          <w:highlight w:val="none"/>
          <w:u w:val="single"/>
        </w:rPr>
        <w:t>本项目道路清扫保洁人数不少于</w:t>
      </w:r>
      <w:r>
        <w:rPr>
          <w:rFonts w:hint="default" w:ascii="宋体" w:hAnsi="宋体"/>
          <w:b/>
          <w:bCs/>
          <w:color w:val="auto"/>
          <w:sz w:val="22"/>
          <w:szCs w:val="22"/>
          <w:highlight w:val="none"/>
          <w:u w:val="single"/>
          <w:lang w:val="en-US" w:eastAsia="zh-CN"/>
        </w:rPr>
        <w:t>100</w:t>
      </w:r>
      <w:r>
        <w:rPr>
          <w:rFonts w:hint="eastAsia" w:ascii="宋体" w:hAnsi="宋体"/>
          <w:b/>
          <w:bCs/>
          <w:color w:val="auto"/>
          <w:sz w:val="22"/>
          <w:szCs w:val="22"/>
          <w:highlight w:val="none"/>
          <w:u w:val="single"/>
        </w:rPr>
        <w:t>人（其中保洁人员：</w:t>
      </w:r>
      <w:r>
        <w:rPr>
          <w:rFonts w:hint="default" w:ascii="宋体" w:hAnsi="宋体"/>
          <w:b/>
          <w:bCs/>
          <w:color w:val="auto"/>
          <w:sz w:val="22"/>
          <w:szCs w:val="22"/>
          <w:highlight w:val="none"/>
          <w:u w:val="single"/>
          <w:lang w:val="en-US" w:eastAsia="zh-CN"/>
        </w:rPr>
        <w:t>85</w:t>
      </w:r>
      <w:r>
        <w:rPr>
          <w:rFonts w:hint="eastAsia" w:ascii="宋体" w:hAnsi="宋体"/>
          <w:b/>
          <w:bCs/>
          <w:color w:val="auto"/>
          <w:sz w:val="22"/>
          <w:szCs w:val="22"/>
          <w:highlight w:val="none"/>
          <w:u w:val="single"/>
        </w:rPr>
        <w:t>人，垃圾桶/垃圾屋冲洗/市政冲洗作业人员配置</w:t>
      </w:r>
      <w:r>
        <w:rPr>
          <w:rFonts w:hint="eastAsia" w:ascii="宋体" w:hAnsi="宋体"/>
          <w:b/>
          <w:bCs/>
          <w:color w:val="auto"/>
          <w:sz w:val="22"/>
          <w:szCs w:val="22"/>
          <w:highlight w:val="none"/>
          <w:u w:val="single"/>
          <w:lang w:val="en-US" w:eastAsia="zh-CN"/>
        </w:rPr>
        <w:t>5</w:t>
      </w:r>
      <w:r>
        <w:rPr>
          <w:rFonts w:hint="eastAsia" w:ascii="宋体" w:hAnsi="宋体"/>
          <w:b/>
          <w:bCs/>
          <w:color w:val="auto"/>
          <w:sz w:val="22"/>
          <w:szCs w:val="22"/>
          <w:highlight w:val="none"/>
          <w:u w:val="single"/>
        </w:rPr>
        <w:t>人，智慧城管处理人员配置2人，管理人员2人，中转站管理操作人员1人，驾驶员5人）</w:t>
      </w:r>
      <w:r>
        <w:rPr>
          <w:rFonts w:hint="eastAsia" w:ascii="宋体" w:hAnsi="宋体"/>
          <w:color w:val="auto"/>
          <w:sz w:val="22"/>
          <w:szCs w:val="22"/>
          <w:highlight w:val="none"/>
        </w:rPr>
        <w:t>，</w:t>
      </w:r>
      <w:r>
        <w:rPr>
          <w:rFonts w:hint="eastAsia" w:ascii="宋体" w:hAnsi="宋体"/>
          <w:b/>
          <w:bCs/>
          <w:color w:val="auto"/>
          <w:sz w:val="22"/>
          <w:szCs w:val="22"/>
          <w:highlight w:val="none"/>
        </w:rPr>
        <w:t>具体保洁服务范围如下：</w:t>
      </w:r>
    </w:p>
    <w:tbl>
      <w:tblPr>
        <w:tblStyle w:val="28"/>
        <w:tblW w:w="10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2"/>
        <w:gridCol w:w="1631"/>
        <w:gridCol w:w="2848"/>
        <w:gridCol w:w="882"/>
        <w:gridCol w:w="724"/>
        <w:gridCol w:w="1039"/>
        <w:gridCol w:w="1382"/>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009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灵昆街道道路清扫保洁详细清单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序号</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道路名称</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起 迄 地 点</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长度(m)</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宽（m）</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面积 （m²）</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绿化面积（m²）</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道路类别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灵昆街</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灵昆东路口-新街桥头</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271</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2168</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繁灵街</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信用社-街道办事处</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240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2400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灵昆北路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新街桥头-北段码头</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1700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10200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兴灵路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灵东路口-北段文化中心</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1090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6540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1700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房开小区</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房开小区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2601</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沙塘小区</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沙塘小区</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4690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九村路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北段文化中心-九村港坦</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2129</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17032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1953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棋枋路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粮站桥头-度假村</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1935</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11610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1800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灵昆东路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沙塘新街-瓯绣大道</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2457</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17199</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1231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灵昆南路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沙塘新街-老街道办公楼前堤塘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1385</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13850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1386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昆祥路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南口大桥-77省道红绿灯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3368</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25260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1299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南单千路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灵南路-上岩头老人乐园</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1380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9660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1380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北单千路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粮站桥头-孝龙屋前路口</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1325</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11262.5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1280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灵昆西路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77省道-新街桥头</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2234</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27115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1760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中学路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北单千路-灵西路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700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4200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海思小区</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新桥路-中学路口桥</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423</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2538</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瓯绣大道</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新灵景园-雁鸣路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1600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12800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繁灵东路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繁灵街-灵昆东路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600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4200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外坦路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灵昆东路-灵昆南路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800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4800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环卫路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灵昆西路-垃圾中转站</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400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2400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双昆头路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77省道--南堤塘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410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2870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九份头路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昆祥路--南堤塘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700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4200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龙昌路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昆祥路--南堤塘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860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3440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南沙路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昆祥路--南堤塘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980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4900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900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太岁路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昆祥路--周灿华屋</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650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2600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四佰路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昆祥路--陈金龙屋</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500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2250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中段横路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昆祥路--张华云屋</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230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1380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官河路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昆祥路--周星来屋</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300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1200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村委会东</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村委会--郑寿钦屋西</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450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2700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杨家尚段横路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胡孝兄--龙昌陈成来</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400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1800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南沙横路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南沙路--龙昌路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220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660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龙昌横路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龙昌路--九份头路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350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1400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九份头横路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九份头路--双昆头路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480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1200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太岁横路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董明屋--南沙路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380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1520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下岩头东路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南单千路-昆祥路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645</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3547.5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下岩头中路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下岩头东路-下岩头西路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444</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2220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下岩头西路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昆祥路-蔡锡凌屋东</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410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1230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上岩头路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金佐利屋东-灵西路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870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5220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四佰路支路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双昆交界-77省道</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735</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3675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隆一路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上岩头路-四佰路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322</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1610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隆二路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上岩头路-金德标屋前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180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900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隆三路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上岩头路-四佰路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472</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2832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上岩头北路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北单千路-四佰路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480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2880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昆祥路239弄</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昆祥路-陈成友屋东</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120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420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村间道路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陈星文屋西-下岩头东路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148</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740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村间道路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张崇祥屋西-下岩头中路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129</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683.7</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村间道路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灵南小学前海思交界-上岩头东路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135</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810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村间道路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张岳云屋前道路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240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1200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村间道路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村委会桥-黄国光屋西</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290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1160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金佐滔屋南-双昆</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上岩头路-双昆交界</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180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村间道路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金佐滔东-李成才上岩头北路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386</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1158</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村间道路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张银生屋前-上岩头北路中</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470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1410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村间道路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陈国尧屋前-张兴良屋前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160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村间道路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张春生屋东-黄昌忠屋西</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100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村间道路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李志胜屋西-包强生屋前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280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村间道路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灵西路-上岩头北路张亦深</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村间道路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陈国安屋西-周宅交界</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250</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1000</w:t>
            </w:r>
          </w:p>
        </w:tc>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官河港路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灵昆南路-陈府路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836</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5016</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1500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官河后路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厂前中路-官河路东段</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405</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1903.5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厂前中路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官河路-外坦路南首</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306</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1346.4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陈府路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外坦路中段-陈府庙</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502</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2510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新塘路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官河路中段-沙滩水库</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253</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1138.5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浦下路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陈府庙-灵东路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475</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2850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林精洪前路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十四亩路-外坦路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186</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744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十四亩路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灵东路-陈府路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386</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2316</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棋王路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繁灵东路-兴灵路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606</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3636</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陈贤林前路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灵北路-北单千重河边</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144</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504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滨水绿廊通道</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繁灵桥头-老街桥头</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226</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1582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叶先南路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灵昆东路——棋坊路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400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2400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浃湫西路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浃湫桥-何世军家屋前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1080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8640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1200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祥浦路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灵昆北路-陈玉财屋前（包括南侧小路祥浦路41号~85号）</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995</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5970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九佰路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灵昆北路-文明桥</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550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3300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教育路一标段</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77省道-浃湫西路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315</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2520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教育路二标段</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浃湫西路-中学路口</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820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6560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周泽路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灵昆北路路口一浃湫西路路口</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400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2400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犁头嘴路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浃湫西路-教育二标路段</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135</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1080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吴庄路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九村路-兴灵路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518</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3108</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吴庄路延长线</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吴庄路-南鹭鹚-九村路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1330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7980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翁宅路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灵昆南路－王琴林房屋边</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500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2500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昆海路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灵昆南路－灵南小学旁</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600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3000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墩弄路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灵昆南路－灵南小学墙围边</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600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3000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东横路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昆祥路－南单千路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500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2250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西横路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昆祥路－墩弄路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500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2500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浃湫东路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浃湫桥-兴灵路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383</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2298</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浃湫东路43弄</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吴圣坚家-陈富才家</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195</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780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浃湫东路41弄</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陈金亭家-兴灵路</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130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520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浃湫东路38弄</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王森林家-夏松媚家</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183</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732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北段庄路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余治民家-林德家</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335</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1340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丰收路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庆宽家旁-吴德宝屋后</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897</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5382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90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华浦路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浃湫东路-77省道老糖厂</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842</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5052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91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绿居路（新灵景园西侧）</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瓯绣大道——南侧施工场地</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default" w:ascii="宋体" w:hAnsi="宋体" w:eastAsia="宋体" w:cs="宋体"/>
                <w:b w:val="0"/>
                <w:bCs w:val="0"/>
                <w:i w:val="0"/>
                <w:iCs w:val="0"/>
                <w:color w:val="auto"/>
                <w:sz w:val="22"/>
                <w:szCs w:val="22"/>
                <w:highlight w:val="none"/>
                <w:u w:val="none"/>
                <w:lang w:val="en-US" w:eastAsia="zh-CN"/>
              </w:rPr>
              <w:t>448</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default" w:ascii="宋体" w:hAnsi="宋体" w:eastAsia="宋体" w:cs="宋体"/>
                <w:b w:val="0"/>
                <w:bCs w:val="0"/>
                <w:i w:val="0"/>
                <w:iCs w:val="0"/>
                <w:color w:val="auto"/>
                <w:sz w:val="22"/>
                <w:szCs w:val="22"/>
                <w:highlight w:val="none"/>
                <w:u w:val="none"/>
                <w:lang w:val="en-US" w:eastAsia="zh-CN"/>
              </w:rPr>
              <w:t>15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default" w:ascii="宋体" w:hAnsi="宋体" w:eastAsia="宋体" w:cs="宋体"/>
                <w:b w:val="0"/>
                <w:bCs w:val="0"/>
                <w:i w:val="0"/>
                <w:iCs w:val="0"/>
                <w:color w:val="auto"/>
                <w:sz w:val="22"/>
                <w:szCs w:val="22"/>
                <w:highlight w:val="none"/>
                <w:u w:val="none"/>
                <w:lang w:val="en-US" w:eastAsia="zh-CN"/>
              </w:rPr>
              <w:t>6720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92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昌前街(新灵景园南侧)</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灵昆幼儿园——王相S1站点</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default" w:ascii="宋体" w:hAnsi="宋体" w:eastAsia="宋体" w:cs="宋体"/>
                <w:b w:val="0"/>
                <w:bCs w:val="0"/>
                <w:i w:val="0"/>
                <w:iCs w:val="0"/>
                <w:color w:val="auto"/>
                <w:sz w:val="22"/>
                <w:szCs w:val="22"/>
                <w:highlight w:val="none"/>
                <w:u w:val="none"/>
                <w:lang w:val="en-US" w:eastAsia="zh-CN"/>
              </w:rPr>
              <w:t>1012</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default" w:ascii="宋体" w:hAnsi="宋体" w:eastAsia="宋体" w:cs="宋体"/>
                <w:b w:val="0"/>
                <w:bCs w:val="0"/>
                <w:i w:val="0"/>
                <w:iCs w:val="0"/>
                <w:color w:val="auto"/>
                <w:sz w:val="22"/>
                <w:szCs w:val="22"/>
                <w:highlight w:val="none"/>
                <w:u w:val="none"/>
                <w:lang w:val="en-US" w:eastAsia="zh-CN"/>
              </w:rPr>
              <w:t>15</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default" w:ascii="宋体" w:hAnsi="宋体" w:eastAsia="宋体" w:cs="宋体"/>
                <w:b w:val="0"/>
                <w:bCs w:val="0"/>
                <w:i w:val="0"/>
                <w:iCs w:val="0"/>
                <w:color w:val="auto"/>
                <w:sz w:val="22"/>
                <w:szCs w:val="22"/>
                <w:highlight w:val="none"/>
                <w:u w:val="none"/>
                <w:lang w:val="en-US" w:eastAsia="zh-CN"/>
              </w:rPr>
              <w:t>15180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93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小学路口段</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兴灵路-棋坊路</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default" w:ascii="宋体" w:hAnsi="宋体" w:eastAsia="宋体" w:cs="宋体"/>
                <w:b w:val="0"/>
                <w:bCs w:val="0"/>
                <w:i w:val="0"/>
                <w:iCs w:val="0"/>
                <w:color w:val="auto"/>
                <w:sz w:val="22"/>
                <w:szCs w:val="22"/>
                <w:highlight w:val="none"/>
                <w:u w:val="none"/>
                <w:lang w:val="en-US" w:eastAsia="zh-CN"/>
              </w:rPr>
              <w:t>190</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default" w:ascii="宋体" w:hAnsi="宋体" w:eastAsia="宋体" w:cs="宋体"/>
                <w:b w:val="0"/>
                <w:bCs w:val="0"/>
                <w:i w:val="0"/>
                <w:iCs w:val="0"/>
                <w:color w:val="auto"/>
                <w:sz w:val="22"/>
                <w:szCs w:val="22"/>
                <w:highlight w:val="none"/>
                <w:u w:val="none"/>
                <w:lang w:val="en-US" w:eastAsia="zh-CN"/>
              </w:rPr>
              <w:t>7</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default" w:ascii="宋体" w:hAnsi="宋体" w:eastAsia="宋体" w:cs="宋体"/>
                <w:b w:val="0"/>
                <w:bCs w:val="0"/>
                <w:i w:val="0"/>
                <w:iCs w:val="0"/>
                <w:color w:val="auto"/>
                <w:sz w:val="22"/>
                <w:szCs w:val="22"/>
                <w:highlight w:val="none"/>
                <w:u w:val="none"/>
                <w:lang w:val="en-US" w:eastAsia="zh-CN"/>
              </w:rPr>
              <w:t>1330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94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站西路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王相路——昆南路</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426</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12780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95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昆南路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王相东路——站西路</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866</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17320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96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昆东路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欧锦大道东侧——330国道</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1578</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47340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97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昆九路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欧锦大道西侧——330国道</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1410</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70500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98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欧锦大道</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昆九路——雁鸣路</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2200</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110000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99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温瑞塘河路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农贸市场南入口——农贸市场东出口</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491</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3928</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100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九村街</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瓯锦大道——九村路</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557</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18</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10026</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101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房开后路</w:t>
            </w:r>
          </w:p>
        </w:tc>
        <w:tc>
          <w:tcPr>
            <w:tcW w:w="2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繁灵街北首背街小巷</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83</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415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三级</w:t>
            </w:r>
          </w:p>
        </w:tc>
      </w:tr>
    </w:tbl>
    <w:p>
      <w:pPr>
        <w:keepNext w:val="0"/>
        <w:keepLines w:val="0"/>
        <w:pageBreakBefore w:val="0"/>
        <w:widowControl w:val="0"/>
        <w:kinsoku/>
        <w:wordWrap/>
        <w:overflowPunct/>
        <w:topLinePunct w:val="0"/>
        <w:autoSpaceDE/>
        <w:autoSpaceDN/>
        <w:bidi w:val="0"/>
        <w:adjustRightInd/>
        <w:snapToGrid/>
        <w:spacing w:before="159" w:beforeLines="50" w:beforeAutospacing="0" w:afterAutospacing="0" w:line="360" w:lineRule="auto"/>
        <w:ind w:left="753" w:leftChars="148" w:hanging="442" w:hangingChars="200"/>
        <w:textAlignment w:val="auto"/>
        <w:rPr>
          <w:rFonts w:hint="eastAsia" w:ascii="宋体" w:hAnsi="宋体"/>
          <w:b/>
          <w:bCs/>
          <w:color w:val="auto"/>
          <w:sz w:val="22"/>
          <w:szCs w:val="22"/>
          <w:highlight w:val="none"/>
        </w:rPr>
      </w:pPr>
      <w:r>
        <w:rPr>
          <w:rFonts w:hint="eastAsia" w:ascii="宋体" w:hAnsi="宋体"/>
          <w:b/>
          <w:bCs/>
          <w:color w:val="auto"/>
          <w:sz w:val="22"/>
          <w:szCs w:val="22"/>
          <w:highlight w:val="none"/>
        </w:rPr>
        <w:t>注：上述道路市政设施情况统计及道路基本情况描述均仅供参考，招标采购单位不对此进行负责，投标人必须进行实地考察统计，同时自行承担后果及风险。</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442" w:firstLineChars="200"/>
        <w:textAlignment w:val="auto"/>
        <w:rPr>
          <w:rFonts w:hint="eastAsia" w:ascii="宋体" w:hAnsi="宋体"/>
          <w:b/>
          <w:bCs/>
          <w:color w:val="auto"/>
          <w:sz w:val="22"/>
          <w:szCs w:val="22"/>
          <w:highlight w:val="none"/>
        </w:rPr>
      </w:pPr>
      <w:r>
        <w:rPr>
          <w:rFonts w:hint="eastAsia" w:ascii="宋体" w:hAnsi="宋体" w:cs="Arial"/>
          <w:b/>
          <w:bCs/>
          <w:color w:val="auto"/>
          <w:sz w:val="22"/>
          <w:szCs w:val="22"/>
          <w:highlight w:val="none"/>
          <w:lang w:val="en-US" w:eastAsia="zh-CN"/>
        </w:rPr>
        <w:t>2、</w:t>
      </w:r>
      <w:r>
        <w:rPr>
          <w:rFonts w:hint="eastAsia" w:ascii="宋体" w:hAnsi="宋体" w:cs="Arial"/>
          <w:b/>
          <w:bCs/>
          <w:color w:val="auto"/>
          <w:sz w:val="22"/>
          <w:szCs w:val="22"/>
          <w:highlight w:val="none"/>
        </w:rPr>
        <w:t>▲</w:t>
      </w:r>
      <w:r>
        <w:rPr>
          <w:rFonts w:hint="eastAsia" w:ascii="宋体" w:hAnsi="宋体"/>
          <w:b/>
          <w:bCs/>
          <w:color w:val="auto"/>
          <w:sz w:val="22"/>
          <w:szCs w:val="22"/>
          <w:highlight w:val="none"/>
          <w:u w:val="single"/>
        </w:rPr>
        <w:t>本项目河道保洁人数不少于2</w:t>
      </w:r>
      <w:r>
        <w:rPr>
          <w:rFonts w:hint="eastAsia" w:ascii="宋体" w:hAnsi="宋体"/>
          <w:b/>
          <w:bCs/>
          <w:color w:val="auto"/>
          <w:sz w:val="22"/>
          <w:szCs w:val="22"/>
          <w:highlight w:val="none"/>
          <w:u w:val="single"/>
          <w:lang w:val="en-US" w:eastAsia="zh-CN"/>
        </w:rPr>
        <w:t>9</w:t>
      </w:r>
      <w:r>
        <w:rPr>
          <w:rFonts w:hint="eastAsia" w:ascii="宋体" w:hAnsi="宋体"/>
          <w:b/>
          <w:bCs/>
          <w:color w:val="auto"/>
          <w:sz w:val="22"/>
          <w:szCs w:val="22"/>
          <w:highlight w:val="none"/>
          <w:u w:val="single"/>
        </w:rPr>
        <w:t>人（其中保洁人员：2</w:t>
      </w:r>
      <w:r>
        <w:rPr>
          <w:rFonts w:hint="eastAsia" w:ascii="宋体" w:hAnsi="宋体"/>
          <w:b/>
          <w:bCs/>
          <w:color w:val="auto"/>
          <w:sz w:val="22"/>
          <w:szCs w:val="22"/>
          <w:highlight w:val="none"/>
          <w:u w:val="single"/>
          <w:lang w:val="en-US" w:eastAsia="zh-CN"/>
        </w:rPr>
        <w:t>8</w:t>
      </w:r>
      <w:r>
        <w:rPr>
          <w:rFonts w:hint="eastAsia" w:ascii="宋体" w:hAnsi="宋体"/>
          <w:b/>
          <w:bCs/>
          <w:color w:val="auto"/>
          <w:sz w:val="22"/>
          <w:szCs w:val="22"/>
          <w:highlight w:val="none"/>
          <w:u w:val="single"/>
        </w:rPr>
        <w:t>人，管理人员1人）</w:t>
      </w:r>
      <w:r>
        <w:rPr>
          <w:rFonts w:hint="eastAsia" w:ascii="宋体" w:hAnsi="宋体"/>
          <w:b/>
          <w:bCs/>
          <w:color w:val="auto"/>
          <w:sz w:val="22"/>
          <w:szCs w:val="22"/>
          <w:highlight w:val="none"/>
        </w:rPr>
        <w:t>。具体保洁服务范围如下：</w:t>
      </w:r>
    </w:p>
    <w:tbl>
      <w:tblPr>
        <w:tblStyle w:val="28"/>
        <w:tblW w:w="10079" w:type="dxa"/>
        <w:tblInd w:w="-4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9"/>
        <w:gridCol w:w="2209"/>
        <w:gridCol w:w="3120"/>
        <w:gridCol w:w="1393"/>
        <w:gridCol w:w="1369"/>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079"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灵昆街道道路清扫河道保洁详细清单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序号</w:t>
            </w:r>
          </w:p>
        </w:tc>
        <w:tc>
          <w:tcPr>
            <w:tcW w:w="220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河段名</w:t>
            </w:r>
          </w:p>
        </w:tc>
        <w:tc>
          <w:tcPr>
            <w:tcW w:w="31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起点—终点</w:t>
            </w:r>
          </w:p>
        </w:tc>
        <w:tc>
          <w:tcPr>
            <w:tcW w:w="139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河道长度</w:t>
            </w:r>
          </w:p>
        </w:tc>
        <w:tc>
          <w:tcPr>
            <w:tcW w:w="136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宽度</w:t>
            </w:r>
          </w:p>
        </w:tc>
        <w:tc>
          <w:tcPr>
            <w:tcW w:w="136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灵南河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单昆水闸-灵东片</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7900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16</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126400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2</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灵昆河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环岛南河-北江坦水闸</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3200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灵北河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北九村河-中浦河</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3000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16</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中段河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双昆老人亭-中段南横河</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1170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九份头河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陈府庙东-环岛南河</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1190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11</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13090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中段南横河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南沙河-中段河</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580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双昆堤塘河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环岛南河-77省道</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双昆四佰河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五百河-77省道</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9</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双昆南沙河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双昆老人亭-郑宅</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980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11</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10780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10</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尚家洋横河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九份头河-南沙河</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11</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米筛河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昆祥河-灵南河</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1600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7.5</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12</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中浦河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灵南河-77省道</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1000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13</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13</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五百河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双昆四佰河-中浦河</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14</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墩弄河、昆祥河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灵昆河-米筛河</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1500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13</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15</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黄宅河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灵昆河-灵南河</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1200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11</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16</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头号角河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灵昆河-灵东路</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18</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17</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外坦路西河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灵东路-陈府庙东</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570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18</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头梳河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灵昆河-灵东路</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18</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19</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民胜河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王相段-灵南河</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1500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19</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28500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20</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官河港河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官河路-温州市域铁路S1线</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1000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21</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棋盘河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灵南河-灵北河</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15</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22</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叶先河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灵东路-灵南河</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430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14</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23</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北堤塘内河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周宅河-周宅老码道</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1000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11</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24</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祥浦河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灵昆河-周宅河</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9</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25</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周宅河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灵北河-77省道</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15</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26</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跨浦段陡闸内河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官司段内闸-九村内闸</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1870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12</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22440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27</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下浦路东河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北段糖厂桥头-官司段内闸</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12</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28</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盟建陡闸内河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北段糖厂-灵昆河</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11</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29</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九村河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新开河-北九村河</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1700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15</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25500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30</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北九村河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灵北河-陡闸</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31</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新开河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杨兴段陡闸-丰收段</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730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15</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10950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32</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平安河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灵南河-九村河</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14</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33</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直河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大段庙-灵南河</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20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61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34</w:t>
            </w:r>
          </w:p>
        </w:tc>
        <w:tc>
          <w:tcPr>
            <w:tcW w:w="22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雁鸣河</w:t>
            </w:r>
          </w:p>
        </w:tc>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330国道—昆北河</w:t>
            </w:r>
          </w:p>
        </w:tc>
        <w:tc>
          <w:tcPr>
            <w:tcW w:w="139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3500</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33</w:t>
            </w:r>
          </w:p>
        </w:tc>
        <w:tc>
          <w:tcPr>
            <w:tcW w:w="13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115500</w:t>
            </w:r>
          </w:p>
        </w:tc>
      </w:tr>
    </w:tbl>
    <w:p>
      <w:pPr>
        <w:spacing w:line="400" w:lineRule="exact"/>
        <w:ind w:left="753" w:leftChars="148" w:hanging="442" w:hangingChars="200"/>
        <w:rPr>
          <w:rFonts w:hint="eastAsia" w:ascii="宋体" w:hAnsi="宋体"/>
          <w:b/>
          <w:bCs/>
          <w:color w:val="auto"/>
          <w:sz w:val="22"/>
          <w:szCs w:val="22"/>
          <w:highlight w:val="none"/>
        </w:rPr>
      </w:pPr>
      <w:r>
        <w:rPr>
          <w:rFonts w:hint="eastAsia" w:ascii="宋体" w:hAnsi="宋体"/>
          <w:b/>
          <w:bCs/>
          <w:color w:val="auto"/>
          <w:sz w:val="22"/>
          <w:szCs w:val="22"/>
          <w:highlight w:val="none"/>
        </w:rPr>
        <w:t>注：上述河道基本情况描述均仅供参考，招标采购单位不对此进行负责，投标人必须进行实地考察统计，同时自行承担后果及风险。</w:t>
      </w:r>
    </w:p>
    <w:p>
      <w:pPr>
        <w:keepNext w:val="0"/>
        <w:keepLines w:val="0"/>
        <w:pageBreakBefore w:val="0"/>
        <w:widowControl w:val="0"/>
        <w:kinsoku/>
        <w:wordWrap/>
        <w:overflowPunct/>
        <w:topLinePunct w:val="0"/>
        <w:autoSpaceDE/>
        <w:autoSpaceDN/>
        <w:bidi w:val="0"/>
        <w:adjustRightInd/>
        <w:snapToGrid/>
        <w:spacing w:before="159" w:beforeLines="50" w:beforeAutospacing="0" w:line="360" w:lineRule="auto"/>
        <w:ind w:firstLine="442" w:firstLineChars="200"/>
        <w:textAlignment w:val="auto"/>
        <w:rPr>
          <w:rFonts w:hint="eastAsia" w:ascii="宋体" w:hAnsi="宋体"/>
          <w:b/>
          <w:color w:val="auto"/>
          <w:sz w:val="22"/>
          <w:szCs w:val="22"/>
          <w:highlight w:val="none"/>
          <w:lang w:eastAsia="zh-CN"/>
        </w:rPr>
      </w:pPr>
      <w:r>
        <w:rPr>
          <w:rFonts w:hint="eastAsia" w:ascii="宋体" w:hAnsi="宋体"/>
          <w:b/>
          <w:color w:val="auto"/>
          <w:sz w:val="22"/>
          <w:szCs w:val="22"/>
          <w:highlight w:val="none"/>
          <w:lang w:eastAsia="zh-CN"/>
        </w:rPr>
        <w:t>（三）道路清扫保洁、河道保洁服务内容</w:t>
      </w:r>
    </w:p>
    <w:p>
      <w:pPr>
        <w:keepNext w:val="0"/>
        <w:keepLines w:val="0"/>
        <w:pageBreakBefore w:val="0"/>
        <w:widowControl w:val="0"/>
        <w:kinsoku/>
        <w:wordWrap/>
        <w:overflowPunct/>
        <w:topLinePunct w:val="0"/>
        <w:autoSpaceDE/>
        <w:autoSpaceDN/>
        <w:bidi w:val="0"/>
        <w:adjustRightInd/>
        <w:snapToGrid/>
        <w:spacing w:afterAutospacing="0" w:line="360" w:lineRule="auto"/>
        <w:ind w:firstLine="440" w:firstLineChars="200"/>
        <w:textAlignment w:val="auto"/>
        <w:rPr>
          <w:rFonts w:hint="eastAsia" w:ascii="宋体" w:hAnsi="宋体"/>
          <w:color w:val="auto"/>
          <w:sz w:val="22"/>
          <w:szCs w:val="22"/>
          <w:highlight w:val="none"/>
        </w:rPr>
      </w:pPr>
      <w:r>
        <w:rPr>
          <w:rFonts w:hint="eastAsia" w:ascii="宋体" w:hAnsi="宋体"/>
          <w:color w:val="auto"/>
          <w:sz w:val="22"/>
          <w:szCs w:val="22"/>
          <w:highlight w:val="none"/>
        </w:rPr>
        <w:t>道路清扫保洁内容：</w:t>
      </w:r>
      <w:r>
        <w:rPr>
          <w:rFonts w:ascii="宋体" w:hAnsi="宋体"/>
          <w:color w:val="auto"/>
          <w:sz w:val="22"/>
          <w:szCs w:val="22"/>
          <w:highlight w:val="none"/>
        </w:rPr>
        <w:t>道路普扫、保洁人工作业</w:t>
      </w:r>
      <w:r>
        <w:rPr>
          <w:rFonts w:hint="eastAsia" w:ascii="宋体" w:hAnsi="宋体"/>
          <w:color w:val="auto"/>
          <w:sz w:val="22"/>
          <w:szCs w:val="22"/>
          <w:highlight w:val="none"/>
        </w:rPr>
        <w:t>、机械清扫、</w:t>
      </w:r>
      <w:r>
        <w:rPr>
          <w:rFonts w:ascii="宋体" w:hAnsi="宋体"/>
          <w:color w:val="auto"/>
          <w:sz w:val="22"/>
          <w:szCs w:val="22"/>
          <w:highlight w:val="none"/>
        </w:rPr>
        <w:t>市政环卫设施维护、保洁等内容</w:t>
      </w:r>
      <w:r>
        <w:rPr>
          <w:rFonts w:hint="eastAsia" w:ascii="宋体" w:hAnsi="宋体"/>
          <w:color w:val="auto"/>
          <w:sz w:val="22"/>
          <w:szCs w:val="22"/>
          <w:highlight w:val="none"/>
        </w:rPr>
        <w:t>；河道保洁内容：杂草、水葫芦、浮萍、生活垃圾、建筑垃圾等清理及河岸上杂草清除，保洁产生的垃圾清运及消纳等。</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442" w:firstLineChars="200"/>
        <w:textAlignment w:val="auto"/>
        <w:rPr>
          <w:rFonts w:hint="eastAsia" w:ascii="宋体" w:hAnsi="宋体"/>
          <w:b/>
          <w:color w:val="auto"/>
          <w:sz w:val="22"/>
          <w:szCs w:val="22"/>
          <w:highlight w:val="none"/>
          <w:lang w:eastAsia="zh-CN"/>
        </w:rPr>
      </w:pPr>
      <w:r>
        <w:rPr>
          <w:rFonts w:hint="eastAsia" w:ascii="宋体" w:hAnsi="宋体"/>
          <w:b/>
          <w:color w:val="auto"/>
          <w:sz w:val="22"/>
          <w:szCs w:val="22"/>
          <w:highlight w:val="none"/>
          <w:lang w:eastAsia="zh-CN"/>
        </w:rPr>
        <w:t>（四）投标要求</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40" w:leftChars="0"/>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lang w:val="en-US" w:eastAsia="zh-CN"/>
        </w:rPr>
        <w:t>1、</w:t>
      </w:r>
      <w:r>
        <w:rPr>
          <w:rFonts w:hint="eastAsia" w:ascii="宋体" w:hAnsi="宋体" w:cs="Arial"/>
          <w:color w:val="auto"/>
          <w:sz w:val="22"/>
          <w:szCs w:val="22"/>
          <w:highlight w:val="none"/>
        </w:rPr>
        <w:t>中标单位</w:t>
      </w:r>
      <w:r>
        <w:rPr>
          <w:rFonts w:hint="eastAsia" w:ascii="宋体" w:hAnsi="宋体" w:cs="Arial"/>
          <w:color w:val="auto"/>
          <w:sz w:val="22"/>
          <w:szCs w:val="22"/>
          <w:highlight w:val="none"/>
          <w:lang w:val="en-US" w:eastAsia="zh-CN"/>
        </w:rPr>
        <w:t>需向招标人报备</w:t>
      </w:r>
      <w:r>
        <w:rPr>
          <w:rFonts w:hint="eastAsia" w:ascii="宋体" w:hAnsi="宋体" w:cs="Arial"/>
          <w:color w:val="auto"/>
          <w:sz w:val="22"/>
          <w:szCs w:val="22"/>
          <w:highlight w:val="none"/>
        </w:rPr>
        <w:t>清扫保洁作业车辆的基本信息（如：车辆型号、购置时间、购置价格、年检时间、下次年检时间、驾驶员信息、核定重量、总质量、已使用的年限等信息和资料）；</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40" w:leftChars="0"/>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lang w:val="en-US" w:eastAsia="zh-CN"/>
        </w:rPr>
        <w:t>2、</w:t>
      </w:r>
      <w:r>
        <w:rPr>
          <w:rFonts w:hint="eastAsia" w:ascii="宋体" w:hAnsi="宋体" w:cs="Arial"/>
          <w:color w:val="auto"/>
          <w:sz w:val="22"/>
          <w:szCs w:val="22"/>
          <w:highlight w:val="none"/>
        </w:rPr>
        <w:t>清扫保洁作业车辆必须安装车辆定位、超速的预警、清扫频次、跨区域作业预警。</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40" w:leftChars="0"/>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lang w:val="en-US" w:eastAsia="zh-CN"/>
        </w:rPr>
        <w:t>3、</w:t>
      </w:r>
      <w:r>
        <w:rPr>
          <w:rFonts w:hint="eastAsia" w:ascii="宋体" w:hAnsi="宋体" w:cs="Arial"/>
          <w:color w:val="auto"/>
          <w:sz w:val="22"/>
          <w:szCs w:val="22"/>
          <w:highlight w:val="none"/>
        </w:rPr>
        <w:t>中标单位在领取中标通知书前需将负责本项目的所有保洁人员及车辆、船只在甲方处做好备案登记，供甲方随时抽查。</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left="440" w:leftChars="0"/>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lang w:val="en-US" w:eastAsia="zh-CN"/>
        </w:rPr>
        <w:t>4、</w:t>
      </w:r>
      <w:r>
        <w:rPr>
          <w:rFonts w:hint="eastAsia" w:ascii="宋体" w:hAnsi="宋体" w:cs="Arial"/>
          <w:color w:val="auto"/>
          <w:sz w:val="22"/>
          <w:szCs w:val="22"/>
          <w:highlight w:val="none"/>
        </w:rPr>
        <w:t>甲方抽查保洁人员及车辆、船只时以村为单位，接到通知后20分钟内到该村集中点核对。</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442" w:firstLineChars="200"/>
        <w:textAlignment w:val="auto"/>
        <w:rPr>
          <w:rFonts w:hint="eastAsia" w:ascii="宋体" w:hAnsi="宋体"/>
          <w:b/>
          <w:color w:val="auto"/>
          <w:sz w:val="22"/>
          <w:szCs w:val="22"/>
          <w:highlight w:val="none"/>
          <w:lang w:eastAsia="zh-CN"/>
        </w:rPr>
      </w:pPr>
      <w:r>
        <w:rPr>
          <w:rFonts w:hint="eastAsia" w:ascii="宋体" w:hAnsi="宋体"/>
          <w:b/>
          <w:color w:val="auto"/>
          <w:sz w:val="22"/>
          <w:szCs w:val="22"/>
          <w:highlight w:val="none"/>
          <w:lang w:eastAsia="zh-CN"/>
        </w:rPr>
        <w:t>（五）服务和质量要求</w:t>
      </w:r>
    </w:p>
    <w:p>
      <w:pPr>
        <w:pStyle w:val="12"/>
        <w:keepNext w:val="0"/>
        <w:keepLines w:val="0"/>
        <w:pageBreakBefore w:val="0"/>
        <w:widowControl w:val="0"/>
        <w:kinsoku/>
        <w:wordWrap/>
        <w:overflowPunct/>
        <w:topLinePunct w:val="0"/>
        <w:autoSpaceDE/>
        <w:autoSpaceDN/>
        <w:bidi w:val="0"/>
        <w:adjustRightInd/>
        <w:snapToGrid/>
        <w:spacing w:line="360" w:lineRule="auto"/>
        <w:ind w:left="0" w:firstLine="442" w:firstLineChars="200"/>
        <w:textAlignment w:val="auto"/>
        <w:rPr>
          <w:rFonts w:hint="eastAsia" w:ascii="宋体" w:hAnsi="宋体" w:cs="Arial"/>
          <w:b/>
          <w:bCs/>
          <w:color w:val="auto"/>
          <w:sz w:val="22"/>
          <w:szCs w:val="22"/>
          <w:highlight w:val="none"/>
        </w:rPr>
      </w:pPr>
      <w:r>
        <w:rPr>
          <w:rFonts w:hint="eastAsia" w:ascii="宋体" w:hAnsi="宋体" w:cs="Arial"/>
          <w:b/>
          <w:bCs/>
          <w:color w:val="auto"/>
          <w:sz w:val="22"/>
          <w:szCs w:val="22"/>
          <w:highlight w:val="none"/>
          <w:lang w:val="en-US" w:eastAsia="zh-CN"/>
        </w:rPr>
        <w:t>1、</w:t>
      </w:r>
      <w:r>
        <w:rPr>
          <w:rFonts w:hint="eastAsia" w:ascii="宋体" w:hAnsi="宋体" w:cs="Arial"/>
          <w:b/>
          <w:bCs/>
          <w:color w:val="auto"/>
          <w:sz w:val="22"/>
          <w:szCs w:val="22"/>
          <w:highlight w:val="none"/>
        </w:rPr>
        <w:t xml:space="preserve">道路清扫保洁服务和质量要求        </w:t>
      </w:r>
    </w:p>
    <w:p>
      <w:pPr>
        <w:keepNext w:val="0"/>
        <w:keepLines w:val="0"/>
        <w:pageBreakBefore w:val="0"/>
        <w:widowControl w:val="0"/>
        <w:kinsoku/>
        <w:wordWrap/>
        <w:overflowPunct/>
        <w:topLinePunct w:val="0"/>
        <w:autoSpaceDE/>
        <w:autoSpaceDN/>
        <w:bidi w:val="0"/>
        <w:adjustRightInd/>
        <w:snapToGrid/>
        <w:spacing w:afterAutospacing="0" w:line="360" w:lineRule="auto"/>
        <w:ind w:firstLine="440" w:firstLineChars="200"/>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rPr>
        <w:t>各投标单位可在保证本项目道路清扫保洁服务质量要求的前提下，参考2006年1月1日执行实施的《浙江省城市环境卫生劳动定额》并结合灵昆街道辖区道路实际情况，确定投入各条道路各工种环卫保洁人员总人数及机具配备，并给出各条道路人员及机具配备测算、方法、计算依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42" w:firstLineChars="200"/>
        <w:textAlignment w:val="auto"/>
        <w:rPr>
          <w:rFonts w:hint="eastAsia" w:ascii="宋体" w:hAnsi="宋体" w:cs="Arial"/>
          <w:b/>
          <w:bCs/>
          <w:color w:val="auto"/>
          <w:sz w:val="22"/>
          <w:szCs w:val="22"/>
          <w:highlight w:val="none"/>
        </w:rPr>
      </w:pPr>
      <w:r>
        <w:rPr>
          <w:rFonts w:hint="eastAsia" w:ascii="宋体" w:hAnsi="宋体" w:cs="Arial"/>
          <w:b/>
          <w:bCs/>
          <w:color w:val="auto"/>
          <w:sz w:val="22"/>
          <w:szCs w:val="22"/>
          <w:highlight w:val="none"/>
          <w:lang w:eastAsia="zh-CN"/>
        </w:rPr>
        <w:t>（</w:t>
      </w:r>
      <w:r>
        <w:rPr>
          <w:rFonts w:hint="eastAsia" w:ascii="宋体" w:hAnsi="宋体" w:cs="Arial"/>
          <w:b/>
          <w:bCs/>
          <w:color w:val="auto"/>
          <w:sz w:val="22"/>
          <w:szCs w:val="22"/>
          <w:highlight w:val="none"/>
          <w:lang w:val="en-US" w:eastAsia="zh-CN"/>
        </w:rPr>
        <w:t>1</w:t>
      </w:r>
      <w:r>
        <w:rPr>
          <w:rFonts w:hint="eastAsia" w:ascii="宋体" w:hAnsi="宋体" w:cs="Arial"/>
          <w:b/>
          <w:bCs/>
          <w:color w:val="auto"/>
          <w:sz w:val="22"/>
          <w:szCs w:val="22"/>
          <w:highlight w:val="none"/>
          <w:lang w:eastAsia="zh-CN"/>
        </w:rPr>
        <w:t>）</w:t>
      </w:r>
      <w:r>
        <w:rPr>
          <w:rFonts w:hint="eastAsia" w:ascii="宋体" w:hAnsi="宋体" w:cs="Arial"/>
          <w:b/>
          <w:bCs/>
          <w:color w:val="auto"/>
          <w:sz w:val="22"/>
          <w:szCs w:val="22"/>
          <w:highlight w:val="none"/>
        </w:rPr>
        <w:t xml:space="preserve">人工道路清扫保洁    </w:t>
      </w:r>
    </w:p>
    <w:p>
      <w:pPr>
        <w:keepNext w:val="0"/>
        <w:keepLines w:val="0"/>
        <w:pageBreakBefore w:val="0"/>
        <w:widowControl w:val="0"/>
        <w:kinsoku/>
        <w:wordWrap/>
        <w:overflowPunct/>
        <w:topLinePunct w:val="0"/>
        <w:autoSpaceDE/>
        <w:autoSpaceDN/>
        <w:bidi w:val="0"/>
        <w:adjustRightInd/>
        <w:snapToGrid/>
        <w:spacing w:beforeAutospacing="0" w:after="48" w:afterLines="20" w:line="360" w:lineRule="auto"/>
        <w:ind w:firstLine="440" w:firstLineChars="200"/>
        <w:textAlignment w:val="auto"/>
        <w:rPr>
          <w:rFonts w:hint="eastAsia" w:ascii="宋体" w:hAnsi="宋体" w:cs="Arial"/>
          <w:color w:val="auto"/>
          <w:sz w:val="22"/>
          <w:szCs w:val="22"/>
          <w:highlight w:val="none"/>
        </w:rPr>
      </w:pPr>
      <w:r>
        <w:rPr>
          <w:rFonts w:hint="eastAsia" w:ascii="宋体" w:hAnsi="宋体"/>
          <w:color w:val="auto"/>
          <w:sz w:val="22"/>
          <w:szCs w:val="22"/>
          <w:highlight w:val="none"/>
        </w:rPr>
        <w:t>1</w:t>
      </w:r>
      <w:r>
        <w:rPr>
          <w:rFonts w:hint="eastAsia" w:ascii="宋体" w:hAnsi="宋体" w:cs="Arial"/>
          <w:color w:val="auto"/>
          <w:sz w:val="22"/>
          <w:szCs w:val="22"/>
          <w:highlight w:val="none"/>
        </w:rPr>
        <w:t>）承包责任区域内无垃圾废弃物（包括烟头、纸屑、瓜果皮核、包装壳、塑料袋、砖瓦、石子、等各类明显废弃物）；无散、袋装垃圾滞留路面及绿化带；果壳箱定时清洗及时加盖、关门；人行道、步阶、墙跟、树穴无明显杂草、杂物。晴天路面无积水，无蚊蝇孳生，路两旁及隔离护栏下无淤泥，路面基本见本色。</w:t>
      </w:r>
    </w:p>
    <w:p>
      <w:pPr>
        <w:keepNext w:val="0"/>
        <w:keepLines w:val="0"/>
        <w:pageBreakBefore w:val="0"/>
        <w:widowControl w:val="0"/>
        <w:kinsoku/>
        <w:wordWrap/>
        <w:overflowPunct/>
        <w:topLinePunct w:val="0"/>
        <w:autoSpaceDE/>
        <w:autoSpaceDN/>
        <w:bidi w:val="0"/>
        <w:adjustRightInd/>
        <w:snapToGrid/>
        <w:spacing w:before="48" w:beforeLines="20" w:after="48" w:afterLines="20" w:line="360" w:lineRule="auto"/>
        <w:ind w:firstLine="440" w:firstLineChars="200"/>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rPr>
        <w:t>2) 普扫作业要求：一、二级道路全天实行14个小时（5:00-19:00）清扫保洁，确保一日二次普扫。第一次普扫即晨扫必须在夏季6：30、冬季7：00以前完成；第二次普扫在下午夏季17：00、冬季16:30前完成。三级道路全天实行12个小时（6:00-18:00）清扫保洁，确保一日二次普扫。第一次普扫即晨扫必须在夏季7：30、冬季8：00以前完成；第二次普扫在下午夏季17：00、冬季16:30前完成。普扫结束后做好巡回保洁工作，交接班不得出现空档，责任区交界处，责任交界处清扫保洁各过界10米，普扫时段内，要求环卫工人全员出勤。</w:t>
      </w:r>
    </w:p>
    <w:p>
      <w:pPr>
        <w:keepNext w:val="0"/>
        <w:keepLines w:val="0"/>
        <w:pageBreakBefore w:val="0"/>
        <w:widowControl w:val="0"/>
        <w:kinsoku/>
        <w:wordWrap/>
        <w:overflowPunct/>
        <w:topLinePunct w:val="0"/>
        <w:autoSpaceDE/>
        <w:autoSpaceDN/>
        <w:bidi w:val="0"/>
        <w:adjustRightInd/>
        <w:snapToGrid/>
        <w:spacing w:before="48" w:beforeLines="20" w:after="48" w:afterLines="20" w:line="360" w:lineRule="auto"/>
        <w:ind w:firstLine="440" w:firstLineChars="200"/>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rPr>
        <w:t>3) 动态保洁要求：做到巡回保洁，达到“七无五净”标准，即无杂物;无果皮壳；无纸屑，烟蒂，塑料袋；无污迹痰迹、无淤泥积石（沙）杂草；无污水；无堵塞窨井沟眼；无普扫盲点和卫生死角。路面、路牙净，窨井沟眼净，道路绿地、树穴净，边角侧石净，花坛周围净, 护栏隔离带净。 路面基本见本色，道路路面干净、地面无痰迹，道路侧石无积泥、污迹，晴天无积水，绿化隔离带无垃圾、卫生死角、窨井口畅通，果壳箱、垃圾收集车干净整洁。废弃物滞留应不超过30分钟。临时出现的大面积垃圾、渣土等滞留物，须在24小时内及时清理干净。</w:t>
      </w:r>
    </w:p>
    <w:p>
      <w:pPr>
        <w:keepNext w:val="0"/>
        <w:keepLines w:val="0"/>
        <w:pageBreakBefore w:val="0"/>
        <w:widowControl w:val="0"/>
        <w:kinsoku/>
        <w:wordWrap/>
        <w:overflowPunct/>
        <w:topLinePunct w:val="0"/>
        <w:autoSpaceDE/>
        <w:autoSpaceDN/>
        <w:bidi w:val="0"/>
        <w:adjustRightInd/>
        <w:snapToGrid/>
        <w:spacing w:before="48" w:beforeLines="20" w:after="48" w:afterLines="20" w:line="360" w:lineRule="auto"/>
        <w:ind w:firstLine="440" w:firstLineChars="200"/>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rPr>
        <w:t xml:space="preserve">4) 道路绿地（含车道绿化隔离带、人行道绿地）保洁应与道路保洁同步，做到绿化带内无杂物、无垃圾。 </w:t>
      </w:r>
    </w:p>
    <w:p>
      <w:pPr>
        <w:keepNext w:val="0"/>
        <w:keepLines w:val="0"/>
        <w:pageBreakBefore w:val="0"/>
        <w:widowControl w:val="0"/>
        <w:kinsoku/>
        <w:wordWrap/>
        <w:overflowPunct/>
        <w:topLinePunct w:val="0"/>
        <w:autoSpaceDE/>
        <w:autoSpaceDN/>
        <w:bidi w:val="0"/>
        <w:adjustRightInd/>
        <w:snapToGrid/>
        <w:spacing w:before="48" w:beforeLines="20" w:afterAutospacing="0" w:line="360" w:lineRule="auto"/>
        <w:ind w:firstLine="440" w:firstLineChars="200"/>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rPr>
        <w:t>5) 交通护栏或交通隔离或道路标志标线要进行日常保洁，应保持整洁、无污垢。</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42" w:firstLineChars="200"/>
        <w:textAlignment w:val="auto"/>
        <w:rPr>
          <w:rFonts w:hint="eastAsia" w:ascii="宋体" w:hAnsi="宋体" w:cs="Arial"/>
          <w:b/>
          <w:bCs/>
          <w:color w:val="auto"/>
          <w:sz w:val="22"/>
          <w:szCs w:val="22"/>
          <w:highlight w:val="none"/>
          <w:lang w:eastAsia="zh-CN"/>
        </w:rPr>
      </w:pPr>
      <w:r>
        <w:rPr>
          <w:rFonts w:hint="eastAsia" w:ascii="宋体" w:hAnsi="宋体" w:cs="Arial"/>
          <w:b/>
          <w:bCs/>
          <w:color w:val="auto"/>
          <w:sz w:val="22"/>
          <w:szCs w:val="22"/>
          <w:highlight w:val="none"/>
          <w:lang w:eastAsia="zh-CN"/>
        </w:rPr>
        <w:t>（2）环卫设施维护</w:t>
      </w:r>
    </w:p>
    <w:p>
      <w:pPr>
        <w:keepNext w:val="0"/>
        <w:keepLines w:val="0"/>
        <w:pageBreakBefore w:val="0"/>
        <w:kinsoku/>
        <w:wordWrap/>
        <w:overflowPunct/>
        <w:topLinePunct w:val="0"/>
        <w:bidi w:val="0"/>
        <w:snapToGrid/>
        <w:spacing w:beforeAutospacing="0" w:after="48" w:afterLines="20" w:line="360" w:lineRule="auto"/>
        <w:ind w:firstLine="440" w:firstLineChars="200"/>
        <w:rPr>
          <w:rFonts w:hint="eastAsia" w:ascii="宋体" w:hAnsi="宋体" w:cs="Arial"/>
          <w:color w:val="auto"/>
          <w:sz w:val="22"/>
          <w:szCs w:val="22"/>
          <w:highlight w:val="none"/>
        </w:rPr>
      </w:pPr>
      <w:r>
        <w:rPr>
          <w:rFonts w:hint="eastAsia" w:ascii="宋体" w:hAnsi="宋体" w:cs="Arial"/>
          <w:color w:val="auto"/>
          <w:sz w:val="22"/>
          <w:szCs w:val="22"/>
          <w:highlight w:val="none"/>
        </w:rPr>
        <w:t>1)果壳箱、垃圾桶、垃圾坞等环卫设施无破损；</w:t>
      </w:r>
    </w:p>
    <w:p>
      <w:pPr>
        <w:keepNext w:val="0"/>
        <w:keepLines w:val="0"/>
        <w:pageBreakBefore w:val="0"/>
        <w:kinsoku/>
        <w:wordWrap/>
        <w:overflowPunct/>
        <w:topLinePunct w:val="0"/>
        <w:bidi w:val="0"/>
        <w:snapToGrid/>
        <w:spacing w:before="48" w:beforeLines="20" w:after="48" w:afterLines="20" w:line="360" w:lineRule="auto"/>
        <w:ind w:firstLine="440" w:firstLineChars="200"/>
        <w:rPr>
          <w:rFonts w:hint="eastAsia" w:ascii="宋体" w:hAnsi="宋体" w:cs="Arial"/>
          <w:color w:val="auto"/>
          <w:sz w:val="22"/>
          <w:szCs w:val="22"/>
          <w:highlight w:val="none"/>
        </w:rPr>
      </w:pPr>
      <w:r>
        <w:rPr>
          <w:rFonts w:hint="eastAsia" w:ascii="宋体" w:hAnsi="宋体" w:cs="Arial"/>
          <w:color w:val="auto"/>
          <w:sz w:val="22"/>
          <w:szCs w:val="22"/>
          <w:highlight w:val="none"/>
        </w:rPr>
        <w:t>2) 果壳箱、垃圾桶、垃圾收集车辆、垃圾坞每两天日清洗一次；垃圾收集车、电动三轮高压冲洗车、洒水车等每日清洗后方可上路，保持外观整洁；</w:t>
      </w:r>
    </w:p>
    <w:p>
      <w:pPr>
        <w:keepNext w:val="0"/>
        <w:keepLines w:val="0"/>
        <w:pageBreakBefore w:val="0"/>
        <w:kinsoku/>
        <w:wordWrap/>
        <w:overflowPunct/>
        <w:topLinePunct w:val="0"/>
        <w:bidi w:val="0"/>
        <w:snapToGrid/>
        <w:spacing w:before="48" w:beforeLines="20" w:after="48" w:afterLines="20" w:line="360" w:lineRule="auto"/>
        <w:ind w:firstLine="440" w:firstLineChars="200"/>
        <w:rPr>
          <w:rFonts w:hint="eastAsia" w:ascii="宋体" w:hAnsi="宋体" w:cs="Arial"/>
          <w:color w:val="auto"/>
          <w:sz w:val="22"/>
          <w:szCs w:val="22"/>
          <w:highlight w:val="none"/>
        </w:rPr>
      </w:pPr>
      <w:r>
        <w:rPr>
          <w:rFonts w:hint="eastAsia" w:ascii="宋体" w:hAnsi="宋体" w:cs="Arial"/>
          <w:color w:val="auto"/>
          <w:sz w:val="22"/>
          <w:szCs w:val="22"/>
          <w:highlight w:val="none"/>
        </w:rPr>
        <w:t>3) 垃圾容器封闭无四害孳生，周围无垃圾散落，管理规范，垃圾做到日产日清；</w:t>
      </w:r>
    </w:p>
    <w:p>
      <w:pPr>
        <w:keepNext w:val="0"/>
        <w:keepLines w:val="0"/>
        <w:pageBreakBefore w:val="0"/>
        <w:kinsoku/>
        <w:wordWrap/>
        <w:overflowPunct/>
        <w:topLinePunct w:val="0"/>
        <w:bidi w:val="0"/>
        <w:snapToGrid/>
        <w:spacing w:before="48" w:beforeLines="20" w:afterAutospacing="0" w:line="360" w:lineRule="auto"/>
        <w:ind w:firstLine="440" w:firstLineChars="200"/>
        <w:rPr>
          <w:rFonts w:hint="eastAsia" w:ascii="宋体" w:hAnsi="宋体" w:cs="Arial"/>
          <w:color w:val="auto"/>
          <w:sz w:val="22"/>
          <w:szCs w:val="22"/>
          <w:highlight w:val="none"/>
        </w:rPr>
      </w:pPr>
      <w:r>
        <w:rPr>
          <w:rFonts w:hint="eastAsia" w:ascii="宋体" w:hAnsi="宋体" w:cs="Arial"/>
          <w:color w:val="auto"/>
          <w:sz w:val="22"/>
          <w:szCs w:val="22"/>
          <w:highlight w:val="none"/>
        </w:rPr>
        <w:t xml:space="preserve">4)交通道路引导标志牌每月冲刷次数不得少于一次。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42" w:firstLineChars="200"/>
        <w:textAlignment w:val="auto"/>
        <w:rPr>
          <w:rFonts w:hint="eastAsia" w:ascii="宋体" w:hAnsi="宋体" w:cs="Arial"/>
          <w:b/>
          <w:bCs/>
          <w:color w:val="auto"/>
          <w:sz w:val="22"/>
          <w:szCs w:val="22"/>
          <w:highlight w:val="none"/>
          <w:lang w:eastAsia="zh-CN"/>
        </w:rPr>
      </w:pPr>
      <w:r>
        <w:rPr>
          <w:rFonts w:hint="eastAsia" w:ascii="宋体" w:hAnsi="宋体" w:cs="Arial"/>
          <w:b/>
          <w:bCs/>
          <w:color w:val="auto"/>
          <w:sz w:val="22"/>
          <w:szCs w:val="22"/>
          <w:highlight w:val="none"/>
          <w:lang w:eastAsia="zh-CN"/>
        </w:rPr>
        <w:t>（</w:t>
      </w:r>
      <w:r>
        <w:rPr>
          <w:rFonts w:hint="eastAsia" w:ascii="宋体" w:hAnsi="宋体" w:cs="Arial"/>
          <w:b/>
          <w:bCs/>
          <w:color w:val="auto"/>
          <w:sz w:val="22"/>
          <w:szCs w:val="22"/>
          <w:highlight w:val="none"/>
          <w:lang w:val="en-US" w:eastAsia="zh-CN"/>
        </w:rPr>
        <w:t>3</w:t>
      </w:r>
      <w:r>
        <w:rPr>
          <w:rFonts w:hint="eastAsia" w:ascii="宋体" w:hAnsi="宋体" w:cs="Arial"/>
          <w:b/>
          <w:bCs/>
          <w:color w:val="auto"/>
          <w:sz w:val="22"/>
          <w:szCs w:val="22"/>
          <w:highlight w:val="none"/>
          <w:lang w:eastAsia="zh-CN"/>
        </w:rPr>
        <w:t>）机械化作业规范</w:t>
      </w:r>
    </w:p>
    <w:p>
      <w:pPr>
        <w:keepNext w:val="0"/>
        <w:keepLines w:val="0"/>
        <w:pageBreakBefore w:val="0"/>
        <w:widowControl w:val="0"/>
        <w:kinsoku/>
        <w:wordWrap/>
        <w:overflowPunct/>
        <w:topLinePunct w:val="0"/>
        <w:autoSpaceDE/>
        <w:autoSpaceDN/>
        <w:bidi w:val="0"/>
        <w:adjustRightInd/>
        <w:snapToGrid/>
        <w:spacing w:before="48" w:beforeLines="20" w:after="48" w:afterLines="20" w:line="360" w:lineRule="auto"/>
        <w:ind w:firstLine="440" w:firstLineChars="200"/>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lang w:val="en-US" w:eastAsia="zh-CN"/>
        </w:rPr>
        <w:t>a.</w:t>
      </w:r>
      <w:r>
        <w:rPr>
          <w:rFonts w:hint="eastAsia" w:ascii="宋体" w:hAnsi="宋体" w:cs="Arial"/>
          <w:color w:val="auto"/>
          <w:sz w:val="22"/>
          <w:szCs w:val="22"/>
          <w:highlight w:val="none"/>
        </w:rPr>
        <w:t>洒水作业规范</w:t>
      </w:r>
    </w:p>
    <w:p>
      <w:pPr>
        <w:keepNext w:val="0"/>
        <w:keepLines w:val="0"/>
        <w:pageBreakBefore w:val="0"/>
        <w:kinsoku/>
        <w:wordWrap/>
        <w:overflowPunct/>
        <w:topLinePunct w:val="0"/>
        <w:bidi w:val="0"/>
        <w:snapToGrid/>
        <w:spacing w:before="48" w:beforeLines="20" w:after="48" w:afterLines="20" w:line="360" w:lineRule="auto"/>
        <w:ind w:firstLine="440" w:firstLineChars="200"/>
        <w:rPr>
          <w:rFonts w:hint="eastAsia" w:ascii="宋体" w:hAnsi="宋体" w:cs="Arial"/>
          <w:color w:val="auto"/>
          <w:sz w:val="22"/>
          <w:szCs w:val="22"/>
          <w:highlight w:val="none"/>
        </w:rPr>
      </w:pPr>
      <w:r>
        <w:rPr>
          <w:rFonts w:hint="eastAsia" w:ascii="宋体" w:hAnsi="宋体" w:cs="Arial"/>
          <w:color w:val="auto"/>
          <w:sz w:val="22"/>
          <w:szCs w:val="22"/>
          <w:highlight w:val="none"/>
        </w:rPr>
        <w:t>1）气温3-30℃，路面洒水每天不少于2次；气温30℃以上时，路面洒水每天不少于3次；气温低于3℃停止洒水；</w:t>
      </w:r>
    </w:p>
    <w:p>
      <w:pPr>
        <w:keepNext w:val="0"/>
        <w:keepLines w:val="0"/>
        <w:pageBreakBefore w:val="0"/>
        <w:kinsoku/>
        <w:wordWrap/>
        <w:overflowPunct/>
        <w:topLinePunct w:val="0"/>
        <w:bidi w:val="0"/>
        <w:snapToGrid/>
        <w:spacing w:before="48" w:beforeLines="20" w:after="48" w:afterLines="20" w:line="360" w:lineRule="auto"/>
        <w:ind w:firstLine="440" w:firstLineChars="200"/>
        <w:rPr>
          <w:rFonts w:hint="eastAsia" w:ascii="宋体" w:hAnsi="宋体" w:cs="Arial"/>
          <w:color w:val="auto"/>
          <w:sz w:val="22"/>
          <w:szCs w:val="22"/>
          <w:highlight w:val="none"/>
        </w:rPr>
      </w:pPr>
      <w:r>
        <w:rPr>
          <w:rFonts w:hint="eastAsia" w:ascii="宋体" w:hAnsi="宋体" w:cs="Arial"/>
          <w:color w:val="auto"/>
          <w:sz w:val="22"/>
          <w:szCs w:val="22"/>
          <w:highlight w:val="none"/>
        </w:rPr>
        <w:t>2）交通早晚高峰期间禁止路面洒水作业。</w:t>
      </w:r>
    </w:p>
    <w:p>
      <w:pPr>
        <w:keepNext w:val="0"/>
        <w:keepLines w:val="0"/>
        <w:pageBreakBefore w:val="0"/>
        <w:kinsoku/>
        <w:wordWrap/>
        <w:overflowPunct/>
        <w:topLinePunct w:val="0"/>
        <w:bidi w:val="0"/>
        <w:snapToGrid/>
        <w:spacing w:before="48" w:beforeLines="20" w:after="48" w:afterLines="20" w:line="360" w:lineRule="auto"/>
        <w:ind w:firstLine="440" w:firstLineChars="200"/>
        <w:rPr>
          <w:rFonts w:hint="eastAsia" w:ascii="宋体" w:hAnsi="宋体" w:cs="Arial"/>
          <w:color w:val="auto"/>
          <w:sz w:val="22"/>
          <w:szCs w:val="22"/>
          <w:highlight w:val="none"/>
        </w:rPr>
      </w:pPr>
      <w:r>
        <w:rPr>
          <w:rFonts w:hint="eastAsia" w:ascii="宋体" w:hAnsi="宋体" w:cs="Arial"/>
          <w:color w:val="auto"/>
          <w:sz w:val="22"/>
          <w:szCs w:val="22"/>
          <w:highlight w:val="none"/>
        </w:rPr>
        <w:t>3）出车前要进行检查后方可上路，禁止带故障运行。作业时应适当控制水压，行车速度最高不得超过20公里/小时，避免把水溅到路边的行人；必须安装全球卫星定位系统（GPS），上路作业时，必须打开全球卫星定位系统（GPS）和警示灯；要遵守道路交通安全法规，礼让行车，注意行人的安全；严格按照范围、路线、时间、次数、车速进行作业，不得随意变更。作业完毕后及时清洗干净入库，做好作业车辆行车、维修保养记录。</w:t>
      </w:r>
    </w:p>
    <w:p>
      <w:pPr>
        <w:keepNext w:val="0"/>
        <w:keepLines w:val="0"/>
        <w:pageBreakBefore w:val="0"/>
        <w:widowControl w:val="0"/>
        <w:kinsoku/>
        <w:wordWrap/>
        <w:overflowPunct/>
        <w:topLinePunct w:val="0"/>
        <w:autoSpaceDE/>
        <w:autoSpaceDN/>
        <w:bidi w:val="0"/>
        <w:adjustRightInd/>
        <w:snapToGrid/>
        <w:spacing w:before="48" w:beforeLines="20" w:after="48" w:afterLines="20" w:line="360" w:lineRule="auto"/>
        <w:ind w:firstLine="440" w:firstLineChars="200"/>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lang w:val="en-US" w:eastAsia="zh-CN"/>
        </w:rPr>
        <w:t>b.</w:t>
      </w:r>
      <w:r>
        <w:rPr>
          <w:rFonts w:hint="eastAsia" w:ascii="宋体" w:hAnsi="宋体" w:cs="Arial"/>
          <w:color w:val="auto"/>
          <w:sz w:val="22"/>
          <w:szCs w:val="22"/>
          <w:highlight w:val="none"/>
        </w:rPr>
        <w:t>清扫车作业规范</w:t>
      </w:r>
    </w:p>
    <w:p>
      <w:pPr>
        <w:keepNext w:val="0"/>
        <w:keepLines w:val="0"/>
        <w:pageBreakBefore w:val="0"/>
        <w:kinsoku/>
        <w:wordWrap/>
        <w:overflowPunct/>
        <w:topLinePunct w:val="0"/>
        <w:bidi w:val="0"/>
        <w:snapToGrid/>
        <w:spacing w:before="48" w:beforeLines="20" w:after="48" w:afterLines="20" w:line="360" w:lineRule="auto"/>
        <w:ind w:firstLine="440" w:firstLineChars="200"/>
        <w:rPr>
          <w:rFonts w:hint="eastAsia" w:ascii="宋体" w:hAnsi="宋体" w:cs="Arial"/>
          <w:color w:val="auto"/>
          <w:sz w:val="22"/>
          <w:szCs w:val="22"/>
          <w:highlight w:val="none"/>
        </w:rPr>
      </w:pPr>
      <w:r>
        <w:rPr>
          <w:rFonts w:hint="eastAsia" w:ascii="宋体" w:hAnsi="宋体" w:cs="Arial"/>
          <w:color w:val="auto"/>
          <w:sz w:val="22"/>
          <w:szCs w:val="22"/>
          <w:highlight w:val="none"/>
        </w:rPr>
        <w:t>1）机扫到边、到位效果明显，路面无垃圾、无积泥、无沙石；清扫作业时间，</w:t>
      </w:r>
      <w:r>
        <w:rPr>
          <w:rFonts w:hint="eastAsia"/>
          <w:color w:val="auto"/>
          <w:sz w:val="22"/>
          <w:szCs w:val="22"/>
          <w:highlight w:val="none"/>
        </w:rPr>
        <w:t>每两天一次，</w:t>
      </w:r>
      <w:r>
        <w:rPr>
          <w:rFonts w:hint="eastAsia" w:ascii="宋体" w:hAnsi="宋体" w:cs="Arial"/>
          <w:color w:val="auto"/>
          <w:sz w:val="22"/>
          <w:szCs w:val="22"/>
          <w:highlight w:val="none"/>
        </w:rPr>
        <w:t>应规避上下班高峰期</w:t>
      </w:r>
      <w:r>
        <w:rPr>
          <w:rFonts w:hint="eastAsia"/>
          <w:color w:val="auto"/>
          <w:sz w:val="22"/>
          <w:szCs w:val="22"/>
          <w:highlight w:val="none"/>
        </w:rPr>
        <w:t>时间自行安排。</w:t>
      </w:r>
    </w:p>
    <w:p>
      <w:pPr>
        <w:keepNext w:val="0"/>
        <w:keepLines w:val="0"/>
        <w:pageBreakBefore w:val="0"/>
        <w:kinsoku/>
        <w:wordWrap/>
        <w:overflowPunct/>
        <w:topLinePunct w:val="0"/>
        <w:bidi w:val="0"/>
        <w:snapToGrid/>
        <w:spacing w:before="48" w:beforeLines="20" w:afterAutospacing="0" w:line="360" w:lineRule="auto"/>
        <w:ind w:firstLine="440" w:firstLineChars="200"/>
        <w:rPr>
          <w:rFonts w:hint="eastAsia" w:ascii="宋体" w:hAnsi="宋体" w:cs="Arial"/>
          <w:color w:val="auto"/>
          <w:sz w:val="22"/>
          <w:szCs w:val="22"/>
          <w:highlight w:val="none"/>
        </w:rPr>
      </w:pPr>
      <w:r>
        <w:rPr>
          <w:rFonts w:hint="eastAsia" w:ascii="宋体" w:hAnsi="宋体" w:cs="Arial"/>
          <w:color w:val="auto"/>
          <w:sz w:val="22"/>
          <w:szCs w:val="22"/>
          <w:highlight w:val="none"/>
        </w:rPr>
        <w:t>2）出车前要进行检查后方可上路，禁止带故障运行。作业时，行车速度最高时速不得超过10公里/小时。应喷水压尘，盘扫应下放到位清扫；作业期间基本无扬尘，清扫途中无垃圾撒落；垃圾在采购人认可的指定地点倾倒，不得随意倾倒、偷倒、乱倒垃圾；严格按照范围、路线、时间进行机扫作业，不得随意变更；安装全球卫星定位系统（GPS），上路作业时，必须打开全球卫星定位系统（GPS）和警示灯；作业时要遵守道路交通安全法规，礼让行车，注意行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42" w:firstLineChars="200"/>
        <w:textAlignment w:val="auto"/>
        <w:rPr>
          <w:rFonts w:hint="eastAsia" w:ascii="宋体" w:hAnsi="宋体" w:cs="Arial"/>
          <w:b/>
          <w:bCs/>
          <w:color w:val="auto"/>
          <w:sz w:val="22"/>
          <w:szCs w:val="22"/>
          <w:highlight w:val="none"/>
          <w:lang w:val="en-US" w:eastAsia="zh-CN"/>
        </w:rPr>
      </w:pPr>
      <w:r>
        <w:rPr>
          <w:rFonts w:hint="eastAsia" w:ascii="宋体" w:hAnsi="宋体" w:cs="Arial"/>
          <w:b/>
          <w:bCs/>
          <w:color w:val="auto"/>
          <w:sz w:val="22"/>
          <w:szCs w:val="22"/>
          <w:highlight w:val="none"/>
          <w:lang w:val="en-US" w:eastAsia="zh-CN"/>
        </w:rPr>
        <w:t>（4）清扫作业规范</w:t>
      </w:r>
    </w:p>
    <w:p>
      <w:pPr>
        <w:keepNext w:val="0"/>
        <w:keepLines w:val="0"/>
        <w:pageBreakBefore w:val="0"/>
        <w:kinsoku/>
        <w:wordWrap/>
        <w:overflowPunct/>
        <w:topLinePunct w:val="0"/>
        <w:bidi w:val="0"/>
        <w:snapToGrid/>
        <w:spacing w:beforeAutospacing="0" w:after="48" w:afterLines="20" w:line="360" w:lineRule="auto"/>
        <w:ind w:firstLine="440" w:firstLineChars="200"/>
        <w:rPr>
          <w:rFonts w:hint="eastAsia" w:ascii="宋体" w:hAnsi="宋体" w:cs="Arial"/>
          <w:color w:val="auto"/>
          <w:sz w:val="22"/>
          <w:szCs w:val="22"/>
          <w:highlight w:val="none"/>
        </w:rPr>
      </w:pPr>
      <w:r>
        <w:rPr>
          <w:rFonts w:hint="eastAsia" w:ascii="宋体" w:hAnsi="宋体" w:cs="Arial"/>
          <w:color w:val="auto"/>
          <w:sz w:val="22"/>
          <w:szCs w:val="22"/>
          <w:highlight w:val="none"/>
        </w:rPr>
        <w:t>1）保洁作业人员不得擅自离（脱）岗，不聚闲聊，工期休息不超过15分钟，作业期间不做与作业无关的事；作业人员应当佩证、作业期内穿反光安全服；作业时间内，作业人员应按车行线反方向清扫，车辆停放遵守交通法规；垃圾运输实行密闭，不得超高运输和吊挂杂物；严禁作业人员擅自向责任区内单位收取各种费用。及时处理各类交办件。</w:t>
      </w:r>
    </w:p>
    <w:p>
      <w:pPr>
        <w:keepNext w:val="0"/>
        <w:keepLines w:val="0"/>
        <w:pageBreakBefore w:val="0"/>
        <w:kinsoku/>
        <w:wordWrap/>
        <w:overflowPunct/>
        <w:topLinePunct w:val="0"/>
        <w:bidi w:val="0"/>
        <w:snapToGrid/>
        <w:spacing w:before="48" w:beforeLines="20" w:after="48" w:afterLines="20" w:line="360" w:lineRule="auto"/>
        <w:ind w:firstLine="440" w:firstLineChars="200"/>
        <w:rPr>
          <w:rFonts w:hint="eastAsia" w:ascii="宋体" w:hAnsi="宋体" w:cs="Arial"/>
          <w:color w:val="auto"/>
          <w:sz w:val="22"/>
          <w:szCs w:val="22"/>
          <w:highlight w:val="none"/>
        </w:rPr>
      </w:pPr>
      <w:r>
        <w:rPr>
          <w:rFonts w:hint="eastAsia" w:ascii="宋体" w:hAnsi="宋体" w:cs="Arial"/>
          <w:color w:val="auto"/>
          <w:sz w:val="22"/>
          <w:szCs w:val="22"/>
          <w:highlight w:val="none"/>
        </w:rPr>
        <w:t>2）清扫保洁时间内（含工人清扫）垃圾不得扫入窨井、花坛、绿化带、河道等处；清扫作业中不得漏扫、甩扫；交接班不得出现空档，责任区交界处清扫保洁各过界10米；垃圾直接清运至垃圾中转站，不得中途随意倾倒垃圾，不得焚烧垃圾。不得在责任区外翻捡废品，干私活。</w:t>
      </w:r>
    </w:p>
    <w:p>
      <w:pPr>
        <w:keepNext w:val="0"/>
        <w:keepLines w:val="0"/>
        <w:pageBreakBefore w:val="0"/>
        <w:widowControl w:val="0"/>
        <w:kinsoku/>
        <w:wordWrap/>
        <w:overflowPunct/>
        <w:topLinePunct w:val="0"/>
        <w:autoSpaceDE/>
        <w:autoSpaceDN/>
        <w:bidi w:val="0"/>
        <w:adjustRightInd/>
        <w:snapToGrid/>
        <w:spacing w:before="48" w:beforeLines="20" w:afterAutospacing="0" w:line="360" w:lineRule="auto"/>
        <w:ind w:firstLine="442" w:firstLineChars="200"/>
        <w:textAlignment w:val="auto"/>
        <w:rPr>
          <w:rFonts w:hint="eastAsia" w:ascii="宋体" w:hAnsi="宋体" w:cs="Arial"/>
          <w:b/>
          <w:bCs/>
          <w:color w:val="auto"/>
          <w:sz w:val="22"/>
          <w:szCs w:val="22"/>
          <w:highlight w:val="none"/>
        </w:rPr>
      </w:pPr>
      <w:r>
        <w:rPr>
          <w:rFonts w:hint="eastAsia" w:ascii="宋体" w:hAnsi="宋体" w:cs="Arial"/>
          <w:b/>
          <w:bCs/>
          <w:color w:val="auto"/>
          <w:sz w:val="22"/>
          <w:szCs w:val="22"/>
          <w:highlight w:val="none"/>
          <w:lang w:eastAsia="zh-CN"/>
        </w:rPr>
        <w:t>（</w:t>
      </w:r>
      <w:r>
        <w:rPr>
          <w:rFonts w:hint="eastAsia" w:ascii="宋体" w:hAnsi="宋体" w:cs="Arial"/>
          <w:b/>
          <w:bCs/>
          <w:color w:val="auto"/>
          <w:sz w:val="22"/>
          <w:szCs w:val="22"/>
          <w:highlight w:val="none"/>
          <w:lang w:val="en-US" w:eastAsia="zh-CN"/>
        </w:rPr>
        <w:t>5</w:t>
      </w:r>
      <w:r>
        <w:rPr>
          <w:rFonts w:hint="eastAsia" w:ascii="宋体" w:hAnsi="宋体" w:cs="Arial"/>
          <w:b/>
          <w:bCs/>
          <w:color w:val="auto"/>
          <w:sz w:val="22"/>
          <w:szCs w:val="22"/>
          <w:highlight w:val="none"/>
          <w:lang w:eastAsia="zh-CN"/>
        </w:rPr>
        <w:t>）</w:t>
      </w:r>
      <w:r>
        <w:rPr>
          <w:rFonts w:hint="eastAsia" w:ascii="宋体" w:hAnsi="宋体" w:cs="Arial"/>
          <w:b/>
          <w:bCs/>
          <w:color w:val="auto"/>
          <w:sz w:val="22"/>
          <w:szCs w:val="22"/>
          <w:highlight w:val="none"/>
        </w:rPr>
        <w:t>内部管理</w:t>
      </w:r>
    </w:p>
    <w:p>
      <w:pPr>
        <w:keepNext w:val="0"/>
        <w:keepLines w:val="0"/>
        <w:pageBreakBefore w:val="0"/>
        <w:kinsoku/>
        <w:wordWrap/>
        <w:overflowPunct/>
        <w:topLinePunct w:val="0"/>
        <w:bidi w:val="0"/>
        <w:snapToGrid/>
        <w:spacing w:beforeAutospacing="0" w:after="48" w:afterLines="20" w:line="360" w:lineRule="auto"/>
        <w:ind w:firstLine="440" w:firstLineChars="200"/>
        <w:rPr>
          <w:rFonts w:hint="eastAsia" w:ascii="宋体" w:hAnsi="宋体" w:cs="Arial"/>
          <w:color w:val="auto"/>
          <w:sz w:val="22"/>
          <w:szCs w:val="22"/>
          <w:highlight w:val="none"/>
        </w:rPr>
      </w:pPr>
      <w:r>
        <w:rPr>
          <w:rFonts w:hint="eastAsia" w:ascii="宋体" w:hAnsi="宋体" w:cs="Arial"/>
          <w:color w:val="auto"/>
          <w:sz w:val="22"/>
          <w:szCs w:val="22"/>
          <w:highlight w:val="none"/>
        </w:rPr>
        <w:t>1）中标单位要遵守国家法律和地方法规各项规定，保障环卫工人的合法权益。如按照《中华人民共和国</w:t>
      </w:r>
      <w:r>
        <w:rPr>
          <w:rFonts w:hint="eastAsia" w:ascii="宋体" w:hAnsi="宋体" w:cs="Arial"/>
          <w:color w:val="auto"/>
          <w:sz w:val="22"/>
          <w:szCs w:val="22"/>
          <w:highlight w:val="none"/>
          <w:lang w:val="en-US" w:eastAsia="zh-CN"/>
        </w:rPr>
        <w:t>民典法</w:t>
      </w:r>
      <w:r>
        <w:rPr>
          <w:rFonts w:hint="eastAsia" w:ascii="宋体" w:hAnsi="宋体" w:cs="Arial"/>
          <w:color w:val="auto"/>
          <w:sz w:val="22"/>
          <w:szCs w:val="22"/>
          <w:highlight w:val="none"/>
        </w:rPr>
        <w:t>》的要求签订劳动合同，并办理各项社会保险手续，包括养老保险、医疗保险、失业保险、工伤保险和生育保险、人身意外险等；合理安排环卫工人的工作量和休息时间，超过法定工作时间的，要按照国家有关规定安排补休或给予补偿。</w:t>
      </w:r>
    </w:p>
    <w:p>
      <w:pPr>
        <w:keepNext w:val="0"/>
        <w:keepLines w:val="0"/>
        <w:pageBreakBefore w:val="0"/>
        <w:kinsoku/>
        <w:wordWrap/>
        <w:overflowPunct/>
        <w:topLinePunct w:val="0"/>
        <w:bidi w:val="0"/>
        <w:snapToGrid/>
        <w:spacing w:before="48" w:beforeLines="20" w:after="48" w:afterLines="20" w:line="360" w:lineRule="auto"/>
        <w:ind w:firstLine="440" w:firstLineChars="200"/>
        <w:rPr>
          <w:rFonts w:hint="eastAsia" w:ascii="宋体" w:hAnsi="宋体" w:cs="Arial"/>
          <w:color w:val="auto"/>
          <w:sz w:val="22"/>
          <w:szCs w:val="22"/>
          <w:highlight w:val="none"/>
        </w:rPr>
      </w:pPr>
      <w:r>
        <w:rPr>
          <w:rFonts w:hint="eastAsia" w:ascii="宋体" w:hAnsi="宋体" w:cs="Arial"/>
          <w:color w:val="auto"/>
          <w:sz w:val="22"/>
          <w:szCs w:val="22"/>
          <w:highlight w:val="none"/>
        </w:rPr>
        <w:t>2）中标企业应当建立规章制度、岗位责任制度、工作考核机制等，并定期开展环卫工人安全教育等培训。</w:t>
      </w:r>
    </w:p>
    <w:p>
      <w:pPr>
        <w:keepNext w:val="0"/>
        <w:keepLines w:val="0"/>
        <w:pageBreakBefore w:val="0"/>
        <w:kinsoku/>
        <w:wordWrap/>
        <w:overflowPunct/>
        <w:topLinePunct w:val="0"/>
        <w:bidi w:val="0"/>
        <w:snapToGrid/>
        <w:spacing w:before="48" w:beforeLines="20" w:after="48" w:afterLines="20" w:line="360" w:lineRule="auto"/>
        <w:ind w:firstLine="440" w:firstLineChars="200"/>
        <w:rPr>
          <w:rFonts w:hint="eastAsia" w:ascii="宋体" w:hAnsi="宋体" w:cs="Arial"/>
          <w:color w:val="auto"/>
          <w:sz w:val="22"/>
          <w:szCs w:val="22"/>
          <w:highlight w:val="none"/>
        </w:rPr>
      </w:pPr>
      <w:r>
        <w:rPr>
          <w:rFonts w:hint="eastAsia" w:ascii="宋体" w:hAnsi="宋体" w:cs="Arial"/>
          <w:color w:val="auto"/>
          <w:sz w:val="22"/>
          <w:szCs w:val="22"/>
          <w:highlight w:val="none"/>
        </w:rPr>
        <w:t>3) 中标企业应当建立完备、真实的台帐资料，并能够真实提供完整的环卫工人工资、福利等待遇及保险凭证。</w:t>
      </w:r>
    </w:p>
    <w:p>
      <w:pPr>
        <w:keepNext w:val="0"/>
        <w:keepLines w:val="0"/>
        <w:pageBreakBefore w:val="0"/>
        <w:widowControl/>
        <w:kinsoku/>
        <w:wordWrap/>
        <w:overflowPunct/>
        <w:topLinePunct w:val="0"/>
        <w:autoSpaceDE w:val="0"/>
        <w:autoSpaceDN w:val="0"/>
        <w:bidi w:val="0"/>
        <w:adjustRightInd w:val="0"/>
        <w:snapToGrid/>
        <w:spacing w:line="360" w:lineRule="auto"/>
        <w:ind w:firstLine="442" w:firstLineChars="200"/>
        <w:textAlignment w:val="bottom"/>
        <w:rPr>
          <w:rFonts w:hint="eastAsia" w:ascii="宋体" w:hAnsi="宋体" w:cs="Arial"/>
          <w:b/>
          <w:bCs/>
          <w:color w:val="auto"/>
          <w:sz w:val="22"/>
          <w:szCs w:val="22"/>
          <w:highlight w:val="none"/>
        </w:rPr>
      </w:pPr>
      <w:r>
        <w:rPr>
          <w:rFonts w:hint="eastAsia" w:ascii="宋体" w:hAnsi="宋体" w:cs="Arial"/>
          <w:b/>
          <w:bCs/>
          <w:color w:val="auto"/>
          <w:sz w:val="22"/>
          <w:szCs w:val="22"/>
          <w:highlight w:val="none"/>
          <w:lang w:val="en-US" w:eastAsia="zh-CN"/>
        </w:rPr>
        <w:t>2、</w:t>
      </w:r>
      <w:r>
        <w:rPr>
          <w:rFonts w:hint="eastAsia" w:ascii="宋体" w:hAnsi="宋体" w:cs="Arial"/>
          <w:b/>
          <w:bCs/>
          <w:color w:val="auto"/>
          <w:sz w:val="22"/>
          <w:szCs w:val="22"/>
          <w:highlight w:val="none"/>
        </w:rPr>
        <w:t>河道保洁服务和质量要求</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注明：请供应商自行前往现场进行踏勘，对河道沿线和区域面积及周边环境进行熟悉，以免不必要的损失。</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2.1 河道保洁的基本情况</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局部河道河面存在漂浮物，河岸边存在垃圾。本次招标范围为灵昆街道街道辖区内所有河道。河道保洁范围为河道两岸之间的水域。县级（含以上）河道两岸两侧各15米、其他河道两岸两侧各10米内无乱堆、乱放</w:t>
      </w:r>
      <w:r>
        <w:rPr>
          <w:rFonts w:hint="eastAsia" w:ascii="宋体" w:hAnsi="宋体" w:cs="Arial"/>
          <w:color w:val="auto"/>
          <w:sz w:val="22"/>
          <w:szCs w:val="22"/>
          <w:highlight w:val="none"/>
          <w:lang w:eastAsia="zh-CN"/>
        </w:rPr>
        <w:t>，</w:t>
      </w:r>
      <w:r>
        <w:rPr>
          <w:rFonts w:hint="eastAsia" w:ascii="宋体" w:hAnsi="宋体" w:cs="Arial"/>
          <w:color w:val="auto"/>
          <w:sz w:val="22"/>
          <w:szCs w:val="22"/>
          <w:highlight w:val="none"/>
          <w:lang w:val="en-US" w:eastAsia="zh-CN"/>
        </w:rPr>
        <w:t>如遇乱搭建情况，保洁单位应主动规劝其拆除，上报业主单位，如有需要则协助拆除</w:t>
      </w:r>
      <w:r>
        <w:rPr>
          <w:rFonts w:hint="eastAsia" w:ascii="宋体" w:hAnsi="宋体" w:cs="Arial"/>
          <w:color w:val="auto"/>
          <w:sz w:val="22"/>
          <w:szCs w:val="22"/>
          <w:highlight w:val="none"/>
        </w:rPr>
        <w:t>。</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2.2应急保洁</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eastAsia="宋体" w:cs="Arial"/>
          <w:color w:val="auto"/>
          <w:sz w:val="22"/>
          <w:szCs w:val="22"/>
          <w:highlight w:val="none"/>
          <w:lang w:eastAsia="zh-CN"/>
        </w:rPr>
      </w:pPr>
      <w:r>
        <w:rPr>
          <w:rFonts w:hint="eastAsia" w:ascii="宋体" w:hAnsi="宋体" w:cs="Arial"/>
          <w:color w:val="auto"/>
          <w:sz w:val="22"/>
          <w:szCs w:val="22"/>
          <w:highlight w:val="none"/>
        </w:rPr>
        <w:t>河道应急保洁包括考核、检查，“清三河”，岸上清理等</w:t>
      </w:r>
      <w:r>
        <w:rPr>
          <w:rFonts w:hint="eastAsia" w:ascii="宋体" w:hAnsi="宋体" w:cs="Arial"/>
          <w:color w:val="auto"/>
          <w:sz w:val="22"/>
          <w:szCs w:val="22"/>
          <w:highlight w:val="none"/>
          <w:lang w:eastAsia="zh-CN"/>
        </w:rPr>
        <w:t>。</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2.3河道保洁工作任务与要求</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 xml:space="preserve">1）工作任务：（1）灵昆街道辖区内的所有河面无漂浮物；无二次污染；河道无垃圾，干净整洁，河道畅通、河中无碍物、水环境质量总体感觉良好，水清无异味；（2）确保河面无杂草，两岸无新产生成堆垃圾、堆积物，无人为损坏；（3）县级（含以上）河道两岸两侧各15米、其他河道两岸两侧各10米内无乱堆、乱放。 </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2）工作要求（特殊情况）：（1）发现河道内病死动物，统一打捞，集中处理，发现染疫立即上报。（2）台风、暴雨过后，应在三天内清理完河道中垃圾。（3）如果河岸两侧家禽养殖户有乱搭现象，乙方应及时规劝，并协助拆除。（4）发生诸如藻类暴发、油类等污染河道等突发水污染案件时，应立即向当地政府报告，并积极配合有关部门采取相应措施妥善处理。</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3）组织机构：保洁员必须符合下列条件：（1）身体健康、强壮；（2）识水性；（3）具有划船技能；（4）能吃苦耐劳，不怕脏；（5）工程施工时保洁人员必须身着统一配备的保洁装、救生衣，并配戴明显的保洁队伍标志。</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4）其他：（1）必须及时完成本政府临时布置的任务点（承包范围内）；（2）台风、洪水后必须增加保洁人员，及时清理，保证河道洁净，达到本政府和上级有关部门的要求，让群众满意；（3）必须准时完成各级政府交办的任务和考核点；（4）提供上级对街道考核的书面台账。</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2.4 人员管理及设备要求。</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（1)供应商应为完成招标任务书规定的各项服务工作投入技术合格、数量足够的保洁服务人员及船况良好的船只，且按承包的保洁河道实行定岗定编制度（保洁人员不少于2</w:t>
      </w:r>
      <w:r>
        <w:rPr>
          <w:rFonts w:hint="eastAsia" w:ascii="宋体" w:hAnsi="宋体" w:cs="Arial"/>
          <w:color w:val="auto"/>
          <w:sz w:val="22"/>
          <w:szCs w:val="22"/>
          <w:highlight w:val="none"/>
          <w:lang w:val="en-US" w:eastAsia="zh-CN"/>
        </w:rPr>
        <w:t>9</w:t>
      </w:r>
      <w:r>
        <w:rPr>
          <w:rFonts w:hint="eastAsia" w:ascii="宋体" w:hAnsi="宋体" w:cs="Arial"/>
          <w:color w:val="auto"/>
          <w:sz w:val="22"/>
          <w:szCs w:val="22"/>
          <w:highlight w:val="none"/>
        </w:rPr>
        <w:t>人</w:t>
      </w:r>
      <w:r>
        <w:rPr>
          <w:rFonts w:hint="eastAsia" w:ascii="宋体" w:hAnsi="宋体" w:cs="Arial"/>
          <w:color w:val="auto"/>
          <w:sz w:val="22"/>
          <w:szCs w:val="22"/>
          <w:highlight w:val="none"/>
        </w:rPr>
        <w:t>）。投标人在投标文件中须对服务人员的组成及管理方式、各服务区域的人员数量配备、服务内容、服务人员是否从事过类似服务的说明、各项服务工作的计划和流程等内容予以详细陈诉说明。</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（2）保洁人员应统一穿着工作服，各作业人员必须佩证上岗。供应商应做好船只的保养和维护工作，确保船只运行良好，船容整洁并配备救生设备，做到规范文明作业。</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3）供应商项目经理（兼本项目道路清扫保洁项目经理）是供应商派驻现场的全权负责人，应严格按合格规定的供应商义务、责任的权利履行其职责。如采购人方认为供应商指派的项目经理（兼本项目道路清扫保洁项目经理）不合格，供应商应无条件予以更换；供应商更换项目经理（兼本项目道路清扫保洁项目经理），也应事先征得采购人方同意。</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2.5</w:t>
      </w:r>
      <w:r>
        <w:rPr>
          <w:rFonts w:hint="eastAsia" w:ascii="宋体" w:hAnsi="宋体" w:cs="Arial"/>
          <w:color w:val="auto"/>
          <w:sz w:val="22"/>
          <w:szCs w:val="22"/>
          <w:highlight w:val="none"/>
          <w:lang w:val="en-US" w:eastAsia="zh-CN"/>
        </w:rPr>
        <w:t xml:space="preserve"> </w:t>
      </w:r>
      <w:r>
        <w:rPr>
          <w:rFonts w:hint="eastAsia" w:ascii="宋体" w:hAnsi="宋体" w:cs="Arial"/>
          <w:color w:val="auto"/>
          <w:sz w:val="22"/>
          <w:szCs w:val="22"/>
          <w:highlight w:val="none"/>
        </w:rPr>
        <w:t>劳动及安全保护</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（1）供应商必须执行中华人民共和国国务院第393号令《建设工程安全生产管理条理》并按合同的有关规定履行其安全保护职责。供应商在合同签订后14天须编制一份安全保护措施文件报采购人审批。</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（2）供应商应加强对员工的施工安全教育，不得招聘不符合中华人民共和国最低社保要求的人员作为河道保洁人员。</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（3）供应商须遵守国家颁布的有关安全规程。若供应商责任区内发生重大安全事故，供应商应立即如实通告采购人，并在事故发生后48小时内，向采购人提交事故情况的书面报告。</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（4）供应商应加强对危险作业的安全检查，配备有专职的安检人员。</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（5）供应商应按照国家劳动保护法的规定，定期发给员工必须的劳动保护用品，给所有保洁工作人员缴纳社保。</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（6）供应商在服务船只上应设置足够的救生设施，其安全性应不低于有关规范的规定。</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（7）所有船只与人员的安全均由供应商自行负责。如发生安全事故，采购人概不负责；因供应商原因发生重大安全事故的，采购人有权中止合同，并对供应商进行相应违约责任赔偿。</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2.6</w:t>
      </w:r>
      <w:r>
        <w:rPr>
          <w:rFonts w:hint="eastAsia" w:ascii="宋体" w:hAnsi="宋体" w:cs="Arial"/>
          <w:color w:val="auto"/>
          <w:sz w:val="22"/>
          <w:szCs w:val="22"/>
          <w:highlight w:val="none"/>
          <w:lang w:val="en-US" w:eastAsia="zh-CN"/>
        </w:rPr>
        <w:t xml:space="preserve"> </w:t>
      </w:r>
      <w:r>
        <w:rPr>
          <w:rFonts w:hint="eastAsia" w:ascii="宋体" w:hAnsi="宋体" w:cs="Arial"/>
          <w:color w:val="auto"/>
          <w:sz w:val="22"/>
          <w:szCs w:val="22"/>
          <w:highlight w:val="none"/>
        </w:rPr>
        <w:t>环境保护</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供应商必须遵守国家有关环境保护的法律.法规和规章，做好承包范围内的环境保护工作，由供应商原因引起的环境污染和破坏，一切后果与责任均由供应商承担。</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2.</w:t>
      </w:r>
      <w:r>
        <w:rPr>
          <w:rFonts w:hint="eastAsia" w:ascii="宋体" w:hAnsi="宋体" w:cs="Arial"/>
          <w:color w:val="auto"/>
          <w:sz w:val="22"/>
          <w:szCs w:val="22"/>
          <w:highlight w:val="none"/>
          <w:lang w:val="en-US" w:eastAsia="zh-CN"/>
        </w:rPr>
        <w:t xml:space="preserve">7 </w:t>
      </w:r>
      <w:r>
        <w:rPr>
          <w:rFonts w:hint="eastAsia" w:ascii="宋体" w:hAnsi="宋体" w:cs="Arial"/>
          <w:color w:val="auto"/>
          <w:sz w:val="22"/>
          <w:szCs w:val="22"/>
          <w:highlight w:val="none"/>
        </w:rPr>
        <w:t>保洁制度落实</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（1）要建立相应的河道保洁管理和考核方案，建立保洁人员管理制度，形成河道保洁自查和考核制度，每月自查次数不少于四次，每周一次，每次检查河道数不少于总河道的20%，并按月将自查报表送达采购人。</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（2）应将河道疏通、河岸驳坎等公共建设工程而影响河道正常保洁的情况做好登记备案，并及时上报采购人。</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（3）对社会监督、群众反映和河道巡查员发现的问题及时查办，并做好台帐记录，及时反馈至采购人。</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2.8 其他要求</w:t>
      </w:r>
    </w:p>
    <w:p>
      <w:pPr>
        <w:keepNext w:val="0"/>
        <w:keepLines w:val="0"/>
        <w:pageBreakBefore w:val="0"/>
        <w:widowControl/>
        <w:kinsoku/>
        <w:wordWrap/>
        <w:overflowPunct/>
        <w:topLinePunct w:val="0"/>
        <w:autoSpaceDE w:val="0"/>
        <w:autoSpaceDN w:val="0"/>
        <w:bidi w:val="0"/>
        <w:adjustRightInd w:val="0"/>
        <w:snapToGrid/>
        <w:spacing w:line="360" w:lineRule="auto"/>
        <w:ind w:firstLine="440" w:firstLineChars="200"/>
        <w:textAlignment w:val="bottom"/>
        <w:rPr>
          <w:rFonts w:hint="eastAsia" w:ascii="宋体" w:hAnsi="宋体" w:cs="Arial"/>
          <w:color w:val="auto"/>
          <w:sz w:val="22"/>
          <w:szCs w:val="22"/>
          <w:highlight w:val="none"/>
        </w:rPr>
      </w:pPr>
      <w:r>
        <w:rPr>
          <w:rFonts w:hint="eastAsia" w:ascii="宋体" w:hAnsi="宋体" w:cs="Arial"/>
          <w:color w:val="auto"/>
          <w:sz w:val="22"/>
          <w:szCs w:val="22"/>
          <w:highlight w:val="none"/>
        </w:rPr>
        <w:t>（1）遇有重大活动或突发事件，及时组织力量做好清扫保洁等保障工作。</w:t>
      </w:r>
    </w:p>
    <w:p>
      <w:pPr>
        <w:keepNext w:val="0"/>
        <w:keepLines w:val="0"/>
        <w:pageBreakBefore w:val="0"/>
        <w:widowControl/>
        <w:kinsoku/>
        <w:wordWrap/>
        <w:overflowPunct/>
        <w:topLinePunct w:val="0"/>
        <w:autoSpaceDE w:val="0"/>
        <w:autoSpaceDN w:val="0"/>
        <w:bidi w:val="0"/>
        <w:adjustRightInd w:val="0"/>
        <w:snapToGrid/>
        <w:spacing w:afterAutospacing="0" w:line="360" w:lineRule="auto"/>
        <w:ind w:firstLine="440" w:firstLineChars="200"/>
        <w:textAlignment w:val="bottom"/>
        <w:rPr>
          <w:rFonts w:hint="eastAsia" w:ascii="宋体" w:hAnsi="宋体"/>
          <w:b/>
          <w:color w:val="auto"/>
          <w:sz w:val="22"/>
          <w:szCs w:val="22"/>
          <w:highlight w:val="none"/>
        </w:rPr>
      </w:pPr>
      <w:r>
        <w:rPr>
          <w:rFonts w:hint="eastAsia" w:ascii="宋体" w:hAnsi="宋体" w:cs="Arial"/>
          <w:color w:val="auto"/>
          <w:sz w:val="22"/>
          <w:szCs w:val="22"/>
          <w:highlight w:val="none"/>
        </w:rPr>
        <w:t>（2）供应商须编制详细的保洁实施方案，列明保证质量、安全、文明施工的措施；应根据采购人确认的实施方案编制工作计划，中标后必须按时按质完成此项计划。供应商须于每月28日前向采购人提交本月保洁出勤记录和下月保洁计划（包括出勤人员名单、身份证及联系电话、船只安排、出勤时间、现场负责人联系方式等）。采购人审核后的保洁方案及计划，将作为合同附件。</w:t>
      </w:r>
    </w:p>
    <w:p>
      <w:pPr>
        <w:keepNext w:val="0"/>
        <w:keepLines w:val="0"/>
        <w:pageBreakBefore w:val="0"/>
        <w:widowControl w:val="0"/>
        <w:kinsoku/>
        <w:wordWrap/>
        <w:overflowPunct/>
        <w:topLinePunct w:val="0"/>
        <w:autoSpaceDE/>
        <w:autoSpaceDN/>
        <w:bidi w:val="0"/>
        <w:adjustRightInd/>
        <w:snapToGrid/>
        <w:spacing w:beforeAutospacing="0" w:line="360" w:lineRule="auto"/>
        <w:ind w:left="0" w:firstLine="442" w:firstLineChars="200"/>
        <w:textAlignment w:val="auto"/>
        <w:rPr>
          <w:rFonts w:hint="eastAsia" w:ascii="宋体" w:hAnsi="宋体"/>
          <w:b/>
          <w:color w:val="auto"/>
          <w:sz w:val="22"/>
          <w:szCs w:val="22"/>
          <w:highlight w:val="none"/>
          <w:lang w:eastAsia="zh-CN"/>
        </w:rPr>
      </w:pPr>
      <w:r>
        <w:rPr>
          <w:rFonts w:hint="eastAsia" w:ascii="宋体" w:hAnsi="宋体"/>
          <w:b/>
          <w:color w:val="auto"/>
          <w:sz w:val="22"/>
          <w:szCs w:val="22"/>
          <w:highlight w:val="none"/>
          <w:lang w:eastAsia="zh-CN"/>
        </w:rPr>
        <w:t>（六）现场条件</w:t>
      </w:r>
    </w:p>
    <w:p>
      <w:pPr>
        <w:keepNext w:val="0"/>
        <w:keepLines w:val="0"/>
        <w:pageBreakBefore w:val="0"/>
        <w:widowControl w:val="0"/>
        <w:kinsoku/>
        <w:wordWrap/>
        <w:overflowPunct/>
        <w:topLinePunct w:val="0"/>
        <w:autoSpaceDE/>
        <w:autoSpaceDN/>
        <w:bidi w:val="0"/>
        <w:adjustRightInd/>
        <w:snapToGrid/>
        <w:spacing w:line="360" w:lineRule="auto"/>
        <w:ind w:left="0" w:firstLine="440" w:firstLineChars="200"/>
        <w:textAlignment w:val="auto"/>
        <w:rPr>
          <w:rFonts w:hint="eastAsia" w:ascii="宋体" w:hAnsi="宋体"/>
          <w:color w:val="auto"/>
          <w:sz w:val="22"/>
          <w:szCs w:val="22"/>
          <w:highlight w:val="none"/>
        </w:rPr>
      </w:pPr>
      <w:r>
        <w:rPr>
          <w:rFonts w:hint="eastAsia" w:ascii="宋体" w:hAnsi="宋体"/>
          <w:color w:val="auto"/>
          <w:sz w:val="22"/>
          <w:szCs w:val="22"/>
          <w:highlight w:val="none"/>
        </w:rPr>
        <w:t>1</w:t>
      </w:r>
      <w:r>
        <w:rPr>
          <w:rFonts w:hint="eastAsia" w:ascii="宋体" w:hAnsi="宋体"/>
          <w:color w:val="auto"/>
          <w:sz w:val="22"/>
          <w:szCs w:val="22"/>
          <w:highlight w:val="none"/>
          <w:lang w:eastAsia="zh-CN"/>
        </w:rPr>
        <w:t>、</w:t>
      </w:r>
      <w:r>
        <w:rPr>
          <w:rFonts w:hint="eastAsia" w:ascii="宋体" w:hAnsi="宋体"/>
          <w:color w:val="auto"/>
          <w:sz w:val="22"/>
          <w:szCs w:val="22"/>
          <w:highlight w:val="none"/>
        </w:rPr>
        <w:t>此次招标所涉及的人员住房和作业工具（包括专用车辆、船）均由承包单位自行负责解决。</w:t>
      </w:r>
    </w:p>
    <w:p>
      <w:pPr>
        <w:keepNext w:val="0"/>
        <w:keepLines w:val="0"/>
        <w:pageBreakBefore w:val="0"/>
        <w:widowControl w:val="0"/>
        <w:kinsoku/>
        <w:wordWrap/>
        <w:overflowPunct/>
        <w:topLinePunct w:val="0"/>
        <w:autoSpaceDE/>
        <w:autoSpaceDN/>
        <w:bidi w:val="0"/>
        <w:snapToGrid/>
        <w:spacing w:line="360" w:lineRule="auto"/>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2</w:t>
      </w:r>
      <w:r>
        <w:rPr>
          <w:rFonts w:hint="eastAsia" w:ascii="宋体" w:hAnsi="宋体"/>
          <w:color w:val="auto"/>
          <w:sz w:val="22"/>
          <w:szCs w:val="22"/>
          <w:highlight w:val="none"/>
          <w:lang w:eastAsia="zh-CN"/>
        </w:rPr>
        <w:t>、</w:t>
      </w:r>
      <w:r>
        <w:rPr>
          <w:rFonts w:hint="eastAsia" w:ascii="宋体" w:hAnsi="宋体"/>
          <w:color w:val="auto"/>
          <w:sz w:val="22"/>
          <w:szCs w:val="22"/>
          <w:highlight w:val="none"/>
        </w:rPr>
        <w:t>作业工具的临时停放由承包单位负责。</w:t>
      </w:r>
    </w:p>
    <w:p>
      <w:pPr>
        <w:pStyle w:val="35"/>
        <w:keepNext w:val="0"/>
        <w:keepLines w:val="0"/>
        <w:pageBreakBefore w:val="0"/>
        <w:widowControl w:val="0"/>
        <w:kinsoku/>
        <w:wordWrap/>
        <w:overflowPunct/>
        <w:topLinePunct w:val="0"/>
        <w:autoSpaceDE/>
        <w:autoSpaceDN/>
        <w:bidi w:val="0"/>
        <w:snapToGrid/>
        <w:spacing w:line="360" w:lineRule="auto"/>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3</w:t>
      </w:r>
      <w:r>
        <w:rPr>
          <w:rFonts w:hint="eastAsia" w:ascii="宋体" w:hAnsi="宋体"/>
          <w:color w:val="auto"/>
          <w:sz w:val="22"/>
          <w:szCs w:val="22"/>
          <w:highlight w:val="none"/>
          <w:lang w:eastAsia="zh-CN"/>
        </w:rPr>
        <w:t>、</w:t>
      </w:r>
      <w:r>
        <w:rPr>
          <w:rFonts w:hint="eastAsia" w:ascii="宋体" w:hAnsi="宋体"/>
          <w:color w:val="auto"/>
          <w:sz w:val="22"/>
          <w:szCs w:val="22"/>
          <w:highlight w:val="none"/>
        </w:rPr>
        <w:t>道路冲洗的水费由承包单位自行负责。</w:t>
      </w:r>
    </w:p>
    <w:p>
      <w:pPr>
        <w:pStyle w:val="3"/>
        <w:keepNext w:val="0"/>
        <w:keepLines w:val="0"/>
        <w:pageBreakBefore w:val="0"/>
        <w:widowControl w:val="0"/>
        <w:kinsoku/>
        <w:wordWrap/>
        <w:overflowPunct/>
        <w:topLinePunct w:val="0"/>
        <w:autoSpaceDE/>
        <w:autoSpaceDN/>
        <w:bidi w:val="0"/>
        <w:snapToGrid/>
        <w:spacing w:after="0" w:afterAutospacing="0" w:line="360" w:lineRule="auto"/>
        <w:ind w:firstLine="440" w:firstLineChars="200"/>
        <w:rPr>
          <w:rFonts w:hint="eastAsia"/>
          <w:color w:val="auto"/>
          <w:sz w:val="22"/>
          <w:szCs w:val="22"/>
          <w:highlight w:val="none"/>
        </w:rPr>
      </w:pPr>
      <w:r>
        <w:rPr>
          <w:rFonts w:hint="eastAsia" w:ascii="宋体" w:hAnsi="宋体"/>
          <w:color w:val="auto"/>
          <w:sz w:val="22"/>
          <w:szCs w:val="22"/>
          <w:highlight w:val="none"/>
        </w:rPr>
        <w:t>4</w:t>
      </w:r>
      <w:r>
        <w:rPr>
          <w:rFonts w:hint="eastAsia" w:ascii="宋体" w:hAnsi="宋体"/>
          <w:color w:val="auto"/>
          <w:sz w:val="22"/>
          <w:szCs w:val="22"/>
          <w:highlight w:val="none"/>
          <w:lang w:eastAsia="zh-CN"/>
        </w:rPr>
        <w:t>、</w:t>
      </w:r>
      <w:r>
        <w:rPr>
          <w:rFonts w:hint="eastAsia" w:ascii="宋体" w:hAnsi="宋体"/>
          <w:color w:val="auto"/>
          <w:sz w:val="22"/>
          <w:szCs w:val="22"/>
          <w:highlight w:val="none"/>
        </w:rPr>
        <w:t>投标人应承诺中标后在承包区域内的办公管理场所及设备到位情况，并于中标后向采购单位提供场所及设备的自有或租赁证明材料。</w:t>
      </w:r>
    </w:p>
    <w:p>
      <w:pPr>
        <w:keepNext w:val="0"/>
        <w:keepLines w:val="0"/>
        <w:pageBreakBefore w:val="0"/>
        <w:widowControl w:val="0"/>
        <w:kinsoku/>
        <w:wordWrap/>
        <w:overflowPunct/>
        <w:topLinePunct w:val="0"/>
        <w:autoSpaceDE/>
        <w:autoSpaceDN/>
        <w:bidi w:val="0"/>
        <w:snapToGrid/>
        <w:spacing w:beforeAutospacing="0" w:line="360" w:lineRule="auto"/>
        <w:ind w:firstLine="442" w:firstLineChars="200"/>
        <w:rPr>
          <w:rFonts w:hint="eastAsia" w:ascii="宋体" w:hAnsi="宋体"/>
          <w:b/>
          <w:color w:val="auto"/>
          <w:sz w:val="22"/>
          <w:szCs w:val="22"/>
          <w:highlight w:val="none"/>
          <w:lang w:eastAsia="zh-CN"/>
        </w:rPr>
      </w:pPr>
      <w:r>
        <w:rPr>
          <w:rFonts w:hint="eastAsia" w:ascii="宋体" w:hAnsi="宋体"/>
          <w:b/>
          <w:color w:val="auto"/>
          <w:sz w:val="22"/>
          <w:szCs w:val="22"/>
          <w:highlight w:val="none"/>
          <w:lang w:eastAsia="zh-CN"/>
        </w:rPr>
        <w:t>（七）▲</w:t>
      </w:r>
      <w:r>
        <w:rPr>
          <w:rFonts w:hint="eastAsia" w:ascii="宋体" w:hAnsi="宋体"/>
          <w:b/>
          <w:color w:val="auto"/>
          <w:sz w:val="22"/>
          <w:szCs w:val="22"/>
          <w:highlight w:val="none"/>
          <w:u w:val="single"/>
          <w:lang w:eastAsia="zh-CN"/>
        </w:rPr>
        <w:t>拟投入保洁作业车辆（船）要求</w:t>
      </w:r>
    </w:p>
    <w:tbl>
      <w:tblPr>
        <w:tblStyle w:val="28"/>
        <w:tblW w:w="10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07"/>
        <w:gridCol w:w="4500"/>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5" w:type="dxa"/>
            <w:noWrap w:val="0"/>
            <w:vAlign w:val="center"/>
          </w:tcPr>
          <w:p>
            <w:pPr>
              <w:keepNext w:val="0"/>
              <w:keepLines w:val="0"/>
              <w:pageBreakBefore w:val="0"/>
              <w:kinsoku/>
              <w:wordWrap/>
              <w:overflowPunct/>
              <w:topLinePunct w:val="0"/>
              <w:bidi w:val="0"/>
              <w:spacing w:line="240" w:lineRule="auto"/>
              <w:jc w:val="center"/>
              <w:rPr>
                <w:rFonts w:hint="eastAsia" w:ascii="宋体" w:hAnsi="宋体" w:cs="Arial"/>
                <w:b/>
                <w:color w:val="auto"/>
                <w:sz w:val="22"/>
                <w:szCs w:val="22"/>
                <w:highlight w:val="none"/>
              </w:rPr>
            </w:pPr>
            <w:r>
              <w:rPr>
                <w:rFonts w:hint="eastAsia" w:ascii="宋体" w:hAnsi="宋体" w:cs="Arial"/>
                <w:b/>
                <w:color w:val="auto"/>
                <w:sz w:val="22"/>
                <w:szCs w:val="22"/>
                <w:highlight w:val="none"/>
              </w:rPr>
              <w:t>序号</w:t>
            </w:r>
          </w:p>
        </w:tc>
        <w:tc>
          <w:tcPr>
            <w:tcW w:w="3207" w:type="dxa"/>
            <w:noWrap w:val="0"/>
            <w:vAlign w:val="center"/>
          </w:tcPr>
          <w:p>
            <w:pPr>
              <w:keepNext w:val="0"/>
              <w:keepLines w:val="0"/>
              <w:pageBreakBefore w:val="0"/>
              <w:kinsoku/>
              <w:wordWrap/>
              <w:overflowPunct/>
              <w:topLinePunct w:val="0"/>
              <w:bidi w:val="0"/>
              <w:spacing w:line="240" w:lineRule="auto"/>
              <w:jc w:val="center"/>
              <w:rPr>
                <w:rFonts w:hint="eastAsia" w:ascii="宋体" w:hAnsi="宋体" w:cs="Arial"/>
                <w:b/>
                <w:color w:val="auto"/>
                <w:sz w:val="22"/>
                <w:szCs w:val="22"/>
                <w:highlight w:val="none"/>
              </w:rPr>
            </w:pPr>
            <w:r>
              <w:rPr>
                <w:rFonts w:hint="eastAsia" w:ascii="宋体" w:hAnsi="宋体" w:cs="Arial"/>
                <w:b/>
                <w:color w:val="auto"/>
                <w:sz w:val="22"/>
                <w:szCs w:val="22"/>
                <w:highlight w:val="none"/>
              </w:rPr>
              <w:t>车辆名称</w:t>
            </w:r>
          </w:p>
        </w:tc>
        <w:tc>
          <w:tcPr>
            <w:tcW w:w="4500" w:type="dxa"/>
            <w:noWrap w:val="0"/>
            <w:vAlign w:val="center"/>
          </w:tcPr>
          <w:p>
            <w:pPr>
              <w:keepNext w:val="0"/>
              <w:keepLines w:val="0"/>
              <w:pageBreakBefore w:val="0"/>
              <w:kinsoku/>
              <w:wordWrap/>
              <w:overflowPunct/>
              <w:topLinePunct w:val="0"/>
              <w:bidi w:val="0"/>
              <w:spacing w:line="240" w:lineRule="auto"/>
              <w:jc w:val="center"/>
              <w:rPr>
                <w:rFonts w:hint="eastAsia" w:ascii="宋体" w:hAnsi="宋体" w:cs="Arial"/>
                <w:b/>
                <w:color w:val="auto"/>
                <w:sz w:val="22"/>
                <w:szCs w:val="22"/>
                <w:highlight w:val="none"/>
              </w:rPr>
            </w:pPr>
            <w:r>
              <w:rPr>
                <w:rFonts w:hint="eastAsia" w:ascii="宋体" w:hAnsi="宋体" w:cs="Arial"/>
                <w:b/>
                <w:color w:val="auto"/>
                <w:sz w:val="22"/>
                <w:szCs w:val="22"/>
                <w:highlight w:val="none"/>
              </w:rPr>
              <w:t>功能及用途</w:t>
            </w:r>
          </w:p>
        </w:tc>
        <w:tc>
          <w:tcPr>
            <w:tcW w:w="1743" w:type="dxa"/>
            <w:noWrap w:val="0"/>
            <w:vAlign w:val="center"/>
          </w:tcPr>
          <w:p>
            <w:pPr>
              <w:keepNext w:val="0"/>
              <w:keepLines w:val="0"/>
              <w:pageBreakBefore w:val="0"/>
              <w:kinsoku/>
              <w:wordWrap/>
              <w:overflowPunct/>
              <w:topLinePunct w:val="0"/>
              <w:bidi w:val="0"/>
              <w:spacing w:line="240" w:lineRule="auto"/>
              <w:jc w:val="center"/>
              <w:rPr>
                <w:rFonts w:hint="eastAsia" w:ascii="宋体" w:hAnsi="宋体" w:cs="Arial"/>
                <w:b/>
                <w:color w:val="auto"/>
                <w:sz w:val="22"/>
                <w:szCs w:val="22"/>
                <w:highlight w:val="none"/>
              </w:rPr>
            </w:pPr>
            <w:r>
              <w:rPr>
                <w:rFonts w:hint="eastAsia" w:ascii="宋体" w:hAnsi="宋体" w:cs="Arial"/>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5" w:type="dxa"/>
            <w:noWrap w:val="0"/>
            <w:vAlign w:val="center"/>
          </w:tcPr>
          <w:p>
            <w:pPr>
              <w:keepNext w:val="0"/>
              <w:keepLines w:val="0"/>
              <w:pageBreakBefore w:val="0"/>
              <w:kinsoku/>
              <w:wordWrap/>
              <w:overflowPunct/>
              <w:topLinePunct w:val="0"/>
              <w:bidi w:val="0"/>
              <w:spacing w:line="240" w:lineRule="auto"/>
              <w:jc w:val="center"/>
              <w:rPr>
                <w:rFonts w:hint="eastAsia" w:ascii="宋体" w:hAnsi="宋体" w:cs="Arial"/>
                <w:color w:val="auto"/>
                <w:sz w:val="22"/>
                <w:szCs w:val="22"/>
                <w:highlight w:val="none"/>
              </w:rPr>
            </w:pPr>
            <w:r>
              <w:rPr>
                <w:rFonts w:hint="eastAsia" w:ascii="宋体" w:hAnsi="宋体" w:cs="Arial"/>
                <w:color w:val="auto"/>
                <w:sz w:val="22"/>
                <w:szCs w:val="22"/>
                <w:highlight w:val="none"/>
              </w:rPr>
              <w:t>1</w:t>
            </w:r>
          </w:p>
        </w:tc>
        <w:tc>
          <w:tcPr>
            <w:tcW w:w="3207" w:type="dxa"/>
            <w:noWrap w:val="0"/>
            <w:vAlign w:val="center"/>
          </w:tcPr>
          <w:p>
            <w:pPr>
              <w:keepNext w:val="0"/>
              <w:keepLines w:val="0"/>
              <w:pageBreakBefore w:val="0"/>
              <w:kinsoku/>
              <w:wordWrap/>
              <w:overflowPunct/>
              <w:topLinePunct w:val="0"/>
              <w:bidi w:val="0"/>
              <w:spacing w:line="240" w:lineRule="auto"/>
              <w:jc w:val="both"/>
              <w:rPr>
                <w:rFonts w:hint="eastAsia" w:ascii="宋体" w:hAnsi="宋体" w:cs="Arial"/>
                <w:color w:val="auto"/>
                <w:sz w:val="22"/>
                <w:szCs w:val="22"/>
                <w:highlight w:val="none"/>
              </w:rPr>
            </w:pPr>
            <w:r>
              <w:rPr>
                <w:rFonts w:hint="eastAsia" w:ascii="宋体" w:hAnsi="宋体" w:cs="Arial"/>
                <w:color w:val="auto"/>
                <w:sz w:val="22"/>
                <w:szCs w:val="22"/>
                <w:highlight w:val="none"/>
              </w:rPr>
              <w:t>洒水车</w:t>
            </w:r>
          </w:p>
        </w:tc>
        <w:tc>
          <w:tcPr>
            <w:tcW w:w="4500" w:type="dxa"/>
            <w:noWrap w:val="0"/>
            <w:vAlign w:val="center"/>
          </w:tcPr>
          <w:p>
            <w:pPr>
              <w:keepNext w:val="0"/>
              <w:keepLines w:val="0"/>
              <w:pageBreakBefore w:val="0"/>
              <w:kinsoku/>
              <w:wordWrap/>
              <w:overflowPunct/>
              <w:topLinePunct w:val="0"/>
              <w:bidi w:val="0"/>
              <w:spacing w:line="240" w:lineRule="auto"/>
              <w:ind w:left="66" w:hanging="66" w:hangingChars="30"/>
              <w:jc w:val="both"/>
              <w:rPr>
                <w:rFonts w:hint="eastAsia" w:ascii="宋体" w:hAnsi="宋体" w:cs="Arial"/>
                <w:color w:val="auto"/>
                <w:sz w:val="22"/>
                <w:szCs w:val="22"/>
                <w:highlight w:val="none"/>
              </w:rPr>
            </w:pPr>
            <w:r>
              <w:rPr>
                <w:rFonts w:hint="eastAsia" w:ascii="宋体" w:hAnsi="宋体"/>
                <w:color w:val="auto"/>
                <w:sz w:val="22"/>
                <w:szCs w:val="22"/>
                <w:highlight w:val="none"/>
              </w:rPr>
              <w:t>总质量大于等于</w:t>
            </w:r>
            <w:r>
              <w:rPr>
                <w:rFonts w:hint="eastAsia" w:ascii="宋体" w:hAnsi="宋体"/>
                <w:color w:val="auto"/>
                <w:sz w:val="22"/>
                <w:szCs w:val="22"/>
                <w:highlight w:val="none"/>
                <w:lang w:val="en-US" w:eastAsia="zh-CN"/>
              </w:rPr>
              <w:t>5</w:t>
            </w:r>
            <w:r>
              <w:rPr>
                <w:rFonts w:hint="eastAsia" w:ascii="宋体" w:hAnsi="宋体"/>
                <w:color w:val="auto"/>
                <w:sz w:val="22"/>
                <w:szCs w:val="22"/>
                <w:highlight w:val="none"/>
              </w:rPr>
              <w:t>吨</w:t>
            </w:r>
          </w:p>
        </w:tc>
        <w:tc>
          <w:tcPr>
            <w:tcW w:w="1743" w:type="dxa"/>
            <w:noWrap w:val="0"/>
            <w:vAlign w:val="center"/>
          </w:tcPr>
          <w:p>
            <w:pPr>
              <w:keepNext w:val="0"/>
              <w:keepLines w:val="0"/>
              <w:pageBreakBefore w:val="0"/>
              <w:kinsoku/>
              <w:wordWrap/>
              <w:overflowPunct/>
              <w:topLinePunct w:val="0"/>
              <w:bidi w:val="0"/>
              <w:spacing w:line="240" w:lineRule="auto"/>
              <w:jc w:val="center"/>
              <w:rPr>
                <w:rFonts w:hint="eastAsia" w:ascii="宋体" w:hAnsi="宋体" w:cs="Arial"/>
                <w:color w:val="auto"/>
                <w:sz w:val="22"/>
                <w:szCs w:val="22"/>
                <w:highlight w:val="none"/>
              </w:rPr>
            </w:pPr>
            <w:r>
              <w:rPr>
                <w:rFonts w:hint="eastAsia" w:ascii="宋体" w:hAnsi="宋体" w:cs="Arial"/>
                <w:color w:val="auto"/>
                <w:sz w:val="22"/>
                <w:szCs w:val="22"/>
                <w:highlight w:val="none"/>
              </w:rPr>
              <w:t>至少配置1</w:t>
            </w:r>
            <w:r>
              <w:rPr>
                <w:rFonts w:ascii="宋体" w:hAnsi="宋体" w:cs="Arial"/>
                <w:color w:val="auto"/>
                <w:sz w:val="22"/>
                <w:szCs w:val="22"/>
                <w:highlight w:val="none"/>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5" w:type="dxa"/>
            <w:noWrap w:val="0"/>
            <w:vAlign w:val="center"/>
          </w:tcPr>
          <w:p>
            <w:pPr>
              <w:keepNext w:val="0"/>
              <w:keepLines w:val="0"/>
              <w:pageBreakBefore w:val="0"/>
              <w:kinsoku/>
              <w:wordWrap/>
              <w:overflowPunct/>
              <w:topLinePunct w:val="0"/>
              <w:bidi w:val="0"/>
              <w:spacing w:line="240" w:lineRule="auto"/>
              <w:jc w:val="center"/>
              <w:rPr>
                <w:rFonts w:hint="eastAsia" w:ascii="宋体" w:hAnsi="宋体" w:eastAsia="宋体" w:cs="Arial"/>
                <w:color w:val="auto"/>
                <w:kern w:val="2"/>
                <w:sz w:val="22"/>
                <w:szCs w:val="22"/>
                <w:highlight w:val="none"/>
                <w:lang w:val="en-US" w:eastAsia="zh-CN" w:bidi="ar-SA"/>
              </w:rPr>
            </w:pPr>
            <w:r>
              <w:rPr>
                <w:rFonts w:hint="eastAsia" w:ascii="宋体" w:hAnsi="宋体" w:cs="Arial"/>
                <w:color w:val="auto"/>
                <w:sz w:val="22"/>
                <w:szCs w:val="22"/>
                <w:highlight w:val="none"/>
              </w:rPr>
              <w:t>2</w:t>
            </w:r>
          </w:p>
        </w:tc>
        <w:tc>
          <w:tcPr>
            <w:tcW w:w="3207" w:type="dxa"/>
            <w:noWrap w:val="0"/>
            <w:vAlign w:val="center"/>
          </w:tcPr>
          <w:p>
            <w:pPr>
              <w:keepNext w:val="0"/>
              <w:keepLines w:val="0"/>
              <w:pageBreakBefore w:val="0"/>
              <w:kinsoku/>
              <w:wordWrap/>
              <w:overflowPunct/>
              <w:topLinePunct w:val="0"/>
              <w:bidi w:val="0"/>
              <w:spacing w:line="240" w:lineRule="auto"/>
              <w:jc w:val="both"/>
              <w:rPr>
                <w:rFonts w:hint="eastAsia" w:ascii="宋体" w:hAnsi="宋体" w:eastAsia="宋体" w:cs="Arial"/>
                <w:color w:val="auto"/>
                <w:kern w:val="2"/>
                <w:sz w:val="22"/>
                <w:szCs w:val="22"/>
                <w:highlight w:val="none"/>
                <w:lang w:val="en-US" w:eastAsia="zh-CN" w:bidi="ar-SA"/>
              </w:rPr>
            </w:pPr>
            <w:r>
              <w:rPr>
                <w:rFonts w:hint="eastAsia" w:ascii="宋体" w:hAnsi="宋体" w:cs="Arial"/>
                <w:color w:val="auto"/>
                <w:sz w:val="22"/>
                <w:szCs w:val="22"/>
                <w:highlight w:val="none"/>
              </w:rPr>
              <w:t>洗扫一体车</w:t>
            </w:r>
          </w:p>
        </w:tc>
        <w:tc>
          <w:tcPr>
            <w:tcW w:w="4500" w:type="dxa"/>
            <w:noWrap w:val="0"/>
            <w:vAlign w:val="center"/>
          </w:tcPr>
          <w:p>
            <w:pPr>
              <w:keepNext w:val="0"/>
              <w:keepLines w:val="0"/>
              <w:pageBreakBefore w:val="0"/>
              <w:kinsoku/>
              <w:wordWrap/>
              <w:overflowPunct/>
              <w:topLinePunct w:val="0"/>
              <w:bidi w:val="0"/>
              <w:spacing w:line="240" w:lineRule="auto"/>
              <w:ind w:left="66" w:leftChars="0" w:hanging="66" w:hangingChars="30"/>
              <w:jc w:val="both"/>
              <w:rPr>
                <w:rFonts w:hint="eastAsia" w:ascii="宋体" w:hAnsi="宋体" w:eastAsia="宋体" w:cs="Arial"/>
                <w:color w:val="auto"/>
                <w:kern w:val="2"/>
                <w:sz w:val="22"/>
                <w:szCs w:val="22"/>
                <w:highlight w:val="none"/>
                <w:lang w:val="en-US" w:eastAsia="zh-CN" w:bidi="ar-SA"/>
              </w:rPr>
            </w:pPr>
            <w:r>
              <w:rPr>
                <w:rFonts w:hint="eastAsia" w:ascii="宋体" w:hAnsi="宋体"/>
                <w:color w:val="auto"/>
                <w:sz w:val="22"/>
                <w:szCs w:val="22"/>
                <w:highlight w:val="none"/>
              </w:rPr>
              <w:t>总质量大于等于</w:t>
            </w:r>
            <w:r>
              <w:rPr>
                <w:rFonts w:hint="eastAsia" w:ascii="宋体" w:hAnsi="宋体"/>
                <w:color w:val="auto"/>
                <w:sz w:val="22"/>
                <w:szCs w:val="22"/>
                <w:highlight w:val="none"/>
                <w:lang w:val="en-US" w:eastAsia="zh-CN"/>
              </w:rPr>
              <w:t>8</w:t>
            </w:r>
            <w:r>
              <w:rPr>
                <w:rFonts w:hint="eastAsia" w:ascii="宋体" w:hAnsi="宋体"/>
                <w:color w:val="auto"/>
                <w:sz w:val="22"/>
                <w:szCs w:val="22"/>
                <w:highlight w:val="none"/>
              </w:rPr>
              <w:t>吨</w:t>
            </w:r>
          </w:p>
        </w:tc>
        <w:tc>
          <w:tcPr>
            <w:tcW w:w="1743" w:type="dxa"/>
            <w:noWrap w:val="0"/>
            <w:vAlign w:val="center"/>
          </w:tcPr>
          <w:p>
            <w:pPr>
              <w:keepNext w:val="0"/>
              <w:keepLines w:val="0"/>
              <w:pageBreakBefore w:val="0"/>
              <w:kinsoku/>
              <w:wordWrap/>
              <w:overflowPunct/>
              <w:topLinePunct w:val="0"/>
              <w:bidi w:val="0"/>
              <w:spacing w:line="240" w:lineRule="auto"/>
              <w:jc w:val="center"/>
              <w:rPr>
                <w:rFonts w:hint="eastAsia" w:ascii="宋体" w:hAnsi="宋体" w:eastAsia="宋体" w:cs="Arial"/>
                <w:color w:val="auto"/>
                <w:kern w:val="2"/>
                <w:sz w:val="22"/>
                <w:szCs w:val="22"/>
                <w:highlight w:val="none"/>
                <w:lang w:val="en-US" w:eastAsia="zh-CN" w:bidi="ar-SA"/>
              </w:rPr>
            </w:pPr>
            <w:r>
              <w:rPr>
                <w:rFonts w:hint="eastAsia" w:ascii="宋体" w:hAnsi="宋体" w:cs="Arial"/>
                <w:color w:val="auto"/>
                <w:sz w:val="22"/>
                <w:szCs w:val="22"/>
                <w:highlight w:val="none"/>
              </w:rPr>
              <w:t>至少配置</w:t>
            </w:r>
            <w:r>
              <w:rPr>
                <w:rFonts w:hint="default" w:ascii="宋体" w:hAnsi="宋体" w:cs="Arial"/>
                <w:color w:val="auto"/>
                <w:sz w:val="22"/>
                <w:szCs w:val="22"/>
                <w:highlight w:val="none"/>
                <w:lang w:val="en-US"/>
              </w:rPr>
              <w:t>2</w:t>
            </w:r>
            <w:r>
              <w:rPr>
                <w:rFonts w:ascii="宋体" w:hAnsi="宋体" w:cs="Arial"/>
                <w:color w:val="auto"/>
                <w:sz w:val="22"/>
                <w:szCs w:val="22"/>
                <w:highlight w:val="none"/>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705" w:type="dxa"/>
            <w:noWrap w:val="0"/>
            <w:vAlign w:val="center"/>
          </w:tcPr>
          <w:p>
            <w:pPr>
              <w:keepNext w:val="0"/>
              <w:keepLines w:val="0"/>
              <w:pageBreakBefore w:val="0"/>
              <w:kinsoku/>
              <w:wordWrap/>
              <w:overflowPunct/>
              <w:topLinePunct w:val="0"/>
              <w:bidi w:val="0"/>
              <w:spacing w:line="240" w:lineRule="auto"/>
              <w:jc w:val="center"/>
              <w:rPr>
                <w:rFonts w:hint="eastAsia" w:ascii="宋体" w:hAnsi="宋体" w:eastAsia="宋体" w:cs="Arial"/>
                <w:color w:val="auto"/>
                <w:kern w:val="2"/>
                <w:sz w:val="22"/>
                <w:szCs w:val="22"/>
                <w:highlight w:val="none"/>
                <w:lang w:val="en-US" w:eastAsia="zh-CN" w:bidi="ar-SA"/>
              </w:rPr>
            </w:pPr>
            <w:r>
              <w:rPr>
                <w:rFonts w:hint="eastAsia" w:ascii="宋体" w:hAnsi="宋体" w:cs="Arial"/>
                <w:color w:val="auto"/>
                <w:sz w:val="22"/>
                <w:szCs w:val="22"/>
                <w:highlight w:val="none"/>
                <w:lang w:val="en-US" w:eastAsia="zh-CN"/>
              </w:rPr>
              <w:t>3</w:t>
            </w:r>
          </w:p>
        </w:tc>
        <w:tc>
          <w:tcPr>
            <w:tcW w:w="3207" w:type="dxa"/>
            <w:noWrap w:val="0"/>
            <w:vAlign w:val="center"/>
          </w:tcPr>
          <w:p>
            <w:pPr>
              <w:keepNext w:val="0"/>
              <w:keepLines w:val="0"/>
              <w:pageBreakBefore w:val="0"/>
              <w:tabs>
                <w:tab w:val="left" w:pos="930"/>
              </w:tabs>
              <w:kinsoku/>
              <w:wordWrap/>
              <w:overflowPunct/>
              <w:topLinePunct w:val="0"/>
              <w:bidi w:val="0"/>
              <w:spacing w:line="240" w:lineRule="auto"/>
              <w:jc w:val="both"/>
              <w:rPr>
                <w:rFonts w:hint="eastAsia" w:ascii="宋体" w:hAnsi="宋体" w:cs="Arial"/>
                <w:color w:val="auto"/>
                <w:sz w:val="22"/>
                <w:szCs w:val="22"/>
                <w:highlight w:val="none"/>
              </w:rPr>
            </w:pPr>
            <w:r>
              <w:rPr>
                <w:rFonts w:hint="eastAsia" w:ascii="宋体" w:hAnsi="宋体" w:cs="Arial"/>
                <w:color w:val="auto"/>
                <w:sz w:val="22"/>
                <w:szCs w:val="22"/>
                <w:highlight w:val="none"/>
              </w:rPr>
              <w:t>电动三轮高压冲洗车</w:t>
            </w:r>
          </w:p>
        </w:tc>
        <w:tc>
          <w:tcPr>
            <w:tcW w:w="4500" w:type="dxa"/>
            <w:noWrap w:val="0"/>
            <w:vAlign w:val="center"/>
          </w:tcPr>
          <w:p>
            <w:pPr>
              <w:keepNext w:val="0"/>
              <w:keepLines w:val="0"/>
              <w:pageBreakBefore w:val="0"/>
              <w:kinsoku/>
              <w:wordWrap/>
              <w:overflowPunct/>
              <w:topLinePunct w:val="0"/>
              <w:bidi w:val="0"/>
              <w:spacing w:line="240" w:lineRule="auto"/>
              <w:ind w:left="66" w:hanging="66" w:hangingChars="30"/>
              <w:jc w:val="both"/>
              <w:rPr>
                <w:rFonts w:hint="eastAsia" w:ascii="宋体" w:hAnsi="宋体" w:cs="Arial"/>
                <w:color w:val="auto"/>
                <w:sz w:val="22"/>
                <w:szCs w:val="22"/>
                <w:highlight w:val="none"/>
              </w:rPr>
            </w:pPr>
            <w:r>
              <w:rPr>
                <w:rFonts w:hint="eastAsia" w:ascii="宋体" w:hAnsi="宋体" w:cs="Arial"/>
                <w:color w:val="auto"/>
                <w:sz w:val="22"/>
                <w:szCs w:val="22"/>
                <w:highlight w:val="none"/>
              </w:rPr>
              <w:t>（1）电动车或汽油车均可</w:t>
            </w:r>
          </w:p>
          <w:p>
            <w:pPr>
              <w:keepNext w:val="0"/>
              <w:keepLines w:val="0"/>
              <w:pageBreakBefore w:val="0"/>
              <w:kinsoku/>
              <w:wordWrap/>
              <w:overflowPunct/>
              <w:topLinePunct w:val="0"/>
              <w:bidi w:val="0"/>
              <w:spacing w:line="240" w:lineRule="auto"/>
              <w:ind w:left="66" w:hanging="66" w:hangingChars="30"/>
              <w:jc w:val="both"/>
              <w:rPr>
                <w:rFonts w:hint="eastAsia" w:ascii="宋体" w:hAnsi="宋体" w:cs="Arial"/>
                <w:color w:val="auto"/>
                <w:sz w:val="22"/>
                <w:szCs w:val="22"/>
                <w:highlight w:val="none"/>
              </w:rPr>
            </w:pPr>
            <w:r>
              <w:rPr>
                <w:rFonts w:hint="eastAsia" w:ascii="宋体" w:hAnsi="宋体" w:cs="Arial"/>
                <w:color w:val="auto"/>
                <w:sz w:val="22"/>
                <w:szCs w:val="22"/>
                <w:highlight w:val="none"/>
              </w:rPr>
              <w:t>（2）水泵最高压力≥150bar</w:t>
            </w:r>
          </w:p>
          <w:p>
            <w:pPr>
              <w:keepNext w:val="0"/>
              <w:keepLines w:val="0"/>
              <w:pageBreakBefore w:val="0"/>
              <w:kinsoku/>
              <w:wordWrap/>
              <w:overflowPunct/>
              <w:topLinePunct w:val="0"/>
              <w:bidi w:val="0"/>
              <w:spacing w:line="240" w:lineRule="auto"/>
              <w:ind w:left="66" w:hanging="66" w:hangingChars="30"/>
              <w:jc w:val="both"/>
              <w:rPr>
                <w:rFonts w:hint="eastAsia" w:ascii="宋体" w:hAnsi="宋体" w:cs="Arial"/>
                <w:color w:val="auto"/>
                <w:sz w:val="22"/>
                <w:szCs w:val="22"/>
                <w:highlight w:val="none"/>
              </w:rPr>
            </w:pPr>
            <w:r>
              <w:rPr>
                <w:rFonts w:hint="eastAsia" w:ascii="宋体" w:hAnsi="宋体" w:cs="Arial"/>
                <w:color w:val="auto"/>
                <w:sz w:val="22"/>
                <w:szCs w:val="22"/>
                <w:highlight w:val="none"/>
              </w:rPr>
              <w:t>（3）配备喷水枪，有效清除城市中“牛皮癣”、 小广告、道人行步道、各类公共设施</w:t>
            </w:r>
          </w:p>
        </w:tc>
        <w:tc>
          <w:tcPr>
            <w:tcW w:w="1743" w:type="dxa"/>
            <w:noWrap w:val="0"/>
            <w:vAlign w:val="center"/>
          </w:tcPr>
          <w:p>
            <w:pPr>
              <w:keepNext w:val="0"/>
              <w:keepLines w:val="0"/>
              <w:pageBreakBefore w:val="0"/>
              <w:kinsoku/>
              <w:wordWrap/>
              <w:overflowPunct/>
              <w:topLinePunct w:val="0"/>
              <w:bidi w:val="0"/>
              <w:spacing w:line="240" w:lineRule="auto"/>
              <w:jc w:val="center"/>
              <w:rPr>
                <w:rFonts w:hint="eastAsia" w:ascii="宋体" w:hAnsi="宋体" w:cs="Arial"/>
                <w:color w:val="auto"/>
                <w:sz w:val="22"/>
                <w:szCs w:val="22"/>
                <w:highlight w:val="none"/>
              </w:rPr>
            </w:pPr>
            <w:r>
              <w:rPr>
                <w:rFonts w:hint="eastAsia" w:ascii="宋体" w:hAnsi="宋体" w:cs="Arial"/>
                <w:color w:val="auto"/>
                <w:sz w:val="22"/>
                <w:szCs w:val="22"/>
                <w:highlight w:val="none"/>
              </w:rPr>
              <w:t>至少配置2辆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5" w:type="dxa"/>
            <w:noWrap w:val="0"/>
            <w:vAlign w:val="center"/>
          </w:tcPr>
          <w:p>
            <w:pPr>
              <w:keepNext w:val="0"/>
              <w:keepLines w:val="0"/>
              <w:pageBreakBefore w:val="0"/>
              <w:kinsoku/>
              <w:wordWrap/>
              <w:overflowPunct/>
              <w:topLinePunct w:val="0"/>
              <w:bidi w:val="0"/>
              <w:spacing w:line="240" w:lineRule="auto"/>
              <w:jc w:val="center"/>
              <w:rPr>
                <w:rFonts w:hint="eastAsia" w:ascii="宋体" w:hAnsi="宋体" w:eastAsia="宋体" w:cs="Arial"/>
                <w:color w:val="auto"/>
                <w:kern w:val="2"/>
                <w:sz w:val="22"/>
                <w:szCs w:val="22"/>
                <w:highlight w:val="none"/>
                <w:lang w:val="en-US" w:eastAsia="zh-CN" w:bidi="ar-SA"/>
              </w:rPr>
            </w:pPr>
            <w:r>
              <w:rPr>
                <w:rFonts w:hint="eastAsia" w:ascii="宋体" w:hAnsi="宋体" w:cs="Arial"/>
                <w:color w:val="auto"/>
                <w:sz w:val="22"/>
                <w:szCs w:val="22"/>
                <w:highlight w:val="none"/>
                <w:lang w:val="en-US" w:eastAsia="zh-CN"/>
              </w:rPr>
              <w:t>4</w:t>
            </w:r>
          </w:p>
        </w:tc>
        <w:tc>
          <w:tcPr>
            <w:tcW w:w="3207" w:type="dxa"/>
            <w:noWrap w:val="0"/>
            <w:vAlign w:val="center"/>
          </w:tcPr>
          <w:p>
            <w:pPr>
              <w:keepNext w:val="0"/>
              <w:keepLines w:val="0"/>
              <w:pageBreakBefore w:val="0"/>
              <w:tabs>
                <w:tab w:val="left" w:pos="930"/>
              </w:tabs>
              <w:kinsoku/>
              <w:wordWrap/>
              <w:overflowPunct/>
              <w:topLinePunct w:val="0"/>
              <w:bidi w:val="0"/>
              <w:spacing w:line="240" w:lineRule="auto"/>
              <w:jc w:val="both"/>
              <w:rPr>
                <w:rFonts w:hint="eastAsia" w:ascii="宋体" w:hAnsi="宋体" w:cs="Arial"/>
                <w:color w:val="auto"/>
                <w:sz w:val="22"/>
                <w:szCs w:val="22"/>
                <w:highlight w:val="none"/>
              </w:rPr>
            </w:pPr>
            <w:r>
              <w:rPr>
                <w:rFonts w:hint="eastAsia" w:ascii="宋体" w:hAnsi="宋体" w:cs="Arial"/>
                <w:color w:val="auto"/>
                <w:sz w:val="22"/>
                <w:szCs w:val="22"/>
                <w:highlight w:val="none"/>
              </w:rPr>
              <w:t>三轮电动清运车（直运车）</w:t>
            </w:r>
          </w:p>
        </w:tc>
        <w:tc>
          <w:tcPr>
            <w:tcW w:w="4500" w:type="dxa"/>
            <w:noWrap w:val="0"/>
            <w:vAlign w:val="center"/>
          </w:tcPr>
          <w:p>
            <w:pPr>
              <w:keepNext w:val="0"/>
              <w:keepLines w:val="0"/>
              <w:pageBreakBefore w:val="0"/>
              <w:kinsoku/>
              <w:wordWrap/>
              <w:overflowPunct/>
              <w:topLinePunct w:val="0"/>
              <w:bidi w:val="0"/>
              <w:spacing w:line="240" w:lineRule="auto"/>
              <w:ind w:left="66" w:hanging="66" w:hangingChars="30"/>
              <w:jc w:val="both"/>
              <w:rPr>
                <w:rFonts w:hint="eastAsia" w:ascii="宋体" w:hAnsi="宋体" w:cs="Arial"/>
                <w:color w:val="auto"/>
                <w:sz w:val="22"/>
                <w:szCs w:val="22"/>
                <w:highlight w:val="none"/>
              </w:rPr>
            </w:pPr>
          </w:p>
        </w:tc>
        <w:tc>
          <w:tcPr>
            <w:tcW w:w="1743" w:type="dxa"/>
            <w:noWrap w:val="0"/>
            <w:vAlign w:val="center"/>
          </w:tcPr>
          <w:p>
            <w:pPr>
              <w:keepNext w:val="0"/>
              <w:keepLines w:val="0"/>
              <w:pageBreakBefore w:val="0"/>
              <w:kinsoku/>
              <w:wordWrap/>
              <w:overflowPunct/>
              <w:topLinePunct w:val="0"/>
              <w:bidi w:val="0"/>
              <w:spacing w:line="240" w:lineRule="auto"/>
              <w:jc w:val="center"/>
              <w:rPr>
                <w:rFonts w:hint="eastAsia" w:ascii="宋体" w:hAnsi="宋体" w:cs="Arial"/>
                <w:color w:val="auto"/>
                <w:sz w:val="22"/>
                <w:szCs w:val="22"/>
                <w:highlight w:val="none"/>
              </w:rPr>
            </w:pPr>
            <w:r>
              <w:rPr>
                <w:rFonts w:hint="eastAsia" w:ascii="宋体" w:hAnsi="宋体" w:cs="Arial"/>
                <w:color w:val="auto"/>
                <w:sz w:val="22"/>
                <w:szCs w:val="22"/>
                <w:highlight w:val="none"/>
              </w:rPr>
              <w:t>至少配置4辆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5" w:type="dxa"/>
            <w:noWrap w:val="0"/>
            <w:vAlign w:val="center"/>
          </w:tcPr>
          <w:p>
            <w:pPr>
              <w:keepNext w:val="0"/>
              <w:keepLines w:val="0"/>
              <w:pageBreakBefore w:val="0"/>
              <w:tabs>
                <w:tab w:val="left" w:pos="930"/>
              </w:tabs>
              <w:kinsoku/>
              <w:wordWrap/>
              <w:overflowPunct/>
              <w:topLinePunct w:val="0"/>
              <w:bidi w:val="0"/>
              <w:spacing w:line="240" w:lineRule="auto"/>
              <w:jc w:val="center"/>
              <w:rPr>
                <w:rFonts w:hint="eastAsia" w:ascii="宋体" w:hAnsi="宋体" w:eastAsia="宋体" w:cs="Arial"/>
                <w:color w:val="auto"/>
                <w:kern w:val="2"/>
                <w:sz w:val="22"/>
                <w:szCs w:val="22"/>
                <w:highlight w:val="none"/>
                <w:lang w:val="en-US" w:eastAsia="zh-CN" w:bidi="ar-SA"/>
              </w:rPr>
            </w:pPr>
            <w:r>
              <w:rPr>
                <w:rFonts w:hint="eastAsia" w:ascii="宋体" w:hAnsi="宋体" w:cs="Arial"/>
                <w:color w:val="auto"/>
                <w:sz w:val="22"/>
                <w:szCs w:val="22"/>
                <w:highlight w:val="none"/>
                <w:lang w:val="en-US" w:eastAsia="zh-CN"/>
              </w:rPr>
              <w:t>5</w:t>
            </w:r>
          </w:p>
        </w:tc>
        <w:tc>
          <w:tcPr>
            <w:tcW w:w="3207" w:type="dxa"/>
            <w:noWrap w:val="0"/>
            <w:vAlign w:val="center"/>
          </w:tcPr>
          <w:p>
            <w:pPr>
              <w:keepNext w:val="0"/>
              <w:keepLines w:val="0"/>
              <w:pageBreakBefore w:val="0"/>
              <w:tabs>
                <w:tab w:val="left" w:pos="930"/>
              </w:tabs>
              <w:kinsoku/>
              <w:wordWrap/>
              <w:overflowPunct/>
              <w:topLinePunct w:val="0"/>
              <w:bidi w:val="0"/>
              <w:spacing w:line="240" w:lineRule="auto"/>
              <w:jc w:val="both"/>
              <w:rPr>
                <w:rFonts w:hint="eastAsia" w:ascii="宋体" w:hAnsi="宋体" w:cs="Arial"/>
                <w:color w:val="auto"/>
                <w:sz w:val="22"/>
                <w:szCs w:val="22"/>
                <w:highlight w:val="none"/>
              </w:rPr>
            </w:pPr>
            <w:r>
              <w:rPr>
                <w:rFonts w:hint="eastAsia" w:ascii="宋体" w:hAnsi="宋体" w:cs="Arial"/>
                <w:color w:val="auto"/>
                <w:sz w:val="22"/>
                <w:szCs w:val="22"/>
                <w:highlight w:val="none"/>
              </w:rPr>
              <w:t>电动三轮车二分类垃圾收集车</w:t>
            </w:r>
          </w:p>
        </w:tc>
        <w:tc>
          <w:tcPr>
            <w:tcW w:w="4500" w:type="dxa"/>
            <w:noWrap w:val="0"/>
            <w:vAlign w:val="center"/>
          </w:tcPr>
          <w:p>
            <w:pPr>
              <w:keepNext w:val="0"/>
              <w:keepLines w:val="0"/>
              <w:pageBreakBefore w:val="0"/>
              <w:kinsoku/>
              <w:wordWrap/>
              <w:overflowPunct/>
              <w:topLinePunct w:val="0"/>
              <w:bidi w:val="0"/>
              <w:spacing w:line="240" w:lineRule="auto"/>
              <w:ind w:left="66" w:hanging="66" w:hangingChars="30"/>
              <w:jc w:val="both"/>
              <w:rPr>
                <w:rFonts w:hint="eastAsia" w:ascii="宋体" w:hAnsi="宋体" w:cs="Arial"/>
                <w:color w:val="auto"/>
                <w:sz w:val="22"/>
                <w:szCs w:val="22"/>
                <w:highlight w:val="none"/>
              </w:rPr>
            </w:pPr>
          </w:p>
        </w:tc>
        <w:tc>
          <w:tcPr>
            <w:tcW w:w="1743" w:type="dxa"/>
            <w:noWrap w:val="0"/>
            <w:vAlign w:val="center"/>
          </w:tcPr>
          <w:p>
            <w:pPr>
              <w:keepNext w:val="0"/>
              <w:keepLines w:val="0"/>
              <w:pageBreakBefore w:val="0"/>
              <w:kinsoku/>
              <w:wordWrap/>
              <w:overflowPunct/>
              <w:topLinePunct w:val="0"/>
              <w:bidi w:val="0"/>
              <w:spacing w:line="240" w:lineRule="auto"/>
              <w:jc w:val="center"/>
              <w:rPr>
                <w:rFonts w:hint="eastAsia" w:ascii="宋体" w:hAnsi="宋体" w:cs="Arial"/>
                <w:color w:val="auto"/>
                <w:sz w:val="22"/>
                <w:szCs w:val="22"/>
                <w:highlight w:val="none"/>
              </w:rPr>
            </w:pPr>
            <w:r>
              <w:rPr>
                <w:rFonts w:hint="eastAsia" w:ascii="宋体" w:hAnsi="宋体" w:cs="Arial"/>
                <w:color w:val="auto"/>
                <w:sz w:val="22"/>
                <w:szCs w:val="22"/>
                <w:highlight w:val="none"/>
              </w:rPr>
              <w:t>至少配置10辆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5" w:type="dxa"/>
            <w:noWrap w:val="0"/>
            <w:vAlign w:val="center"/>
          </w:tcPr>
          <w:p>
            <w:pPr>
              <w:keepNext w:val="0"/>
              <w:keepLines w:val="0"/>
              <w:pageBreakBefore w:val="0"/>
              <w:tabs>
                <w:tab w:val="left" w:pos="930"/>
              </w:tabs>
              <w:kinsoku/>
              <w:wordWrap/>
              <w:overflowPunct/>
              <w:topLinePunct w:val="0"/>
              <w:bidi w:val="0"/>
              <w:spacing w:line="240" w:lineRule="auto"/>
              <w:jc w:val="center"/>
              <w:rPr>
                <w:rFonts w:hint="default" w:ascii="宋体" w:hAnsi="宋体" w:eastAsia="宋体" w:cs="Arial"/>
                <w:color w:val="auto"/>
                <w:sz w:val="22"/>
                <w:szCs w:val="22"/>
                <w:highlight w:val="none"/>
                <w:lang w:val="en-US" w:eastAsia="zh-CN"/>
              </w:rPr>
            </w:pPr>
            <w:r>
              <w:rPr>
                <w:rFonts w:hint="eastAsia" w:ascii="宋体" w:hAnsi="宋体" w:cs="Arial"/>
                <w:color w:val="auto"/>
                <w:sz w:val="22"/>
                <w:szCs w:val="22"/>
                <w:highlight w:val="none"/>
                <w:lang w:val="en-US" w:eastAsia="zh-CN"/>
              </w:rPr>
              <w:t>6</w:t>
            </w:r>
          </w:p>
        </w:tc>
        <w:tc>
          <w:tcPr>
            <w:tcW w:w="3207" w:type="dxa"/>
            <w:noWrap w:val="0"/>
            <w:vAlign w:val="center"/>
          </w:tcPr>
          <w:p>
            <w:pPr>
              <w:keepNext w:val="0"/>
              <w:keepLines w:val="0"/>
              <w:pageBreakBefore w:val="0"/>
              <w:tabs>
                <w:tab w:val="left" w:pos="930"/>
              </w:tabs>
              <w:kinsoku/>
              <w:wordWrap/>
              <w:overflowPunct/>
              <w:topLinePunct w:val="0"/>
              <w:bidi w:val="0"/>
              <w:spacing w:line="240" w:lineRule="auto"/>
              <w:jc w:val="both"/>
              <w:rPr>
                <w:rFonts w:hint="eastAsia" w:ascii="宋体" w:hAnsi="宋体" w:cs="Arial"/>
                <w:color w:val="auto"/>
                <w:sz w:val="22"/>
                <w:szCs w:val="22"/>
                <w:highlight w:val="none"/>
              </w:rPr>
            </w:pPr>
            <w:r>
              <w:rPr>
                <w:rFonts w:hint="eastAsia" w:ascii="宋体" w:hAnsi="宋体" w:cs="Arial"/>
                <w:color w:val="auto"/>
                <w:sz w:val="22"/>
                <w:szCs w:val="22"/>
                <w:highlight w:val="none"/>
              </w:rPr>
              <w:t>人力船或动力船</w:t>
            </w:r>
          </w:p>
        </w:tc>
        <w:tc>
          <w:tcPr>
            <w:tcW w:w="4500" w:type="dxa"/>
            <w:noWrap w:val="0"/>
            <w:vAlign w:val="center"/>
          </w:tcPr>
          <w:p>
            <w:pPr>
              <w:keepNext w:val="0"/>
              <w:keepLines w:val="0"/>
              <w:pageBreakBefore w:val="0"/>
              <w:tabs>
                <w:tab w:val="left" w:pos="930"/>
              </w:tabs>
              <w:kinsoku/>
              <w:wordWrap/>
              <w:overflowPunct/>
              <w:topLinePunct w:val="0"/>
              <w:bidi w:val="0"/>
              <w:spacing w:line="240" w:lineRule="auto"/>
              <w:jc w:val="both"/>
              <w:rPr>
                <w:rFonts w:hint="eastAsia" w:ascii="宋体" w:hAnsi="宋体" w:cs="Arial"/>
                <w:color w:val="auto"/>
                <w:sz w:val="22"/>
                <w:szCs w:val="22"/>
                <w:highlight w:val="none"/>
              </w:rPr>
            </w:pPr>
          </w:p>
        </w:tc>
        <w:tc>
          <w:tcPr>
            <w:tcW w:w="1743" w:type="dxa"/>
            <w:noWrap w:val="0"/>
            <w:vAlign w:val="center"/>
          </w:tcPr>
          <w:p>
            <w:pPr>
              <w:keepNext w:val="0"/>
              <w:keepLines w:val="0"/>
              <w:pageBreakBefore w:val="0"/>
              <w:tabs>
                <w:tab w:val="left" w:pos="930"/>
              </w:tabs>
              <w:kinsoku/>
              <w:wordWrap/>
              <w:overflowPunct/>
              <w:topLinePunct w:val="0"/>
              <w:bidi w:val="0"/>
              <w:spacing w:line="240" w:lineRule="auto"/>
              <w:jc w:val="center"/>
              <w:rPr>
                <w:rFonts w:hint="eastAsia" w:ascii="宋体" w:hAnsi="宋体" w:cs="Arial"/>
                <w:color w:val="auto"/>
                <w:sz w:val="22"/>
                <w:szCs w:val="22"/>
                <w:highlight w:val="none"/>
              </w:rPr>
            </w:pPr>
            <w:r>
              <w:rPr>
                <w:rFonts w:hint="eastAsia" w:ascii="宋体" w:hAnsi="宋体" w:cs="Arial"/>
                <w:color w:val="auto"/>
                <w:sz w:val="22"/>
                <w:szCs w:val="22"/>
                <w:highlight w:val="none"/>
              </w:rPr>
              <w:t>至少配置13艘</w:t>
            </w:r>
          </w:p>
        </w:tc>
      </w:tr>
    </w:tbl>
    <w:p>
      <w:pPr>
        <w:keepNext w:val="0"/>
        <w:keepLines w:val="0"/>
        <w:pageBreakBefore w:val="0"/>
        <w:widowControl w:val="0"/>
        <w:kinsoku/>
        <w:wordWrap/>
        <w:overflowPunct/>
        <w:topLinePunct w:val="0"/>
        <w:autoSpaceDE/>
        <w:autoSpaceDN/>
        <w:bidi w:val="0"/>
        <w:adjustRightInd/>
        <w:snapToGrid/>
        <w:spacing w:before="159" w:beforeLines="50" w:beforeAutospacing="0" w:line="360" w:lineRule="auto"/>
        <w:ind w:left="0" w:leftChars="0" w:firstLine="440" w:firstLineChars="200"/>
        <w:textAlignment w:val="auto"/>
        <w:rPr>
          <w:rFonts w:hint="eastAsia" w:ascii="宋体" w:hAnsi="宋体" w:cs="Arial"/>
          <w:color w:val="auto"/>
          <w:sz w:val="22"/>
          <w:szCs w:val="22"/>
          <w:highlight w:val="none"/>
        </w:rPr>
      </w:pPr>
      <w:r>
        <w:rPr>
          <w:rFonts w:hint="eastAsia" w:ascii="宋体" w:hAnsi="宋体"/>
          <w:bCs/>
          <w:color w:val="auto"/>
          <w:sz w:val="22"/>
          <w:szCs w:val="22"/>
          <w:highlight w:val="none"/>
        </w:rPr>
        <w:t>注：</w:t>
      </w:r>
      <w:r>
        <w:rPr>
          <w:rFonts w:hint="eastAsia" w:ascii="宋体" w:hAnsi="宋体"/>
          <w:color w:val="auto"/>
          <w:sz w:val="22"/>
          <w:szCs w:val="22"/>
          <w:highlight w:val="none"/>
        </w:rPr>
        <w:t>1、</w:t>
      </w:r>
      <w:r>
        <w:rPr>
          <w:rFonts w:hint="eastAsia" w:ascii="宋体" w:hAnsi="宋体" w:cs="Arial"/>
          <w:color w:val="auto"/>
          <w:sz w:val="22"/>
          <w:szCs w:val="22"/>
          <w:highlight w:val="none"/>
        </w:rPr>
        <w:t>投标人应对本项目的道路、河道情况情进行测算，并结合本项目的实际需求情况投入相应的保洁作业机具数量</w:t>
      </w:r>
      <w:r>
        <w:rPr>
          <w:rFonts w:ascii="宋体" w:hAnsi="宋体" w:cs="Arial"/>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b/>
          <w:color w:val="auto"/>
          <w:sz w:val="22"/>
          <w:szCs w:val="22"/>
          <w:highlight w:val="none"/>
        </w:rPr>
      </w:pPr>
      <w:r>
        <w:rPr>
          <w:rFonts w:hint="eastAsia" w:ascii="宋体" w:hAnsi="宋体"/>
          <w:color w:val="auto"/>
          <w:sz w:val="22"/>
          <w:szCs w:val="22"/>
          <w:highlight w:val="none"/>
        </w:rPr>
        <w:t>2、</w:t>
      </w:r>
      <w:r>
        <w:rPr>
          <w:rFonts w:hint="eastAsia" w:ascii="宋体" w:hAnsi="宋体" w:cs="Arial"/>
          <w:color w:val="auto"/>
          <w:sz w:val="22"/>
          <w:szCs w:val="22"/>
          <w:highlight w:val="none"/>
        </w:rPr>
        <w:t>投标</w:t>
      </w:r>
      <w:r>
        <w:rPr>
          <w:rFonts w:hint="eastAsia" w:ascii="宋体" w:hAnsi="宋体"/>
          <w:bCs/>
          <w:color w:val="auto"/>
          <w:sz w:val="22"/>
          <w:szCs w:val="22"/>
          <w:highlight w:val="none"/>
        </w:rPr>
        <w:t>人提供各车辆（船）的工作效能必须满足日常的保洁要求，否则招标人有权自行安排并扣除相应实际支出的款项，并对供应商按招标文件有关规定进行处理。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b/>
          <w:color w:val="auto"/>
          <w:sz w:val="22"/>
          <w:szCs w:val="22"/>
          <w:highlight w:val="none"/>
        </w:rPr>
      </w:pPr>
      <w:r>
        <w:rPr>
          <w:rFonts w:hint="eastAsia" w:ascii="宋体" w:hAnsi="宋体"/>
          <w:color w:val="auto"/>
          <w:sz w:val="22"/>
          <w:szCs w:val="22"/>
          <w:highlight w:val="none"/>
        </w:rPr>
        <w:t>3、</w:t>
      </w:r>
      <w:r>
        <w:rPr>
          <w:rFonts w:hint="eastAsia" w:ascii="宋体" w:hAnsi="宋体" w:cs="Arial"/>
          <w:color w:val="auto"/>
          <w:sz w:val="22"/>
          <w:szCs w:val="22"/>
          <w:highlight w:val="none"/>
        </w:rPr>
        <w:t>投标人自有车辆（船）若已在其他保洁服务项目中投入使用，且仍处于合同履行期，则不得作为本项目拟投入保洁</w:t>
      </w:r>
      <w:r>
        <w:rPr>
          <w:rFonts w:hint="eastAsia" w:ascii="宋体" w:hAnsi="宋体"/>
          <w:color w:val="auto"/>
          <w:sz w:val="22"/>
          <w:szCs w:val="22"/>
          <w:highlight w:val="none"/>
        </w:rPr>
        <w:t>工具</w:t>
      </w:r>
      <w:r>
        <w:rPr>
          <w:rFonts w:hint="eastAsia" w:ascii="宋体" w:hAnsi="宋体" w:cs="Arial"/>
          <w:color w:val="auto"/>
          <w:sz w:val="22"/>
          <w:szCs w:val="22"/>
          <w:highlight w:val="none"/>
        </w:rPr>
        <w:t>进行申报。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b/>
          <w:color w:val="auto"/>
          <w:sz w:val="22"/>
          <w:szCs w:val="22"/>
          <w:highlight w:val="none"/>
        </w:rPr>
      </w:pPr>
      <w:r>
        <w:rPr>
          <w:rFonts w:hint="eastAsia" w:ascii="宋体" w:hAnsi="宋体"/>
          <w:color w:val="auto"/>
          <w:sz w:val="22"/>
          <w:szCs w:val="22"/>
          <w:highlight w:val="none"/>
        </w:rPr>
        <w:t>4、</w:t>
      </w:r>
      <w:r>
        <w:rPr>
          <w:rFonts w:hint="eastAsia" w:ascii="宋体" w:hAnsi="宋体"/>
          <w:bCs/>
          <w:color w:val="auto"/>
          <w:sz w:val="22"/>
          <w:szCs w:val="22"/>
          <w:highlight w:val="none"/>
        </w:rPr>
        <w:t>投入的车辆需向采购人提供GPS监查功能系统，可供采购人查询车辆位置及工作情况。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b/>
          <w:color w:val="auto"/>
          <w:sz w:val="22"/>
          <w:szCs w:val="22"/>
          <w:highlight w:val="none"/>
        </w:rPr>
      </w:pPr>
      <w:r>
        <w:rPr>
          <w:rFonts w:hint="eastAsia" w:ascii="宋体" w:hAnsi="宋体"/>
          <w:color w:val="auto"/>
          <w:sz w:val="22"/>
          <w:szCs w:val="22"/>
          <w:highlight w:val="none"/>
        </w:rPr>
        <w:t>5、</w:t>
      </w:r>
      <w:r>
        <w:rPr>
          <w:rFonts w:hint="eastAsia" w:ascii="宋体" w:hAnsi="宋体" w:cs="Arial"/>
          <w:color w:val="auto"/>
          <w:sz w:val="22"/>
          <w:szCs w:val="22"/>
          <w:highlight w:val="none"/>
        </w:rPr>
        <w:t>以上表格仅对车辆（船）提出基本功能要求，投标人须在投标文件技术资信标中给出详细参数。</w:t>
      </w:r>
    </w:p>
    <w:p>
      <w:pPr>
        <w:keepNext w:val="0"/>
        <w:keepLines w:val="0"/>
        <w:pageBreakBefore w:val="0"/>
        <w:widowControl w:val="0"/>
        <w:kinsoku/>
        <w:wordWrap/>
        <w:overflowPunct/>
        <w:topLinePunct w:val="0"/>
        <w:autoSpaceDE/>
        <w:autoSpaceDN/>
        <w:bidi w:val="0"/>
        <w:adjustRightInd/>
        <w:snapToGrid/>
        <w:spacing w:afterAutospacing="0" w:line="360" w:lineRule="auto"/>
        <w:ind w:left="0" w:leftChars="0" w:firstLine="440" w:firstLineChars="200"/>
        <w:textAlignment w:val="auto"/>
        <w:rPr>
          <w:rFonts w:hint="eastAsia" w:ascii="宋体" w:hAnsi="宋体"/>
          <w:bCs/>
          <w:color w:val="auto"/>
          <w:sz w:val="22"/>
          <w:szCs w:val="22"/>
          <w:highlight w:val="none"/>
        </w:rPr>
      </w:pPr>
      <w:r>
        <w:rPr>
          <w:rFonts w:hint="eastAsia" w:ascii="宋体" w:hAnsi="宋体"/>
          <w:color w:val="auto"/>
          <w:sz w:val="22"/>
          <w:szCs w:val="22"/>
          <w:highlight w:val="none"/>
        </w:rPr>
        <w:t>6、</w:t>
      </w:r>
      <w:r>
        <w:rPr>
          <w:rFonts w:hint="eastAsia" w:ascii="宋体" w:hAnsi="宋体" w:cs="Arial"/>
          <w:color w:val="auto"/>
          <w:sz w:val="22"/>
          <w:szCs w:val="22"/>
          <w:highlight w:val="none"/>
        </w:rPr>
        <w:t>各投标单位应自行了解温州市交警部门对外地牌照车辆的政策规定（包括在温州市区限行的规定），有关风险均自行考虑。</w:t>
      </w:r>
    </w:p>
    <w:p>
      <w:pPr>
        <w:keepNext w:val="0"/>
        <w:keepLines w:val="0"/>
        <w:pageBreakBefore w:val="0"/>
        <w:widowControl w:val="0"/>
        <w:kinsoku/>
        <w:wordWrap/>
        <w:overflowPunct/>
        <w:topLinePunct w:val="0"/>
        <w:autoSpaceDE/>
        <w:autoSpaceDN/>
        <w:bidi w:val="0"/>
        <w:adjustRightInd/>
        <w:snapToGrid/>
        <w:spacing w:before="159" w:beforeLines="50" w:beforeAutospacing="0" w:line="360" w:lineRule="auto"/>
        <w:ind w:left="0" w:firstLine="442" w:firstLineChars="200"/>
        <w:textAlignment w:val="auto"/>
        <w:rPr>
          <w:rFonts w:hint="eastAsia" w:ascii="宋体" w:hAnsi="宋体"/>
          <w:b/>
          <w:color w:val="auto"/>
          <w:sz w:val="22"/>
          <w:szCs w:val="22"/>
          <w:highlight w:val="none"/>
          <w:lang w:eastAsia="zh-CN"/>
        </w:rPr>
      </w:pPr>
      <w:r>
        <w:rPr>
          <w:rFonts w:hint="eastAsia" w:ascii="宋体" w:hAnsi="宋体"/>
          <w:b/>
          <w:color w:val="auto"/>
          <w:sz w:val="22"/>
          <w:szCs w:val="22"/>
          <w:highlight w:val="none"/>
          <w:lang w:eastAsia="zh-CN"/>
        </w:rPr>
        <w:t>（八）▲</w:t>
      </w:r>
      <w:r>
        <w:rPr>
          <w:rFonts w:hint="eastAsia" w:ascii="宋体" w:hAnsi="宋体"/>
          <w:b/>
          <w:color w:val="auto"/>
          <w:sz w:val="22"/>
          <w:szCs w:val="22"/>
          <w:highlight w:val="none"/>
          <w:u w:val="single"/>
          <w:lang w:eastAsia="zh-CN"/>
        </w:rPr>
        <w:t>其他说明（以下各点均为本次招标实质性要求）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textAlignment w:val="auto"/>
        <w:rPr>
          <w:rFonts w:ascii="宋体" w:hAnsi="宋体" w:cs="Arial"/>
          <w:color w:val="auto"/>
          <w:sz w:val="22"/>
          <w:szCs w:val="22"/>
          <w:highlight w:val="none"/>
        </w:rPr>
      </w:pPr>
      <w:r>
        <w:rPr>
          <w:rFonts w:hint="eastAsia" w:ascii="宋体" w:hAnsi="宋体" w:cs="Arial"/>
          <w:color w:val="auto"/>
          <w:sz w:val="22"/>
          <w:szCs w:val="22"/>
          <w:highlight w:val="none"/>
          <w:lang w:val="en-US" w:eastAsia="zh-CN"/>
        </w:rPr>
        <w:t>1、</w:t>
      </w:r>
      <w:r>
        <w:rPr>
          <w:rFonts w:ascii="宋体" w:hAnsi="宋体" w:cs="Arial"/>
          <w:color w:val="auto"/>
          <w:sz w:val="22"/>
          <w:szCs w:val="22"/>
          <w:highlight w:val="none"/>
        </w:rPr>
        <w:t>中标人在承包期内，未经采购单位的同意，不得变换项目负责人，如若不能兑现，视同违约处理。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textAlignment w:val="auto"/>
        <w:rPr>
          <w:rFonts w:ascii="宋体" w:hAnsi="宋体" w:cs="Arial"/>
          <w:color w:val="auto"/>
          <w:sz w:val="22"/>
          <w:szCs w:val="22"/>
          <w:highlight w:val="none"/>
        </w:rPr>
      </w:pPr>
      <w:r>
        <w:rPr>
          <w:rFonts w:hint="eastAsia" w:ascii="宋体" w:hAnsi="宋体" w:cs="Arial"/>
          <w:color w:val="auto"/>
          <w:sz w:val="22"/>
          <w:szCs w:val="22"/>
          <w:highlight w:val="none"/>
          <w:lang w:val="en-US" w:eastAsia="zh-CN"/>
        </w:rPr>
        <w:t>2、</w:t>
      </w:r>
      <w:r>
        <w:rPr>
          <w:rFonts w:ascii="宋体" w:hAnsi="宋体" w:cs="Arial"/>
          <w:color w:val="auto"/>
          <w:sz w:val="22"/>
          <w:szCs w:val="22"/>
          <w:highlight w:val="none"/>
        </w:rPr>
        <w:t xml:space="preserve">员工劳动保障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rPr>
        <w:t>（1）与所有职工依法签订劳动合同，优先聘用在本项目所在地具有实际工作经验的作业人员，以保证工作交接顺利；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rPr>
        <w:t>（2）</w:t>
      </w:r>
      <w:r>
        <w:rPr>
          <w:rFonts w:ascii="宋体" w:hAnsi="宋体" w:cs="Arial"/>
          <w:color w:val="auto"/>
          <w:sz w:val="22"/>
          <w:szCs w:val="22"/>
          <w:highlight w:val="none"/>
        </w:rPr>
        <w:t>享受按国家有关规定的员工社会保险，根据浙政办发（2009）190号文件，月工资收入不低于</w:t>
      </w:r>
      <w:r>
        <w:rPr>
          <w:rFonts w:hint="eastAsia" w:ascii="宋体" w:hAnsi="宋体" w:cs="Arial"/>
          <w:color w:val="auto"/>
          <w:sz w:val="22"/>
          <w:szCs w:val="22"/>
          <w:highlight w:val="none"/>
        </w:rPr>
        <w:t>温州市市区本年度</w:t>
      </w:r>
      <w:r>
        <w:rPr>
          <w:rFonts w:ascii="宋体" w:hAnsi="宋体" w:cs="Arial"/>
          <w:color w:val="auto"/>
          <w:sz w:val="22"/>
          <w:szCs w:val="22"/>
          <w:highlight w:val="none"/>
        </w:rPr>
        <w:t>最低工资标准</w:t>
      </w:r>
      <w:r>
        <w:rPr>
          <w:rFonts w:hint="eastAsia" w:ascii="宋体" w:hAnsi="宋体" w:cs="Arial"/>
          <w:color w:val="auto"/>
          <w:sz w:val="22"/>
          <w:szCs w:val="22"/>
          <w:highlight w:val="none"/>
          <w:lang w:val="en-US" w:eastAsia="zh-CN"/>
        </w:rPr>
        <w:t>110</w:t>
      </w:r>
      <w:r>
        <w:rPr>
          <w:rFonts w:ascii="宋体" w:hAnsi="宋体" w:cs="Arial"/>
          <w:color w:val="auto"/>
          <w:sz w:val="22"/>
          <w:szCs w:val="22"/>
          <w:highlight w:val="none"/>
        </w:rPr>
        <w:t>% 。不按国家规定为员工提供社保的或员工工资低于</w:t>
      </w:r>
      <w:r>
        <w:rPr>
          <w:rFonts w:hint="eastAsia" w:ascii="宋体" w:hAnsi="宋体" w:cs="Arial"/>
          <w:color w:val="auto"/>
          <w:sz w:val="22"/>
          <w:szCs w:val="22"/>
          <w:highlight w:val="none"/>
        </w:rPr>
        <w:t>温州市市区本年度</w:t>
      </w:r>
      <w:r>
        <w:rPr>
          <w:rFonts w:ascii="宋体" w:hAnsi="宋体" w:cs="Arial"/>
          <w:color w:val="auto"/>
          <w:sz w:val="22"/>
          <w:szCs w:val="22"/>
          <w:highlight w:val="none"/>
        </w:rPr>
        <w:t>工资标准</w:t>
      </w:r>
      <w:r>
        <w:rPr>
          <w:rFonts w:hint="eastAsia" w:ascii="宋体" w:hAnsi="宋体" w:cs="Arial"/>
          <w:color w:val="auto"/>
          <w:sz w:val="22"/>
          <w:szCs w:val="22"/>
          <w:highlight w:val="none"/>
          <w:lang w:val="en-US" w:eastAsia="zh-CN"/>
        </w:rPr>
        <w:t>110</w:t>
      </w:r>
      <w:r>
        <w:rPr>
          <w:rFonts w:ascii="宋体" w:hAnsi="宋体" w:cs="Arial"/>
          <w:color w:val="auto"/>
          <w:sz w:val="22"/>
          <w:szCs w:val="22"/>
          <w:highlight w:val="none"/>
        </w:rPr>
        <w:t>%的，</w:t>
      </w:r>
      <w:r>
        <w:rPr>
          <w:rFonts w:hint="eastAsia" w:ascii="宋体" w:hAnsi="宋体" w:cs="Arial"/>
          <w:color w:val="auto"/>
          <w:sz w:val="22"/>
          <w:szCs w:val="22"/>
          <w:highlight w:val="none"/>
        </w:rPr>
        <w:t>或高温补贴、法定节假日加班费、特岗津贴、一年一次体检等法定福利待遇，不按照国家有关规定执行的，</w:t>
      </w:r>
      <w:r>
        <w:rPr>
          <w:rFonts w:ascii="宋体" w:hAnsi="宋体" w:cs="Arial"/>
          <w:color w:val="auto"/>
          <w:sz w:val="22"/>
          <w:szCs w:val="22"/>
          <w:highlight w:val="none"/>
        </w:rPr>
        <w:t>投标文件</w:t>
      </w:r>
      <w:r>
        <w:rPr>
          <w:rFonts w:hint="eastAsia" w:ascii="宋体" w:hAnsi="宋体" w:cs="Arial"/>
          <w:color w:val="auto"/>
          <w:sz w:val="22"/>
          <w:szCs w:val="22"/>
          <w:highlight w:val="none"/>
        </w:rPr>
        <w:t>经评委会认定后有权</w:t>
      </w:r>
      <w:r>
        <w:rPr>
          <w:rFonts w:ascii="宋体" w:hAnsi="宋体" w:cs="Arial"/>
          <w:color w:val="auto"/>
          <w:sz w:val="22"/>
          <w:szCs w:val="22"/>
          <w:highlight w:val="none"/>
        </w:rPr>
        <w:t>作无效标处理。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rPr>
        <w:t>（3）投标人在投标文件编制中的人员保险额度测算及项目实施中实际人员的保险额度均按温州市区标准执行。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ascii="宋体" w:hAnsi="宋体" w:cs="Arial"/>
          <w:color w:val="auto"/>
          <w:sz w:val="22"/>
          <w:szCs w:val="22"/>
          <w:highlight w:val="none"/>
        </w:rPr>
      </w:pPr>
      <w:r>
        <w:rPr>
          <w:rFonts w:hint="eastAsia" w:ascii="宋体" w:hAnsi="宋体" w:cs="Arial"/>
          <w:color w:val="auto"/>
          <w:sz w:val="22"/>
          <w:szCs w:val="22"/>
          <w:highlight w:val="none"/>
        </w:rPr>
        <w:t>（4）其他未尽事宜，各投标人应参照各项法律法规的规定进行。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textAlignment w:val="auto"/>
        <w:rPr>
          <w:rFonts w:ascii="宋体" w:hAnsi="宋体" w:cs="Arial"/>
          <w:color w:val="auto"/>
          <w:sz w:val="22"/>
          <w:szCs w:val="22"/>
          <w:highlight w:val="none"/>
        </w:rPr>
      </w:pPr>
      <w:r>
        <w:rPr>
          <w:rFonts w:hint="eastAsia" w:ascii="宋体" w:hAnsi="宋体" w:cs="Arial"/>
          <w:color w:val="auto"/>
          <w:sz w:val="22"/>
          <w:szCs w:val="22"/>
          <w:highlight w:val="none"/>
          <w:lang w:val="en-US" w:eastAsia="zh-CN"/>
        </w:rPr>
        <w:t>3、</w:t>
      </w:r>
      <w:r>
        <w:rPr>
          <w:rFonts w:hint="eastAsia" w:ascii="宋体" w:hAnsi="宋体" w:cs="Arial"/>
          <w:color w:val="auto"/>
          <w:sz w:val="22"/>
          <w:szCs w:val="22"/>
          <w:highlight w:val="none"/>
        </w:rPr>
        <w:t>投标人若为温州市区注册单位，若中标，按照要求的进场时间内必须所有人员及机具现场到位并能投入保洁工作（采购单位将对其检查核实通过），如不能按此要求现场到位的，将取消中标资格。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lang w:val="en-US" w:eastAsia="zh-CN"/>
        </w:rPr>
        <w:t>4、</w:t>
      </w:r>
      <w:r>
        <w:rPr>
          <w:rFonts w:hint="eastAsia" w:ascii="宋体" w:hAnsi="宋体" w:cs="Arial"/>
          <w:color w:val="auto"/>
          <w:sz w:val="22"/>
          <w:szCs w:val="22"/>
          <w:highlight w:val="none"/>
        </w:rPr>
        <w:t>投标人若非温州市区注册单位：</w:t>
      </w:r>
    </w:p>
    <w:p>
      <w:pPr>
        <w:keepNext w:val="0"/>
        <w:keepLines w:val="0"/>
        <w:pageBreakBefore w:val="0"/>
        <w:widowControl w:val="0"/>
        <w:numPr>
          <w:ilvl w:val="1"/>
          <w:numId w:val="20"/>
        </w:numPr>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rPr>
        <w:t>可按照招标文件的格式提供承诺书，若提供承诺书，则</w:t>
      </w:r>
      <w:r>
        <w:rPr>
          <w:rFonts w:ascii="宋体" w:hAnsi="宋体" w:cs="Arial"/>
          <w:color w:val="auto"/>
          <w:sz w:val="22"/>
          <w:szCs w:val="22"/>
          <w:highlight w:val="none"/>
        </w:rPr>
        <w:t>必须</w:t>
      </w:r>
      <w:r>
        <w:rPr>
          <w:rFonts w:hint="eastAsia" w:ascii="宋体" w:hAnsi="宋体" w:cs="Arial"/>
          <w:color w:val="auto"/>
          <w:sz w:val="22"/>
          <w:szCs w:val="22"/>
          <w:highlight w:val="none"/>
        </w:rPr>
        <w:t>按照投标时</w:t>
      </w:r>
      <w:r>
        <w:rPr>
          <w:rFonts w:ascii="宋体" w:hAnsi="宋体" w:cs="Arial"/>
          <w:color w:val="auto"/>
          <w:sz w:val="22"/>
          <w:szCs w:val="22"/>
          <w:highlight w:val="none"/>
        </w:rPr>
        <w:t>书面承诺</w:t>
      </w:r>
      <w:r>
        <w:rPr>
          <w:rFonts w:hint="eastAsia" w:ascii="宋体" w:hAnsi="宋体" w:cs="Arial"/>
          <w:color w:val="auto"/>
          <w:sz w:val="22"/>
          <w:szCs w:val="22"/>
          <w:highlight w:val="none"/>
        </w:rPr>
        <w:t>的时间内</w:t>
      </w:r>
      <w:r>
        <w:rPr>
          <w:rFonts w:ascii="宋体" w:hAnsi="宋体" w:cs="Arial"/>
          <w:color w:val="auto"/>
          <w:sz w:val="22"/>
          <w:szCs w:val="22"/>
          <w:highlight w:val="none"/>
        </w:rPr>
        <w:t>在温州市区范围内设立分公司（以工商主管部门登记为准），</w:t>
      </w:r>
    </w:p>
    <w:p>
      <w:pPr>
        <w:keepNext w:val="0"/>
        <w:keepLines w:val="0"/>
        <w:pageBreakBefore w:val="0"/>
        <w:widowControl w:val="0"/>
        <w:numPr>
          <w:ilvl w:val="1"/>
          <w:numId w:val="20"/>
        </w:numPr>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cs="Arial"/>
          <w:color w:val="auto"/>
          <w:sz w:val="22"/>
          <w:szCs w:val="22"/>
          <w:highlight w:val="none"/>
        </w:rPr>
      </w:pPr>
      <w:r>
        <w:rPr>
          <w:rFonts w:ascii="宋体" w:hAnsi="宋体" w:cs="Arial"/>
          <w:color w:val="auto"/>
          <w:sz w:val="22"/>
          <w:szCs w:val="22"/>
          <w:highlight w:val="none"/>
        </w:rPr>
        <w:t>若中标后不能在规定日期内设立分公司的，</w:t>
      </w:r>
      <w:r>
        <w:rPr>
          <w:rFonts w:hint="eastAsia" w:ascii="宋体" w:hAnsi="宋体" w:cs="Arial"/>
          <w:color w:val="auto"/>
          <w:sz w:val="22"/>
          <w:szCs w:val="22"/>
          <w:highlight w:val="none"/>
        </w:rPr>
        <w:t>招标人将参照《中华人民共和国政府采购法》第七十七条的相关规定，向政府采购监管部门提请取消其中标资格；</w:t>
      </w:r>
    </w:p>
    <w:p>
      <w:pPr>
        <w:keepNext w:val="0"/>
        <w:keepLines w:val="0"/>
        <w:pageBreakBefore w:val="0"/>
        <w:widowControl w:val="0"/>
        <w:numPr>
          <w:ilvl w:val="1"/>
          <w:numId w:val="20"/>
        </w:numPr>
        <w:kinsoku/>
        <w:wordWrap/>
        <w:overflowPunct/>
        <w:topLinePunct w:val="0"/>
        <w:autoSpaceDE/>
        <w:autoSpaceDN/>
        <w:bidi w:val="0"/>
        <w:adjustRightInd/>
        <w:snapToGrid/>
        <w:spacing w:line="360" w:lineRule="auto"/>
        <w:ind w:left="0" w:leftChars="0" w:firstLine="440" w:firstLineChars="200"/>
        <w:textAlignment w:val="auto"/>
        <w:rPr>
          <w:rFonts w:ascii="宋体" w:hAnsi="宋体" w:cs="Arial"/>
          <w:color w:val="auto"/>
          <w:sz w:val="22"/>
          <w:szCs w:val="22"/>
          <w:highlight w:val="none"/>
        </w:rPr>
      </w:pPr>
      <w:r>
        <w:rPr>
          <w:rFonts w:hint="eastAsia" w:ascii="宋体" w:hAnsi="宋体" w:cs="Arial"/>
          <w:color w:val="auto"/>
          <w:sz w:val="22"/>
          <w:szCs w:val="22"/>
          <w:highlight w:val="none"/>
        </w:rPr>
        <w:t>按照要求的进场时间内所有人员及机具现场到位并能投入保洁工作（采购单位将对其检查核实通过），如不能按此要求现场到位的，将取消中标资格</w:t>
      </w:r>
      <w:r>
        <w:rPr>
          <w:rFonts w:ascii="宋体" w:hAnsi="宋体" w:cs="Arial"/>
          <w:color w:val="auto"/>
          <w:sz w:val="22"/>
          <w:szCs w:val="2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lang w:val="en-US" w:eastAsia="zh-CN"/>
        </w:rPr>
        <w:t>5、</w:t>
      </w:r>
      <w:r>
        <w:rPr>
          <w:rFonts w:ascii="宋体" w:hAnsi="宋体" w:cs="Arial"/>
          <w:color w:val="auto"/>
          <w:sz w:val="22"/>
          <w:szCs w:val="22"/>
          <w:highlight w:val="none"/>
        </w:rPr>
        <w:t>本项目保洁人员必须分项进行独立配置，每个分项作业人员不得再兼任其他分项的工作，投标人必须独立计算各分项作业人数。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textAlignment w:val="auto"/>
        <w:rPr>
          <w:rFonts w:hint="eastAsia" w:ascii="宋体" w:hAnsi="宋体" w:cs="Arial"/>
          <w:color w:val="auto"/>
          <w:sz w:val="22"/>
          <w:szCs w:val="22"/>
          <w:highlight w:val="none"/>
          <w:u w:val="single"/>
        </w:rPr>
      </w:pPr>
      <w:r>
        <w:rPr>
          <w:rFonts w:hint="eastAsia" w:ascii="宋体" w:hAnsi="宋体" w:cs="Arial"/>
          <w:color w:val="auto"/>
          <w:sz w:val="22"/>
          <w:szCs w:val="22"/>
          <w:highlight w:val="none"/>
          <w:lang w:val="en-US" w:eastAsia="zh-CN"/>
        </w:rPr>
        <w:t>6、</w:t>
      </w:r>
      <w:r>
        <w:rPr>
          <w:rFonts w:ascii="宋体" w:hAnsi="宋体" w:cs="Arial"/>
          <w:color w:val="auto"/>
          <w:sz w:val="22"/>
          <w:szCs w:val="22"/>
          <w:highlight w:val="none"/>
        </w:rPr>
        <w:t>投标文件中无描述</w:t>
      </w:r>
      <w:r>
        <w:rPr>
          <w:rFonts w:hint="eastAsia" w:ascii="宋体" w:hAnsi="宋体" w:cs="Arial"/>
          <w:color w:val="auto"/>
          <w:sz w:val="22"/>
          <w:szCs w:val="22"/>
          <w:highlight w:val="none"/>
        </w:rPr>
        <w:t>及未</w:t>
      </w:r>
      <w:r>
        <w:rPr>
          <w:rFonts w:ascii="宋体" w:hAnsi="宋体" w:cs="Arial"/>
          <w:color w:val="auto"/>
          <w:sz w:val="22"/>
          <w:szCs w:val="22"/>
          <w:highlight w:val="none"/>
        </w:rPr>
        <w:t>列出各项人员的测算方法和依据的将作无效标处理，人员的能力按投标人自行实践操作为准，但不得超招标文件所规定的要求。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textAlignment w:val="auto"/>
        <w:rPr>
          <w:rFonts w:ascii="宋体" w:hAnsi="宋体" w:cs="宋体"/>
          <w:b/>
          <w:bCs/>
          <w:color w:val="auto"/>
          <w:sz w:val="22"/>
          <w:szCs w:val="22"/>
          <w:highlight w:val="none"/>
        </w:rPr>
      </w:pPr>
      <w:r>
        <w:rPr>
          <w:rFonts w:hint="eastAsia" w:ascii="宋体" w:hAnsi="宋体" w:cs="Arial"/>
          <w:color w:val="auto"/>
          <w:sz w:val="22"/>
          <w:szCs w:val="22"/>
          <w:highlight w:val="none"/>
          <w:lang w:val="en-US" w:eastAsia="zh-CN"/>
        </w:rPr>
        <w:t>7、</w:t>
      </w:r>
      <w:r>
        <w:rPr>
          <w:rFonts w:hint="eastAsia" w:ascii="宋体" w:hAnsi="宋体" w:cs="Arial"/>
          <w:color w:val="auto"/>
          <w:sz w:val="22"/>
          <w:szCs w:val="22"/>
          <w:highlight w:val="none"/>
        </w:rPr>
        <w:t>▲</w:t>
      </w:r>
      <w:r>
        <w:rPr>
          <w:rFonts w:hint="eastAsia" w:ascii="宋体" w:hAnsi="宋体" w:cs="Arial"/>
          <w:b/>
          <w:bCs/>
          <w:color w:val="auto"/>
          <w:sz w:val="22"/>
          <w:szCs w:val="22"/>
          <w:highlight w:val="none"/>
          <w:u w:val="single"/>
        </w:rPr>
        <w:t>供应商报价不得低于以下报价要求（包括但不限于），低于或不响应的投标文件作无效标处理。</w:t>
      </w:r>
    </w:p>
    <w:tbl>
      <w:tblPr>
        <w:tblStyle w:val="28"/>
        <w:tblpPr w:leftFromText="180" w:rightFromText="180" w:vertAnchor="text" w:tblpXSpec="center" w:tblpY="1"/>
        <w:tblOverlap w:val="never"/>
        <w:tblW w:w="9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8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jc w:val="center"/>
        </w:trPr>
        <w:tc>
          <w:tcPr>
            <w:tcW w:w="661" w:type="dxa"/>
            <w:noWrap w:val="0"/>
            <w:vAlign w:val="center"/>
          </w:tcPr>
          <w:p>
            <w:pPr>
              <w:keepNext w:val="0"/>
              <w:keepLines w:val="0"/>
              <w:pageBreakBefore w:val="0"/>
              <w:widowControl/>
              <w:kinsoku/>
              <w:wordWrap/>
              <w:overflowPunct/>
              <w:topLinePunct w:val="0"/>
              <w:autoSpaceDE w:val="0"/>
              <w:autoSpaceDN w:val="0"/>
              <w:bidi w:val="0"/>
              <w:adjustRightInd w:val="0"/>
              <w:spacing w:line="240" w:lineRule="auto"/>
              <w:jc w:val="center"/>
              <w:textAlignment w:val="bottom"/>
              <w:rPr>
                <w:rFonts w:ascii="宋体" w:hAnsi="宋体"/>
                <w:color w:val="auto"/>
                <w:sz w:val="22"/>
                <w:szCs w:val="22"/>
                <w:highlight w:val="none"/>
              </w:rPr>
            </w:pPr>
            <w:r>
              <w:rPr>
                <w:rFonts w:hint="eastAsia" w:ascii="宋体" w:hAnsi="宋体" w:cs="宋体"/>
                <w:color w:val="auto"/>
                <w:sz w:val="22"/>
                <w:szCs w:val="22"/>
                <w:highlight w:val="none"/>
              </w:rPr>
              <w:t>序号</w:t>
            </w:r>
          </w:p>
        </w:tc>
        <w:tc>
          <w:tcPr>
            <w:tcW w:w="881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center"/>
              <w:textAlignment w:val="bottom"/>
              <w:rPr>
                <w:rFonts w:ascii="宋体" w:hAnsi="宋体"/>
                <w:color w:val="auto"/>
                <w:sz w:val="22"/>
                <w:szCs w:val="22"/>
                <w:highlight w:val="none"/>
              </w:rPr>
            </w:pPr>
            <w:r>
              <w:rPr>
                <w:rFonts w:hint="eastAsia" w:ascii="宋体" w:hAnsi="宋体" w:cs="宋体"/>
                <w:color w:val="auto"/>
                <w:sz w:val="22"/>
                <w:szCs w:val="22"/>
                <w:highlight w:val="none"/>
              </w:rPr>
              <w:t>报价要求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661" w:type="dxa"/>
            <w:noWrap w:val="0"/>
            <w:vAlign w:val="center"/>
          </w:tcPr>
          <w:p>
            <w:pPr>
              <w:keepNext w:val="0"/>
              <w:keepLines w:val="0"/>
              <w:pageBreakBefore w:val="0"/>
              <w:widowControl/>
              <w:numPr>
                <w:ilvl w:val="0"/>
                <w:numId w:val="0"/>
              </w:numPr>
              <w:kinsoku/>
              <w:wordWrap/>
              <w:overflowPunct/>
              <w:topLinePunct w:val="0"/>
              <w:autoSpaceDE w:val="0"/>
              <w:autoSpaceDN w:val="0"/>
              <w:bidi w:val="0"/>
              <w:adjustRightInd w:val="0"/>
              <w:spacing w:line="240" w:lineRule="auto"/>
              <w:ind w:firstLine="0" w:firstLineChars="0"/>
              <w:jc w:val="center"/>
              <w:textAlignment w:val="bottom"/>
              <w:rPr>
                <w:rFonts w:hint="eastAsia" w:ascii="宋体" w:hAnsi="宋体" w:eastAsia="宋体"/>
                <w:color w:val="auto"/>
                <w:sz w:val="22"/>
                <w:szCs w:val="22"/>
                <w:highlight w:val="none"/>
                <w:lang w:val="en-US" w:eastAsia="zh-CN"/>
              </w:rPr>
            </w:pPr>
            <w:r>
              <w:rPr>
                <w:rFonts w:hint="eastAsia" w:ascii="宋体" w:hAnsi="宋体"/>
                <w:color w:val="auto"/>
                <w:sz w:val="22"/>
                <w:szCs w:val="22"/>
                <w:highlight w:val="none"/>
                <w:lang w:val="en-US" w:eastAsia="zh-CN"/>
              </w:rPr>
              <w:t>1</w:t>
            </w:r>
          </w:p>
        </w:tc>
        <w:tc>
          <w:tcPr>
            <w:tcW w:w="881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both"/>
              <w:textAlignment w:val="bottom"/>
              <w:rPr>
                <w:b w:val="0"/>
                <w:bCs w:val="0"/>
                <w:color w:val="auto"/>
                <w:sz w:val="22"/>
                <w:szCs w:val="22"/>
                <w:highlight w:val="none"/>
              </w:rPr>
            </w:pPr>
            <w:r>
              <w:rPr>
                <w:rFonts w:hint="eastAsia"/>
                <w:b w:val="0"/>
                <w:bCs w:val="0"/>
                <w:color w:val="auto"/>
                <w:sz w:val="22"/>
                <w:szCs w:val="22"/>
                <w:highlight w:val="none"/>
              </w:rPr>
              <w:t>结合本项目具体情况，要求本次投标供应商员工基本工资最低不得低于温州市</w:t>
            </w:r>
            <w:r>
              <w:rPr>
                <w:rFonts w:hint="eastAsia"/>
                <w:b w:val="0"/>
                <w:bCs w:val="0"/>
                <w:color w:val="auto"/>
                <w:sz w:val="22"/>
                <w:szCs w:val="22"/>
                <w:highlight w:val="none"/>
                <w:lang w:eastAsia="zh-CN"/>
              </w:rPr>
              <w:t>洞头区</w:t>
            </w:r>
            <w:r>
              <w:rPr>
                <w:rFonts w:hint="eastAsia"/>
                <w:b w:val="0"/>
                <w:bCs w:val="0"/>
                <w:color w:val="auto"/>
                <w:sz w:val="22"/>
                <w:szCs w:val="22"/>
                <w:highlight w:val="none"/>
              </w:rPr>
              <w:t>本年度最低工资标准的</w:t>
            </w:r>
            <w:r>
              <w:rPr>
                <w:rFonts w:hint="eastAsia"/>
                <w:b w:val="0"/>
                <w:bCs w:val="0"/>
                <w:color w:val="auto"/>
                <w:sz w:val="22"/>
                <w:szCs w:val="22"/>
                <w:highlight w:val="none"/>
                <w:lang w:val="en-US" w:eastAsia="zh-CN"/>
              </w:rPr>
              <w:t>110</w:t>
            </w:r>
            <w:r>
              <w:rPr>
                <w:b w:val="0"/>
                <w:bCs w:val="0"/>
                <w:color w:val="auto"/>
                <w:sz w:val="22"/>
                <w:szCs w:val="22"/>
                <w:highlight w:val="none"/>
              </w:rPr>
              <w:t>%</w:t>
            </w:r>
            <w:r>
              <w:rPr>
                <w:rFonts w:hint="eastAsia"/>
                <w:b w:val="0"/>
                <w:bCs w:val="0"/>
                <w:color w:val="auto"/>
                <w:sz w:val="22"/>
                <w:szCs w:val="22"/>
                <w:highlight w:val="none"/>
              </w:rPr>
              <w:t>（洞头区最低月工资标准</w:t>
            </w:r>
            <w:r>
              <w:rPr>
                <w:rFonts w:hint="eastAsia"/>
                <w:b w:val="0"/>
                <w:bCs w:val="0"/>
                <w:color w:val="auto"/>
                <w:sz w:val="22"/>
                <w:szCs w:val="22"/>
                <w:highlight w:val="none"/>
                <w:lang w:eastAsia="zh-CN"/>
              </w:rPr>
              <w:t>2280</w:t>
            </w:r>
            <w:r>
              <w:rPr>
                <w:rFonts w:hint="eastAsia"/>
                <w:b w:val="0"/>
                <w:bCs w:val="0"/>
                <w:color w:val="auto"/>
                <w:sz w:val="22"/>
                <w:szCs w:val="22"/>
                <w:highlight w:val="none"/>
              </w:rPr>
              <w:t>元</w:t>
            </w:r>
            <w:r>
              <w:rPr>
                <w:b w:val="0"/>
                <w:bCs w:val="0"/>
                <w:color w:val="auto"/>
                <w:sz w:val="22"/>
                <w:szCs w:val="22"/>
                <w:highlight w:val="none"/>
              </w:rPr>
              <w:t>/</w:t>
            </w:r>
            <w:r>
              <w:rPr>
                <w:rFonts w:hint="eastAsia"/>
                <w:b w:val="0"/>
                <w:bCs w:val="0"/>
                <w:color w:val="auto"/>
                <w:sz w:val="22"/>
                <w:szCs w:val="22"/>
                <w:highlight w:val="none"/>
              </w:rPr>
              <w:t>月）（最低工资不包括下列四项收入：延长工作时间的工资；中班、夜班、高温、低温、有毒有害等特殊工作环境、条件下的津贴；贴补伙食、住房等支付给劳动者的非货币性收入；法律、法规和国家规定的劳动者应当享受的福利待遇等）。本项目最低工资标准为每人每月</w:t>
            </w:r>
            <w:r>
              <w:rPr>
                <w:rFonts w:hint="eastAsia"/>
                <w:b w:val="0"/>
                <w:bCs w:val="0"/>
                <w:color w:val="auto"/>
                <w:sz w:val="22"/>
                <w:szCs w:val="22"/>
                <w:highlight w:val="none"/>
                <w:lang w:eastAsia="zh-CN"/>
              </w:rPr>
              <w:t>2280</w:t>
            </w:r>
            <w:r>
              <w:rPr>
                <w:b w:val="0"/>
                <w:bCs w:val="0"/>
                <w:color w:val="auto"/>
                <w:sz w:val="22"/>
                <w:szCs w:val="22"/>
                <w:highlight w:val="none"/>
              </w:rPr>
              <w:t>*</w:t>
            </w:r>
            <w:r>
              <w:rPr>
                <w:rFonts w:hint="eastAsia"/>
                <w:b w:val="0"/>
                <w:bCs w:val="0"/>
                <w:color w:val="auto"/>
                <w:sz w:val="22"/>
                <w:szCs w:val="22"/>
                <w:highlight w:val="none"/>
              </w:rPr>
              <w:t>1</w:t>
            </w:r>
            <w:r>
              <w:rPr>
                <w:rFonts w:hint="eastAsia"/>
                <w:b w:val="0"/>
                <w:bCs w:val="0"/>
                <w:color w:val="auto"/>
                <w:sz w:val="22"/>
                <w:szCs w:val="22"/>
                <w:highlight w:val="none"/>
                <w:lang w:val="en-US" w:eastAsia="zh-CN"/>
              </w:rPr>
              <w:t>1</w:t>
            </w:r>
            <w:r>
              <w:rPr>
                <w:rFonts w:hint="eastAsia"/>
                <w:b w:val="0"/>
                <w:bCs w:val="0"/>
                <w:color w:val="auto"/>
                <w:sz w:val="22"/>
                <w:szCs w:val="22"/>
                <w:highlight w:val="none"/>
              </w:rPr>
              <w:t>0</w:t>
            </w:r>
            <w:r>
              <w:rPr>
                <w:b w:val="0"/>
                <w:bCs w:val="0"/>
                <w:color w:val="auto"/>
                <w:sz w:val="22"/>
                <w:szCs w:val="22"/>
                <w:highlight w:val="none"/>
              </w:rPr>
              <w:t>%=</w:t>
            </w:r>
            <w:r>
              <w:rPr>
                <w:rFonts w:hint="eastAsia"/>
                <w:b w:val="0"/>
                <w:bCs w:val="0"/>
                <w:color w:val="auto"/>
                <w:sz w:val="22"/>
                <w:szCs w:val="22"/>
                <w:highlight w:val="none"/>
                <w:lang w:val="en-US" w:eastAsia="zh-CN"/>
              </w:rPr>
              <w:t>2508</w:t>
            </w:r>
            <w:r>
              <w:rPr>
                <w:rFonts w:hint="eastAsia"/>
                <w:b w:val="0"/>
                <w:bCs w:val="0"/>
                <w:color w:val="auto"/>
                <w:sz w:val="22"/>
                <w:szCs w:val="22"/>
                <w:highlight w:val="none"/>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2" w:hRule="atLeast"/>
          <w:jc w:val="center"/>
        </w:trPr>
        <w:tc>
          <w:tcPr>
            <w:tcW w:w="661" w:type="dxa"/>
            <w:noWrap w:val="0"/>
            <w:vAlign w:val="center"/>
          </w:tcPr>
          <w:p>
            <w:pPr>
              <w:keepNext w:val="0"/>
              <w:keepLines w:val="0"/>
              <w:pageBreakBefore w:val="0"/>
              <w:widowControl/>
              <w:numPr>
                <w:ilvl w:val="0"/>
                <w:numId w:val="0"/>
              </w:numPr>
              <w:kinsoku/>
              <w:wordWrap/>
              <w:overflowPunct/>
              <w:topLinePunct w:val="0"/>
              <w:autoSpaceDE w:val="0"/>
              <w:autoSpaceDN w:val="0"/>
              <w:bidi w:val="0"/>
              <w:adjustRightInd w:val="0"/>
              <w:spacing w:line="240" w:lineRule="auto"/>
              <w:ind w:firstLine="0" w:firstLineChars="0"/>
              <w:jc w:val="center"/>
              <w:textAlignment w:val="bottom"/>
              <w:rPr>
                <w:rFonts w:hint="eastAsia" w:ascii="宋体" w:hAnsi="宋体" w:eastAsia="宋体"/>
                <w:color w:val="auto"/>
                <w:sz w:val="22"/>
                <w:szCs w:val="22"/>
                <w:highlight w:val="none"/>
                <w:u w:val="none"/>
                <w:lang w:val="en-US" w:eastAsia="zh-CN"/>
              </w:rPr>
            </w:pPr>
            <w:r>
              <w:rPr>
                <w:rFonts w:hint="eastAsia" w:ascii="宋体" w:hAnsi="宋体"/>
                <w:color w:val="auto"/>
                <w:sz w:val="22"/>
                <w:szCs w:val="22"/>
                <w:highlight w:val="none"/>
                <w:u w:val="none"/>
                <w:lang w:val="en-US" w:eastAsia="zh-CN"/>
              </w:rPr>
              <w:t>2</w:t>
            </w:r>
          </w:p>
        </w:tc>
        <w:tc>
          <w:tcPr>
            <w:tcW w:w="881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both"/>
              <w:textAlignment w:val="bottom"/>
              <w:rPr>
                <w:rFonts w:hint="eastAsia" w:ascii="宋体" w:hAnsi="宋体" w:eastAsia="宋体" w:cs="宋体"/>
                <w:b w:val="0"/>
                <w:bCs w:val="0"/>
                <w:color w:val="auto"/>
                <w:sz w:val="22"/>
                <w:szCs w:val="22"/>
                <w:highlight w:val="none"/>
                <w:u w:val="none"/>
                <w:lang w:val="en-US" w:eastAsia="zh-CN"/>
              </w:rPr>
            </w:pPr>
            <w:r>
              <w:rPr>
                <w:rFonts w:hint="eastAsia" w:ascii="宋体" w:hAnsi="宋体" w:eastAsia="宋体" w:cs="宋体"/>
                <w:b w:val="0"/>
                <w:bCs w:val="0"/>
                <w:color w:val="auto"/>
                <w:sz w:val="22"/>
                <w:szCs w:val="22"/>
                <w:highlight w:val="none"/>
                <w:u w:val="none"/>
                <w:lang w:val="en-US" w:eastAsia="zh-CN"/>
              </w:rPr>
              <w:t>投标人员工社会保险报价必须按《关于公布社会保险有关基数的通知》（浙人社发〔2021〕54号）文件等有关法律法规要求</w:t>
            </w:r>
            <w:r>
              <w:rPr>
                <w:rFonts w:hint="eastAsia" w:ascii="宋体" w:hAnsi="宋体" w:cs="宋体"/>
                <w:b w:val="0"/>
                <w:bCs w:val="0"/>
                <w:color w:val="auto"/>
                <w:sz w:val="22"/>
                <w:szCs w:val="22"/>
                <w:highlight w:val="none"/>
                <w:u w:val="none"/>
                <w:lang w:val="en-US" w:eastAsia="zh-CN"/>
              </w:rPr>
              <w:t>。</w:t>
            </w:r>
          </w:p>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both"/>
              <w:textAlignment w:val="bottom"/>
              <w:rPr>
                <w:rFonts w:hint="eastAsia" w:ascii="宋体" w:hAnsi="宋体" w:eastAsia="宋体" w:cs="宋体"/>
                <w:b w:val="0"/>
                <w:bCs w:val="0"/>
                <w:color w:val="auto"/>
                <w:sz w:val="22"/>
                <w:szCs w:val="22"/>
                <w:highlight w:val="none"/>
                <w:u w:val="none"/>
                <w:lang w:val="en-US" w:eastAsia="zh-CN"/>
              </w:rPr>
            </w:pPr>
            <w:r>
              <w:rPr>
                <w:rFonts w:hint="eastAsia" w:ascii="宋体" w:hAnsi="宋体" w:eastAsia="宋体" w:cs="宋体"/>
                <w:b w:val="0"/>
                <w:bCs w:val="0"/>
                <w:color w:val="auto"/>
                <w:sz w:val="22"/>
                <w:szCs w:val="22"/>
                <w:highlight w:val="none"/>
                <w:u w:val="none"/>
                <w:lang w:val="en-US" w:eastAsia="zh-CN"/>
              </w:rPr>
              <w:t>养老保险基数为3957，单位须缴纳的比例为16%，即633.12元；</w:t>
            </w:r>
          </w:p>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both"/>
              <w:textAlignment w:val="bottom"/>
              <w:rPr>
                <w:rFonts w:hint="eastAsia" w:ascii="宋体" w:hAnsi="宋体" w:eastAsia="宋体" w:cs="宋体"/>
                <w:b w:val="0"/>
                <w:bCs w:val="0"/>
                <w:color w:val="auto"/>
                <w:sz w:val="22"/>
                <w:szCs w:val="22"/>
                <w:highlight w:val="none"/>
                <w:u w:val="none"/>
                <w:lang w:val="en-US" w:eastAsia="zh-CN"/>
              </w:rPr>
            </w:pPr>
            <w:r>
              <w:rPr>
                <w:rFonts w:hint="eastAsia" w:ascii="宋体" w:hAnsi="宋体" w:eastAsia="宋体" w:cs="宋体"/>
                <w:b w:val="0"/>
                <w:bCs w:val="0"/>
                <w:color w:val="auto"/>
                <w:sz w:val="22"/>
                <w:szCs w:val="22"/>
                <w:highlight w:val="none"/>
                <w:u w:val="none"/>
                <w:lang w:val="en-US" w:eastAsia="zh-CN"/>
              </w:rPr>
              <w:t>工伤保险基数为3957，单位须缴纳的比例为0.40%，即15.828元；</w:t>
            </w:r>
          </w:p>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both"/>
              <w:textAlignment w:val="bottom"/>
              <w:rPr>
                <w:rFonts w:hint="eastAsia" w:ascii="宋体" w:hAnsi="宋体" w:eastAsia="宋体" w:cs="宋体"/>
                <w:b w:val="0"/>
                <w:bCs w:val="0"/>
                <w:color w:val="auto"/>
                <w:sz w:val="22"/>
                <w:szCs w:val="22"/>
                <w:highlight w:val="none"/>
                <w:u w:val="none"/>
                <w:lang w:val="en-US" w:eastAsia="zh-CN"/>
              </w:rPr>
            </w:pPr>
            <w:r>
              <w:rPr>
                <w:rFonts w:hint="eastAsia" w:ascii="宋体" w:hAnsi="宋体" w:eastAsia="宋体" w:cs="宋体"/>
                <w:b w:val="0"/>
                <w:bCs w:val="0"/>
                <w:color w:val="auto"/>
                <w:sz w:val="22"/>
                <w:szCs w:val="22"/>
                <w:highlight w:val="none"/>
                <w:u w:val="none"/>
                <w:lang w:val="en-US" w:eastAsia="zh-CN"/>
              </w:rPr>
              <w:t>生育保险，合并到医疗；</w:t>
            </w:r>
          </w:p>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both"/>
              <w:textAlignment w:val="bottom"/>
              <w:rPr>
                <w:rFonts w:hint="eastAsia" w:ascii="宋体" w:hAnsi="宋体" w:eastAsia="宋体" w:cs="宋体"/>
                <w:b w:val="0"/>
                <w:bCs w:val="0"/>
                <w:color w:val="auto"/>
                <w:sz w:val="22"/>
                <w:szCs w:val="22"/>
                <w:highlight w:val="none"/>
                <w:u w:val="none"/>
                <w:lang w:val="en-US" w:eastAsia="zh-CN"/>
              </w:rPr>
            </w:pPr>
            <w:r>
              <w:rPr>
                <w:rFonts w:hint="eastAsia" w:ascii="宋体" w:hAnsi="宋体" w:eastAsia="宋体" w:cs="宋体"/>
                <w:b w:val="0"/>
                <w:bCs w:val="0"/>
                <w:color w:val="auto"/>
                <w:sz w:val="22"/>
                <w:szCs w:val="22"/>
                <w:highlight w:val="none"/>
                <w:u w:val="none"/>
                <w:lang w:val="en-US" w:eastAsia="zh-CN"/>
              </w:rPr>
              <w:t>失业保险基数为3957，单位须缴纳的比例为0.50%，即19.785元；</w:t>
            </w:r>
          </w:p>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both"/>
              <w:textAlignment w:val="bottom"/>
              <w:rPr>
                <w:rFonts w:hint="eastAsia" w:ascii="宋体" w:hAnsi="宋体" w:eastAsia="宋体" w:cs="宋体"/>
                <w:b w:val="0"/>
                <w:bCs w:val="0"/>
                <w:color w:val="auto"/>
                <w:sz w:val="22"/>
                <w:szCs w:val="22"/>
                <w:highlight w:val="none"/>
                <w:u w:val="none"/>
                <w:lang w:val="en-US" w:eastAsia="zh-CN"/>
              </w:rPr>
            </w:pPr>
            <w:r>
              <w:rPr>
                <w:rFonts w:hint="eastAsia" w:ascii="宋体" w:hAnsi="宋体" w:eastAsia="宋体" w:cs="宋体"/>
                <w:b w:val="0"/>
                <w:bCs w:val="0"/>
                <w:color w:val="auto"/>
                <w:sz w:val="22"/>
                <w:szCs w:val="22"/>
                <w:highlight w:val="none"/>
                <w:u w:val="none"/>
                <w:lang w:val="en-US" w:eastAsia="zh-CN"/>
              </w:rPr>
              <w:t>医疗保险基数为6594，单位须缴纳的比例为9.20%，即606.648元；</w:t>
            </w:r>
          </w:p>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both"/>
              <w:textAlignment w:val="bottom"/>
              <w:rPr>
                <w:rFonts w:hint="eastAsia" w:ascii="宋体" w:hAnsi="宋体" w:eastAsia="宋体" w:cs="宋体"/>
                <w:b w:val="0"/>
                <w:bCs w:val="0"/>
                <w:color w:val="auto"/>
                <w:sz w:val="22"/>
                <w:szCs w:val="22"/>
                <w:highlight w:val="none"/>
                <w:u w:val="none"/>
                <w:lang w:val="en-US" w:eastAsia="zh-CN"/>
              </w:rPr>
            </w:pPr>
            <w:r>
              <w:rPr>
                <w:rFonts w:hint="eastAsia" w:ascii="宋体" w:hAnsi="宋体" w:eastAsia="宋体" w:cs="宋体"/>
                <w:b w:val="0"/>
                <w:bCs w:val="0"/>
                <w:color w:val="auto"/>
                <w:sz w:val="22"/>
                <w:szCs w:val="22"/>
                <w:highlight w:val="none"/>
                <w:u w:val="none"/>
                <w:lang w:val="en-US" w:eastAsia="zh-CN"/>
              </w:rPr>
              <w:t>门诊统筹，纳入医疗。</w:t>
            </w:r>
          </w:p>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both"/>
              <w:textAlignment w:val="bottom"/>
              <w:rPr>
                <w:rFonts w:hint="eastAsia" w:ascii="宋体" w:hAnsi="宋体" w:eastAsia="宋体" w:cs="宋体"/>
                <w:b w:val="0"/>
                <w:bCs w:val="0"/>
                <w:color w:val="auto"/>
                <w:sz w:val="22"/>
                <w:szCs w:val="22"/>
                <w:highlight w:val="none"/>
                <w:u w:val="none"/>
              </w:rPr>
            </w:pPr>
            <w:r>
              <w:rPr>
                <w:rFonts w:hint="eastAsia" w:ascii="宋体" w:hAnsi="宋体" w:eastAsia="宋体" w:cs="宋体"/>
                <w:b w:val="0"/>
                <w:bCs w:val="0"/>
                <w:color w:val="auto"/>
                <w:sz w:val="22"/>
                <w:szCs w:val="22"/>
                <w:highlight w:val="none"/>
                <w:u w:val="none"/>
                <w:lang w:val="en-US" w:eastAsia="zh-CN"/>
              </w:rPr>
              <w:t>合计：1275.381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61" w:type="dxa"/>
            <w:noWrap w:val="0"/>
            <w:vAlign w:val="center"/>
          </w:tcPr>
          <w:p>
            <w:pPr>
              <w:keepNext w:val="0"/>
              <w:keepLines w:val="0"/>
              <w:pageBreakBefore w:val="0"/>
              <w:widowControl/>
              <w:numPr>
                <w:ilvl w:val="0"/>
                <w:numId w:val="0"/>
              </w:numPr>
              <w:kinsoku/>
              <w:wordWrap/>
              <w:overflowPunct/>
              <w:topLinePunct w:val="0"/>
              <w:autoSpaceDE w:val="0"/>
              <w:autoSpaceDN w:val="0"/>
              <w:bidi w:val="0"/>
              <w:adjustRightInd w:val="0"/>
              <w:spacing w:line="240" w:lineRule="auto"/>
              <w:jc w:val="center"/>
              <w:textAlignment w:val="bottom"/>
              <w:rPr>
                <w:rFonts w:hint="eastAsia" w:ascii="宋体" w:hAnsi="宋体" w:eastAsia="宋体"/>
                <w:color w:val="auto"/>
                <w:sz w:val="22"/>
                <w:szCs w:val="22"/>
                <w:highlight w:val="none"/>
                <w:u w:val="none"/>
                <w:lang w:val="en-US" w:eastAsia="zh-CN"/>
              </w:rPr>
            </w:pPr>
            <w:r>
              <w:rPr>
                <w:rFonts w:hint="eastAsia" w:ascii="宋体" w:hAnsi="宋体"/>
                <w:color w:val="auto"/>
                <w:sz w:val="22"/>
                <w:szCs w:val="22"/>
                <w:highlight w:val="none"/>
                <w:u w:val="none"/>
                <w:lang w:val="en-US" w:eastAsia="zh-CN"/>
              </w:rPr>
              <w:t>3</w:t>
            </w:r>
          </w:p>
        </w:tc>
        <w:tc>
          <w:tcPr>
            <w:tcW w:w="881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bottom"/>
              <w:rPr>
                <w:rFonts w:ascii="宋体" w:hAnsi="宋体"/>
                <w:b w:val="0"/>
                <w:bCs w:val="0"/>
                <w:color w:val="auto"/>
                <w:sz w:val="22"/>
                <w:szCs w:val="22"/>
                <w:highlight w:val="none"/>
                <w:u w:val="none"/>
              </w:rPr>
            </w:pPr>
            <w:r>
              <w:rPr>
                <w:rFonts w:hint="eastAsia" w:ascii="宋体" w:hAnsi="宋体" w:cs="宋体"/>
                <w:b w:val="0"/>
                <w:bCs w:val="0"/>
                <w:color w:val="auto"/>
                <w:sz w:val="22"/>
                <w:szCs w:val="22"/>
                <w:highlight w:val="none"/>
                <w:u w:val="none"/>
              </w:rPr>
              <w:t>节假日补贴最少按年度</w:t>
            </w:r>
            <w:r>
              <w:rPr>
                <w:rFonts w:ascii="宋体" w:hAnsi="宋体" w:cs="宋体"/>
                <w:b w:val="0"/>
                <w:bCs w:val="0"/>
                <w:color w:val="auto"/>
                <w:sz w:val="22"/>
                <w:szCs w:val="22"/>
                <w:highlight w:val="none"/>
                <w:u w:val="none"/>
              </w:rPr>
              <w:t>11</w:t>
            </w:r>
            <w:r>
              <w:rPr>
                <w:rFonts w:hint="eastAsia" w:ascii="宋体" w:hAnsi="宋体" w:cs="宋体"/>
                <w:b w:val="0"/>
                <w:bCs w:val="0"/>
                <w:color w:val="auto"/>
                <w:sz w:val="22"/>
                <w:szCs w:val="22"/>
                <w:highlight w:val="none"/>
                <w:u w:val="none"/>
              </w:rPr>
              <w:t>天计取，要求按最低发放工资标准的三倍发放节假日补贴。本项目要求每人每年不少于2758.8元人民币。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61" w:type="dxa"/>
            <w:noWrap w:val="0"/>
            <w:vAlign w:val="center"/>
          </w:tcPr>
          <w:p>
            <w:pPr>
              <w:keepNext w:val="0"/>
              <w:keepLines w:val="0"/>
              <w:pageBreakBefore w:val="0"/>
              <w:widowControl/>
              <w:numPr>
                <w:ilvl w:val="0"/>
                <w:numId w:val="0"/>
              </w:numPr>
              <w:kinsoku/>
              <w:wordWrap/>
              <w:overflowPunct/>
              <w:topLinePunct w:val="0"/>
              <w:autoSpaceDE w:val="0"/>
              <w:autoSpaceDN w:val="0"/>
              <w:bidi w:val="0"/>
              <w:adjustRightInd w:val="0"/>
              <w:spacing w:line="240" w:lineRule="auto"/>
              <w:jc w:val="center"/>
              <w:textAlignment w:val="bottom"/>
              <w:rPr>
                <w:rFonts w:hint="eastAsia" w:ascii="宋体" w:hAnsi="宋体" w:eastAsia="宋体"/>
                <w:color w:val="auto"/>
                <w:sz w:val="22"/>
                <w:szCs w:val="22"/>
                <w:highlight w:val="none"/>
                <w:u w:val="none"/>
                <w:lang w:val="en-US" w:eastAsia="zh-CN"/>
              </w:rPr>
            </w:pPr>
            <w:r>
              <w:rPr>
                <w:rFonts w:hint="eastAsia" w:ascii="宋体" w:hAnsi="宋体"/>
                <w:color w:val="auto"/>
                <w:sz w:val="22"/>
                <w:szCs w:val="22"/>
                <w:highlight w:val="none"/>
                <w:u w:val="none"/>
                <w:lang w:val="en-US" w:eastAsia="zh-CN"/>
              </w:rPr>
              <w:t>4</w:t>
            </w:r>
          </w:p>
        </w:tc>
        <w:tc>
          <w:tcPr>
            <w:tcW w:w="881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bottom"/>
              <w:rPr>
                <w:rFonts w:ascii="宋体" w:hAnsi="宋体"/>
                <w:b w:val="0"/>
                <w:bCs w:val="0"/>
                <w:color w:val="auto"/>
                <w:sz w:val="22"/>
                <w:szCs w:val="22"/>
                <w:highlight w:val="none"/>
                <w:u w:val="none"/>
              </w:rPr>
            </w:pPr>
            <w:r>
              <w:rPr>
                <w:rFonts w:hint="eastAsia" w:ascii="宋体" w:hAnsi="宋体" w:cs="宋体"/>
                <w:b w:val="0"/>
                <w:bCs w:val="0"/>
                <w:color w:val="auto"/>
                <w:sz w:val="22"/>
                <w:szCs w:val="22"/>
                <w:highlight w:val="none"/>
                <w:u w:val="none"/>
              </w:rPr>
              <w:t>高温补贴共</w:t>
            </w:r>
            <w:r>
              <w:rPr>
                <w:rFonts w:ascii="宋体" w:hAnsi="宋体" w:cs="宋体"/>
                <w:b w:val="0"/>
                <w:bCs w:val="0"/>
                <w:color w:val="auto"/>
                <w:sz w:val="22"/>
                <w:szCs w:val="22"/>
                <w:highlight w:val="none"/>
                <w:u w:val="none"/>
              </w:rPr>
              <w:t>4</w:t>
            </w:r>
            <w:r>
              <w:rPr>
                <w:rFonts w:hint="eastAsia" w:ascii="宋体" w:hAnsi="宋体" w:cs="宋体"/>
                <w:b w:val="0"/>
                <w:bCs w:val="0"/>
                <w:color w:val="auto"/>
                <w:sz w:val="22"/>
                <w:szCs w:val="22"/>
                <w:highlight w:val="none"/>
                <w:u w:val="none"/>
              </w:rPr>
              <w:t>个月（六、七、八、九共四月，逐月发放，</w:t>
            </w:r>
            <w:r>
              <w:rPr>
                <w:rFonts w:hint="eastAsia" w:ascii="宋体" w:hAnsi="宋体" w:cs="宋体"/>
                <w:b w:val="0"/>
                <w:bCs w:val="0"/>
                <w:color w:val="auto"/>
                <w:sz w:val="22"/>
                <w:szCs w:val="22"/>
                <w:highlight w:val="none"/>
                <w:u w:val="none"/>
                <w:lang w:eastAsia="zh-CN"/>
              </w:rPr>
              <w:t>室外作业人员</w:t>
            </w:r>
            <w:r>
              <w:rPr>
                <w:rFonts w:hint="eastAsia" w:ascii="宋体" w:hAnsi="宋体" w:cs="宋体"/>
                <w:b w:val="0"/>
                <w:bCs w:val="0"/>
                <w:color w:val="auto"/>
                <w:sz w:val="22"/>
                <w:szCs w:val="22"/>
                <w:highlight w:val="none"/>
                <w:u w:val="none"/>
              </w:rPr>
              <w:t>每人每月不低于300元人民币）按相关规定发放。本项目要求每人每年不少于1200元人民币。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1" w:type="dxa"/>
            <w:noWrap w:val="0"/>
            <w:vAlign w:val="center"/>
          </w:tcPr>
          <w:p>
            <w:pPr>
              <w:keepNext w:val="0"/>
              <w:keepLines w:val="0"/>
              <w:pageBreakBefore w:val="0"/>
              <w:widowControl/>
              <w:numPr>
                <w:ilvl w:val="0"/>
                <w:numId w:val="0"/>
              </w:numPr>
              <w:kinsoku/>
              <w:wordWrap/>
              <w:overflowPunct/>
              <w:topLinePunct w:val="0"/>
              <w:autoSpaceDE w:val="0"/>
              <w:autoSpaceDN w:val="0"/>
              <w:bidi w:val="0"/>
              <w:adjustRightInd w:val="0"/>
              <w:spacing w:line="240" w:lineRule="auto"/>
              <w:jc w:val="center"/>
              <w:textAlignment w:val="bottom"/>
              <w:rPr>
                <w:rFonts w:hint="eastAsia" w:ascii="宋体" w:hAnsi="宋体" w:eastAsia="宋体"/>
                <w:color w:val="auto"/>
                <w:sz w:val="22"/>
                <w:szCs w:val="22"/>
                <w:highlight w:val="none"/>
                <w:u w:val="none"/>
                <w:lang w:val="en-US" w:eastAsia="zh-CN"/>
              </w:rPr>
            </w:pPr>
            <w:r>
              <w:rPr>
                <w:rFonts w:hint="eastAsia" w:ascii="宋体" w:hAnsi="宋体"/>
                <w:color w:val="auto"/>
                <w:sz w:val="22"/>
                <w:szCs w:val="22"/>
                <w:highlight w:val="none"/>
                <w:u w:val="none"/>
                <w:lang w:val="en-US" w:eastAsia="zh-CN"/>
              </w:rPr>
              <w:t>5</w:t>
            </w:r>
          </w:p>
        </w:tc>
        <w:tc>
          <w:tcPr>
            <w:tcW w:w="881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bottom"/>
              <w:rPr>
                <w:rFonts w:ascii="宋体" w:hAnsi="宋体"/>
                <w:color w:val="auto"/>
                <w:sz w:val="22"/>
                <w:szCs w:val="22"/>
                <w:highlight w:val="none"/>
                <w:u w:val="none"/>
              </w:rPr>
            </w:pPr>
            <w:r>
              <w:rPr>
                <w:rFonts w:hint="eastAsia" w:ascii="宋体" w:hAnsi="宋体" w:cs="宋体"/>
                <w:color w:val="auto"/>
                <w:sz w:val="22"/>
                <w:szCs w:val="22"/>
                <w:highlight w:val="none"/>
                <w:u w:val="none"/>
              </w:rPr>
              <w:t>特殊岗位津贴发放标准按</w:t>
            </w:r>
            <w:r>
              <w:rPr>
                <w:rFonts w:ascii="宋体" w:hAnsi="宋体" w:cs="宋体"/>
                <w:color w:val="auto"/>
                <w:sz w:val="22"/>
                <w:szCs w:val="22"/>
                <w:highlight w:val="none"/>
                <w:u w:val="none"/>
              </w:rPr>
              <w:t>10</w:t>
            </w:r>
            <w:r>
              <w:rPr>
                <w:rFonts w:hint="eastAsia" w:ascii="宋体" w:hAnsi="宋体" w:cs="宋体"/>
                <w:color w:val="auto"/>
                <w:sz w:val="22"/>
                <w:szCs w:val="22"/>
                <w:highlight w:val="none"/>
                <w:u w:val="none"/>
              </w:rPr>
              <w:t>元</w:t>
            </w:r>
            <w:r>
              <w:rPr>
                <w:rFonts w:ascii="宋体" w:hAnsi="宋体" w:cs="宋体"/>
                <w:color w:val="auto"/>
                <w:sz w:val="22"/>
                <w:szCs w:val="22"/>
                <w:highlight w:val="none"/>
                <w:u w:val="none"/>
              </w:rPr>
              <w:t>/</w:t>
            </w:r>
            <w:r>
              <w:rPr>
                <w:rFonts w:hint="eastAsia" w:ascii="宋体" w:hAnsi="宋体" w:cs="宋体"/>
                <w:color w:val="auto"/>
                <w:sz w:val="22"/>
                <w:szCs w:val="22"/>
                <w:highlight w:val="none"/>
                <w:u w:val="none"/>
              </w:rPr>
              <w:t>每人</w:t>
            </w:r>
            <w:r>
              <w:rPr>
                <w:rFonts w:ascii="宋体" w:hAnsi="宋体" w:cs="宋体"/>
                <w:color w:val="auto"/>
                <w:sz w:val="22"/>
                <w:szCs w:val="22"/>
                <w:highlight w:val="none"/>
                <w:u w:val="none"/>
              </w:rPr>
              <w:t>/</w:t>
            </w:r>
            <w:r>
              <w:rPr>
                <w:rFonts w:hint="eastAsia" w:ascii="宋体" w:hAnsi="宋体" w:cs="宋体"/>
                <w:color w:val="auto"/>
                <w:sz w:val="22"/>
                <w:szCs w:val="22"/>
                <w:highlight w:val="none"/>
                <w:u w:val="none"/>
              </w:rPr>
              <w:t>每出勤日。本项目要求每人每年不少于</w:t>
            </w:r>
            <w:r>
              <w:rPr>
                <w:rFonts w:ascii="宋体" w:hAnsi="宋体" w:cs="宋体"/>
                <w:color w:val="auto"/>
                <w:sz w:val="22"/>
                <w:szCs w:val="22"/>
                <w:highlight w:val="none"/>
                <w:u w:val="none"/>
              </w:rPr>
              <w:t>3650</w:t>
            </w:r>
            <w:r>
              <w:rPr>
                <w:rFonts w:hint="eastAsia" w:ascii="宋体" w:hAnsi="宋体" w:cs="宋体"/>
                <w:color w:val="auto"/>
                <w:sz w:val="22"/>
                <w:szCs w:val="22"/>
                <w:highlight w:val="none"/>
                <w:u w:val="none"/>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1" w:type="dxa"/>
            <w:noWrap w:val="0"/>
            <w:vAlign w:val="center"/>
          </w:tcPr>
          <w:p>
            <w:pPr>
              <w:keepNext w:val="0"/>
              <w:keepLines w:val="0"/>
              <w:pageBreakBefore w:val="0"/>
              <w:widowControl/>
              <w:numPr>
                <w:ilvl w:val="0"/>
                <w:numId w:val="0"/>
              </w:numPr>
              <w:kinsoku/>
              <w:wordWrap/>
              <w:overflowPunct/>
              <w:topLinePunct w:val="0"/>
              <w:autoSpaceDE w:val="0"/>
              <w:autoSpaceDN w:val="0"/>
              <w:bidi w:val="0"/>
              <w:adjustRightInd w:val="0"/>
              <w:spacing w:line="240" w:lineRule="auto"/>
              <w:jc w:val="center"/>
              <w:textAlignment w:val="bottom"/>
              <w:rPr>
                <w:rFonts w:hint="eastAsia" w:ascii="宋体" w:hAnsi="宋体" w:eastAsia="宋体"/>
                <w:color w:val="auto"/>
                <w:sz w:val="22"/>
                <w:szCs w:val="22"/>
                <w:highlight w:val="none"/>
                <w:u w:val="none"/>
                <w:lang w:val="en-US" w:eastAsia="zh-CN"/>
              </w:rPr>
            </w:pPr>
            <w:r>
              <w:rPr>
                <w:rFonts w:hint="eastAsia" w:ascii="宋体" w:hAnsi="宋体"/>
                <w:color w:val="auto"/>
                <w:sz w:val="22"/>
                <w:szCs w:val="22"/>
                <w:highlight w:val="none"/>
                <w:u w:val="none"/>
                <w:lang w:val="en-US" w:eastAsia="zh-CN"/>
              </w:rPr>
              <w:t>6</w:t>
            </w:r>
          </w:p>
        </w:tc>
        <w:tc>
          <w:tcPr>
            <w:tcW w:w="881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bottom"/>
              <w:rPr>
                <w:rFonts w:ascii="宋体" w:hAnsi="宋体"/>
                <w:color w:val="auto"/>
                <w:sz w:val="22"/>
                <w:szCs w:val="22"/>
                <w:highlight w:val="none"/>
                <w:u w:val="none"/>
              </w:rPr>
            </w:pPr>
            <w:r>
              <w:rPr>
                <w:rFonts w:hint="eastAsia" w:ascii="宋体" w:hAnsi="宋体" w:cs="宋体"/>
                <w:color w:val="auto"/>
                <w:sz w:val="22"/>
                <w:szCs w:val="22"/>
                <w:highlight w:val="none"/>
                <w:u w:val="none"/>
              </w:rPr>
              <w:t>清扫工具（主要指大、小扫帚、方锹、畚箕等）按每月</w:t>
            </w:r>
            <w:r>
              <w:rPr>
                <w:rFonts w:ascii="宋体" w:hAnsi="宋体" w:cs="宋体"/>
                <w:color w:val="auto"/>
                <w:sz w:val="22"/>
                <w:szCs w:val="22"/>
                <w:highlight w:val="none"/>
                <w:u w:val="none"/>
              </w:rPr>
              <w:t>60</w:t>
            </w:r>
            <w:r>
              <w:rPr>
                <w:rFonts w:hint="eastAsia" w:ascii="宋体" w:hAnsi="宋体" w:cs="宋体"/>
                <w:color w:val="auto"/>
                <w:sz w:val="22"/>
                <w:szCs w:val="22"/>
                <w:highlight w:val="none"/>
                <w:u w:val="none"/>
              </w:rPr>
              <w:t>元</w:t>
            </w:r>
            <w:r>
              <w:rPr>
                <w:rFonts w:ascii="宋体" w:hAnsi="宋体" w:cs="宋体"/>
                <w:color w:val="auto"/>
                <w:sz w:val="22"/>
                <w:szCs w:val="22"/>
                <w:highlight w:val="none"/>
                <w:u w:val="none"/>
              </w:rPr>
              <w:t>/</w:t>
            </w:r>
            <w:r>
              <w:rPr>
                <w:rFonts w:hint="eastAsia" w:ascii="宋体" w:hAnsi="宋体" w:cs="宋体"/>
                <w:color w:val="auto"/>
                <w:sz w:val="22"/>
                <w:szCs w:val="22"/>
                <w:highlight w:val="none"/>
                <w:u w:val="none"/>
              </w:rPr>
              <w:t>人标准发放到位。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1" w:type="dxa"/>
            <w:noWrap w:val="0"/>
            <w:vAlign w:val="center"/>
          </w:tcPr>
          <w:p>
            <w:pPr>
              <w:keepNext w:val="0"/>
              <w:keepLines w:val="0"/>
              <w:pageBreakBefore w:val="0"/>
              <w:widowControl/>
              <w:numPr>
                <w:ilvl w:val="0"/>
                <w:numId w:val="0"/>
              </w:numPr>
              <w:kinsoku/>
              <w:wordWrap/>
              <w:overflowPunct/>
              <w:topLinePunct w:val="0"/>
              <w:autoSpaceDE w:val="0"/>
              <w:autoSpaceDN w:val="0"/>
              <w:bidi w:val="0"/>
              <w:adjustRightInd w:val="0"/>
              <w:spacing w:line="240" w:lineRule="auto"/>
              <w:jc w:val="center"/>
              <w:textAlignment w:val="bottom"/>
              <w:rPr>
                <w:rFonts w:hint="eastAsia" w:ascii="宋体" w:hAnsi="宋体" w:eastAsia="宋体"/>
                <w:color w:val="auto"/>
                <w:sz w:val="22"/>
                <w:szCs w:val="22"/>
                <w:highlight w:val="none"/>
                <w:u w:val="none"/>
                <w:lang w:val="en-US" w:eastAsia="zh-CN"/>
              </w:rPr>
            </w:pPr>
            <w:r>
              <w:rPr>
                <w:rFonts w:hint="eastAsia" w:ascii="宋体" w:hAnsi="宋体"/>
                <w:color w:val="auto"/>
                <w:sz w:val="22"/>
                <w:szCs w:val="22"/>
                <w:highlight w:val="none"/>
                <w:u w:val="none"/>
                <w:lang w:val="en-US" w:eastAsia="zh-CN"/>
              </w:rPr>
              <w:t>7</w:t>
            </w:r>
          </w:p>
        </w:tc>
        <w:tc>
          <w:tcPr>
            <w:tcW w:w="881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bottom"/>
              <w:rPr>
                <w:rFonts w:ascii="宋体" w:hAnsi="宋体"/>
                <w:color w:val="auto"/>
                <w:sz w:val="22"/>
                <w:szCs w:val="22"/>
                <w:highlight w:val="none"/>
                <w:u w:val="none"/>
              </w:rPr>
            </w:pPr>
            <w:r>
              <w:rPr>
                <w:rFonts w:hint="eastAsia" w:ascii="宋体" w:hAnsi="宋体" w:cs="宋体"/>
                <w:color w:val="auto"/>
                <w:sz w:val="22"/>
                <w:szCs w:val="22"/>
                <w:highlight w:val="none"/>
                <w:u w:val="none"/>
              </w:rPr>
              <w:t>中标供应商须为职工办理职工意外伤害保险，每人300元/人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61" w:type="dxa"/>
            <w:noWrap w:val="0"/>
            <w:vAlign w:val="center"/>
          </w:tcPr>
          <w:p>
            <w:pPr>
              <w:keepNext w:val="0"/>
              <w:keepLines w:val="0"/>
              <w:pageBreakBefore w:val="0"/>
              <w:widowControl/>
              <w:numPr>
                <w:ilvl w:val="0"/>
                <w:numId w:val="0"/>
              </w:numPr>
              <w:kinsoku/>
              <w:wordWrap/>
              <w:overflowPunct/>
              <w:topLinePunct w:val="0"/>
              <w:autoSpaceDE w:val="0"/>
              <w:autoSpaceDN w:val="0"/>
              <w:bidi w:val="0"/>
              <w:adjustRightInd w:val="0"/>
              <w:spacing w:line="240" w:lineRule="auto"/>
              <w:jc w:val="center"/>
              <w:textAlignment w:val="bottom"/>
              <w:rPr>
                <w:rFonts w:hint="eastAsia" w:ascii="宋体" w:hAnsi="宋体" w:eastAsia="宋体"/>
                <w:color w:val="auto"/>
                <w:sz w:val="22"/>
                <w:szCs w:val="22"/>
                <w:highlight w:val="none"/>
                <w:u w:val="none"/>
                <w:lang w:val="en-US" w:eastAsia="zh-CN"/>
              </w:rPr>
            </w:pPr>
            <w:r>
              <w:rPr>
                <w:rFonts w:hint="eastAsia" w:ascii="宋体" w:hAnsi="宋体"/>
                <w:color w:val="auto"/>
                <w:sz w:val="22"/>
                <w:szCs w:val="22"/>
                <w:highlight w:val="none"/>
                <w:u w:val="none"/>
                <w:lang w:val="en-US" w:eastAsia="zh-CN"/>
              </w:rPr>
              <w:t>8</w:t>
            </w:r>
          </w:p>
        </w:tc>
        <w:tc>
          <w:tcPr>
            <w:tcW w:w="881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bottom"/>
              <w:rPr>
                <w:rFonts w:ascii="宋体" w:hAnsi="宋体"/>
                <w:color w:val="auto"/>
                <w:sz w:val="22"/>
                <w:szCs w:val="22"/>
                <w:highlight w:val="none"/>
                <w:u w:val="none"/>
              </w:rPr>
            </w:pPr>
            <w:r>
              <w:rPr>
                <w:rFonts w:hint="eastAsia" w:ascii="宋体" w:hAnsi="宋体" w:cs="宋体"/>
                <w:color w:val="auto"/>
                <w:sz w:val="22"/>
                <w:szCs w:val="22"/>
                <w:highlight w:val="none"/>
                <w:u w:val="none"/>
              </w:rPr>
              <w:t>投入的作业机械车辆（船只）不得少于招标文件要求，作业机械车辆（船只）费用报价不得低于投标总价的12</w:t>
            </w:r>
            <w:r>
              <w:rPr>
                <w:rFonts w:ascii="宋体" w:hAnsi="宋体" w:cs="宋体"/>
                <w:color w:val="auto"/>
                <w:sz w:val="22"/>
                <w:szCs w:val="22"/>
                <w:highlight w:val="none"/>
                <w:u w:val="none"/>
              </w:rPr>
              <w:t>%</w:t>
            </w:r>
            <w:r>
              <w:rPr>
                <w:rFonts w:hint="eastAsia" w:ascii="宋体" w:hAnsi="宋体" w:cs="宋体"/>
                <w:color w:val="auto"/>
                <w:sz w:val="22"/>
                <w:szCs w:val="22"/>
                <w:highlight w:val="none"/>
                <w:u w:val="none"/>
              </w:rPr>
              <w:t>。</w:t>
            </w:r>
            <w:r>
              <w:rPr>
                <w:rFonts w:ascii="宋体" w:hAnsi="宋体" w:cs="宋体"/>
                <w:color w:val="auto"/>
                <w:sz w:val="22"/>
                <w:szCs w:val="22"/>
                <w:highlight w:val="none"/>
                <w:u w:val="none"/>
              </w:rPr>
              <w:t>(</w:t>
            </w:r>
            <w:r>
              <w:rPr>
                <w:rFonts w:hint="eastAsia" w:ascii="宋体" w:hAnsi="宋体" w:cs="宋体"/>
                <w:color w:val="auto"/>
                <w:sz w:val="22"/>
                <w:szCs w:val="22"/>
                <w:highlight w:val="none"/>
                <w:u w:val="none"/>
              </w:rPr>
              <w:t>包含车辆（船只）保险、损耗及维修、保养、油耗等涉及的车辆（船只）所有费用</w:t>
            </w:r>
            <w:r>
              <w:rPr>
                <w:rFonts w:ascii="宋体" w:hAnsi="宋体" w:cs="宋体"/>
                <w:color w:val="auto"/>
                <w:sz w:val="22"/>
                <w:szCs w:val="22"/>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1" w:type="dxa"/>
            <w:noWrap w:val="0"/>
            <w:vAlign w:val="center"/>
          </w:tcPr>
          <w:p>
            <w:pPr>
              <w:keepNext w:val="0"/>
              <w:keepLines w:val="0"/>
              <w:pageBreakBefore w:val="0"/>
              <w:widowControl/>
              <w:numPr>
                <w:ilvl w:val="0"/>
                <w:numId w:val="0"/>
              </w:numPr>
              <w:kinsoku/>
              <w:wordWrap/>
              <w:overflowPunct/>
              <w:topLinePunct w:val="0"/>
              <w:autoSpaceDE w:val="0"/>
              <w:autoSpaceDN w:val="0"/>
              <w:bidi w:val="0"/>
              <w:adjustRightInd w:val="0"/>
              <w:spacing w:line="240" w:lineRule="auto"/>
              <w:jc w:val="center"/>
              <w:textAlignment w:val="bottom"/>
              <w:rPr>
                <w:rFonts w:hint="eastAsia" w:ascii="宋体" w:hAnsi="宋体" w:eastAsia="宋体"/>
                <w:color w:val="auto"/>
                <w:sz w:val="22"/>
                <w:szCs w:val="22"/>
                <w:highlight w:val="none"/>
                <w:u w:val="none"/>
                <w:lang w:val="en-US" w:eastAsia="zh-CN"/>
              </w:rPr>
            </w:pPr>
            <w:r>
              <w:rPr>
                <w:rFonts w:hint="eastAsia" w:ascii="宋体" w:hAnsi="宋体"/>
                <w:color w:val="auto"/>
                <w:sz w:val="22"/>
                <w:szCs w:val="22"/>
                <w:highlight w:val="none"/>
                <w:u w:val="none"/>
                <w:lang w:val="en-US" w:eastAsia="zh-CN"/>
              </w:rPr>
              <w:t>9</w:t>
            </w:r>
          </w:p>
        </w:tc>
        <w:tc>
          <w:tcPr>
            <w:tcW w:w="881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both"/>
              <w:textAlignment w:val="bottom"/>
              <w:rPr>
                <w:rFonts w:hint="eastAsia" w:ascii="宋体" w:hAnsi="宋体" w:cs="宋体"/>
                <w:color w:val="auto"/>
                <w:sz w:val="22"/>
                <w:szCs w:val="22"/>
                <w:highlight w:val="none"/>
                <w:u w:val="none"/>
              </w:rPr>
            </w:pPr>
            <w:r>
              <w:rPr>
                <w:rFonts w:hint="eastAsia" w:ascii="宋体" w:hAnsi="宋体" w:cs="宋体"/>
                <w:color w:val="auto"/>
                <w:sz w:val="22"/>
                <w:szCs w:val="22"/>
                <w:highlight w:val="none"/>
                <w:u w:val="none"/>
              </w:rPr>
              <w:t>本项目要求每人每年健康体检一年一次不得少于500元。</w:t>
            </w:r>
          </w:p>
        </w:tc>
      </w:tr>
    </w:tbl>
    <w:p>
      <w:pPr>
        <w:pStyle w:val="25"/>
        <w:keepNext w:val="0"/>
        <w:keepLines w:val="0"/>
        <w:pageBreakBefore w:val="0"/>
        <w:kinsoku/>
        <w:wordWrap/>
        <w:overflowPunct/>
        <w:topLinePunct w:val="0"/>
        <w:bidi w:val="0"/>
        <w:spacing w:before="159" w:beforeLines="50" w:beforeAutospacing="0" w:after="0" w:afterAutospacing="0" w:line="360" w:lineRule="auto"/>
        <w:ind w:firstLine="481"/>
        <w:jc w:val="left"/>
        <w:rPr>
          <w:rFonts w:hint="eastAsia" w:ascii="宋体" w:hAnsi="宋体" w:eastAsia="宋体"/>
          <w:b/>
          <w:color w:val="auto"/>
          <w:sz w:val="22"/>
          <w:szCs w:val="22"/>
          <w:highlight w:val="none"/>
          <w:u w:val="single"/>
          <w:lang w:eastAsia="zh-CN"/>
        </w:rPr>
      </w:pPr>
      <w:bookmarkStart w:id="13" w:name="_Toc24856"/>
      <w:r>
        <w:rPr>
          <w:rFonts w:hint="eastAsia" w:ascii="宋体" w:hAnsi="宋体" w:eastAsia="宋体" w:cs="宋体"/>
          <w:b/>
          <w:bCs/>
          <w:color w:val="auto"/>
          <w:spacing w:val="-6"/>
          <w:sz w:val="22"/>
          <w:szCs w:val="22"/>
          <w:highlight w:val="none"/>
          <w:u w:val="none"/>
        </w:rPr>
        <w:t>▲</w:t>
      </w:r>
      <w:r>
        <w:rPr>
          <w:rFonts w:hint="eastAsia" w:ascii="宋体" w:hAnsi="宋体"/>
          <w:b/>
          <w:color w:val="auto"/>
          <w:sz w:val="22"/>
          <w:szCs w:val="22"/>
          <w:highlight w:val="none"/>
          <w:u w:val="single"/>
        </w:rPr>
        <w:t>注：</w:t>
      </w:r>
      <w:r>
        <w:rPr>
          <w:rFonts w:hint="eastAsia" w:ascii="宋体" w:hAnsi="宋体"/>
          <w:b/>
          <w:color w:val="auto"/>
          <w:sz w:val="22"/>
          <w:szCs w:val="22"/>
          <w:highlight w:val="none"/>
          <w:u w:val="single"/>
          <w:lang w:val="en-US" w:eastAsia="zh-CN"/>
        </w:rPr>
        <w:t>1、以上内容如出台新的标准或政策，按最新标准或政策执行,供应商报价时应考虑后续潜在投入风险。2、</w:t>
      </w:r>
      <w:r>
        <w:rPr>
          <w:rFonts w:hint="eastAsia" w:ascii="宋体" w:hAnsi="宋体"/>
          <w:b/>
          <w:color w:val="auto"/>
          <w:sz w:val="22"/>
          <w:szCs w:val="22"/>
          <w:highlight w:val="none"/>
          <w:u w:val="single"/>
        </w:rPr>
        <w:t>供应商拟派参与本项目的人数多于招标文件要求的人数时，须按拟派人员数量</w:t>
      </w:r>
      <w:r>
        <w:rPr>
          <w:rFonts w:hint="eastAsia" w:ascii="宋体" w:hAnsi="宋体"/>
          <w:b/>
          <w:color w:val="auto"/>
          <w:sz w:val="22"/>
          <w:szCs w:val="22"/>
          <w:highlight w:val="none"/>
          <w:u w:val="single"/>
          <w:lang w:val="en-US" w:eastAsia="zh-CN"/>
        </w:rPr>
        <w:t>考虑</w:t>
      </w:r>
      <w:r>
        <w:rPr>
          <w:rFonts w:hint="eastAsia" w:ascii="宋体" w:hAnsi="宋体"/>
          <w:b/>
          <w:color w:val="auto"/>
          <w:sz w:val="22"/>
          <w:szCs w:val="22"/>
          <w:highlight w:val="none"/>
          <w:u w:val="single"/>
        </w:rPr>
        <w:t>上述几项进行</w:t>
      </w:r>
      <w:r>
        <w:rPr>
          <w:rFonts w:hint="eastAsia" w:ascii="宋体" w:hAnsi="宋体"/>
          <w:b/>
          <w:color w:val="auto"/>
          <w:sz w:val="22"/>
          <w:szCs w:val="22"/>
          <w:highlight w:val="none"/>
          <w:u w:val="single"/>
          <w:lang w:val="en-US" w:eastAsia="zh-CN"/>
        </w:rPr>
        <w:t>综合</w:t>
      </w:r>
      <w:r>
        <w:rPr>
          <w:rFonts w:hint="eastAsia" w:ascii="宋体" w:hAnsi="宋体"/>
          <w:b/>
          <w:color w:val="auto"/>
          <w:sz w:val="22"/>
          <w:szCs w:val="22"/>
          <w:highlight w:val="none"/>
          <w:u w:val="single"/>
        </w:rPr>
        <w:t>报价，否则按无效投标处理</w:t>
      </w:r>
      <w:bookmarkEnd w:id="13"/>
      <w:r>
        <w:rPr>
          <w:rFonts w:hint="eastAsia" w:ascii="宋体" w:hAnsi="宋体"/>
          <w:b/>
          <w:color w:val="auto"/>
          <w:sz w:val="22"/>
          <w:szCs w:val="22"/>
          <w:highlight w:val="none"/>
          <w:u w:val="single"/>
          <w:lang w:eastAsia="zh-CN"/>
        </w:rPr>
        <w:t>。</w:t>
      </w:r>
    </w:p>
    <w:p>
      <w:pPr>
        <w:keepNext w:val="0"/>
        <w:keepLines w:val="0"/>
        <w:pageBreakBefore w:val="0"/>
        <w:widowControl w:val="0"/>
        <w:kinsoku/>
        <w:wordWrap/>
        <w:overflowPunct/>
        <w:topLinePunct w:val="0"/>
        <w:autoSpaceDE/>
        <w:autoSpaceDN/>
        <w:bidi w:val="0"/>
        <w:adjustRightInd/>
        <w:snapToGrid/>
        <w:spacing w:beforeAutospacing="0" w:line="360" w:lineRule="auto"/>
        <w:ind w:left="0" w:firstLine="442" w:firstLineChars="200"/>
        <w:textAlignment w:val="auto"/>
        <w:rPr>
          <w:rFonts w:hint="eastAsia" w:ascii="宋体" w:hAnsi="宋体"/>
          <w:b/>
          <w:color w:val="auto"/>
          <w:sz w:val="22"/>
          <w:szCs w:val="22"/>
          <w:highlight w:val="none"/>
          <w:lang w:eastAsia="zh-CN"/>
        </w:rPr>
      </w:pPr>
      <w:r>
        <w:rPr>
          <w:rFonts w:hint="eastAsia" w:ascii="宋体" w:hAnsi="宋体"/>
          <w:b/>
          <w:color w:val="auto"/>
          <w:sz w:val="22"/>
          <w:szCs w:val="22"/>
          <w:highlight w:val="none"/>
          <w:lang w:eastAsia="zh-CN"/>
        </w:rPr>
        <w:t>五、</w:t>
      </w:r>
      <w:r>
        <w:rPr>
          <w:rFonts w:hint="eastAsia" w:ascii="宋体" w:hAnsi="宋体"/>
          <w:b/>
          <w:color w:val="auto"/>
          <w:sz w:val="22"/>
          <w:szCs w:val="22"/>
          <w:highlight w:val="none"/>
          <w:lang w:val="en-US" w:eastAsia="zh-CN"/>
        </w:rPr>
        <w:t>六</w:t>
      </w:r>
      <w:r>
        <w:rPr>
          <w:rFonts w:hint="eastAsia" w:ascii="宋体" w:hAnsi="宋体"/>
          <w:b/>
          <w:color w:val="auto"/>
          <w:sz w:val="22"/>
          <w:szCs w:val="22"/>
          <w:highlight w:val="none"/>
          <w:lang w:eastAsia="zh-CN"/>
        </w:rPr>
        <w:t>辆清运车（</w:t>
      </w:r>
      <w:r>
        <w:rPr>
          <w:rFonts w:hint="eastAsia" w:ascii="宋体" w:hAnsi="宋体"/>
          <w:b/>
          <w:color w:val="auto"/>
          <w:sz w:val="22"/>
          <w:szCs w:val="22"/>
          <w:highlight w:val="none"/>
          <w:lang w:val="en-US" w:eastAsia="zh-CN"/>
        </w:rPr>
        <w:t>甲供</w:t>
      </w:r>
      <w:r>
        <w:rPr>
          <w:rFonts w:hint="eastAsia" w:ascii="宋体" w:hAnsi="宋体"/>
          <w:b/>
          <w:color w:val="auto"/>
          <w:sz w:val="22"/>
          <w:szCs w:val="22"/>
          <w:highlight w:val="none"/>
          <w:lang w:eastAsia="zh-CN"/>
        </w:rPr>
        <w:t>）费用</w:t>
      </w:r>
    </w:p>
    <w:tbl>
      <w:tblPr>
        <w:tblStyle w:val="28"/>
        <w:tblpPr w:leftFromText="180" w:rightFromText="180" w:vertAnchor="text" w:tblpXSpec="center" w:tblpY="1"/>
        <w:tblOverlap w:val="never"/>
        <w:tblW w:w="110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2"/>
        <w:gridCol w:w="1000"/>
        <w:gridCol w:w="900"/>
        <w:gridCol w:w="1040"/>
        <w:gridCol w:w="743"/>
        <w:gridCol w:w="767"/>
        <w:gridCol w:w="1016"/>
        <w:gridCol w:w="1515"/>
        <w:gridCol w:w="1119"/>
        <w:gridCol w:w="1133"/>
        <w:gridCol w:w="1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blHead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序号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机动车所有人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车牌号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品牌型号</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排气量</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进口/国产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车型</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车架号</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发动机号</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登记日期</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主要用途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8"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灵昆街道办事处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浙C33825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银宝牌SYB5070TQXE4</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2"/>
                <w:szCs w:val="22"/>
                <w:highlight w:val="none"/>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国产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中型专业作业车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LWLDAAIG5DL050740</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40000506</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2014.2.24</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垃圾清洗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灵昆街道办事处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浙C33821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银宝牌SYB5070TCAE4</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2"/>
                <w:szCs w:val="22"/>
                <w:highlight w:val="none"/>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国产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中型特殊结构货车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LWLDAAIGIDL050766</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40000523</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2014.2.24</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垃圾清运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灵昆街道办事处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浙C33832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银宝牌SYB5070TCAE4</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2"/>
                <w:szCs w:val="22"/>
                <w:highlight w:val="none"/>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国产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中型特殊结构货车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LWLDAAIG9DL051373</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40000699</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2014.2.24</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垃圾清运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灵昆街道办事处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浙C33856</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银宝牌SYB5070TCAE4</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2"/>
                <w:szCs w:val="22"/>
                <w:highlight w:val="none"/>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国产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中型特殊结构货车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LWLDAAIG7DL051369</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40000715</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2014.2.24</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垃圾清运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灵昆街道办事处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浙CJ1238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中联牌ZLJ5162ZLJE4</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6.7L</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国产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重型自卸货车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LGAX2B12XF1023242</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78233368</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2015.12.23</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垃圾清运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灵昆街道办事处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浙Cj1259</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中联牌ZLJ5162ZLJE4</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6.7L</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国产</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重型自卸货车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LGAX2B124F1017498</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78215308</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2015.12.23</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垃圾清运</w:t>
            </w:r>
          </w:p>
        </w:tc>
      </w:tr>
    </w:tbl>
    <w:p>
      <w:pPr>
        <w:pStyle w:val="25"/>
        <w:keepNext w:val="0"/>
        <w:keepLines w:val="0"/>
        <w:pageBreakBefore w:val="0"/>
        <w:widowControl w:val="0"/>
        <w:kinsoku/>
        <w:wordWrap/>
        <w:overflowPunct/>
        <w:topLinePunct w:val="0"/>
        <w:autoSpaceDE/>
        <w:autoSpaceDN/>
        <w:bidi w:val="0"/>
        <w:adjustRightInd/>
        <w:spacing w:before="60" w:beforeAutospacing="0" w:after="0" w:afterAutospacing="0" w:line="360" w:lineRule="auto"/>
        <w:ind w:firstLine="440" w:firstLineChars="200"/>
        <w:jc w:val="left"/>
        <w:textAlignment w:val="auto"/>
        <w:rPr>
          <w:rFonts w:hint="default" w:ascii="宋体" w:hAnsi="宋体" w:eastAsia="宋体" w:cs="宋体"/>
          <w:b w:val="0"/>
          <w:bCs/>
          <w:color w:val="auto"/>
          <w:sz w:val="22"/>
          <w:szCs w:val="22"/>
          <w:highlight w:val="none"/>
          <w:u w:val="single"/>
          <w:lang w:val="en-US"/>
        </w:rPr>
      </w:pPr>
      <w:r>
        <w:rPr>
          <w:rFonts w:hint="eastAsia" w:ascii="宋体" w:hAnsi="宋体"/>
          <w:b w:val="0"/>
          <w:bCs/>
          <w:color w:val="auto"/>
          <w:sz w:val="22"/>
          <w:szCs w:val="22"/>
          <w:highlight w:val="none"/>
          <w:lang w:val="en-US" w:eastAsia="zh-CN"/>
        </w:rPr>
        <w:t>六</w:t>
      </w:r>
      <w:r>
        <w:rPr>
          <w:rFonts w:hint="eastAsia" w:ascii="宋体" w:hAnsi="宋体"/>
          <w:b w:val="0"/>
          <w:bCs/>
          <w:color w:val="auto"/>
          <w:sz w:val="22"/>
          <w:szCs w:val="22"/>
          <w:highlight w:val="none"/>
          <w:lang w:eastAsia="zh-CN"/>
        </w:rPr>
        <w:t>辆清运车（</w:t>
      </w:r>
      <w:r>
        <w:rPr>
          <w:rFonts w:hint="eastAsia" w:ascii="宋体" w:hAnsi="宋体"/>
          <w:b w:val="0"/>
          <w:bCs/>
          <w:color w:val="auto"/>
          <w:sz w:val="22"/>
          <w:szCs w:val="22"/>
          <w:highlight w:val="none"/>
          <w:lang w:val="en-US" w:eastAsia="zh-CN"/>
        </w:rPr>
        <w:t>甲供</w:t>
      </w:r>
      <w:r>
        <w:rPr>
          <w:rFonts w:hint="eastAsia" w:ascii="宋体" w:hAnsi="宋体"/>
          <w:b w:val="0"/>
          <w:bCs/>
          <w:color w:val="auto"/>
          <w:sz w:val="22"/>
          <w:szCs w:val="22"/>
          <w:highlight w:val="none"/>
          <w:lang w:eastAsia="zh-CN"/>
        </w:rPr>
        <w:t>）</w:t>
      </w:r>
      <w:r>
        <w:rPr>
          <w:rFonts w:hint="eastAsia" w:ascii="宋体" w:hAnsi="宋体"/>
          <w:b w:val="0"/>
          <w:bCs/>
          <w:color w:val="auto"/>
          <w:sz w:val="22"/>
          <w:szCs w:val="22"/>
          <w:highlight w:val="none"/>
          <w:lang w:val="en-US" w:eastAsia="zh-CN"/>
        </w:rPr>
        <w:t>需按《灵昆街道垃圾清运车辆管理制度》执行（见附件），费用包含在投标报价中（含六</w:t>
      </w:r>
      <w:r>
        <w:rPr>
          <w:rFonts w:hint="eastAsia" w:ascii="宋体" w:hAnsi="宋体"/>
          <w:b w:val="0"/>
          <w:bCs/>
          <w:color w:val="auto"/>
          <w:sz w:val="22"/>
          <w:szCs w:val="22"/>
          <w:highlight w:val="none"/>
          <w:lang w:eastAsia="zh-CN"/>
        </w:rPr>
        <w:t>辆清运车</w:t>
      </w:r>
      <w:r>
        <w:rPr>
          <w:rFonts w:hint="eastAsia" w:ascii="宋体" w:hAnsi="宋体"/>
          <w:b w:val="0"/>
          <w:bCs/>
          <w:color w:val="auto"/>
          <w:sz w:val="22"/>
          <w:szCs w:val="22"/>
          <w:highlight w:val="none"/>
          <w:lang w:val="en-US" w:eastAsia="zh-CN"/>
        </w:rPr>
        <w:t>的维修费、年审费、油费等一切相关费用），实行实报实销，每年350000元封顶（如年费用超过350000元，当年按350000元支付），投标人需综合考虑。</w:t>
      </w:r>
    </w:p>
    <w:p>
      <w:pPr>
        <w:keepNext w:val="0"/>
        <w:keepLines w:val="0"/>
        <w:pageBreakBefore w:val="0"/>
        <w:widowControl w:val="0"/>
        <w:kinsoku/>
        <w:wordWrap/>
        <w:overflowPunct/>
        <w:topLinePunct w:val="0"/>
        <w:autoSpaceDE/>
        <w:autoSpaceDN/>
        <w:bidi w:val="0"/>
        <w:adjustRightInd/>
        <w:snapToGrid/>
        <w:spacing w:beforeAutospacing="0" w:line="360" w:lineRule="auto"/>
        <w:ind w:left="0" w:firstLine="442" w:firstLineChars="200"/>
        <w:textAlignment w:val="auto"/>
        <w:rPr>
          <w:rFonts w:hint="eastAsia" w:ascii="宋体" w:hAnsi="宋体"/>
          <w:b/>
          <w:color w:val="auto"/>
          <w:sz w:val="22"/>
          <w:szCs w:val="22"/>
          <w:highlight w:val="none"/>
          <w:lang w:eastAsia="zh-CN"/>
        </w:rPr>
      </w:pPr>
      <w:r>
        <w:rPr>
          <w:rFonts w:hint="eastAsia" w:ascii="宋体" w:hAnsi="宋体"/>
          <w:b/>
          <w:color w:val="auto"/>
          <w:sz w:val="22"/>
          <w:szCs w:val="22"/>
          <w:highlight w:val="none"/>
          <w:lang w:eastAsia="zh-CN"/>
        </w:rPr>
        <w:t>六、其他</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16" w:firstLineChars="200"/>
        <w:jc w:val="left"/>
        <w:textAlignment w:val="auto"/>
        <w:rPr>
          <w:rFonts w:hint="eastAsia" w:ascii="宋体" w:hAnsi="宋体" w:eastAsia="宋体" w:cs="宋体"/>
          <w:b w:val="0"/>
          <w:bCs w:val="0"/>
          <w:color w:val="auto"/>
          <w:spacing w:val="-6"/>
          <w:sz w:val="22"/>
          <w:szCs w:val="22"/>
          <w:highlight w:val="none"/>
        </w:rPr>
      </w:pPr>
      <w:r>
        <w:rPr>
          <w:rFonts w:hint="eastAsia" w:ascii="宋体" w:hAnsi="宋体" w:eastAsia="宋体" w:cs="宋体"/>
          <w:b w:val="0"/>
          <w:bCs w:val="0"/>
          <w:color w:val="auto"/>
          <w:spacing w:val="-6"/>
          <w:sz w:val="22"/>
          <w:szCs w:val="22"/>
          <w:highlight w:val="none"/>
        </w:rPr>
        <w:t>1.除招标文件中所明确的采购需求外，欢迎其他能满足本项目采购需求且性能相当于或高于所明确采购需求的产品参加投标报价。同时在采购需求偏离表中作出详细对比说明。</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16" w:firstLineChars="200"/>
        <w:jc w:val="left"/>
        <w:textAlignment w:val="auto"/>
        <w:rPr>
          <w:rFonts w:hint="eastAsia" w:ascii="宋体" w:hAnsi="宋体" w:eastAsia="宋体" w:cs="宋体"/>
          <w:b w:val="0"/>
          <w:bCs w:val="0"/>
          <w:color w:val="auto"/>
          <w:spacing w:val="-6"/>
          <w:sz w:val="22"/>
          <w:szCs w:val="22"/>
          <w:highlight w:val="none"/>
        </w:rPr>
      </w:pPr>
      <w:r>
        <w:rPr>
          <w:rFonts w:hint="eastAsia" w:ascii="宋体" w:hAnsi="宋体" w:eastAsia="宋体" w:cs="宋体"/>
          <w:b w:val="0"/>
          <w:bCs w:val="0"/>
          <w:color w:val="auto"/>
          <w:spacing w:val="-6"/>
          <w:sz w:val="22"/>
          <w:szCs w:val="22"/>
          <w:highlight w:val="none"/>
        </w:rPr>
        <w:t>2.带“▲且加下划线”的有关技术和商务条款为实质性条款，投标人必须做出实质性响应，否则视为投标无效。</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16" w:firstLineChars="200"/>
        <w:jc w:val="left"/>
        <w:textAlignment w:val="auto"/>
        <w:rPr>
          <w:rFonts w:hint="eastAsia" w:ascii="宋体" w:hAnsi="宋体" w:eastAsia="宋体" w:cs="宋体"/>
          <w:b w:val="0"/>
          <w:bCs w:val="0"/>
          <w:color w:val="auto"/>
          <w:spacing w:val="-6"/>
          <w:sz w:val="22"/>
          <w:szCs w:val="22"/>
          <w:highlight w:val="none"/>
        </w:rPr>
      </w:pPr>
      <w:r>
        <w:rPr>
          <w:rFonts w:hint="eastAsia" w:ascii="宋体" w:hAnsi="宋体" w:eastAsia="宋体" w:cs="宋体"/>
          <w:b w:val="0"/>
          <w:bCs w:val="0"/>
          <w:color w:val="auto"/>
          <w:spacing w:val="-6"/>
          <w:sz w:val="22"/>
          <w:szCs w:val="22"/>
          <w:highlight w:val="none"/>
        </w:rPr>
        <w:t>3.如技术部分中未特别注明需执行的国家相关标准、行业标准、地方标准或者其他标准、规范，则统一执行最新标准、规范。</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16" w:firstLineChars="200"/>
        <w:jc w:val="left"/>
        <w:textAlignment w:val="auto"/>
        <w:rPr>
          <w:rFonts w:hint="eastAsia" w:ascii="宋体" w:hAnsi="宋体" w:eastAsia="宋体" w:cs="宋体"/>
          <w:b w:val="0"/>
          <w:bCs w:val="0"/>
          <w:color w:val="auto"/>
          <w:spacing w:val="-6"/>
          <w:sz w:val="22"/>
          <w:szCs w:val="22"/>
          <w:highlight w:val="none"/>
        </w:rPr>
      </w:pPr>
      <w:r>
        <w:rPr>
          <w:rFonts w:hint="eastAsia" w:ascii="宋体" w:hAnsi="宋体" w:eastAsia="宋体" w:cs="宋体"/>
          <w:b w:val="0"/>
          <w:bCs w:val="0"/>
          <w:color w:val="auto"/>
          <w:spacing w:val="-6"/>
          <w:sz w:val="22"/>
          <w:szCs w:val="22"/>
          <w:highlight w:val="none"/>
        </w:rPr>
        <w:t>4.技术部分中需要提供的证明材料有有效期的必须在有效期内，否则视为未提供。</w:t>
      </w:r>
    </w:p>
    <w:p>
      <w:pPr>
        <w:keepNext w:val="0"/>
        <w:keepLines w:val="0"/>
        <w:pageBreakBefore w:val="0"/>
        <w:kinsoku/>
        <w:wordWrap/>
        <w:topLinePunct w:val="0"/>
        <w:bidi w:val="0"/>
        <w:snapToGrid w:val="0"/>
        <w:spacing w:line="360" w:lineRule="exact"/>
        <w:ind w:left="0" w:leftChars="0"/>
        <w:jc w:val="center"/>
        <w:rPr>
          <w:rFonts w:hint="eastAsia" w:ascii="宋体" w:hAnsi="宋体" w:eastAsia="宋体" w:cs="宋体"/>
          <w:b/>
          <w:color w:val="auto"/>
          <w:sz w:val="22"/>
          <w:szCs w:val="22"/>
          <w:highlight w:val="none"/>
        </w:rPr>
      </w:pPr>
    </w:p>
    <w:p>
      <w:pPr>
        <w:keepNext w:val="0"/>
        <w:keepLines w:val="0"/>
        <w:pageBreakBefore w:val="0"/>
        <w:kinsoku/>
        <w:wordWrap/>
        <w:topLinePunct w:val="0"/>
        <w:bidi w:val="0"/>
        <w:snapToGrid w:val="0"/>
        <w:spacing w:line="360" w:lineRule="exact"/>
        <w:ind w:left="0" w:leftChars="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br w:type="page"/>
      </w:r>
    </w:p>
    <w:p>
      <w:pPr>
        <w:widowControl/>
        <w:spacing w:line="600" w:lineRule="exact"/>
        <w:jc w:val="both"/>
        <w:textAlignment w:val="center"/>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附</w:t>
      </w:r>
      <w:r>
        <w:rPr>
          <w:rFonts w:hint="eastAsia" w:ascii="宋体" w:hAnsi="宋体" w:cs="宋体"/>
          <w:b w:val="0"/>
          <w:bCs w:val="0"/>
          <w:color w:val="auto"/>
          <w:sz w:val="22"/>
          <w:szCs w:val="22"/>
          <w:highlight w:val="none"/>
          <w:lang w:val="en-US" w:eastAsia="zh-CN"/>
        </w:rPr>
        <w:t>件</w:t>
      </w:r>
      <w:r>
        <w:rPr>
          <w:rFonts w:hint="eastAsia" w:ascii="宋体" w:hAnsi="宋体" w:eastAsia="宋体" w:cs="宋体"/>
          <w:b w:val="0"/>
          <w:bCs w:val="0"/>
          <w:color w:val="auto"/>
          <w:sz w:val="22"/>
          <w:szCs w:val="22"/>
          <w:highlight w:val="none"/>
          <w:lang w:val="en-US" w:eastAsia="zh-CN"/>
        </w:rPr>
        <w:t>：</w:t>
      </w:r>
    </w:p>
    <w:p>
      <w:pPr>
        <w:jc w:val="center"/>
        <w:rPr>
          <w:rFonts w:hint="eastAsia" w:ascii="宋体" w:hAnsi="宋体" w:eastAsia="宋体" w:cs="宋体"/>
          <w:b/>
          <w:bCs w:val="0"/>
          <w:color w:val="auto"/>
          <w:sz w:val="32"/>
          <w:szCs w:val="32"/>
          <w:highlight w:val="none"/>
          <w:lang w:eastAsia="zh-CN"/>
        </w:rPr>
      </w:pPr>
      <w:r>
        <w:rPr>
          <w:rFonts w:hint="eastAsia" w:ascii="宋体" w:hAnsi="宋体" w:eastAsia="宋体" w:cs="宋体"/>
          <w:b/>
          <w:bCs w:val="0"/>
          <w:color w:val="auto"/>
          <w:sz w:val="32"/>
          <w:szCs w:val="32"/>
          <w:highlight w:val="none"/>
          <w:lang w:eastAsia="zh-CN"/>
        </w:rPr>
        <w:t>灵昆街道垃圾清运车辆管理制度</w:t>
      </w:r>
    </w:p>
    <w:p>
      <w:pPr>
        <w:keepNext w:val="0"/>
        <w:keepLines w:val="0"/>
        <w:pageBreakBefore w:val="0"/>
        <w:widowControl/>
        <w:kinsoku/>
        <w:wordWrap/>
        <w:overflowPunct/>
        <w:topLinePunct w:val="0"/>
        <w:autoSpaceDE/>
        <w:autoSpaceDN/>
        <w:bidi w:val="0"/>
        <w:adjustRightInd/>
        <w:snapToGrid/>
        <w:ind w:firstLine="440" w:firstLineChars="200"/>
        <w:jc w:val="left"/>
        <w:textAlignment w:val="auto"/>
        <w:rPr>
          <w:rFonts w:hint="eastAsia" w:ascii="宋体" w:hAnsi="宋体" w:eastAsia="宋体" w:cs="宋体"/>
          <w:color w:val="auto"/>
          <w:sz w:val="22"/>
          <w:szCs w:val="22"/>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为加强</w:t>
      </w:r>
      <w:r>
        <w:rPr>
          <w:rFonts w:hint="eastAsia" w:ascii="宋体" w:hAnsi="宋体" w:eastAsia="宋体" w:cs="宋体"/>
          <w:color w:val="auto"/>
          <w:sz w:val="22"/>
          <w:szCs w:val="22"/>
          <w:highlight w:val="none"/>
          <w:lang w:eastAsia="zh-CN"/>
        </w:rPr>
        <w:t>灵昆街道</w:t>
      </w:r>
      <w:r>
        <w:rPr>
          <w:rFonts w:hint="eastAsia" w:ascii="宋体" w:hAnsi="宋体" w:eastAsia="宋体" w:cs="宋体"/>
          <w:color w:val="auto"/>
          <w:sz w:val="22"/>
          <w:szCs w:val="22"/>
          <w:highlight w:val="none"/>
        </w:rPr>
        <w:t>环境卫生专用车辆的管理，保证道路清扫和垃圾清运的正常进行，制定本规定。</w:t>
      </w:r>
    </w:p>
    <w:p>
      <w:pPr>
        <w:keepNext w:val="0"/>
        <w:keepLines w:val="0"/>
        <w:pageBreakBefore w:val="0"/>
        <w:widowControl/>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本规定适用于</w:t>
      </w:r>
      <w:r>
        <w:rPr>
          <w:rFonts w:hint="eastAsia" w:ascii="宋体" w:hAnsi="宋体" w:eastAsia="宋体" w:cs="宋体"/>
          <w:color w:val="auto"/>
          <w:sz w:val="22"/>
          <w:szCs w:val="22"/>
          <w:highlight w:val="none"/>
          <w:lang w:eastAsia="zh-CN"/>
        </w:rPr>
        <w:t>灵昆街道</w:t>
      </w:r>
      <w:r>
        <w:rPr>
          <w:rFonts w:hint="eastAsia" w:ascii="宋体" w:hAnsi="宋体" w:eastAsia="宋体" w:cs="宋体"/>
          <w:color w:val="auto"/>
          <w:sz w:val="22"/>
          <w:szCs w:val="22"/>
          <w:highlight w:val="none"/>
        </w:rPr>
        <w:t>环境卫生专用车辆的管理</w:t>
      </w:r>
    </w:p>
    <w:p>
      <w:pPr>
        <w:keepNext w:val="0"/>
        <w:keepLines w:val="0"/>
        <w:pageBreakBefore w:val="0"/>
        <w:widowControl/>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第</w:t>
      </w:r>
      <w:r>
        <w:rPr>
          <w:rFonts w:hint="eastAsia" w:ascii="宋体" w:hAnsi="宋体" w:eastAsia="宋体" w:cs="宋体"/>
          <w:color w:val="auto"/>
          <w:sz w:val="22"/>
          <w:szCs w:val="22"/>
          <w:highlight w:val="none"/>
          <w:lang w:eastAsia="zh-CN"/>
        </w:rPr>
        <w:t>一</w:t>
      </w:r>
      <w:r>
        <w:rPr>
          <w:rFonts w:hint="eastAsia" w:ascii="宋体" w:hAnsi="宋体" w:eastAsia="宋体" w:cs="宋体"/>
          <w:color w:val="auto"/>
          <w:sz w:val="22"/>
          <w:szCs w:val="22"/>
          <w:highlight w:val="none"/>
        </w:rPr>
        <w:t>条：车辆的使用、保养、修理</w:t>
      </w:r>
    </w:p>
    <w:p>
      <w:pPr>
        <w:keepNext w:val="0"/>
        <w:keepLines w:val="0"/>
        <w:pageBreakBefore w:val="0"/>
        <w:widowControl/>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（一）环境卫生专用车辆</w:t>
      </w:r>
      <w:r>
        <w:rPr>
          <w:rFonts w:hint="eastAsia" w:ascii="宋体" w:hAnsi="宋体" w:eastAsia="宋体" w:cs="宋体"/>
          <w:color w:val="auto"/>
          <w:sz w:val="22"/>
          <w:szCs w:val="22"/>
          <w:highlight w:val="none"/>
          <w:lang w:eastAsia="zh-CN"/>
        </w:rPr>
        <w:t>单位</w:t>
      </w:r>
      <w:r>
        <w:rPr>
          <w:rFonts w:hint="eastAsia" w:ascii="宋体" w:hAnsi="宋体" w:eastAsia="宋体" w:cs="宋体"/>
          <w:color w:val="auto"/>
          <w:sz w:val="22"/>
          <w:szCs w:val="22"/>
          <w:highlight w:val="none"/>
        </w:rPr>
        <w:t>购置新车后，应当进行一次保养调整，并组织技术人员、驾驶人员学习掌握新车的性能及安全技术操作规程。</w:t>
      </w:r>
    </w:p>
    <w:p>
      <w:pPr>
        <w:keepNext w:val="0"/>
        <w:keepLines w:val="0"/>
        <w:pageBreakBefore w:val="0"/>
        <w:widowControl/>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（二）环境卫生专用车辆应当设有明显的专用标志</w:t>
      </w:r>
      <w:r>
        <w:rPr>
          <w:rFonts w:hint="eastAsia" w:ascii="宋体" w:hAnsi="宋体" w:eastAsia="宋体" w:cs="宋体"/>
          <w:color w:val="auto"/>
          <w:sz w:val="22"/>
          <w:szCs w:val="22"/>
          <w:highlight w:val="none"/>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（三）环境卫生专用车辆的运营，应当遵守道路交通管理的有关规定。</w:t>
      </w:r>
    </w:p>
    <w:p>
      <w:pPr>
        <w:keepNext w:val="0"/>
        <w:keepLines w:val="0"/>
        <w:pageBreakBefore w:val="0"/>
        <w:widowControl/>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（四）环境卫生专用车辆投入使用，必须外观整洁、装备齐全，并符合国家规定的安全技术标</w:t>
      </w:r>
      <w:r>
        <w:rPr>
          <w:rFonts w:hint="eastAsia" w:ascii="宋体" w:hAnsi="宋体" w:eastAsia="宋体" w:cs="宋体"/>
          <w:color w:val="auto"/>
          <w:sz w:val="22"/>
          <w:szCs w:val="22"/>
          <w:highlight w:val="none"/>
          <w:lang w:eastAsia="zh-CN"/>
        </w:rPr>
        <w:t>准。</w:t>
      </w:r>
    </w:p>
    <w:p>
      <w:pPr>
        <w:keepNext w:val="0"/>
        <w:keepLines w:val="0"/>
        <w:pageBreakBefore w:val="0"/>
        <w:widowControl/>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（五）环境卫生专用车辆的使用，应当</w:t>
      </w:r>
      <w:r>
        <w:rPr>
          <w:rFonts w:hint="eastAsia" w:ascii="宋体" w:hAnsi="宋体" w:eastAsia="宋体" w:cs="宋体"/>
          <w:color w:val="auto"/>
          <w:sz w:val="22"/>
          <w:szCs w:val="22"/>
          <w:highlight w:val="none"/>
          <w:lang w:eastAsia="zh-CN"/>
        </w:rPr>
        <w:t>做到定位</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rPr>
        <w:t>定车、定人</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u w:val="none"/>
          <w:lang w:val="en-US" w:eastAsia="zh-CN"/>
        </w:rPr>
        <w:t>其中一辆冲洗车因限高问题，允许停放在叶先村委会)</w:t>
      </w:r>
      <w:r>
        <w:rPr>
          <w:rFonts w:hint="eastAsia" w:ascii="宋体" w:hAnsi="宋体" w:eastAsia="宋体" w:cs="宋体"/>
          <w:color w:val="auto"/>
          <w:sz w:val="22"/>
          <w:szCs w:val="22"/>
          <w:highlight w:val="none"/>
          <w:u w:val="none"/>
        </w:rPr>
        <w:t>。</w:t>
      </w:r>
      <w:r>
        <w:rPr>
          <w:rFonts w:hint="eastAsia" w:ascii="宋体" w:hAnsi="宋体" w:eastAsia="宋体" w:cs="宋体"/>
          <w:color w:val="auto"/>
          <w:sz w:val="22"/>
          <w:szCs w:val="22"/>
          <w:highlight w:val="none"/>
        </w:rPr>
        <w:t>任何人不得擅自改变车辆的使用规定。</w:t>
      </w:r>
    </w:p>
    <w:p>
      <w:pPr>
        <w:keepNext w:val="0"/>
        <w:keepLines w:val="0"/>
        <w:pageBreakBefore w:val="0"/>
        <w:widowControl/>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（六）环境卫生专</w:t>
      </w:r>
      <w:r>
        <w:rPr>
          <w:rFonts w:hint="eastAsia" w:ascii="宋体" w:hAnsi="宋体" w:eastAsia="宋体" w:cs="宋体"/>
          <w:color w:val="auto"/>
          <w:sz w:val="22"/>
          <w:szCs w:val="22"/>
          <w:highlight w:val="none"/>
          <w:u w:val="none"/>
        </w:rPr>
        <w:t>用车辆</w:t>
      </w:r>
      <w:r>
        <w:rPr>
          <w:rFonts w:hint="eastAsia" w:ascii="宋体" w:hAnsi="宋体" w:eastAsia="宋体" w:cs="宋体"/>
          <w:color w:val="auto"/>
          <w:sz w:val="22"/>
          <w:szCs w:val="22"/>
          <w:highlight w:val="none"/>
          <w:u w:val="none"/>
          <w:lang w:eastAsia="zh-CN"/>
        </w:rPr>
        <w:t>单位</w:t>
      </w:r>
      <w:r>
        <w:rPr>
          <w:rFonts w:hint="eastAsia" w:ascii="宋体" w:hAnsi="宋体" w:eastAsia="宋体" w:cs="宋体"/>
          <w:color w:val="auto"/>
          <w:sz w:val="22"/>
          <w:szCs w:val="22"/>
          <w:highlight w:val="none"/>
        </w:rPr>
        <w:t>应当建立健全车辆保养和修理质量保证体系。</w:t>
      </w:r>
    </w:p>
    <w:p>
      <w:pPr>
        <w:keepNext w:val="0"/>
        <w:keepLines w:val="0"/>
        <w:pageBreakBefore w:val="0"/>
        <w:widowControl/>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（七）车辆驾驶人员应当认真执行</w:t>
      </w:r>
      <w:r>
        <w:rPr>
          <w:rFonts w:hint="eastAsia" w:ascii="宋体" w:hAnsi="宋体" w:eastAsia="宋体" w:cs="宋体"/>
          <w:color w:val="auto"/>
          <w:sz w:val="22"/>
          <w:szCs w:val="22"/>
          <w:highlight w:val="none"/>
          <w:lang w:eastAsia="zh-CN"/>
        </w:rPr>
        <w:t>，比如</w:t>
      </w:r>
      <w:r>
        <w:rPr>
          <w:rFonts w:hint="eastAsia" w:ascii="宋体" w:hAnsi="宋体" w:eastAsia="宋体" w:cs="宋体"/>
          <w:color w:val="auto"/>
          <w:sz w:val="22"/>
          <w:szCs w:val="22"/>
          <w:highlight w:val="none"/>
        </w:rPr>
        <w:t>出车前、行驶途中和收车后的保养检查。车辆发生故障后，应当及时进行修理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并</w:t>
      </w:r>
      <w:r>
        <w:rPr>
          <w:rFonts w:hint="eastAsia" w:ascii="宋体" w:hAnsi="宋体" w:eastAsia="宋体" w:cs="宋体"/>
          <w:color w:val="auto"/>
          <w:sz w:val="22"/>
          <w:szCs w:val="22"/>
          <w:highlight w:val="none"/>
          <w:lang w:eastAsia="zh-CN"/>
        </w:rPr>
        <w:t>及时上报街道城管办等相关科室备案。</w:t>
      </w:r>
    </w:p>
    <w:p>
      <w:pPr>
        <w:keepNext w:val="0"/>
        <w:keepLines w:val="0"/>
        <w:pageBreakBefore w:val="0"/>
        <w:widowControl/>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第</w:t>
      </w:r>
      <w:r>
        <w:rPr>
          <w:rFonts w:hint="eastAsia" w:ascii="宋体" w:hAnsi="宋体" w:eastAsia="宋体" w:cs="宋体"/>
          <w:color w:val="auto"/>
          <w:sz w:val="22"/>
          <w:szCs w:val="22"/>
          <w:highlight w:val="none"/>
          <w:lang w:eastAsia="zh-CN"/>
        </w:rPr>
        <w:t>二</w:t>
      </w:r>
      <w:r>
        <w:rPr>
          <w:rFonts w:hint="eastAsia" w:ascii="宋体" w:hAnsi="宋体" w:eastAsia="宋体" w:cs="宋体"/>
          <w:color w:val="auto"/>
          <w:sz w:val="22"/>
          <w:szCs w:val="22"/>
          <w:highlight w:val="none"/>
        </w:rPr>
        <w:t>条：</w:t>
      </w:r>
      <w:r>
        <w:rPr>
          <w:rFonts w:hint="eastAsia" w:ascii="宋体" w:hAnsi="宋体" w:eastAsia="宋体" w:cs="宋体"/>
          <w:color w:val="auto"/>
          <w:sz w:val="22"/>
          <w:szCs w:val="22"/>
          <w:highlight w:val="none"/>
          <w:lang w:eastAsia="zh-CN"/>
        </w:rPr>
        <w:t>人员管理</w:t>
      </w:r>
    </w:p>
    <w:p>
      <w:pPr>
        <w:keepNext w:val="0"/>
        <w:keepLines w:val="0"/>
        <w:pageBreakBefore w:val="0"/>
        <w:widowControl/>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1.司机和装卸工必须按规定着装，佩戴好劳动保护用品，树立和保持良好形象。</w:t>
      </w:r>
    </w:p>
    <w:p>
      <w:pPr>
        <w:keepNext w:val="0"/>
        <w:keepLines w:val="0"/>
        <w:pageBreakBefore w:val="0"/>
        <w:widowControl/>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2.司机</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装卸工必须经过培训</w:t>
      </w:r>
      <w:r>
        <w:rPr>
          <w:rFonts w:hint="eastAsia" w:ascii="宋体" w:hAnsi="宋体" w:eastAsia="宋体" w:cs="宋体"/>
          <w:color w:val="auto"/>
          <w:sz w:val="22"/>
          <w:szCs w:val="22"/>
          <w:highlight w:val="none"/>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3.司机必须严格遵守交通法规，安全驾驶，文明行车。严禁违章驾驶，自负违章罚款。</w:t>
      </w:r>
    </w:p>
    <w:p>
      <w:pPr>
        <w:keepNext w:val="0"/>
        <w:keepLines w:val="0"/>
        <w:pageBreakBefore w:val="0"/>
        <w:widowControl/>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司机进入作业现场要了解和熟悉作业现场状况，做好风险识别和风险评估，特别是进车和倒车要加强嘹望，防止刮碰事件发生；装卸工专门配合作业现场进车和倒车嘹望；如发生交通肇事，按照有关部门认定责任，依照</w:t>
      </w:r>
      <w:r>
        <w:rPr>
          <w:rFonts w:hint="eastAsia" w:ascii="宋体" w:hAnsi="宋体" w:eastAsia="宋体" w:cs="宋体"/>
          <w:color w:val="auto"/>
          <w:sz w:val="22"/>
          <w:szCs w:val="22"/>
          <w:highlight w:val="none"/>
          <w:u w:val="none"/>
          <w:lang w:eastAsia="zh-CN"/>
        </w:rPr>
        <w:t>本单位</w:t>
      </w:r>
      <w:r>
        <w:rPr>
          <w:rFonts w:hint="eastAsia" w:ascii="宋体" w:hAnsi="宋体" w:eastAsia="宋体" w:cs="宋体"/>
          <w:color w:val="auto"/>
          <w:sz w:val="22"/>
          <w:szCs w:val="22"/>
          <w:highlight w:val="none"/>
          <w:u w:val="none"/>
        </w:rPr>
        <w:t>相</w:t>
      </w:r>
      <w:r>
        <w:rPr>
          <w:rFonts w:hint="eastAsia" w:ascii="宋体" w:hAnsi="宋体" w:eastAsia="宋体" w:cs="宋体"/>
          <w:color w:val="auto"/>
          <w:sz w:val="22"/>
          <w:szCs w:val="22"/>
          <w:highlight w:val="none"/>
        </w:rPr>
        <w:t>关规</w:t>
      </w:r>
      <w:r>
        <w:rPr>
          <w:rFonts w:hint="eastAsia" w:ascii="宋体" w:hAnsi="宋体" w:eastAsia="宋体" w:cs="宋体"/>
          <w:color w:val="auto"/>
          <w:sz w:val="22"/>
          <w:szCs w:val="22"/>
          <w:highlight w:val="none"/>
          <w:lang w:eastAsia="zh-CN"/>
        </w:rPr>
        <w:t>定对负责人进行处理。</w:t>
      </w:r>
    </w:p>
    <w:p>
      <w:pPr>
        <w:keepNext w:val="0"/>
        <w:keepLines w:val="0"/>
        <w:pageBreakBefore w:val="0"/>
        <w:widowControl/>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lang w:eastAsia="zh-CN"/>
        </w:rPr>
        <w:t>.司机必须按规定区域和线路停车，不得私自更改行车路线，如有特殊情况，必须事先请示，批准后方可更改行车路线，否则视为私出车，给予严肃处理。</w:t>
      </w:r>
    </w:p>
    <w:p>
      <w:pPr>
        <w:keepNext w:val="0"/>
        <w:keepLines w:val="0"/>
        <w:pageBreakBefore w:val="0"/>
        <w:widowControl/>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lang w:eastAsia="zh-CN"/>
        </w:rPr>
        <w:t>.司机不准在生活区内私停车，乱占道，乱鸣笛，不准大声喧哗，不准干扰居民正常生活。</w:t>
      </w:r>
    </w:p>
    <w:p>
      <w:pPr>
        <w:keepNext w:val="0"/>
        <w:keepLines w:val="0"/>
        <w:pageBreakBefore w:val="0"/>
        <w:widowControl/>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6</w:t>
      </w:r>
      <w:r>
        <w:rPr>
          <w:rFonts w:hint="eastAsia" w:ascii="宋体" w:hAnsi="宋体" w:eastAsia="宋体" w:cs="宋体"/>
          <w:color w:val="auto"/>
          <w:sz w:val="22"/>
          <w:szCs w:val="22"/>
          <w:highlight w:val="none"/>
          <w:lang w:eastAsia="zh-CN"/>
        </w:rPr>
        <w:t>.司机必须在指定加油站持卡加油，无特殊情况，不准在非定点加油站加油，否则不予报销。司机要节约用油。</w:t>
      </w:r>
    </w:p>
    <w:p>
      <w:pPr>
        <w:keepNext w:val="0"/>
        <w:keepLines w:val="0"/>
        <w:pageBreakBefore w:val="0"/>
        <w:widowControl/>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第</w:t>
      </w:r>
      <w:r>
        <w:rPr>
          <w:rFonts w:hint="eastAsia" w:ascii="宋体" w:hAnsi="宋体" w:eastAsia="宋体" w:cs="宋体"/>
          <w:color w:val="auto"/>
          <w:sz w:val="22"/>
          <w:szCs w:val="22"/>
          <w:highlight w:val="none"/>
          <w:lang w:eastAsia="zh-CN"/>
        </w:rPr>
        <w:t>三</w:t>
      </w:r>
      <w:r>
        <w:rPr>
          <w:rFonts w:hint="eastAsia" w:ascii="宋体" w:hAnsi="宋体" w:eastAsia="宋体" w:cs="宋体"/>
          <w:color w:val="auto"/>
          <w:sz w:val="22"/>
          <w:szCs w:val="22"/>
          <w:highlight w:val="none"/>
        </w:rPr>
        <w:t>条</w:t>
      </w:r>
      <w:r>
        <w:rPr>
          <w:rFonts w:hint="eastAsia" w:ascii="宋体" w:hAnsi="宋体" w:eastAsia="宋体" w:cs="宋体"/>
          <w:color w:val="auto"/>
          <w:sz w:val="22"/>
          <w:szCs w:val="22"/>
          <w:highlight w:val="none"/>
          <w:lang w:eastAsia="zh-CN"/>
        </w:rPr>
        <w:t>：车辆保养、修理等费用制度</w:t>
      </w:r>
    </w:p>
    <w:p>
      <w:pPr>
        <w:keepNext w:val="0"/>
        <w:keepLines w:val="0"/>
        <w:pageBreakBefore w:val="0"/>
        <w:widowControl/>
        <w:numPr>
          <w:ilvl w:val="0"/>
          <w:numId w:val="21"/>
        </w:numPr>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燃油费：街道根据实际情况，指定点在</w:t>
      </w:r>
      <w:r>
        <w:rPr>
          <w:rFonts w:hint="eastAsia" w:ascii="宋体" w:hAnsi="宋体" w:eastAsia="宋体" w:cs="宋体"/>
          <w:color w:val="auto"/>
          <w:sz w:val="22"/>
          <w:szCs w:val="22"/>
          <w:highlight w:val="none"/>
          <w:u w:val="none"/>
          <w:lang w:val="en-US" w:eastAsia="zh-CN"/>
        </w:rPr>
        <w:t>中国石油加油</w:t>
      </w:r>
      <w:r>
        <w:rPr>
          <w:rFonts w:hint="eastAsia" w:ascii="宋体" w:hAnsi="宋体" w:eastAsia="宋体" w:cs="宋体"/>
          <w:color w:val="auto"/>
          <w:sz w:val="22"/>
          <w:szCs w:val="22"/>
          <w:highlight w:val="none"/>
          <w:lang w:val="en-US" w:eastAsia="zh-CN"/>
        </w:rPr>
        <w:t>站，凭加油明细单及发票，每两个月报销一次。</w:t>
      </w:r>
    </w:p>
    <w:p>
      <w:pPr>
        <w:keepNext w:val="0"/>
        <w:keepLines w:val="0"/>
        <w:pageBreakBefore w:val="0"/>
        <w:widowControl/>
        <w:numPr>
          <w:ilvl w:val="0"/>
          <w:numId w:val="21"/>
        </w:numPr>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修车类：指定点在翔达汽车维修服务有限公司，凭灵昆街道车辆维修申请表（附件</w:t>
      </w:r>
      <w:r>
        <w:rPr>
          <w:rFonts w:hint="eastAsia" w:ascii="宋体" w:hAnsi="宋体" w:cs="宋体"/>
          <w:color w:val="auto"/>
          <w:sz w:val="22"/>
          <w:szCs w:val="22"/>
          <w:highlight w:val="none"/>
          <w:lang w:val="en-US" w:eastAsia="zh-CN"/>
        </w:rPr>
        <w:t>一</w:t>
      </w:r>
      <w:r>
        <w:rPr>
          <w:rFonts w:hint="eastAsia" w:ascii="宋体" w:hAnsi="宋体" w:eastAsia="宋体" w:cs="宋体"/>
          <w:color w:val="auto"/>
          <w:sz w:val="22"/>
          <w:szCs w:val="22"/>
          <w:highlight w:val="none"/>
          <w:lang w:val="en-US" w:eastAsia="zh-CN"/>
        </w:rPr>
        <w:t>）及翔达汽车维修服务有限公司结算单，每季度报销一次。</w:t>
      </w:r>
    </w:p>
    <w:p>
      <w:pPr>
        <w:keepNext w:val="0"/>
        <w:keepLines w:val="0"/>
        <w:pageBreakBefore w:val="0"/>
        <w:widowControl/>
        <w:numPr>
          <w:ilvl w:val="0"/>
          <w:numId w:val="21"/>
        </w:numPr>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车轮胎修补及更换：指定点在翔达汽车维修服务有限公司，凭灵昆街道车辆轮胎更换及修补申报表（附件</w:t>
      </w:r>
      <w:r>
        <w:rPr>
          <w:rFonts w:hint="eastAsia" w:ascii="宋体" w:hAnsi="宋体" w:cs="宋体"/>
          <w:color w:val="auto"/>
          <w:sz w:val="22"/>
          <w:szCs w:val="22"/>
          <w:highlight w:val="none"/>
          <w:lang w:val="en-US" w:eastAsia="zh-CN"/>
        </w:rPr>
        <w:t>二</w:t>
      </w:r>
      <w:r>
        <w:rPr>
          <w:rFonts w:hint="eastAsia" w:ascii="宋体" w:hAnsi="宋体" w:eastAsia="宋体" w:cs="宋体"/>
          <w:color w:val="auto"/>
          <w:sz w:val="22"/>
          <w:szCs w:val="22"/>
          <w:highlight w:val="none"/>
          <w:lang w:val="en-US" w:eastAsia="zh-CN"/>
        </w:rPr>
        <w:t>）（由保洁单位负责人及街道城管办签字确认）。</w:t>
      </w:r>
    </w:p>
    <w:p>
      <w:pPr>
        <w:keepNext w:val="0"/>
        <w:keepLines w:val="0"/>
        <w:pageBreakBefore w:val="0"/>
        <w:widowControl/>
        <w:kinsoku/>
        <w:wordWrap/>
        <w:overflowPunct/>
        <w:topLinePunct w:val="0"/>
        <w:autoSpaceDE/>
        <w:autoSpaceDN/>
        <w:bidi w:val="0"/>
        <w:adjustRightInd/>
        <w:snapToGrid/>
        <w:spacing w:line="600" w:lineRule="exact"/>
        <w:ind w:firstLine="440" w:firstLineChars="200"/>
        <w:jc w:val="both"/>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第</w:t>
      </w:r>
      <w:r>
        <w:rPr>
          <w:rFonts w:hint="eastAsia" w:ascii="宋体" w:hAnsi="宋体" w:eastAsia="宋体" w:cs="宋体"/>
          <w:color w:val="auto"/>
          <w:sz w:val="22"/>
          <w:szCs w:val="22"/>
          <w:highlight w:val="none"/>
          <w:lang w:eastAsia="zh-CN"/>
        </w:rPr>
        <w:t>四</w:t>
      </w:r>
      <w:r>
        <w:rPr>
          <w:rFonts w:hint="eastAsia" w:ascii="宋体" w:hAnsi="宋体" w:eastAsia="宋体" w:cs="宋体"/>
          <w:color w:val="auto"/>
          <w:sz w:val="22"/>
          <w:szCs w:val="22"/>
          <w:highlight w:val="none"/>
        </w:rPr>
        <w:t>条：本制度</w:t>
      </w:r>
      <w:r>
        <w:rPr>
          <w:rFonts w:hint="eastAsia" w:ascii="宋体" w:hAnsi="宋体" w:eastAsia="宋体" w:cs="宋体"/>
          <w:color w:val="auto"/>
          <w:sz w:val="22"/>
          <w:szCs w:val="22"/>
          <w:highlight w:val="none"/>
          <w:lang w:eastAsia="zh-CN"/>
        </w:rPr>
        <w:t>由灵昆街道办事处</w:t>
      </w:r>
      <w:r>
        <w:rPr>
          <w:rFonts w:hint="eastAsia" w:ascii="宋体" w:hAnsi="宋体" w:eastAsia="宋体" w:cs="宋体"/>
          <w:color w:val="auto"/>
          <w:sz w:val="22"/>
          <w:szCs w:val="22"/>
          <w:highlight w:val="none"/>
        </w:rPr>
        <w:t>负责解释该制度，必要时可对该制度进行修改。</w:t>
      </w:r>
    </w:p>
    <w:p>
      <w:pPr>
        <w:jc w:val="left"/>
        <w:rPr>
          <w:rFonts w:hint="eastAsia" w:ascii="宋体" w:hAnsi="宋体" w:eastAsia="宋体" w:cs="宋体"/>
          <w:color w:val="auto"/>
          <w:sz w:val="22"/>
          <w:szCs w:val="22"/>
          <w:highlight w:val="none"/>
          <w:lang w:eastAsia="zh-CN"/>
        </w:rPr>
      </w:pPr>
    </w:p>
    <w:p>
      <w:pPr>
        <w:jc w:val="left"/>
        <w:rPr>
          <w:rFonts w:hint="eastAsia" w:ascii="宋体" w:hAnsi="宋体" w:eastAsia="宋体" w:cs="宋体"/>
          <w:color w:val="auto"/>
          <w:sz w:val="22"/>
          <w:szCs w:val="22"/>
          <w:highlight w:val="none"/>
          <w:lang w:eastAsia="zh-CN"/>
        </w:rPr>
      </w:pPr>
    </w:p>
    <w:p>
      <w:pPr>
        <w:jc w:val="left"/>
        <w:rPr>
          <w:rFonts w:hint="eastAsia" w:ascii="宋体" w:hAnsi="宋体" w:eastAsia="宋体" w:cs="宋体"/>
          <w:color w:val="auto"/>
          <w:sz w:val="22"/>
          <w:szCs w:val="22"/>
          <w:highlight w:val="none"/>
          <w:lang w:eastAsia="zh-CN"/>
        </w:rPr>
      </w:pPr>
    </w:p>
    <w:p>
      <w:pPr>
        <w:jc w:val="left"/>
        <w:rPr>
          <w:rFonts w:hint="eastAsia" w:ascii="宋体" w:hAnsi="宋体" w:eastAsia="宋体" w:cs="宋体"/>
          <w:color w:val="auto"/>
          <w:sz w:val="22"/>
          <w:szCs w:val="22"/>
          <w:highlight w:val="none"/>
          <w:lang w:eastAsia="zh-CN"/>
        </w:rPr>
      </w:pPr>
    </w:p>
    <w:p>
      <w:pPr>
        <w:jc w:val="left"/>
        <w:rPr>
          <w:rFonts w:hint="eastAsia" w:ascii="宋体" w:hAnsi="宋体" w:eastAsia="宋体" w:cs="宋体"/>
          <w:color w:val="auto"/>
          <w:sz w:val="22"/>
          <w:szCs w:val="22"/>
          <w:highlight w:val="none"/>
          <w:lang w:eastAsia="zh-CN"/>
        </w:rPr>
      </w:pPr>
    </w:p>
    <w:p>
      <w:pPr>
        <w:jc w:val="left"/>
        <w:rPr>
          <w:rFonts w:hint="eastAsia" w:ascii="宋体" w:hAnsi="宋体" w:eastAsia="宋体" w:cs="宋体"/>
          <w:color w:val="auto"/>
          <w:sz w:val="22"/>
          <w:szCs w:val="22"/>
          <w:highlight w:val="none"/>
          <w:lang w:eastAsia="zh-CN"/>
        </w:rPr>
      </w:pPr>
    </w:p>
    <w:p>
      <w:pPr>
        <w:jc w:val="left"/>
        <w:rPr>
          <w:rFonts w:hint="eastAsia" w:ascii="宋体" w:hAnsi="宋体" w:eastAsia="宋体" w:cs="宋体"/>
          <w:color w:val="auto"/>
          <w:sz w:val="22"/>
          <w:szCs w:val="22"/>
          <w:highlight w:val="none"/>
          <w:lang w:eastAsia="zh-CN"/>
        </w:rPr>
      </w:pPr>
    </w:p>
    <w:p>
      <w:pPr>
        <w:jc w:val="left"/>
        <w:rPr>
          <w:rFonts w:hint="eastAsia" w:ascii="宋体" w:hAnsi="宋体" w:eastAsia="宋体" w:cs="宋体"/>
          <w:color w:val="auto"/>
          <w:sz w:val="22"/>
          <w:szCs w:val="22"/>
          <w:highlight w:val="none"/>
          <w:lang w:eastAsia="zh-CN"/>
        </w:rPr>
      </w:pPr>
    </w:p>
    <w:p>
      <w:pPr>
        <w:jc w:val="left"/>
        <w:rPr>
          <w:rFonts w:hint="eastAsia" w:ascii="宋体" w:hAnsi="宋体" w:eastAsia="宋体" w:cs="宋体"/>
          <w:color w:val="auto"/>
          <w:sz w:val="22"/>
          <w:szCs w:val="22"/>
          <w:highlight w:val="none"/>
          <w:lang w:eastAsia="zh-CN"/>
        </w:rPr>
      </w:pPr>
    </w:p>
    <w:p>
      <w:pPr>
        <w:jc w:val="left"/>
        <w:rPr>
          <w:rFonts w:hint="eastAsia" w:ascii="宋体" w:hAnsi="宋体" w:eastAsia="宋体" w:cs="宋体"/>
          <w:color w:val="auto"/>
          <w:sz w:val="22"/>
          <w:szCs w:val="22"/>
          <w:highlight w:val="none"/>
          <w:lang w:eastAsia="zh-CN"/>
        </w:rPr>
      </w:pPr>
    </w:p>
    <w:p>
      <w:pPr>
        <w:jc w:val="left"/>
        <w:rPr>
          <w:rFonts w:hint="eastAsia" w:ascii="宋体" w:hAnsi="宋体" w:eastAsia="宋体" w:cs="宋体"/>
          <w:color w:val="auto"/>
          <w:sz w:val="22"/>
          <w:szCs w:val="22"/>
          <w:highlight w:val="none"/>
          <w:lang w:eastAsia="zh-CN"/>
        </w:rPr>
      </w:pPr>
    </w:p>
    <w:p>
      <w:pPr>
        <w:jc w:val="left"/>
        <w:rPr>
          <w:rFonts w:hint="eastAsia" w:ascii="宋体" w:hAnsi="宋体" w:eastAsia="宋体" w:cs="宋体"/>
          <w:color w:val="auto"/>
          <w:sz w:val="22"/>
          <w:szCs w:val="22"/>
          <w:highlight w:val="none"/>
          <w:lang w:eastAsia="zh-CN"/>
        </w:rPr>
      </w:pPr>
    </w:p>
    <w:p>
      <w:pPr>
        <w:jc w:val="left"/>
        <w:rPr>
          <w:rFonts w:hint="eastAsia" w:ascii="宋体" w:hAnsi="宋体" w:eastAsia="宋体" w:cs="宋体"/>
          <w:color w:val="auto"/>
          <w:sz w:val="22"/>
          <w:szCs w:val="22"/>
          <w:highlight w:val="none"/>
          <w:lang w:eastAsia="zh-CN"/>
        </w:rPr>
      </w:pPr>
    </w:p>
    <w:p>
      <w:pPr>
        <w:jc w:val="left"/>
        <w:rPr>
          <w:rFonts w:hint="eastAsia" w:ascii="宋体" w:hAnsi="宋体" w:eastAsia="宋体" w:cs="宋体"/>
          <w:color w:val="auto"/>
          <w:sz w:val="22"/>
          <w:szCs w:val="22"/>
          <w:highlight w:val="none"/>
          <w:lang w:eastAsia="zh-CN"/>
        </w:rPr>
      </w:pPr>
    </w:p>
    <w:p>
      <w:pPr>
        <w:jc w:val="left"/>
        <w:rPr>
          <w:rFonts w:hint="eastAsia" w:ascii="宋体" w:hAnsi="宋体" w:eastAsia="宋体" w:cs="宋体"/>
          <w:color w:val="auto"/>
          <w:sz w:val="22"/>
          <w:szCs w:val="22"/>
          <w:highlight w:val="none"/>
          <w:lang w:eastAsia="zh-CN"/>
        </w:rPr>
      </w:pPr>
    </w:p>
    <w:p>
      <w:pPr>
        <w:jc w:val="left"/>
        <w:rPr>
          <w:rFonts w:hint="eastAsia" w:ascii="宋体" w:hAnsi="宋体" w:eastAsia="宋体" w:cs="宋体"/>
          <w:color w:val="auto"/>
          <w:sz w:val="22"/>
          <w:szCs w:val="22"/>
          <w:highlight w:val="none"/>
          <w:lang w:eastAsia="zh-CN"/>
        </w:rPr>
      </w:pPr>
    </w:p>
    <w:p>
      <w:pPr>
        <w:jc w:val="left"/>
        <w:rPr>
          <w:rFonts w:hint="eastAsia" w:ascii="宋体" w:hAnsi="宋体" w:eastAsia="宋体" w:cs="宋体"/>
          <w:color w:val="auto"/>
          <w:sz w:val="22"/>
          <w:szCs w:val="22"/>
          <w:highlight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eastAsia" w:ascii="宋体" w:hAnsi="宋体" w:eastAsia="宋体" w:cs="宋体"/>
          <w:color w:val="auto"/>
          <w:sz w:val="22"/>
          <w:szCs w:val="22"/>
          <w:highlight w:val="none"/>
          <w:lang w:val="en-US" w:eastAsia="zh-CN"/>
        </w:rPr>
        <w:sectPr>
          <w:headerReference r:id="rId12" w:type="default"/>
          <w:footerReference r:id="rId13" w:type="default"/>
          <w:pgSz w:w="11906" w:h="16838"/>
          <w:pgMar w:top="1134" w:right="1304" w:bottom="1134" w:left="1531" w:header="851" w:footer="992" w:gutter="0"/>
          <w:pgNumType w:fmt="decimal"/>
          <w:cols w:space="720" w:num="1"/>
          <w:docGrid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color w:val="auto"/>
          <w:sz w:val="22"/>
          <w:szCs w:val="22"/>
          <w:highlight w:val="none"/>
          <w:lang w:val="en-US" w:eastAsia="zh-CN"/>
        </w:rPr>
        <w:t>附件</w:t>
      </w:r>
      <w:r>
        <w:rPr>
          <w:rFonts w:hint="eastAsia" w:ascii="宋体" w:hAnsi="宋体" w:cs="宋体"/>
          <w:color w:val="auto"/>
          <w:sz w:val="22"/>
          <w:szCs w:val="22"/>
          <w:highlight w:val="none"/>
          <w:lang w:val="en-US" w:eastAsia="zh-CN"/>
        </w:rPr>
        <w:t>一</w:t>
      </w:r>
      <w:r>
        <w:rPr>
          <w:rFonts w:hint="eastAsia" w:ascii="宋体" w:hAnsi="宋体" w:eastAsia="宋体" w:cs="宋体"/>
          <w:color w:val="auto"/>
          <w:sz w:val="22"/>
          <w:szCs w:val="2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800" w:lineRule="exact"/>
        <w:jc w:val="center"/>
        <w:textAlignment w:val="center"/>
        <w:rPr>
          <w:rFonts w:hint="eastAsia" w:ascii="宋体" w:hAnsi="宋体" w:eastAsia="宋体" w:cs="宋体"/>
          <w:b/>
          <w:bCs/>
          <w:i w:val="0"/>
          <w:color w:val="auto"/>
          <w:kern w:val="0"/>
          <w:sz w:val="32"/>
          <w:szCs w:val="32"/>
          <w:highlight w:val="none"/>
          <w:u w:val="none"/>
          <w:lang w:val="en-US" w:eastAsia="zh-CN" w:bidi="ar"/>
        </w:rPr>
      </w:pPr>
      <w:r>
        <w:rPr>
          <w:rFonts w:hint="eastAsia" w:ascii="宋体" w:hAnsi="宋体" w:eastAsia="宋体" w:cs="宋体"/>
          <w:b/>
          <w:bCs/>
          <w:i w:val="0"/>
          <w:color w:val="auto"/>
          <w:kern w:val="0"/>
          <w:sz w:val="32"/>
          <w:szCs w:val="32"/>
          <w:highlight w:val="none"/>
          <w:u w:val="none"/>
          <w:lang w:val="en-US" w:eastAsia="zh-CN" w:bidi="ar"/>
        </w:rPr>
        <w:t>灵昆街道</w:t>
      </w:r>
      <w:r>
        <w:rPr>
          <w:rFonts w:hint="eastAsia" w:ascii="宋体" w:hAnsi="宋体" w:eastAsia="宋体" w:cs="宋体"/>
          <w:b/>
          <w:bCs/>
          <w:color w:val="auto"/>
          <w:sz w:val="32"/>
          <w:szCs w:val="32"/>
          <w:highlight w:val="none"/>
          <w:lang w:eastAsia="zh-CN"/>
        </w:rPr>
        <w:t>垃圾清运车辆</w:t>
      </w:r>
      <w:r>
        <w:rPr>
          <w:rFonts w:hint="eastAsia" w:ascii="宋体" w:hAnsi="宋体" w:eastAsia="宋体" w:cs="宋体"/>
          <w:b/>
          <w:bCs/>
          <w:i w:val="0"/>
          <w:color w:val="auto"/>
          <w:kern w:val="0"/>
          <w:sz w:val="32"/>
          <w:szCs w:val="32"/>
          <w:highlight w:val="none"/>
          <w:u w:val="none"/>
          <w:lang w:val="en-US" w:eastAsia="zh-CN" w:bidi="ar"/>
        </w:rPr>
        <w:t>维修申报表</w:t>
      </w:r>
    </w:p>
    <w:tbl>
      <w:tblPr>
        <w:tblStyle w:val="28"/>
        <w:tblW w:w="9293" w:type="dxa"/>
        <w:jc w:val="center"/>
        <w:tblLayout w:type="fixed"/>
        <w:tblCellMar>
          <w:top w:w="0" w:type="dxa"/>
          <w:left w:w="0" w:type="dxa"/>
          <w:bottom w:w="0" w:type="dxa"/>
          <w:right w:w="0" w:type="dxa"/>
        </w:tblCellMar>
      </w:tblPr>
      <w:tblGrid>
        <w:gridCol w:w="1509"/>
        <w:gridCol w:w="1641"/>
        <w:gridCol w:w="1350"/>
        <w:gridCol w:w="2175"/>
        <w:gridCol w:w="1448"/>
        <w:gridCol w:w="1170"/>
      </w:tblGrid>
      <w:tr>
        <w:tblPrEx>
          <w:tblCellMar>
            <w:top w:w="0" w:type="dxa"/>
            <w:left w:w="0" w:type="dxa"/>
            <w:bottom w:w="0" w:type="dxa"/>
            <w:right w:w="0" w:type="dxa"/>
          </w:tblCellMar>
        </w:tblPrEx>
        <w:trPr>
          <w:trHeight w:val="730" w:hRule="atLeast"/>
          <w:jc w:val="center"/>
        </w:trPr>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车辆牌号</w:t>
            </w:r>
          </w:p>
        </w:tc>
        <w:tc>
          <w:tcPr>
            <w:tcW w:w="1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送修人</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送修时间</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60" w:hRule="atLeast"/>
          <w:jc w:val="center"/>
        </w:trPr>
        <w:tc>
          <w:tcPr>
            <w:tcW w:w="667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修理项目</w:t>
            </w:r>
          </w:p>
        </w:tc>
        <w:tc>
          <w:tcPr>
            <w:tcW w:w="1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性质</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费用</w:t>
            </w:r>
          </w:p>
        </w:tc>
      </w:tr>
      <w:tr>
        <w:tblPrEx>
          <w:tblCellMar>
            <w:top w:w="0" w:type="dxa"/>
            <w:left w:w="0" w:type="dxa"/>
            <w:bottom w:w="0" w:type="dxa"/>
            <w:right w:w="0" w:type="dxa"/>
          </w:tblCellMar>
        </w:tblPrEx>
        <w:trPr>
          <w:trHeight w:val="2412" w:hRule="atLeast"/>
          <w:jc w:val="center"/>
        </w:trPr>
        <w:tc>
          <w:tcPr>
            <w:tcW w:w="667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2"/>
                <w:szCs w:val="22"/>
                <w:highlight w:val="none"/>
                <w:u w:val="none"/>
                <w:lang w:val="en-US" w:eastAsia="zh-CN" w:bidi="ar"/>
              </w:rPr>
            </w:pPr>
          </w:p>
          <w:p>
            <w:pPr>
              <w:jc w:val="center"/>
              <w:rPr>
                <w:rFonts w:hint="eastAsia" w:ascii="宋体" w:hAnsi="宋体" w:eastAsia="宋体" w:cs="宋体"/>
                <w:i w:val="0"/>
                <w:color w:val="auto"/>
                <w:kern w:val="0"/>
                <w:sz w:val="22"/>
                <w:szCs w:val="22"/>
                <w:highlight w:val="none"/>
                <w:u w:val="none"/>
                <w:lang w:val="en-US" w:eastAsia="zh-CN" w:bidi="ar"/>
              </w:rPr>
            </w:pPr>
          </w:p>
          <w:p>
            <w:pPr>
              <w:jc w:val="center"/>
              <w:rPr>
                <w:rFonts w:hint="eastAsia" w:ascii="宋体" w:hAnsi="宋体" w:eastAsia="宋体" w:cs="宋体"/>
                <w:i w:val="0"/>
                <w:color w:val="auto"/>
                <w:kern w:val="0"/>
                <w:sz w:val="22"/>
                <w:szCs w:val="22"/>
                <w:highlight w:val="none"/>
                <w:u w:val="none"/>
                <w:lang w:val="en-US" w:eastAsia="zh-CN" w:bidi="ar"/>
              </w:rPr>
            </w:pPr>
          </w:p>
          <w:p>
            <w:pPr>
              <w:jc w:val="center"/>
              <w:rPr>
                <w:rFonts w:hint="eastAsia" w:ascii="宋体" w:hAnsi="宋体" w:eastAsia="宋体" w:cs="宋体"/>
                <w:i w:val="0"/>
                <w:color w:val="auto"/>
                <w:kern w:val="0"/>
                <w:sz w:val="22"/>
                <w:szCs w:val="22"/>
                <w:highlight w:val="none"/>
                <w:u w:val="none"/>
                <w:lang w:val="en-US" w:eastAsia="zh-CN" w:bidi="ar"/>
              </w:rPr>
            </w:pPr>
          </w:p>
          <w:p>
            <w:pPr>
              <w:jc w:val="center"/>
              <w:rPr>
                <w:rFonts w:hint="eastAsia" w:ascii="宋体" w:hAnsi="宋体" w:eastAsia="宋体" w:cs="宋体"/>
                <w:i w:val="0"/>
                <w:color w:val="auto"/>
                <w:kern w:val="0"/>
                <w:sz w:val="22"/>
                <w:szCs w:val="22"/>
                <w:highlight w:val="none"/>
                <w:u w:val="none"/>
                <w:lang w:val="en-US" w:eastAsia="zh-CN" w:bidi="ar"/>
              </w:rPr>
            </w:pPr>
          </w:p>
          <w:p>
            <w:pPr>
              <w:jc w:val="center"/>
              <w:rPr>
                <w:rFonts w:hint="eastAsia" w:ascii="宋体" w:hAnsi="宋体" w:eastAsia="宋体" w:cs="宋体"/>
                <w:i w:val="0"/>
                <w:color w:val="auto"/>
                <w:kern w:val="0"/>
                <w:sz w:val="22"/>
                <w:szCs w:val="22"/>
                <w:highlight w:val="none"/>
                <w:u w:val="none"/>
                <w:lang w:val="en-US" w:eastAsia="zh-CN" w:bidi="ar"/>
              </w:rPr>
            </w:pPr>
          </w:p>
          <w:p>
            <w:pPr>
              <w:ind w:firstLine="2640" w:firstLineChars="1200"/>
              <w:jc w:val="both"/>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维修单位负责人签字：</w:t>
            </w:r>
          </w:p>
        </w:tc>
        <w:tc>
          <w:tcPr>
            <w:tcW w:w="1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56" w:hRule="atLeast"/>
          <w:jc w:val="center"/>
        </w:trPr>
        <w:tc>
          <w:tcPr>
            <w:tcW w:w="1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申请人</w:t>
            </w:r>
            <w:r>
              <w:rPr>
                <w:rStyle w:val="73"/>
                <w:rFonts w:hint="eastAsia" w:ascii="宋体" w:hAnsi="宋体" w:eastAsia="宋体" w:cs="宋体"/>
                <w:color w:val="auto"/>
                <w:sz w:val="22"/>
                <w:szCs w:val="22"/>
                <w:highlight w:val="none"/>
                <w:lang w:val="en-US" w:eastAsia="zh-CN" w:bidi="ar"/>
              </w:rPr>
              <w:t>（签名）</w:t>
            </w:r>
          </w:p>
        </w:tc>
        <w:tc>
          <w:tcPr>
            <w:tcW w:w="1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审批人</w:t>
            </w:r>
            <w:r>
              <w:rPr>
                <w:rStyle w:val="73"/>
                <w:rFonts w:hint="eastAsia" w:ascii="宋体" w:hAnsi="宋体" w:eastAsia="宋体" w:cs="宋体"/>
                <w:i w:val="0"/>
                <w:color w:val="auto"/>
                <w:sz w:val="22"/>
                <w:szCs w:val="22"/>
                <w:highlight w:val="none"/>
                <w:lang w:val="en-US" w:eastAsia="zh-CN" w:bidi="ar"/>
              </w:rPr>
              <w:t>（签名）</w:t>
            </w:r>
          </w:p>
        </w:tc>
        <w:tc>
          <w:tcPr>
            <w:tcW w:w="2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备案审核人</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bl>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jc w:val="left"/>
        <w:rPr>
          <w:rFonts w:hint="eastAsia" w:ascii="宋体" w:hAnsi="宋体" w:eastAsia="宋体" w:cs="宋体"/>
          <w:color w:val="auto"/>
          <w:sz w:val="22"/>
          <w:szCs w:val="22"/>
          <w:highlight w:val="none"/>
          <w:lang w:val="en-US" w:eastAsia="zh-CN"/>
        </w:rPr>
      </w:pPr>
    </w:p>
    <w:p>
      <w:pPr>
        <w:keepNext w:val="0"/>
        <w:keepLines w:val="0"/>
        <w:widowControl/>
        <w:suppressLineNumbers w:val="0"/>
        <w:jc w:val="both"/>
        <w:textAlignment w:val="center"/>
        <w:rPr>
          <w:rFonts w:hint="eastAsia" w:ascii="宋体" w:hAnsi="宋体" w:eastAsia="宋体" w:cs="宋体"/>
          <w:color w:val="auto"/>
          <w:sz w:val="22"/>
          <w:szCs w:val="22"/>
          <w:highlight w:val="none"/>
          <w:lang w:val="en-US" w:eastAsia="zh-CN"/>
        </w:rPr>
      </w:pPr>
    </w:p>
    <w:p>
      <w:pPr>
        <w:keepNext w:val="0"/>
        <w:keepLines w:val="0"/>
        <w:widowControl/>
        <w:suppressLineNumbers w:val="0"/>
        <w:jc w:val="both"/>
        <w:textAlignment w:val="center"/>
        <w:rPr>
          <w:rFonts w:hint="eastAsia" w:ascii="宋体" w:hAnsi="宋体" w:eastAsia="宋体" w:cs="宋体"/>
          <w:color w:val="auto"/>
          <w:sz w:val="22"/>
          <w:szCs w:val="22"/>
          <w:highlight w:val="none"/>
          <w:lang w:val="en-US" w:eastAsia="zh-CN"/>
        </w:rPr>
      </w:pPr>
    </w:p>
    <w:p>
      <w:pPr>
        <w:keepNext w:val="0"/>
        <w:keepLines w:val="0"/>
        <w:widowControl/>
        <w:suppressLineNumbers w:val="0"/>
        <w:jc w:val="both"/>
        <w:textAlignment w:val="center"/>
        <w:rPr>
          <w:rFonts w:hint="eastAsia" w:ascii="宋体" w:hAnsi="宋体" w:eastAsia="宋体" w:cs="宋体"/>
          <w:color w:val="auto"/>
          <w:sz w:val="22"/>
          <w:szCs w:val="22"/>
          <w:highlight w:val="none"/>
          <w:lang w:val="en-US" w:eastAsia="zh-CN"/>
        </w:rPr>
      </w:pPr>
    </w:p>
    <w:p>
      <w:pPr>
        <w:keepNext w:val="0"/>
        <w:keepLines w:val="0"/>
        <w:widowControl/>
        <w:suppressLineNumbers w:val="0"/>
        <w:jc w:val="both"/>
        <w:textAlignment w:val="center"/>
        <w:rPr>
          <w:rFonts w:hint="eastAsia" w:ascii="宋体" w:hAnsi="宋体" w:eastAsia="宋体" w:cs="宋体"/>
          <w:color w:val="auto"/>
          <w:sz w:val="22"/>
          <w:szCs w:val="22"/>
          <w:highlight w:val="none"/>
          <w:lang w:val="en-US" w:eastAsia="zh-CN"/>
        </w:rPr>
      </w:pPr>
    </w:p>
    <w:p>
      <w:pPr>
        <w:keepNext w:val="0"/>
        <w:keepLines w:val="0"/>
        <w:widowControl/>
        <w:suppressLineNumbers w:val="0"/>
        <w:jc w:val="both"/>
        <w:textAlignment w:val="center"/>
        <w:rPr>
          <w:rFonts w:hint="eastAsia" w:ascii="宋体" w:hAnsi="宋体" w:eastAsia="宋体" w:cs="宋体"/>
          <w:color w:val="auto"/>
          <w:sz w:val="22"/>
          <w:szCs w:val="22"/>
          <w:highlight w:val="none"/>
          <w:lang w:val="en-US" w:eastAsia="zh-CN"/>
        </w:rPr>
        <w:sectPr>
          <w:pgSz w:w="11906" w:h="16838"/>
          <w:pgMar w:top="1134" w:right="1304" w:bottom="1134" w:left="1531" w:header="851" w:footer="992" w:gutter="0"/>
          <w:pgNumType w:fmt="decimal"/>
          <w:cols w:space="720" w:num="1"/>
          <w:docGrid w:linePitch="312" w:charSpace="0"/>
        </w:sectPr>
      </w:pPr>
    </w:p>
    <w:p>
      <w:pPr>
        <w:keepNext w:val="0"/>
        <w:keepLines w:val="0"/>
        <w:widowControl/>
        <w:suppressLineNumbers w:val="0"/>
        <w:jc w:val="both"/>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附件</w:t>
      </w:r>
      <w:r>
        <w:rPr>
          <w:rFonts w:hint="eastAsia" w:ascii="宋体" w:hAnsi="宋体" w:cs="宋体"/>
          <w:color w:val="auto"/>
          <w:sz w:val="22"/>
          <w:szCs w:val="22"/>
          <w:highlight w:val="none"/>
          <w:lang w:val="en-US" w:eastAsia="zh-CN"/>
        </w:rPr>
        <w:t>二</w:t>
      </w:r>
      <w:r>
        <w:rPr>
          <w:rFonts w:hint="eastAsia" w:ascii="宋体" w:hAnsi="宋体" w:eastAsia="宋体" w:cs="宋体"/>
          <w:color w:val="auto"/>
          <w:sz w:val="22"/>
          <w:szCs w:val="2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b w:val="0"/>
          <w:bCs/>
          <w:color w:val="auto"/>
          <w:sz w:val="22"/>
          <w:szCs w:val="2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bCs w:val="0"/>
          <w:color w:val="auto"/>
          <w:sz w:val="32"/>
          <w:szCs w:val="32"/>
          <w:highlight w:val="none"/>
          <w:lang w:val="en-US" w:eastAsia="zh-CN"/>
        </w:rPr>
      </w:pPr>
      <w:r>
        <w:rPr>
          <w:rFonts w:hint="eastAsia" w:ascii="宋体" w:hAnsi="宋体" w:eastAsia="宋体" w:cs="宋体"/>
          <w:b/>
          <w:bCs w:val="0"/>
          <w:color w:val="auto"/>
          <w:sz w:val="32"/>
          <w:szCs w:val="32"/>
          <w:highlight w:val="none"/>
          <w:lang w:val="en-US" w:eastAsia="zh-CN"/>
        </w:rPr>
        <w:t>灵昆街道</w:t>
      </w:r>
      <w:r>
        <w:rPr>
          <w:rFonts w:hint="eastAsia" w:ascii="宋体" w:hAnsi="宋体" w:eastAsia="宋体" w:cs="宋体"/>
          <w:b/>
          <w:bCs w:val="0"/>
          <w:color w:val="auto"/>
          <w:sz w:val="32"/>
          <w:szCs w:val="32"/>
          <w:highlight w:val="none"/>
          <w:lang w:eastAsia="zh-CN"/>
        </w:rPr>
        <w:t>垃圾清运车辆</w:t>
      </w:r>
      <w:r>
        <w:rPr>
          <w:rFonts w:hint="eastAsia" w:ascii="宋体" w:hAnsi="宋体" w:eastAsia="宋体" w:cs="宋体"/>
          <w:b/>
          <w:bCs w:val="0"/>
          <w:color w:val="auto"/>
          <w:sz w:val="32"/>
          <w:szCs w:val="32"/>
          <w:highlight w:val="none"/>
          <w:lang w:val="en-US" w:eastAsia="zh-CN"/>
        </w:rPr>
        <w:t>轮胎更换及修补</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color w:val="auto"/>
          <w:sz w:val="32"/>
          <w:szCs w:val="32"/>
          <w:highlight w:val="none"/>
          <w:lang w:val="en-US" w:eastAsia="zh-CN"/>
        </w:rPr>
      </w:pPr>
      <w:r>
        <w:rPr>
          <w:rFonts w:hint="eastAsia" w:ascii="宋体" w:hAnsi="宋体" w:eastAsia="宋体" w:cs="宋体"/>
          <w:b w:val="0"/>
          <w:bCs/>
          <w:color w:val="auto"/>
          <w:sz w:val="32"/>
          <w:szCs w:val="32"/>
          <w:highlight w:val="none"/>
          <w:lang w:val="en-US" w:eastAsia="zh-CN"/>
        </w:rPr>
        <w:t>申  报  表</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color w:val="auto"/>
          <w:sz w:val="22"/>
          <w:szCs w:val="22"/>
          <w:highlight w:val="none"/>
          <w:lang w:val="en-US" w:eastAsia="zh-CN"/>
        </w:rPr>
      </w:pPr>
    </w:p>
    <w:tbl>
      <w:tblPr>
        <w:tblStyle w:val="28"/>
        <w:tblW w:w="10203" w:type="dxa"/>
        <w:jc w:val="center"/>
        <w:tblLayout w:type="fixed"/>
        <w:tblCellMar>
          <w:top w:w="0" w:type="dxa"/>
          <w:left w:w="0" w:type="dxa"/>
          <w:bottom w:w="0" w:type="dxa"/>
          <w:right w:w="0" w:type="dxa"/>
        </w:tblCellMar>
      </w:tblPr>
      <w:tblGrid>
        <w:gridCol w:w="1538"/>
        <w:gridCol w:w="1620"/>
        <w:gridCol w:w="1635"/>
        <w:gridCol w:w="1708"/>
        <w:gridCol w:w="1285"/>
        <w:gridCol w:w="1492"/>
      </w:tblGrid>
      <w:tr>
        <w:tblPrEx>
          <w:tblCellMar>
            <w:top w:w="0" w:type="dxa"/>
            <w:left w:w="0" w:type="dxa"/>
            <w:bottom w:w="0" w:type="dxa"/>
            <w:right w:w="0" w:type="dxa"/>
          </w:tblCellMar>
        </w:tblPrEx>
        <w:trPr>
          <w:trHeight w:val="775" w:hRule="atLeast"/>
          <w:jc w:val="center"/>
        </w:trPr>
        <w:tc>
          <w:tcPr>
            <w:tcW w:w="1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车辆牌号</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送修人</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送修时间</w:t>
            </w:r>
          </w:p>
        </w:tc>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850" w:hRule="atLeast"/>
          <w:jc w:val="center"/>
        </w:trPr>
        <w:tc>
          <w:tcPr>
            <w:tcW w:w="650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更换或送修位置</w:t>
            </w:r>
          </w:p>
        </w:tc>
        <w:tc>
          <w:tcPr>
            <w:tcW w:w="277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性质（更换或修补）</w:t>
            </w:r>
          </w:p>
        </w:tc>
      </w:tr>
      <w:tr>
        <w:tblPrEx>
          <w:tblCellMar>
            <w:top w:w="0" w:type="dxa"/>
            <w:left w:w="0" w:type="dxa"/>
            <w:bottom w:w="0" w:type="dxa"/>
            <w:right w:w="0" w:type="dxa"/>
          </w:tblCellMar>
        </w:tblPrEx>
        <w:trPr>
          <w:trHeight w:val="700" w:hRule="atLeast"/>
          <w:jc w:val="center"/>
        </w:trPr>
        <w:tc>
          <w:tcPr>
            <w:tcW w:w="1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左前</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左后</w:t>
            </w:r>
          </w:p>
        </w:tc>
        <w:tc>
          <w:tcPr>
            <w:tcW w:w="1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右前</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右后</w:t>
            </w:r>
          </w:p>
        </w:tc>
        <w:tc>
          <w:tcPr>
            <w:tcW w:w="2777"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700" w:hRule="atLeast"/>
          <w:jc w:val="center"/>
        </w:trPr>
        <w:tc>
          <w:tcPr>
            <w:tcW w:w="153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2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777"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60" w:hRule="atLeast"/>
          <w:jc w:val="center"/>
        </w:trPr>
        <w:tc>
          <w:tcPr>
            <w:tcW w:w="153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77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费用</w:t>
            </w:r>
          </w:p>
        </w:tc>
      </w:tr>
      <w:tr>
        <w:tblPrEx>
          <w:tblCellMar>
            <w:top w:w="0" w:type="dxa"/>
            <w:left w:w="0" w:type="dxa"/>
            <w:bottom w:w="0" w:type="dxa"/>
            <w:right w:w="0" w:type="dxa"/>
          </w:tblCellMar>
        </w:tblPrEx>
        <w:trPr>
          <w:trHeight w:val="1125" w:hRule="atLeast"/>
          <w:jc w:val="center"/>
        </w:trPr>
        <w:tc>
          <w:tcPr>
            <w:tcW w:w="153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777"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1155" w:hRule="atLeast"/>
          <w:jc w:val="center"/>
        </w:trPr>
        <w:tc>
          <w:tcPr>
            <w:tcW w:w="650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维修单位负责人签字：</w:t>
            </w:r>
          </w:p>
        </w:tc>
        <w:tc>
          <w:tcPr>
            <w:tcW w:w="2777"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80" w:hRule="atLeast"/>
          <w:jc w:val="center"/>
        </w:trPr>
        <w:tc>
          <w:tcPr>
            <w:tcW w:w="1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申请人（签名）</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审批人（签名）</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备案审核人</w:t>
            </w:r>
          </w:p>
        </w:tc>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bl>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color w:val="auto"/>
          <w:kern w:val="0"/>
          <w:sz w:val="22"/>
          <w:szCs w:val="22"/>
          <w:highlight w:val="none"/>
          <w:u w:val="none"/>
          <w:lang w:val="en-US" w:eastAsia="zh-CN" w:bidi="ar"/>
        </w:rPr>
        <w:t>备注：更换新轮胎必须提供规格、型号、保质期、现场照片等相关票据</w:t>
      </w:r>
    </w:p>
    <w:p>
      <w:pPr>
        <w:snapToGrid w:val="0"/>
        <w:spacing w:line="400" w:lineRule="exact"/>
        <w:jc w:val="center"/>
        <w:rPr>
          <w:rFonts w:hint="eastAsia" w:ascii="宋体" w:hAnsi="宋体" w:eastAsia="宋体" w:cs="宋体"/>
          <w:b/>
          <w:color w:val="auto"/>
          <w:sz w:val="32"/>
          <w:highlight w:val="none"/>
        </w:rPr>
        <w:sectPr>
          <w:pgSz w:w="11906" w:h="16838"/>
          <w:pgMar w:top="1134" w:right="1304" w:bottom="1134" w:left="1531" w:header="851" w:footer="992" w:gutter="0"/>
          <w:pgNumType w:fmt="decimal"/>
          <w:cols w:space="720" w:num="1"/>
          <w:docGrid w:linePitch="312" w:charSpace="0"/>
        </w:sectPr>
      </w:pPr>
    </w:p>
    <w:p>
      <w:pPr>
        <w:snapToGrid w:val="0"/>
        <w:spacing w:line="4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第六部分   评标原则及方法</w:t>
      </w:r>
    </w:p>
    <w:p>
      <w:pPr>
        <w:pStyle w:val="3"/>
        <w:keepNext w:val="0"/>
        <w:keepLines w:val="0"/>
        <w:pageBreakBefore w:val="0"/>
        <w:widowControl w:val="0"/>
        <w:wordWrap/>
        <w:topLinePunct w:val="0"/>
        <w:bidi w:val="0"/>
        <w:adjustRightInd w:val="0"/>
        <w:snapToGrid w:val="0"/>
        <w:spacing w:after="0" w:line="360" w:lineRule="exact"/>
        <w:ind w:firstLine="442" w:firstLineChars="200"/>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根据《中华人民共和国政府采购法》等相关法规特制定以下评标办法。</w:t>
      </w:r>
    </w:p>
    <w:p>
      <w:pPr>
        <w:keepNext w:val="0"/>
        <w:keepLines w:val="0"/>
        <w:pageBreakBefore w:val="0"/>
        <w:widowControl w:val="0"/>
        <w:numPr>
          <w:ilvl w:val="0"/>
          <w:numId w:val="22"/>
        </w:numPr>
        <w:wordWrap/>
        <w:topLinePunct w:val="0"/>
        <w:bidi w:val="0"/>
        <w:spacing w:line="3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总  则</w:t>
      </w:r>
    </w:p>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部分，对投标文件进行综合评定，提出优选方案，编写评标报告。对落标单位，评委会不作任何落标解释。</w:t>
      </w:r>
    </w:p>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二.评标组织</w:t>
      </w:r>
    </w:p>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评标工作由采购人依法组建的评标委员会负责，评标全过程由有关部门指导监督。</w:t>
      </w:r>
    </w:p>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三.评标程序</w:t>
      </w:r>
    </w:p>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人或者采购代理机构对各投标人的投标资格进行审查；然后评标委员会对合格投标人进行符合性审查，对审查通过的商务和技术文件进行评审；商务和技术文件评审结束之后对报价文件评审，综合评审结果，提交评审报告。</w:t>
      </w:r>
    </w:p>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四.评标办法</w:t>
      </w:r>
    </w:p>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本评标办法采用百分制综合评分法，商务和技术</w:t>
      </w:r>
      <w:r>
        <w:rPr>
          <w:rFonts w:hint="eastAsia" w:ascii="宋体" w:hAnsi="宋体" w:cs="宋体"/>
          <w:color w:val="auto"/>
          <w:sz w:val="22"/>
          <w:szCs w:val="22"/>
          <w:highlight w:val="none"/>
          <w:lang w:val="en-US" w:eastAsia="zh-CN"/>
        </w:rPr>
        <w:t>70</w:t>
      </w:r>
      <w:r>
        <w:rPr>
          <w:rFonts w:hint="eastAsia" w:ascii="宋体" w:hAnsi="宋体" w:eastAsia="宋体" w:cs="宋体"/>
          <w:color w:val="auto"/>
          <w:sz w:val="22"/>
          <w:szCs w:val="22"/>
          <w:highlight w:val="none"/>
        </w:rPr>
        <w:t>分（商务和技术权值</w:t>
      </w:r>
      <w:r>
        <w:rPr>
          <w:rFonts w:hint="eastAsia" w:ascii="宋体" w:hAnsi="宋体" w:cs="宋体"/>
          <w:color w:val="auto"/>
          <w:sz w:val="22"/>
          <w:szCs w:val="22"/>
          <w:highlight w:val="none"/>
          <w:lang w:val="en-US" w:eastAsia="zh-CN"/>
        </w:rPr>
        <w:t>70</w:t>
      </w:r>
      <w:r>
        <w:rPr>
          <w:rFonts w:hint="eastAsia" w:ascii="宋体" w:hAnsi="宋体" w:eastAsia="宋体" w:cs="宋体"/>
          <w:color w:val="auto"/>
          <w:sz w:val="22"/>
          <w:szCs w:val="22"/>
          <w:highlight w:val="none"/>
        </w:rPr>
        <w:t>%），报价</w:t>
      </w:r>
      <w:r>
        <w:rPr>
          <w:rFonts w:hint="eastAsia" w:ascii="宋体" w:hAnsi="宋体" w:cs="宋体"/>
          <w:color w:val="auto"/>
          <w:sz w:val="22"/>
          <w:szCs w:val="22"/>
          <w:highlight w:val="none"/>
          <w:lang w:val="en-US" w:eastAsia="zh-CN"/>
        </w:rPr>
        <w:t>30</w:t>
      </w:r>
      <w:r>
        <w:rPr>
          <w:rFonts w:hint="eastAsia" w:ascii="宋体" w:hAnsi="宋体" w:eastAsia="宋体" w:cs="宋体"/>
          <w:color w:val="auto"/>
          <w:sz w:val="22"/>
          <w:szCs w:val="22"/>
          <w:highlight w:val="none"/>
        </w:rPr>
        <w:t>分（价格权值</w:t>
      </w:r>
      <w:r>
        <w:rPr>
          <w:rFonts w:hint="eastAsia" w:ascii="宋体" w:hAnsi="宋体" w:cs="宋体"/>
          <w:color w:val="auto"/>
          <w:sz w:val="22"/>
          <w:szCs w:val="22"/>
          <w:highlight w:val="none"/>
          <w:lang w:val="en-US" w:eastAsia="zh-CN"/>
        </w:rPr>
        <w:t>30</w:t>
      </w:r>
      <w:r>
        <w:rPr>
          <w:rFonts w:hint="eastAsia" w:ascii="宋体" w:hAnsi="宋体" w:eastAsia="宋体" w:cs="宋体"/>
          <w:color w:val="auto"/>
          <w:sz w:val="22"/>
          <w:szCs w:val="22"/>
          <w:highlight w:val="none"/>
        </w:rPr>
        <w:t>%）。最大限度地满足招标文件中规定的各项综合评价标准且综合得分最高的投标人，将被推荐为中标候选人。</w:t>
      </w:r>
    </w:p>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评分细则</w:t>
      </w:r>
    </w:p>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1.商务和技术分的评定（</w:t>
      </w:r>
      <w:r>
        <w:rPr>
          <w:rFonts w:hint="eastAsia" w:ascii="宋体" w:hAnsi="宋体" w:cs="宋体"/>
          <w:color w:val="auto"/>
          <w:sz w:val="22"/>
          <w:szCs w:val="22"/>
          <w:highlight w:val="none"/>
        </w:rPr>
        <w:t>70</w:t>
      </w:r>
      <w:r>
        <w:rPr>
          <w:rFonts w:hint="eastAsia" w:ascii="宋体" w:hAnsi="宋体" w:eastAsia="宋体" w:cs="宋体"/>
          <w:color w:val="auto"/>
          <w:sz w:val="22"/>
          <w:szCs w:val="22"/>
          <w:highlight w:val="none"/>
        </w:rPr>
        <w:t>分）</w:t>
      </w:r>
    </w:p>
    <w:p>
      <w:pPr>
        <w:pStyle w:val="55"/>
        <w:keepNext w:val="0"/>
        <w:keepLines w:val="0"/>
        <w:pageBreakBefore w:val="0"/>
        <w:widowControl w:val="0"/>
        <w:wordWrap/>
        <w:topLinePunct w:val="0"/>
        <w:bidi w:val="0"/>
        <w:spacing w:line="360" w:lineRule="exact"/>
        <w:ind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各评标委员会成员对各投标人的各项评分内容评分的合计算术平均值为各投标人商务和技术分得分（小数点后按四舍五入保留2位）。</w:t>
      </w:r>
    </w:p>
    <w:tbl>
      <w:tblPr>
        <w:tblStyle w:val="28"/>
        <w:tblW w:w="104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1984"/>
        <w:gridCol w:w="1108"/>
        <w:gridCol w:w="6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blHeader/>
          <w:jc w:val="center"/>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rPr>
              <w:t>序号</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rPr>
              <w:t>评审内容</w:t>
            </w: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rPr>
              <w:t>分值范围</w:t>
            </w:r>
          </w:p>
        </w:tc>
        <w:tc>
          <w:tcPr>
            <w:tcW w:w="6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51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Arial"/>
                <w:color w:val="auto"/>
                <w:sz w:val="22"/>
                <w:szCs w:val="22"/>
                <w:highlight w:val="none"/>
                <w:lang w:val="en-US" w:eastAsia="zh-CN"/>
              </w:rPr>
            </w:pPr>
            <w:r>
              <w:rPr>
                <w:rFonts w:hint="eastAsia" w:ascii="宋体" w:hAnsi="宋体" w:eastAsia="宋体" w:cs="Arial"/>
                <w:color w:val="auto"/>
                <w:sz w:val="22"/>
                <w:szCs w:val="22"/>
                <w:highlight w:val="none"/>
                <w:lang w:val="en-US" w:eastAsia="zh-CN"/>
              </w:rPr>
              <w:t>1</w:t>
            </w:r>
          </w:p>
        </w:tc>
        <w:tc>
          <w:tcPr>
            <w:tcW w:w="1984"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cs="Arial"/>
                <w:color w:val="auto"/>
                <w:sz w:val="22"/>
                <w:szCs w:val="22"/>
                <w:highlight w:val="none"/>
              </w:rPr>
            </w:pPr>
            <w:r>
              <w:rPr>
                <w:rFonts w:hint="eastAsia" w:ascii="宋体" w:hAnsi="宋体" w:cs="Arial"/>
                <w:color w:val="auto"/>
                <w:sz w:val="22"/>
                <w:szCs w:val="22"/>
                <w:highlight w:val="none"/>
              </w:rPr>
              <w:t>企业履约能力</w:t>
            </w:r>
          </w:p>
        </w:tc>
        <w:tc>
          <w:tcPr>
            <w:tcW w:w="1108"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default" w:ascii="宋体" w:hAnsi="宋体" w:eastAsia="宋体" w:cs="Arial"/>
                <w:color w:val="auto"/>
                <w:sz w:val="22"/>
                <w:szCs w:val="22"/>
                <w:highlight w:val="none"/>
                <w:lang w:val="en-US" w:eastAsia="zh-CN"/>
              </w:rPr>
            </w:pPr>
            <w:r>
              <w:rPr>
                <w:rFonts w:hint="eastAsia" w:ascii="宋体" w:hAnsi="宋体" w:cs="Arial"/>
                <w:color w:val="auto"/>
                <w:sz w:val="22"/>
                <w:szCs w:val="22"/>
                <w:highlight w:val="none"/>
              </w:rPr>
              <w:t>0-</w:t>
            </w:r>
            <w:r>
              <w:rPr>
                <w:rFonts w:hint="eastAsia" w:ascii="宋体" w:hAnsi="宋体" w:cs="Arial"/>
                <w:color w:val="auto"/>
                <w:sz w:val="22"/>
                <w:szCs w:val="22"/>
                <w:highlight w:val="none"/>
                <w:lang w:val="en-US" w:eastAsia="zh-CN"/>
              </w:rPr>
              <w:t>3</w:t>
            </w:r>
            <w:r>
              <w:rPr>
                <w:rFonts w:hint="eastAsia" w:ascii="宋体"/>
                <w:color w:val="auto"/>
                <w:sz w:val="22"/>
                <w:highlight w:val="none"/>
              </w:rPr>
              <w:t>分</w:t>
            </w:r>
          </w:p>
        </w:tc>
        <w:tc>
          <w:tcPr>
            <w:tcW w:w="6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Arial"/>
                <w:color w:val="auto"/>
                <w:sz w:val="22"/>
                <w:szCs w:val="22"/>
                <w:highlight w:val="none"/>
                <w:lang w:eastAsia="zh-CN"/>
              </w:rPr>
            </w:pPr>
            <w:r>
              <w:rPr>
                <w:rFonts w:hint="eastAsia" w:ascii="宋体" w:hAnsi="宋体" w:eastAsia="宋体" w:cs="Arial"/>
                <w:color w:val="auto"/>
                <w:sz w:val="22"/>
                <w:szCs w:val="22"/>
                <w:highlight w:val="none"/>
              </w:rPr>
              <w:t>供应商具有质量管理体系认证得1分，具有环境体系认证得1分，具有职业健康安全体系认证得1分。提供有效的认证证书</w:t>
            </w:r>
            <w:r>
              <w:rPr>
                <w:rFonts w:hint="eastAsia" w:ascii="宋体" w:hAnsi="宋体" w:eastAsia="宋体" w:cs="Arial"/>
                <w:color w:val="auto"/>
                <w:sz w:val="22"/>
                <w:szCs w:val="22"/>
                <w:highlight w:val="none"/>
                <w:lang w:val="en-US" w:eastAsia="zh-CN"/>
              </w:rPr>
              <w:t>扫描件</w:t>
            </w:r>
            <w:r>
              <w:rPr>
                <w:rFonts w:hint="eastAsia" w:ascii="宋体" w:hAnsi="宋体" w:eastAsia="宋体" w:cs="Arial"/>
                <w:color w:val="auto"/>
                <w:sz w:val="22"/>
                <w:szCs w:val="22"/>
                <w:highlight w:val="none"/>
              </w:rPr>
              <w:t>，否则不得分</w:t>
            </w:r>
            <w:r>
              <w:rPr>
                <w:rFonts w:hint="eastAsia" w:ascii="宋体" w:hAnsi="宋体" w:eastAsia="宋体" w:cs="Arial"/>
                <w:color w:val="auto"/>
                <w:sz w:val="22"/>
                <w:szCs w:val="22"/>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51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default" w:ascii="宋体" w:hAnsi="宋体" w:eastAsia="宋体" w:cs="Arial"/>
                <w:color w:val="auto"/>
                <w:sz w:val="22"/>
                <w:szCs w:val="22"/>
                <w:highlight w:val="none"/>
                <w:lang w:val="en-US" w:eastAsia="zh-CN"/>
              </w:rPr>
            </w:pPr>
            <w:r>
              <w:rPr>
                <w:rFonts w:hint="eastAsia" w:ascii="宋体" w:hAnsi="宋体" w:cs="Arial"/>
                <w:color w:val="auto"/>
                <w:sz w:val="22"/>
                <w:szCs w:val="22"/>
                <w:highlight w:val="none"/>
                <w:lang w:val="en-US" w:eastAsia="zh-CN"/>
              </w:rPr>
              <w:t>2</w:t>
            </w:r>
          </w:p>
        </w:tc>
        <w:tc>
          <w:tcPr>
            <w:tcW w:w="1984"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default" w:ascii="宋体" w:hAnsi="宋体" w:eastAsia="宋体" w:cs="楷体"/>
                <w:color w:val="auto"/>
                <w:kern w:val="2"/>
                <w:sz w:val="22"/>
                <w:szCs w:val="22"/>
                <w:highlight w:val="none"/>
                <w:lang w:val="en-US" w:eastAsia="zh-CN" w:bidi="ar-SA"/>
              </w:rPr>
            </w:pPr>
            <w:r>
              <w:rPr>
                <w:rFonts w:hint="eastAsia" w:ascii="宋体" w:hAnsi="宋体" w:cs="楷体"/>
                <w:color w:val="auto"/>
                <w:kern w:val="0"/>
                <w:sz w:val="22"/>
                <w:szCs w:val="22"/>
                <w:highlight w:val="none"/>
                <w:lang w:bidi="ar"/>
              </w:rPr>
              <w:t>项目分析</w:t>
            </w:r>
          </w:p>
        </w:tc>
        <w:tc>
          <w:tcPr>
            <w:tcW w:w="1108"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default" w:ascii="宋体" w:hAnsi="宋体" w:eastAsia="宋体" w:cs="楷体"/>
                <w:color w:val="auto"/>
                <w:kern w:val="2"/>
                <w:sz w:val="22"/>
                <w:szCs w:val="22"/>
                <w:highlight w:val="none"/>
                <w:lang w:val="en-US" w:eastAsia="zh-CN" w:bidi="ar-SA"/>
              </w:rPr>
            </w:pPr>
            <w:r>
              <w:rPr>
                <w:rFonts w:hint="eastAsia" w:ascii="宋体" w:hAnsi="宋体" w:cs="楷体"/>
                <w:color w:val="auto"/>
                <w:kern w:val="0"/>
                <w:sz w:val="22"/>
                <w:szCs w:val="22"/>
                <w:highlight w:val="none"/>
                <w:lang w:bidi="ar"/>
              </w:rPr>
              <w:t>0-</w:t>
            </w:r>
            <w:r>
              <w:rPr>
                <w:rFonts w:hint="eastAsia" w:ascii="宋体" w:hAnsi="宋体" w:cs="楷体"/>
                <w:color w:val="auto"/>
                <w:kern w:val="0"/>
                <w:sz w:val="22"/>
                <w:szCs w:val="22"/>
                <w:highlight w:val="none"/>
                <w:lang w:val="en-US" w:eastAsia="zh-CN" w:bidi="ar"/>
              </w:rPr>
              <w:t>1</w:t>
            </w:r>
            <w:r>
              <w:rPr>
                <w:rFonts w:hint="default" w:ascii="宋体" w:hAnsi="宋体" w:cs="楷体"/>
                <w:color w:val="auto"/>
                <w:kern w:val="0"/>
                <w:sz w:val="22"/>
                <w:szCs w:val="22"/>
                <w:highlight w:val="none"/>
                <w:lang w:val="en-US" w:eastAsia="zh-CN" w:bidi="ar"/>
              </w:rPr>
              <w:t>2</w:t>
            </w:r>
            <w:r>
              <w:rPr>
                <w:rFonts w:hint="eastAsia" w:ascii="宋体"/>
                <w:color w:val="auto"/>
                <w:sz w:val="22"/>
                <w:highlight w:val="none"/>
              </w:rPr>
              <w:t>分</w:t>
            </w:r>
          </w:p>
        </w:tc>
        <w:tc>
          <w:tcPr>
            <w:tcW w:w="687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1.投标人对项目范围内道路的现状、保洁情况的理解程度，由评委综合打分。（0-</w:t>
            </w:r>
            <w:r>
              <w:rPr>
                <w:rFonts w:hint="default"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分）</w:t>
            </w:r>
          </w:p>
          <w:p>
            <w:pPr>
              <w:pStyle w:val="11"/>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2.存在的问题和清扫保洁的难点、要点等问题进行调查剖析，由评委综合打分。（0-</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分）</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楷体"/>
                <w:b/>
                <w:color w:val="auto"/>
                <w:kern w:val="2"/>
                <w:sz w:val="22"/>
                <w:szCs w:val="22"/>
                <w:highlight w:val="none"/>
                <w:lang w:val="en-US" w:eastAsia="zh-CN" w:bidi="ar-SA"/>
              </w:rPr>
            </w:pPr>
            <w:r>
              <w:rPr>
                <w:rFonts w:hint="eastAsia" w:ascii="宋体" w:hAnsi="宋体" w:eastAsia="宋体" w:cs="宋体"/>
                <w:color w:val="auto"/>
                <w:sz w:val="22"/>
                <w:szCs w:val="22"/>
                <w:highlight w:val="none"/>
              </w:rPr>
              <w:t>3.针对性的提出克服难点和要点，由评委综合打分。（0-</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5" w:hRule="atLeast"/>
          <w:jc w:val="center"/>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Arial"/>
                <w:color w:val="auto"/>
                <w:kern w:val="2"/>
                <w:sz w:val="22"/>
                <w:szCs w:val="22"/>
                <w:highlight w:val="none"/>
                <w:lang w:val="en-US" w:eastAsia="zh-CN" w:bidi="ar-SA"/>
              </w:rPr>
            </w:pPr>
            <w:r>
              <w:rPr>
                <w:rFonts w:hint="eastAsia" w:ascii="宋体" w:hAnsi="宋体" w:eastAsia="宋体" w:cs="Arial"/>
                <w:color w:val="auto"/>
                <w:sz w:val="22"/>
                <w:szCs w:val="22"/>
                <w:highlight w:val="none"/>
                <w:lang w:val="en-US" w:eastAsia="zh-CN"/>
              </w:rPr>
              <w:t>3</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Arial"/>
                <w:color w:val="auto"/>
                <w:kern w:val="2"/>
                <w:sz w:val="22"/>
                <w:szCs w:val="22"/>
                <w:highlight w:val="none"/>
                <w:lang w:val="en-US" w:eastAsia="zh-CN" w:bidi="ar-SA"/>
              </w:rPr>
            </w:pPr>
            <w:r>
              <w:rPr>
                <w:rFonts w:hint="eastAsia" w:ascii="宋体" w:hAnsi="宋体" w:cs="Arial"/>
                <w:color w:val="auto"/>
                <w:sz w:val="22"/>
                <w:szCs w:val="22"/>
                <w:highlight w:val="none"/>
                <w:lang w:val="en-US" w:eastAsia="zh-CN"/>
              </w:rPr>
              <w:t>投标人针对本项目的</w:t>
            </w:r>
            <w:r>
              <w:rPr>
                <w:rFonts w:hint="eastAsia" w:ascii="宋体" w:hAnsi="宋体" w:cs="Arial"/>
                <w:color w:val="auto"/>
                <w:sz w:val="22"/>
                <w:szCs w:val="22"/>
                <w:highlight w:val="none"/>
              </w:rPr>
              <w:t>保洁方案</w:t>
            </w: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default" w:ascii="宋体" w:hAnsi="宋体" w:eastAsia="宋体" w:cs="Arial"/>
                <w:color w:val="auto"/>
                <w:kern w:val="2"/>
                <w:sz w:val="22"/>
                <w:szCs w:val="22"/>
                <w:highlight w:val="none"/>
                <w:lang w:val="en-US" w:eastAsia="zh-CN" w:bidi="ar-SA"/>
              </w:rPr>
            </w:pPr>
            <w:r>
              <w:rPr>
                <w:rFonts w:hint="eastAsia" w:ascii="宋体" w:hAnsi="宋体" w:cs="Arial"/>
                <w:color w:val="auto"/>
                <w:sz w:val="22"/>
                <w:szCs w:val="22"/>
                <w:highlight w:val="none"/>
              </w:rPr>
              <w:t>0-</w:t>
            </w:r>
            <w:r>
              <w:rPr>
                <w:rFonts w:hint="eastAsia" w:ascii="宋体" w:hAnsi="宋体" w:cs="Arial"/>
                <w:color w:val="auto"/>
                <w:sz w:val="22"/>
                <w:szCs w:val="22"/>
                <w:highlight w:val="none"/>
                <w:lang w:val="en-US" w:eastAsia="zh-CN"/>
              </w:rPr>
              <w:t>10</w:t>
            </w:r>
            <w:r>
              <w:rPr>
                <w:rFonts w:hint="eastAsia" w:ascii="宋体"/>
                <w:color w:val="auto"/>
                <w:sz w:val="22"/>
                <w:highlight w:val="none"/>
              </w:rPr>
              <w:t>分</w:t>
            </w:r>
          </w:p>
        </w:tc>
        <w:tc>
          <w:tcPr>
            <w:tcW w:w="6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1.</w:t>
            </w:r>
            <w:r>
              <w:rPr>
                <w:rFonts w:ascii="宋体" w:hAnsi="宋体" w:cs="宋体"/>
                <w:color w:val="auto"/>
                <w:sz w:val="22"/>
                <w:szCs w:val="22"/>
                <w:highlight w:val="none"/>
              </w:rPr>
              <w:t>根据日常保洁方案，包括对牛皮</w:t>
            </w:r>
            <w:r>
              <w:rPr>
                <w:rFonts w:hint="eastAsia" w:ascii="宋体" w:hAnsi="宋体" w:cs="Arial"/>
                <w:color w:val="auto"/>
                <w:sz w:val="22"/>
                <w:szCs w:val="22"/>
                <w:highlight w:val="none"/>
              </w:rPr>
              <w:t>癣</w:t>
            </w:r>
            <w:r>
              <w:rPr>
                <w:rFonts w:ascii="宋体" w:hAnsi="宋体" w:cs="宋体"/>
                <w:color w:val="auto"/>
                <w:sz w:val="22"/>
                <w:szCs w:val="22"/>
                <w:highlight w:val="none"/>
              </w:rPr>
              <w:t>的清理和预防，具有针对性强、合理有效、操作性强，计划安排科学</w:t>
            </w:r>
            <w:r>
              <w:rPr>
                <w:rFonts w:hint="eastAsia" w:ascii="宋体" w:hAnsi="宋体" w:cs="宋体"/>
                <w:color w:val="auto"/>
                <w:sz w:val="22"/>
                <w:szCs w:val="22"/>
                <w:highlight w:val="none"/>
              </w:rPr>
              <w:t>，由评委综合打分。</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0-5分</w:t>
            </w:r>
            <w:r>
              <w:rPr>
                <w:rFonts w:hint="eastAsia" w:ascii="宋体" w:hAnsi="宋体" w:cs="宋体"/>
                <w:color w:val="auto"/>
                <w:sz w:val="22"/>
                <w:szCs w:val="22"/>
                <w:highlight w:val="none"/>
                <w:lang w:eastAsia="zh-CN"/>
              </w:rPr>
              <w:t>）</w:t>
            </w:r>
          </w:p>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Arial"/>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w:t>
            </w:r>
            <w:r>
              <w:rPr>
                <w:rFonts w:ascii="宋体" w:hAnsi="宋体" w:cs="宋体"/>
                <w:color w:val="auto"/>
                <w:sz w:val="22"/>
                <w:szCs w:val="22"/>
                <w:highlight w:val="none"/>
              </w:rPr>
              <w:t>针对本项目突破传统动作模式，保洁管理、作业措施有创新，使用的设施设备有创新的，</w:t>
            </w:r>
            <w:r>
              <w:rPr>
                <w:rFonts w:hint="eastAsia" w:ascii="宋体" w:hAnsi="宋体" w:cs="宋体"/>
                <w:color w:val="auto"/>
                <w:sz w:val="22"/>
                <w:szCs w:val="22"/>
                <w:highlight w:val="none"/>
              </w:rPr>
              <w:t>由评委综合打分。</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0-5分</w:t>
            </w:r>
            <w:r>
              <w:rPr>
                <w:rFonts w:hint="eastAsia" w:ascii="宋体" w:hAnsi="宋体" w:cs="宋体"/>
                <w:color w:val="auto"/>
                <w:sz w:val="22"/>
                <w:szCs w:val="22"/>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51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Arial"/>
                <w:color w:val="auto"/>
                <w:sz w:val="22"/>
                <w:szCs w:val="22"/>
                <w:highlight w:val="none"/>
                <w:lang w:val="en-US" w:eastAsia="zh-CN"/>
              </w:rPr>
            </w:pPr>
            <w:r>
              <w:rPr>
                <w:rFonts w:hint="eastAsia" w:ascii="宋体" w:hAnsi="宋体" w:eastAsia="宋体" w:cs="Arial"/>
                <w:color w:val="auto"/>
                <w:sz w:val="22"/>
                <w:szCs w:val="22"/>
                <w:highlight w:val="none"/>
                <w:lang w:val="en-US" w:eastAsia="zh-CN"/>
              </w:rPr>
              <w:t>4</w:t>
            </w:r>
          </w:p>
        </w:tc>
        <w:tc>
          <w:tcPr>
            <w:tcW w:w="1984"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Calibri" w:hAnsi="Calibri" w:eastAsia="宋体" w:cs="Times New Roman"/>
                <w:color w:val="auto"/>
                <w:kern w:val="2"/>
                <w:sz w:val="22"/>
                <w:szCs w:val="22"/>
                <w:highlight w:val="none"/>
                <w:lang w:val="en-US" w:eastAsia="zh-CN" w:bidi="ar-SA"/>
              </w:rPr>
            </w:pPr>
            <w:r>
              <w:rPr>
                <w:rFonts w:hint="eastAsia" w:ascii="宋体" w:hAnsi="宋体" w:cs="Arial"/>
                <w:color w:val="auto"/>
                <w:sz w:val="22"/>
                <w:szCs w:val="22"/>
                <w:highlight w:val="none"/>
                <w:lang w:val="en-US" w:eastAsia="zh-CN"/>
              </w:rPr>
              <w:t>针对本项目的</w:t>
            </w:r>
            <w:r>
              <w:rPr>
                <w:rFonts w:hint="eastAsia" w:ascii="宋体" w:hAnsi="宋体" w:eastAsia="宋体" w:cs="宋体"/>
                <w:color w:val="auto"/>
                <w:sz w:val="22"/>
                <w:szCs w:val="22"/>
                <w:highlight w:val="none"/>
              </w:rPr>
              <w:t>道路扬尘污染处理措施</w:t>
            </w:r>
          </w:p>
        </w:tc>
        <w:tc>
          <w:tcPr>
            <w:tcW w:w="1108"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default" w:ascii="Calibri" w:hAnsi="Calibri" w:eastAsia="宋体" w:cs="Times New Roman"/>
                <w:color w:val="auto"/>
                <w:kern w:val="2"/>
                <w:sz w:val="22"/>
                <w:szCs w:val="22"/>
                <w:highlight w:val="none"/>
                <w:lang w:val="en-US" w:eastAsia="zh-CN" w:bidi="ar-SA"/>
              </w:rPr>
            </w:pPr>
            <w:r>
              <w:rPr>
                <w:rFonts w:hint="eastAsia" w:ascii="宋体" w:hAnsi="宋体" w:eastAsia="宋体" w:cs="宋体"/>
                <w:color w:val="auto"/>
                <w:sz w:val="22"/>
                <w:szCs w:val="22"/>
                <w:highlight w:val="none"/>
              </w:rPr>
              <w:t>0-</w:t>
            </w:r>
            <w:r>
              <w:rPr>
                <w:rFonts w:hint="eastAsia" w:ascii="宋体" w:hAnsi="宋体" w:cs="宋体"/>
                <w:color w:val="auto"/>
                <w:sz w:val="22"/>
                <w:szCs w:val="22"/>
                <w:highlight w:val="none"/>
                <w:lang w:val="en-US" w:eastAsia="zh-CN"/>
              </w:rPr>
              <w:t>3</w:t>
            </w:r>
            <w:r>
              <w:rPr>
                <w:rFonts w:hint="eastAsia" w:ascii="宋体"/>
                <w:color w:val="auto"/>
                <w:sz w:val="22"/>
                <w:highlight w:val="none"/>
              </w:rPr>
              <w:t>分</w:t>
            </w:r>
          </w:p>
        </w:tc>
        <w:tc>
          <w:tcPr>
            <w:tcW w:w="687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b w:val="0"/>
                <w:bCs w:val="0"/>
                <w:i w:val="0"/>
                <w:iCs w:val="0"/>
                <w:color w:val="auto"/>
                <w:sz w:val="22"/>
                <w:szCs w:val="22"/>
                <w:highlight w:val="none"/>
                <w:u w:val="none"/>
              </w:rPr>
              <w:t>对道路扬尘问题的分析情况，提出针对性的措施（</w:t>
            </w:r>
            <w:r>
              <w:rPr>
                <w:rFonts w:hint="eastAsia" w:ascii="宋体" w:hAnsi="宋体" w:eastAsia="宋体" w:cs="宋体"/>
                <w:b w:val="0"/>
                <w:bCs w:val="0"/>
                <w:i w:val="0"/>
                <w:iCs w:val="0"/>
                <w:color w:val="auto"/>
                <w:sz w:val="22"/>
                <w:szCs w:val="22"/>
                <w:highlight w:val="none"/>
                <w:u w:val="none"/>
                <w:lang w:val="en-US" w:eastAsia="zh-CN"/>
              </w:rPr>
              <w:t>包括</w:t>
            </w:r>
            <w:r>
              <w:rPr>
                <w:rFonts w:hint="eastAsia" w:ascii="宋体" w:hAnsi="宋体" w:eastAsia="宋体" w:cs="宋体"/>
                <w:b w:val="0"/>
                <w:bCs w:val="0"/>
                <w:i w:val="0"/>
                <w:iCs w:val="0"/>
                <w:color w:val="auto"/>
                <w:sz w:val="22"/>
                <w:szCs w:val="22"/>
                <w:highlight w:val="none"/>
                <w:u w:val="none"/>
              </w:rPr>
              <w:t>在规定频次外增加冲洗和洒水次数等</w:t>
            </w:r>
            <w:r>
              <w:rPr>
                <w:rFonts w:hint="eastAsia" w:ascii="宋体" w:hAnsi="宋体" w:eastAsia="宋体" w:cs="宋体"/>
                <w:b w:val="0"/>
                <w:bCs w:val="0"/>
                <w:i w:val="0"/>
                <w:iCs w:val="0"/>
                <w:color w:val="auto"/>
                <w:sz w:val="22"/>
                <w:szCs w:val="22"/>
                <w:highlight w:val="none"/>
                <w:u w:val="none"/>
                <w:lang w:val="en-US" w:eastAsia="zh-CN"/>
              </w:rPr>
              <w:t>方面内容</w:t>
            </w:r>
            <w:r>
              <w:rPr>
                <w:rFonts w:hint="eastAsia" w:ascii="宋体" w:hAnsi="宋体" w:eastAsia="宋体" w:cs="宋体"/>
                <w:b w:val="0"/>
                <w:bCs w:val="0"/>
                <w:i w:val="0"/>
                <w:iCs w:val="0"/>
                <w:color w:val="auto"/>
                <w:sz w:val="22"/>
                <w:szCs w:val="22"/>
                <w:highlight w:val="none"/>
                <w:u w:val="none"/>
              </w:rPr>
              <w:t>）由评委综合打分。（0-</w:t>
            </w:r>
            <w:r>
              <w:rPr>
                <w:rFonts w:hint="eastAsia" w:ascii="宋体" w:hAnsi="宋体" w:eastAsia="宋体" w:cs="宋体"/>
                <w:b w:val="0"/>
                <w:bCs w:val="0"/>
                <w:i w:val="0"/>
                <w:iCs w:val="0"/>
                <w:color w:val="auto"/>
                <w:sz w:val="22"/>
                <w:szCs w:val="22"/>
                <w:highlight w:val="none"/>
                <w:u w:val="none"/>
                <w:lang w:val="en-US" w:eastAsia="zh-CN"/>
              </w:rPr>
              <w:t>3</w:t>
            </w:r>
            <w:r>
              <w:rPr>
                <w:rFonts w:hint="eastAsia" w:ascii="宋体" w:hAnsi="宋体" w:eastAsia="宋体" w:cs="宋体"/>
                <w:b w:val="0"/>
                <w:bCs w:val="0"/>
                <w:i w:val="0"/>
                <w:iCs w:val="0"/>
                <w:color w:val="auto"/>
                <w:sz w:val="22"/>
                <w:szCs w:val="22"/>
                <w:highlight w:val="none"/>
                <w:u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jc w:val="center"/>
        </w:trPr>
        <w:tc>
          <w:tcPr>
            <w:tcW w:w="515" w:type="dxa"/>
            <w:tcBorders>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Arial"/>
                <w:color w:val="auto"/>
                <w:kern w:val="2"/>
                <w:sz w:val="22"/>
                <w:szCs w:val="22"/>
                <w:highlight w:val="none"/>
                <w:lang w:val="en-US" w:eastAsia="zh-CN" w:bidi="ar-SA"/>
              </w:rPr>
            </w:pPr>
            <w:r>
              <w:rPr>
                <w:rFonts w:hint="eastAsia" w:ascii="宋体" w:hAnsi="宋体" w:eastAsia="宋体" w:cs="Arial"/>
                <w:color w:val="auto"/>
                <w:sz w:val="22"/>
                <w:szCs w:val="22"/>
                <w:highlight w:val="none"/>
                <w:lang w:val="en-US" w:eastAsia="zh-CN"/>
              </w:rPr>
              <w:t>5</w:t>
            </w:r>
          </w:p>
        </w:tc>
        <w:tc>
          <w:tcPr>
            <w:tcW w:w="1984"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Arial"/>
                <w:color w:val="auto"/>
                <w:kern w:val="2"/>
                <w:sz w:val="22"/>
                <w:szCs w:val="22"/>
                <w:highlight w:val="none"/>
                <w:lang w:val="en-US" w:eastAsia="zh-CN" w:bidi="ar-SA"/>
              </w:rPr>
            </w:pPr>
            <w:r>
              <w:rPr>
                <w:rFonts w:hint="eastAsia" w:ascii="宋体" w:hAnsi="宋体" w:cs="Arial"/>
                <w:color w:val="auto"/>
                <w:sz w:val="22"/>
                <w:szCs w:val="22"/>
                <w:highlight w:val="none"/>
                <w:lang w:val="en-US" w:eastAsia="zh-CN"/>
              </w:rPr>
              <w:t>针对本项目的</w:t>
            </w:r>
            <w:r>
              <w:rPr>
                <w:rFonts w:hint="eastAsia" w:ascii="宋体" w:hAnsi="宋体" w:cs="宋体"/>
                <w:color w:val="auto"/>
                <w:sz w:val="22"/>
                <w:szCs w:val="22"/>
                <w:highlight w:val="none"/>
                <w:lang w:val="en-US" w:eastAsia="zh-CN"/>
              </w:rPr>
              <w:t>垃圾屋（桶）清洁</w:t>
            </w:r>
            <w:r>
              <w:rPr>
                <w:rFonts w:hint="eastAsia" w:ascii="宋体" w:hAnsi="宋体" w:eastAsia="宋体" w:cs="宋体"/>
                <w:color w:val="auto"/>
                <w:sz w:val="22"/>
                <w:szCs w:val="22"/>
                <w:highlight w:val="none"/>
              </w:rPr>
              <w:t>措施</w:t>
            </w:r>
          </w:p>
        </w:tc>
        <w:tc>
          <w:tcPr>
            <w:tcW w:w="110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default"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0-</w:t>
            </w:r>
            <w:r>
              <w:rPr>
                <w:rFonts w:hint="default" w:ascii="宋体" w:hAnsi="宋体" w:cs="宋体"/>
                <w:color w:val="auto"/>
                <w:sz w:val="22"/>
                <w:szCs w:val="22"/>
                <w:highlight w:val="none"/>
                <w:lang w:val="en-US" w:eastAsia="zh-CN"/>
              </w:rPr>
              <w:t>6</w:t>
            </w:r>
            <w:r>
              <w:rPr>
                <w:rFonts w:hint="eastAsia" w:ascii="宋体"/>
                <w:color w:val="auto"/>
                <w:sz w:val="22"/>
                <w:highlight w:val="none"/>
              </w:rPr>
              <w:t>分</w:t>
            </w:r>
          </w:p>
        </w:tc>
        <w:tc>
          <w:tcPr>
            <w:tcW w:w="6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cs="宋体"/>
                <w:color w:val="auto"/>
                <w:sz w:val="22"/>
                <w:szCs w:val="22"/>
                <w:highlight w:val="none"/>
                <w:lang w:val="en-US" w:eastAsia="zh-CN"/>
              </w:rPr>
              <w:t>1.</w:t>
            </w:r>
            <w:r>
              <w:rPr>
                <w:rFonts w:hint="eastAsia" w:ascii="宋体" w:hAnsi="宋体" w:eastAsia="宋体" w:cs="宋体"/>
                <w:b w:val="0"/>
                <w:bCs w:val="0"/>
                <w:i w:val="0"/>
                <w:iCs w:val="0"/>
                <w:color w:val="auto"/>
                <w:sz w:val="22"/>
                <w:szCs w:val="22"/>
                <w:highlight w:val="none"/>
                <w:u w:val="none"/>
              </w:rPr>
              <w:t>针对</w:t>
            </w:r>
            <w:r>
              <w:rPr>
                <w:rFonts w:hint="eastAsia" w:ascii="宋体" w:hAnsi="宋体" w:eastAsia="宋体" w:cs="宋体"/>
                <w:b w:val="0"/>
                <w:bCs w:val="0"/>
                <w:i w:val="0"/>
                <w:iCs w:val="0"/>
                <w:color w:val="auto"/>
                <w:sz w:val="22"/>
                <w:szCs w:val="22"/>
                <w:highlight w:val="none"/>
                <w:u w:val="none"/>
                <w:lang w:val="en-US" w:eastAsia="zh-CN"/>
              </w:rPr>
              <w:t>垃圾屋（桶）的冲洗方案</w:t>
            </w:r>
            <w:r>
              <w:rPr>
                <w:rFonts w:hint="eastAsia" w:ascii="宋体" w:hAnsi="宋体" w:eastAsia="宋体" w:cs="宋体"/>
                <w:b w:val="0"/>
                <w:bCs w:val="0"/>
                <w:i w:val="0"/>
                <w:iCs w:val="0"/>
                <w:color w:val="auto"/>
                <w:sz w:val="22"/>
                <w:szCs w:val="22"/>
                <w:highlight w:val="none"/>
                <w:u w:val="none"/>
              </w:rPr>
              <w:t>，由评委综合打分。（0-</w:t>
            </w:r>
            <w:r>
              <w:rPr>
                <w:rFonts w:hint="default" w:ascii="宋体" w:hAnsi="宋体" w:eastAsia="宋体" w:cs="宋体"/>
                <w:b w:val="0"/>
                <w:bCs w:val="0"/>
                <w:i w:val="0"/>
                <w:iCs w:val="0"/>
                <w:color w:val="auto"/>
                <w:sz w:val="22"/>
                <w:szCs w:val="22"/>
                <w:highlight w:val="none"/>
                <w:u w:val="none"/>
                <w:lang w:val="en-US" w:eastAsia="zh-CN"/>
              </w:rPr>
              <w:t>3</w:t>
            </w:r>
            <w:r>
              <w:rPr>
                <w:rFonts w:hint="eastAsia" w:ascii="宋体" w:hAnsi="宋体" w:eastAsia="宋体" w:cs="宋体"/>
                <w:b w:val="0"/>
                <w:bCs w:val="0"/>
                <w:i w:val="0"/>
                <w:iCs w:val="0"/>
                <w:color w:val="auto"/>
                <w:sz w:val="22"/>
                <w:szCs w:val="22"/>
                <w:highlight w:val="none"/>
                <w:u w:val="none"/>
              </w:rPr>
              <w:t>分）</w:t>
            </w:r>
          </w:p>
          <w:p>
            <w:pPr>
              <w:pStyle w:val="11"/>
              <w:keepNext w:val="0"/>
              <w:keepLines w:val="0"/>
              <w:pageBreakBefore w:val="0"/>
              <w:widowControl w:val="0"/>
              <w:numPr>
                <w:ilvl w:val="-1"/>
                <w:numId w:val="0"/>
              </w:numPr>
              <w:kinsoku/>
              <w:wordWrap w:val="0"/>
              <w:overflowPunct/>
              <w:topLinePunct w:val="0"/>
              <w:autoSpaceDE/>
              <w:autoSpaceDN/>
              <w:bidi w:val="0"/>
              <w:adjustRightInd/>
              <w:snapToGrid/>
              <w:spacing w:line="240" w:lineRule="auto"/>
              <w:ind w:left="0" w:leftChars="0" w:right="0" w:rightChars="0" w:firstLine="0" w:firstLineChars="0"/>
              <w:jc w:val="both"/>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w:t>
            </w:r>
            <w:r>
              <w:rPr>
                <w:rFonts w:hint="eastAsia" w:ascii="宋体" w:hAnsi="宋体" w:eastAsia="宋体" w:cs="宋体"/>
                <w:b w:val="0"/>
                <w:bCs w:val="0"/>
                <w:i w:val="0"/>
                <w:iCs w:val="0"/>
                <w:color w:val="auto"/>
                <w:sz w:val="22"/>
                <w:szCs w:val="22"/>
                <w:highlight w:val="none"/>
                <w:u w:val="none"/>
                <w:lang w:val="en-US" w:eastAsia="zh-CN"/>
              </w:rPr>
              <w:t>针对垃圾屋（桶）冲洗水的处理</w:t>
            </w:r>
            <w:r>
              <w:rPr>
                <w:rFonts w:hint="eastAsia" w:ascii="宋体" w:hAnsi="宋体" w:eastAsia="宋体" w:cs="宋体"/>
                <w:b w:val="0"/>
                <w:bCs w:val="0"/>
                <w:i w:val="0"/>
                <w:iCs w:val="0"/>
                <w:color w:val="auto"/>
                <w:sz w:val="22"/>
                <w:szCs w:val="22"/>
                <w:highlight w:val="none"/>
                <w:u w:val="none"/>
              </w:rPr>
              <w:t>措施</w:t>
            </w:r>
            <w:r>
              <w:rPr>
                <w:rFonts w:hint="eastAsia" w:ascii="宋体" w:hAnsi="宋体" w:eastAsia="宋体" w:cs="宋体"/>
                <w:b w:val="0"/>
                <w:bCs w:val="0"/>
                <w:i w:val="0"/>
                <w:iCs w:val="0"/>
                <w:color w:val="auto"/>
                <w:sz w:val="22"/>
                <w:szCs w:val="22"/>
                <w:highlight w:val="none"/>
                <w:u w:val="none"/>
                <w:lang w:eastAsia="zh-CN"/>
              </w:rPr>
              <w:t>，</w:t>
            </w:r>
            <w:r>
              <w:rPr>
                <w:rFonts w:hint="eastAsia" w:ascii="宋体" w:hAnsi="宋体" w:eastAsia="宋体" w:cs="宋体"/>
                <w:b w:val="0"/>
                <w:bCs w:val="0"/>
                <w:i w:val="0"/>
                <w:iCs w:val="0"/>
                <w:color w:val="auto"/>
                <w:sz w:val="22"/>
                <w:szCs w:val="22"/>
                <w:highlight w:val="none"/>
                <w:u w:val="none"/>
                <w:lang w:val="en-US" w:eastAsia="zh-CN"/>
              </w:rPr>
              <w:t>结合环保及水循环利用等方面进行分析</w:t>
            </w:r>
            <w:r>
              <w:rPr>
                <w:rFonts w:hint="eastAsia" w:ascii="宋体" w:hAnsi="宋体" w:eastAsia="宋体" w:cs="宋体"/>
                <w:b w:val="0"/>
                <w:bCs w:val="0"/>
                <w:i w:val="0"/>
                <w:iCs w:val="0"/>
                <w:color w:val="auto"/>
                <w:sz w:val="22"/>
                <w:szCs w:val="22"/>
                <w:highlight w:val="none"/>
                <w:u w:val="none"/>
              </w:rPr>
              <w:t>，由评委综合打分。</w:t>
            </w:r>
            <w:r>
              <w:rPr>
                <w:rFonts w:hint="eastAsia" w:ascii="宋体" w:hAnsi="宋体" w:eastAsia="宋体" w:cs="宋体"/>
                <w:b w:val="0"/>
                <w:bCs w:val="0"/>
                <w:i w:val="0"/>
                <w:iCs w:val="0"/>
                <w:color w:val="auto"/>
                <w:sz w:val="22"/>
                <w:szCs w:val="22"/>
                <w:highlight w:val="none"/>
                <w:u w:val="none"/>
                <w:lang w:eastAsia="zh-CN"/>
              </w:rPr>
              <w:t>（</w:t>
            </w:r>
            <w:r>
              <w:rPr>
                <w:rFonts w:hint="eastAsia" w:ascii="宋体" w:hAnsi="宋体" w:eastAsia="宋体" w:cs="宋体"/>
                <w:b w:val="0"/>
                <w:bCs w:val="0"/>
                <w:i w:val="0"/>
                <w:iCs w:val="0"/>
                <w:color w:val="auto"/>
                <w:sz w:val="22"/>
                <w:szCs w:val="22"/>
                <w:highlight w:val="none"/>
                <w:u w:val="none"/>
                <w:lang w:val="en-US" w:eastAsia="zh-CN"/>
              </w:rPr>
              <w:t>0-3分</w:t>
            </w:r>
            <w:r>
              <w:rPr>
                <w:rFonts w:hint="eastAsia" w:ascii="宋体" w:hAnsi="宋体" w:eastAsia="宋体" w:cs="宋体"/>
                <w:b w:val="0"/>
                <w:bCs w:val="0"/>
                <w:i w:val="0"/>
                <w:iCs w:val="0"/>
                <w:color w:val="auto"/>
                <w:sz w:val="22"/>
                <w:szCs w:val="22"/>
                <w:highlight w:val="none"/>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jc w:val="center"/>
        </w:trPr>
        <w:tc>
          <w:tcPr>
            <w:tcW w:w="515" w:type="dxa"/>
            <w:tcBorders>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Arial"/>
                <w:color w:val="auto"/>
                <w:kern w:val="2"/>
                <w:sz w:val="22"/>
                <w:szCs w:val="22"/>
                <w:highlight w:val="none"/>
                <w:lang w:val="en-US" w:eastAsia="zh-CN" w:bidi="ar-SA"/>
              </w:rPr>
            </w:pPr>
            <w:r>
              <w:rPr>
                <w:rFonts w:hint="eastAsia" w:ascii="宋体" w:hAnsi="宋体" w:eastAsia="宋体" w:cs="Arial"/>
                <w:color w:val="auto"/>
                <w:sz w:val="22"/>
                <w:szCs w:val="22"/>
                <w:highlight w:val="none"/>
                <w:lang w:val="en-US" w:eastAsia="zh-CN"/>
              </w:rPr>
              <w:t>6</w:t>
            </w:r>
          </w:p>
        </w:tc>
        <w:tc>
          <w:tcPr>
            <w:tcW w:w="1984" w:type="dxa"/>
            <w:tcBorders>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Arial"/>
                <w:color w:val="auto"/>
                <w:kern w:val="2"/>
                <w:sz w:val="22"/>
                <w:szCs w:val="22"/>
                <w:highlight w:val="none"/>
                <w:lang w:val="en-US" w:eastAsia="zh-CN" w:bidi="ar-SA"/>
              </w:rPr>
            </w:pPr>
            <w:r>
              <w:rPr>
                <w:rFonts w:hint="eastAsia" w:ascii="宋体" w:hAnsi="宋体" w:cs="Arial"/>
                <w:color w:val="auto"/>
                <w:sz w:val="22"/>
                <w:szCs w:val="22"/>
                <w:highlight w:val="none"/>
                <w:lang w:val="en-US" w:eastAsia="zh-CN"/>
              </w:rPr>
              <w:t>针对</w:t>
            </w:r>
            <w:r>
              <w:rPr>
                <w:rFonts w:hint="eastAsia" w:ascii="宋体" w:hAnsi="宋体" w:cs="Arial"/>
                <w:color w:val="auto"/>
                <w:sz w:val="22"/>
                <w:szCs w:val="22"/>
                <w:highlight w:val="none"/>
              </w:rPr>
              <w:t>本项目突发</w:t>
            </w:r>
            <w:r>
              <w:rPr>
                <w:rFonts w:hint="eastAsia" w:ascii="宋体" w:hAnsi="宋体" w:cs="Arial"/>
                <w:color w:val="auto"/>
                <w:sz w:val="22"/>
                <w:szCs w:val="22"/>
                <w:highlight w:val="none"/>
                <w:lang w:val="en-US" w:eastAsia="zh-CN"/>
              </w:rPr>
              <w:t>情况</w:t>
            </w:r>
            <w:r>
              <w:rPr>
                <w:rFonts w:hint="eastAsia" w:ascii="宋体" w:hAnsi="宋体" w:cs="Arial"/>
                <w:color w:val="auto"/>
                <w:sz w:val="22"/>
                <w:szCs w:val="22"/>
                <w:highlight w:val="none"/>
              </w:rPr>
              <w:t>响应及处理方案</w:t>
            </w:r>
          </w:p>
        </w:tc>
        <w:tc>
          <w:tcPr>
            <w:tcW w:w="1108" w:type="dxa"/>
            <w:tcBorders>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Arial"/>
                <w:color w:val="auto"/>
                <w:kern w:val="2"/>
                <w:sz w:val="22"/>
                <w:szCs w:val="22"/>
                <w:highlight w:val="none"/>
                <w:lang w:val="en-US" w:eastAsia="zh-CN" w:bidi="ar-SA"/>
              </w:rPr>
            </w:pPr>
            <w:r>
              <w:rPr>
                <w:rFonts w:hint="eastAsia" w:ascii="宋体" w:hAnsi="宋体" w:cs="Arial"/>
                <w:color w:val="auto"/>
                <w:sz w:val="22"/>
                <w:szCs w:val="22"/>
                <w:highlight w:val="none"/>
              </w:rPr>
              <w:t>0-</w:t>
            </w:r>
            <w:r>
              <w:rPr>
                <w:rFonts w:hint="default" w:ascii="宋体" w:hAnsi="宋体" w:cs="Arial"/>
                <w:color w:val="auto"/>
                <w:sz w:val="22"/>
                <w:szCs w:val="22"/>
                <w:highlight w:val="none"/>
                <w:lang w:val="en-US" w:eastAsia="zh-CN"/>
              </w:rPr>
              <w:t>8</w:t>
            </w:r>
            <w:r>
              <w:rPr>
                <w:rFonts w:hint="eastAsia" w:ascii="宋体"/>
                <w:color w:val="auto"/>
                <w:sz w:val="22"/>
                <w:highlight w:val="none"/>
              </w:rPr>
              <w:t>分</w:t>
            </w:r>
          </w:p>
        </w:tc>
        <w:tc>
          <w:tcPr>
            <w:tcW w:w="6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wordWrap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sz w:val="22"/>
                <w:szCs w:val="22"/>
                <w:highlight w:val="none"/>
                <w:u w:val="none"/>
                <w:lang w:val="en-US" w:eastAsia="zh-CN"/>
              </w:rPr>
              <w:t>针对</w:t>
            </w:r>
            <w:r>
              <w:rPr>
                <w:rFonts w:hint="eastAsia" w:ascii="宋体" w:hAnsi="宋体" w:eastAsia="宋体" w:cs="宋体"/>
                <w:b w:val="0"/>
                <w:bCs w:val="0"/>
                <w:i w:val="0"/>
                <w:iCs w:val="0"/>
                <w:color w:val="auto"/>
                <w:sz w:val="22"/>
                <w:szCs w:val="22"/>
                <w:highlight w:val="none"/>
                <w:u w:val="none"/>
              </w:rPr>
              <w:t>城市应急</w:t>
            </w:r>
            <w:r>
              <w:rPr>
                <w:rFonts w:hint="eastAsia" w:ascii="宋体" w:hAnsi="宋体" w:eastAsia="宋体" w:cs="宋体"/>
                <w:b w:val="0"/>
                <w:bCs w:val="0"/>
                <w:i w:val="0"/>
                <w:iCs w:val="0"/>
                <w:color w:val="auto"/>
                <w:sz w:val="22"/>
                <w:szCs w:val="22"/>
                <w:highlight w:val="none"/>
                <w:u w:val="none"/>
                <w:lang w:val="en-US" w:eastAsia="zh-CN"/>
              </w:rPr>
              <w:t>或突发事件的处理预案</w:t>
            </w:r>
            <w:r>
              <w:rPr>
                <w:rFonts w:hint="eastAsia" w:ascii="宋体" w:hAnsi="宋体" w:eastAsia="宋体" w:cs="宋体"/>
                <w:b w:val="0"/>
                <w:bCs w:val="0"/>
                <w:i w:val="0"/>
                <w:iCs w:val="0"/>
                <w:color w:val="auto"/>
                <w:sz w:val="22"/>
                <w:szCs w:val="22"/>
                <w:highlight w:val="none"/>
                <w:u w:val="none"/>
                <w:lang w:eastAsia="zh-CN"/>
              </w:rPr>
              <w:t>，</w:t>
            </w:r>
            <w:r>
              <w:rPr>
                <w:rFonts w:hint="eastAsia" w:ascii="宋体" w:hAnsi="宋体" w:eastAsia="宋体" w:cs="宋体"/>
                <w:b w:val="0"/>
                <w:bCs w:val="0"/>
                <w:i w:val="0"/>
                <w:iCs w:val="0"/>
                <w:color w:val="auto"/>
                <w:sz w:val="22"/>
                <w:szCs w:val="22"/>
                <w:highlight w:val="none"/>
                <w:u w:val="none"/>
                <w:lang w:val="en-US" w:eastAsia="zh-CN"/>
              </w:rPr>
              <w:t>根据拟投入的人员和设备，应急实施方案、过程中可能发生的重难点问题等方面进行详细论述。根据其提供方案的针对性、可行性、合理性和创新性等，</w:t>
            </w:r>
            <w:r>
              <w:rPr>
                <w:rFonts w:hint="eastAsia" w:ascii="宋体" w:hAnsi="宋体" w:eastAsia="宋体" w:cs="宋体"/>
                <w:b w:val="0"/>
                <w:bCs w:val="0"/>
                <w:i w:val="0"/>
                <w:iCs w:val="0"/>
                <w:color w:val="auto"/>
                <w:sz w:val="22"/>
                <w:szCs w:val="22"/>
                <w:highlight w:val="none"/>
                <w:u w:val="none"/>
              </w:rPr>
              <w:t>由评委综合打分。</w:t>
            </w:r>
          </w:p>
          <w:p>
            <w:pPr>
              <w:keepNext w:val="0"/>
              <w:keepLines w:val="0"/>
              <w:widowControl/>
              <w:suppressLineNumbers w:val="0"/>
              <w:wordWrap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sz w:val="22"/>
                <w:szCs w:val="22"/>
                <w:highlight w:val="none"/>
                <w:u w:val="none"/>
                <w:lang w:val="en-US" w:eastAsia="zh-CN"/>
              </w:rPr>
              <w:t>1、</w:t>
            </w:r>
            <w:r>
              <w:rPr>
                <w:rFonts w:hint="eastAsia" w:ascii="宋体" w:hAnsi="宋体" w:eastAsia="宋体" w:cs="宋体"/>
                <w:b w:val="0"/>
                <w:bCs w:val="0"/>
                <w:i w:val="0"/>
                <w:iCs w:val="0"/>
                <w:color w:val="auto"/>
                <w:sz w:val="22"/>
                <w:szCs w:val="22"/>
                <w:highlight w:val="none"/>
                <w:u w:val="none"/>
              </w:rPr>
              <w:t>抗雪防冻</w:t>
            </w:r>
            <w:r>
              <w:rPr>
                <w:rFonts w:hint="eastAsia" w:ascii="宋体" w:hAnsi="宋体" w:eastAsia="宋体" w:cs="宋体"/>
                <w:b w:val="0"/>
                <w:bCs w:val="0"/>
                <w:i w:val="0"/>
                <w:iCs w:val="0"/>
                <w:color w:val="auto"/>
                <w:sz w:val="22"/>
                <w:szCs w:val="22"/>
                <w:highlight w:val="none"/>
                <w:u w:val="none"/>
                <w:lang w:val="en-US" w:eastAsia="zh-CN"/>
              </w:rPr>
              <w:t>事件</w:t>
            </w:r>
            <w:r>
              <w:rPr>
                <w:rFonts w:hint="eastAsia" w:ascii="宋体" w:hAnsi="宋体" w:eastAsia="宋体" w:cs="宋体"/>
                <w:b w:val="0"/>
                <w:bCs w:val="0"/>
                <w:i w:val="0"/>
                <w:iCs w:val="0"/>
                <w:color w:val="auto"/>
                <w:sz w:val="22"/>
                <w:szCs w:val="22"/>
                <w:highlight w:val="none"/>
                <w:u w:val="none"/>
                <w:lang w:eastAsia="zh-CN"/>
              </w:rPr>
              <w:t>（</w:t>
            </w:r>
            <w:r>
              <w:rPr>
                <w:rFonts w:hint="eastAsia" w:ascii="宋体" w:hAnsi="宋体" w:eastAsia="宋体" w:cs="宋体"/>
                <w:b w:val="0"/>
                <w:bCs w:val="0"/>
                <w:i w:val="0"/>
                <w:iCs w:val="0"/>
                <w:color w:val="auto"/>
                <w:sz w:val="22"/>
                <w:szCs w:val="22"/>
                <w:highlight w:val="none"/>
                <w:u w:val="none"/>
                <w:lang w:val="en-US" w:eastAsia="zh-CN"/>
              </w:rPr>
              <w:t>0-</w:t>
            </w:r>
            <w:r>
              <w:rPr>
                <w:rFonts w:hint="default" w:ascii="宋体" w:hAnsi="宋体" w:eastAsia="宋体" w:cs="宋体"/>
                <w:b w:val="0"/>
                <w:bCs w:val="0"/>
                <w:i w:val="0"/>
                <w:iCs w:val="0"/>
                <w:color w:val="auto"/>
                <w:sz w:val="22"/>
                <w:szCs w:val="22"/>
                <w:highlight w:val="none"/>
                <w:u w:val="none"/>
                <w:lang w:val="en-US" w:eastAsia="zh-CN"/>
              </w:rPr>
              <w:t>2</w:t>
            </w:r>
            <w:r>
              <w:rPr>
                <w:rFonts w:hint="eastAsia" w:ascii="宋体" w:hAnsi="宋体" w:eastAsia="宋体" w:cs="宋体"/>
                <w:b w:val="0"/>
                <w:bCs w:val="0"/>
                <w:i w:val="0"/>
                <w:iCs w:val="0"/>
                <w:color w:val="auto"/>
                <w:sz w:val="22"/>
                <w:szCs w:val="22"/>
                <w:highlight w:val="none"/>
                <w:u w:val="none"/>
                <w:lang w:val="en-US" w:eastAsia="zh-CN"/>
              </w:rPr>
              <w:t>分</w:t>
            </w:r>
            <w:r>
              <w:rPr>
                <w:rFonts w:hint="eastAsia" w:ascii="宋体" w:hAnsi="宋体" w:eastAsia="宋体" w:cs="宋体"/>
                <w:b w:val="0"/>
                <w:bCs w:val="0"/>
                <w:i w:val="0"/>
                <w:iCs w:val="0"/>
                <w:color w:val="auto"/>
                <w:sz w:val="22"/>
                <w:szCs w:val="22"/>
                <w:highlight w:val="none"/>
                <w:u w:val="none"/>
                <w:lang w:eastAsia="zh-CN"/>
              </w:rPr>
              <w:t>）</w:t>
            </w:r>
          </w:p>
          <w:p>
            <w:pPr>
              <w:keepNext w:val="0"/>
              <w:keepLines w:val="0"/>
              <w:widowControl/>
              <w:suppressLineNumbers w:val="0"/>
              <w:wordWrap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sz w:val="22"/>
                <w:szCs w:val="22"/>
                <w:highlight w:val="none"/>
                <w:u w:val="none"/>
                <w:lang w:val="en-US" w:eastAsia="zh-CN"/>
              </w:rPr>
              <w:t>2、</w:t>
            </w:r>
            <w:r>
              <w:rPr>
                <w:rFonts w:hint="eastAsia" w:ascii="宋体" w:hAnsi="宋体" w:eastAsia="宋体" w:cs="宋体"/>
                <w:b w:val="0"/>
                <w:bCs w:val="0"/>
                <w:i w:val="0"/>
                <w:iCs w:val="0"/>
                <w:color w:val="auto"/>
                <w:sz w:val="22"/>
                <w:szCs w:val="22"/>
                <w:highlight w:val="none"/>
                <w:u w:val="none"/>
              </w:rPr>
              <w:t>防台防汛</w:t>
            </w:r>
            <w:r>
              <w:rPr>
                <w:rFonts w:hint="eastAsia" w:ascii="宋体" w:hAnsi="宋体" w:eastAsia="宋体" w:cs="宋体"/>
                <w:b w:val="0"/>
                <w:bCs w:val="0"/>
                <w:i w:val="0"/>
                <w:iCs w:val="0"/>
                <w:color w:val="auto"/>
                <w:sz w:val="22"/>
                <w:szCs w:val="22"/>
                <w:highlight w:val="none"/>
                <w:u w:val="none"/>
                <w:lang w:val="en-US" w:eastAsia="zh-CN"/>
              </w:rPr>
              <w:t>事件</w:t>
            </w:r>
            <w:r>
              <w:rPr>
                <w:rFonts w:hint="eastAsia" w:ascii="宋体" w:hAnsi="宋体" w:eastAsia="宋体" w:cs="宋体"/>
                <w:b w:val="0"/>
                <w:bCs w:val="0"/>
                <w:i w:val="0"/>
                <w:iCs w:val="0"/>
                <w:color w:val="auto"/>
                <w:sz w:val="22"/>
                <w:szCs w:val="22"/>
                <w:highlight w:val="none"/>
                <w:u w:val="none"/>
                <w:lang w:eastAsia="zh-CN"/>
              </w:rPr>
              <w:t>（</w:t>
            </w:r>
            <w:r>
              <w:rPr>
                <w:rFonts w:hint="eastAsia" w:ascii="宋体" w:hAnsi="宋体" w:eastAsia="宋体" w:cs="宋体"/>
                <w:b w:val="0"/>
                <w:bCs w:val="0"/>
                <w:i w:val="0"/>
                <w:iCs w:val="0"/>
                <w:color w:val="auto"/>
                <w:sz w:val="22"/>
                <w:szCs w:val="22"/>
                <w:highlight w:val="none"/>
                <w:u w:val="none"/>
                <w:lang w:val="en-US" w:eastAsia="zh-CN"/>
              </w:rPr>
              <w:t>0-</w:t>
            </w:r>
            <w:r>
              <w:rPr>
                <w:rFonts w:hint="default" w:ascii="宋体" w:hAnsi="宋体" w:eastAsia="宋体" w:cs="宋体"/>
                <w:b w:val="0"/>
                <w:bCs w:val="0"/>
                <w:i w:val="0"/>
                <w:iCs w:val="0"/>
                <w:color w:val="auto"/>
                <w:sz w:val="22"/>
                <w:szCs w:val="22"/>
                <w:highlight w:val="none"/>
                <w:u w:val="none"/>
                <w:lang w:val="en-US" w:eastAsia="zh-CN"/>
              </w:rPr>
              <w:t>4</w:t>
            </w:r>
            <w:r>
              <w:rPr>
                <w:rFonts w:hint="eastAsia" w:ascii="宋体" w:hAnsi="宋体" w:eastAsia="宋体" w:cs="宋体"/>
                <w:b w:val="0"/>
                <w:bCs w:val="0"/>
                <w:i w:val="0"/>
                <w:iCs w:val="0"/>
                <w:color w:val="auto"/>
                <w:sz w:val="22"/>
                <w:szCs w:val="22"/>
                <w:highlight w:val="none"/>
                <w:u w:val="none"/>
                <w:lang w:val="en-US" w:eastAsia="zh-CN"/>
              </w:rPr>
              <w:t>分</w:t>
            </w:r>
            <w:r>
              <w:rPr>
                <w:rFonts w:hint="eastAsia" w:ascii="宋体" w:hAnsi="宋体" w:eastAsia="宋体" w:cs="宋体"/>
                <w:b w:val="0"/>
                <w:bCs w:val="0"/>
                <w:i w:val="0"/>
                <w:iCs w:val="0"/>
                <w:color w:val="auto"/>
                <w:sz w:val="22"/>
                <w:szCs w:val="22"/>
                <w:highlight w:val="none"/>
                <w:u w:val="none"/>
                <w:lang w:eastAsia="zh-CN"/>
              </w:rPr>
              <w:t>）</w:t>
            </w:r>
          </w:p>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Arial"/>
                <w:color w:val="auto"/>
                <w:kern w:val="2"/>
                <w:sz w:val="22"/>
                <w:szCs w:val="22"/>
                <w:highlight w:val="none"/>
                <w:lang w:val="en-US" w:eastAsia="zh-CN" w:bidi="ar-SA"/>
              </w:rPr>
            </w:pPr>
            <w:r>
              <w:rPr>
                <w:rFonts w:hint="eastAsia" w:ascii="宋体" w:hAnsi="宋体" w:eastAsia="宋体" w:cs="宋体"/>
                <w:b w:val="0"/>
                <w:bCs w:val="0"/>
                <w:i w:val="0"/>
                <w:iCs w:val="0"/>
                <w:color w:val="auto"/>
                <w:sz w:val="22"/>
                <w:szCs w:val="22"/>
                <w:highlight w:val="none"/>
                <w:u w:val="none"/>
                <w:lang w:val="en-US" w:eastAsia="zh-CN"/>
              </w:rPr>
              <w:t>3、</w:t>
            </w:r>
            <w:r>
              <w:rPr>
                <w:rFonts w:hint="eastAsia" w:ascii="宋体" w:hAnsi="宋体" w:eastAsia="宋体" w:cs="宋体"/>
                <w:b w:val="0"/>
                <w:bCs w:val="0"/>
                <w:i w:val="0"/>
                <w:iCs w:val="0"/>
                <w:color w:val="auto"/>
                <w:sz w:val="22"/>
                <w:szCs w:val="22"/>
                <w:highlight w:val="none"/>
                <w:u w:val="none"/>
              </w:rPr>
              <w:t>高温</w:t>
            </w:r>
            <w:r>
              <w:rPr>
                <w:rFonts w:hint="eastAsia" w:ascii="宋体" w:hAnsi="宋体" w:eastAsia="宋体" w:cs="宋体"/>
                <w:b w:val="0"/>
                <w:bCs w:val="0"/>
                <w:i w:val="0"/>
                <w:iCs w:val="0"/>
                <w:color w:val="auto"/>
                <w:sz w:val="22"/>
                <w:szCs w:val="22"/>
                <w:highlight w:val="none"/>
                <w:u w:val="none"/>
                <w:lang w:val="en-US" w:eastAsia="zh-CN"/>
              </w:rPr>
              <w:t>防暑事件</w:t>
            </w:r>
            <w:r>
              <w:rPr>
                <w:rFonts w:hint="eastAsia" w:ascii="宋体" w:hAnsi="宋体" w:eastAsia="宋体" w:cs="宋体"/>
                <w:b w:val="0"/>
                <w:bCs w:val="0"/>
                <w:i w:val="0"/>
                <w:iCs w:val="0"/>
                <w:color w:val="auto"/>
                <w:sz w:val="22"/>
                <w:szCs w:val="22"/>
                <w:highlight w:val="none"/>
                <w:u w:val="none"/>
                <w:lang w:eastAsia="zh-CN"/>
              </w:rPr>
              <w:t>（</w:t>
            </w:r>
            <w:r>
              <w:rPr>
                <w:rFonts w:hint="eastAsia" w:ascii="宋体" w:hAnsi="宋体" w:eastAsia="宋体" w:cs="宋体"/>
                <w:b w:val="0"/>
                <w:bCs w:val="0"/>
                <w:i w:val="0"/>
                <w:iCs w:val="0"/>
                <w:color w:val="auto"/>
                <w:sz w:val="22"/>
                <w:szCs w:val="22"/>
                <w:highlight w:val="none"/>
                <w:u w:val="none"/>
                <w:lang w:val="en-US" w:eastAsia="zh-CN"/>
              </w:rPr>
              <w:t>0-</w:t>
            </w:r>
            <w:r>
              <w:rPr>
                <w:rFonts w:hint="default" w:ascii="宋体" w:hAnsi="宋体" w:eastAsia="宋体" w:cs="宋体"/>
                <w:b w:val="0"/>
                <w:bCs w:val="0"/>
                <w:i w:val="0"/>
                <w:iCs w:val="0"/>
                <w:color w:val="auto"/>
                <w:sz w:val="22"/>
                <w:szCs w:val="22"/>
                <w:highlight w:val="none"/>
                <w:u w:val="none"/>
                <w:lang w:val="en-US" w:eastAsia="zh-CN"/>
              </w:rPr>
              <w:t>2</w:t>
            </w:r>
            <w:r>
              <w:rPr>
                <w:rFonts w:hint="eastAsia" w:ascii="宋体" w:hAnsi="宋体" w:eastAsia="宋体" w:cs="宋体"/>
                <w:b w:val="0"/>
                <w:bCs w:val="0"/>
                <w:i w:val="0"/>
                <w:iCs w:val="0"/>
                <w:color w:val="auto"/>
                <w:sz w:val="22"/>
                <w:szCs w:val="22"/>
                <w:highlight w:val="none"/>
                <w:u w:val="none"/>
                <w:lang w:val="en-US" w:eastAsia="zh-CN"/>
              </w:rPr>
              <w:t>分</w:t>
            </w:r>
            <w:r>
              <w:rPr>
                <w:rFonts w:hint="eastAsia" w:ascii="宋体" w:hAnsi="宋体" w:eastAsia="宋体" w:cs="宋体"/>
                <w:b w:val="0"/>
                <w:bCs w:val="0"/>
                <w:i w:val="0"/>
                <w:iCs w:val="0"/>
                <w:color w:val="auto"/>
                <w:sz w:val="22"/>
                <w:szCs w:val="22"/>
                <w:highlight w:val="none"/>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1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Arial"/>
                <w:color w:val="auto"/>
                <w:kern w:val="2"/>
                <w:sz w:val="22"/>
                <w:szCs w:val="22"/>
                <w:highlight w:val="none"/>
                <w:lang w:val="en-US" w:eastAsia="zh-CN" w:bidi="ar-SA"/>
              </w:rPr>
            </w:pPr>
            <w:r>
              <w:rPr>
                <w:rFonts w:hint="eastAsia" w:ascii="宋体" w:hAnsi="宋体" w:eastAsia="宋体" w:cs="Arial"/>
                <w:color w:val="auto"/>
                <w:sz w:val="22"/>
                <w:szCs w:val="22"/>
                <w:highlight w:val="none"/>
                <w:lang w:val="en-US" w:eastAsia="zh-CN"/>
              </w:rPr>
              <w:t>7</w:t>
            </w:r>
          </w:p>
        </w:tc>
        <w:tc>
          <w:tcPr>
            <w:tcW w:w="1984"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Arial"/>
                <w:color w:val="auto"/>
                <w:kern w:val="2"/>
                <w:sz w:val="22"/>
                <w:szCs w:val="22"/>
                <w:highlight w:val="none"/>
                <w:lang w:val="en-US" w:eastAsia="zh-CN" w:bidi="ar-SA"/>
              </w:rPr>
            </w:pPr>
            <w:r>
              <w:rPr>
                <w:rFonts w:hint="eastAsia" w:ascii="宋体" w:hAnsi="宋体" w:cs="Arial"/>
                <w:color w:val="auto"/>
                <w:sz w:val="22"/>
                <w:szCs w:val="22"/>
                <w:highlight w:val="none"/>
              </w:rPr>
              <w:t>各项工作的操作规程、标准、承诺的合理性及可行性</w:t>
            </w:r>
          </w:p>
        </w:tc>
        <w:tc>
          <w:tcPr>
            <w:tcW w:w="110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Arial"/>
                <w:color w:val="auto"/>
                <w:kern w:val="2"/>
                <w:sz w:val="22"/>
                <w:szCs w:val="22"/>
                <w:highlight w:val="none"/>
                <w:lang w:val="en-US" w:eastAsia="zh-CN" w:bidi="ar-SA"/>
              </w:rPr>
            </w:pPr>
            <w:r>
              <w:rPr>
                <w:rFonts w:hint="eastAsia" w:ascii="宋体" w:hAnsi="宋体" w:cs="Arial"/>
                <w:color w:val="auto"/>
                <w:sz w:val="22"/>
                <w:szCs w:val="22"/>
                <w:highlight w:val="none"/>
              </w:rPr>
              <w:t>0-</w:t>
            </w:r>
            <w:r>
              <w:rPr>
                <w:rFonts w:hint="eastAsia" w:ascii="宋体" w:hAnsi="宋体" w:cs="Arial"/>
                <w:color w:val="auto"/>
                <w:sz w:val="22"/>
                <w:szCs w:val="22"/>
                <w:highlight w:val="none"/>
                <w:lang w:val="en-US" w:eastAsia="zh-CN"/>
              </w:rPr>
              <w:t>5</w:t>
            </w:r>
            <w:r>
              <w:rPr>
                <w:rFonts w:hint="eastAsia" w:ascii="宋体"/>
                <w:color w:val="auto"/>
                <w:sz w:val="22"/>
                <w:highlight w:val="none"/>
              </w:rPr>
              <w:t>分</w:t>
            </w:r>
          </w:p>
        </w:tc>
        <w:tc>
          <w:tcPr>
            <w:tcW w:w="687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Arial"/>
                <w:color w:val="auto"/>
                <w:kern w:val="2"/>
                <w:sz w:val="22"/>
                <w:szCs w:val="22"/>
                <w:highlight w:val="none"/>
                <w:lang w:val="en-US" w:eastAsia="zh-CN" w:bidi="ar-SA"/>
              </w:rPr>
            </w:pPr>
            <w:r>
              <w:rPr>
                <w:rFonts w:ascii="宋体" w:hAnsi="宋体" w:cs="宋体"/>
                <w:color w:val="auto"/>
                <w:sz w:val="22"/>
                <w:szCs w:val="22"/>
                <w:highlight w:val="none"/>
              </w:rPr>
              <w:t>根据对本项目各项工作所制定采用的操作规程，标准，承通是否明确，科学，可行:质量的控制和检验手段是否科学、可靠</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由评委综合打分。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0-5分</w:t>
            </w:r>
            <w:r>
              <w:rPr>
                <w:rFonts w:hint="eastAsia" w:ascii="宋体" w:hAnsi="宋体" w:eastAsia="宋体" w:cs="宋体"/>
                <w:color w:val="auto"/>
                <w:sz w:val="22"/>
                <w:szCs w:val="22"/>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 w:hRule="atLeast"/>
          <w:jc w:val="center"/>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Arial"/>
                <w:color w:val="auto"/>
                <w:kern w:val="2"/>
                <w:sz w:val="22"/>
                <w:szCs w:val="22"/>
                <w:highlight w:val="none"/>
                <w:lang w:val="en-US" w:eastAsia="zh-CN" w:bidi="ar-SA"/>
              </w:rPr>
            </w:pPr>
            <w:r>
              <w:rPr>
                <w:rFonts w:hint="eastAsia" w:ascii="宋体" w:hAnsi="宋体" w:eastAsia="宋体" w:cs="Arial"/>
                <w:color w:val="auto"/>
                <w:sz w:val="22"/>
                <w:szCs w:val="22"/>
                <w:highlight w:val="none"/>
                <w:lang w:val="en-US" w:eastAsia="zh-CN"/>
              </w:rPr>
              <w:t>8</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Arial"/>
                <w:color w:val="auto"/>
                <w:kern w:val="2"/>
                <w:sz w:val="22"/>
                <w:szCs w:val="22"/>
                <w:highlight w:val="none"/>
                <w:lang w:val="en-US" w:eastAsia="zh-CN" w:bidi="ar-SA"/>
              </w:rPr>
            </w:pPr>
            <w:r>
              <w:rPr>
                <w:rFonts w:hint="eastAsia" w:ascii="宋体" w:hAnsi="宋体" w:cs="Arial"/>
                <w:color w:val="auto"/>
                <w:sz w:val="22"/>
                <w:szCs w:val="22"/>
                <w:highlight w:val="none"/>
              </w:rPr>
              <w:t>保洁作业管理制度、措施</w:t>
            </w: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Arial"/>
                <w:color w:val="auto"/>
                <w:kern w:val="2"/>
                <w:sz w:val="22"/>
                <w:szCs w:val="22"/>
                <w:highlight w:val="none"/>
                <w:lang w:val="en-US" w:eastAsia="zh-CN" w:bidi="ar-SA"/>
              </w:rPr>
            </w:pPr>
            <w:r>
              <w:rPr>
                <w:rFonts w:hint="eastAsia" w:ascii="宋体" w:hAnsi="宋体" w:cs="Arial"/>
                <w:color w:val="auto"/>
                <w:sz w:val="22"/>
                <w:szCs w:val="22"/>
                <w:highlight w:val="none"/>
              </w:rPr>
              <w:t>0-</w:t>
            </w:r>
            <w:r>
              <w:rPr>
                <w:rFonts w:hint="default" w:ascii="宋体" w:hAnsi="宋体" w:cs="Arial"/>
                <w:color w:val="auto"/>
                <w:sz w:val="22"/>
                <w:szCs w:val="22"/>
                <w:highlight w:val="none"/>
                <w:lang w:val="en-US" w:eastAsia="zh-CN"/>
              </w:rPr>
              <w:t>8</w:t>
            </w:r>
            <w:r>
              <w:rPr>
                <w:rFonts w:hint="eastAsia" w:ascii="宋体"/>
                <w:color w:val="auto"/>
                <w:sz w:val="22"/>
                <w:highlight w:val="none"/>
              </w:rPr>
              <w:t>分</w:t>
            </w:r>
          </w:p>
        </w:tc>
        <w:tc>
          <w:tcPr>
            <w:tcW w:w="6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1.保洁工作质量管理体系完善，制定内部考核制度，有专门的组织机构负责对本项目进行质量监管，针对本项目制定了具体的质量管理考核细则并且可操作性。</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0-</w:t>
            </w:r>
            <w:r>
              <w:rPr>
                <w:rFonts w:hint="default" w:ascii="宋体" w:hAnsi="宋体" w:cs="宋体"/>
                <w:color w:val="auto"/>
                <w:sz w:val="22"/>
                <w:szCs w:val="22"/>
                <w:highlight w:val="none"/>
                <w:lang w:val="en-US" w:eastAsia="zh-CN"/>
              </w:rPr>
              <w:t>4</w:t>
            </w:r>
            <w:r>
              <w:rPr>
                <w:rFonts w:hint="eastAsia" w:ascii="宋体" w:hAnsi="宋体" w:cs="宋体"/>
                <w:color w:val="auto"/>
                <w:sz w:val="22"/>
                <w:szCs w:val="22"/>
                <w:highlight w:val="none"/>
                <w:lang w:val="en-US" w:eastAsia="zh-CN"/>
              </w:rPr>
              <w:t>分</w:t>
            </w:r>
            <w:r>
              <w:rPr>
                <w:rFonts w:hint="eastAsia" w:ascii="宋体" w:hAnsi="宋体" w:cs="宋体"/>
                <w:color w:val="auto"/>
                <w:sz w:val="22"/>
                <w:szCs w:val="22"/>
                <w:highlight w:val="none"/>
                <w:lang w:eastAsia="zh-CN"/>
              </w:rPr>
              <w:t>）</w:t>
            </w:r>
          </w:p>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rPr>
              <w:t>2.组织管理体系完善,能按照企业要求规范管理。组织管理措施针对性强:项目负责人、管理员、班组长等管理人员配备到位。（0-</w:t>
            </w:r>
            <w:r>
              <w:rPr>
                <w:rFonts w:hint="default" w:ascii="宋体" w:hAnsi="宋体" w:cs="宋体"/>
                <w:color w:val="auto"/>
                <w:sz w:val="22"/>
                <w:szCs w:val="22"/>
                <w:highlight w:val="none"/>
                <w:lang w:val="en-US"/>
              </w:rPr>
              <w:t>4</w:t>
            </w:r>
            <w:r>
              <w:rPr>
                <w:rFonts w:hint="eastAsia" w:ascii="宋体" w:hAnsi="宋体" w:cs="宋体"/>
                <w:color w:val="auto"/>
                <w:sz w:val="22"/>
                <w:szCs w:val="2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0" w:hRule="atLeast"/>
          <w:jc w:val="center"/>
        </w:trPr>
        <w:tc>
          <w:tcPr>
            <w:tcW w:w="51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Arial"/>
                <w:color w:val="auto"/>
                <w:sz w:val="22"/>
                <w:szCs w:val="22"/>
                <w:highlight w:val="none"/>
                <w:lang w:val="en-US" w:eastAsia="zh-CN"/>
              </w:rPr>
            </w:pPr>
            <w:r>
              <w:rPr>
                <w:rFonts w:hint="eastAsia" w:ascii="宋体" w:hAnsi="宋体" w:eastAsia="宋体" w:cs="Arial"/>
                <w:color w:val="auto"/>
                <w:sz w:val="22"/>
                <w:szCs w:val="22"/>
                <w:highlight w:val="none"/>
                <w:lang w:val="en-US" w:eastAsia="zh-CN"/>
              </w:rPr>
              <w:t>9</w:t>
            </w:r>
          </w:p>
        </w:tc>
        <w:tc>
          <w:tcPr>
            <w:tcW w:w="1984"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Arial"/>
                <w:color w:val="auto"/>
                <w:kern w:val="2"/>
                <w:sz w:val="22"/>
                <w:szCs w:val="22"/>
                <w:highlight w:val="none"/>
                <w:lang w:val="en-US" w:eastAsia="zh-CN" w:bidi="ar-SA"/>
              </w:rPr>
            </w:pPr>
            <w:r>
              <w:rPr>
                <w:rFonts w:hint="eastAsia" w:ascii="宋体" w:hAnsi="宋体" w:cs="Arial"/>
                <w:color w:val="auto"/>
                <w:sz w:val="22"/>
                <w:szCs w:val="22"/>
                <w:highlight w:val="none"/>
              </w:rPr>
              <w:t>人员配置</w:t>
            </w:r>
          </w:p>
        </w:tc>
        <w:tc>
          <w:tcPr>
            <w:tcW w:w="1108"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default" w:ascii="Calibri" w:hAnsi="Calibri" w:eastAsia="宋体" w:cs="Times New Roman"/>
                <w:color w:val="auto"/>
                <w:kern w:val="2"/>
                <w:sz w:val="22"/>
                <w:szCs w:val="22"/>
                <w:highlight w:val="none"/>
                <w:lang w:val="en-US" w:eastAsia="zh-CN" w:bidi="ar-SA"/>
              </w:rPr>
            </w:pPr>
            <w:r>
              <w:rPr>
                <w:rFonts w:hint="eastAsia" w:ascii="宋体" w:hAnsi="宋体" w:cs="Arial"/>
                <w:color w:val="auto"/>
                <w:sz w:val="22"/>
                <w:szCs w:val="22"/>
                <w:highlight w:val="none"/>
              </w:rPr>
              <w:t>0-</w:t>
            </w:r>
            <w:r>
              <w:rPr>
                <w:rFonts w:hint="default" w:ascii="宋体" w:hAnsi="宋体" w:cs="Arial"/>
                <w:color w:val="auto"/>
                <w:sz w:val="22"/>
                <w:szCs w:val="22"/>
                <w:highlight w:val="none"/>
                <w:lang w:val="en-US" w:eastAsia="zh-CN"/>
              </w:rPr>
              <w:t>6</w:t>
            </w:r>
            <w:r>
              <w:rPr>
                <w:rFonts w:hint="eastAsia" w:ascii="宋体"/>
                <w:color w:val="auto"/>
                <w:sz w:val="22"/>
                <w:highlight w:val="none"/>
              </w:rPr>
              <w:t>分</w:t>
            </w:r>
          </w:p>
        </w:tc>
        <w:tc>
          <w:tcPr>
            <w:tcW w:w="6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拟投入的项目管理人员，应配备项目负责人、安全负责人、班组长等主要人员，团队配置合理的，得</w:t>
            </w:r>
            <w:r>
              <w:rPr>
                <w:rFonts w:hint="default" w:ascii="宋体" w:hAnsi="宋体" w:cs="宋体"/>
                <w:color w:val="auto"/>
                <w:sz w:val="22"/>
                <w:szCs w:val="22"/>
                <w:highlight w:val="none"/>
                <w:lang w:val="en-US" w:eastAsia="zh-CN"/>
              </w:rPr>
              <w:t>4-6</w:t>
            </w:r>
            <w:r>
              <w:rPr>
                <w:rFonts w:hint="eastAsia" w:ascii="宋体" w:hAnsi="宋体" w:cs="宋体"/>
                <w:color w:val="auto"/>
                <w:sz w:val="22"/>
                <w:szCs w:val="22"/>
                <w:highlight w:val="none"/>
                <w:lang w:val="en-US" w:eastAsia="zh-CN"/>
              </w:rPr>
              <w:t>分;团队配置基本合理的，得2</w:t>
            </w:r>
            <w:r>
              <w:rPr>
                <w:rFonts w:hint="default" w:ascii="宋体" w:hAnsi="宋体" w:cs="宋体"/>
                <w:color w:val="auto"/>
                <w:sz w:val="22"/>
                <w:szCs w:val="22"/>
                <w:highlight w:val="none"/>
                <w:lang w:val="en-US" w:eastAsia="zh-CN"/>
              </w:rPr>
              <w:t>-4</w:t>
            </w:r>
            <w:r>
              <w:rPr>
                <w:rFonts w:hint="eastAsia" w:ascii="宋体" w:hAnsi="宋体" w:cs="宋体"/>
                <w:color w:val="auto"/>
                <w:sz w:val="22"/>
                <w:szCs w:val="22"/>
                <w:highlight w:val="none"/>
                <w:lang w:val="en-US" w:eastAsia="zh-CN"/>
              </w:rPr>
              <w:t>分;团队配置欠缺的，得1</w:t>
            </w:r>
            <w:r>
              <w:rPr>
                <w:rFonts w:hint="default" w:ascii="宋体" w:hAnsi="宋体" w:cs="宋体"/>
                <w:color w:val="auto"/>
                <w:sz w:val="22"/>
                <w:szCs w:val="22"/>
                <w:highlight w:val="none"/>
                <w:lang w:val="en-US" w:eastAsia="zh-CN"/>
              </w:rPr>
              <w:t>-2</w:t>
            </w:r>
            <w:r>
              <w:rPr>
                <w:rFonts w:hint="eastAsia" w:ascii="宋体" w:hAnsi="宋体" w:cs="宋体"/>
                <w:color w:val="auto"/>
                <w:sz w:val="22"/>
                <w:szCs w:val="22"/>
                <w:highlight w:val="none"/>
                <w:lang w:val="en-US" w:eastAsia="zh-CN"/>
              </w:rPr>
              <w:t>分；未提供的不得分。</w:t>
            </w:r>
          </w:p>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注:以上主要人员需提供在投标单位缴纳社保近6个月社保缴纳证明，否则不得分。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jc w:val="center"/>
        </w:trPr>
        <w:tc>
          <w:tcPr>
            <w:tcW w:w="515" w:type="dxa"/>
            <w:tcBorders>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Arial"/>
                <w:color w:val="auto"/>
                <w:kern w:val="2"/>
                <w:sz w:val="22"/>
                <w:szCs w:val="22"/>
                <w:highlight w:val="none"/>
                <w:lang w:val="en-US" w:eastAsia="zh-CN" w:bidi="ar-SA"/>
              </w:rPr>
            </w:pPr>
            <w:r>
              <w:rPr>
                <w:rFonts w:hint="eastAsia" w:ascii="宋体" w:hAnsi="宋体" w:cs="Arial"/>
                <w:color w:val="auto"/>
                <w:sz w:val="22"/>
                <w:szCs w:val="22"/>
                <w:highlight w:val="none"/>
                <w:lang w:val="en-US" w:eastAsia="zh-CN"/>
              </w:rPr>
              <w:t>10</w:t>
            </w:r>
          </w:p>
        </w:tc>
        <w:tc>
          <w:tcPr>
            <w:tcW w:w="1984" w:type="dxa"/>
            <w:tcBorders>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Arial"/>
                <w:color w:val="auto"/>
                <w:kern w:val="2"/>
                <w:sz w:val="22"/>
                <w:szCs w:val="22"/>
                <w:highlight w:val="none"/>
                <w:lang w:val="en-US" w:eastAsia="zh-CN" w:bidi="ar-SA"/>
              </w:rPr>
            </w:pPr>
            <w:r>
              <w:rPr>
                <w:rFonts w:hint="eastAsia" w:ascii="宋体" w:hAnsi="宋体" w:eastAsia="宋体" w:cs="宋体"/>
                <w:color w:val="auto"/>
                <w:sz w:val="22"/>
                <w:szCs w:val="22"/>
                <w:highlight w:val="none"/>
              </w:rPr>
              <w:t>创新亮点方案（根据本项目实际情况和工作特点）</w:t>
            </w:r>
          </w:p>
        </w:tc>
        <w:tc>
          <w:tcPr>
            <w:tcW w:w="110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default" w:ascii="宋体" w:hAnsi="宋体" w:eastAsia="宋体" w:cs="Arial"/>
                <w:color w:val="auto"/>
                <w:kern w:val="2"/>
                <w:sz w:val="22"/>
                <w:szCs w:val="22"/>
                <w:highlight w:val="none"/>
                <w:lang w:val="en-US" w:eastAsia="zh-CN" w:bidi="ar-SA"/>
              </w:rPr>
            </w:pPr>
            <w:r>
              <w:rPr>
                <w:rFonts w:hint="eastAsia" w:ascii="宋体" w:hAnsi="宋体" w:eastAsia="宋体" w:cs="宋体"/>
                <w:color w:val="auto"/>
                <w:sz w:val="22"/>
                <w:szCs w:val="22"/>
                <w:highlight w:val="none"/>
              </w:rPr>
              <w:t>0-</w:t>
            </w:r>
            <w:r>
              <w:rPr>
                <w:rFonts w:hint="eastAsia" w:ascii="宋体" w:hAnsi="宋体" w:cs="宋体"/>
                <w:color w:val="auto"/>
                <w:sz w:val="22"/>
                <w:szCs w:val="22"/>
                <w:highlight w:val="none"/>
                <w:lang w:val="en-US" w:eastAsia="zh-CN"/>
              </w:rPr>
              <w:t>4</w:t>
            </w:r>
            <w:r>
              <w:rPr>
                <w:rFonts w:hint="eastAsia" w:ascii="宋体"/>
                <w:color w:val="auto"/>
                <w:sz w:val="22"/>
                <w:highlight w:val="none"/>
              </w:rPr>
              <w:t>分</w:t>
            </w:r>
          </w:p>
        </w:tc>
        <w:tc>
          <w:tcPr>
            <w:tcW w:w="6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0" w:firstLineChars="0"/>
              <w:jc w:val="both"/>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根据创新亮点方案</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包括但不限于河道藻类治理、漂浮垃圾清理方案、其他创新点等</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，由评委结合本项目情况综合打分。</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0-4分</w:t>
            </w:r>
            <w:r>
              <w:rPr>
                <w:rFonts w:hint="eastAsia" w:ascii="宋体" w:hAnsi="宋体" w:cs="宋体"/>
                <w:color w:val="auto"/>
                <w:sz w:val="22"/>
                <w:szCs w:val="22"/>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jc w:val="center"/>
        </w:trPr>
        <w:tc>
          <w:tcPr>
            <w:tcW w:w="515" w:type="dxa"/>
            <w:tcBorders>
              <w:left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default" w:ascii="宋体" w:hAnsi="宋体" w:eastAsia="宋体" w:cs="Arial"/>
                <w:color w:val="auto"/>
                <w:kern w:val="2"/>
                <w:sz w:val="22"/>
                <w:szCs w:val="22"/>
                <w:highlight w:val="none"/>
                <w:lang w:val="en-US" w:eastAsia="zh-CN" w:bidi="ar-SA"/>
              </w:rPr>
            </w:pPr>
            <w:r>
              <w:rPr>
                <w:rFonts w:hint="default" w:ascii="宋体" w:hAnsi="宋体" w:cs="Arial"/>
                <w:color w:val="auto"/>
                <w:kern w:val="2"/>
                <w:sz w:val="22"/>
                <w:szCs w:val="22"/>
                <w:highlight w:val="none"/>
                <w:lang w:val="en-US" w:eastAsia="zh-CN" w:bidi="ar-SA"/>
              </w:rPr>
              <w:t>11</w:t>
            </w:r>
          </w:p>
        </w:tc>
        <w:tc>
          <w:tcPr>
            <w:tcW w:w="1984" w:type="dxa"/>
            <w:tcBorders>
              <w:left w:val="single" w:color="000000" w:sz="4" w:space="0"/>
              <w:right w:val="single" w:color="000000" w:sz="4" w:space="0"/>
            </w:tcBorders>
            <w:noWrap w:val="0"/>
            <w:vAlign w:val="center"/>
          </w:tcPr>
          <w:p>
            <w:pPr>
              <w:pStyle w:val="12"/>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类似项目业绩</w:t>
            </w:r>
          </w:p>
        </w:tc>
        <w:tc>
          <w:tcPr>
            <w:tcW w:w="1108" w:type="dxa"/>
            <w:tcBorders>
              <w:left w:val="single" w:color="000000" w:sz="4" w:space="0"/>
              <w:right w:val="single" w:color="000000" w:sz="4" w:space="0"/>
            </w:tcBorders>
            <w:noWrap w:val="0"/>
            <w:vAlign w:val="center"/>
          </w:tcPr>
          <w:p>
            <w:pPr>
              <w:pStyle w:val="12"/>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default" w:ascii="宋体" w:hAnsi="宋体"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0-</w:t>
            </w:r>
            <w:r>
              <w:rPr>
                <w:rFonts w:hint="default" w:ascii="宋体" w:hAnsi="宋体"/>
                <w:color w:val="auto"/>
                <w:sz w:val="22"/>
                <w:szCs w:val="22"/>
                <w:highlight w:val="none"/>
                <w:lang w:val="en-US" w:eastAsia="zh-CN"/>
              </w:rPr>
              <w:t>3</w:t>
            </w:r>
            <w:r>
              <w:rPr>
                <w:rFonts w:hint="eastAsia" w:ascii="宋体"/>
                <w:color w:val="auto"/>
                <w:sz w:val="22"/>
                <w:highlight w:val="none"/>
              </w:rPr>
              <w:t>分</w:t>
            </w:r>
          </w:p>
        </w:tc>
        <w:tc>
          <w:tcPr>
            <w:tcW w:w="6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cs="Times New Roman"/>
                <w:color w:val="auto"/>
                <w:sz w:val="22"/>
                <w:highlight w:val="none"/>
                <w:lang w:eastAsia="zh-CN"/>
              </w:rPr>
            </w:pPr>
            <w:r>
              <w:rPr>
                <w:rFonts w:hint="eastAsia" w:ascii="宋体" w:cs="Times New Roman"/>
                <w:color w:val="auto"/>
                <w:sz w:val="22"/>
                <w:highlight w:val="none"/>
              </w:rPr>
              <w:t>1.供应商</w:t>
            </w:r>
            <w:r>
              <w:rPr>
                <w:rFonts w:hint="eastAsia" w:ascii="宋体" w:cs="Times New Roman"/>
                <w:color w:val="auto"/>
                <w:sz w:val="22"/>
                <w:highlight w:val="none"/>
                <w:lang w:eastAsia="zh-CN"/>
              </w:rPr>
              <w:t>自</w:t>
            </w:r>
            <w:r>
              <w:rPr>
                <w:rFonts w:hint="eastAsia" w:ascii="宋体" w:cs="Times New Roman"/>
                <w:color w:val="auto"/>
                <w:sz w:val="22"/>
                <w:highlight w:val="none"/>
              </w:rPr>
              <w:t>20</w:t>
            </w:r>
            <w:r>
              <w:rPr>
                <w:rFonts w:hint="eastAsia" w:ascii="宋体" w:cs="Times New Roman"/>
                <w:color w:val="auto"/>
                <w:sz w:val="22"/>
                <w:highlight w:val="none"/>
                <w:lang w:val="en-US" w:eastAsia="zh-CN"/>
              </w:rPr>
              <w:t>20</w:t>
            </w:r>
            <w:r>
              <w:rPr>
                <w:rFonts w:hint="eastAsia" w:ascii="宋体" w:cs="Times New Roman"/>
                <w:color w:val="auto"/>
                <w:sz w:val="22"/>
                <w:highlight w:val="none"/>
              </w:rPr>
              <w:t>年1月1日以来 (以</w:t>
            </w:r>
            <w:r>
              <w:rPr>
                <w:rFonts w:hint="eastAsia" w:ascii="宋体" w:cs="Times New Roman"/>
                <w:color w:val="auto"/>
                <w:sz w:val="22"/>
                <w:highlight w:val="none"/>
                <w:lang w:val="en-US" w:eastAsia="zh-CN"/>
              </w:rPr>
              <w:t>合</w:t>
            </w:r>
            <w:r>
              <w:rPr>
                <w:rFonts w:hint="eastAsia" w:ascii="宋体" w:cs="Times New Roman"/>
                <w:color w:val="auto"/>
                <w:sz w:val="22"/>
                <w:highlight w:val="none"/>
              </w:rPr>
              <w:t>同签订时间为准)已承接的道路清扫保洁服务业绩，每提供一份有效业绩得</w:t>
            </w:r>
            <w:r>
              <w:rPr>
                <w:rFonts w:hint="eastAsia" w:ascii="宋体" w:cs="Times New Roman"/>
                <w:color w:val="auto"/>
                <w:sz w:val="22"/>
                <w:highlight w:val="none"/>
                <w:lang w:val="en-US" w:eastAsia="zh-CN"/>
              </w:rPr>
              <w:t>0.5</w:t>
            </w:r>
            <w:r>
              <w:rPr>
                <w:rFonts w:hint="eastAsia" w:ascii="宋体" w:cs="Times New Roman"/>
                <w:color w:val="auto"/>
                <w:sz w:val="22"/>
                <w:highlight w:val="none"/>
              </w:rPr>
              <w:t>分，最多得</w:t>
            </w:r>
            <w:r>
              <w:rPr>
                <w:rFonts w:hint="eastAsia" w:ascii="宋体" w:cs="Times New Roman"/>
                <w:color w:val="auto"/>
                <w:sz w:val="22"/>
                <w:highlight w:val="none"/>
                <w:lang w:val="en-US" w:eastAsia="zh-CN"/>
              </w:rPr>
              <w:t>1</w:t>
            </w:r>
            <w:r>
              <w:rPr>
                <w:rFonts w:hint="default" w:ascii="宋体" w:cs="Times New Roman"/>
                <w:color w:val="auto"/>
                <w:sz w:val="22"/>
                <w:highlight w:val="none"/>
                <w:lang w:val="en-US" w:eastAsia="zh-CN"/>
              </w:rPr>
              <w:t>.5</w:t>
            </w:r>
            <w:r>
              <w:rPr>
                <w:rFonts w:hint="eastAsia" w:ascii="宋体" w:cs="Times New Roman"/>
                <w:color w:val="auto"/>
                <w:sz w:val="22"/>
                <w:highlight w:val="none"/>
              </w:rPr>
              <w:t>分</w:t>
            </w:r>
            <w:r>
              <w:rPr>
                <w:rFonts w:hint="eastAsia" w:ascii="宋体" w:cs="Times New Roman"/>
                <w:color w:val="auto"/>
                <w:sz w:val="22"/>
                <w:highlight w:val="none"/>
                <w:lang w:eastAsia="zh-CN"/>
              </w:rPr>
              <w:t>；（</w:t>
            </w:r>
            <w:r>
              <w:rPr>
                <w:rFonts w:hint="eastAsia" w:ascii="宋体" w:cs="Times New Roman"/>
                <w:color w:val="auto"/>
                <w:sz w:val="22"/>
                <w:highlight w:val="none"/>
              </w:rPr>
              <w:t>提供中标通知书</w:t>
            </w:r>
            <w:r>
              <w:rPr>
                <w:rFonts w:hint="eastAsia" w:ascii="宋体" w:cs="Times New Roman"/>
                <w:color w:val="auto"/>
                <w:sz w:val="22"/>
                <w:highlight w:val="none"/>
                <w:lang w:eastAsia="zh-CN"/>
              </w:rPr>
              <w:t>和</w:t>
            </w:r>
            <w:r>
              <w:rPr>
                <w:rFonts w:hint="eastAsia" w:ascii="宋体" w:cs="Times New Roman"/>
                <w:color w:val="auto"/>
                <w:sz w:val="22"/>
                <w:highlight w:val="none"/>
              </w:rPr>
              <w:t>合同</w:t>
            </w:r>
            <w:r>
              <w:rPr>
                <w:rFonts w:hint="eastAsia" w:ascii="宋体" w:cs="Times New Roman"/>
                <w:color w:val="auto"/>
                <w:sz w:val="22"/>
                <w:highlight w:val="none"/>
                <w:lang w:val="en-US" w:eastAsia="zh-CN"/>
              </w:rPr>
              <w:t>扫描件</w:t>
            </w:r>
            <w:r>
              <w:rPr>
                <w:rFonts w:hint="eastAsia" w:ascii="宋体" w:cs="Times New Roman"/>
                <w:color w:val="auto"/>
                <w:sz w:val="22"/>
                <w:highlight w:val="none"/>
              </w:rPr>
              <w:t>业绩为有效业绩，续签的业绩不</w:t>
            </w:r>
            <w:r>
              <w:rPr>
                <w:rFonts w:hint="eastAsia" w:ascii="宋体" w:cs="Times New Roman"/>
                <w:color w:val="auto"/>
                <w:sz w:val="22"/>
                <w:highlight w:val="none"/>
                <w:lang w:val="en-US" w:eastAsia="zh-CN"/>
              </w:rPr>
              <w:t>重复</w:t>
            </w:r>
            <w:r>
              <w:rPr>
                <w:rFonts w:hint="eastAsia" w:ascii="宋体" w:cs="Times New Roman"/>
                <w:color w:val="auto"/>
                <w:sz w:val="22"/>
                <w:highlight w:val="none"/>
              </w:rPr>
              <w:t>得分。)</w:t>
            </w:r>
          </w:p>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Calibri" w:eastAsia="宋体" w:cs="Times New Roman"/>
                <w:color w:val="auto"/>
                <w:kern w:val="2"/>
                <w:sz w:val="22"/>
                <w:szCs w:val="22"/>
                <w:highlight w:val="none"/>
                <w:lang w:val="en-US" w:eastAsia="zh-CN" w:bidi="ar-SA"/>
              </w:rPr>
            </w:pPr>
            <w:r>
              <w:rPr>
                <w:rFonts w:hint="eastAsia" w:ascii="宋体" w:cs="Times New Roman"/>
                <w:color w:val="auto"/>
                <w:sz w:val="22"/>
                <w:highlight w:val="none"/>
              </w:rPr>
              <w:t>2.供应商</w:t>
            </w:r>
            <w:r>
              <w:rPr>
                <w:rFonts w:hint="eastAsia" w:ascii="宋体" w:cs="Times New Roman"/>
                <w:color w:val="auto"/>
                <w:sz w:val="22"/>
                <w:highlight w:val="none"/>
                <w:lang w:eastAsia="zh-CN"/>
              </w:rPr>
              <w:t>自</w:t>
            </w:r>
            <w:r>
              <w:rPr>
                <w:rFonts w:hint="eastAsia" w:ascii="宋体" w:cs="Times New Roman"/>
                <w:color w:val="auto"/>
                <w:sz w:val="22"/>
                <w:highlight w:val="none"/>
              </w:rPr>
              <w:t>20</w:t>
            </w:r>
            <w:r>
              <w:rPr>
                <w:rFonts w:hint="eastAsia" w:ascii="宋体" w:cs="Times New Roman"/>
                <w:color w:val="auto"/>
                <w:sz w:val="22"/>
                <w:highlight w:val="none"/>
                <w:lang w:val="en-US" w:eastAsia="zh-CN"/>
              </w:rPr>
              <w:t>20</w:t>
            </w:r>
            <w:r>
              <w:rPr>
                <w:rFonts w:hint="eastAsia" w:ascii="宋体" w:cs="Times New Roman"/>
                <w:color w:val="auto"/>
                <w:sz w:val="22"/>
                <w:highlight w:val="none"/>
              </w:rPr>
              <w:t>年1月1日以来 (以</w:t>
            </w:r>
            <w:r>
              <w:rPr>
                <w:rFonts w:hint="eastAsia" w:ascii="宋体" w:cs="Times New Roman"/>
                <w:color w:val="auto"/>
                <w:sz w:val="22"/>
                <w:highlight w:val="none"/>
                <w:lang w:val="en-US" w:eastAsia="zh-CN"/>
              </w:rPr>
              <w:t>合</w:t>
            </w:r>
            <w:r>
              <w:rPr>
                <w:rFonts w:hint="eastAsia" w:ascii="宋体" w:cs="Times New Roman"/>
                <w:color w:val="auto"/>
                <w:sz w:val="22"/>
                <w:highlight w:val="none"/>
              </w:rPr>
              <w:t>同签订时间为准)已承接的河道保洁业绩，每提供一份有效业绩得</w:t>
            </w:r>
            <w:r>
              <w:rPr>
                <w:rFonts w:hint="eastAsia" w:ascii="宋体" w:cs="Times New Roman"/>
                <w:color w:val="auto"/>
                <w:sz w:val="22"/>
                <w:highlight w:val="none"/>
                <w:lang w:val="en-US" w:eastAsia="zh-CN"/>
              </w:rPr>
              <w:t>0.5</w:t>
            </w:r>
            <w:r>
              <w:rPr>
                <w:rFonts w:hint="eastAsia" w:ascii="宋体" w:cs="Times New Roman"/>
                <w:color w:val="auto"/>
                <w:sz w:val="22"/>
                <w:highlight w:val="none"/>
              </w:rPr>
              <w:t>分，最多得</w:t>
            </w:r>
            <w:r>
              <w:rPr>
                <w:rFonts w:hint="eastAsia" w:ascii="宋体" w:cs="Times New Roman"/>
                <w:color w:val="auto"/>
                <w:sz w:val="22"/>
                <w:highlight w:val="none"/>
                <w:lang w:val="en-US" w:eastAsia="zh-CN"/>
              </w:rPr>
              <w:t>1</w:t>
            </w:r>
            <w:r>
              <w:rPr>
                <w:rFonts w:hint="default" w:ascii="宋体" w:cs="Times New Roman"/>
                <w:color w:val="auto"/>
                <w:sz w:val="22"/>
                <w:highlight w:val="none"/>
                <w:lang w:val="en-US" w:eastAsia="zh-CN"/>
              </w:rPr>
              <w:t>.5</w:t>
            </w:r>
            <w:r>
              <w:rPr>
                <w:rFonts w:hint="eastAsia" w:ascii="宋体" w:cs="Times New Roman"/>
                <w:color w:val="auto"/>
                <w:sz w:val="22"/>
                <w:highlight w:val="none"/>
              </w:rPr>
              <w:t>分</w:t>
            </w:r>
            <w:r>
              <w:rPr>
                <w:rFonts w:hint="eastAsia" w:ascii="宋体" w:cs="Times New Roman"/>
                <w:color w:val="auto"/>
                <w:sz w:val="22"/>
                <w:highlight w:val="none"/>
                <w:lang w:eastAsia="zh-CN"/>
              </w:rPr>
              <w:t>；（</w:t>
            </w:r>
            <w:r>
              <w:rPr>
                <w:rFonts w:hint="eastAsia" w:ascii="宋体" w:cs="Times New Roman"/>
                <w:color w:val="auto"/>
                <w:sz w:val="22"/>
                <w:highlight w:val="none"/>
              </w:rPr>
              <w:t>提供中标通知书</w:t>
            </w:r>
            <w:r>
              <w:rPr>
                <w:rFonts w:hint="eastAsia" w:ascii="宋体" w:cs="Times New Roman"/>
                <w:color w:val="auto"/>
                <w:sz w:val="22"/>
                <w:highlight w:val="none"/>
                <w:lang w:eastAsia="zh-CN"/>
              </w:rPr>
              <w:t>和</w:t>
            </w:r>
            <w:r>
              <w:rPr>
                <w:rFonts w:hint="eastAsia" w:ascii="宋体" w:cs="Times New Roman"/>
                <w:color w:val="auto"/>
                <w:sz w:val="22"/>
                <w:highlight w:val="none"/>
              </w:rPr>
              <w:t>合同</w:t>
            </w:r>
            <w:r>
              <w:rPr>
                <w:rFonts w:hint="eastAsia" w:ascii="宋体" w:cs="Times New Roman"/>
                <w:color w:val="auto"/>
                <w:sz w:val="22"/>
                <w:highlight w:val="none"/>
                <w:lang w:val="en-US" w:eastAsia="zh-CN"/>
              </w:rPr>
              <w:t>扫描件</w:t>
            </w:r>
            <w:r>
              <w:rPr>
                <w:rFonts w:hint="eastAsia" w:ascii="宋体" w:cs="Times New Roman"/>
                <w:color w:val="auto"/>
                <w:sz w:val="22"/>
                <w:highlight w:val="none"/>
              </w:rPr>
              <w:t>业绩为有效业绩，续签的业绩不</w:t>
            </w:r>
            <w:r>
              <w:rPr>
                <w:rFonts w:hint="eastAsia" w:ascii="宋体" w:cs="Times New Roman"/>
                <w:color w:val="auto"/>
                <w:sz w:val="22"/>
                <w:highlight w:val="none"/>
                <w:lang w:val="en-US" w:eastAsia="zh-CN"/>
              </w:rPr>
              <w:t>重复</w:t>
            </w:r>
            <w:r>
              <w:rPr>
                <w:rFonts w:hint="eastAsia" w:ascii="宋体" w:cs="Times New Roman"/>
                <w:color w:val="auto"/>
                <w:sz w:val="22"/>
                <w:highlight w:val="none"/>
              </w:rPr>
              <w:t>得分。)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jc w:val="center"/>
        </w:trPr>
        <w:tc>
          <w:tcPr>
            <w:tcW w:w="515" w:type="dxa"/>
            <w:tcBorders>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default" w:ascii="宋体" w:hAnsi="宋体" w:cs="Arial"/>
                <w:color w:val="auto"/>
                <w:kern w:val="2"/>
                <w:sz w:val="22"/>
                <w:szCs w:val="22"/>
                <w:highlight w:val="none"/>
                <w:lang w:val="en-US" w:eastAsia="zh-CN" w:bidi="ar-SA"/>
              </w:rPr>
            </w:pPr>
            <w:r>
              <w:rPr>
                <w:rFonts w:hint="eastAsia" w:ascii="宋体" w:hAnsi="宋体" w:cs="Arial"/>
                <w:color w:val="auto"/>
                <w:kern w:val="2"/>
                <w:sz w:val="22"/>
                <w:szCs w:val="22"/>
                <w:highlight w:val="none"/>
                <w:lang w:val="en-US" w:eastAsia="zh-CN" w:bidi="ar-SA"/>
              </w:rPr>
              <w:t>12</w:t>
            </w:r>
          </w:p>
        </w:tc>
        <w:tc>
          <w:tcPr>
            <w:tcW w:w="1984" w:type="dxa"/>
            <w:tcBorders>
              <w:left w:val="single" w:color="000000" w:sz="4" w:space="0"/>
              <w:bottom w:val="single" w:color="000000" w:sz="4" w:space="0"/>
              <w:right w:val="single" w:color="000000" w:sz="4" w:space="0"/>
            </w:tcBorders>
            <w:noWrap w:val="0"/>
            <w:vAlign w:val="center"/>
          </w:tcPr>
          <w:p>
            <w:pPr>
              <w:pStyle w:val="12"/>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color w:val="auto"/>
                <w:sz w:val="22"/>
                <w:szCs w:val="22"/>
                <w:highlight w:val="none"/>
              </w:rPr>
            </w:pPr>
            <w:r>
              <w:rPr>
                <w:rFonts w:hint="eastAsia" w:ascii="宋体" w:hAnsi="宋体"/>
                <w:color w:val="auto"/>
                <w:sz w:val="22"/>
                <w:szCs w:val="22"/>
                <w:highlight w:val="none"/>
              </w:rPr>
              <w:t>优惠条件方案</w:t>
            </w:r>
          </w:p>
        </w:tc>
        <w:tc>
          <w:tcPr>
            <w:tcW w:w="1108" w:type="dxa"/>
            <w:tcBorders>
              <w:left w:val="single" w:color="000000" w:sz="4" w:space="0"/>
              <w:bottom w:val="single" w:color="000000" w:sz="4" w:space="0"/>
              <w:right w:val="single" w:color="000000" w:sz="4" w:space="0"/>
            </w:tcBorders>
            <w:noWrap w:val="0"/>
            <w:vAlign w:val="center"/>
          </w:tcPr>
          <w:p>
            <w:pPr>
              <w:pStyle w:val="12"/>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center"/>
              <w:textAlignment w:val="auto"/>
              <w:rPr>
                <w:rFonts w:hint="default" w:ascii="宋体" w:hAnsi="宋体" w:eastAsia="宋体"/>
                <w:color w:val="auto"/>
                <w:sz w:val="22"/>
                <w:szCs w:val="22"/>
                <w:highlight w:val="none"/>
                <w:lang w:val="en-US" w:eastAsia="zh-CN"/>
              </w:rPr>
            </w:pPr>
            <w:r>
              <w:rPr>
                <w:rFonts w:hint="eastAsia" w:ascii="宋体" w:hAnsi="宋体"/>
                <w:color w:val="auto"/>
                <w:sz w:val="22"/>
                <w:szCs w:val="22"/>
                <w:highlight w:val="none"/>
                <w:lang w:val="en-US" w:eastAsia="zh-CN"/>
              </w:rPr>
              <w:t>0-</w:t>
            </w:r>
            <w:r>
              <w:rPr>
                <w:rFonts w:hint="default" w:ascii="宋体" w:hAnsi="宋体"/>
                <w:color w:val="auto"/>
                <w:sz w:val="22"/>
                <w:szCs w:val="22"/>
                <w:highlight w:val="none"/>
                <w:lang w:val="en-US" w:eastAsia="zh-CN"/>
              </w:rPr>
              <w:t>2</w:t>
            </w:r>
            <w:r>
              <w:rPr>
                <w:rFonts w:hint="eastAsia" w:ascii="宋体"/>
                <w:color w:val="auto"/>
                <w:sz w:val="22"/>
                <w:highlight w:val="none"/>
              </w:rPr>
              <w:t>分</w:t>
            </w:r>
          </w:p>
        </w:tc>
        <w:tc>
          <w:tcPr>
            <w:tcW w:w="6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eastAsia="宋体" w:cs="Times New Roman"/>
                <w:color w:val="auto"/>
                <w:sz w:val="22"/>
                <w:highlight w:val="none"/>
                <w:lang w:eastAsia="zh-CN"/>
              </w:rPr>
            </w:pPr>
            <w:r>
              <w:rPr>
                <w:rFonts w:hint="eastAsia" w:ascii="宋体" w:cs="Times New Roman"/>
                <w:color w:val="auto"/>
                <w:sz w:val="22"/>
                <w:highlight w:val="none"/>
              </w:rPr>
              <w:t>优惠方案中能体现员工的工会福利、组织人员积极参于配合业主组织的活动、公益慈善等承诺打分，作出的优惠条件将列入合同的履行职责内</w:t>
            </w:r>
            <w:r>
              <w:rPr>
                <w:rFonts w:hint="eastAsia" w:ascii="宋体" w:cs="Times New Roman"/>
                <w:color w:val="auto"/>
                <w:sz w:val="22"/>
                <w:highlight w:val="none"/>
                <w:lang w:eastAsia="zh-CN"/>
              </w:rPr>
              <w:t>。</w:t>
            </w:r>
            <w:r>
              <w:rPr>
                <w:rFonts w:hint="eastAsia" w:ascii="宋体" w:cs="Times New Roman"/>
                <w:color w:val="auto"/>
                <w:sz w:val="22"/>
                <w:highlight w:val="none"/>
              </w:rPr>
              <w:t>方案科学合理、非常适用、可操作性强</w:t>
            </w:r>
            <w:r>
              <w:rPr>
                <w:rFonts w:hint="eastAsia" w:ascii="宋体" w:cs="Times New Roman"/>
                <w:color w:val="auto"/>
                <w:sz w:val="22"/>
                <w:highlight w:val="none"/>
                <w:lang w:val="en-US" w:eastAsia="zh-CN"/>
              </w:rPr>
              <w:t>的</w:t>
            </w:r>
            <w:r>
              <w:rPr>
                <w:rFonts w:hint="eastAsia" w:ascii="宋体" w:cs="Times New Roman"/>
                <w:color w:val="auto"/>
                <w:sz w:val="22"/>
                <w:highlight w:val="none"/>
                <w:lang w:eastAsia="zh-CN"/>
              </w:rPr>
              <w:t>，</w:t>
            </w:r>
            <w:r>
              <w:rPr>
                <w:rFonts w:hint="eastAsia" w:ascii="宋体" w:cs="Times New Roman"/>
                <w:color w:val="auto"/>
                <w:sz w:val="22"/>
                <w:highlight w:val="none"/>
              </w:rPr>
              <w:t>得</w:t>
            </w:r>
            <w:r>
              <w:rPr>
                <w:rFonts w:hint="default" w:ascii="宋体" w:cs="Times New Roman"/>
                <w:color w:val="auto"/>
                <w:sz w:val="22"/>
                <w:highlight w:val="none"/>
                <w:lang w:val="en-US" w:eastAsia="zh-CN"/>
              </w:rPr>
              <w:t>1.5</w:t>
            </w:r>
            <w:r>
              <w:rPr>
                <w:rFonts w:hint="eastAsia" w:ascii="宋体" w:cs="Times New Roman"/>
                <w:color w:val="auto"/>
                <w:sz w:val="22"/>
                <w:highlight w:val="none"/>
                <w:lang w:val="en-US" w:eastAsia="zh-CN"/>
              </w:rPr>
              <w:t>-</w:t>
            </w:r>
            <w:r>
              <w:rPr>
                <w:rFonts w:hint="default" w:ascii="宋体" w:cs="Times New Roman"/>
                <w:color w:val="auto"/>
                <w:sz w:val="22"/>
                <w:highlight w:val="none"/>
                <w:lang w:val="en-US" w:eastAsia="zh-CN"/>
              </w:rPr>
              <w:t>2</w:t>
            </w:r>
            <w:r>
              <w:rPr>
                <w:rFonts w:hint="eastAsia" w:ascii="宋体" w:cs="Times New Roman"/>
                <w:color w:val="auto"/>
                <w:sz w:val="22"/>
                <w:highlight w:val="none"/>
              </w:rPr>
              <w:t>分</w:t>
            </w:r>
            <w:r>
              <w:rPr>
                <w:rFonts w:hint="eastAsia" w:ascii="宋体" w:cs="Times New Roman"/>
                <w:color w:val="auto"/>
                <w:sz w:val="22"/>
                <w:highlight w:val="none"/>
                <w:lang w:eastAsia="zh-CN"/>
              </w:rPr>
              <w:t>；</w:t>
            </w:r>
            <w:r>
              <w:rPr>
                <w:rFonts w:hint="eastAsia" w:ascii="宋体" w:cs="Times New Roman"/>
                <w:color w:val="auto"/>
                <w:sz w:val="22"/>
                <w:highlight w:val="none"/>
              </w:rPr>
              <w:t>方案较合理、比较适用、具备可操作性的</w:t>
            </w:r>
            <w:r>
              <w:rPr>
                <w:rFonts w:hint="eastAsia" w:ascii="宋体" w:cs="Times New Roman"/>
                <w:color w:val="auto"/>
                <w:sz w:val="22"/>
                <w:highlight w:val="none"/>
                <w:lang w:eastAsia="zh-CN"/>
              </w:rPr>
              <w:t>，</w:t>
            </w:r>
            <w:r>
              <w:rPr>
                <w:rFonts w:hint="eastAsia" w:ascii="宋体" w:cs="Times New Roman"/>
                <w:color w:val="auto"/>
                <w:sz w:val="22"/>
                <w:highlight w:val="none"/>
              </w:rPr>
              <w:t>得</w:t>
            </w:r>
            <w:r>
              <w:rPr>
                <w:rFonts w:hint="eastAsia" w:ascii="宋体" w:cs="Times New Roman"/>
                <w:color w:val="auto"/>
                <w:sz w:val="22"/>
                <w:highlight w:val="none"/>
                <w:lang w:val="en-US" w:eastAsia="zh-CN"/>
              </w:rPr>
              <w:t>1-</w:t>
            </w:r>
            <w:r>
              <w:rPr>
                <w:rFonts w:hint="default" w:ascii="宋体" w:cs="Times New Roman"/>
                <w:color w:val="auto"/>
                <w:sz w:val="22"/>
                <w:highlight w:val="none"/>
                <w:lang w:val="en-US" w:eastAsia="zh-CN"/>
              </w:rPr>
              <w:t>1.5</w:t>
            </w:r>
            <w:r>
              <w:rPr>
                <w:rFonts w:hint="eastAsia" w:ascii="宋体" w:cs="Times New Roman"/>
                <w:color w:val="auto"/>
                <w:sz w:val="22"/>
                <w:highlight w:val="none"/>
              </w:rPr>
              <w:t>分</w:t>
            </w:r>
            <w:r>
              <w:rPr>
                <w:rFonts w:hint="eastAsia" w:ascii="宋体" w:cs="Times New Roman"/>
                <w:color w:val="auto"/>
                <w:sz w:val="22"/>
                <w:highlight w:val="none"/>
                <w:lang w:eastAsia="zh-CN"/>
              </w:rPr>
              <w:t>；</w:t>
            </w:r>
            <w:r>
              <w:rPr>
                <w:rFonts w:hint="eastAsia" w:ascii="宋体" w:cs="Times New Roman"/>
                <w:color w:val="auto"/>
                <w:sz w:val="22"/>
                <w:highlight w:val="none"/>
              </w:rPr>
              <w:t>方案不切实际，难操作的</w:t>
            </w:r>
            <w:r>
              <w:rPr>
                <w:rFonts w:hint="eastAsia" w:ascii="宋体" w:cs="Times New Roman"/>
                <w:color w:val="auto"/>
                <w:sz w:val="22"/>
                <w:highlight w:val="none"/>
                <w:lang w:eastAsia="zh-CN"/>
              </w:rPr>
              <w:t>，</w:t>
            </w:r>
            <w:r>
              <w:rPr>
                <w:rFonts w:hint="eastAsia" w:ascii="宋体" w:cs="Times New Roman"/>
                <w:color w:val="auto"/>
                <w:sz w:val="22"/>
                <w:highlight w:val="none"/>
              </w:rPr>
              <w:t>得</w:t>
            </w:r>
            <w:r>
              <w:rPr>
                <w:rFonts w:hint="eastAsia" w:ascii="宋体" w:cs="Times New Roman"/>
                <w:color w:val="auto"/>
                <w:sz w:val="22"/>
                <w:highlight w:val="none"/>
                <w:lang w:val="en-US" w:eastAsia="zh-CN"/>
              </w:rPr>
              <w:t>0-1</w:t>
            </w:r>
            <w:r>
              <w:rPr>
                <w:rFonts w:hint="eastAsia" w:ascii="宋体" w:cs="Times New Roman"/>
                <w:color w:val="auto"/>
                <w:sz w:val="22"/>
                <w:highlight w:val="none"/>
              </w:rPr>
              <w:t>分</w:t>
            </w:r>
            <w:r>
              <w:rPr>
                <w:rFonts w:hint="eastAsia" w:ascii="宋体" w:cs="Times New Roman"/>
                <w:color w:val="auto"/>
                <w:sz w:val="22"/>
                <w:highlight w:val="none"/>
                <w:lang w:eastAsia="zh-CN"/>
              </w:rPr>
              <w:t>；</w:t>
            </w:r>
            <w:r>
              <w:rPr>
                <w:rFonts w:hint="eastAsia" w:ascii="宋体" w:cs="Times New Roman"/>
                <w:color w:val="auto"/>
                <w:sz w:val="22"/>
                <w:highlight w:val="none"/>
                <w:lang w:val="en-US" w:eastAsia="zh-CN"/>
              </w:rPr>
              <w:t>未</w:t>
            </w:r>
            <w:r>
              <w:rPr>
                <w:rFonts w:hint="eastAsia" w:ascii="宋体" w:cs="Times New Roman"/>
                <w:color w:val="auto"/>
                <w:sz w:val="22"/>
                <w:highlight w:val="none"/>
              </w:rPr>
              <w:t>提供</w:t>
            </w:r>
            <w:r>
              <w:rPr>
                <w:rFonts w:hint="eastAsia" w:ascii="宋体" w:cs="Times New Roman"/>
                <w:color w:val="auto"/>
                <w:sz w:val="22"/>
                <w:highlight w:val="none"/>
                <w:lang w:val="en-US" w:eastAsia="zh-CN"/>
              </w:rPr>
              <w:t>的，</w:t>
            </w:r>
            <w:r>
              <w:rPr>
                <w:rFonts w:hint="eastAsia" w:ascii="宋体" w:cs="Times New Roman"/>
                <w:color w:val="auto"/>
                <w:sz w:val="22"/>
                <w:highlight w:val="none"/>
              </w:rPr>
              <w:t>不得分</w:t>
            </w:r>
            <w:r>
              <w:rPr>
                <w:rFonts w:hint="eastAsia" w:ascii="宋体" w:cs="Times New Roman"/>
                <w:color w:val="auto"/>
                <w:sz w:val="22"/>
                <w:highlight w:val="none"/>
                <w:lang w:eastAsia="zh-CN"/>
              </w:rPr>
              <w:t>。</w:t>
            </w:r>
          </w:p>
        </w:tc>
      </w:tr>
    </w:tbl>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2.报价评分（</w:t>
      </w:r>
      <w:r>
        <w:rPr>
          <w:rFonts w:hint="eastAsia" w:ascii="宋体" w:hAnsi="宋体" w:cs="宋体"/>
          <w:color w:val="auto"/>
          <w:sz w:val="22"/>
          <w:szCs w:val="22"/>
          <w:highlight w:val="none"/>
        </w:rPr>
        <w:t>30</w:t>
      </w:r>
      <w:r>
        <w:rPr>
          <w:rFonts w:hint="eastAsia" w:ascii="宋体" w:hAnsi="宋体" w:eastAsia="宋体" w:cs="宋体"/>
          <w:color w:val="auto"/>
          <w:sz w:val="22"/>
          <w:szCs w:val="22"/>
          <w:highlight w:val="none"/>
        </w:rPr>
        <w:t>分）：</w:t>
      </w:r>
    </w:p>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2.1资格及符合性审查通过的有效投标人进入报价评分。</w:t>
      </w:r>
    </w:p>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报价评分采用低价优先法计算，即满足招标文件要求且评审价格最低的为评标基准价，其他投标人的报价分按照下列公式计算：</w:t>
      </w:r>
    </w:p>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报价分=（评标基准价/评审价格）×</w:t>
      </w:r>
      <w:r>
        <w:rPr>
          <w:rFonts w:hint="eastAsia" w:ascii="宋体" w:hAnsi="宋体" w:cs="宋体"/>
          <w:color w:val="auto"/>
          <w:sz w:val="22"/>
          <w:szCs w:val="22"/>
          <w:highlight w:val="none"/>
        </w:rPr>
        <w:t>30</w:t>
      </w:r>
      <w:r>
        <w:rPr>
          <w:rFonts w:hint="eastAsia" w:ascii="宋体" w:hAnsi="宋体" w:eastAsia="宋体" w:cs="宋体"/>
          <w:color w:val="auto"/>
          <w:sz w:val="22"/>
          <w:szCs w:val="22"/>
          <w:highlight w:val="none"/>
        </w:rPr>
        <w:t>。</w:t>
      </w:r>
    </w:p>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注：以上四舍五入后保留小数2位</w:t>
      </w:r>
    </w:p>
    <w:p>
      <w:pPr>
        <w:keepNext w:val="0"/>
        <w:keepLines w:val="0"/>
        <w:pageBreakBefore w:val="0"/>
        <w:widowControl w:val="0"/>
        <w:wordWrap/>
        <w:topLinePunct w:val="0"/>
        <w:bidi w:val="0"/>
        <w:spacing w:line="3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①依据《政府采购促进中小企业发展管理办法》（财库〔2020〕46号）文件及《财政部、司法部关于政府采购支持监狱企业发展有关问题的通知》（财库〔2014〕68号）文件，对小型和微型企业的价格给予</w:t>
      </w:r>
      <w:r>
        <w:rPr>
          <w:rFonts w:hint="default" w:ascii="宋体" w:hAnsi="宋体" w:cs="宋体"/>
          <w:b/>
          <w:bCs/>
          <w:color w:val="auto"/>
          <w:sz w:val="22"/>
          <w:szCs w:val="22"/>
          <w:highlight w:val="none"/>
          <w:lang w:val="en-US" w:eastAsia="zh-CN"/>
        </w:rPr>
        <w:t>20</w:t>
      </w:r>
      <w:r>
        <w:rPr>
          <w:rFonts w:hint="eastAsia" w:ascii="宋体" w:hAnsi="宋体" w:cs="宋体"/>
          <w:b/>
          <w:bCs/>
          <w:color w:val="auto"/>
          <w:sz w:val="22"/>
          <w:szCs w:val="22"/>
          <w:highlight w:val="none"/>
          <w:lang w:eastAsia="zh-CN"/>
        </w:rPr>
        <w:t>%</w:t>
      </w:r>
      <w:r>
        <w:rPr>
          <w:rFonts w:hint="eastAsia" w:ascii="宋体" w:hAnsi="宋体" w:eastAsia="宋体" w:cs="宋体"/>
          <w:b/>
          <w:bCs/>
          <w:color w:val="auto"/>
          <w:sz w:val="22"/>
          <w:szCs w:val="22"/>
          <w:highlight w:val="none"/>
        </w:rPr>
        <w:t>的扣除，用扣除后的价格参与评审。小型和微型企业是指响应文件中提供中小企业声明函且符合《政府采购促进中小企业发展管理办法》（财库〔2020〕46号）文件规定的要求并符合《工业和信息化部、国家统计局、国家发展和改革委员会、财政部关于印发中小企业划型标准规定的通知》（工信部联企业〔2011〕300号）规定的小、微企业的划型标准规定。监狱企业参加政府采购活动时，提供由省级以上监狱管理局、戒毒管理局（含新疆生产建设兵团）出具的属于监狱企业的证明文件。以上小型、微型企业的，不重复享受政策，未提供完整证明材料的，最后报价不予扣减。证明材料详见附件。</w:t>
      </w:r>
    </w:p>
    <w:p>
      <w:pPr>
        <w:keepNext w:val="0"/>
        <w:keepLines w:val="0"/>
        <w:pageBreakBefore w:val="0"/>
        <w:widowControl w:val="0"/>
        <w:wordWrap/>
        <w:topLinePunct w:val="0"/>
        <w:bidi w:val="0"/>
        <w:spacing w:line="360" w:lineRule="exact"/>
        <w:ind w:firstLine="442" w:firstLineChars="20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②投标如缺少须提供的一种功能或配置或服务，该价格将在其投标价的基础上加上其他投标人相应分项价格的最高价。如若中标，该缺漏项费用将由中标人自行承担，投标报价不做调整。</w:t>
      </w:r>
    </w:p>
    <w:p>
      <w:pPr>
        <w:keepNext w:val="0"/>
        <w:keepLines w:val="0"/>
        <w:pageBreakBefore w:val="0"/>
        <w:widowControl w:val="0"/>
        <w:wordWrap/>
        <w:topLinePunct w:val="0"/>
        <w:bidi w:val="0"/>
        <w:spacing w:line="36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highlight w:val="none"/>
        </w:rPr>
        <w:t>3.投标人的综合评分为“商务和技术分</w:t>
      </w:r>
      <w:bookmarkEnd w:id="14"/>
      <w:r>
        <w:rPr>
          <w:rFonts w:hint="eastAsia" w:ascii="宋体" w:hAnsi="宋体" w:eastAsia="宋体" w:cs="宋体"/>
          <w:color w:val="auto"/>
          <w:sz w:val="22"/>
          <w:szCs w:val="22"/>
          <w:highlight w:val="none"/>
        </w:rPr>
        <w:t>”和“报价分”的的总计。</w:t>
      </w:r>
    </w:p>
    <w:sectPr>
      <w:pgSz w:w="11906" w:h="16838"/>
      <w:pgMar w:top="1134" w:right="1304" w:bottom="1134" w:left="1531" w:header="851" w:footer="992" w:gutter="0"/>
      <w:pgNumType w:fmt="decimal"/>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59" w:rightChars="17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59" w:rightChars="17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59" w:rightChars="171"/>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8420" cy="139700"/>
              <wp:effectExtent l="0" t="0" r="0" b="0"/>
              <wp:wrapNone/>
              <wp:docPr id="3" name="Text Box 8"/>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19"/>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8" o:spid="_x0000_s1026" o:spt="202" type="#_x0000_t202" style="position:absolute;left:0pt;margin-top:0pt;height:11pt;width:4.6pt;mso-position-horizontal:center;mso-position-horizontal-relative:margin;mso-wrap-style:none;z-index:251665408;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tbuXfQAAAAAgEAAA8AAAAAAAAAAQAgAAAAIgAAAGRycy9kb3ducmV2LnhtbFBL&#10;AQIUABQAAAAIAIdO4kCW2u46/gEAAA4EAAAOAAAAAAAAAAEAIAAAAB8BAABkcnMvZTJvRG9jLnht&#10;bFBLBQYAAAAABgAGAFkBAACPBQ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58420" cy="139700"/>
              <wp:effectExtent l="0" t="0" r="0" b="0"/>
              <wp:wrapNone/>
              <wp:docPr id="5" name="Text Box 9"/>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19"/>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9" o:spid="_x0000_s1026" o:spt="202" type="#_x0000_t202" style="position:absolute;left:0pt;margin-top:0pt;height:11pt;width:4.6pt;mso-position-horizontal:center;mso-position-horizontal-relative:margin;mso-wrap-style:none;z-index:251666432;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tbuXfQAAAAAgEAAA8AAAAAAAAAAQAgAAAAIgAAAGRycy9kb3ducmV2LnhtbFBL&#10;AQIUABQAAAAIAIdO4kAamLm2/gEAAA4EAAAOAAAAAAAAAAEAIAAAAB8BAABkcnMvZTJvRG9jLnht&#10;bFBLBQYAAAAABgAGAFkBAACPBQ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59" w:rightChars="17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32130" cy="16319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32130" cy="163195"/>
                      </a:xfrm>
                      <a:prstGeom prst="rect">
                        <a:avLst/>
                      </a:prstGeom>
                      <a:noFill/>
                      <a:ln w="15875">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2.85pt;width:41.9pt;mso-position-horizontal:center;mso-position-horizontal-relative:margin;mso-wrap-style:none;z-index:251659264;mso-width-relative:page;mso-height-relative:page;" filled="f" stroked="f" coordsize="21600,21600" o:gfxdata="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4unF1QAAAAMBAAAPAAAAAAAAAAEAIAAA&#10;ACIAAABkcnMvZG93bnJldi54bWxQSwECFAAUAAAACACHTuJAX7Q2EdYBAAChAwAADgAAAAAAAAAB&#10;ACAAAAAkAQAAZHJzL2Uyb0RvYy54bWxQSwUGAAAAAAYABgBZAQAAbAUAAAAA&#10;">
              <v:fill on="f" focussize="0,0"/>
              <v:stroke on="f" weight="1.2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r>
                      <w:rPr>
                        <w:rFonts w:hint="eastAsia"/>
                        <w:sz w:val="18"/>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footnote>
  <w:footnote w:type="continuationSeparator" w:id="3">
    <w:p/>
  </w:footnote>
  <w:footnote w:id="0">
    <w:p>
      <w:pPr>
        <w:pStyle w:val="2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jc w:val="both"/>
      <w:rPr>
        <w:rFonts w:hint="eastAsia" w:ascii="仿宋_GB2312" w:eastAsia="仿宋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652E9"/>
    <w:multiLevelType w:val="singleLevel"/>
    <w:tmpl w:val="83E652E9"/>
    <w:lvl w:ilvl="0" w:tentative="0">
      <w:start w:val="1"/>
      <w:numFmt w:val="decimal"/>
      <w:lvlText w:val="(%1)"/>
      <w:lvlJc w:val="left"/>
      <w:pPr>
        <w:ind w:left="425" w:hanging="425"/>
      </w:pPr>
      <w:rPr>
        <w:rFonts w:hint="default"/>
      </w:rPr>
    </w:lvl>
  </w:abstractNum>
  <w:abstractNum w:abstractNumId="1">
    <w:nsid w:val="9766C245"/>
    <w:multiLevelType w:val="singleLevel"/>
    <w:tmpl w:val="9766C245"/>
    <w:lvl w:ilvl="0" w:tentative="0">
      <w:start w:val="1"/>
      <w:numFmt w:val="decimal"/>
      <w:lvlText w:val="(%1)"/>
      <w:lvlJc w:val="left"/>
      <w:pPr>
        <w:ind w:left="425" w:hanging="425"/>
      </w:pPr>
      <w:rPr>
        <w:rFonts w:hint="default"/>
      </w:rPr>
    </w:lvl>
  </w:abstractNum>
  <w:abstractNum w:abstractNumId="2">
    <w:nsid w:val="B8850206"/>
    <w:multiLevelType w:val="multilevel"/>
    <w:tmpl w:val="B8850206"/>
    <w:lvl w:ilvl="0" w:tentative="0">
      <w:start w:val="1"/>
      <w:numFmt w:val="decimal"/>
      <w:lvlText w:val="%1."/>
      <w:lvlJc w:val="left"/>
      <w:pPr>
        <w:ind w:left="432" w:hanging="432"/>
      </w:pPr>
      <w:rPr>
        <w:rFonts w:hint="default"/>
      </w:rPr>
    </w:lvl>
    <w:lvl w:ilvl="1" w:tentative="0">
      <w:start w:val="1"/>
      <w:numFmt w:val="decimal"/>
      <w:pStyle w:val="6"/>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3">
    <w:nsid w:val="C8B16661"/>
    <w:multiLevelType w:val="singleLevel"/>
    <w:tmpl w:val="C8B16661"/>
    <w:lvl w:ilvl="0" w:tentative="0">
      <w:start w:val="1"/>
      <w:numFmt w:val="chineseCounting"/>
      <w:suff w:val="nothing"/>
      <w:lvlText w:val="%1、"/>
      <w:lvlJc w:val="left"/>
      <w:rPr>
        <w:rFonts w:hint="eastAsia"/>
      </w:rPr>
    </w:lvl>
  </w:abstractNum>
  <w:abstractNum w:abstractNumId="4">
    <w:nsid w:val="FD35904F"/>
    <w:multiLevelType w:val="singleLevel"/>
    <w:tmpl w:val="FD35904F"/>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5">
    <w:nsid w:val="004E1590"/>
    <w:multiLevelType w:val="singleLevel"/>
    <w:tmpl w:val="004E1590"/>
    <w:lvl w:ilvl="0" w:tentative="0">
      <w:start w:val="1"/>
      <w:numFmt w:val="decimalEnclosedCircleChinese"/>
      <w:suff w:val="nothing"/>
      <w:lvlText w:val="%1　"/>
      <w:lvlJc w:val="left"/>
      <w:pPr>
        <w:ind w:left="0" w:firstLine="400"/>
      </w:pPr>
      <w:rPr>
        <w:rFonts w:hint="eastAsia"/>
      </w:rPr>
    </w:lvl>
  </w:abstractNum>
  <w:abstractNum w:abstractNumId="6">
    <w:nsid w:val="021C584F"/>
    <w:multiLevelType w:val="singleLevel"/>
    <w:tmpl w:val="021C584F"/>
    <w:lvl w:ilvl="0" w:tentative="0">
      <w:start w:val="4"/>
      <w:numFmt w:val="chineseCounting"/>
      <w:lvlText w:val="%1."/>
      <w:lvlJc w:val="left"/>
      <w:pPr>
        <w:tabs>
          <w:tab w:val="left" w:pos="312"/>
        </w:tabs>
      </w:pPr>
      <w:rPr>
        <w:rFonts w:hint="eastAsia"/>
      </w:rPr>
    </w:lvl>
  </w:abstractNum>
  <w:abstractNum w:abstractNumId="7">
    <w:nsid w:val="03DFA4C6"/>
    <w:multiLevelType w:val="singleLevel"/>
    <w:tmpl w:val="03DFA4C6"/>
    <w:lvl w:ilvl="0" w:tentative="0">
      <w:start w:val="1"/>
      <w:numFmt w:val="decimal"/>
      <w:lvlText w:val="(%1)"/>
      <w:lvlJc w:val="left"/>
      <w:pPr>
        <w:ind w:left="425" w:hanging="425"/>
      </w:pPr>
      <w:rPr>
        <w:rFonts w:hint="default"/>
      </w:rPr>
    </w:lvl>
  </w:abstractNum>
  <w:abstractNum w:abstractNumId="8">
    <w:nsid w:val="134E98B4"/>
    <w:multiLevelType w:val="singleLevel"/>
    <w:tmpl w:val="134E98B4"/>
    <w:lvl w:ilvl="0" w:tentative="0">
      <w:start w:val="1"/>
      <w:numFmt w:val="chineseCounting"/>
      <w:lvlText w:val="%1."/>
      <w:lvlJc w:val="left"/>
      <w:pPr>
        <w:tabs>
          <w:tab w:val="left" w:pos="312"/>
        </w:tabs>
      </w:pPr>
      <w:rPr>
        <w:rFonts w:hint="eastAsia"/>
      </w:rPr>
    </w:lvl>
  </w:abstractNum>
  <w:abstractNum w:abstractNumId="9">
    <w:nsid w:val="1D54F517"/>
    <w:multiLevelType w:val="singleLevel"/>
    <w:tmpl w:val="1D54F517"/>
    <w:lvl w:ilvl="0" w:tentative="0">
      <w:start w:val="1"/>
      <w:numFmt w:val="decimal"/>
      <w:lvlText w:val="(%1)"/>
      <w:lvlJc w:val="left"/>
      <w:pPr>
        <w:ind w:left="425" w:hanging="425"/>
      </w:pPr>
      <w:rPr>
        <w:rFonts w:hint="default"/>
      </w:rPr>
    </w:lvl>
  </w:abstractNum>
  <w:abstractNum w:abstractNumId="10">
    <w:nsid w:val="257838EE"/>
    <w:multiLevelType w:val="multilevel"/>
    <w:tmpl w:val="257838E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CB394F7"/>
    <w:multiLevelType w:val="singleLevel"/>
    <w:tmpl w:val="2CB394F7"/>
    <w:lvl w:ilvl="0" w:tentative="0">
      <w:start w:val="1"/>
      <w:numFmt w:val="decimal"/>
      <w:suff w:val="nothing"/>
      <w:lvlText w:val="%1、"/>
      <w:lvlJc w:val="left"/>
    </w:lvl>
  </w:abstractNum>
  <w:abstractNum w:abstractNumId="12">
    <w:nsid w:val="3CA89B1D"/>
    <w:multiLevelType w:val="singleLevel"/>
    <w:tmpl w:val="3CA89B1D"/>
    <w:lvl w:ilvl="0" w:tentative="0">
      <w:start w:val="2"/>
      <w:numFmt w:val="decimal"/>
      <w:suff w:val="nothing"/>
      <w:lvlText w:val="%1、"/>
      <w:lvlJc w:val="left"/>
    </w:lvl>
  </w:abstractNum>
  <w:abstractNum w:abstractNumId="13">
    <w:nsid w:val="557FD3DA"/>
    <w:multiLevelType w:val="singleLevel"/>
    <w:tmpl w:val="557FD3DA"/>
    <w:lvl w:ilvl="0" w:tentative="0">
      <w:start w:val="3"/>
      <w:numFmt w:val="chineseCounting"/>
      <w:suff w:val="nothing"/>
      <w:lvlText w:val="%1、"/>
      <w:lvlJc w:val="left"/>
      <w:rPr>
        <w:rFonts w:cs="Times New Roman"/>
      </w:rPr>
    </w:lvl>
  </w:abstractNum>
  <w:abstractNum w:abstractNumId="14">
    <w:nsid w:val="588236B1"/>
    <w:multiLevelType w:val="multilevel"/>
    <w:tmpl w:val="588236B1"/>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89BEA00"/>
    <w:multiLevelType w:val="singleLevel"/>
    <w:tmpl w:val="589BEA00"/>
    <w:lvl w:ilvl="0" w:tentative="0">
      <w:start w:val="1"/>
      <w:numFmt w:val="decimal"/>
      <w:suff w:val="nothing"/>
      <w:lvlText w:val="%1."/>
      <w:lvlJc w:val="left"/>
    </w:lvl>
  </w:abstractNum>
  <w:abstractNum w:abstractNumId="16">
    <w:nsid w:val="59016AD3"/>
    <w:multiLevelType w:val="singleLevel"/>
    <w:tmpl w:val="59016AD3"/>
    <w:lvl w:ilvl="0" w:tentative="0">
      <w:start w:val="1"/>
      <w:numFmt w:val="decimal"/>
      <w:suff w:val="nothing"/>
      <w:lvlText w:val="%1）"/>
      <w:lvlJc w:val="left"/>
    </w:lvl>
  </w:abstractNum>
  <w:abstractNum w:abstractNumId="17">
    <w:nsid w:val="59016B66"/>
    <w:multiLevelType w:val="singleLevel"/>
    <w:tmpl w:val="59016B66"/>
    <w:lvl w:ilvl="0" w:tentative="0">
      <w:start w:val="1"/>
      <w:numFmt w:val="decimal"/>
      <w:suff w:val="nothing"/>
      <w:lvlText w:val="%1）"/>
      <w:lvlJc w:val="left"/>
    </w:lvl>
  </w:abstractNum>
  <w:abstractNum w:abstractNumId="18">
    <w:nsid w:val="5901BAEF"/>
    <w:multiLevelType w:val="singleLevel"/>
    <w:tmpl w:val="5901BAEF"/>
    <w:lvl w:ilvl="0" w:tentative="0">
      <w:start w:val="1"/>
      <w:numFmt w:val="decimal"/>
      <w:suff w:val="nothing"/>
      <w:lvlText w:val="%1."/>
      <w:lvlJc w:val="left"/>
    </w:lvl>
  </w:abstractNum>
  <w:abstractNum w:abstractNumId="19">
    <w:nsid w:val="5901BB09"/>
    <w:multiLevelType w:val="singleLevel"/>
    <w:tmpl w:val="5901BB09"/>
    <w:lvl w:ilvl="0" w:tentative="0">
      <w:start w:val="4"/>
      <w:numFmt w:val="decimal"/>
      <w:suff w:val="nothing"/>
      <w:lvlText w:val="%1."/>
      <w:lvlJc w:val="left"/>
    </w:lvl>
  </w:abstractNum>
  <w:abstractNum w:abstractNumId="20">
    <w:nsid w:val="5C073707"/>
    <w:multiLevelType w:val="singleLevel"/>
    <w:tmpl w:val="5C073707"/>
    <w:lvl w:ilvl="0" w:tentative="0">
      <w:start w:val="1"/>
      <w:numFmt w:val="decimalEnclosedCircleChinese"/>
      <w:suff w:val="nothing"/>
      <w:lvlText w:val="%1　"/>
      <w:lvlJc w:val="left"/>
      <w:pPr>
        <w:ind w:left="0" w:firstLine="400"/>
      </w:pPr>
      <w:rPr>
        <w:rFonts w:hint="eastAsia"/>
      </w:rPr>
    </w:lvl>
  </w:abstractNum>
  <w:abstractNum w:abstractNumId="21">
    <w:nsid w:val="68CD8C2D"/>
    <w:multiLevelType w:val="singleLevel"/>
    <w:tmpl w:val="68CD8C2D"/>
    <w:lvl w:ilvl="0" w:tentative="0">
      <w:start w:val="1"/>
      <w:numFmt w:val="decimalEnclosedCircleChinese"/>
      <w:suff w:val="nothing"/>
      <w:lvlText w:val="%1　"/>
      <w:lvlJc w:val="left"/>
      <w:pPr>
        <w:ind w:left="0" w:firstLine="400"/>
      </w:pPr>
      <w:rPr>
        <w:rFonts w:hint="eastAsia"/>
      </w:rPr>
    </w:lvl>
  </w:abstractNum>
  <w:num w:numId="1">
    <w:abstractNumId w:val="2"/>
  </w:num>
  <w:num w:numId="2">
    <w:abstractNumId w:val="20"/>
  </w:num>
  <w:num w:numId="3">
    <w:abstractNumId w:val="5"/>
  </w:num>
  <w:num w:numId="4">
    <w:abstractNumId w:val="21"/>
  </w:num>
  <w:num w:numId="5">
    <w:abstractNumId w:val="1"/>
  </w:num>
  <w:num w:numId="6">
    <w:abstractNumId w:val="0"/>
  </w:num>
  <w:num w:numId="7">
    <w:abstractNumId w:val="7"/>
  </w:num>
  <w:num w:numId="8">
    <w:abstractNumId w:val="9"/>
  </w:num>
  <w:num w:numId="9">
    <w:abstractNumId w:val="17"/>
  </w:num>
  <w:num w:numId="10">
    <w:abstractNumId w:val="18"/>
  </w:num>
  <w:num w:numId="11">
    <w:abstractNumId w:val="19"/>
  </w:num>
  <w:num w:numId="12">
    <w:abstractNumId w:val="16"/>
  </w:num>
  <w:num w:numId="13">
    <w:abstractNumId w:val="15"/>
  </w:num>
  <w:num w:numId="14">
    <w:abstractNumId w:val="10"/>
  </w:num>
  <w:num w:numId="15">
    <w:abstractNumId w:val="4"/>
  </w:num>
  <w:num w:numId="16">
    <w:abstractNumId w:val="3"/>
  </w:num>
  <w:num w:numId="17">
    <w:abstractNumId w:val="13"/>
  </w:num>
  <w:num w:numId="18">
    <w:abstractNumId w:val="12"/>
  </w:num>
  <w:num w:numId="19">
    <w:abstractNumId w:val="6"/>
  </w:num>
  <w:num w:numId="20">
    <w:abstractNumId w:val="14"/>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4MTdlZDAyMWUwOWE2NzhlNGI4ZDkyZjI2MDRiYTIifQ=="/>
  </w:docVars>
  <w:rsids>
    <w:rsidRoot w:val="0077105C"/>
    <w:rsid w:val="000005DA"/>
    <w:rsid w:val="00003A8E"/>
    <w:rsid w:val="00003B8B"/>
    <w:rsid w:val="00004ACA"/>
    <w:rsid w:val="00006C3A"/>
    <w:rsid w:val="000104E3"/>
    <w:rsid w:val="00011DDF"/>
    <w:rsid w:val="000126A9"/>
    <w:rsid w:val="00012BEA"/>
    <w:rsid w:val="0001379F"/>
    <w:rsid w:val="00013CBD"/>
    <w:rsid w:val="00016DD7"/>
    <w:rsid w:val="00017519"/>
    <w:rsid w:val="00017D2F"/>
    <w:rsid w:val="00023928"/>
    <w:rsid w:val="00026DF1"/>
    <w:rsid w:val="00032287"/>
    <w:rsid w:val="00033F59"/>
    <w:rsid w:val="000358F0"/>
    <w:rsid w:val="00035E17"/>
    <w:rsid w:val="00040878"/>
    <w:rsid w:val="00041DB4"/>
    <w:rsid w:val="00043348"/>
    <w:rsid w:val="00043A6C"/>
    <w:rsid w:val="000457EF"/>
    <w:rsid w:val="000507FF"/>
    <w:rsid w:val="000545B7"/>
    <w:rsid w:val="000552F6"/>
    <w:rsid w:val="0005663D"/>
    <w:rsid w:val="00056ADF"/>
    <w:rsid w:val="00057DF7"/>
    <w:rsid w:val="000602E9"/>
    <w:rsid w:val="00060469"/>
    <w:rsid w:val="00060F30"/>
    <w:rsid w:val="000612EF"/>
    <w:rsid w:val="00066845"/>
    <w:rsid w:val="00070A41"/>
    <w:rsid w:val="000731FD"/>
    <w:rsid w:val="00074112"/>
    <w:rsid w:val="0008186D"/>
    <w:rsid w:val="00081A37"/>
    <w:rsid w:val="0008260D"/>
    <w:rsid w:val="00083AA4"/>
    <w:rsid w:val="00083CAF"/>
    <w:rsid w:val="00086D9D"/>
    <w:rsid w:val="00087EC6"/>
    <w:rsid w:val="00097A19"/>
    <w:rsid w:val="000A3D9E"/>
    <w:rsid w:val="000A5A7A"/>
    <w:rsid w:val="000A75B0"/>
    <w:rsid w:val="000B029B"/>
    <w:rsid w:val="000B41CE"/>
    <w:rsid w:val="000B53F4"/>
    <w:rsid w:val="000B565E"/>
    <w:rsid w:val="000B5760"/>
    <w:rsid w:val="000B6159"/>
    <w:rsid w:val="000B7DB9"/>
    <w:rsid w:val="000C12C7"/>
    <w:rsid w:val="000C28D0"/>
    <w:rsid w:val="000C3755"/>
    <w:rsid w:val="000C4980"/>
    <w:rsid w:val="000C6819"/>
    <w:rsid w:val="000C7072"/>
    <w:rsid w:val="000D0620"/>
    <w:rsid w:val="000D6160"/>
    <w:rsid w:val="000D6FBC"/>
    <w:rsid w:val="000E1320"/>
    <w:rsid w:val="000F0EE3"/>
    <w:rsid w:val="000F3299"/>
    <w:rsid w:val="000F5270"/>
    <w:rsid w:val="000F5B1D"/>
    <w:rsid w:val="000F5EA6"/>
    <w:rsid w:val="00101FE4"/>
    <w:rsid w:val="00105C9A"/>
    <w:rsid w:val="00105D7E"/>
    <w:rsid w:val="0011018D"/>
    <w:rsid w:val="0011098B"/>
    <w:rsid w:val="0011292B"/>
    <w:rsid w:val="00112EDD"/>
    <w:rsid w:val="0011327D"/>
    <w:rsid w:val="001132E2"/>
    <w:rsid w:val="00113F54"/>
    <w:rsid w:val="00117164"/>
    <w:rsid w:val="001175AC"/>
    <w:rsid w:val="001207CC"/>
    <w:rsid w:val="00122E4D"/>
    <w:rsid w:val="001260BB"/>
    <w:rsid w:val="0013237A"/>
    <w:rsid w:val="00132400"/>
    <w:rsid w:val="00133077"/>
    <w:rsid w:val="001404FE"/>
    <w:rsid w:val="00140BD3"/>
    <w:rsid w:val="00140D4A"/>
    <w:rsid w:val="0014331F"/>
    <w:rsid w:val="00143E1D"/>
    <w:rsid w:val="00144DEC"/>
    <w:rsid w:val="00145D07"/>
    <w:rsid w:val="00146050"/>
    <w:rsid w:val="00147480"/>
    <w:rsid w:val="0015078E"/>
    <w:rsid w:val="00150A0F"/>
    <w:rsid w:val="00151362"/>
    <w:rsid w:val="001518ED"/>
    <w:rsid w:val="00153CDA"/>
    <w:rsid w:val="001540A3"/>
    <w:rsid w:val="00154D53"/>
    <w:rsid w:val="001557C5"/>
    <w:rsid w:val="00156586"/>
    <w:rsid w:val="00156CCD"/>
    <w:rsid w:val="001570FE"/>
    <w:rsid w:val="0016257C"/>
    <w:rsid w:val="00163A34"/>
    <w:rsid w:val="00163F80"/>
    <w:rsid w:val="001645B7"/>
    <w:rsid w:val="00165C61"/>
    <w:rsid w:val="00166195"/>
    <w:rsid w:val="0016770B"/>
    <w:rsid w:val="0017112C"/>
    <w:rsid w:val="001716F3"/>
    <w:rsid w:val="001740F4"/>
    <w:rsid w:val="0017476F"/>
    <w:rsid w:val="00176587"/>
    <w:rsid w:val="001768AD"/>
    <w:rsid w:val="0018141D"/>
    <w:rsid w:val="00182127"/>
    <w:rsid w:val="001822F8"/>
    <w:rsid w:val="00183839"/>
    <w:rsid w:val="00186A6C"/>
    <w:rsid w:val="00191B84"/>
    <w:rsid w:val="00194CCA"/>
    <w:rsid w:val="00196379"/>
    <w:rsid w:val="0019724A"/>
    <w:rsid w:val="001A36BE"/>
    <w:rsid w:val="001B0883"/>
    <w:rsid w:val="001B0DFB"/>
    <w:rsid w:val="001B32B4"/>
    <w:rsid w:val="001B34BF"/>
    <w:rsid w:val="001B5603"/>
    <w:rsid w:val="001B5AE3"/>
    <w:rsid w:val="001C1E7D"/>
    <w:rsid w:val="001C2259"/>
    <w:rsid w:val="001C51B9"/>
    <w:rsid w:val="001C636B"/>
    <w:rsid w:val="001C6DFA"/>
    <w:rsid w:val="001F0342"/>
    <w:rsid w:val="001F4FD4"/>
    <w:rsid w:val="001F56C4"/>
    <w:rsid w:val="001F7731"/>
    <w:rsid w:val="001F789C"/>
    <w:rsid w:val="00200D86"/>
    <w:rsid w:val="0020352C"/>
    <w:rsid w:val="00203EBC"/>
    <w:rsid w:val="00204A26"/>
    <w:rsid w:val="00207187"/>
    <w:rsid w:val="0020745E"/>
    <w:rsid w:val="0020763A"/>
    <w:rsid w:val="0020787C"/>
    <w:rsid w:val="002132FC"/>
    <w:rsid w:val="002168ED"/>
    <w:rsid w:val="00222DDA"/>
    <w:rsid w:val="00222EE2"/>
    <w:rsid w:val="0022566E"/>
    <w:rsid w:val="00227E65"/>
    <w:rsid w:val="00230F1E"/>
    <w:rsid w:val="00231898"/>
    <w:rsid w:val="00234308"/>
    <w:rsid w:val="002357B9"/>
    <w:rsid w:val="00235EAE"/>
    <w:rsid w:val="00236AD6"/>
    <w:rsid w:val="0023798B"/>
    <w:rsid w:val="00241445"/>
    <w:rsid w:val="0024282A"/>
    <w:rsid w:val="00251544"/>
    <w:rsid w:val="00252945"/>
    <w:rsid w:val="00252BC3"/>
    <w:rsid w:val="00254A9E"/>
    <w:rsid w:val="002567F9"/>
    <w:rsid w:val="002603C4"/>
    <w:rsid w:val="00261663"/>
    <w:rsid w:val="00263191"/>
    <w:rsid w:val="00263DBF"/>
    <w:rsid w:val="00263E40"/>
    <w:rsid w:val="002673EA"/>
    <w:rsid w:val="00270625"/>
    <w:rsid w:val="00273C8A"/>
    <w:rsid w:val="0027700E"/>
    <w:rsid w:val="002772DA"/>
    <w:rsid w:val="00282BE2"/>
    <w:rsid w:val="00285FEB"/>
    <w:rsid w:val="00296F4B"/>
    <w:rsid w:val="002A39E4"/>
    <w:rsid w:val="002A5393"/>
    <w:rsid w:val="002A7AF9"/>
    <w:rsid w:val="002A7B47"/>
    <w:rsid w:val="002B0010"/>
    <w:rsid w:val="002B023B"/>
    <w:rsid w:val="002B05E2"/>
    <w:rsid w:val="002B0B49"/>
    <w:rsid w:val="002B0C9A"/>
    <w:rsid w:val="002B2107"/>
    <w:rsid w:val="002C04BF"/>
    <w:rsid w:val="002C08E5"/>
    <w:rsid w:val="002C1CDB"/>
    <w:rsid w:val="002C6420"/>
    <w:rsid w:val="002D20F6"/>
    <w:rsid w:val="002D3FF2"/>
    <w:rsid w:val="002D55A9"/>
    <w:rsid w:val="002D5D33"/>
    <w:rsid w:val="002D7801"/>
    <w:rsid w:val="002E116F"/>
    <w:rsid w:val="002E3406"/>
    <w:rsid w:val="002E66B0"/>
    <w:rsid w:val="002F18CE"/>
    <w:rsid w:val="002F5D16"/>
    <w:rsid w:val="002F71E5"/>
    <w:rsid w:val="00300AC5"/>
    <w:rsid w:val="00301E87"/>
    <w:rsid w:val="00302FCF"/>
    <w:rsid w:val="00304644"/>
    <w:rsid w:val="003049DA"/>
    <w:rsid w:val="00304B9D"/>
    <w:rsid w:val="0031021B"/>
    <w:rsid w:val="00310722"/>
    <w:rsid w:val="00310B12"/>
    <w:rsid w:val="0031486A"/>
    <w:rsid w:val="003156B5"/>
    <w:rsid w:val="00317C20"/>
    <w:rsid w:val="0032028E"/>
    <w:rsid w:val="003213F8"/>
    <w:rsid w:val="00321468"/>
    <w:rsid w:val="0032251D"/>
    <w:rsid w:val="003248FF"/>
    <w:rsid w:val="00327E4B"/>
    <w:rsid w:val="00327E9A"/>
    <w:rsid w:val="003309CC"/>
    <w:rsid w:val="00331D79"/>
    <w:rsid w:val="00332EC2"/>
    <w:rsid w:val="00334FF9"/>
    <w:rsid w:val="00335044"/>
    <w:rsid w:val="00340883"/>
    <w:rsid w:val="00340A34"/>
    <w:rsid w:val="00342671"/>
    <w:rsid w:val="00342680"/>
    <w:rsid w:val="003433DC"/>
    <w:rsid w:val="003444DC"/>
    <w:rsid w:val="003454C1"/>
    <w:rsid w:val="00346418"/>
    <w:rsid w:val="00347100"/>
    <w:rsid w:val="0035085D"/>
    <w:rsid w:val="003550C0"/>
    <w:rsid w:val="00355AE1"/>
    <w:rsid w:val="00357035"/>
    <w:rsid w:val="0036115C"/>
    <w:rsid w:val="0036271F"/>
    <w:rsid w:val="00362803"/>
    <w:rsid w:val="00363F5C"/>
    <w:rsid w:val="00370589"/>
    <w:rsid w:val="003746C4"/>
    <w:rsid w:val="003747DD"/>
    <w:rsid w:val="00375E66"/>
    <w:rsid w:val="00377953"/>
    <w:rsid w:val="00377FE3"/>
    <w:rsid w:val="00380C7B"/>
    <w:rsid w:val="00386472"/>
    <w:rsid w:val="003901CE"/>
    <w:rsid w:val="00391E22"/>
    <w:rsid w:val="00393FF9"/>
    <w:rsid w:val="00395767"/>
    <w:rsid w:val="0039640C"/>
    <w:rsid w:val="0039763B"/>
    <w:rsid w:val="003A04F9"/>
    <w:rsid w:val="003A26DA"/>
    <w:rsid w:val="003A4570"/>
    <w:rsid w:val="003A5724"/>
    <w:rsid w:val="003A6DAC"/>
    <w:rsid w:val="003B11F6"/>
    <w:rsid w:val="003B2ABA"/>
    <w:rsid w:val="003B414E"/>
    <w:rsid w:val="003B723D"/>
    <w:rsid w:val="003B78AA"/>
    <w:rsid w:val="003B7C81"/>
    <w:rsid w:val="003B7EAA"/>
    <w:rsid w:val="003C21DC"/>
    <w:rsid w:val="003C3EE2"/>
    <w:rsid w:val="003C775D"/>
    <w:rsid w:val="003D0502"/>
    <w:rsid w:val="003D15A4"/>
    <w:rsid w:val="003D1F15"/>
    <w:rsid w:val="003D3240"/>
    <w:rsid w:val="003D680D"/>
    <w:rsid w:val="003E1FAF"/>
    <w:rsid w:val="003E2383"/>
    <w:rsid w:val="003E2999"/>
    <w:rsid w:val="003E301B"/>
    <w:rsid w:val="003E4760"/>
    <w:rsid w:val="003E555F"/>
    <w:rsid w:val="003E61F0"/>
    <w:rsid w:val="003F2778"/>
    <w:rsid w:val="003F29FB"/>
    <w:rsid w:val="003F2BC8"/>
    <w:rsid w:val="003F2C3E"/>
    <w:rsid w:val="003F6CCF"/>
    <w:rsid w:val="00403E9D"/>
    <w:rsid w:val="00403FA4"/>
    <w:rsid w:val="00405463"/>
    <w:rsid w:val="004151D4"/>
    <w:rsid w:val="00416AC0"/>
    <w:rsid w:val="00423D81"/>
    <w:rsid w:val="004240A8"/>
    <w:rsid w:val="00424DA2"/>
    <w:rsid w:val="00426155"/>
    <w:rsid w:val="004309FA"/>
    <w:rsid w:val="00432010"/>
    <w:rsid w:val="004324AB"/>
    <w:rsid w:val="0043495E"/>
    <w:rsid w:val="0043631A"/>
    <w:rsid w:val="0044080E"/>
    <w:rsid w:val="00440F7F"/>
    <w:rsid w:val="00442784"/>
    <w:rsid w:val="00443342"/>
    <w:rsid w:val="004467C4"/>
    <w:rsid w:val="004510A6"/>
    <w:rsid w:val="00452390"/>
    <w:rsid w:val="00453744"/>
    <w:rsid w:val="004648E3"/>
    <w:rsid w:val="00466555"/>
    <w:rsid w:val="00467D8E"/>
    <w:rsid w:val="00472430"/>
    <w:rsid w:val="00472977"/>
    <w:rsid w:val="0047354D"/>
    <w:rsid w:val="00473D55"/>
    <w:rsid w:val="004745D3"/>
    <w:rsid w:val="00477002"/>
    <w:rsid w:val="00477447"/>
    <w:rsid w:val="00483C23"/>
    <w:rsid w:val="00485846"/>
    <w:rsid w:val="00486880"/>
    <w:rsid w:val="004874E9"/>
    <w:rsid w:val="00490EE0"/>
    <w:rsid w:val="00493D9A"/>
    <w:rsid w:val="004951ED"/>
    <w:rsid w:val="0049634D"/>
    <w:rsid w:val="004A07FB"/>
    <w:rsid w:val="004A11EC"/>
    <w:rsid w:val="004A19E1"/>
    <w:rsid w:val="004A2C9E"/>
    <w:rsid w:val="004A526B"/>
    <w:rsid w:val="004A5C3F"/>
    <w:rsid w:val="004A5D08"/>
    <w:rsid w:val="004A632C"/>
    <w:rsid w:val="004A6785"/>
    <w:rsid w:val="004A6F82"/>
    <w:rsid w:val="004B0E35"/>
    <w:rsid w:val="004B27F5"/>
    <w:rsid w:val="004B3330"/>
    <w:rsid w:val="004B3A25"/>
    <w:rsid w:val="004B566B"/>
    <w:rsid w:val="004B6223"/>
    <w:rsid w:val="004B6226"/>
    <w:rsid w:val="004B77F3"/>
    <w:rsid w:val="004C7F50"/>
    <w:rsid w:val="004D05FE"/>
    <w:rsid w:val="004D1CCE"/>
    <w:rsid w:val="004D4C08"/>
    <w:rsid w:val="004D7CE2"/>
    <w:rsid w:val="004E096B"/>
    <w:rsid w:val="004E0F0C"/>
    <w:rsid w:val="004E1495"/>
    <w:rsid w:val="004E2A3C"/>
    <w:rsid w:val="004F4A3B"/>
    <w:rsid w:val="004F559F"/>
    <w:rsid w:val="004F674A"/>
    <w:rsid w:val="0050061C"/>
    <w:rsid w:val="00503552"/>
    <w:rsid w:val="0050792B"/>
    <w:rsid w:val="0051201B"/>
    <w:rsid w:val="00516CC2"/>
    <w:rsid w:val="005204A1"/>
    <w:rsid w:val="00522C0C"/>
    <w:rsid w:val="00525811"/>
    <w:rsid w:val="00532D11"/>
    <w:rsid w:val="00536C23"/>
    <w:rsid w:val="0053784A"/>
    <w:rsid w:val="005379B0"/>
    <w:rsid w:val="00540D43"/>
    <w:rsid w:val="00540E7C"/>
    <w:rsid w:val="0054288D"/>
    <w:rsid w:val="005439E1"/>
    <w:rsid w:val="00543DD0"/>
    <w:rsid w:val="00545705"/>
    <w:rsid w:val="005475C6"/>
    <w:rsid w:val="005513BB"/>
    <w:rsid w:val="00556E6D"/>
    <w:rsid w:val="00560CBB"/>
    <w:rsid w:val="00561C78"/>
    <w:rsid w:val="005626D3"/>
    <w:rsid w:val="00563435"/>
    <w:rsid w:val="00567B73"/>
    <w:rsid w:val="00571AAB"/>
    <w:rsid w:val="00572049"/>
    <w:rsid w:val="00574E41"/>
    <w:rsid w:val="005760B3"/>
    <w:rsid w:val="0057676F"/>
    <w:rsid w:val="00576AD5"/>
    <w:rsid w:val="00587596"/>
    <w:rsid w:val="00591BD6"/>
    <w:rsid w:val="005922DF"/>
    <w:rsid w:val="00592D53"/>
    <w:rsid w:val="00593BBF"/>
    <w:rsid w:val="005963F3"/>
    <w:rsid w:val="0059696F"/>
    <w:rsid w:val="00596FE8"/>
    <w:rsid w:val="005971A3"/>
    <w:rsid w:val="005A0BE8"/>
    <w:rsid w:val="005A6998"/>
    <w:rsid w:val="005A6CFB"/>
    <w:rsid w:val="005A76EC"/>
    <w:rsid w:val="005B0E99"/>
    <w:rsid w:val="005B18EB"/>
    <w:rsid w:val="005B2B5A"/>
    <w:rsid w:val="005B3634"/>
    <w:rsid w:val="005B47F7"/>
    <w:rsid w:val="005C1E5B"/>
    <w:rsid w:val="005C2269"/>
    <w:rsid w:val="005D3FCC"/>
    <w:rsid w:val="005D471C"/>
    <w:rsid w:val="005D49FE"/>
    <w:rsid w:val="005E062D"/>
    <w:rsid w:val="005E34EE"/>
    <w:rsid w:val="005E3F03"/>
    <w:rsid w:val="005E6893"/>
    <w:rsid w:val="005E791B"/>
    <w:rsid w:val="005E79FF"/>
    <w:rsid w:val="005E7D83"/>
    <w:rsid w:val="005F23AD"/>
    <w:rsid w:val="005F463E"/>
    <w:rsid w:val="005F658D"/>
    <w:rsid w:val="005F6B90"/>
    <w:rsid w:val="005F7262"/>
    <w:rsid w:val="005F7AED"/>
    <w:rsid w:val="0060579F"/>
    <w:rsid w:val="00606C57"/>
    <w:rsid w:val="006104D9"/>
    <w:rsid w:val="006117CC"/>
    <w:rsid w:val="00612FB6"/>
    <w:rsid w:val="0061680C"/>
    <w:rsid w:val="00617C4D"/>
    <w:rsid w:val="00621F41"/>
    <w:rsid w:val="00633180"/>
    <w:rsid w:val="00634F4D"/>
    <w:rsid w:val="0063506D"/>
    <w:rsid w:val="006358CB"/>
    <w:rsid w:val="00636BC6"/>
    <w:rsid w:val="006415BA"/>
    <w:rsid w:val="00641B84"/>
    <w:rsid w:val="00643D02"/>
    <w:rsid w:val="00646E09"/>
    <w:rsid w:val="006511C9"/>
    <w:rsid w:val="00651895"/>
    <w:rsid w:val="0065201B"/>
    <w:rsid w:val="006524F3"/>
    <w:rsid w:val="00653670"/>
    <w:rsid w:val="00654187"/>
    <w:rsid w:val="006564D3"/>
    <w:rsid w:val="006568C9"/>
    <w:rsid w:val="0066065A"/>
    <w:rsid w:val="00674397"/>
    <w:rsid w:val="00680E2C"/>
    <w:rsid w:val="00682698"/>
    <w:rsid w:val="00684BAC"/>
    <w:rsid w:val="006871D8"/>
    <w:rsid w:val="0069034C"/>
    <w:rsid w:val="00690534"/>
    <w:rsid w:val="00691A33"/>
    <w:rsid w:val="00694E8C"/>
    <w:rsid w:val="00696113"/>
    <w:rsid w:val="006A2E91"/>
    <w:rsid w:val="006A3DD1"/>
    <w:rsid w:val="006A6830"/>
    <w:rsid w:val="006B03CF"/>
    <w:rsid w:val="006B1563"/>
    <w:rsid w:val="006B1607"/>
    <w:rsid w:val="006B29E3"/>
    <w:rsid w:val="006B4822"/>
    <w:rsid w:val="006B6C0C"/>
    <w:rsid w:val="006B7644"/>
    <w:rsid w:val="006C14BA"/>
    <w:rsid w:val="006D1234"/>
    <w:rsid w:val="006D2249"/>
    <w:rsid w:val="006D2976"/>
    <w:rsid w:val="006E0CC3"/>
    <w:rsid w:val="006E33F4"/>
    <w:rsid w:val="006E493D"/>
    <w:rsid w:val="006E66EB"/>
    <w:rsid w:val="006E76A8"/>
    <w:rsid w:val="006F0482"/>
    <w:rsid w:val="006F118C"/>
    <w:rsid w:val="006F19FA"/>
    <w:rsid w:val="006F2348"/>
    <w:rsid w:val="006F4844"/>
    <w:rsid w:val="007015A5"/>
    <w:rsid w:val="0070467D"/>
    <w:rsid w:val="00704E14"/>
    <w:rsid w:val="00710827"/>
    <w:rsid w:val="00715B86"/>
    <w:rsid w:val="00716132"/>
    <w:rsid w:val="0071666B"/>
    <w:rsid w:val="0072097C"/>
    <w:rsid w:val="00722218"/>
    <w:rsid w:val="00722285"/>
    <w:rsid w:val="00727797"/>
    <w:rsid w:val="00730F31"/>
    <w:rsid w:val="0073174B"/>
    <w:rsid w:val="00731FD5"/>
    <w:rsid w:val="007343DC"/>
    <w:rsid w:val="007350D9"/>
    <w:rsid w:val="00736DED"/>
    <w:rsid w:val="007447FA"/>
    <w:rsid w:val="00744CAF"/>
    <w:rsid w:val="00745472"/>
    <w:rsid w:val="00746267"/>
    <w:rsid w:val="007465DC"/>
    <w:rsid w:val="00747A1A"/>
    <w:rsid w:val="007502D4"/>
    <w:rsid w:val="007510BF"/>
    <w:rsid w:val="00752793"/>
    <w:rsid w:val="00752901"/>
    <w:rsid w:val="00752FF2"/>
    <w:rsid w:val="00754289"/>
    <w:rsid w:val="0075573C"/>
    <w:rsid w:val="0075650C"/>
    <w:rsid w:val="007627AC"/>
    <w:rsid w:val="00766F11"/>
    <w:rsid w:val="0077105C"/>
    <w:rsid w:val="00771EA7"/>
    <w:rsid w:val="007725AC"/>
    <w:rsid w:val="0077266A"/>
    <w:rsid w:val="007757BB"/>
    <w:rsid w:val="00776B3B"/>
    <w:rsid w:val="007774FC"/>
    <w:rsid w:val="00781A9A"/>
    <w:rsid w:val="00785A1A"/>
    <w:rsid w:val="0079141C"/>
    <w:rsid w:val="0079269B"/>
    <w:rsid w:val="00794E2A"/>
    <w:rsid w:val="007955FD"/>
    <w:rsid w:val="007A01FA"/>
    <w:rsid w:val="007A2613"/>
    <w:rsid w:val="007A380B"/>
    <w:rsid w:val="007B2464"/>
    <w:rsid w:val="007B310C"/>
    <w:rsid w:val="007B5753"/>
    <w:rsid w:val="007B5D48"/>
    <w:rsid w:val="007C1C6D"/>
    <w:rsid w:val="007C2AD0"/>
    <w:rsid w:val="007C4620"/>
    <w:rsid w:val="007C7ADE"/>
    <w:rsid w:val="007C7DDC"/>
    <w:rsid w:val="007D0DE8"/>
    <w:rsid w:val="007D2221"/>
    <w:rsid w:val="007D2ECF"/>
    <w:rsid w:val="007D33FD"/>
    <w:rsid w:val="007D3BF0"/>
    <w:rsid w:val="007E1708"/>
    <w:rsid w:val="007E1FD2"/>
    <w:rsid w:val="007E209D"/>
    <w:rsid w:val="007E2F1C"/>
    <w:rsid w:val="007E414F"/>
    <w:rsid w:val="007E65A2"/>
    <w:rsid w:val="007E6EAD"/>
    <w:rsid w:val="007E6FDD"/>
    <w:rsid w:val="007F2386"/>
    <w:rsid w:val="007F5585"/>
    <w:rsid w:val="007F5696"/>
    <w:rsid w:val="008025E2"/>
    <w:rsid w:val="00806782"/>
    <w:rsid w:val="008069C3"/>
    <w:rsid w:val="008122F5"/>
    <w:rsid w:val="00813965"/>
    <w:rsid w:val="008166B5"/>
    <w:rsid w:val="008167F1"/>
    <w:rsid w:val="00824203"/>
    <w:rsid w:val="00824E71"/>
    <w:rsid w:val="00825164"/>
    <w:rsid w:val="00826E9A"/>
    <w:rsid w:val="008271A3"/>
    <w:rsid w:val="00827BC6"/>
    <w:rsid w:val="008324A5"/>
    <w:rsid w:val="00834D7F"/>
    <w:rsid w:val="00836FC9"/>
    <w:rsid w:val="008409F9"/>
    <w:rsid w:val="00841487"/>
    <w:rsid w:val="00842A0F"/>
    <w:rsid w:val="008450F2"/>
    <w:rsid w:val="008472FE"/>
    <w:rsid w:val="00854EE7"/>
    <w:rsid w:val="00856FCA"/>
    <w:rsid w:val="00857374"/>
    <w:rsid w:val="00860156"/>
    <w:rsid w:val="00862DC0"/>
    <w:rsid w:val="008638E1"/>
    <w:rsid w:val="00864E41"/>
    <w:rsid w:val="00870137"/>
    <w:rsid w:val="00870B61"/>
    <w:rsid w:val="00871E2A"/>
    <w:rsid w:val="00873133"/>
    <w:rsid w:val="00876669"/>
    <w:rsid w:val="00881D95"/>
    <w:rsid w:val="0088214B"/>
    <w:rsid w:val="0088296F"/>
    <w:rsid w:val="00883D22"/>
    <w:rsid w:val="00885A37"/>
    <w:rsid w:val="008931FC"/>
    <w:rsid w:val="008A1BB2"/>
    <w:rsid w:val="008A3C54"/>
    <w:rsid w:val="008A632E"/>
    <w:rsid w:val="008A7713"/>
    <w:rsid w:val="008B0471"/>
    <w:rsid w:val="008B0F77"/>
    <w:rsid w:val="008B17D6"/>
    <w:rsid w:val="008B1B8C"/>
    <w:rsid w:val="008B22A3"/>
    <w:rsid w:val="008B2947"/>
    <w:rsid w:val="008B2B77"/>
    <w:rsid w:val="008B43BF"/>
    <w:rsid w:val="008B4529"/>
    <w:rsid w:val="008B72E8"/>
    <w:rsid w:val="008C0A8A"/>
    <w:rsid w:val="008C2580"/>
    <w:rsid w:val="008C34BC"/>
    <w:rsid w:val="008C72EE"/>
    <w:rsid w:val="008C7E53"/>
    <w:rsid w:val="008D1E95"/>
    <w:rsid w:val="008D297B"/>
    <w:rsid w:val="008D6D00"/>
    <w:rsid w:val="008E0ADD"/>
    <w:rsid w:val="008E3395"/>
    <w:rsid w:val="008E4282"/>
    <w:rsid w:val="008E46A3"/>
    <w:rsid w:val="008E4818"/>
    <w:rsid w:val="008E48C1"/>
    <w:rsid w:val="008E7FA9"/>
    <w:rsid w:val="00900EDC"/>
    <w:rsid w:val="009013C1"/>
    <w:rsid w:val="009034C6"/>
    <w:rsid w:val="00905199"/>
    <w:rsid w:val="00905382"/>
    <w:rsid w:val="00906417"/>
    <w:rsid w:val="00910892"/>
    <w:rsid w:val="00910A38"/>
    <w:rsid w:val="009144F9"/>
    <w:rsid w:val="00915F03"/>
    <w:rsid w:val="00915F5F"/>
    <w:rsid w:val="009161F6"/>
    <w:rsid w:val="00917EE1"/>
    <w:rsid w:val="009201F3"/>
    <w:rsid w:val="00921F0E"/>
    <w:rsid w:val="009235E2"/>
    <w:rsid w:val="00931D3E"/>
    <w:rsid w:val="00933477"/>
    <w:rsid w:val="009341E9"/>
    <w:rsid w:val="009343F9"/>
    <w:rsid w:val="00934F21"/>
    <w:rsid w:val="00935980"/>
    <w:rsid w:val="00935CF8"/>
    <w:rsid w:val="00937C7B"/>
    <w:rsid w:val="00941098"/>
    <w:rsid w:val="00942418"/>
    <w:rsid w:val="00947646"/>
    <w:rsid w:val="00951BE0"/>
    <w:rsid w:val="00953001"/>
    <w:rsid w:val="00953672"/>
    <w:rsid w:val="009537FB"/>
    <w:rsid w:val="009555E4"/>
    <w:rsid w:val="00960853"/>
    <w:rsid w:val="00960FB4"/>
    <w:rsid w:val="00961C15"/>
    <w:rsid w:val="0096287A"/>
    <w:rsid w:val="00963B31"/>
    <w:rsid w:val="00970259"/>
    <w:rsid w:val="009704A6"/>
    <w:rsid w:val="009704AA"/>
    <w:rsid w:val="009715D5"/>
    <w:rsid w:val="00971620"/>
    <w:rsid w:val="00972664"/>
    <w:rsid w:val="009755B0"/>
    <w:rsid w:val="0097598C"/>
    <w:rsid w:val="00976FEF"/>
    <w:rsid w:val="00977661"/>
    <w:rsid w:val="00980046"/>
    <w:rsid w:val="009801EC"/>
    <w:rsid w:val="009812CD"/>
    <w:rsid w:val="00982389"/>
    <w:rsid w:val="009823BD"/>
    <w:rsid w:val="00991F0C"/>
    <w:rsid w:val="00992903"/>
    <w:rsid w:val="00993742"/>
    <w:rsid w:val="00994BB6"/>
    <w:rsid w:val="009A031F"/>
    <w:rsid w:val="009A0480"/>
    <w:rsid w:val="009A37A8"/>
    <w:rsid w:val="009A3906"/>
    <w:rsid w:val="009A4BC6"/>
    <w:rsid w:val="009A4F69"/>
    <w:rsid w:val="009A500B"/>
    <w:rsid w:val="009A75E2"/>
    <w:rsid w:val="009B02D2"/>
    <w:rsid w:val="009B08C4"/>
    <w:rsid w:val="009B38B5"/>
    <w:rsid w:val="009B41F6"/>
    <w:rsid w:val="009C1D6B"/>
    <w:rsid w:val="009C204D"/>
    <w:rsid w:val="009C6CB5"/>
    <w:rsid w:val="009C77ED"/>
    <w:rsid w:val="009D2A6B"/>
    <w:rsid w:val="009D49F0"/>
    <w:rsid w:val="009D4A5B"/>
    <w:rsid w:val="009D56E5"/>
    <w:rsid w:val="009D67ED"/>
    <w:rsid w:val="009D7C02"/>
    <w:rsid w:val="009E1DF8"/>
    <w:rsid w:val="009E662A"/>
    <w:rsid w:val="009F048C"/>
    <w:rsid w:val="009F23C0"/>
    <w:rsid w:val="009F5A37"/>
    <w:rsid w:val="00A02EE5"/>
    <w:rsid w:val="00A061B8"/>
    <w:rsid w:val="00A11A6B"/>
    <w:rsid w:val="00A15D13"/>
    <w:rsid w:val="00A16B45"/>
    <w:rsid w:val="00A177F9"/>
    <w:rsid w:val="00A2015E"/>
    <w:rsid w:val="00A24A00"/>
    <w:rsid w:val="00A270CF"/>
    <w:rsid w:val="00A30646"/>
    <w:rsid w:val="00A35556"/>
    <w:rsid w:val="00A35A72"/>
    <w:rsid w:val="00A43389"/>
    <w:rsid w:val="00A433B3"/>
    <w:rsid w:val="00A434DD"/>
    <w:rsid w:val="00A47617"/>
    <w:rsid w:val="00A476CE"/>
    <w:rsid w:val="00A50675"/>
    <w:rsid w:val="00A50C5F"/>
    <w:rsid w:val="00A527BB"/>
    <w:rsid w:val="00A549E3"/>
    <w:rsid w:val="00A55BCF"/>
    <w:rsid w:val="00A6002C"/>
    <w:rsid w:val="00A604A4"/>
    <w:rsid w:val="00A63CBD"/>
    <w:rsid w:val="00A63E70"/>
    <w:rsid w:val="00A6569E"/>
    <w:rsid w:val="00A6599E"/>
    <w:rsid w:val="00A67429"/>
    <w:rsid w:val="00A674CA"/>
    <w:rsid w:val="00A70319"/>
    <w:rsid w:val="00A70BD7"/>
    <w:rsid w:val="00A732E2"/>
    <w:rsid w:val="00A73AD7"/>
    <w:rsid w:val="00A770E3"/>
    <w:rsid w:val="00A8036F"/>
    <w:rsid w:val="00A82506"/>
    <w:rsid w:val="00A83BAC"/>
    <w:rsid w:val="00A86B79"/>
    <w:rsid w:val="00A87D46"/>
    <w:rsid w:val="00A913C6"/>
    <w:rsid w:val="00A931D6"/>
    <w:rsid w:val="00A93600"/>
    <w:rsid w:val="00A95644"/>
    <w:rsid w:val="00A95C2C"/>
    <w:rsid w:val="00A96711"/>
    <w:rsid w:val="00AA3B5C"/>
    <w:rsid w:val="00AA4306"/>
    <w:rsid w:val="00AA5144"/>
    <w:rsid w:val="00AB076C"/>
    <w:rsid w:val="00AB2053"/>
    <w:rsid w:val="00AB4661"/>
    <w:rsid w:val="00AB5330"/>
    <w:rsid w:val="00AC2457"/>
    <w:rsid w:val="00AC3B45"/>
    <w:rsid w:val="00AC3D2A"/>
    <w:rsid w:val="00AC3DFC"/>
    <w:rsid w:val="00AC446B"/>
    <w:rsid w:val="00AC6258"/>
    <w:rsid w:val="00AC6A48"/>
    <w:rsid w:val="00AD281B"/>
    <w:rsid w:val="00AD31BF"/>
    <w:rsid w:val="00AD641A"/>
    <w:rsid w:val="00AD6820"/>
    <w:rsid w:val="00AE5895"/>
    <w:rsid w:val="00AE777B"/>
    <w:rsid w:val="00AF149F"/>
    <w:rsid w:val="00AF1809"/>
    <w:rsid w:val="00AF3567"/>
    <w:rsid w:val="00AF6A40"/>
    <w:rsid w:val="00B01B36"/>
    <w:rsid w:val="00B01C30"/>
    <w:rsid w:val="00B049D3"/>
    <w:rsid w:val="00B04E57"/>
    <w:rsid w:val="00B05E56"/>
    <w:rsid w:val="00B05F74"/>
    <w:rsid w:val="00B06E15"/>
    <w:rsid w:val="00B07206"/>
    <w:rsid w:val="00B072A3"/>
    <w:rsid w:val="00B078DF"/>
    <w:rsid w:val="00B10013"/>
    <w:rsid w:val="00B11D56"/>
    <w:rsid w:val="00B1290E"/>
    <w:rsid w:val="00B12B22"/>
    <w:rsid w:val="00B143FC"/>
    <w:rsid w:val="00B174A1"/>
    <w:rsid w:val="00B177F8"/>
    <w:rsid w:val="00B2094E"/>
    <w:rsid w:val="00B2437F"/>
    <w:rsid w:val="00B24DC2"/>
    <w:rsid w:val="00B32351"/>
    <w:rsid w:val="00B32C14"/>
    <w:rsid w:val="00B32FFC"/>
    <w:rsid w:val="00B331E4"/>
    <w:rsid w:val="00B34038"/>
    <w:rsid w:val="00B368E9"/>
    <w:rsid w:val="00B37E59"/>
    <w:rsid w:val="00B400A4"/>
    <w:rsid w:val="00B45592"/>
    <w:rsid w:val="00B45CB7"/>
    <w:rsid w:val="00B46754"/>
    <w:rsid w:val="00B479A9"/>
    <w:rsid w:val="00B50E56"/>
    <w:rsid w:val="00B54D0F"/>
    <w:rsid w:val="00B54D36"/>
    <w:rsid w:val="00B55850"/>
    <w:rsid w:val="00B55CA8"/>
    <w:rsid w:val="00B56F3C"/>
    <w:rsid w:val="00B60CB1"/>
    <w:rsid w:val="00B61E79"/>
    <w:rsid w:val="00B6210E"/>
    <w:rsid w:val="00B62450"/>
    <w:rsid w:val="00B66EC1"/>
    <w:rsid w:val="00B67886"/>
    <w:rsid w:val="00B71985"/>
    <w:rsid w:val="00B75E5D"/>
    <w:rsid w:val="00B8128E"/>
    <w:rsid w:val="00B81D30"/>
    <w:rsid w:val="00B8369D"/>
    <w:rsid w:val="00B85789"/>
    <w:rsid w:val="00B869DA"/>
    <w:rsid w:val="00B91822"/>
    <w:rsid w:val="00B91921"/>
    <w:rsid w:val="00B92DE5"/>
    <w:rsid w:val="00B93871"/>
    <w:rsid w:val="00B93CBE"/>
    <w:rsid w:val="00B94581"/>
    <w:rsid w:val="00B94715"/>
    <w:rsid w:val="00B95B32"/>
    <w:rsid w:val="00B971FF"/>
    <w:rsid w:val="00B97DEA"/>
    <w:rsid w:val="00BA098F"/>
    <w:rsid w:val="00BA0FB6"/>
    <w:rsid w:val="00BA2509"/>
    <w:rsid w:val="00BA2836"/>
    <w:rsid w:val="00BA382A"/>
    <w:rsid w:val="00BA48F5"/>
    <w:rsid w:val="00BA63ED"/>
    <w:rsid w:val="00BA6875"/>
    <w:rsid w:val="00BA749C"/>
    <w:rsid w:val="00BA7B27"/>
    <w:rsid w:val="00BB1D1D"/>
    <w:rsid w:val="00BB39C9"/>
    <w:rsid w:val="00BB548C"/>
    <w:rsid w:val="00BB7071"/>
    <w:rsid w:val="00BB75F1"/>
    <w:rsid w:val="00BC0A28"/>
    <w:rsid w:val="00BC12F4"/>
    <w:rsid w:val="00BC1DB5"/>
    <w:rsid w:val="00BC2425"/>
    <w:rsid w:val="00BC3F6D"/>
    <w:rsid w:val="00BC6651"/>
    <w:rsid w:val="00BC74DD"/>
    <w:rsid w:val="00BC7C5E"/>
    <w:rsid w:val="00BD3B0C"/>
    <w:rsid w:val="00BD56CE"/>
    <w:rsid w:val="00BD5735"/>
    <w:rsid w:val="00BD7AA0"/>
    <w:rsid w:val="00BF0FEE"/>
    <w:rsid w:val="00BF3486"/>
    <w:rsid w:val="00BF6920"/>
    <w:rsid w:val="00C02585"/>
    <w:rsid w:val="00C06A27"/>
    <w:rsid w:val="00C07D71"/>
    <w:rsid w:val="00C13269"/>
    <w:rsid w:val="00C15523"/>
    <w:rsid w:val="00C207E7"/>
    <w:rsid w:val="00C20E45"/>
    <w:rsid w:val="00C22FBB"/>
    <w:rsid w:val="00C23D42"/>
    <w:rsid w:val="00C2460A"/>
    <w:rsid w:val="00C2540C"/>
    <w:rsid w:val="00C27701"/>
    <w:rsid w:val="00C279F8"/>
    <w:rsid w:val="00C3103F"/>
    <w:rsid w:val="00C31DD7"/>
    <w:rsid w:val="00C335B3"/>
    <w:rsid w:val="00C35FC9"/>
    <w:rsid w:val="00C36E66"/>
    <w:rsid w:val="00C37F96"/>
    <w:rsid w:val="00C43F9A"/>
    <w:rsid w:val="00C447D2"/>
    <w:rsid w:val="00C44F86"/>
    <w:rsid w:val="00C4614F"/>
    <w:rsid w:val="00C47D1C"/>
    <w:rsid w:val="00C530E8"/>
    <w:rsid w:val="00C54D99"/>
    <w:rsid w:val="00C55BFB"/>
    <w:rsid w:val="00C56109"/>
    <w:rsid w:val="00C61F14"/>
    <w:rsid w:val="00C6218A"/>
    <w:rsid w:val="00C663EA"/>
    <w:rsid w:val="00C66E72"/>
    <w:rsid w:val="00C70C1C"/>
    <w:rsid w:val="00C777A7"/>
    <w:rsid w:val="00C808BC"/>
    <w:rsid w:val="00C8155E"/>
    <w:rsid w:val="00C83A40"/>
    <w:rsid w:val="00C84133"/>
    <w:rsid w:val="00C84925"/>
    <w:rsid w:val="00C85575"/>
    <w:rsid w:val="00C9105C"/>
    <w:rsid w:val="00C91D7C"/>
    <w:rsid w:val="00C92E08"/>
    <w:rsid w:val="00C9686B"/>
    <w:rsid w:val="00C97A95"/>
    <w:rsid w:val="00CA2C2D"/>
    <w:rsid w:val="00CA5E7A"/>
    <w:rsid w:val="00CA7CBC"/>
    <w:rsid w:val="00CB1090"/>
    <w:rsid w:val="00CB7C72"/>
    <w:rsid w:val="00CC05C3"/>
    <w:rsid w:val="00CC1279"/>
    <w:rsid w:val="00CC3FEF"/>
    <w:rsid w:val="00CC58B2"/>
    <w:rsid w:val="00CD0D1A"/>
    <w:rsid w:val="00CD2EF9"/>
    <w:rsid w:val="00CE13D0"/>
    <w:rsid w:val="00CE13E7"/>
    <w:rsid w:val="00CE32B9"/>
    <w:rsid w:val="00CE49C7"/>
    <w:rsid w:val="00CF03D6"/>
    <w:rsid w:val="00CF0731"/>
    <w:rsid w:val="00CF0A93"/>
    <w:rsid w:val="00CF3ED9"/>
    <w:rsid w:val="00CF45B2"/>
    <w:rsid w:val="00CF6A5D"/>
    <w:rsid w:val="00CF7EE6"/>
    <w:rsid w:val="00D0056C"/>
    <w:rsid w:val="00D0693B"/>
    <w:rsid w:val="00D10A18"/>
    <w:rsid w:val="00D10D54"/>
    <w:rsid w:val="00D12CEE"/>
    <w:rsid w:val="00D142C1"/>
    <w:rsid w:val="00D14AD7"/>
    <w:rsid w:val="00D14F91"/>
    <w:rsid w:val="00D15FA1"/>
    <w:rsid w:val="00D20525"/>
    <w:rsid w:val="00D225A2"/>
    <w:rsid w:val="00D2310D"/>
    <w:rsid w:val="00D254A7"/>
    <w:rsid w:val="00D26B8F"/>
    <w:rsid w:val="00D273F6"/>
    <w:rsid w:val="00D27A0A"/>
    <w:rsid w:val="00D31327"/>
    <w:rsid w:val="00D31376"/>
    <w:rsid w:val="00D35A0A"/>
    <w:rsid w:val="00D36571"/>
    <w:rsid w:val="00D368A8"/>
    <w:rsid w:val="00D36DBA"/>
    <w:rsid w:val="00D37A55"/>
    <w:rsid w:val="00D4040A"/>
    <w:rsid w:val="00D42A3D"/>
    <w:rsid w:val="00D42DED"/>
    <w:rsid w:val="00D45ACA"/>
    <w:rsid w:val="00D460A1"/>
    <w:rsid w:val="00D46949"/>
    <w:rsid w:val="00D50118"/>
    <w:rsid w:val="00D513B3"/>
    <w:rsid w:val="00D52C0E"/>
    <w:rsid w:val="00D54291"/>
    <w:rsid w:val="00D54EC8"/>
    <w:rsid w:val="00D57961"/>
    <w:rsid w:val="00D57C93"/>
    <w:rsid w:val="00D60F6E"/>
    <w:rsid w:val="00D61DB8"/>
    <w:rsid w:val="00D63B5A"/>
    <w:rsid w:val="00D659E6"/>
    <w:rsid w:val="00D664EC"/>
    <w:rsid w:val="00D673D6"/>
    <w:rsid w:val="00D70FA0"/>
    <w:rsid w:val="00D73703"/>
    <w:rsid w:val="00D832E6"/>
    <w:rsid w:val="00D8330D"/>
    <w:rsid w:val="00D840ED"/>
    <w:rsid w:val="00D91979"/>
    <w:rsid w:val="00D91B09"/>
    <w:rsid w:val="00D9364B"/>
    <w:rsid w:val="00D94DD5"/>
    <w:rsid w:val="00D95FE8"/>
    <w:rsid w:val="00D979F2"/>
    <w:rsid w:val="00DA169E"/>
    <w:rsid w:val="00DA23AC"/>
    <w:rsid w:val="00DA29A4"/>
    <w:rsid w:val="00DA4201"/>
    <w:rsid w:val="00DA54BE"/>
    <w:rsid w:val="00DA6990"/>
    <w:rsid w:val="00DA6A5A"/>
    <w:rsid w:val="00DB2CE2"/>
    <w:rsid w:val="00DB4CBD"/>
    <w:rsid w:val="00DB4DB2"/>
    <w:rsid w:val="00DB5AB6"/>
    <w:rsid w:val="00DC0218"/>
    <w:rsid w:val="00DC1366"/>
    <w:rsid w:val="00DC2496"/>
    <w:rsid w:val="00DC415D"/>
    <w:rsid w:val="00DC6FA3"/>
    <w:rsid w:val="00DD3551"/>
    <w:rsid w:val="00DD593C"/>
    <w:rsid w:val="00DE12AB"/>
    <w:rsid w:val="00DE53FB"/>
    <w:rsid w:val="00DE6CFF"/>
    <w:rsid w:val="00DE7B0B"/>
    <w:rsid w:val="00DF082B"/>
    <w:rsid w:val="00E00F37"/>
    <w:rsid w:val="00E0179D"/>
    <w:rsid w:val="00E065CD"/>
    <w:rsid w:val="00E066F9"/>
    <w:rsid w:val="00E10415"/>
    <w:rsid w:val="00E10C19"/>
    <w:rsid w:val="00E11792"/>
    <w:rsid w:val="00E11B81"/>
    <w:rsid w:val="00E1328E"/>
    <w:rsid w:val="00E138BE"/>
    <w:rsid w:val="00E15797"/>
    <w:rsid w:val="00E24EB1"/>
    <w:rsid w:val="00E25BE9"/>
    <w:rsid w:val="00E2617B"/>
    <w:rsid w:val="00E3318A"/>
    <w:rsid w:val="00E401F5"/>
    <w:rsid w:val="00E40B2F"/>
    <w:rsid w:val="00E42201"/>
    <w:rsid w:val="00E42479"/>
    <w:rsid w:val="00E43960"/>
    <w:rsid w:val="00E45088"/>
    <w:rsid w:val="00E46288"/>
    <w:rsid w:val="00E50379"/>
    <w:rsid w:val="00E52CF6"/>
    <w:rsid w:val="00E56A0B"/>
    <w:rsid w:val="00E5768F"/>
    <w:rsid w:val="00E57D7D"/>
    <w:rsid w:val="00E61611"/>
    <w:rsid w:val="00E624F3"/>
    <w:rsid w:val="00E62ACF"/>
    <w:rsid w:val="00E633A0"/>
    <w:rsid w:val="00E6546A"/>
    <w:rsid w:val="00E66803"/>
    <w:rsid w:val="00E676AE"/>
    <w:rsid w:val="00E6793D"/>
    <w:rsid w:val="00E70E93"/>
    <w:rsid w:val="00E72FF8"/>
    <w:rsid w:val="00E76AF7"/>
    <w:rsid w:val="00E77389"/>
    <w:rsid w:val="00E77DB3"/>
    <w:rsid w:val="00E815D8"/>
    <w:rsid w:val="00E81755"/>
    <w:rsid w:val="00E827A9"/>
    <w:rsid w:val="00E83491"/>
    <w:rsid w:val="00E8617B"/>
    <w:rsid w:val="00E90699"/>
    <w:rsid w:val="00E90CDB"/>
    <w:rsid w:val="00E93361"/>
    <w:rsid w:val="00E93A5F"/>
    <w:rsid w:val="00E94DD5"/>
    <w:rsid w:val="00E94FF5"/>
    <w:rsid w:val="00E97F1B"/>
    <w:rsid w:val="00EA0D87"/>
    <w:rsid w:val="00EB0C07"/>
    <w:rsid w:val="00EB1962"/>
    <w:rsid w:val="00EB3A37"/>
    <w:rsid w:val="00EB494B"/>
    <w:rsid w:val="00EC1939"/>
    <w:rsid w:val="00EC1FDD"/>
    <w:rsid w:val="00EC4CD7"/>
    <w:rsid w:val="00EC7C2C"/>
    <w:rsid w:val="00ED0370"/>
    <w:rsid w:val="00ED2A02"/>
    <w:rsid w:val="00ED2D9E"/>
    <w:rsid w:val="00ED3DF9"/>
    <w:rsid w:val="00ED63B9"/>
    <w:rsid w:val="00ED6BED"/>
    <w:rsid w:val="00EE2188"/>
    <w:rsid w:val="00EE4114"/>
    <w:rsid w:val="00EF5878"/>
    <w:rsid w:val="00F01890"/>
    <w:rsid w:val="00F029F6"/>
    <w:rsid w:val="00F05042"/>
    <w:rsid w:val="00F05A18"/>
    <w:rsid w:val="00F061E5"/>
    <w:rsid w:val="00F10386"/>
    <w:rsid w:val="00F11672"/>
    <w:rsid w:val="00F12FE4"/>
    <w:rsid w:val="00F203F1"/>
    <w:rsid w:val="00F212B6"/>
    <w:rsid w:val="00F22810"/>
    <w:rsid w:val="00F2449B"/>
    <w:rsid w:val="00F25409"/>
    <w:rsid w:val="00F26310"/>
    <w:rsid w:val="00F27265"/>
    <w:rsid w:val="00F27BEA"/>
    <w:rsid w:val="00F335A2"/>
    <w:rsid w:val="00F351C8"/>
    <w:rsid w:val="00F45F68"/>
    <w:rsid w:val="00F4756C"/>
    <w:rsid w:val="00F477F6"/>
    <w:rsid w:val="00F51603"/>
    <w:rsid w:val="00F516AF"/>
    <w:rsid w:val="00F52C96"/>
    <w:rsid w:val="00F55763"/>
    <w:rsid w:val="00F57577"/>
    <w:rsid w:val="00F57BA7"/>
    <w:rsid w:val="00F629FF"/>
    <w:rsid w:val="00F6322A"/>
    <w:rsid w:val="00F63881"/>
    <w:rsid w:val="00F667B2"/>
    <w:rsid w:val="00F702A1"/>
    <w:rsid w:val="00F721FB"/>
    <w:rsid w:val="00F727AB"/>
    <w:rsid w:val="00F73DAE"/>
    <w:rsid w:val="00F74C3A"/>
    <w:rsid w:val="00F750BF"/>
    <w:rsid w:val="00F76B45"/>
    <w:rsid w:val="00F77735"/>
    <w:rsid w:val="00F80FF3"/>
    <w:rsid w:val="00F830E5"/>
    <w:rsid w:val="00F83C27"/>
    <w:rsid w:val="00F83EB0"/>
    <w:rsid w:val="00F851FC"/>
    <w:rsid w:val="00F867EE"/>
    <w:rsid w:val="00F924D7"/>
    <w:rsid w:val="00F93901"/>
    <w:rsid w:val="00F96CF3"/>
    <w:rsid w:val="00FA3045"/>
    <w:rsid w:val="00FA38EF"/>
    <w:rsid w:val="00FA501F"/>
    <w:rsid w:val="00FA63A2"/>
    <w:rsid w:val="00FA7229"/>
    <w:rsid w:val="00FA7D89"/>
    <w:rsid w:val="00FB0C2D"/>
    <w:rsid w:val="00FB22FB"/>
    <w:rsid w:val="00FB3CEC"/>
    <w:rsid w:val="00FB6ADA"/>
    <w:rsid w:val="00FC28CC"/>
    <w:rsid w:val="00FC3086"/>
    <w:rsid w:val="00FC3CDA"/>
    <w:rsid w:val="00FC3E2B"/>
    <w:rsid w:val="00FC5852"/>
    <w:rsid w:val="00FC5A5F"/>
    <w:rsid w:val="00FD1F48"/>
    <w:rsid w:val="00FD285D"/>
    <w:rsid w:val="00FD38D9"/>
    <w:rsid w:val="00FD3D6C"/>
    <w:rsid w:val="00FD44C8"/>
    <w:rsid w:val="00FD6D26"/>
    <w:rsid w:val="00FE1FB8"/>
    <w:rsid w:val="00FE2106"/>
    <w:rsid w:val="00FE28D5"/>
    <w:rsid w:val="00FE67CB"/>
    <w:rsid w:val="00FF00B0"/>
    <w:rsid w:val="00FF0515"/>
    <w:rsid w:val="00FF4E6E"/>
    <w:rsid w:val="011D5CEB"/>
    <w:rsid w:val="0174421B"/>
    <w:rsid w:val="018717BE"/>
    <w:rsid w:val="0191110D"/>
    <w:rsid w:val="01BF097B"/>
    <w:rsid w:val="01D105CE"/>
    <w:rsid w:val="01E73C24"/>
    <w:rsid w:val="021A76DB"/>
    <w:rsid w:val="02766999"/>
    <w:rsid w:val="02791447"/>
    <w:rsid w:val="029B3B2D"/>
    <w:rsid w:val="02BF51D7"/>
    <w:rsid w:val="02E65534"/>
    <w:rsid w:val="02EB4E55"/>
    <w:rsid w:val="0304157F"/>
    <w:rsid w:val="032A0016"/>
    <w:rsid w:val="033243A8"/>
    <w:rsid w:val="033C4F4D"/>
    <w:rsid w:val="035442EC"/>
    <w:rsid w:val="037126EF"/>
    <w:rsid w:val="0386205B"/>
    <w:rsid w:val="038623A2"/>
    <w:rsid w:val="03AA5705"/>
    <w:rsid w:val="03C822D4"/>
    <w:rsid w:val="03D63A72"/>
    <w:rsid w:val="03E73237"/>
    <w:rsid w:val="03EE5F1E"/>
    <w:rsid w:val="041613C7"/>
    <w:rsid w:val="044B0EE2"/>
    <w:rsid w:val="047A58E4"/>
    <w:rsid w:val="04B7013D"/>
    <w:rsid w:val="04BB3243"/>
    <w:rsid w:val="04BF5738"/>
    <w:rsid w:val="04EE55EA"/>
    <w:rsid w:val="04EF3205"/>
    <w:rsid w:val="05336639"/>
    <w:rsid w:val="054954A7"/>
    <w:rsid w:val="056563FC"/>
    <w:rsid w:val="057E7D52"/>
    <w:rsid w:val="05920D61"/>
    <w:rsid w:val="05B92DB0"/>
    <w:rsid w:val="05C03BFE"/>
    <w:rsid w:val="06102D2E"/>
    <w:rsid w:val="063B2D6C"/>
    <w:rsid w:val="06506B03"/>
    <w:rsid w:val="06555B20"/>
    <w:rsid w:val="069627A6"/>
    <w:rsid w:val="06AA7299"/>
    <w:rsid w:val="06AE5351"/>
    <w:rsid w:val="06F33957"/>
    <w:rsid w:val="07012726"/>
    <w:rsid w:val="07023315"/>
    <w:rsid w:val="07155AF2"/>
    <w:rsid w:val="07307513"/>
    <w:rsid w:val="07B159EE"/>
    <w:rsid w:val="07F346AF"/>
    <w:rsid w:val="084D5CB0"/>
    <w:rsid w:val="0853070B"/>
    <w:rsid w:val="08591333"/>
    <w:rsid w:val="086E4ED1"/>
    <w:rsid w:val="087F1B50"/>
    <w:rsid w:val="089867F5"/>
    <w:rsid w:val="08F100D7"/>
    <w:rsid w:val="09141087"/>
    <w:rsid w:val="09385542"/>
    <w:rsid w:val="095306DD"/>
    <w:rsid w:val="09557EEA"/>
    <w:rsid w:val="095644B9"/>
    <w:rsid w:val="09695409"/>
    <w:rsid w:val="0993275B"/>
    <w:rsid w:val="09EE5A33"/>
    <w:rsid w:val="09F33BC2"/>
    <w:rsid w:val="09FA2D0C"/>
    <w:rsid w:val="0A005A8E"/>
    <w:rsid w:val="0A005B38"/>
    <w:rsid w:val="0A01032F"/>
    <w:rsid w:val="0A012F12"/>
    <w:rsid w:val="0A3E3963"/>
    <w:rsid w:val="0A44322B"/>
    <w:rsid w:val="0A5A21CE"/>
    <w:rsid w:val="0A600644"/>
    <w:rsid w:val="0A63046B"/>
    <w:rsid w:val="0A655977"/>
    <w:rsid w:val="0A66160D"/>
    <w:rsid w:val="0A6F30BC"/>
    <w:rsid w:val="0A8670D2"/>
    <w:rsid w:val="0A8A6649"/>
    <w:rsid w:val="0A8D0F9E"/>
    <w:rsid w:val="0AB440F8"/>
    <w:rsid w:val="0ABA41D2"/>
    <w:rsid w:val="0AD2601C"/>
    <w:rsid w:val="0B085950"/>
    <w:rsid w:val="0B0D0CC4"/>
    <w:rsid w:val="0B283234"/>
    <w:rsid w:val="0B660A72"/>
    <w:rsid w:val="0B9014E9"/>
    <w:rsid w:val="0B963D2B"/>
    <w:rsid w:val="0B9948AC"/>
    <w:rsid w:val="0BBD289A"/>
    <w:rsid w:val="0BC35643"/>
    <w:rsid w:val="0BC64097"/>
    <w:rsid w:val="0BD1474E"/>
    <w:rsid w:val="0BD434F5"/>
    <w:rsid w:val="0BD71386"/>
    <w:rsid w:val="0BD939C5"/>
    <w:rsid w:val="0C054378"/>
    <w:rsid w:val="0C0E0E49"/>
    <w:rsid w:val="0C0F3E0E"/>
    <w:rsid w:val="0C232562"/>
    <w:rsid w:val="0C5A518D"/>
    <w:rsid w:val="0C6B0DC7"/>
    <w:rsid w:val="0C9C1A5D"/>
    <w:rsid w:val="0CB06F89"/>
    <w:rsid w:val="0CB453A1"/>
    <w:rsid w:val="0D060C4A"/>
    <w:rsid w:val="0D0F7072"/>
    <w:rsid w:val="0D7E5526"/>
    <w:rsid w:val="0D8E5096"/>
    <w:rsid w:val="0DC70E1E"/>
    <w:rsid w:val="0DD37DB4"/>
    <w:rsid w:val="0E0C036B"/>
    <w:rsid w:val="0E1B60F5"/>
    <w:rsid w:val="0E3039A1"/>
    <w:rsid w:val="0E333E3A"/>
    <w:rsid w:val="0E401B23"/>
    <w:rsid w:val="0E8A18A4"/>
    <w:rsid w:val="0E9A2D0A"/>
    <w:rsid w:val="0E9D26C3"/>
    <w:rsid w:val="0E9E3EDE"/>
    <w:rsid w:val="0EC518EB"/>
    <w:rsid w:val="0ECF454E"/>
    <w:rsid w:val="0ED41018"/>
    <w:rsid w:val="0EE22D8A"/>
    <w:rsid w:val="0EF735EC"/>
    <w:rsid w:val="0EF9511D"/>
    <w:rsid w:val="0F066F13"/>
    <w:rsid w:val="0F2A7991"/>
    <w:rsid w:val="0F6E7AB6"/>
    <w:rsid w:val="0F7A251E"/>
    <w:rsid w:val="0FE10195"/>
    <w:rsid w:val="0FF33AF6"/>
    <w:rsid w:val="100E0CEE"/>
    <w:rsid w:val="102E7B76"/>
    <w:rsid w:val="10737E0E"/>
    <w:rsid w:val="108D0F16"/>
    <w:rsid w:val="10EC2887"/>
    <w:rsid w:val="10F33753"/>
    <w:rsid w:val="10F72164"/>
    <w:rsid w:val="110B1714"/>
    <w:rsid w:val="110D5CB2"/>
    <w:rsid w:val="113F3F23"/>
    <w:rsid w:val="116A035F"/>
    <w:rsid w:val="11875444"/>
    <w:rsid w:val="11A95278"/>
    <w:rsid w:val="11AF44DF"/>
    <w:rsid w:val="11C852FC"/>
    <w:rsid w:val="11F72CE6"/>
    <w:rsid w:val="123B7DDD"/>
    <w:rsid w:val="126A684E"/>
    <w:rsid w:val="128415CB"/>
    <w:rsid w:val="12CF0657"/>
    <w:rsid w:val="12E77825"/>
    <w:rsid w:val="12E95249"/>
    <w:rsid w:val="12FE2ECF"/>
    <w:rsid w:val="13361401"/>
    <w:rsid w:val="134E40D7"/>
    <w:rsid w:val="13511013"/>
    <w:rsid w:val="135C3DD4"/>
    <w:rsid w:val="137F6F1E"/>
    <w:rsid w:val="13E7075D"/>
    <w:rsid w:val="141745DC"/>
    <w:rsid w:val="1466375C"/>
    <w:rsid w:val="14725E70"/>
    <w:rsid w:val="148D2189"/>
    <w:rsid w:val="14905963"/>
    <w:rsid w:val="14B118C5"/>
    <w:rsid w:val="14B415E1"/>
    <w:rsid w:val="14D43BDB"/>
    <w:rsid w:val="151B44F0"/>
    <w:rsid w:val="152E2DCC"/>
    <w:rsid w:val="153017B9"/>
    <w:rsid w:val="15F1546C"/>
    <w:rsid w:val="1605305A"/>
    <w:rsid w:val="160547D6"/>
    <w:rsid w:val="161C40B5"/>
    <w:rsid w:val="16467CC8"/>
    <w:rsid w:val="165F2BDF"/>
    <w:rsid w:val="16720653"/>
    <w:rsid w:val="168E46B6"/>
    <w:rsid w:val="16A87CE1"/>
    <w:rsid w:val="16E021C2"/>
    <w:rsid w:val="16FE3277"/>
    <w:rsid w:val="1750689B"/>
    <w:rsid w:val="17727644"/>
    <w:rsid w:val="179E277E"/>
    <w:rsid w:val="17AE6357"/>
    <w:rsid w:val="17B8537B"/>
    <w:rsid w:val="17BE3B1C"/>
    <w:rsid w:val="17F14C98"/>
    <w:rsid w:val="18074726"/>
    <w:rsid w:val="18080A9E"/>
    <w:rsid w:val="18296253"/>
    <w:rsid w:val="189C44F5"/>
    <w:rsid w:val="18D32287"/>
    <w:rsid w:val="18DF0544"/>
    <w:rsid w:val="18ED538B"/>
    <w:rsid w:val="18F06F9F"/>
    <w:rsid w:val="18FF73A6"/>
    <w:rsid w:val="190A3974"/>
    <w:rsid w:val="191A45C5"/>
    <w:rsid w:val="192F2566"/>
    <w:rsid w:val="194E0081"/>
    <w:rsid w:val="195F6609"/>
    <w:rsid w:val="19661D34"/>
    <w:rsid w:val="19AF15A8"/>
    <w:rsid w:val="19CD444F"/>
    <w:rsid w:val="19D073F3"/>
    <w:rsid w:val="19D87710"/>
    <w:rsid w:val="19F12F15"/>
    <w:rsid w:val="1A2A3728"/>
    <w:rsid w:val="1A512009"/>
    <w:rsid w:val="1A8644CD"/>
    <w:rsid w:val="1AA569B7"/>
    <w:rsid w:val="1AB3650A"/>
    <w:rsid w:val="1ADD6E5E"/>
    <w:rsid w:val="1AFA2B1C"/>
    <w:rsid w:val="1B484223"/>
    <w:rsid w:val="1B68216E"/>
    <w:rsid w:val="1B6D00ED"/>
    <w:rsid w:val="1B6F77A7"/>
    <w:rsid w:val="1B704CD6"/>
    <w:rsid w:val="1B717DB9"/>
    <w:rsid w:val="1BD6575E"/>
    <w:rsid w:val="1C1E24F0"/>
    <w:rsid w:val="1C392DA1"/>
    <w:rsid w:val="1C473FAE"/>
    <w:rsid w:val="1C5115AF"/>
    <w:rsid w:val="1C59360F"/>
    <w:rsid w:val="1C7F44D1"/>
    <w:rsid w:val="1C815CBB"/>
    <w:rsid w:val="1C925778"/>
    <w:rsid w:val="1CBA44B6"/>
    <w:rsid w:val="1CBC6A50"/>
    <w:rsid w:val="1CF86897"/>
    <w:rsid w:val="1D386B0A"/>
    <w:rsid w:val="1D39665B"/>
    <w:rsid w:val="1D7066B8"/>
    <w:rsid w:val="1D873EC6"/>
    <w:rsid w:val="1DA444AF"/>
    <w:rsid w:val="1DC41890"/>
    <w:rsid w:val="1DD4347C"/>
    <w:rsid w:val="1DD866A7"/>
    <w:rsid w:val="1DE27AEF"/>
    <w:rsid w:val="1E07270C"/>
    <w:rsid w:val="1E1F64E2"/>
    <w:rsid w:val="1E3D36A2"/>
    <w:rsid w:val="1E4273A0"/>
    <w:rsid w:val="1E460336"/>
    <w:rsid w:val="1E4708BE"/>
    <w:rsid w:val="1E5B402C"/>
    <w:rsid w:val="1E651D1C"/>
    <w:rsid w:val="1E7F3375"/>
    <w:rsid w:val="1E9C0FD7"/>
    <w:rsid w:val="1EA27733"/>
    <w:rsid w:val="1EA71441"/>
    <w:rsid w:val="1EDF1B1B"/>
    <w:rsid w:val="1F290E16"/>
    <w:rsid w:val="1F472412"/>
    <w:rsid w:val="1F474417"/>
    <w:rsid w:val="1F7801F4"/>
    <w:rsid w:val="1F8F6263"/>
    <w:rsid w:val="1FA051B1"/>
    <w:rsid w:val="1FAE70E6"/>
    <w:rsid w:val="1FE01BF2"/>
    <w:rsid w:val="1FF103F0"/>
    <w:rsid w:val="20005C3E"/>
    <w:rsid w:val="200C1FD7"/>
    <w:rsid w:val="202A0BEF"/>
    <w:rsid w:val="20676614"/>
    <w:rsid w:val="209D521B"/>
    <w:rsid w:val="20B1574E"/>
    <w:rsid w:val="20B919BF"/>
    <w:rsid w:val="20C12A4D"/>
    <w:rsid w:val="20CA2AC7"/>
    <w:rsid w:val="20D76B72"/>
    <w:rsid w:val="212415F7"/>
    <w:rsid w:val="212B3934"/>
    <w:rsid w:val="212E3396"/>
    <w:rsid w:val="214F070A"/>
    <w:rsid w:val="21504889"/>
    <w:rsid w:val="21511091"/>
    <w:rsid w:val="216A59FA"/>
    <w:rsid w:val="217B7B32"/>
    <w:rsid w:val="21874000"/>
    <w:rsid w:val="21964CE5"/>
    <w:rsid w:val="219915D3"/>
    <w:rsid w:val="219D45B2"/>
    <w:rsid w:val="21A672A2"/>
    <w:rsid w:val="21BC28A6"/>
    <w:rsid w:val="21C329A3"/>
    <w:rsid w:val="21E56FBC"/>
    <w:rsid w:val="21FA005D"/>
    <w:rsid w:val="21FB12EC"/>
    <w:rsid w:val="220137C3"/>
    <w:rsid w:val="224F6446"/>
    <w:rsid w:val="225861FF"/>
    <w:rsid w:val="226C4FAD"/>
    <w:rsid w:val="229F47AE"/>
    <w:rsid w:val="22A27797"/>
    <w:rsid w:val="22D3233B"/>
    <w:rsid w:val="22DB48F2"/>
    <w:rsid w:val="22E25839"/>
    <w:rsid w:val="23177604"/>
    <w:rsid w:val="232C7632"/>
    <w:rsid w:val="2333170A"/>
    <w:rsid w:val="237F1E99"/>
    <w:rsid w:val="23BC6D45"/>
    <w:rsid w:val="23FD21A6"/>
    <w:rsid w:val="24096C1E"/>
    <w:rsid w:val="242377DC"/>
    <w:rsid w:val="243C7A17"/>
    <w:rsid w:val="2442787A"/>
    <w:rsid w:val="248458D3"/>
    <w:rsid w:val="249E7E82"/>
    <w:rsid w:val="24AF30EF"/>
    <w:rsid w:val="24C31ACA"/>
    <w:rsid w:val="24C37822"/>
    <w:rsid w:val="24C979B7"/>
    <w:rsid w:val="24D228AC"/>
    <w:rsid w:val="24DE282F"/>
    <w:rsid w:val="2502156D"/>
    <w:rsid w:val="250234C2"/>
    <w:rsid w:val="2516370B"/>
    <w:rsid w:val="25427164"/>
    <w:rsid w:val="25525D92"/>
    <w:rsid w:val="255B191F"/>
    <w:rsid w:val="2563572A"/>
    <w:rsid w:val="25637736"/>
    <w:rsid w:val="25AE478C"/>
    <w:rsid w:val="25B90919"/>
    <w:rsid w:val="26371F36"/>
    <w:rsid w:val="263B2C60"/>
    <w:rsid w:val="26411C1D"/>
    <w:rsid w:val="26487535"/>
    <w:rsid w:val="264D32CE"/>
    <w:rsid w:val="265453C2"/>
    <w:rsid w:val="26567ACD"/>
    <w:rsid w:val="26710D09"/>
    <w:rsid w:val="26786ECC"/>
    <w:rsid w:val="267D08D3"/>
    <w:rsid w:val="26964EA5"/>
    <w:rsid w:val="269F4749"/>
    <w:rsid w:val="26A175D7"/>
    <w:rsid w:val="26D3098E"/>
    <w:rsid w:val="26EF5861"/>
    <w:rsid w:val="271E227A"/>
    <w:rsid w:val="272F1AD3"/>
    <w:rsid w:val="2741315F"/>
    <w:rsid w:val="27916FA0"/>
    <w:rsid w:val="279B1B14"/>
    <w:rsid w:val="27C77490"/>
    <w:rsid w:val="27F64177"/>
    <w:rsid w:val="28046D84"/>
    <w:rsid w:val="286B5532"/>
    <w:rsid w:val="288F52D5"/>
    <w:rsid w:val="28E5527A"/>
    <w:rsid w:val="291D38AE"/>
    <w:rsid w:val="29216A36"/>
    <w:rsid w:val="29225D1F"/>
    <w:rsid w:val="29234A57"/>
    <w:rsid w:val="29321FE3"/>
    <w:rsid w:val="29476C8B"/>
    <w:rsid w:val="294E725A"/>
    <w:rsid w:val="29526C4F"/>
    <w:rsid w:val="29551B41"/>
    <w:rsid w:val="29572E0D"/>
    <w:rsid w:val="295F27BE"/>
    <w:rsid w:val="296B08B2"/>
    <w:rsid w:val="29803570"/>
    <w:rsid w:val="29890739"/>
    <w:rsid w:val="298934B4"/>
    <w:rsid w:val="29B95570"/>
    <w:rsid w:val="29EE601C"/>
    <w:rsid w:val="2A141291"/>
    <w:rsid w:val="2A17665E"/>
    <w:rsid w:val="2A247FC5"/>
    <w:rsid w:val="2A2A3259"/>
    <w:rsid w:val="2A3519F9"/>
    <w:rsid w:val="2A5F5F98"/>
    <w:rsid w:val="2A7279D5"/>
    <w:rsid w:val="2A862EB1"/>
    <w:rsid w:val="2ACB7330"/>
    <w:rsid w:val="2AD479BA"/>
    <w:rsid w:val="2AEA3820"/>
    <w:rsid w:val="2AEC01AB"/>
    <w:rsid w:val="2AF45EDE"/>
    <w:rsid w:val="2B451595"/>
    <w:rsid w:val="2B4E2CA2"/>
    <w:rsid w:val="2B5C58C8"/>
    <w:rsid w:val="2B78175F"/>
    <w:rsid w:val="2B9039C7"/>
    <w:rsid w:val="2BA31FAC"/>
    <w:rsid w:val="2BC359F4"/>
    <w:rsid w:val="2BD010DC"/>
    <w:rsid w:val="2BFA65AF"/>
    <w:rsid w:val="2C2119A9"/>
    <w:rsid w:val="2C51791C"/>
    <w:rsid w:val="2C6D06DB"/>
    <w:rsid w:val="2CA1763D"/>
    <w:rsid w:val="2CCA19D6"/>
    <w:rsid w:val="2CD107CB"/>
    <w:rsid w:val="2CDF46B1"/>
    <w:rsid w:val="2CE60E31"/>
    <w:rsid w:val="2CE879B8"/>
    <w:rsid w:val="2D3044ED"/>
    <w:rsid w:val="2D4A2971"/>
    <w:rsid w:val="2D6D2C16"/>
    <w:rsid w:val="2D6D3B8E"/>
    <w:rsid w:val="2D8F14A1"/>
    <w:rsid w:val="2D8F3AF9"/>
    <w:rsid w:val="2D94069C"/>
    <w:rsid w:val="2DB7125F"/>
    <w:rsid w:val="2DD77FF0"/>
    <w:rsid w:val="2E03773F"/>
    <w:rsid w:val="2E047D0B"/>
    <w:rsid w:val="2E050066"/>
    <w:rsid w:val="2E336E30"/>
    <w:rsid w:val="2E586EFC"/>
    <w:rsid w:val="2E5909BE"/>
    <w:rsid w:val="2E6C063D"/>
    <w:rsid w:val="2ECB3349"/>
    <w:rsid w:val="2EDC20CB"/>
    <w:rsid w:val="2EF56F33"/>
    <w:rsid w:val="2F236C79"/>
    <w:rsid w:val="2F2D3DF4"/>
    <w:rsid w:val="2F4319EA"/>
    <w:rsid w:val="2F73329F"/>
    <w:rsid w:val="2F855DF6"/>
    <w:rsid w:val="2FAC21CE"/>
    <w:rsid w:val="2FD0497E"/>
    <w:rsid w:val="2FD6409B"/>
    <w:rsid w:val="2FD80E37"/>
    <w:rsid w:val="30010B58"/>
    <w:rsid w:val="300A56D7"/>
    <w:rsid w:val="302774A3"/>
    <w:rsid w:val="302B03D9"/>
    <w:rsid w:val="30366181"/>
    <w:rsid w:val="303A0349"/>
    <w:rsid w:val="30566F21"/>
    <w:rsid w:val="308B6CE7"/>
    <w:rsid w:val="30DC0F43"/>
    <w:rsid w:val="31030188"/>
    <w:rsid w:val="31170895"/>
    <w:rsid w:val="31193749"/>
    <w:rsid w:val="312614A0"/>
    <w:rsid w:val="31314B0F"/>
    <w:rsid w:val="31507826"/>
    <w:rsid w:val="315655A7"/>
    <w:rsid w:val="31975348"/>
    <w:rsid w:val="319A0EEB"/>
    <w:rsid w:val="31AA48F6"/>
    <w:rsid w:val="31C01998"/>
    <w:rsid w:val="31D66C4B"/>
    <w:rsid w:val="32182B20"/>
    <w:rsid w:val="32226669"/>
    <w:rsid w:val="32261F27"/>
    <w:rsid w:val="32726352"/>
    <w:rsid w:val="330E191A"/>
    <w:rsid w:val="33207E7D"/>
    <w:rsid w:val="332B45C5"/>
    <w:rsid w:val="335E65D5"/>
    <w:rsid w:val="337E770A"/>
    <w:rsid w:val="338E03AE"/>
    <w:rsid w:val="33AE675E"/>
    <w:rsid w:val="33B50792"/>
    <w:rsid w:val="33E95046"/>
    <w:rsid w:val="33F76ED9"/>
    <w:rsid w:val="3406659D"/>
    <w:rsid w:val="34066F3C"/>
    <w:rsid w:val="342A03AD"/>
    <w:rsid w:val="34316959"/>
    <w:rsid w:val="344E2731"/>
    <w:rsid w:val="345B6BC1"/>
    <w:rsid w:val="34685AE6"/>
    <w:rsid w:val="34AB3B17"/>
    <w:rsid w:val="34B95D31"/>
    <w:rsid w:val="34DE1EC7"/>
    <w:rsid w:val="35192255"/>
    <w:rsid w:val="35264039"/>
    <w:rsid w:val="35581B81"/>
    <w:rsid w:val="35584F20"/>
    <w:rsid w:val="35896F5C"/>
    <w:rsid w:val="35AC6D6C"/>
    <w:rsid w:val="35BA562A"/>
    <w:rsid w:val="35F47A4D"/>
    <w:rsid w:val="35FE4C86"/>
    <w:rsid w:val="360E108E"/>
    <w:rsid w:val="363E657D"/>
    <w:rsid w:val="36445A9F"/>
    <w:rsid w:val="364C73E2"/>
    <w:rsid w:val="36510EAD"/>
    <w:rsid w:val="365F309C"/>
    <w:rsid w:val="366A5161"/>
    <w:rsid w:val="366F1AE0"/>
    <w:rsid w:val="36706BB8"/>
    <w:rsid w:val="3684206B"/>
    <w:rsid w:val="368F16C4"/>
    <w:rsid w:val="369A304A"/>
    <w:rsid w:val="369F433B"/>
    <w:rsid w:val="36B63F16"/>
    <w:rsid w:val="36C67982"/>
    <w:rsid w:val="36D04A11"/>
    <w:rsid w:val="36F4480C"/>
    <w:rsid w:val="37134BE4"/>
    <w:rsid w:val="371948C9"/>
    <w:rsid w:val="373321D9"/>
    <w:rsid w:val="374D336F"/>
    <w:rsid w:val="376B4967"/>
    <w:rsid w:val="377E4B13"/>
    <w:rsid w:val="379762ED"/>
    <w:rsid w:val="37A22AA5"/>
    <w:rsid w:val="37C849B6"/>
    <w:rsid w:val="37F61973"/>
    <w:rsid w:val="37F62926"/>
    <w:rsid w:val="386C755C"/>
    <w:rsid w:val="386F0D9D"/>
    <w:rsid w:val="389B032D"/>
    <w:rsid w:val="38B277DA"/>
    <w:rsid w:val="38CD6D6E"/>
    <w:rsid w:val="38DC1FD6"/>
    <w:rsid w:val="393D0C7D"/>
    <w:rsid w:val="395F2904"/>
    <w:rsid w:val="39C50365"/>
    <w:rsid w:val="39C74453"/>
    <w:rsid w:val="39D6051A"/>
    <w:rsid w:val="39E303E2"/>
    <w:rsid w:val="39EB1191"/>
    <w:rsid w:val="39F856A0"/>
    <w:rsid w:val="39FC65CC"/>
    <w:rsid w:val="39FE6F59"/>
    <w:rsid w:val="39FF73BF"/>
    <w:rsid w:val="3A347A1E"/>
    <w:rsid w:val="3A773A42"/>
    <w:rsid w:val="3A941C32"/>
    <w:rsid w:val="3A9D330B"/>
    <w:rsid w:val="3AA83C87"/>
    <w:rsid w:val="3AB33B88"/>
    <w:rsid w:val="3AB67AB0"/>
    <w:rsid w:val="3AC65064"/>
    <w:rsid w:val="3AD603BE"/>
    <w:rsid w:val="3AEF76EC"/>
    <w:rsid w:val="3AF2384C"/>
    <w:rsid w:val="3B002605"/>
    <w:rsid w:val="3B0E070B"/>
    <w:rsid w:val="3B0E7276"/>
    <w:rsid w:val="3B257AA0"/>
    <w:rsid w:val="3B40315B"/>
    <w:rsid w:val="3B52782B"/>
    <w:rsid w:val="3B5A0033"/>
    <w:rsid w:val="3B764AB8"/>
    <w:rsid w:val="3B830992"/>
    <w:rsid w:val="3BA34E54"/>
    <w:rsid w:val="3BAC796A"/>
    <w:rsid w:val="3BAD45C9"/>
    <w:rsid w:val="3BB94C1A"/>
    <w:rsid w:val="3BC477EF"/>
    <w:rsid w:val="3BD54ECE"/>
    <w:rsid w:val="3BE26336"/>
    <w:rsid w:val="3BE37EB5"/>
    <w:rsid w:val="3C260152"/>
    <w:rsid w:val="3C31523F"/>
    <w:rsid w:val="3C5C187A"/>
    <w:rsid w:val="3C5C3839"/>
    <w:rsid w:val="3C774FBF"/>
    <w:rsid w:val="3C7F4555"/>
    <w:rsid w:val="3C9B5744"/>
    <w:rsid w:val="3CBE01BA"/>
    <w:rsid w:val="3CC276DE"/>
    <w:rsid w:val="3CFF78D5"/>
    <w:rsid w:val="3D3706E1"/>
    <w:rsid w:val="3D4C5425"/>
    <w:rsid w:val="3D6A1E76"/>
    <w:rsid w:val="3D944C04"/>
    <w:rsid w:val="3DE27C85"/>
    <w:rsid w:val="3DF24F87"/>
    <w:rsid w:val="3DF862BE"/>
    <w:rsid w:val="3E4B46CD"/>
    <w:rsid w:val="3E522CC8"/>
    <w:rsid w:val="3E6C53A7"/>
    <w:rsid w:val="3E9C74DE"/>
    <w:rsid w:val="3EB06511"/>
    <w:rsid w:val="3ED063DE"/>
    <w:rsid w:val="3EE8198D"/>
    <w:rsid w:val="3F001701"/>
    <w:rsid w:val="3F01199F"/>
    <w:rsid w:val="3F0561CC"/>
    <w:rsid w:val="3F6D5137"/>
    <w:rsid w:val="3F7B1879"/>
    <w:rsid w:val="3FB07CE1"/>
    <w:rsid w:val="3FBB7717"/>
    <w:rsid w:val="3FC24032"/>
    <w:rsid w:val="3FC47468"/>
    <w:rsid w:val="3FE0008D"/>
    <w:rsid w:val="3FE27F44"/>
    <w:rsid w:val="3FE44DB0"/>
    <w:rsid w:val="4017706E"/>
    <w:rsid w:val="40295C55"/>
    <w:rsid w:val="40461D6E"/>
    <w:rsid w:val="404E0EF9"/>
    <w:rsid w:val="404F327E"/>
    <w:rsid w:val="40A540DE"/>
    <w:rsid w:val="40C75330"/>
    <w:rsid w:val="40CA7613"/>
    <w:rsid w:val="40DD0504"/>
    <w:rsid w:val="40ED7B88"/>
    <w:rsid w:val="4119401A"/>
    <w:rsid w:val="4134318C"/>
    <w:rsid w:val="413F41D7"/>
    <w:rsid w:val="414420D7"/>
    <w:rsid w:val="41497185"/>
    <w:rsid w:val="416F20DE"/>
    <w:rsid w:val="419844D8"/>
    <w:rsid w:val="41A2034E"/>
    <w:rsid w:val="41A65F0B"/>
    <w:rsid w:val="41D536E3"/>
    <w:rsid w:val="420014A1"/>
    <w:rsid w:val="422D2160"/>
    <w:rsid w:val="42396A7D"/>
    <w:rsid w:val="42EC7954"/>
    <w:rsid w:val="42FA65ED"/>
    <w:rsid w:val="42FF275D"/>
    <w:rsid w:val="43090FD9"/>
    <w:rsid w:val="43313A24"/>
    <w:rsid w:val="43416A49"/>
    <w:rsid w:val="435C1D1A"/>
    <w:rsid w:val="435C75F3"/>
    <w:rsid w:val="43682FA2"/>
    <w:rsid w:val="43715308"/>
    <w:rsid w:val="43BB6864"/>
    <w:rsid w:val="43E01243"/>
    <w:rsid w:val="44133386"/>
    <w:rsid w:val="4431474F"/>
    <w:rsid w:val="44321313"/>
    <w:rsid w:val="44786484"/>
    <w:rsid w:val="447E2A0F"/>
    <w:rsid w:val="447E4B71"/>
    <w:rsid w:val="449A30DE"/>
    <w:rsid w:val="44A47695"/>
    <w:rsid w:val="44BD3DBC"/>
    <w:rsid w:val="44BE666B"/>
    <w:rsid w:val="450918B6"/>
    <w:rsid w:val="450E430F"/>
    <w:rsid w:val="452F4F26"/>
    <w:rsid w:val="45405345"/>
    <w:rsid w:val="45463295"/>
    <w:rsid w:val="45875321"/>
    <w:rsid w:val="4588590C"/>
    <w:rsid w:val="45AB5E98"/>
    <w:rsid w:val="45C513B0"/>
    <w:rsid w:val="45C861FB"/>
    <w:rsid w:val="45D77819"/>
    <w:rsid w:val="45E36403"/>
    <w:rsid w:val="46014259"/>
    <w:rsid w:val="46093C19"/>
    <w:rsid w:val="461C5622"/>
    <w:rsid w:val="46256226"/>
    <w:rsid w:val="462678CF"/>
    <w:rsid w:val="46472FAC"/>
    <w:rsid w:val="46602401"/>
    <w:rsid w:val="4668035E"/>
    <w:rsid w:val="466A7E6B"/>
    <w:rsid w:val="468F73FE"/>
    <w:rsid w:val="469A0BA6"/>
    <w:rsid w:val="46A4761C"/>
    <w:rsid w:val="46BD0001"/>
    <w:rsid w:val="46F62080"/>
    <w:rsid w:val="46FC4F20"/>
    <w:rsid w:val="47270310"/>
    <w:rsid w:val="473B1387"/>
    <w:rsid w:val="47425757"/>
    <w:rsid w:val="47872571"/>
    <w:rsid w:val="478E4E27"/>
    <w:rsid w:val="479241CB"/>
    <w:rsid w:val="47B570E5"/>
    <w:rsid w:val="47BD2B2E"/>
    <w:rsid w:val="47CC29CB"/>
    <w:rsid w:val="47CC540F"/>
    <w:rsid w:val="48042B34"/>
    <w:rsid w:val="482228FB"/>
    <w:rsid w:val="48854C46"/>
    <w:rsid w:val="488F4366"/>
    <w:rsid w:val="48A43AC5"/>
    <w:rsid w:val="48D75DCF"/>
    <w:rsid w:val="48D86719"/>
    <w:rsid w:val="48DC0B9A"/>
    <w:rsid w:val="490259A8"/>
    <w:rsid w:val="496D30D6"/>
    <w:rsid w:val="498116C1"/>
    <w:rsid w:val="499F1C25"/>
    <w:rsid w:val="49C05A4A"/>
    <w:rsid w:val="49E4340C"/>
    <w:rsid w:val="49EC3114"/>
    <w:rsid w:val="49F673AD"/>
    <w:rsid w:val="4A171FDA"/>
    <w:rsid w:val="4A1F34F0"/>
    <w:rsid w:val="4A3E1DFE"/>
    <w:rsid w:val="4A4F3F3B"/>
    <w:rsid w:val="4A51150E"/>
    <w:rsid w:val="4A5859B6"/>
    <w:rsid w:val="4A5E5A7F"/>
    <w:rsid w:val="4A7B361B"/>
    <w:rsid w:val="4A8E24A5"/>
    <w:rsid w:val="4AA85AA1"/>
    <w:rsid w:val="4AAC3CC5"/>
    <w:rsid w:val="4AB074A4"/>
    <w:rsid w:val="4AB859D6"/>
    <w:rsid w:val="4AD5504E"/>
    <w:rsid w:val="4AD9413B"/>
    <w:rsid w:val="4ADC18E8"/>
    <w:rsid w:val="4B066EAF"/>
    <w:rsid w:val="4B3012BB"/>
    <w:rsid w:val="4B53353A"/>
    <w:rsid w:val="4BB0184C"/>
    <w:rsid w:val="4BC75FB4"/>
    <w:rsid w:val="4BCD4F56"/>
    <w:rsid w:val="4BE15EC5"/>
    <w:rsid w:val="4BE31CA6"/>
    <w:rsid w:val="4C001861"/>
    <w:rsid w:val="4C0E79AA"/>
    <w:rsid w:val="4C1E2363"/>
    <w:rsid w:val="4C57618A"/>
    <w:rsid w:val="4CBD6FDE"/>
    <w:rsid w:val="4CC92CC1"/>
    <w:rsid w:val="4CD65FF4"/>
    <w:rsid w:val="4CE87073"/>
    <w:rsid w:val="4CEA3771"/>
    <w:rsid w:val="4CF71222"/>
    <w:rsid w:val="4D0D5720"/>
    <w:rsid w:val="4D12175B"/>
    <w:rsid w:val="4D2D61FC"/>
    <w:rsid w:val="4D9661D8"/>
    <w:rsid w:val="4DB45FFA"/>
    <w:rsid w:val="4DD62336"/>
    <w:rsid w:val="4DE107E9"/>
    <w:rsid w:val="4DEB5A29"/>
    <w:rsid w:val="4DF965FB"/>
    <w:rsid w:val="4E285825"/>
    <w:rsid w:val="4E332FE3"/>
    <w:rsid w:val="4E57075F"/>
    <w:rsid w:val="4E59266F"/>
    <w:rsid w:val="4E69587B"/>
    <w:rsid w:val="4E995E67"/>
    <w:rsid w:val="4E9A4715"/>
    <w:rsid w:val="4E9F1C96"/>
    <w:rsid w:val="4EA62F7D"/>
    <w:rsid w:val="4EAF0CD3"/>
    <w:rsid w:val="4EB4138B"/>
    <w:rsid w:val="4EF671F3"/>
    <w:rsid w:val="4EF76B75"/>
    <w:rsid w:val="4F1878DB"/>
    <w:rsid w:val="4F224B06"/>
    <w:rsid w:val="4F482C86"/>
    <w:rsid w:val="4F5712D6"/>
    <w:rsid w:val="4F7B3BAE"/>
    <w:rsid w:val="4F9640DE"/>
    <w:rsid w:val="4FB9185A"/>
    <w:rsid w:val="4FC92553"/>
    <w:rsid w:val="4FE35DF0"/>
    <w:rsid w:val="4FE94B64"/>
    <w:rsid w:val="501C56B7"/>
    <w:rsid w:val="50530BC8"/>
    <w:rsid w:val="506354EF"/>
    <w:rsid w:val="508C01A9"/>
    <w:rsid w:val="50A54FE5"/>
    <w:rsid w:val="50B0253B"/>
    <w:rsid w:val="50C15033"/>
    <w:rsid w:val="50D40243"/>
    <w:rsid w:val="50FA20DB"/>
    <w:rsid w:val="51187221"/>
    <w:rsid w:val="5131350C"/>
    <w:rsid w:val="513C2EDD"/>
    <w:rsid w:val="519949CA"/>
    <w:rsid w:val="51D054E5"/>
    <w:rsid w:val="51DE196A"/>
    <w:rsid w:val="51E273BE"/>
    <w:rsid w:val="51E62864"/>
    <w:rsid w:val="52155DC5"/>
    <w:rsid w:val="52244CE0"/>
    <w:rsid w:val="523B5CD2"/>
    <w:rsid w:val="52444D3D"/>
    <w:rsid w:val="524B3856"/>
    <w:rsid w:val="527A7B8F"/>
    <w:rsid w:val="52847CC6"/>
    <w:rsid w:val="52B17872"/>
    <w:rsid w:val="52BA0C9C"/>
    <w:rsid w:val="52C06C9F"/>
    <w:rsid w:val="530230CB"/>
    <w:rsid w:val="53187152"/>
    <w:rsid w:val="53323554"/>
    <w:rsid w:val="534C5B64"/>
    <w:rsid w:val="53515CAE"/>
    <w:rsid w:val="536107A3"/>
    <w:rsid w:val="538240B5"/>
    <w:rsid w:val="53AD440C"/>
    <w:rsid w:val="53DE163D"/>
    <w:rsid w:val="542303F8"/>
    <w:rsid w:val="543260FF"/>
    <w:rsid w:val="545D2753"/>
    <w:rsid w:val="54604F80"/>
    <w:rsid w:val="54612EE1"/>
    <w:rsid w:val="546209B4"/>
    <w:rsid w:val="54666D10"/>
    <w:rsid w:val="5478407C"/>
    <w:rsid w:val="5490425F"/>
    <w:rsid w:val="54961B6C"/>
    <w:rsid w:val="54CE41AA"/>
    <w:rsid w:val="54CE5765"/>
    <w:rsid w:val="54D55306"/>
    <w:rsid w:val="54DF1CB6"/>
    <w:rsid w:val="54EC26DD"/>
    <w:rsid w:val="55090217"/>
    <w:rsid w:val="551A29AD"/>
    <w:rsid w:val="55364E1B"/>
    <w:rsid w:val="55437EFB"/>
    <w:rsid w:val="55565DC8"/>
    <w:rsid w:val="55844014"/>
    <w:rsid w:val="55AC05AB"/>
    <w:rsid w:val="55C34E73"/>
    <w:rsid w:val="55C74516"/>
    <w:rsid w:val="55EC60E3"/>
    <w:rsid w:val="55F47C66"/>
    <w:rsid w:val="55FC2402"/>
    <w:rsid w:val="55FC6482"/>
    <w:rsid w:val="56433506"/>
    <w:rsid w:val="5649501E"/>
    <w:rsid w:val="565C5745"/>
    <w:rsid w:val="56617DD7"/>
    <w:rsid w:val="568238F3"/>
    <w:rsid w:val="568F53EB"/>
    <w:rsid w:val="56AB71DB"/>
    <w:rsid w:val="56C71B9E"/>
    <w:rsid w:val="570B3E02"/>
    <w:rsid w:val="57183280"/>
    <w:rsid w:val="572116E5"/>
    <w:rsid w:val="5733716E"/>
    <w:rsid w:val="576D37A4"/>
    <w:rsid w:val="57A6199A"/>
    <w:rsid w:val="57B049BA"/>
    <w:rsid w:val="57C05CCD"/>
    <w:rsid w:val="57C413A5"/>
    <w:rsid w:val="57EE3484"/>
    <w:rsid w:val="58077E6D"/>
    <w:rsid w:val="58215AB6"/>
    <w:rsid w:val="582B0154"/>
    <w:rsid w:val="58484C09"/>
    <w:rsid w:val="58900C95"/>
    <w:rsid w:val="589C50B7"/>
    <w:rsid w:val="58A150A9"/>
    <w:rsid w:val="58B20AEC"/>
    <w:rsid w:val="58BF52A9"/>
    <w:rsid w:val="58D87F55"/>
    <w:rsid w:val="58DC236A"/>
    <w:rsid w:val="58DF4FEC"/>
    <w:rsid w:val="58F5539B"/>
    <w:rsid w:val="58FE49B7"/>
    <w:rsid w:val="59021FD2"/>
    <w:rsid w:val="590B31A8"/>
    <w:rsid w:val="59246773"/>
    <w:rsid w:val="59267B33"/>
    <w:rsid w:val="59615283"/>
    <w:rsid w:val="596662A5"/>
    <w:rsid w:val="59902F35"/>
    <w:rsid w:val="5994238E"/>
    <w:rsid w:val="5995052F"/>
    <w:rsid w:val="59D165F0"/>
    <w:rsid w:val="59E04505"/>
    <w:rsid w:val="59F93A5B"/>
    <w:rsid w:val="59FA3177"/>
    <w:rsid w:val="5A044C89"/>
    <w:rsid w:val="5A125C3D"/>
    <w:rsid w:val="5A3A0AA5"/>
    <w:rsid w:val="5A4F554A"/>
    <w:rsid w:val="5AF46232"/>
    <w:rsid w:val="5B2B54DA"/>
    <w:rsid w:val="5B6441D3"/>
    <w:rsid w:val="5B6739A5"/>
    <w:rsid w:val="5B720590"/>
    <w:rsid w:val="5B7B31A9"/>
    <w:rsid w:val="5BBD35FD"/>
    <w:rsid w:val="5BDD7F38"/>
    <w:rsid w:val="5C047B83"/>
    <w:rsid w:val="5C317825"/>
    <w:rsid w:val="5C3623A6"/>
    <w:rsid w:val="5C414134"/>
    <w:rsid w:val="5C9A3C1D"/>
    <w:rsid w:val="5CB34BA4"/>
    <w:rsid w:val="5CC96A97"/>
    <w:rsid w:val="5CEC1798"/>
    <w:rsid w:val="5CFD5EB9"/>
    <w:rsid w:val="5D050023"/>
    <w:rsid w:val="5D077BAE"/>
    <w:rsid w:val="5D084959"/>
    <w:rsid w:val="5D116B16"/>
    <w:rsid w:val="5D1B4EFD"/>
    <w:rsid w:val="5D232C38"/>
    <w:rsid w:val="5D2E7780"/>
    <w:rsid w:val="5D383C60"/>
    <w:rsid w:val="5D787B8A"/>
    <w:rsid w:val="5D956205"/>
    <w:rsid w:val="5D983E4F"/>
    <w:rsid w:val="5DA05B92"/>
    <w:rsid w:val="5DCF5602"/>
    <w:rsid w:val="5DF448E5"/>
    <w:rsid w:val="5E390CAF"/>
    <w:rsid w:val="5E3C6D30"/>
    <w:rsid w:val="5E4E37AD"/>
    <w:rsid w:val="5E5F5EF7"/>
    <w:rsid w:val="5E697D49"/>
    <w:rsid w:val="5E6D720A"/>
    <w:rsid w:val="5EB23F6C"/>
    <w:rsid w:val="5EC5386C"/>
    <w:rsid w:val="5EE51AE4"/>
    <w:rsid w:val="5EE9540F"/>
    <w:rsid w:val="5EF048AB"/>
    <w:rsid w:val="5F036FBE"/>
    <w:rsid w:val="5F0A15F3"/>
    <w:rsid w:val="5F433247"/>
    <w:rsid w:val="5F45258B"/>
    <w:rsid w:val="5F5A15B5"/>
    <w:rsid w:val="5F690130"/>
    <w:rsid w:val="5F966E18"/>
    <w:rsid w:val="5F970059"/>
    <w:rsid w:val="5FB0093D"/>
    <w:rsid w:val="5FC169A4"/>
    <w:rsid w:val="5FCA21E0"/>
    <w:rsid w:val="5FE65556"/>
    <w:rsid w:val="5FFA4C45"/>
    <w:rsid w:val="606B24C5"/>
    <w:rsid w:val="609C6B9A"/>
    <w:rsid w:val="60B52778"/>
    <w:rsid w:val="60D84C1D"/>
    <w:rsid w:val="61022FB1"/>
    <w:rsid w:val="6113529D"/>
    <w:rsid w:val="61166383"/>
    <w:rsid w:val="61225F26"/>
    <w:rsid w:val="614A63D5"/>
    <w:rsid w:val="614B4412"/>
    <w:rsid w:val="6155317E"/>
    <w:rsid w:val="615F1B75"/>
    <w:rsid w:val="61D57BE4"/>
    <w:rsid w:val="62654910"/>
    <w:rsid w:val="629A0A03"/>
    <w:rsid w:val="62AF0A67"/>
    <w:rsid w:val="62C47FC5"/>
    <w:rsid w:val="62D31681"/>
    <w:rsid w:val="62D578C9"/>
    <w:rsid w:val="62DB5C1F"/>
    <w:rsid w:val="62E7110A"/>
    <w:rsid w:val="62F449E2"/>
    <w:rsid w:val="630E388B"/>
    <w:rsid w:val="63582245"/>
    <w:rsid w:val="63813D88"/>
    <w:rsid w:val="63AA056F"/>
    <w:rsid w:val="63B71985"/>
    <w:rsid w:val="63FA14BE"/>
    <w:rsid w:val="640516EE"/>
    <w:rsid w:val="64284B5D"/>
    <w:rsid w:val="64423E4C"/>
    <w:rsid w:val="647D5657"/>
    <w:rsid w:val="64BC7EC9"/>
    <w:rsid w:val="64C85EB7"/>
    <w:rsid w:val="64E472EC"/>
    <w:rsid w:val="64F1387C"/>
    <w:rsid w:val="64FD041F"/>
    <w:rsid w:val="64FE428D"/>
    <w:rsid w:val="64FE7D01"/>
    <w:rsid w:val="64FF55AF"/>
    <w:rsid w:val="65061E48"/>
    <w:rsid w:val="6510790A"/>
    <w:rsid w:val="655D5D1D"/>
    <w:rsid w:val="65763D94"/>
    <w:rsid w:val="65847FCB"/>
    <w:rsid w:val="65E850A7"/>
    <w:rsid w:val="65F1317D"/>
    <w:rsid w:val="66205162"/>
    <w:rsid w:val="66302D87"/>
    <w:rsid w:val="664B3CD4"/>
    <w:rsid w:val="666770BE"/>
    <w:rsid w:val="666A2BB2"/>
    <w:rsid w:val="66733B35"/>
    <w:rsid w:val="668A491E"/>
    <w:rsid w:val="66B51200"/>
    <w:rsid w:val="66CC6427"/>
    <w:rsid w:val="66F566E7"/>
    <w:rsid w:val="67125132"/>
    <w:rsid w:val="671A47EE"/>
    <w:rsid w:val="672945BC"/>
    <w:rsid w:val="672C19D1"/>
    <w:rsid w:val="672C3C31"/>
    <w:rsid w:val="67467301"/>
    <w:rsid w:val="675D5843"/>
    <w:rsid w:val="67967A99"/>
    <w:rsid w:val="67C451A7"/>
    <w:rsid w:val="67D41567"/>
    <w:rsid w:val="681A2772"/>
    <w:rsid w:val="681E5132"/>
    <w:rsid w:val="68395B07"/>
    <w:rsid w:val="683F7E5A"/>
    <w:rsid w:val="684C208C"/>
    <w:rsid w:val="68982479"/>
    <w:rsid w:val="68B02F4E"/>
    <w:rsid w:val="68DE3649"/>
    <w:rsid w:val="690560DF"/>
    <w:rsid w:val="691A5EE6"/>
    <w:rsid w:val="6956398A"/>
    <w:rsid w:val="696C0310"/>
    <w:rsid w:val="69845C64"/>
    <w:rsid w:val="69B247C8"/>
    <w:rsid w:val="69C64714"/>
    <w:rsid w:val="69CC56B4"/>
    <w:rsid w:val="69EF59B1"/>
    <w:rsid w:val="6A0700E9"/>
    <w:rsid w:val="6A216939"/>
    <w:rsid w:val="6A244D69"/>
    <w:rsid w:val="6A2B02B0"/>
    <w:rsid w:val="6A327563"/>
    <w:rsid w:val="6AAA1233"/>
    <w:rsid w:val="6AC54392"/>
    <w:rsid w:val="6AE36019"/>
    <w:rsid w:val="6B4337DD"/>
    <w:rsid w:val="6B5B3A72"/>
    <w:rsid w:val="6C171503"/>
    <w:rsid w:val="6C1A7210"/>
    <w:rsid w:val="6C1B6850"/>
    <w:rsid w:val="6C5F6C2A"/>
    <w:rsid w:val="6C9068F1"/>
    <w:rsid w:val="6C9C5BD4"/>
    <w:rsid w:val="6CB76C88"/>
    <w:rsid w:val="6CBA1F6F"/>
    <w:rsid w:val="6CF42ABF"/>
    <w:rsid w:val="6D0F6809"/>
    <w:rsid w:val="6D1C298A"/>
    <w:rsid w:val="6D216851"/>
    <w:rsid w:val="6D5E2905"/>
    <w:rsid w:val="6D6A5023"/>
    <w:rsid w:val="6D7276B5"/>
    <w:rsid w:val="6D8E1695"/>
    <w:rsid w:val="6D9222C1"/>
    <w:rsid w:val="6D9803A2"/>
    <w:rsid w:val="6DA70097"/>
    <w:rsid w:val="6DCD28E3"/>
    <w:rsid w:val="6DD250DD"/>
    <w:rsid w:val="6DEA4F8E"/>
    <w:rsid w:val="6DF710C0"/>
    <w:rsid w:val="6E0C0136"/>
    <w:rsid w:val="6E130DE5"/>
    <w:rsid w:val="6E194716"/>
    <w:rsid w:val="6E2049C2"/>
    <w:rsid w:val="6E781BC5"/>
    <w:rsid w:val="6E7962F9"/>
    <w:rsid w:val="6EAE2137"/>
    <w:rsid w:val="6EB221A0"/>
    <w:rsid w:val="6EB44823"/>
    <w:rsid w:val="6ECF300F"/>
    <w:rsid w:val="6EEE712E"/>
    <w:rsid w:val="6F2C6943"/>
    <w:rsid w:val="6F4D50F1"/>
    <w:rsid w:val="6F58000D"/>
    <w:rsid w:val="6F652EAD"/>
    <w:rsid w:val="6F7E7354"/>
    <w:rsid w:val="6F9A4163"/>
    <w:rsid w:val="6FDA0E50"/>
    <w:rsid w:val="6FE5646F"/>
    <w:rsid w:val="6FF35895"/>
    <w:rsid w:val="6FF65E1E"/>
    <w:rsid w:val="70045B92"/>
    <w:rsid w:val="70055FDA"/>
    <w:rsid w:val="7075685A"/>
    <w:rsid w:val="70A30A11"/>
    <w:rsid w:val="70AC2981"/>
    <w:rsid w:val="70C04C1F"/>
    <w:rsid w:val="70CF0B3D"/>
    <w:rsid w:val="71354387"/>
    <w:rsid w:val="714A7387"/>
    <w:rsid w:val="7162408D"/>
    <w:rsid w:val="716424F2"/>
    <w:rsid w:val="71772542"/>
    <w:rsid w:val="717C49B0"/>
    <w:rsid w:val="71DB24DA"/>
    <w:rsid w:val="71DE6503"/>
    <w:rsid w:val="71F633F8"/>
    <w:rsid w:val="71F744F2"/>
    <w:rsid w:val="722142B5"/>
    <w:rsid w:val="72302F41"/>
    <w:rsid w:val="72636E9D"/>
    <w:rsid w:val="72A33D69"/>
    <w:rsid w:val="73146BC7"/>
    <w:rsid w:val="731A697D"/>
    <w:rsid w:val="733D4CBA"/>
    <w:rsid w:val="735A2220"/>
    <w:rsid w:val="736D3541"/>
    <w:rsid w:val="73793F92"/>
    <w:rsid w:val="738D339F"/>
    <w:rsid w:val="739D2781"/>
    <w:rsid w:val="73B25493"/>
    <w:rsid w:val="73D83477"/>
    <w:rsid w:val="73E43E5B"/>
    <w:rsid w:val="73E80661"/>
    <w:rsid w:val="747924D5"/>
    <w:rsid w:val="748D443D"/>
    <w:rsid w:val="74B63C4A"/>
    <w:rsid w:val="74BF0839"/>
    <w:rsid w:val="74CF6187"/>
    <w:rsid w:val="74D30D95"/>
    <w:rsid w:val="74F62207"/>
    <w:rsid w:val="754A4575"/>
    <w:rsid w:val="75745F30"/>
    <w:rsid w:val="75CC5684"/>
    <w:rsid w:val="75EA0116"/>
    <w:rsid w:val="75F137C1"/>
    <w:rsid w:val="75F4073D"/>
    <w:rsid w:val="76021F59"/>
    <w:rsid w:val="765B1419"/>
    <w:rsid w:val="76652961"/>
    <w:rsid w:val="76971CDF"/>
    <w:rsid w:val="769D4069"/>
    <w:rsid w:val="76AA5144"/>
    <w:rsid w:val="76AC1D52"/>
    <w:rsid w:val="76F83B54"/>
    <w:rsid w:val="77296933"/>
    <w:rsid w:val="773125E2"/>
    <w:rsid w:val="77477794"/>
    <w:rsid w:val="77AC0674"/>
    <w:rsid w:val="77CE2B57"/>
    <w:rsid w:val="77E43DD2"/>
    <w:rsid w:val="77F6075E"/>
    <w:rsid w:val="78151A26"/>
    <w:rsid w:val="78286AF7"/>
    <w:rsid w:val="782D3663"/>
    <w:rsid w:val="785A1365"/>
    <w:rsid w:val="78745D21"/>
    <w:rsid w:val="788829E6"/>
    <w:rsid w:val="789B7702"/>
    <w:rsid w:val="78BA03C6"/>
    <w:rsid w:val="78E11465"/>
    <w:rsid w:val="78F6798A"/>
    <w:rsid w:val="79245B85"/>
    <w:rsid w:val="796C0923"/>
    <w:rsid w:val="798D0AD2"/>
    <w:rsid w:val="79A41C7C"/>
    <w:rsid w:val="79A739DC"/>
    <w:rsid w:val="7A1C65EB"/>
    <w:rsid w:val="7A5C14FD"/>
    <w:rsid w:val="7A60175F"/>
    <w:rsid w:val="7A89707E"/>
    <w:rsid w:val="7A951FC7"/>
    <w:rsid w:val="7A972789"/>
    <w:rsid w:val="7AD54C34"/>
    <w:rsid w:val="7B020435"/>
    <w:rsid w:val="7B103C8D"/>
    <w:rsid w:val="7B214B9C"/>
    <w:rsid w:val="7B7D212A"/>
    <w:rsid w:val="7B9D1438"/>
    <w:rsid w:val="7BA831B4"/>
    <w:rsid w:val="7BA86FCC"/>
    <w:rsid w:val="7BF01892"/>
    <w:rsid w:val="7C1A1061"/>
    <w:rsid w:val="7C28417F"/>
    <w:rsid w:val="7C362405"/>
    <w:rsid w:val="7C632338"/>
    <w:rsid w:val="7C691EE7"/>
    <w:rsid w:val="7C7D7BB2"/>
    <w:rsid w:val="7C7E7DC7"/>
    <w:rsid w:val="7C914BDD"/>
    <w:rsid w:val="7CAF3FC0"/>
    <w:rsid w:val="7CB26258"/>
    <w:rsid w:val="7CE33D99"/>
    <w:rsid w:val="7CEB71F7"/>
    <w:rsid w:val="7CEC6459"/>
    <w:rsid w:val="7D2801DA"/>
    <w:rsid w:val="7D3A306F"/>
    <w:rsid w:val="7D4166AE"/>
    <w:rsid w:val="7DA00BB7"/>
    <w:rsid w:val="7DAF5004"/>
    <w:rsid w:val="7DC557DE"/>
    <w:rsid w:val="7DF1189C"/>
    <w:rsid w:val="7E197D90"/>
    <w:rsid w:val="7E21461F"/>
    <w:rsid w:val="7E29605A"/>
    <w:rsid w:val="7E390F3B"/>
    <w:rsid w:val="7E4F0A8F"/>
    <w:rsid w:val="7E615386"/>
    <w:rsid w:val="7E63219A"/>
    <w:rsid w:val="7E6E2BF3"/>
    <w:rsid w:val="7E953069"/>
    <w:rsid w:val="7EA54692"/>
    <w:rsid w:val="7EC02B06"/>
    <w:rsid w:val="7EF224DE"/>
    <w:rsid w:val="7EFF2C85"/>
    <w:rsid w:val="7F99375C"/>
    <w:rsid w:val="7FAF7D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99"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qFormat="1" w:uiPriority="0" w:name="Body Text Indent 2"/>
    <w:lsdException w:uiPriority="0" w:name="Body Text Indent 3"/>
    <w:lsdException w:qFormat="1" w:unhideWhenUsed="0" w:uiPriority="99"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numPr>
        <w:ilvl w:val="1"/>
        <w:numId w:val="1"/>
      </w:numPr>
      <w:spacing w:line="413" w:lineRule="auto"/>
      <w:outlineLvl w:val="1"/>
    </w:pPr>
    <w:rPr>
      <w:rFonts w:ascii="Arial" w:hAnsi="Arial"/>
      <w:b/>
      <w:kern w:val="0"/>
      <w:sz w:val="32"/>
      <w:szCs w:val="24"/>
    </w:rPr>
  </w:style>
  <w:style w:type="paragraph" w:styleId="7">
    <w:name w:val="heading 3"/>
    <w:basedOn w:val="1"/>
    <w:next w:val="1"/>
    <w:qFormat/>
    <w:uiPriority w:val="9"/>
    <w:pPr>
      <w:keepNext/>
      <w:keepLines/>
      <w:spacing w:before="260" w:after="260" w:line="416" w:lineRule="auto"/>
      <w:outlineLvl w:val="2"/>
    </w:pPr>
    <w:rPr>
      <w:b/>
      <w:bCs/>
      <w:sz w:val="32"/>
      <w:szCs w:val="32"/>
    </w:rPr>
  </w:style>
  <w:style w:type="paragraph" w:styleId="8">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qFormat/>
    <w:uiPriority w:val="0"/>
    <w:pPr>
      <w:keepNext/>
      <w:keepLines/>
      <w:spacing w:before="280" w:after="290" w:line="372" w:lineRule="auto"/>
      <w:outlineLvl w:val="4"/>
    </w:pPr>
    <w:rPr>
      <w:rFonts w:ascii="仿宋_GB2312" w:hAnsi="Tahoma"/>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autoSpaceDE w:val="0"/>
      <w:autoSpaceDN w:val="0"/>
      <w:adjustRightInd w:val="0"/>
      <w:ind w:firstLine="420" w:firstLineChars="100"/>
      <w:jc w:val="left"/>
    </w:pPr>
    <w:rPr>
      <w:rFonts w:ascii="仿宋_GB2312"/>
      <w:b/>
      <w:kern w:val="0"/>
      <w:sz w:val="32"/>
      <w:szCs w:val="32"/>
    </w:rPr>
  </w:style>
  <w:style w:type="paragraph" w:styleId="3">
    <w:name w:val="Body Text"/>
    <w:basedOn w:val="1"/>
    <w:next w:val="2"/>
    <w:qFormat/>
    <w:uiPriority w:val="0"/>
    <w:pPr>
      <w:spacing w:after="120"/>
    </w:pPr>
  </w:style>
  <w:style w:type="paragraph" w:styleId="4">
    <w:name w:val="toc 6"/>
    <w:basedOn w:val="1"/>
    <w:next w:val="1"/>
    <w:qFormat/>
    <w:uiPriority w:val="0"/>
    <w:pPr>
      <w:autoSpaceDE w:val="0"/>
      <w:autoSpaceDN w:val="0"/>
      <w:adjustRightInd w:val="0"/>
      <w:ind w:left="2100" w:leftChars="1000"/>
      <w:jc w:val="left"/>
    </w:pPr>
    <w:rPr>
      <w:kern w:val="0"/>
      <w:sz w:val="20"/>
      <w:szCs w:val="20"/>
    </w:rPr>
  </w:style>
  <w:style w:type="paragraph" w:styleId="10">
    <w:name w:val="Normal Indent"/>
    <w:basedOn w:val="1"/>
    <w:link w:val="72"/>
    <w:qFormat/>
    <w:uiPriority w:val="0"/>
    <w:pPr>
      <w:adjustRightInd w:val="0"/>
      <w:spacing w:line="312" w:lineRule="atLeast"/>
      <w:ind w:firstLine="420"/>
      <w:textAlignment w:val="baseline"/>
    </w:pPr>
    <w:rPr>
      <w:rFonts w:ascii="宋体" w:hAnsi="Courier New"/>
      <w:kern w:val="0"/>
    </w:rPr>
  </w:style>
  <w:style w:type="paragraph" w:styleId="11">
    <w:name w:val="annotation text"/>
    <w:basedOn w:val="1"/>
    <w:link w:val="38"/>
    <w:qFormat/>
    <w:uiPriority w:val="0"/>
    <w:pPr>
      <w:jc w:val="left"/>
    </w:pPr>
  </w:style>
  <w:style w:type="paragraph" w:styleId="12">
    <w:name w:val="Body Text Indent"/>
    <w:basedOn w:val="1"/>
    <w:qFormat/>
    <w:uiPriority w:val="0"/>
    <w:pPr>
      <w:ind w:left="480" w:hanging="480" w:hangingChars="200"/>
    </w:pPr>
    <w:rPr>
      <w:sz w:val="24"/>
    </w:rPr>
  </w:style>
  <w:style w:type="paragraph" w:styleId="13">
    <w:name w:val="List 2"/>
    <w:basedOn w:val="1"/>
    <w:qFormat/>
    <w:uiPriority w:val="99"/>
    <w:pPr>
      <w:ind w:left="100" w:leftChars="200" w:hanging="200" w:hangingChars="200"/>
    </w:pPr>
    <w:rPr>
      <w:sz w:val="28"/>
      <w:szCs w:val="28"/>
    </w:rPr>
  </w:style>
  <w:style w:type="paragraph" w:styleId="14">
    <w:name w:val="Block Text"/>
    <w:basedOn w:val="1"/>
    <w:qFormat/>
    <w:uiPriority w:val="99"/>
    <w:pPr>
      <w:spacing w:after="120"/>
      <w:ind w:left="1440" w:leftChars="700" w:right="1440" w:rightChars="700"/>
    </w:pPr>
  </w:style>
  <w:style w:type="paragraph" w:styleId="15">
    <w:name w:val="Plain Text"/>
    <w:basedOn w:val="1"/>
    <w:link w:val="40"/>
    <w:qFormat/>
    <w:uiPriority w:val="0"/>
    <w:pPr>
      <w:widowControl/>
      <w:overflowPunct w:val="0"/>
      <w:autoSpaceDE w:val="0"/>
      <w:autoSpaceDN w:val="0"/>
      <w:adjustRightInd w:val="0"/>
      <w:jc w:val="left"/>
      <w:textAlignment w:val="baseline"/>
    </w:pPr>
    <w:rPr>
      <w:rFonts w:ascii="宋体" w:hAnsi="Courier New"/>
      <w:sz w:val="24"/>
    </w:rPr>
  </w:style>
  <w:style w:type="paragraph" w:styleId="16">
    <w:name w:val="Date"/>
    <w:basedOn w:val="1"/>
    <w:next w:val="1"/>
    <w:qFormat/>
    <w:uiPriority w:val="0"/>
    <w:pPr>
      <w:ind w:left="2500" w:leftChars="2500"/>
    </w:pPr>
    <w:rPr>
      <w:rFonts w:eastAsia="楷体_GB2312"/>
      <w:sz w:val="32"/>
      <w:szCs w:val="20"/>
    </w:rPr>
  </w:style>
  <w:style w:type="paragraph" w:styleId="17">
    <w:name w:val="Body Text Indent 2"/>
    <w:basedOn w:val="1"/>
    <w:link w:val="71"/>
    <w:semiHidden/>
    <w:unhideWhenUsed/>
    <w:qFormat/>
    <w:uiPriority w:val="0"/>
    <w:pPr>
      <w:spacing w:after="120" w:line="480" w:lineRule="auto"/>
      <w:ind w:left="420" w:leftChars="200"/>
    </w:pPr>
  </w:style>
  <w:style w:type="paragraph" w:styleId="18">
    <w:name w:val="Balloon Text"/>
    <w:basedOn w:val="1"/>
    <w:link w:val="41"/>
    <w:qFormat/>
    <w:uiPriority w:val="0"/>
    <w:rPr>
      <w:sz w:val="18"/>
      <w:szCs w:val="18"/>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qFormat/>
    <w:uiPriority w:val="99"/>
    <w:pPr>
      <w:pBdr>
        <w:bottom w:val="single" w:color="auto" w:sz="6" w:space="1"/>
      </w:pBdr>
      <w:tabs>
        <w:tab w:val="center" w:pos="4153"/>
        <w:tab w:val="right" w:pos="8306"/>
      </w:tabs>
      <w:snapToGrid w:val="0"/>
      <w:jc w:val="center"/>
    </w:pPr>
    <w:rPr>
      <w:sz w:val="18"/>
    </w:rPr>
  </w:style>
  <w:style w:type="paragraph" w:styleId="21">
    <w:name w:val="toc 1"/>
    <w:basedOn w:val="1"/>
    <w:next w:val="1"/>
    <w:qFormat/>
    <w:uiPriority w:val="39"/>
    <w:pPr>
      <w:spacing w:before="120" w:after="120"/>
      <w:jc w:val="left"/>
    </w:pPr>
    <w:rPr>
      <w:b/>
      <w:bCs/>
      <w:caps/>
      <w:sz w:val="20"/>
      <w:szCs w:val="20"/>
    </w:rPr>
  </w:style>
  <w:style w:type="paragraph" w:styleId="22">
    <w:name w:val="List"/>
    <w:basedOn w:val="1"/>
    <w:qFormat/>
    <w:uiPriority w:val="0"/>
    <w:pPr>
      <w:ind w:left="200" w:hanging="200" w:hangingChars="200"/>
    </w:pPr>
  </w:style>
  <w:style w:type="paragraph" w:styleId="23">
    <w:name w:val="footnote text"/>
    <w:basedOn w:val="1"/>
    <w:qFormat/>
    <w:uiPriority w:val="99"/>
    <w:pPr>
      <w:snapToGrid w:val="0"/>
      <w:jc w:val="left"/>
    </w:pPr>
    <w:rPr>
      <w:sz w:val="18"/>
    </w:r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5">
    <w:name w:val="Title"/>
    <w:basedOn w:val="1"/>
    <w:qFormat/>
    <w:uiPriority w:val="0"/>
    <w:pPr>
      <w:spacing w:before="240" w:after="60"/>
      <w:jc w:val="center"/>
      <w:outlineLvl w:val="0"/>
    </w:pPr>
    <w:rPr>
      <w:rFonts w:ascii="Arial" w:hAnsi="Arial"/>
      <w:sz w:val="32"/>
      <w:szCs w:val="32"/>
    </w:rPr>
  </w:style>
  <w:style w:type="paragraph" w:styleId="26">
    <w:name w:val="annotation subject"/>
    <w:basedOn w:val="11"/>
    <w:next w:val="11"/>
    <w:link w:val="42"/>
    <w:qFormat/>
    <w:uiPriority w:val="0"/>
    <w:rPr>
      <w:b/>
      <w:bCs/>
    </w:rPr>
  </w:style>
  <w:style w:type="paragraph" w:styleId="27">
    <w:name w:val="Body Text First Indent 2"/>
    <w:basedOn w:val="12"/>
    <w:unhideWhenUsed/>
    <w:qFormat/>
    <w:uiPriority w:val="99"/>
    <w:pPr>
      <w:ind w:firstLine="420"/>
    </w:pPr>
  </w:style>
  <w:style w:type="table" w:styleId="29">
    <w:name w:val="Table Grid"/>
    <w:basedOn w:val="2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1">
    <w:name w:val="Strong"/>
    <w:basedOn w:val="30"/>
    <w:qFormat/>
    <w:uiPriority w:val="0"/>
    <w:rPr>
      <w:b/>
    </w:rPr>
  </w:style>
  <w:style w:type="character" w:styleId="32">
    <w:name w:val="Hyperlink"/>
    <w:basedOn w:val="30"/>
    <w:qFormat/>
    <w:uiPriority w:val="0"/>
  </w:style>
  <w:style w:type="character" w:styleId="33">
    <w:name w:val="annotation reference"/>
    <w:qFormat/>
    <w:uiPriority w:val="0"/>
    <w:rPr>
      <w:sz w:val="21"/>
      <w:szCs w:val="21"/>
    </w:rPr>
  </w:style>
  <w:style w:type="character" w:styleId="34">
    <w:name w:val="footnote reference"/>
    <w:basedOn w:val="30"/>
    <w:qFormat/>
    <w:uiPriority w:val="99"/>
    <w:rPr>
      <w:rFonts w:cs="Times New Roman"/>
      <w:vertAlign w:val="superscript"/>
    </w:rPr>
  </w:style>
  <w:style w:type="paragraph" w:customStyle="1" w:styleId="35">
    <w:name w:val="表格文字"/>
    <w:basedOn w:val="1"/>
    <w:next w:val="3"/>
    <w:qFormat/>
    <w:uiPriority w:val="0"/>
    <w:pPr>
      <w:adjustRightInd w:val="0"/>
      <w:spacing w:line="420" w:lineRule="atLeast"/>
      <w:jc w:val="left"/>
      <w:textAlignment w:val="baseline"/>
    </w:pPr>
    <w:rPr>
      <w:kern w:val="0"/>
      <w:szCs w:val="24"/>
    </w:rPr>
  </w:style>
  <w:style w:type="paragraph" w:customStyle="1" w:styleId="36">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Normal]"/>
    <w:qFormat/>
    <w:uiPriority w:val="99"/>
    <w:rPr>
      <w:rFonts w:ascii="宋体" w:hAnsi="宋体" w:eastAsia="宋体" w:cs="Times New Roman"/>
      <w:sz w:val="24"/>
      <w:szCs w:val="22"/>
      <w:lang w:val="zh-CN" w:eastAsia="zh-CN" w:bidi="ar-SA"/>
    </w:rPr>
  </w:style>
  <w:style w:type="character" w:customStyle="1" w:styleId="38">
    <w:name w:val="批注文字 Char"/>
    <w:link w:val="11"/>
    <w:qFormat/>
    <w:uiPriority w:val="0"/>
    <w:rPr>
      <w:rFonts w:ascii="Times New Roman" w:hAnsi="Times New Roman" w:eastAsia="宋体" w:cs="Times New Roman"/>
      <w:kern w:val="2"/>
      <w:sz w:val="21"/>
      <w:szCs w:val="22"/>
    </w:rPr>
  </w:style>
  <w:style w:type="character" w:customStyle="1" w:styleId="39">
    <w:name w:val="font11"/>
    <w:basedOn w:val="30"/>
    <w:qFormat/>
    <w:uiPriority w:val="0"/>
    <w:rPr>
      <w:rFonts w:hint="default" w:ascii="仿宋_GB2312" w:eastAsia="仿宋_GB2312" w:cs="仿宋_GB2312"/>
      <w:color w:val="000000"/>
      <w:sz w:val="24"/>
      <w:szCs w:val="24"/>
      <w:u w:val="none"/>
    </w:rPr>
  </w:style>
  <w:style w:type="character" w:customStyle="1" w:styleId="40">
    <w:name w:val="纯文本 Char"/>
    <w:link w:val="15"/>
    <w:qFormat/>
    <w:uiPriority w:val="0"/>
    <w:rPr>
      <w:rFonts w:ascii="宋体" w:hAnsi="Courier New"/>
      <w:kern w:val="2"/>
      <w:sz w:val="24"/>
      <w:szCs w:val="22"/>
    </w:rPr>
  </w:style>
  <w:style w:type="character" w:customStyle="1" w:styleId="41">
    <w:name w:val="批注框文本 Char"/>
    <w:link w:val="18"/>
    <w:qFormat/>
    <w:uiPriority w:val="0"/>
    <w:rPr>
      <w:kern w:val="2"/>
      <w:sz w:val="18"/>
      <w:szCs w:val="18"/>
    </w:rPr>
  </w:style>
  <w:style w:type="character" w:customStyle="1" w:styleId="42">
    <w:name w:val="批注主题 Char"/>
    <w:basedOn w:val="38"/>
    <w:link w:val="26"/>
    <w:qFormat/>
    <w:uiPriority w:val="0"/>
    <w:rPr>
      <w:rFonts w:ascii="Times New Roman" w:hAnsi="Times New Roman" w:eastAsia="宋体" w:cs="Times New Roman"/>
      <w:kern w:val="2"/>
      <w:sz w:val="21"/>
      <w:szCs w:val="22"/>
    </w:rPr>
  </w:style>
  <w:style w:type="paragraph" w:customStyle="1" w:styleId="43">
    <w:name w:val="正文1"/>
    <w:basedOn w:val="1"/>
    <w:qFormat/>
    <w:uiPriority w:val="0"/>
    <w:rPr>
      <w:rFonts w:ascii="宋体" w:hAnsi="宋体" w:cs="宋体"/>
    </w:rPr>
  </w:style>
  <w:style w:type="paragraph" w:customStyle="1" w:styleId="44">
    <w:name w:val="正文2"/>
    <w:basedOn w:val="1"/>
    <w:qFormat/>
    <w:uiPriority w:val="0"/>
    <w:pPr>
      <w:spacing w:before="156" w:line="360" w:lineRule="auto"/>
      <w:ind w:firstLine="510" w:firstLineChars="200"/>
    </w:pPr>
    <w:rPr>
      <w:sz w:val="24"/>
      <w:szCs w:val="20"/>
    </w:rPr>
  </w:style>
  <w:style w:type="paragraph" w:customStyle="1" w:styleId="45">
    <w:name w:val="列表段落1"/>
    <w:basedOn w:val="1"/>
    <w:qFormat/>
    <w:uiPriority w:val="34"/>
    <w:pPr>
      <w:widowControl/>
      <w:ind w:firstLine="420" w:firstLineChars="200"/>
      <w:jc w:val="left"/>
    </w:pPr>
    <w:rPr>
      <w:rFonts w:eastAsia="微软雅黑"/>
      <w:szCs w:val="20"/>
    </w:rPr>
  </w:style>
  <w:style w:type="paragraph" w:customStyle="1" w:styleId="46">
    <w:name w:val="List Paragraph1"/>
    <w:basedOn w:val="1"/>
    <w:qFormat/>
    <w:uiPriority w:val="99"/>
    <w:pPr>
      <w:widowControl/>
      <w:ind w:firstLine="420" w:firstLineChars="200"/>
      <w:jc w:val="left"/>
    </w:pPr>
    <w:rPr>
      <w:rFonts w:ascii="宋体" w:hAnsi="宋体" w:cs="宋体"/>
      <w:kern w:val="0"/>
      <w:sz w:val="24"/>
      <w:szCs w:val="24"/>
    </w:rPr>
  </w:style>
  <w:style w:type="paragraph" w:customStyle="1" w:styleId="47">
    <w:name w:val="样式1"/>
    <w:basedOn w:val="5"/>
    <w:qFormat/>
    <w:uiPriority w:val="0"/>
    <w:pPr>
      <w:tabs>
        <w:tab w:val="left" w:pos="425"/>
      </w:tabs>
      <w:spacing w:beforeLines="50" w:line="240" w:lineRule="auto"/>
      <w:jc w:val="center"/>
    </w:pPr>
    <w:rPr>
      <w:rFonts w:ascii="宋体" w:hAnsi="宋体"/>
      <w:sz w:val="21"/>
      <w:szCs w:val="36"/>
    </w:rPr>
  </w:style>
  <w:style w:type="paragraph" w:customStyle="1" w:styleId="48">
    <w:name w:val="正文，段落，小四，22磅行距"/>
    <w:basedOn w:val="1"/>
    <w:qFormat/>
    <w:uiPriority w:val="0"/>
    <w:pPr>
      <w:spacing w:line="440" w:lineRule="exact"/>
      <w:ind w:firstLine="420"/>
    </w:pPr>
    <w:rPr>
      <w:kern w:val="0"/>
      <w:sz w:val="24"/>
      <w:szCs w:val="24"/>
    </w:rPr>
  </w:style>
  <w:style w:type="paragraph" w:customStyle="1" w:styleId="49">
    <w:name w:val="列出段落2"/>
    <w:basedOn w:val="1"/>
    <w:qFormat/>
    <w:uiPriority w:val="34"/>
    <w:pPr>
      <w:widowControl/>
      <w:ind w:firstLine="420" w:firstLineChars="200"/>
      <w:jc w:val="left"/>
    </w:pPr>
    <w:rPr>
      <w:rFonts w:eastAsia="微软雅黑"/>
      <w:szCs w:val="20"/>
    </w:rPr>
  </w:style>
  <w:style w:type="paragraph" w:customStyle="1" w:styleId="50">
    <w:name w:val="无间隔1"/>
    <w:qFormat/>
    <w:uiPriority w:val="1"/>
    <w:pPr>
      <w:widowControl w:val="0"/>
      <w:snapToGrid w:val="0"/>
      <w:jc w:val="both"/>
    </w:pPr>
    <w:rPr>
      <w:rFonts w:ascii="Calibri" w:hAnsi="Calibri" w:eastAsia="宋体" w:cs="Times New Roman"/>
      <w:kern w:val="2"/>
      <w:sz w:val="21"/>
      <w:szCs w:val="24"/>
      <w:lang w:val="en-US" w:eastAsia="zh-CN" w:bidi="ar-SA"/>
    </w:rPr>
  </w:style>
  <w:style w:type="paragraph" w:customStyle="1" w:styleId="51">
    <w:name w:val="偏离表"/>
    <w:basedOn w:val="1"/>
    <w:qFormat/>
    <w:uiPriority w:val="0"/>
    <w:pPr>
      <w:jc w:val="center"/>
    </w:pPr>
    <w:rPr>
      <w:sz w:val="18"/>
    </w:rPr>
  </w:style>
  <w:style w:type="paragraph" w:customStyle="1" w:styleId="52">
    <w:name w:val="正文_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53">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54">
    <w:name w:val="默认段落字体 Para Char Char Char Char Char Char Char Char Char1 Char Char Char Char"/>
    <w:basedOn w:val="1"/>
    <w:qFormat/>
    <w:uiPriority w:val="99"/>
    <w:rPr>
      <w:rFonts w:ascii="Tahoma" w:hAnsi="Tahoma" w:cs="Tahoma"/>
      <w:sz w:val="24"/>
      <w:szCs w:val="24"/>
    </w:rPr>
  </w:style>
  <w:style w:type="paragraph" w:customStyle="1" w:styleId="55">
    <w:name w:val="列出段落1"/>
    <w:basedOn w:val="1"/>
    <w:qFormat/>
    <w:uiPriority w:val="99"/>
    <w:pPr>
      <w:ind w:firstLine="420" w:firstLineChars="200"/>
    </w:pPr>
  </w:style>
  <w:style w:type="paragraph" w:customStyle="1" w:styleId="56">
    <w:name w:val="首行缩进"/>
    <w:basedOn w:val="1"/>
    <w:qFormat/>
    <w:uiPriority w:val="0"/>
    <w:pPr>
      <w:spacing w:line="360" w:lineRule="auto"/>
      <w:ind w:firstLine="420"/>
    </w:pPr>
    <w:rPr>
      <w:rFonts w:cs="宋体"/>
      <w:szCs w:val="20"/>
    </w:rPr>
  </w:style>
  <w:style w:type="paragraph" w:customStyle="1" w:styleId="57">
    <w:name w:val="纯文本2"/>
    <w:basedOn w:val="58"/>
    <w:qFormat/>
    <w:uiPriority w:val="0"/>
    <w:pPr>
      <w:widowControl/>
      <w:jc w:val="left"/>
    </w:pPr>
    <w:rPr>
      <w:rFonts w:ascii="宋体" w:hAnsi="Courier New"/>
    </w:rPr>
  </w:style>
  <w:style w:type="paragraph" w:customStyle="1" w:styleId="58">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9">
    <w:name w:val="纯文本 New New"/>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60">
    <w:name w:val="Plain Text1"/>
    <w:basedOn w:val="61"/>
    <w:qFormat/>
    <w:uiPriority w:val="99"/>
    <w:pPr>
      <w:adjustRightInd w:val="0"/>
    </w:pPr>
    <w:rPr>
      <w:rFonts w:hint="eastAsia" w:ascii="宋体" w:hAnsi="Courier New" w:eastAsia="楷体_GB2312"/>
      <w:sz w:val="28"/>
    </w:rPr>
  </w:style>
  <w:style w:type="paragraph" w:customStyle="1" w:styleId="61">
    <w:name w:val="Normal1"/>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62">
    <w:name w:val="font41"/>
    <w:basedOn w:val="30"/>
    <w:qFormat/>
    <w:uiPriority w:val="0"/>
    <w:rPr>
      <w:rFonts w:hint="eastAsia" w:ascii="微软雅黑" w:hAnsi="微软雅黑" w:eastAsia="微软雅黑" w:cs="微软雅黑"/>
      <w:color w:val="000000"/>
      <w:sz w:val="18"/>
      <w:szCs w:val="18"/>
      <w:u w:val="none"/>
    </w:rPr>
  </w:style>
  <w:style w:type="character" w:customStyle="1" w:styleId="63">
    <w:name w:val="font121"/>
    <w:basedOn w:val="30"/>
    <w:qFormat/>
    <w:uiPriority w:val="0"/>
    <w:rPr>
      <w:rFonts w:ascii="Calibri" w:hAnsi="Calibri" w:cs="Calibri"/>
      <w:color w:val="000000"/>
      <w:sz w:val="18"/>
      <w:szCs w:val="18"/>
      <w:u w:val="none"/>
    </w:rPr>
  </w:style>
  <w:style w:type="character" w:customStyle="1" w:styleId="64">
    <w:name w:val="font21"/>
    <w:basedOn w:val="30"/>
    <w:qFormat/>
    <w:uiPriority w:val="0"/>
    <w:rPr>
      <w:rFonts w:hint="eastAsia" w:ascii="宋体" w:hAnsi="宋体" w:eastAsia="宋体" w:cs="宋体"/>
      <w:b/>
      <w:color w:val="000000"/>
      <w:sz w:val="22"/>
      <w:szCs w:val="22"/>
      <w:u w:val="none"/>
    </w:rPr>
  </w:style>
  <w:style w:type="paragraph" w:styleId="65">
    <w:name w:val="List Paragraph"/>
    <w:basedOn w:val="1"/>
    <w:qFormat/>
    <w:uiPriority w:val="99"/>
    <w:pPr>
      <w:ind w:firstLine="420" w:firstLineChars="200"/>
    </w:pPr>
  </w:style>
  <w:style w:type="paragraph" w:customStyle="1" w:styleId="66">
    <w:name w:val="Body text|3"/>
    <w:basedOn w:val="1"/>
    <w:qFormat/>
    <w:uiPriority w:val="0"/>
    <w:pPr>
      <w:spacing w:after="380"/>
      <w:jc w:val="center"/>
    </w:pPr>
    <w:rPr>
      <w:rFonts w:ascii="宋体" w:hAnsi="宋体" w:cs="宋体"/>
      <w:sz w:val="26"/>
      <w:szCs w:val="26"/>
      <w:lang w:val="zh-TW" w:eastAsia="zh-TW" w:bidi="zh-TW"/>
    </w:rPr>
  </w:style>
  <w:style w:type="paragraph" w:customStyle="1" w:styleId="67">
    <w:name w:val="Body text|1"/>
    <w:basedOn w:val="1"/>
    <w:qFormat/>
    <w:uiPriority w:val="0"/>
    <w:pPr>
      <w:spacing w:line="360" w:lineRule="auto"/>
      <w:ind w:firstLine="400"/>
    </w:pPr>
    <w:rPr>
      <w:rFonts w:ascii="宋体" w:hAnsi="宋体" w:cs="宋体"/>
      <w:sz w:val="22"/>
      <w:lang w:val="zh-TW" w:eastAsia="zh-TW" w:bidi="zh-TW"/>
    </w:rPr>
  </w:style>
  <w:style w:type="character" w:customStyle="1" w:styleId="68">
    <w:name w:val="font31"/>
    <w:basedOn w:val="30"/>
    <w:qFormat/>
    <w:uiPriority w:val="0"/>
    <w:rPr>
      <w:rFonts w:hint="default" w:ascii="Calibri" w:hAnsi="Calibri" w:cs="Calibri"/>
      <w:color w:val="000000"/>
      <w:sz w:val="24"/>
      <w:szCs w:val="24"/>
      <w:u w:val="none"/>
    </w:rPr>
  </w:style>
  <w:style w:type="paragraph" w:customStyle="1" w:styleId="69">
    <w:name w:val="样式 首行缩进:  2 字符"/>
    <w:basedOn w:val="1"/>
    <w:qFormat/>
    <w:uiPriority w:val="0"/>
    <w:pPr>
      <w:spacing w:line="360" w:lineRule="auto"/>
      <w:ind w:firstLine="480" w:firstLineChars="200"/>
    </w:pPr>
    <w:rPr>
      <w:rFonts w:ascii="宋体" w:hAnsi="宋体" w:cs="宋体"/>
      <w:color w:val="000000"/>
      <w:sz w:val="24"/>
    </w:rPr>
  </w:style>
  <w:style w:type="paragraph" w:customStyle="1" w:styleId="70">
    <w:name w:val="Table Paragraph"/>
    <w:basedOn w:val="1"/>
    <w:unhideWhenUsed/>
    <w:qFormat/>
    <w:uiPriority w:val="1"/>
    <w:rPr>
      <w:rFonts w:hint="eastAsia"/>
      <w:sz w:val="24"/>
    </w:rPr>
  </w:style>
  <w:style w:type="character" w:customStyle="1" w:styleId="71">
    <w:name w:val="正文文本缩进 2 Char"/>
    <w:basedOn w:val="30"/>
    <w:link w:val="17"/>
    <w:semiHidden/>
    <w:qFormat/>
    <w:uiPriority w:val="0"/>
    <w:rPr>
      <w:rFonts w:ascii="Calibri" w:hAnsi="Calibri"/>
      <w:kern w:val="2"/>
      <w:sz w:val="21"/>
      <w:szCs w:val="22"/>
    </w:rPr>
  </w:style>
  <w:style w:type="character" w:customStyle="1" w:styleId="72">
    <w:name w:val="正文缩进 Char"/>
    <w:link w:val="10"/>
    <w:qFormat/>
    <w:uiPriority w:val="0"/>
    <w:rPr>
      <w:rFonts w:ascii="宋体" w:hAnsi="Courier New"/>
      <w:sz w:val="21"/>
      <w:szCs w:val="22"/>
    </w:rPr>
  </w:style>
  <w:style w:type="character" w:customStyle="1" w:styleId="73">
    <w:name w:val="font01"/>
    <w:basedOn w:val="30"/>
    <w:qFormat/>
    <w:uiPriority w:val="0"/>
    <w:rPr>
      <w:rFonts w:hint="eastAsia" w:ascii="宋体" w:hAnsi="宋体" w:eastAsia="宋体" w:cs="宋体"/>
      <w:color w:val="000000"/>
      <w:sz w:val="12"/>
      <w:szCs w:val="1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2.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0C1F7F-F6D1-4E1C-B16E-74319157BF5D}">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79</Pages>
  <Words>48526</Words>
  <Characters>52066</Characters>
  <Lines>332</Lines>
  <Paragraphs>93</Paragraphs>
  <TotalTime>16</TotalTime>
  <ScaleCrop>false</ScaleCrop>
  <LinksUpToDate>false</LinksUpToDate>
  <CharactersWithSpaces>54721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2020-08-27T03:35:00Z</dcterms:created>
  <dc:creator>Administrator</dc:creator>
  <cp:lastModifiedBy>温州市建设工程咨询有限公司</cp:lastModifiedBy>
  <cp:lastPrinted>2022-02-14T07:00:00Z</cp:lastPrinted>
  <dcterms:modified xsi:type="dcterms:W3CDTF">2023-04-11T03:36:17Z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7A5A8D69CF20408FB5748D490740C45D</vt:lpwstr>
  </property>
</Properties>
</file>