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宋体" w:hAnsi="宋体" w:eastAsia="宋体" w:cs="宋体"/>
          <w:b/>
          <w:bCs/>
          <w:color w:val="auto"/>
          <w:sz w:val="52"/>
          <w:szCs w:val="52"/>
          <w:highlight w:val="none"/>
        </w:rPr>
      </w:pPr>
      <w:r>
        <w:rPr>
          <w:rFonts w:hint="eastAsia" w:ascii="宋体" w:hAnsi="宋体" w:eastAsia="宋体" w:cs="宋体"/>
          <w:color w:val="auto"/>
          <w:spacing w:val="20"/>
          <w:sz w:val="84"/>
          <w:highlight w:val="none"/>
        </w:rPr>
        <w:t>温州市政府（分散）采购</w:t>
      </w:r>
    </w:p>
    <w:p>
      <w:pPr>
        <w:jc w:val="center"/>
        <w:rPr>
          <w:rFonts w:hint="eastAsia" w:ascii="宋体" w:hAnsi="宋体" w:eastAsia="宋体" w:cs="宋体"/>
          <w:b/>
          <w:bCs/>
          <w:color w:val="auto"/>
          <w:spacing w:val="26"/>
          <w:sz w:val="52"/>
          <w:highlight w:val="none"/>
        </w:rPr>
      </w:pPr>
    </w:p>
    <w:p>
      <w:pPr>
        <w:ind w:firstLine="2357" w:firstLineChars="235"/>
        <w:rPr>
          <w:rFonts w:hint="eastAsia" w:ascii="宋体" w:hAnsi="宋体" w:eastAsia="宋体" w:cs="宋体"/>
          <w:b/>
          <w:bCs/>
          <w:color w:val="auto"/>
          <w:spacing w:val="140"/>
          <w:sz w:val="72"/>
          <w:highlight w:val="none"/>
        </w:rPr>
      </w:pPr>
    </w:p>
    <w:p>
      <w:pPr>
        <w:adjustRightInd w:val="0"/>
        <w:snapToGrid w:val="0"/>
        <w:spacing w:line="480" w:lineRule="auto"/>
        <w:ind w:right="361"/>
        <w:jc w:val="center"/>
        <w:rPr>
          <w:rFonts w:hint="eastAsia" w:ascii="宋体" w:hAnsi="宋体" w:eastAsia="宋体" w:cs="宋体"/>
          <w:b w:val="0"/>
          <w:bCs w:val="0"/>
          <w:color w:val="auto"/>
          <w:sz w:val="72"/>
          <w:szCs w:val="72"/>
          <w:highlight w:val="none"/>
        </w:rPr>
      </w:pPr>
      <w:r>
        <w:rPr>
          <w:rFonts w:hint="eastAsia" w:ascii="宋体" w:hAnsi="宋体" w:eastAsia="宋体" w:cs="宋体"/>
          <w:b w:val="0"/>
          <w:bCs w:val="0"/>
          <w:color w:val="auto"/>
          <w:sz w:val="72"/>
          <w:szCs w:val="72"/>
          <w:highlight w:val="none"/>
        </w:rPr>
        <w:t>招 标 文 件</w:t>
      </w:r>
    </w:p>
    <w:tbl>
      <w:tblPr>
        <w:tblStyle w:val="54"/>
        <w:tblW w:w="0" w:type="auto"/>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5"/>
        <w:gridCol w:w="6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编 号</w:t>
            </w:r>
            <w:r>
              <w:rPr>
                <w:rFonts w:hint="eastAsia" w:ascii="宋体" w:hAnsi="宋体" w:eastAsia="宋体" w:cs="宋体"/>
                <w:b w:val="0"/>
                <w:bCs w:val="0"/>
                <w:color w:val="auto"/>
                <w:spacing w:val="40"/>
                <w:sz w:val="28"/>
                <w:highlight w:val="none"/>
              </w:rPr>
              <w:t>：</w:t>
            </w:r>
          </w:p>
        </w:tc>
        <w:tc>
          <w:tcPr>
            <w:tcW w:w="6107" w:type="dxa"/>
            <w:vAlign w:val="center"/>
          </w:tcPr>
          <w:p>
            <w:pPr>
              <w:spacing w:line="700" w:lineRule="exact"/>
              <w:jc w:val="center"/>
              <w:rPr>
                <w:rFonts w:hint="eastAsia" w:ascii="宋体" w:hAnsi="宋体" w:eastAsia="宋体" w:cs="宋体"/>
                <w:b w:val="0"/>
                <w:bCs w:val="0"/>
                <w:color w:val="auto"/>
                <w:sz w:val="24"/>
                <w:highlight w:val="none"/>
                <w:vertAlign w:val="baseline"/>
                <w:lang w:eastAsia="zh-CN"/>
              </w:rPr>
            </w:pPr>
            <w:r>
              <w:rPr>
                <w:rFonts w:hint="eastAsia" w:ascii="宋体" w:hAnsi="宋体" w:cs="宋体"/>
                <w:b w:val="0"/>
                <w:bCs w:val="0"/>
                <w:color w:val="auto"/>
                <w:spacing w:val="40"/>
                <w:sz w:val="28"/>
                <w:highlight w:val="none"/>
                <w:lang w:eastAsia="zh-CN"/>
              </w:rPr>
              <w:t>WZLCZB（W）-2024-04083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名 称：</w:t>
            </w:r>
          </w:p>
        </w:tc>
        <w:tc>
          <w:tcPr>
            <w:tcW w:w="6107"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cs="宋体"/>
                <w:b w:val="0"/>
                <w:bCs w:val="0"/>
                <w:color w:val="auto"/>
                <w:sz w:val="30"/>
                <w:szCs w:val="30"/>
                <w:highlight w:val="none"/>
                <w:lang w:eastAsia="zh-CN"/>
              </w:rPr>
              <w:t>2024年职工疗休养服务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采 购 方 式：</w:t>
            </w:r>
          </w:p>
        </w:tc>
        <w:tc>
          <w:tcPr>
            <w:tcW w:w="6107"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评 审 方 式：</w:t>
            </w:r>
          </w:p>
        </w:tc>
        <w:tc>
          <w:tcPr>
            <w:tcW w:w="6107"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线上电子招投标</w:t>
            </w:r>
          </w:p>
        </w:tc>
      </w:tr>
    </w:tbl>
    <w:p>
      <w:pPr>
        <w:spacing w:line="700" w:lineRule="exact"/>
        <w:ind w:firstLine="723" w:firstLineChars="300"/>
        <w:jc w:val="left"/>
        <w:rPr>
          <w:rFonts w:hint="eastAsia" w:ascii="宋体" w:hAnsi="宋体" w:eastAsia="宋体" w:cs="宋体"/>
          <w:b/>
          <w:bCs/>
          <w:color w:val="auto"/>
          <w:sz w:val="24"/>
          <w:highlight w:val="none"/>
        </w:rPr>
      </w:pPr>
    </w:p>
    <w:p>
      <w:pPr>
        <w:spacing w:line="700" w:lineRule="exact"/>
        <w:ind w:firstLine="904" w:firstLineChars="300"/>
        <w:jc w:val="left"/>
        <w:rPr>
          <w:rFonts w:hint="eastAsia" w:ascii="宋体" w:hAnsi="宋体" w:eastAsia="宋体" w:cs="宋体"/>
          <w:b/>
          <w:color w:val="auto"/>
          <w:spacing w:val="40"/>
          <w:sz w:val="30"/>
          <w:szCs w:val="30"/>
          <w:highlight w:val="none"/>
        </w:rPr>
      </w:pPr>
      <w:r>
        <w:rPr>
          <w:rFonts w:hint="eastAsia" w:ascii="宋体" w:hAnsi="宋体" w:eastAsia="宋体" w:cs="宋体"/>
          <w:b/>
          <w:bCs/>
          <w:color w:val="auto"/>
          <w:sz w:val="30"/>
          <w:szCs w:val="30"/>
          <w:highlight w:val="none"/>
          <w:lang w:eastAsia="zh-CN"/>
        </w:rPr>
        <w:t xml:space="preserve">   </w:t>
      </w:r>
      <w:r>
        <w:rPr>
          <w:rFonts w:hint="eastAsia" w:ascii="宋体" w:hAnsi="宋体" w:eastAsia="宋体" w:cs="宋体"/>
          <w:b/>
          <w:bCs/>
          <w:color w:val="auto"/>
          <w:sz w:val="30"/>
          <w:szCs w:val="30"/>
          <w:highlight w:val="none"/>
        </w:rPr>
        <w:t xml:space="preserve">  </w:t>
      </w:r>
    </w:p>
    <w:p>
      <w:pPr>
        <w:spacing w:line="700" w:lineRule="exact"/>
        <w:ind w:left="3802" w:leftChars="540" w:hanging="2668" w:hangingChars="700"/>
        <w:rPr>
          <w:rFonts w:hint="eastAsia" w:ascii="宋体" w:hAnsi="宋体" w:eastAsia="宋体" w:cs="宋体"/>
          <w:b/>
          <w:color w:val="auto"/>
          <w:spacing w:val="40"/>
          <w:sz w:val="30"/>
          <w:szCs w:val="30"/>
          <w:highlight w:val="none"/>
        </w:rPr>
      </w:pPr>
    </w:p>
    <w:p>
      <w:pPr>
        <w:keepNext/>
        <w:spacing w:line="700" w:lineRule="exact"/>
        <w:rPr>
          <w:rFonts w:hint="eastAsia" w:ascii="宋体" w:hAnsi="宋体" w:eastAsia="宋体" w:cs="宋体"/>
          <w:b/>
          <w:color w:val="auto"/>
          <w:spacing w:val="40"/>
          <w:sz w:val="30"/>
          <w:szCs w:val="30"/>
          <w:highlight w:val="none"/>
        </w:rPr>
      </w:pPr>
      <w:r>
        <w:rPr>
          <w:rFonts w:hint="eastAsia" w:ascii="宋体" w:hAnsi="宋体" w:eastAsia="宋体" w:cs="宋体"/>
          <w:b/>
          <w:color w:val="auto"/>
          <w:spacing w:val="40"/>
          <w:sz w:val="30"/>
          <w:szCs w:val="30"/>
          <w:highlight w:val="none"/>
        </w:rPr>
        <w:t xml:space="preserve">    </w:t>
      </w:r>
    </w:p>
    <w:p>
      <w:pPr>
        <w:pStyle w:val="4"/>
        <w:rPr>
          <w:rFonts w:hint="eastAsia" w:ascii="宋体" w:hAnsi="宋体" w:eastAsia="宋体" w:cs="宋体"/>
          <w:b/>
          <w:color w:val="auto"/>
          <w:spacing w:val="40"/>
          <w:sz w:val="30"/>
          <w:szCs w:val="30"/>
          <w:highlight w:val="none"/>
        </w:rPr>
      </w:pPr>
    </w:p>
    <w:p>
      <w:pPr>
        <w:rPr>
          <w:rFonts w:hint="eastAsia"/>
          <w:highlight w:val="none"/>
        </w:rPr>
      </w:pPr>
    </w:p>
    <w:p>
      <w:pPr>
        <w:spacing w:line="600" w:lineRule="exact"/>
        <w:jc w:val="center"/>
        <w:rPr>
          <w:rFonts w:hint="eastAsia" w:ascii="宋体" w:hAnsi="宋体" w:eastAsia="宋体" w:cs="宋体"/>
          <w:color w:val="000000" w:themeColor="text1"/>
          <w:spacing w:val="30"/>
          <w:sz w:val="30"/>
          <w:highlight w:val="none"/>
          <w:lang w:eastAsia="zh-CN"/>
          <w14:textFill>
            <w14:solidFill>
              <w14:schemeClr w14:val="tx1"/>
            </w14:solidFill>
          </w14:textFill>
        </w:rPr>
      </w:pPr>
      <w:r>
        <w:rPr>
          <w:rFonts w:hint="eastAsia" w:ascii="宋体" w:hAnsi="宋体" w:eastAsia="宋体" w:cs="宋体"/>
          <w:color w:val="000000" w:themeColor="text1"/>
          <w:spacing w:val="30"/>
          <w:sz w:val="30"/>
          <w:highlight w:val="none"/>
          <w14:textFill>
            <w14:solidFill>
              <w14:schemeClr w14:val="tx1"/>
            </w14:solidFill>
          </w14:textFill>
        </w:rPr>
        <w:t>招 标 人:</w:t>
      </w:r>
      <w:r>
        <w:rPr>
          <w:rFonts w:hint="eastAsia" w:ascii="宋体" w:hAnsi="宋体" w:cs="宋体"/>
          <w:color w:val="000000" w:themeColor="text1"/>
          <w:spacing w:val="30"/>
          <w:sz w:val="30"/>
          <w:highlight w:val="none"/>
          <w:lang w:eastAsia="zh-CN"/>
          <w14:textFill>
            <w14:solidFill>
              <w14:schemeClr w14:val="tx1"/>
            </w14:solidFill>
          </w14:textFill>
        </w:rPr>
        <w:t>温州市市场监督管理局</w:t>
      </w:r>
    </w:p>
    <w:p>
      <w:pPr>
        <w:spacing w:line="600" w:lineRule="exact"/>
        <w:jc w:val="center"/>
        <w:rPr>
          <w:rFonts w:hint="eastAsia" w:ascii="宋体" w:hAnsi="宋体" w:eastAsia="宋体" w:cs="宋体"/>
          <w:color w:val="000000" w:themeColor="text1"/>
          <w:spacing w:val="30"/>
          <w:sz w:val="30"/>
          <w:highlight w:val="none"/>
          <w14:textFill>
            <w14:solidFill>
              <w14:schemeClr w14:val="tx1"/>
            </w14:solidFill>
          </w14:textFill>
        </w:rPr>
      </w:pPr>
      <w:r>
        <w:rPr>
          <w:rFonts w:hint="eastAsia" w:ascii="宋体" w:hAnsi="宋体" w:eastAsia="宋体" w:cs="宋体"/>
          <w:color w:val="000000" w:themeColor="text1"/>
          <w:spacing w:val="30"/>
          <w:sz w:val="30"/>
          <w:highlight w:val="none"/>
          <w14:textFill>
            <w14:solidFill>
              <w14:schemeClr w14:val="tx1"/>
            </w14:solidFill>
          </w14:textFill>
        </w:rPr>
        <w:t>招标代理机构：温州历程招标有限公司</w:t>
      </w:r>
    </w:p>
    <w:p>
      <w:pPr>
        <w:spacing w:line="600" w:lineRule="exact"/>
        <w:jc w:val="center"/>
        <w:rPr>
          <w:rFonts w:hint="eastAsia" w:ascii="宋体" w:hAnsi="宋体" w:eastAsia="宋体" w:cs="宋体"/>
          <w:color w:val="000000" w:themeColor="text1"/>
          <w:spacing w:val="30"/>
          <w:sz w:val="30"/>
          <w:highlight w:val="none"/>
          <w14:textFill>
            <w14:solidFill>
              <w14:schemeClr w14:val="tx1"/>
            </w14:solidFill>
          </w14:textFill>
        </w:rPr>
      </w:pPr>
      <w:r>
        <w:rPr>
          <w:rFonts w:hint="eastAsia" w:ascii="宋体" w:hAnsi="宋体" w:eastAsia="宋体" w:cs="宋体"/>
          <w:color w:val="000000" w:themeColor="text1"/>
          <w:spacing w:val="30"/>
          <w:sz w:val="30"/>
          <w:highlight w:val="none"/>
          <w14:textFill>
            <w14:solidFill>
              <w14:schemeClr w14:val="tx1"/>
            </w14:solidFill>
          </w14:textFill>
        </w:rPr>
        <w:t>二0二</w:t>
      </w:r>
      <w:r>
        <w:rPr>
          <w:rFonts w:hint="eastAsia" w:ascii="宋体" w:hAnsi="宋体" w:cs="宋体"/>
          <w:color w:val="000000" w:themeColor="text1"/>
          <w:spacing w:val="30"/>
          <w:sz w:val="30"/>
          <w:highlight w:val="none"/>
          <w:lang w:val="en-US" w:eastAsia="zh-CN"/>
          <w14:textFill>
            <w14:solidFill>
              <w14:schemeClr w14:val="tx1"/>
            </w14:solidFill>
          </w14:textFill>
        </w:rPr>
        <w:t>四</w:t>
      </w:r>
      <w:r>
        <w:rPr>
          <w:rFonts w:hint="eastAsia" w:ascii="宋体" w:hAnsi="宋体" w:eastAsia="宋体" w:cs="宋体"/>
          <w:color w:val="000000" w:themeColor="text1"/>
          <w:spacing w:val="30"/>
          <w:sz w:val="30"/>
          <w:highlight w:val="none"/>
          <w14:textFill>
            <w14:solidFill>
              <w14:schemeClr w14:val="tx1"/>
            </w14:solidFill>
          </w14:textFill>
        </w:rPr>
        <w:t>年</w:t>
      </w:r>
    </w:p>
    <w:p>
      <w:pPr>
        <w:rPr>
          <w:rFonts w:hint="eastAsia"/>
          <w:highlight w:val="none"/>
        </w:rPr>
      </w:pPr>
      <w:r>
        <w:rPr>
          <w:rFonts w:hint="eastAsia" w:ascii="宋体" w:hAnsi="宋体" w:eastAsia="宋体" w:cs="宋体"/>
          <w:b/>
          <w:color w:val="auto"/>
          <w:sz w:val="36"/>
          <w:szCs w:val="36"/>
          <w:highlight w:val="none"/>
        </w:rPr>
        <w:br w:type="page"/>
      </w:r>
    </w:p>
    <w:sdt>
      <w:sdtPr>
        <w:rPr>
          <w:rFonts w:hint="eastAsia" w:ascii="宋体" w:hAnsi="宋体" w:eastAsia="宋体" w:cs="宋体"/>
          <w:kern w:val="2"/>
          <w:sz w:val="21"/>
          <w:szCs w:val="24"/>
          <w:highlight w:val="none"/>
          <w:lang w:val="en-US" w:eastAsia="zh-CN" w:bidi="ar-SA"/>
        </w:rPr>
        <w:id w:val="147459729"/>
        <w15:color w:val="DBDBDB"/>
        <w:docPartObj>
          <w:docPartGallery w:val="Table of Contents"/>
          <w:docPartUnique/>
        </w:docPartObj>
      </w:sdtPr>
      <w:sdtEndPr>
        <w:rPr>
          <w:rFonts w:hint="eastAsia" w:ascii="宋体" w:hAnsi="宋体" w:eastAsia="宋体" w:cs="宋体"/>
          <w:color w:val="auto"/>
          <w:kern w:val="2"/>
          <w:sz w:val="21"/>
          <w:szCs w:val="36"/>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highlight w:val="none"/>
            </w:rPr>
          </w:pPr>
        </w:p>
        <w:p>
          <w:pPr>
            <w:pStyle w:val="40"/>
            <w:tabs>
              <w:tab w:val="right" w:leader="dot" w:pos="9638"/>
            </w:tabs>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目  录</w:t>
          </w:r>
        </w:p>
        <w:p>
          <w:pPr>
            <w:pStyle w:val="40"/>
            <w:tabs>
              <w:tab w:val="right" w:leader="dot" w:pos="9638"/>
            </w:tabs>
            <w:spacing w:line="360" w:lineRule="auto"/>
            <w:rPr>
              <w:sz w:val="22"/>
              <w:szCs w:val="28"/>
              <w:highlight w:val="none"/>
            </w:rPr>
          </w:pPr>
          <w:r>
            <w:rPr>
              <w:rFonts w:hint="eastAsia" w:ascii="宋体" w:hAnsi="宋体" w:eastAsia="宋体" w:cs="宋体"/>
              <w:b/>
              <w:color w:val="auto"/>
              <w:sz w:val="40"/>
              <w:szCs w:val="40"/>
              <w:highlight w:val="none"/>
            </w:rPr>
            <w:fldChar w:fldCharType="begin"/>
          </w:r>
          <w:r>
            <w:rPr>
              <w:rFonts w:hint="eastAsia" w:ascii="宋体" w:hAnsi="宋体" w:eastAsia="宋体" w:cs="宋体"/>
              <w:b/>
              <w:color w:val="auto"/>
              <w:sz w:val="40"/>
              <w:szCs w:val="40"/>
              <w:highlight w:val="none"/>
            </w:rPr>
            <w:instrText xml:space="preserve">TOC \o "1-3" \h \u </w:instrText>
          </w:r>
          <w:r>
            <w:rPr>
              <w:rFonts w:hint="eastAsia" w:ascii="宋体" w:hAnsi="宋体" w:eastAsia="宋体" w:cs="宋体"/>
              <w:b/>
              <w:color w:val="auto"/>
              <w:sz w:val="40"/>
              <w:szCs w:val="40"/>
              <w:highlight w:val="none"/>
            </w:rPr>
            <w:fldChar w:fldCharType="separate"/>
          </w: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_Toc6599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招</w:t>
          </w:r>
          <w:r>
            <w:rPr>
              <w:rFonts w:hint="eastAsia" w:ascii="宋体" w:hAnsi="宋体" w:eastAsia="宋体" w:cs="宋体"/>
              <w:sz w:val="22"/>
              <w:szCs w:val="28"/>
              <w:highlight w:val="none"/>
              <w:lang w:val="en-US" w:eastAsia="zh-CN"/>
            </w:rPr>
            <w:t xml:space="preserve"> </w:t>
          </w:r>
          <w:r>
            <w:rPr>
              <w:rFonts w:hint="eastAsia" w:ascii="宋体" w:hAnsi="宋体" w:eastAsia="宋体" w:cs="宋体"/>
              <w:sz w:val="22"/>
              <w:szCs w:val="28"/>
              <w:highlight w:val="none"/>
            </w:rPr>
            <w:t>标</w:t>
          </w:r>
          <w:r>
            <w:rPr>
              <w:rFonts w:hint="eastAsia" w:ascii="宋体" w:hAnsi="宋体" w:eastAsia="宋体" w:cs="宋体"/>
              <w:sz w:val="22"/>
              <w:szCs w:val="28"/>
              <w:highlight w:val="none"/>
              <w:lang w:val="en-US" w:eastAsia="zh-CN"/>
            </w:rPr>
            <w:t xml:space="preserve"> </w:t>
          </w:r>
          <w:r>
            <w:rPr>
              <w:rFonts w:hint="eastAsia" w:ascii="宋体" w:hAnsi="宋体" w:eastAsia="宋体" w:cs="宋体"/>
              <w:sz w:val="22"/>
              <w:szCs w:val="28"/>
              <w:highlight w:val="none"/>
            </w:rPr>
            <w:t>公</w:t>
          </w:r>
          <w:r>
            <w:rPr>
              <w:rFonts w:hint="eastAsia" w:ascii="宋体" w:hAnsi="宋体" w:eastAsia="宋体" w:cs="宋体"/>
              <w:sz w:val="22"/>
              <w:szCs w:val="28"/>
              <w:highlight w:val="none"/>
              <w:lang w:val="en-US" w:eastAsia="zh-CN"/>
            </w:rPr>
            <w:t xml:space="preserve"> </w:t>
          </w:r>
          <w:r>
            <w:rPr>
              <w:rFonts w:hint="eastAsia" w:ascii="宋体" w:hAnsi="宋体" w:eastAsia="宋体" w:cs="宋体"/>
              <w:sz w:val="22"/>
              <w:szCs w:val="28"/>
              <w:highlight w:val="none"/>
            </w:rPr>
            <w:t>告</w:t>
          </w:r>
          <w:r>
            <w:rPr>
              <w:sz w:val="22"/>
              <w:szCs w:val="28"/>
              <w:highlight w:val="none"/>
            </w:rPr>
            <w:tab/>
          </w:r>
          <w:r>
            <w:rPr>
              <w:sz w:val="22"/>
              <w:szCs w:val="28"/>
              <w:highlight w:val="none"/>
            </w:rPr>
            <w:fldChar w:fldCharType="begin"/>
          </w:r>
          <w:r>
            <w:rPr>
              <w:sz w:val="22"/>
              <w:szCs w:val="28"/>
              <w:highlight w:val="none"/>
            </w:rPr>
            <w:instrText xml:space="preserve"> PAGEREF _Toc6599 \h </w:instrText>
          </w:r>
          <w:r>
            <w:rPr>
              <w:sz w:val="22"/>
              <w:szCs w:val="28"/>
              <w:highlight w:val="none"/>
            </w:rPr>
            <w:fldChar w:fldCharType="separate"/>
          </w:r>
          <w:r>
            <w:rPr>
              <w:sz w:val="22"/>
              <w:szCs w:val="28"/>
              <w:highlight w:val="none"/>
            </w:rPr>
            <w:t>3</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_Toc10401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第一部分    投标人须知</w:t>
          </w:r>
          <w:r>
            <w:rPr>
              <w:sz w:val="22"/>
              <w:szCs w:val="28"/>
              <w:highlight w:val="none"/>
            </w:rPr>
            <w:tab/>
          </w:r>
          <w:r>
            <w:rPr>
              <w:sz w:val="22"/>
              <w:szCs w:val="28"/>
              <w:highlight w:val="none"/>
            </w:rPr>
            <w:fldChar w:fldCharType="begin"/>
          </w:r>
          <w:r>
            <w:rPr>
              <w:sz w:val="22"/>
              <w:szCs w:val="28"/>
              <w:highlight w:val="none"/>
            </w:rPr>
            <w:instrText xml:space="preserve"> PAGEREF _Toc10401 \h </w:instrText>
          </w:r>
          <w:r>
            <w:rPr>
              <w:sz w:val="22"/>
              <w:szCs w:val="28"/>
              <w:highlight w:val="none"/>
            </w:rPr>
            <w:fldChar w:fldCharType="separate"/>
          </w:r>
          <w:r>
            <w:rPr>
              <w:sz w:val="22"/>
              <w:szCs w:val="28"/>
              <w:highlight w:val="none"/>
            </w:rPr>
            <w:t>7</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_Toc6224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8"/>
              <w:highlight w:val="none"/>
            </w:rPr>
            <w:t>前 附 表</w:t>
          </w:r>
          <w:r>
            <w:rPr>
              <w:sz w:val="22"/>
              <w:szCs w:val="28"/>
              <w:highlight w:val="none"/>
            </w:rPr>
            <w:tab/>
          </w:r>
          <w:r>
            <w:rPr>
              <w:sz w:val="22"/>
              <w:szCs w:val="28"/>
              <w:highlight w:val="none"/>
            </w:rPr>
            <w:fldChar w:fldCharType="begin"/>
          </w:r>
          <w:r>
            <w:rPr>
              <w:sz w:val="22"/>
              <w:szCs w:val="28"/>
              <w:highlight w:val="none"/>
            </w:rPr>
            <w:instrText xml:space="preserve"> PAGEREF _Toc6224 \h </w:instrText>
          </w:r>
          <w:r>
            <w:rPr>
              <w:sz w:val="22"/>
              <w:szCs w:val="28"/>
              <w:highlight w:val="none"/>
            </w:rPr>
            <w:fldChar w:fldCharType="separate"/>
          </w:r>
          <w:r>
            <w:rPr>
              <w:sz w:val="22"/>
              <w:szCs w:val="28"/>
              <w:highlight w:val="none"/>
            </w:rPr>
            <w:t>7</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_Toc19070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8"/>
              <w:highlight w:val="none"/>
            </w:rPr>
            <w:t>一、 说   明</w:t>
          </w:r>
          <w:r>
            <w:rPr>
              <w:sz w:val="22"/>
              <w:szCs w:val="28"/>
              <w:highlight w:val="none"/>
            </w:rPr>
            <w:tab/>
          </w:r>
          <w:r>
            <w:rPr>
              <w:sz w:val="22"/>
              <w:szCs w:val="28"/>
              <w:highlight w:val="none"/>
            </w:rPr>
            <w:fldChar w:fldCharType="begin"/>
          </w:r>
          <w:r>
            <w:rPr>
              <w:sz w:val="22"/>
              <w:szCs w:val="28"/>
              <w:highlight w:val="none"/>
            </w:rPr>
            <w:instrText xml:space="preserve"> PAGEREF _Toc19070 \h </w:instrText>
          </w:r>
          <w:r>
            <w:rPr>
              <w:sz w:val="22"/>
              <w:szCs w:val="28"/>
              <w:highlight w:val="none"/>
            </w:rPr>
            <w:fldChar w:fldCharType="separate"/>
          </w:r>
          <w:r>
            <w:rPr>
              <w:sz w:val="22"/>
              <w:szCs w:val="28"/>
              <w:highlight w:val="none"/>
            </w:rPr>
            <w:t>11</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_Toc28278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8"/>
              <w:highlight w:val="none"/>
            </w:rPr>
            <w:t>二、 招标文件</w:t>
          </w:r>
          <w:r>
            <w:rPr>
              <w:sz w:val="22"/>
              <w:szCs w:val="28"/>
              <w:highlight w:val="none"/>
            </w:rPr>
            <w:tab/>
          </w:r>
          <w:r>
            <w:rPr>
              <w:sz w:val="22"/>
              <w:szCs w:val="28"/>
              <w:highlight w:val="none"/>
            </w:rPr>
            <w:fldChar w:fldCharType="begin"/>
          </w:r>
          <w:r>
            <w:rPr>
              <w:sz w:val="22"/>
              <w:szCs w:val="28"/>
              <w:highlight w:val="none"/>
            </w:rPr>
            <w:instrText xml:space="preserve"> PAGEREF _Toc28278 \h </w:instrText>
          </w:r>
          <w:r>
            <w:rPr>
              <w:sz w:val="22"/>
              <w:szCs w:val="28"/>
              <w:highlight w:val="none"/>
            </w:rPr>
            <w:fldChar w:fldCharType="separate"/>
          </w:r>
          <w:r>
            <w:rPr>
              <w:sz w:val="22"/>
              <w:szCs w:val="28"/>
              <w:highlight w:val="none"/>
            </w:rPr>
            <w:t>11</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_Toc22646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8"/>
              <w:highlight w:val="none"/>
            </w:rPr>
            <w:t>三、 投标文件的编制</w:t>
          </w:r>
          <w:r>
            <w:rPr>
              <w:sz w:val="22"/>
              <w:szCs w:val="28"/>
              <w:highlight w:val="none"/>
            </w:rPr>
            <w:tab/>
          </w:r>
          <w:r>
            <w:rPr>
              <w:sz w:val="22"/>
              <w:szCs w:val="28"/>
              <w:highlight w:val="none"/>
            </w:rPr>
            <w:fldChar w:fldCharType="begin"/>
          </w:r>
          <w:r>
            <w:rPr>
              <w:sz w:val="22"/>
              <w:szCs w:val="28"/>
              <w:highlight w:val="none"/>
            </w:rPr>
            <w:instrText xml:space="preserve"> PAGEREF _Toc22646 \h </w:instrText>
          </w:r>
          <w:r>
            <w:rPr>
              <w:sz w:val="22"/>
              <w:szCs w:val="28"/>
              <w:highlight w:val="none"/>
            </w:rPr>
            <w:fldChar w:fldCharType="separate"/>
          </w:r>
          <w:r>
            <w:rPr>
              <w:sz w:val="22"/>
              <w:szCs w:val="28"/>
              <w:highlight w:val="none"/>
            </w:rPr>
            <w:t>12</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_Toc18542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4"/>
              <w:highlight w:val="none"/>
            </w:rPr>
            <w:t>四、 投标文件的递交</w:t>
          </w:r>
          <w:r>
            <w:rPr>
              <w:sz w:val="22"/>
              <w:szCs w:val="28"/>
              <w:highlight w:val="none"/>
            </w:rPr>
            <w:tab/>
          </w:r>
          <w:r>
            <w:rPr>
              <w:sz w:val="22"/>
              <w:szCs w:val="28"/>
              <w:highlight w:val="none"/>
            </w:rPr>
            <w:fldChar w:fldCharType="begin"/>
          </w:r>
          <w:r>
            <w:rPr>
              <w:sz w:val="22"/>
              <w:szCs w:val="28"/>
              <w:highlight w:val="none"/>
            </w:rPr>
            <w:instrText xml:space="preserve"> PAGEREF _Toc18542 \h </w:instrText>
          </w:r>
          <w:r>
            <w:rPr>
              <w:sz w:val="22"/>
              <w:szCs w:val="28"/>
              <w:highlight w:val="none"/>
            </w:rPr>
            <w:fldChar w:fldCharType="separate"/>
          </w:r>
          <w:r>
            <w:rPr>
              <w:sz w:val="22"/>
              <w:szCs w:val="28"/>
              <w:highlight w:val="none"/>
            </w:rPr>
            <w:t>15</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_Toc8079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4"/>
              <w:highlight w:val="none"/>
            </w:rPr>
            <w:t>五、 开标和评标</w:t>
          </w:r>
          <w:r>
            <w:rPr>
              <w:sz w:val="22"/>
              <w:szCs w:val="28"/>
              <w:highlight w:val="none"/>
            </w:rPr>
            <w:tab/>
          </w:r>
          <w:r>
            <w:rPr>
              <w:sz w:val="22"/>
              <w:szCs w:val="28"/>
              <w:highlight w:val="none"/>
            </w:rPr>
            <w:fldChar w:fldCharType="begin"/>
          </w:r>
          <w:r>
            <w:rPr>
              <w:sz w:val="22"/>
              <w:szCs w:val="28"/>
              <w:highlight w:val="none"/>
            </w:rPr>
            <w:instrText xml:space="preserve"> PAGEREF _Toc8079 \h </w:instrText>
          </w:r>
          <w:r>
            <w:rPr>
              <w:sz w:val="22"/>
              <w:szCs w:val="28"/>
              <w:highlight w:val="none"/>
            </w:rPr>
            <w:fldChar w:fldCharType="separate"/>
          </w:r>
          <w:r>
            <w:rPr>
              <w:sz w:val="22"/>
              <w:szCs w:val="28"/>
              <w:highlight w:val="none"/>
            </w:rPr>
            <w:t>15</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_Toc21056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8"/>
              <w:highlight w:val="none"/>
            </w:rPr>
            <w:t>六、 授予合同</w:t>
          </w:r>
          <w:r>
            <w:rPr>
              <w:sz w:val="22"/>
              <w:szCs w:val="28"/>
              <w:highlight w:val="none"/>
            </w:rPr>
            <w:tab/>
          </w:r>
          <w:r>
            <w:rPr>
              <w:sz w:val="22"/>
              <w:szCs w:val="28"/>
              <w:highlight w:val="none"/>
            </w:rPr>
            <w:fldChar w:fldCharType="begin"/>
          </w:r>
          <w:r>
            <w:rPr>
              <w:sz w:val="22"/>
              <w:szCs w:val="28"/>
              <w:highlight w:val="none"/>
            </w:rPr>
            <w:instrText xml:space="preserve"> PAGEREF _Toc21056 \h </w:instrText>
          </w:r>
          <w:r>
            <w:rPr>
              <w:sz w:val="22"/>
              <w:szCs w:val="28"/>
              <w:highlight w:val="none"/>
            </w:rPr>
            <w:fldChar w:fldCharType="separate"/>
          </w:r>
          <w:r>
            <w:rPr>
              <w:sz w:val="22"/>
              <w:szCs w:val="28"/>
              <w:highlight w:val="none"/>
            </w:rPr>
            <w:t>19</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_Toc19043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第二部分    合同主要条款</w:t>
          </w:r>
          <w:r>
            <w:rPr>
              <w:sz w:val="22"/>
              <w:szCs w:val="28"/>
              <w:highlight w:val="none"/>
            </w:rPr>
            <w:tab/>
          </w:r>
          <w:r>
            <w:rPr>
              <w:sz w:val="22"/>
              <w:szCs w:val="28"/>
              <w:highlight w:val="none"/>
            </w:rPr>
            <w:fldChar w:fldCharType="begin"/>
          </w:r>
          <w:r>
            <w:rPr>
              <w:sz w:val="22"/>
              <w:szCs w:val="28"/>
              <w:highlight w:val="none"/>
            </w:rPr>
            <w:instrText xml:space="preserve"> PAGEREF _Toc19043 \h </w:instrText>
          </w:r>
          <w:r>
            <w:rPr>
              <w:sz w:val="22"/>
              <w:szCs w:val="28"/>
              <w:highlight w:val="none"/>
            </w:rPr>
            <w:fldChar w:fldCharType="separate"/>
          </w:r>
          <w:r>
            <w:rPr>
              <w:sz w:val="22"/>
              <w:szCs w:val="28"/>
              <w:highlight w:val="none"/>
            </w:rPr>
            <w:t>21</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_Toc18439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第三部分    附件</w:t>
          </w:r>
          <w:r>
            <w:rPr>
              <w:sz w:val="22"/>
              <w:szCs w:val="28"/>
              <w:highlight w:val="none"/>
            </w:rPr>
            <w:tab/>
          </w:r>
          <w:r>
            <w:rPr>
              <w:sz w:val="22"/>
              <w:szCs w:val="28"/>
              <w:highlight w:val="none"/>
            </w:rPr>
            <w:fldChar w:fldCharType="begin"/>
          </w:r>
          <w:r>
            <w:rPr>
              <w:sz w:val="22"/>
              <w:szCs w:val="28"/>
              <w:highlight w:val="none"/>
            </w:rPr>
            <w:instrText xml:space="preserve"> PAGEREF _Toc18439 \h </w:instrText>
          </w:r>
          <w:r>
            <w:rPr>
              <w:sz w:val="22"/>
              <w:szCs w:val="28"/>
              <w:highlight w:val="none"/>
            </w:rPr>
            <w:fldChar w:fldCharType="separate"/>
          </w:r>
          <w:r>
            <w:rPr>
              <w:sz w:val="22"/>
              <w:szCs w:val="28"/>
              <w:highlight w:val="none"/>
            </w:rPr>
            <w:t>27</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_Toc6368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附件一</w:t>
          </w:r>
          <w:r>
            <w:rPr>
              <w:sz w:val="22"/>
              <w:szCs w:val="28"/>
              <w:highlight w:val="none"/>
            </w:rPr>
            <w:tab/>
          </w:r>
          <w:r>
            <w:rPr>
              <w:sz w:val="22"/>
              <w:szCs w:val="28"/>
              <w:highlight w:val="none"/>
            </w:rPr>
            <w:fldChar w:fldCharType="begin"/>
          </w:r>
          <w:r>
            <w:rPr>
              <w:sz w:val="22"/>
              <w:szCs w:val="28"/>
              <w:highlight w:val="none"/>
            </w:rPr>
            <w:instrText xml:space="preserve"> PAGEREF _Toc6368 \h </w:instrText>
          </w:r>
          <w:r>
            <w:rPr>
              <w:sz w:val="22"/>
              <w:szCs w:val="28"/>
              <w:highlight w:val="none"/>
            </w:rPr>
            <w:fldChar w:fldCharType="separate"/>
          </w:r>
          <w:r>
            <w:rPr>
              <w:sz w:val="22"/>
              <w:szCs w:val="28"/>
              <w:highlight w:val="none"/>
            </w:rPr>
            <w:t>27</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_Toc5430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32"/>
              <w:highlight w:val="none"/>
            </w:rPr>
            <w:t>报价文件</w:t>
          </w:r>
          <w:r>
            <w:rPr>
              <w:sz w:val="22"/>
              <w:szCs w:val="28"/>
              <w:highlight w:val="none"/>
            </w:rPr>
            <w:tab/>
          </w:r>
          <w:r>
            <w:rPr>
              <w:sz w:val="22"/>
              <w:szCs w:val="28"/>
              <w:highlight w:val="none"/>
            </w:rPr>
            <w:fldChar w:fldCharType="begin"/>
          </w:r>
          <w:r>
            <w:rPr>
              <w:sz w:val="22"/>
              <w:szCs w:val="28"/>
              <w:highlight w:val="none"/>
            </w:rPr>
            <w:instrText xml:space="preserve"> PAGEREF _Toc5430 \h </w:instrText>
          </w:r>
          <w:r>
            <w:rPr>
              <w:sz w:val="22"/>
              <w:szCs w:val="28"/>
              <w:highlight w:val="none"/>
            </w:rPr>
            <w:fldChar w:fldCharType="separate"/>
          </w:r>
          <w:r>
            <w:rPr>
              <w:sz w:val="22"/>
              <w:szCs w:val="28"/>
              <w:highlight w:val="none"/>
            </w:rPr>
            <w:t>27</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_Toc12035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附件二</w:t>
          </w:r>
          <w:r>
            <w:rPr>
              <w:sz w:val="22"/>
              <w:szCs w:val="28"/>
              <w:highlight w:val="none"/>
            </w:rPr>
            <w:tab/>
          </w:r>
          <w:r>
            <w:rPr>
              <w:sz w:val="22"/>
              <w:szCs w:val="28"/>
              <w:highlight w:val="none"/>
            </w:rPr>
            <w:fldChar w:fldCharType="begin"/>
          </w:r>
          <w:r>
            <w:rPr>
              <w:sz w:val="22"/>
              <w:szCs w:val="28"/>
              <w:highlight w:val="none"/>
            </w:rPr>
            <w:instrText xml:space="preserve"> PAGEREF _Toc12035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_Toc25309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32"/>
              <w:highlight w:val="none"/>
            </w:rPr>
            <w:t>资格证明文件</w:t>
          </w:r>
          <w:r>
            <w:rPr>
              <w:sz w:val="22"/>
              <w:szCs w:val="28"/>
              <w:highlight w:val="none"/>
            </w:rPr>
            <w:tab/>
          </w:r>
          <w:r>
            <w:rPr>
              <w:sz w:val="22"/>
              <w:szCs w:val="28"/>
              <w:highlight w:val="none"/>
            </w:rPr>
            <w:fldChar w:fldCharType="begin"/>
          </w:r>
          <w:r>
            <w:rPr>
              <w:sz w:val="22"/>
              <w:szCs w:val="28"/>
              <w:highlight w:val="none"/>
            </w:rPr>
            <w:instrText xml:space="preserve"> PAGEREF _Toc25309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_Toc31356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4"/>
              <w:highlight w:val="none"/>
            </w:rPr>
            <w:t>附件三</w:t>
          </w:r>
          <w:r>
            <w:rPr>
              <w:sz w:val="22"/>
              <w:szCs w:val="28"/>
              <w:highlight w:val="none"/>
            </w:rPr>
            <w:tab/>
          </w:r>
          <w:r>
            <w:rPr>
              <w:sz w:val="22"/>
              <w:szCs w:val="28"/>
              <w:highlight w:val="none"/>
            </w:rPr>
            <w:fldChar w:fldCharType="begin"/>
          </w:r>
          <w:r>
            <w:rPr>
              <w:sz w:val="22"/>
              <w:szCs w:val="28"/>
              <w:highlight w:val="none"/>
            </w:rPr>
            <w:instrText xml:space="preserve"> PAGEREF _Toc31356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_Toc13639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32"/>
              <w:highlight w:val="none"/>
              <w:lang w:val="zh-CN"/>
            </w:rPr>
            <w:t>商务技术文件</w:t>
          </w:r>
          <w:r>
            <w:rPr>
              <w:sz w:val="22"/>
              <w:szCs w:val="28"/>
              <w:highlight w:val="none"/>
            </w:rPr>
            <w:tab/>
          </w:r>
          <w:r>
            <w:rPr>
              <w:sz w:val="22"/>
              <w:szCs w:val="28"/>
              <w:highlight w:val="none"/>
            </w:rPr>
            <w:fldChar w:fldCharType="begin"/>
          </w:r>
          <w:r>
            <w:rPr>
              <w:sz w:val="22"/>
              <w:szCs w:val="28"/>
              <w:highlight w:val="none"/>
            </w:rPr>
            <w:instrText xml:space="preserve"> PAGEREF _Toc13639 \h </w:instrText>
          </w:r>
          <w:r>
            <w:rPr>
              <w:sz w:val="22"/>
              <w:szCs w:val="28"/>
              <w:highlight w:val="none"/>
            </w:rPr>
            <w:fldChar w:fldCharType="separate"/>
          </w:r>
          <w:r>
            <w:rPr>
              <w:sz w:val="22"/>
              <w:szCs w:val="28"/>
              <w:highlight w:val="none"/>
            </w:rPr>
            <w:t>39</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_Toc3381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 xml:space="preserve">第四部分 </w:t>
          </w:r>
          <w:r>
            <w:rPr>
              <w:rFonts w:hint="eastAsia" w:ascii="宋体" w:hAnsi="宋体" w:cs="宋体"/>
              <w:sz w:val="22"/>
              <w:szCs w:val="28"/>
              <w:highlight w:val="none"/>
              <w:lang w:val="en-US" w:eastAsia="zh-CN"/>
            </w:rPr>
            <w:t xml:space="preserve">  </w:t>
          </w:r>
          <w:r>
            <w:rPr>
              <w:rFonts w:hint="eastAsia" w:ascii="宋体" w:hAnsi="宋体" w:eastAsia="宋体" w:cs="宋体"/>
              <w:sz w:val="22"/>
              <w:szCs w:val="28"/>
              <w:highlight w:val="none"/>
            </w:rPr>
            <w:t>项目技术规范和服务要求</w:t>
          </w:r>
          <w:r>
            <w:rPr>
              <w:sz w:val="22"/>
              <w:szCs w:val="28"/>
              <w:highlight w:val="none"/>
            </w:rPr>
            <w:tab/>
          </w:r>
          <w:r>
            <w:rPr>
              <w:sz w:val="22"/>
              <w:szCs w:val="28"/>
              <w:highlight w:val="none"/>
            </w:rPr>
            <w:fldChar w:fldCharType="begin"/>
          </w:r>
          <w:r>
            <w:rPr>
              <w:sz w:val="22"/>
              <w:szCs w:val="28"/>
              <w:highlight w:val="none"/>
            </w:rPr>
            <w:instrText xml:space="preserve"> PAGEREF _Toc3381 \h </w:instrText>
          </w:r>
          <w:r>
            <w:rPr>
              <w:sz w:val="22"/>
              <w:szCs w:val="28"/>
              <w:highlight w:val="none"/>
            </w:rPr>
            <w:fldChar w:fldCharType="separate"/>
          </w:r>
          <w:r>
            <w:rPr>
              <w:sz w:val="22"/>
              <w:szCs w:val="28"/>
              <w:highlight w:val="none"/>
            </w:rPr>
            <w:t>49</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_Toc18194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8"/>
              <w:highlight w:val="none"/>
            </w:rPr>
            <w:t>第五部分   评标原则及方法</w:t>
          </w:r>
          <w:r>
            <w:rPr>
              <w:sz w:val="22"/>
              <w:szCs w:val="28"/>
              <w:highlight w:val="none"/>
            </w:rPr>
            <w:tab/>
          </w:r>
          <w:r>
            <w:rPr>
              <w:sz w:val="22"/>
              <w:szCs w:val="28"/>
              <w:highlight w:val="none"/>
            </w:rPr>
            <w:fldChar w:fldCharType="begin"/>
          </w:r>
          <w:r>
            <w:rPr>
              <w:sz w:val="22"/>
              <w:szCs w:val="28"/>
              <w:highlight w:val="none"/>
            </w:rPr>
            <w:instrText xml:space="preserve"> PAGEREF _Toc18194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_Toc15713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一、总 则</w:t>
          </w:r>
          <w:r>
            <w:rPr>
              <w:sz w:val="22"/>
              <w:szCs w:val="28"/>
              <w:highlight w:val="none"/>
            </w:rPr>
            <w:tab/>
          </w:r>
          <w:r>
            <w:rPr>
              <w:sz w:val="22"/>
              <w:szCs w:val="28"/>
              <w:highlight w:val="none"/>
            </w:rPr>
            <w:fldChar w:fldCharType="begin"/>
          </w:r>
          <w:r>
            <w:rPr>
              <w:sz w:val="22"/>
              <w:szCs w:val="28"/>
              <w:highlight w:val="none"/>
            </w:rPr>
            <w:instrText xml:space="preserve"> PAGEREF _Toc15713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_Toc23152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二、评标组织</w:t>
          </w:r>
          <w:r>
            <w:rPr>
              <w:sz w:val="22"/>
              <w:szCs w:val="28"/>
              <w:highlight w:val="none"/>
            </w:rPr>
            <w:tab/>
          </w:r>
          <w:r>
            <w:rPr>
              <w:sz w:val="22"/>
              <w:szCs w:val="28"/>
              <w:highlight w:val="none"/>
            </w:rPr>
            <w:fldChar w:fldCharType="begin"/>
          </w:r>
          <w:r>
            <w:rPr>
              <w:sz w:val="22"/>
              <w:szCs w:val="28"/>
              <w:highlight w:val="none"/>
            </w:rPr>
            <w:instrText xml:space="preserve"> PAGEREF _Toc23152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_Toc67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三、评标程序</w:t>
          </w:r>
          <w:r>
            <w:rPr>
              <w:sz w:val="22"/>
              <w:szCs w:val="28"/>
              <w:highlight w:val="none"/>
            </w:rPr>
            <w:tab/>
          </w:r>
          <w:r>
            <w:rPr>
              <w:sz w:val="22"/>
              <w:szCs w:val="28"/>
              <w:highlight w:val="none"/>
            </w:rPr>
            <w:fldChar w:fldCharType="begin"/>
          </w:r>
          <w:r>
            <w:rPr>
              <w:sz w:val="22"/>
              <w:szCs w:val="28"/>
              <w:highlight w:val="none"/>
            </w:rPr>
            <w:instrText xml:space="preserve"> PAGEREF _Toc67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_Toc24825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四、评标办法</w:t>
          </w:r>
          <w:r>
            <w:rPr>
              <w:sz w:val="22"/>
              <w:szCs w:val="28"/>
              <w:highlight w:val="none"/>
            </w:rPr>
            <w:tab/>
          </w:r>
          <w:r>
            <w:rPr>
              <w:sz w:val="22"/>
              <w:szCs w:val="28"/>
              <w:highlight w:val="none"/>
            </w:rPr>
            <w:fldChar w:fldCharType="begin"/>
          </w:r>
          <w:r>
            <w:rPr>
              <w:sz w:val="22"/>
              <w:szCs w:val="28"/>
              <w:highlight w:val="none"/>
            </w:rPr>
            <w:instrText xml:space="preserve"> PAGEREF _Toc24825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_Toc11450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五、评分细则</w:t>
          </w:r>
          <w:r>
            <w:rPr>
              <w:sz w:val="22"/>
              <w:szCs w:val="28"/>
              <w:highlight w:val="none"/>
            </w:rPr>
            <w:tab/>
          </w:r>
          <w:r>
            <w:rPr>
              <w:sz w:val="22"/>
              <w:szCs w:val="28"/>
              <w:highlight w:val="none"/>
            </w:rPr>
            <w:fldChar w:fldCharType="begin"/>
          </w:r>
          <w:r>
            <w:rPr>
              <w:sz w:val="22"/>
              <w:szCs w:val="28"/>
              <w:highlight w:val="none"/>
            </w:rPr>
            <w:instrText xml:space="preserve"> PAGEREF _Toc11450 \h </w:instrText>
          </w:r>
          <w:r>
            <w:rPr>
              <w:sz w:val="22"/>
              <w:szCs w:val="28"/>
              <w:highlight w:val="none"/>
            </w:rPr>
            <w:fldChar w:fldCharType="separate"/>
          </w:r>
          <w:r>
            <w:rPr>
              <w:sz w:val="22"/>
              <w:szCs w:val="28"/>
              <w:highlight w:val="none"/>
            </w:rPr>
            <w:t>54</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_Toc4727 </w:instrText>
          </w:r>
          <w:r>
            <w:rPr>
              <w:rFonts w:hint="eastAsia" w:ascii="宋体" w:hAnsi="宋体" w:eastAsia="宋体" w:cs="宋体"/>
              <w:sz w:val="22"/>
              <w:szCs w:val="40"/>
              <w:highlight w:val="none"/>
            </w:rPr>
            <w:fldChar w:fldCharType="separate"/>
          </w:r>
          <w:r>
            <w:rPr>
              <w:rFonts w:hint="eastAsia" w:ascii="宋体" w:hAnsi="宋体" w:eastAsia="宋体" w:cs="宋体"/>
              <w:bCs/>
              <w:sz w:val="22"/>
              <w:szCs w:val="24"/>
              <w:highlight w:val="none"/>
            </w:rPr>
            <w:t>六、定标办法</w:t>
          </w:r>
          <w:r>
            <w:rPr>
              <w:sz w:val="22"/>
              <w:szCs w:val="28"/>
              <w:highlight w:val="none"/>
            </w:rPr>
            <w:tab/>
          </w:r>
          <w:r>
            <w:rPr>
              <w:sz w:val="22"/>
              <w:szCs w:val="28"/>
              <w:highlight w:val="none"/>
            </w:rPr>
            <w:fldChar w:fldCharType="begin"/>
          </w:r>
          <w:r>
            <w:rPr>
              <w:sz w:val="22"/>
              <w:szCs w:val="28"/>
              <w:highlight w:val="none"/>
            </w:rPr>
            <w:instrText xml:space="preserve"> PAGEREF _Toc4727 \h </w:instrText>
          </w:r>
          <w:r>
            <w:rPr>
              <w:sz w:val="22"/>
              <w:szCs w:val="28"/>
              <w:highlight w:val="none"/>
            </w:rPr>
            <w:fldChar w:fldCharType="separate"/>
          </w:r>
          <w:r>
            <w:rPr>
              <w:sz w:val="22"/>
              <w:szCs w:val="28"/>
              <w:highlight w:val="none"/>
            </w:rPr>
            <w:t>59</w:t>
          </w:r>
          <w:r>
            <w:rPr>
              <w:sz w:val="22"/>
              <w:szCs w:val="28"/>
              <w:highlight w:val="none"/>
            </w:rPr>
            <w:fldChar w:fldCharType="end"/>
          </w:r>
          <w:r>
            <w:rPr>
              <w:rFonts w:hint="eastAsia" w:ascii="宋体" w:hAnsi="宋体" w:eastAsia="宋体" w:cs="宋体"/>
              <w:color w:val="auto"/>
              <w:sz w:val="22"/>
              <w:szCs w:val="40"/>
              <w:highlight w:val="none"/>
            </w:rPr>
            <w:fldChar w:fldCharType="end"/>
          </w:r>
        </w:p>
        <w:p>
          <w:pPr>
            <w:pStyle w:val="2"/>
            <w:tabs>
              <w:tab w:val="right" w:leader="dot" w:pos="9638"/>
            </w:tabs>
            <w:spacing w:line="360" w:lineRule="auto"/>
            <w:rPr>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sz w:val="22"/>
              <w:szCs w:val="40"/>
              <w:highlight w:val="none"/>
            </w:rPr>
            <w:instrText xml:space="preserve"> HYPERLINK \l _Toc3629 </w:instrText>
          </w:r>
          <w:r>
            <w:rPr>
              <w:rFonts w:hint="eastAsia" w:ascii="宋体" w:hAnsi="宋体" w:eastAsia="宋体" w:cs="宋体"/>
              <w:sz w:val="22"/>
              <w:szCs w:val="40"/>
              <w:highlight w:val="none"/>
            </w:rPr>
            <w:fldChar w:fldCharType="separate"/>
          </w:r>
          <w:r>
            <w:rPr>
              <w:rFonts w:hint="eastAsia" w:ascii="宋体" w:hAnsi="宋体" w:eastAsia="宋体" w:cs="宋体"/>
              <w:sz w:val="22"/>
              <w:szCs w:val="24"/>
              <w:highlight w:val="none"/>
            </w:rPr>
            <w:t>七、投标人义务</w:t>
          </w:r>
          <w:r>
            <w:rPr>
              <w:sz w:val="22"/>
              <w:szCs w:val="28"/>
              <w:highlight w:val="none"/>
            </w:rPr>
            <w:tab/>
          </w:r>
          <w:r>
            <w:rPr>
              <w:sz w:val="22"/>
              <w:szCs w:val="28"/>
              <w:highlight w:val="none"/>
            </w:rPr>
            <w:fldChar w:fldCharType="begin"/>
          </w:r>
          <w:r>
            <w:rPr>
              <w:sz w:val="22"/>
              <w:szCs w:val="28"/>
              <w:highlight w:val="none"/>
            </w:rPr>
            <w:instrText xml:space="preserve"> PAGEREF _Toc3629 \h </w:instrText>
          </w:r>
          <w:r>
            <w:rPr>
              <w:sz w:val="22"/>
              <w:szCs w:val="28"/>
              <w:highlight w:val="none"/>
            </w:rPr>
            <w:fldChar w:fldCharType="separate"/>
          </w:r>
          <w:r>
            <w:rPr>
              <w:sz w:val="22"/>
              <w:szCs w:val="28"/>
              <w:highlight w:val="none"/>
            </w:rPr>
            <w:t>60</w:t>
          </w:r>
          <w:r>
            <w:rPr>
              <w:sz w:val="22"/>
              <w:szCs w:val="28"/>
              <w:highlight w:val="none"/>
            </w:rPr>
            <w:fldChar w:fldCharType="end"/>
          </w:r>
          <w:r>
            <w:rPr>
              <w:rFonts w:hint="eastAsia" w:ascii="宋体" w:hAnsi="宋体" w:eastAsia="宋体" w:cs="宋体"/>
              <w:color w:val="auto"/>
              <w:sz w:val="22"/>
              <w:szCs w:val="40"/>
              <w:highlight w:val="none"/>
            </w:rPr>
            <w:fldChar w:fldCharType="end"/>
          </w:r>
        </w:p>
        <w:p>
          <w:pPr>
            <w:spacing w:line="360" w:lineRule="auto"/>
            <w:ind w:firstLine="1870" w:firstLineChars="850"/>
            <w:rPr>
              <w:rFonts w:hint="eastAsia" w:ascii="宋体" w:hAnsi="宋体" w:eastAsia="宋体" w:cs="宋体"/>
              <w:b/>
              <w:color w:val="auto"/>
              <w:sz w:val="22"/>
              <w:szCs w:val="22"/>
              <w:highlight w:val="none"/>
            </w:rPr>
          </w:pPr>
          <w:r>
            <w:rPr>
              <w:rFonts w:hint="eastAsia" w:ascii="宋体" w:hAnsi="宋体" w:eastAsia="宋体" w:cs="宋体"/>
              <w:color w:val="auto"/>
              <w:sz w:val="22"/>
              <w:szCs w:val="40"/>
              <w:highlight w:val="none"/>
            </w:rPr>
            <w:fldChar w:fldCharType="end"/>
          </w:r>
        </w:p>
      </w:sdtContent>
    </w:sdt>
    <w:p>
      <w:pPr>
        <w:pStyle w:val="4"/>
        <w:bidi w:val="0"/>
        <w:rPr>
          <w:rFonts w:hint="eastAsia" w:ascii="宋体" w:hAnsi="宋体" w:eastAsia="宋体" w:cs="宋体"/>
          <w:b/>
          <w:color w:val="auto"/>
          <w:highlight w:val="none"/>
        </w:rPr>
      </w:pPr>
      <w:bookmarkStart w:id="0" w:name="_Toc32649"/>
      <w:bookmarkStart w:id="1" w:name="_Toc6599"/>
      <w:r>
        <w:rPr>
          <w:rFonts w:hint="eastAsia" w:ascii="宋体" w:hAnsi="宋体" w:eastAsia="宋体" w:cs="宋体"/>
          <w:highlight w:val="none"/>
        </w:rPr>
        <w:t>招</w:t>
      </w:r>
      <w:r>
        <w:rPr>
          <w:rFonts w:hint="eastAsia" w:ascii="宋体" w:hAnsi="宋体" w:eastAsia="宋体" w:cs="宋体"/>
          <w:highlight w:val="none"/>
          <w:lang w:val="en-US" w:eastAsia="zh-CN"/>
        </w:rPr>
        <w:t xml:space="preserve"> </w:t>
      </w:r>
      <w:r>
        <w:rPr>
          <w:rFonts w:hint="eastAsia" w:ascii="宋体" w:hAnsi="宋体" w:eastAsia="宋体" w:cs="宋体"/>
          <w:highlight w:val="none"/>
        </w:rPr>
        <w:t>标</w:t>
      </w:r>
      <w:r>
        <w:rPr>
          <w:rFonts w:hint="eastAsia" w:ascii="宋体" w:hAnsi="宋体" w:eastAsia="宋体" w:cs="宋体"/>
          <w:highlight w:val="none"/>
          <w:lang w:val="en-US" w:eastAsia="zh-CN"/>
        </w:rPr>
        <w:t xml:space="preserve"> </w:t>
      </w:r>
      <w:r>
        <w:rPr>
          <w:rFonts w:hint="eastAsia" w:ascii="宋体" w:hAnsi="宋体" w:eastAsia="宋体" w:cs="宋体"/>
          <w:highlight w:val="none"/>
        </w:rPr>
        <w:t>公</w:t>
      </w:r>
      <w:r>
        <w:rPr>
          <w:rFonts w:hint="eastAsia" w:ascii="宋体" w:hAnsi="宋体" w:eastAsia="宋体" w:cs="宋体"/>
          <w:highlight w:val="none"/>
          <w:lang w:val="en-US" w:eastAsia="zh-CN"/>
        </w:rPr>
        <w:t xml:space="preserve"> </w:t>
      </w:r>
      <w:r>
        <w:rPr>
          <w:rFonts w:hint="eastAsia" w:ascii="宋体" w:hAnsi="宋体" w:eastAsia="宋体" w:cs="宋体"/>
          <w:highlight w:val="none"/>
        </w:rPr>
        <w:t>告</w:t>
      </w:r>
      <w:bookmarkEnd w:id="0"/>
      <w:bookmarkEnd w:id="1"/>
    </w:p>
    <w:p>
      <w:pPr>
        <w:tabs>
          <w:tab w:val="left" w:pos="360"/>
        </w:tabs>
        <w:spacing w:line="460" w:lineRule="exact"/>
        <w:ind w:firstLine="552" w:firstLineChars="250"/>
        <w:rPr>
          <w:rFonts w:hint="eastAsia" w:ascii="宋体" w:hAnsi="宋体" w:eastAsia="宋体" w:cs="宋体"/>
          <w:b/>
          <w:bCs/>
          <w:color w:val="auto"/>
          <w:sz w:val="22"/>
          <w:highlight w:val="none"/>
        </w:rPr>
      </w:pPr>
      <w:r>
        <w:rPr>
          <w:b/>
          <w:bCs/>
          <w:sz w:val="22"/>
          <w:highlight w:val="none"/>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5.5pt;margin-top:0.3pt;height:75.05pt;width:511.75pt;z-index:251661312;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666Q2AAAAAgBAAAPAAAAAAAAAAEAIAAAACIAAABkcnMv&#10;ZG93bnJldi54bWxQSwECFAAUAAAACACHTuJA2yveaAMCAAARBAAADgAAAAAAAAABACAAAAAnAQAA&#10;ZHJzL2Uyb0RvYy54bWxQSwUGAAAAAAYABgBZAQAAnAUAAAAA&#10;">
                <v:fill on="f" focussize="0,0"/>
                <v:stroke weight="1pt" color="#000000" joinstyle="round"/>
                <v:imagedata o:title=""/>
                <o:lock v:ext="edit" aspectratio="f"/>
              </v:rect>
            </w:pict>
          </mc:Fallback>
        </mc:AlternateContent>
      </w:r>
      <w:r>
        <w:rPr>
          <w:rFonts w:hint="eastAsia" w:ascii="宋体" w:hAnsi="宋体" w:eastAsia="宋体" w:cs="宋体"/>
          <w:b/>
          <w:bCs/>
          <w:color w:val="auto"/>
          <w:sz w:val="22"/>
          <w:highlight w:val="none"/>
        </w:rPr>
        <w:t>项目概况</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cs="宋体"/>
          <w:color w:val="auto"/>
          <w:sz w:val="22"/>
          <w:highlight w:val="none"/>
          <w:lang w:eastAsia="zh-CN"/>
        </w:rPr>
        <w:t>2024年职工疗休养服务</w:t>
      </w:r>
      <w:r>
        <w:rPr>
          <w:rFonts w:hint="eastAsia" w:ascii="宋体" w:hAnsi="宋体" w:eastAsia="宋体" w:cs="宋体"/>
          <w:color w:val="auto"/>
          <w:sz w:val="22"/>
          <w:highlight w:val="none"/>
        </w:rPr>
        <w:t>招标项目的潜在投标人应在浙江政府采购网获取（下载）招标文件，并于</w:t>
      </w:r>
      <w:r>
        <w:rPr>
          <w:rFonts w:hint="eastAsia" w:ascii="宋体" w:hAnsi="宋体" w:cs="宋体"/>
          <w:color w:val="auto"/>
          <w:sz w:val="22"/>
          <w:highlight w:val="none"/>
          <w:lang w:eastAsia="zh-CN"/>
        </w:rPr>
        <w:t>202</w:t>
      </w:r>
      <w:r>
        <w:rPr>
          <w:rFonts w:hint="eastAsia" w:ascii="宋体" w:hAnsi="宋体" w:cs="宋体"/>
          <w:color w:val="auto"/>
          <w:sz w:val="22"/>
          <w:highlight w:val="none"/>
          <w:lang w:val="en-US" w:eastAsia="zh-CN"/>
        </w:rPr>
        <w:t>4</w:t>
      </w:r>
      <w:r>
        <w:rPr>
          <w:rFonts w:hint="eastAsia" w:ascii="宋体" w:hAnsi="宋体" w:cs="宋体"/>
          <w:color w:val="auto"/>
          <w:sz w:val="22"/>
          <w:highlight w:val="none"/>
          <w:lang w:eastAsia="zh-CN"/>
        </w:rPr>
        <w:t>年</w:t>
      </w:r>
      <w:r>
        <w:rPr>
          <w:rFonts w:hint="eastAsia" w:ascii="宋体" w:hAnsi="宋体" w:cs="宋体"/>
          <w:color w:val="auto"/>
          <w:sz w:val="22"/>
          <w:highlight w:val="none"/>
          <w:lang w:val="en-US" w:eastAsia="zh-CN"/>
        </w:rPr>
        <w:t>4</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24</w:t>
      </w:r>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09点30分</w:t>
      </w:r>
      <w:r>
        <w:rPr>
          <w:rFonts w:hint="eastAsia" w:ascii="宋体" w:hAnsi="宋体" w:eastAsia="宋体" w:cs="宋体"/>
          <w:color w:val="auto"/>
          <w:sz w:val="22"/>
          <w:highlight w:val="none"/>
        </w:rPr>
        <w:t> （北京时间）前递交（上传）投标文件。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sz w:val="22"/>
          <w:szCs w:val="22"/>
          <w:highlight w:val="none"/>
          <w:u w:val="none"/>
          <w:lang w:val="en-US" w:eastAsia="zh-CN"/>
        </w:rPr>
      </w:pPr>
      <w:r>
        <w:rPr>
          <w:rFonts w:hint="eastAsia"/>
          <w:b/>
          <w:bCs/>
          <w:sz w:val="22"/>
          <w:szCs w:val="22"/>
          <w:highlight w:val="none"/>
          <w:u w:val="none"/>
        </w:rPr>
        <w:t>一、项目基本情况</w:t>
      </w:r>
      <w:r>
        <w:rPr>
          <w:rFonts w:hint="eastAsia"/>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项目编号：</w:t>
      </w:r>
      <w:r>
        <w:rPr>
          <w:rFonts w:hint="eastAsia"/>
          <w:sz w:val="22"/>
          <w:szCs w:val="22"/>
          <w:highlight w:val="none"/>
          <w:u w:val="none"/>
          <w:lang w:eastAsia="zh-CN"/>
        </w:rPr>
        <w:t>WZLCZB（W）-2024-04083</w:t>
      </w:r>
      <w:r>
        <w:rPr>
          <w:rFonts w:hint="eastAsia"/>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项目名称：</w:t>
      </w:r>
      <w:r>
        <w:rPr>
          <w:rFonts w:hint="eastAsia"/>
          <w:sz w:val="22"/>
          <w:szCs w:val="22"/>
          <w:highlight w:val="none"/>
          <w:u w:val="none"/>
          <w:lang w:eastAsia="zh-CN"/>
        </w:rPr>
        <w:t>2024年职工疗休养服务</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预算金额（元）：990000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最高限价（元）：495000,495000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采购需求：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color w:val="auto"/>
          <w:sz w:val="22"/>
          <w:szCs w:val="22"/>
          <w:highlight w:val="none"/>
          <w:u w:val="none"/>
          <w:lang w:val="en-US" w:eastAsia="zh-CN"/>
        </w:rPr>
      </w:pPr>
      <w:r>
        <w:rPr>
          <w:rFonts w:hint="eastAsia"/>
          <w:color w:val="auto"/>
          <w:sz w:val="22"/>
          <w:szCs w:val="22"/>
          <w:highlight w:val="none"/>
          <w:u w:val="none"/>
          <w:lang w:val="en-US" w:eastAsia="zh-CN"/>
        </w:rPr>
        <w:t>标项一</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标项名称:</w:t>
      </w:r>
      <w:r>
        <w:rPr>
          <w:rFonts w:hint="eastAsia"/>
          <w:color w:val="auto"/>
          <w:sz w:val="22"/>
          <w:szCs w:val="22"/>
          <w:highlight w:val="none"/>
          <w:u w:val="none"/>
          <w:lang w:eastAsia="zh-CN"/>
        </w:rPr>
        <w:t>2024年职工疗休养服务</w:t>
      </w:r>
      <w:r>
        <w:rPr>
          <w:rFonts w:hint="eastAsia"/>
          <w:color w:val="auto"/>
          <w:sz w:val="22"/>
          <w:szCs w:val="22"/>
          <w:highlight w:val="none"/>
          <w:u w:val="none"/>
          <w:lang w:val="en-US" w:eastAsia="zh-CN"/>
        </w:rPr>
        <w:t>标项一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数量:1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预算金额（元）:495000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简要规格描述或项目基本概况介绍、用途：具体详见招标文件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备注：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color w:val="auto"/>
          <w:sz w:val="22"/>
          <w:szCs w:val="22"/>
          <w:highlight w:val="none"/>
          <w:u w:val="none"/>
          <w:lang w:val="en-US" w:eastAsia="zh-CN"/>
        </w:rPr>
      </w:pPr>
      <w:r>
        <w:rPr>
          <w:rFonts w:hint="eastAsia"/>
          <w:color w:val="auto"/>
          <w:sz w:val="22"/>
          <w:szCs w:val="22"/>
          <w:highlight w:val="none"/>
          <w:u w:val="none"/>
          <w:lang w:val="en-US" w:eastAsia="zh-CN"/>
        </w:rPr>
        <w:t>标项二</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标项名称:</w:t>
      </w:r>
      <w:r>
        <w:rPr>
          <w:rFonts w:hint="eastAsia"/>
          <w:color w:val="auto"/>
          <w:sz w:val="22"/>
          <w:szCs w:val="22"/>
          <w:highlight w:val="none"/>
          <w:u w:val="none"/>
          <w:lang w:eastAsia="zh-CN"/>
        </w:rPr>
        <w:t>2024年职工疗休养服务</w:t>
      </w:r>
      <w:r>
        <w:rPr>
          <w:rFonts w:hint="eastAsia"/>
          <w:color w:val="auto"/>
          <w:sz w:val="22"/>
          <w:szCs w:val="22"/>
          <w:highlight w:val="none"/>
          <w:u w:val="none"/>
          <w:lang w:val="en-US" w:eastAsia="zh-CN"/>
        </w:rPr>
        <w:t>标项二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数量:1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预算金额（元）:495000</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简要规格描述或项目基本概况介绍、用途：具体详见招标文件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备注：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合同履约期限：标项1、2，具体详见招标文件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lang w:val="en-US" w:eastAsia="zh-CN"/>
        </w:rPr>
        <w:t>本项目（否）接受联合体投标。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sz w:val="22"/>
          <w:szCs w:val="22"/>
          <w:highlight w:val="none"/>
          <w:u w:val="none"/>
          <w:lang w:val="en-US" w:eastAsia="zh-CN"/>
        </w:rPr>
      </w:pPr>
      <w:r>
        <w:rPr>
          <w:rFonts w:hint="eastAsia"/>
          <w:b/>
          <w:bCs/>
          <w:sz w:val="22"/>
          <w:szCs w:val="22"/>
          <w:highlight w:val="none"/>
          <w:u w:val="none"/>
          <w:lang w:val="en-US" w:eastAsia="zh-CN"/>
        </w:rPr>
        <w:t>二、申请人的资格要求：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2.落实政府采购政策需满足的资格要求：专门面向中小企业采购；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lang w:val="en-US" w:eastAsia="zh-CN"/>
        </w:rPr>
      </w:pPr>
      <w:r>
        <w:rPr>
          <w:rFonts w:hint="eastAsia"/>
          <w:sz w:val="22"/>
          <w:szCs w:val="22"/>
          <w:highlight w:val="none"/>
          <w:u w:val="none"/>
          <w:lang w:val="en-US" w:eastAsia="zh-CN"/>
        </w:rPr>
        <w:t>3.本项目的特定资格要求：须具备相应的《旅行社业务经营许可证》。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sz w:val="22"/>
          <w:szCs w:val="22"/>
          <w:highlight w:val="none"/>
          <w:u w:val="none"/>
        </w:rPr>
      </w:pPr>
      <w:r>
        <w:rPr>
          <w:rFonts w:hint="eastAsia"/>
          <w:b/>
          <w:bCs/>
          <w:sz w:val="22"/>
          <w:szCs w:val="22"/>
          <w:highlight w:val="none"/>
          <w:u w:val="none"/>
        </w:rPr>
        <w:t>三、获取招标文件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时间：</w:t>
      </w:r>
      <w:r>
        <w:rPr>
          <w:rFonts w:hint="eastAsia"/>
          <w:sz w:val="22"/>
          <w:szCs w:val="22"/>
          <w:highlight w:val="none"/>
          <w:u w:val="none"/>
          <w:lang w:val="en-US" w:eastAsia="zh-CN"/>
        </w:rPr>
        <w:t>2024年4月3日</w:t>
      </w:r>
      <w:r>
        <w:rPr>
          <w:rFonts w:hint="eastAsia"/>
          <w:sz w:val="22"/>
          <w:szCs w:val="22"/>
          <w:highlight w:val="none"/>
          <w:u w:val="none"/>
        </w:rPr>
        <w:t>至</w:t>
      </w:r>
      <w:r>
        <w:rPr>
          <w:rFonts w:hint="eastAsia"/>
          <w:sz w:val="22"/>
          <w:szCs w:val="22"/>
          <w:highlight w:val="none"/>
          <w:u w:val="none"/>
          <w:lang w:eastAsia="zh-CN"/>
        </w:rPr>
        <w:t>202</w:t>
      </w:r>
      <w:r>
        <w:rPr>
          <w:rFonts w:hint="eastAsia"/>
          <w:sz w:val="22"/>
          <w:szCs w:val="22"/>
          <w:highlight w:val="none"/>
          <w:u w:val="none"/>
          <w:lang w:val="en-US" w:eastAsia="zh-CN"/>
        </w:rPr>
        <w:t>4</w:t>
      </w:r>
      <w:r>
        <w:rPr>
          <w:rFonts w:hint="eastAsia"/>
          <w:sz w:val="22"/>
          <w:szCs w:val="22"/>
          <w:highlight w:val="none"/>
          <w:u w:val="none"/>
          <w:lang w:eastAsia="zh-CN"/>
        </w:rPr>
        <w:t>年</w:t>
      </w:r>
      <w:r>
        <w:rPr>
          <w:rFonts w:hint="eastAsia"/>
          <w:sz w:val="22"/>
          <w:szCs w:val="22"/>
          <w:highlight w:val="none"/>
          <w:u w:val="none"/>
          <w:lang w:val="en-US" w:eastAsia="zh-CN"/>
        </w:rPr>
        <w:t>4</w:t>
      </w:r>
      <w:r>
        <w:rPr>
          <w:rFonts w:hint="eastAsia"/>
          <w:sz w:val="22"/>
          <w:szCs w:val="22"/>
          <w:highlight w:val="none"/>
          <w:u w:val="none"/>
        </w:rPr>
        <w:t>月</w:t>
      </w:r>
      <w:r>
        <w:rPr>
          <w:rFonts w:hint="eastAsia"/>
          <w:sz w:val="22"/>
          <w:szCs w:val="22"/>
          <w:highlight w:val="none"/>
          <w:u w:val="none"/>
          <w:lang w:val="en-US" w:eastAsia="zh-CN"/>
        </w:rPr>
        <w:t>24</w:t>
      </w:r>
      <w:r>
        <w:rPr>
          <w:rFonts w:hint="eastAsia"/>
          <w:sz w:val="22"/>
          <w:szCs w:val="22"/>
          <w:highlight w:val="none"/>
          <w:u w:val="none"/>
        </w:rPr>
        <w:t>日，每天上午00:00至12:00，下午12:00至23:59（北京时间，线上获取法定节假日均可，线下获取文件法定节假日除外）</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地点（网址）：浙江政府采购网（https://zfcg.czt.zj.gov.cn/）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方式：供应商登录政采云平台https://www.zcygov.cn/在线申请获取采购文件（进入“项目采购”应用，在获取采购文件菜单中选择项目，申请获取采购文件）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售价（元）：0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sz w:val="22"/>
          <w:szCs w:val="22"/>
          <w:highlight w:val="none"/>
          <w:u w:val="none"/>
        </w:rPr>
      </w:pPr>
      <w:r>
        <w:rPr>
          <w:rFonts w:hint="eastAsia"/>
          <w:b/>
          <w:bCs/>
          <w:sz w:val="22"/>
          <w:szCs w:val="22"/>
          <w:highlight w:val="none"/>
          <w:u w:val="none"/>
        </w:rPr>
        <w:t>四、提交投标文件截止时间、开标时间和地点</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提交投标文件截止时间：</w:t>
      </w:r>
      <w:r>
        <w:rPr>
          <w:rFonts w:hint="eastAsia"/>
          <w:sz w:val="22"/>
          <w:szCs w:val="22"/>
          <w:highlight w:val="none"/>
          <w:u w:val="none"/>
          <w:lang w:eastAsia="zh-CN"/>
        </w:rPr>
        <w:t>202</w:t>
      </w:r>
      <w:r>
        <w:rPr>
          <w:rFonts w:hint="eastAsia"/>
          <w:sz w:val="22"/>
          <w:szCs w:val="22"/>
          <w:highlight w:val="none"/>
          <w:u w:val="none"/>
          <w:lang w:val="en-US" w:eastAsia="zh-CN"/>
        </w:rPr>
        <w:t>4</w:t>
      </w:r>
      <w:r>
        <w:rPr>
          <w:rFonts w:hint="eastAsia"/>
          <w:sz w:val="22"/>
          <w:szCs w:val="22"/>
          <w:highlight w:val="none"/>
          <w:u w:val="none"/>
          <w:lang w:eastAsia="zh-CN"/>
        </w:rPr>
        <w:t>年</w:t>
      </w:r>
      <w:r>
        <w:rPr>
          <w:rFonts w:hint="eastAsia"/>
          <w:sz w:val="22"/>
          <w:szCs w:val="22"/>
          <w:highlight w:val="none"/>
          <w:u w:val="none"/>
          <w:lang w:val="en-US" w:eastAsia="zh-CN"/>
        </w:rPr>
        <w:t>4</w:t>
      </w:r>
      <w:r>
        <w:rPr>
          <w:rFonts w:hint="eastAsia"/>
          <w:sz w:val="22"/>
          <w:szCs w:val="22"/>
          <w:highlight w:val="none"/>
          <w:u w:val="none"/>
        </w:rPr>
        <w:t>月</w:t>
      </w:r>
      <w:r>
        <w:rPr>
          <w:rFonts w:hint="eastAsia"/>
          <w:sz w:val="22"/>
          <w:szCs w:val="22"/>
          <w:highlight w:val="none"/>
          <w:u w:val="none"/>
          <w:lang w:val="en-US" w:eastAsia="zh-CN"/>
        </w:rPr>
        <w:t>24</w:t>
      </w:r>
      <w:r>
        <w:rPr>
          <w:rFonts w:hint="eastAsia"/>
          <w:sz w:val="22"/>
          <w:szCs w:val="22"/>
          <w:highlight w:val="none"/>
          <w:u w:val="none"/>
        </w:rPr>
        <w:t>日</w:t>
      </w:r>
      <w:r>
        <w:rPr>
          <w:rFonts w:hint="eastAsia"/>
          <w:sz w:val="22"/>
          <w:szCs w:val="22"/>
          <w:highlight w:val="none"/>
          <w:u w:val="none"/>
          <w:lang w:val="en-US" w:eastAsia="zh-CN"/>
        </w:rPr>
        <w:t>09</w:t>
      </w:r>
      <w:r>
        <w:rPr>
          <w:rFonts w:hint="eastAsia"/>
          <w:sz w:val="22"/>
          <w:szCs w:val="22"/>
          <w:highlight w:val="none"/>
          <w:u w:val="none"/>
        </w:rPr>
        <w:t>点</w:t>
      </w:r>
      <w:r>
        <w:rPr>
          <w:rFonts w:hint="eastAsia"/>
          <w:sz w:val="22"/>
          <w:szCs w:val="22"/>
          <w:highlight w:val="none"/>
          <w:u w:val="none"/>
          <w:lang w:val="en-US" w:eastAsia="zh-CN"/>
        </w:rPr>
        <w:t>30</w:t>
      </w:r>
      <w:r>
        <w:rPr>
          <w:rFonts w:hint="eastAsia"/>
          <w:sz w:val="22"/>
          <w:szCs w:val="22"/>
          <w:highlight w:val="none"/>
          <w:u w:val="none"/>
        </w:rPr>
        <w:t>分（北京时间）</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sz w:val="22"/>
          <w:szCs w:val="22"/>
          <w:highlight w:val="none"/>
          <w:u w:val="none"/>
        </w:rPr>
        <w:t>投标地点（网址）</w:t>
      </w:r>
      <w:r>
        <w:rPr>
          <w:rFonts w:hint="eastAsia"/>
          <w:color w:val="auto"/>
          <w:sz w:val="22"/>
          <w:szCs w:val="22"/>
          <w:highlight w:val="none"/>
          <w:u w:val="none"/>
        </w:rPr>
        <w:t>：</w:t>
      </w:r>
      <w:r>
        <w:rPr>
          <w:rFonts w:hint="eastAsia" w:cs="宋体"/>
          <w:color w:val="auto"/>
          <w:sz w:val="22"/>
          <w:highlight w:val="none"/>
          <w:lang w:val="en-US" w:eastAsia="zh-CN"/>
        </w:rPr>
        <w:t>温州市鹿城区南汇街道勤民路鹿城壹号18幢803室</w:t>
      </w:r>
      <w:r>
        <w:rPr>
          <w:rFonts w:hint="eastAsia" w:ascii="宋体" w:hAnsi="宋体" w:eastAsia="宋体" w:cs="宋体"/>
          <w:color w:val="auto"/>
          <w:sz w:val="22"/>
          <w:highlight w:val="none"/>
          <w:lang w:val="en-US" w:eastAsia="zh-CN"/>
        </w:rPr>
        <w:t>（政采云平台：http://zfcg.czt.zj.gov.cn）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开标时间：</w:t>
      </w:r>
      <w:r>
        <w:rPr>
          <w:rFonts w:hint="eastAsia"/>
          <w:sz w:val="22"/>
          <w:szCs w:val="22"/>
          <w:highlight w:val="none"/>
          <w:u w:val="none"/>
          <w:lang w:eastAsia="zh-CN"/>
        </w:rPr>
        <w:t>202</w:t>
      </w:r>
      <w:r>
        <w:rPr>
          <w:rFonts w:hint="eastAsia"/>
          <w:sz w:val="22"/>
          <w:szCs w:val="22"/>
          <w:highlight w:val="none"/>
          <w:u w:val="none"/>
          <w:lang w:val="en-US" w:eastAsia="zh-CN"/>
        </w:rPr>
        <w:t>4</w:t>
      </w:r>
      <w:r>
        <w:rPr>
          <w:rFonts w:hint="eastAsia"/>
          <w:sz w:val="22"/>
          <w:szCs w:val="22"/>
          <w:highlight w:val="none"/>
          <w:u w:val="none"/>
          <w:lang w:eastAsia="zh-CN"/>
        </w:rPr>
        <w:t>年</w:t>
      </w:r>
      <w:r>
        <w:rPr>
          <w:rFonts w:hint="eastAsia"/>
          <w:sz w:val="22"/>
          <w:szCs w:val="22"/>
          <w:highlight w:val="none"/>
          <w:u w:val="none"/>
          <w:lang w:val="en-US" w:eastAsia="zh-CN"/>
        </w:rPr>
        <w:t>4</w:t>
      </w:r>
      <w:r>
        <w:rPr>
          <w:rFonts w:hint="eastAsia"/>
          <w:sz w:val="22"/>
          <w:szCs w:val="22"/>
          <w:highlight w:val="none"/>
          <w:u w:val="none"/>
        </w:rPr>
        <w:t>月</w:t>
      </w:r>
      <w:r>
        <w:rPr>
          <w:rFonts w:hint="eastAsia"/>
          <w:sz w:val="22"/>
          <w:szCs w:val="22"/>
          <w:highlight w:val="none"/>
          <w:u w:val="none"/>
          <w:lang w:val="en-US" w:eastAsia="zh-CN"/>
        </w:rPr>
        <w:t>24</w:t>
      </w:r>
      <w:r>
        <w:rPr>
          <w:rFonts w:hint="eastAsia"/>
          <w:sz w:val="22"/>
          <w:szCs w:val="22"/>
          <w:highlight w:val="none"/>
          <w:u w:val="none"/>
        </w:rPr>
        <w:t>日</w:t>
      </w:r>
      <w:r>
        <w:rPr>
          <w:rFonts w:hint="eastAsia"/>
          <w:sz w:val="22"/>
          <w:szCs w:val="22"/>
          <w:highlight w:val="none"/>
          <w:u w:val="none"/>
          <w:lang w:val="en-US" w:eastAsia="zh-CN"/>
        </w:rPr>
        <w:t>09</w:t>
      </w:r>
      <w:r>
        <w:rPr>
          <w:rFonts w:hint="eastAsia"/>
          <w:sz w:val="22"/>
          <w:szCs w:val="22"/>
          <w:highlight w:val="none"/>
          <w:u w:val="none"/>
        </w:rPr>
        <w:t>点</w:t>
      </w:r>
      <w:r>
        <w:rPr>
          <w:rFonts w:hint="eastAsia"/>
          <w:sz w:val="22"/>
          <w:szCs w:val="22"/>
          <w:highlight w:val="none"/>
          <w:u w:val="none"/>
          <w:lang w:val="en-US" w:eastAsia="zh-CN"/>
        </w:rPr>
        <w:t>30</w:t>
      </w:r>
      <w:r>
        <w:rPr>
          <w:rFonts w:hint="eastAsia"/>
          <w:sz w:val="22"/>
          <w:szCs w:val="22"/>
          <w:highlight w:val="none"/>
          <w:u w:val="none"/>
        </w:rPr>
        <w:t>分</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color w:val="auto"/>
          <w:sz w:val="22"/>
          <w:szCs w:val="22"/>
          <w:highlight w:val="none"/>
          <w:u w:val="none"/>
        </w:rPr>
        <w:t>开标地点（网址）：</w:t>
      </w:r>
      <w:r>
        <w:rPr>
          <w:rFonts w:hint="eastAsia" w:cs="宋体"/>
          <w:color w:val="auto"/>
          <w:sz w:val="22"/>
          <w:highlight w:val="none"/>
          <w:lang w:val="en-US" w:eastAsia="zh-CN"/>
        </w:rPr>
        <w:t>温州市鹿城区南汇街道勤民路鹿城壹号18幢803室</w:t>
      </w:r>
      <w:r>
        <w:rPr>
          <w:rFonts w:hint="eastAsia" w:ascii="宋体" w:hAnsi="宋体" w:eastAsia="宋体" w:cs="宋体"/>
          <w:color w:val="auto"/>
          <w:sz w:val="22"/>
          <w:highlight w:val="none"/>
          <w:lang w:val="en-US" w:eastAsia="zh-CN"/>
        </w:rPr>
        <w:t>（政采云平台：http://zfcg.czt.zj.gov.cn）</w:t>
      </w:r>
      <w:r>
        <w:rPr>
          <w:rFonts w:hint="eastAsia"/>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sz w:val="22"/>
          <w:szCs w:val="22"/>
          <w:highlight w:val="none"/>
          <w:u w:val="none"/>
        </w:rPr>
      </w:pPr>
      <w:r>
        <w:rPr>
          <w:rFonts w:hint="eastAsia"/>
          <w:b/>
          <w:bCs/>
          <w:sz w:val="22"/>
          <w:szCs w:val="22"/>
          <w:highlight w:val="none"/>
          <w:u w:val="none"/>
        </w:rPr>
        <w:t>五、公告期限</w:t>
      </w:r>
      <w:r>
        <w:rPr>
          <w:rFonts w:hint="eastAsia"/>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自本公告发布之日起5个工作日。</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sz w:val="22"/>
          <w:szCs w:val="22"/>
          <w:highlight w:val="none"/>
          <w:u w:val="none"/>
        </w:rPr>
      </w:pPr>
      <w:r>
        <w:rPr>
          <w:rFonts w:hint="eastAsia"/>
          <w:b/>
          <w:bCs/>
          <w:sz w:val="22"/>
          <w:szCs w:val="22"/>
          <w:highlight w:val="none"/>
          <w:u w:val="none"/>
        </w:rPr>
        <w:t>六、其他补充事宜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spacing w:before="75" w:beforeAutospacing="0" w:after="75" w:afterAutospacing="0" w:line="460" w:lineRule="exact"/>
        <w:ind w:firstLine="435"/>
        <w:rPr>
          <w:rFonts w:hint="eastAsia" w:eastAsia="宋体"/>
          <w:sz w:val="22"/>
          <w:szCs w:val="22"/>
          <w:highlight w:val="none"/>
          <w:u w:val="none"/>
          <w:lang w:val="en-US" w:eastAsia="zh-CN"/>
        </w:rPr>
      </w:pPr>
      <w:r>
        <w:rPr>
          <w:rFonts w:hint="eastAsia" w:ascii="宋体" w:hAnsi="宋体" w:eastAsia="宋体" w:cs="宋体"/>
          <w:color w:val="auto"/>
          <w:sz w:val="22"/>
          <w:highlight w:val="none"/>
          <w:lang w:val="en-US" w:eastAsia="zh-CN"/>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w:t>
      </w:r>
      <w:r>
        <w:rPr>
          <w:rFonts w:hint="eastAsia" w:cs="宋体"/>
          <w:color w:val="auto"/>
          <w:sz w:val="22"/>
          <w:highlight w:val="none"/>
          <w:lang w:val="en-US" w:eastAsia="zh-CN"/>
        </w:rPr>
        <w:t>（三）招标</w:t>
      </w:r>
      <w:r>
        <w:rPr>
          <w:rFonts w:hint="eastAsia" w:ascii="新宋体" w:hAnsi="新宋体" w:eastAsia="新宋体" w:cs="新宋体"/>
          <w:sz w:val="22"/>
          <w:szCs w:val="22"/>
          <w:highlight w:val="none"/>
        </w:rPr>
        <w:t>公告附件的采购文件仅供阅览使用，未按照本公告规定的方式获取采购文件的潜在供应商提起的质疑采购组织机构将不予受理、答复。</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七、对本次招标提出询问，请按以下方式联系</w:t>
      </w:r>
      <w:r>
        <w:rPr>
          <w:rFonts w:hint="eastAsia" w:ascii="宋体" w:hAnsi="宋体" w:eastAsia="宋体" w:cs="宋体"/>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1.采购人信息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sz w:val="22"/>
          <w:szCs w:val="22"/>
          <w:highlight w:val="none"/>
          <w:u w:val="none"/>
          <w:lang w:eastAsia="zh-CN"/>
        </w:rPr>
      </w:pPr>
      <w:r>
        <w:rPr>
          <w:rFonts w:hint="eastAsia"/>
          <w:sz w:val="22"/>
          <w:szCs w:val="22"/>
          <w:highlight w:val="none"/>
          <w:u w:val="none"/>
        </w:rPr>
        <w:t>名  称：</w:t>
      </w:r>
      <w:r>
        <w:rPr>
          <w:rFonts w:hint="eastAsia"/>
          <w:sz w:val="22"/>
          <w:szCs w:val="22"/>
          <w:highlight w:val="none"/>
          <w:u w:val="none"/>
          <w:lang w:eastAsia="zh-CN"/>
        </w:rPr>
        <w:t>温州市市场监督管理局</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 xml:space="preserve">地  址：温州市市府路496号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传  真：</w:t>
      </w:r>
      <w:r>
        <w:rPr>
          <w:rFonts w:hint="eastAsia"/>
          <w:sz w:val="22"/>
          <w:szCs w:val="22"/>
          <w:highlight w:val="none"/>
          <w:u w:val="none"/>
          <w:lang w:val="en-US" w:eastAsia="zh-CN"/>
        </w:rPr>
        <w:t>/</w:t>
      </w:r>
      <w:r>
        <w:rPr>
          <w:rFonts w:hint="eastAsia"/>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项目联系人（询问）：林女士</w:t>
      </w:r>
      <w:bookmarkStart w:id="84" w:name="_GoBack"/>
      <w:bookmarkEnd w:id="84"/>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sz w:val="22"/>
          <w:szCs w:val="22"/>
          <w:highlight w:val="none"/>
          <w:u w:val="none"/>
          <w:lang w:eastAsia="zh-CN"/>
        </w:rPr>
      </w:pPr>
      <w:r>
        <w:rPr>
          <w:rFonts w:hint="eastAsia"/>
          <w:sz w:val="22"/>
          <w:szCs w:val="22"/>
          <w:highlight w:val="none"/>
          <w:u w:val="none"/>
        </w:rPr>
        <w:t>项目联系方式（询问）：</w:t>
      </w:r>
      <w:r>
        <w:rPr>
          <w:rFonts w:hint="eastAsia"/>
          <w:sz w:val="22"/>
          <w:szCs w:val="22"/>
          <w:highlight w:val="none"/>
          <w:u w:val="none"/>
          <w:lang w:val="en-US" w:eastAsia="zh-CN"/>
        </w:rPr>
        <w:tab/>
      </w:r>
      <w:r>
        <w:rPr>
          <w:rFonts w:hint="eastAsia"/>
          <w:sz w:val="22"/>
          <w:szCs w:val="22"/>
          <w:highlight w:val="none"/>
          <w:u w:val="none"/>
          <w:lang w:val="en-US" w:eastAsia="zh-CN"/>
        </w:rPr>
        <w:t>0577-89662269</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质疑联系人：陈先生</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质疑联系方式：0577-88907801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sz w:val="22"/>
          <w:szCs w:val="22"/>
          <w:highlight w:val="none"/>
          <w:u w:val="none"/>
        </w:rPr>
      </w:pPr>
      <w:r>
        <w:rPr>
          <w:rFonts w:hint="eastAsia"/>
          <w:sz w:val="22"/>
          <w:szCs w:val="22"/>
          <w:highlight w:val="none"/>
          <w:u w:val="none"/>
        </w:rPr>
        <w:t>  2.采购代理机构信息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名  称：</w:t>
      </w:r>
      <w:r>
        <w:rPr>
          <w:rFonts w:hint="eastAsia"/>
          <w:color w:val="auto"/>
          <w:sz w:val="22"/>
          <w:szCs w:val="22"/>
          <w:highlight w:val="none"/>
          <w:u w:val="none"/>
          <w:lang w:val="en-US" w:eastAsia="zh-CN"/>
        </w:rPr>
        <w:t>温州历程招标有限公司</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color w:val="auto"/>
          <w:sz w:val="22"/>
          <w:szCs w:val="22"/>
          <w:highlight w:val="none"/>
          <w:lang w:eastAsia="zh-CN"/>
        </w:rPr>
        <w:t>温州市鹿城区南汇街道勤民路鹿城壹号18幢803室</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 xml:space="preserve">传  真：0577-89887255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 xml:space="preserve">项目联系人（询问）： </w:t>
      </w:r>
      <w:r>
        <w:rPr>
          <w:rFonts w:hint="eastAsia"/>
          <w:sz w:val="22"/>
          <w:szCs w:val="22"/>
          <w:highlight w:val="none"/>
          <w:u w:val="none"/>
          <w:lang w:val="en-US" w:eastAsia="zh-CN"/>
        </w:rPr>
        <w:t>温碧霞</w:t>
      </w:r>
      <w:r>
        <w:rPr>
          <w:rFonts w:hint="eastAsia"/>
          <w:sz w:val="22"/>
          <w:szCs w:val="22"/>
          <w:highlight w:val="none"/>
          <w:u w:val="none"/>
        </w:rPr>
        <w:t>、郑永强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项目联系方式（询问）：0577-89887322、13757727199</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eastAsia="宋体"/>
          <w:sz w:val="22"/>
          <w:szCs w:val="22"/>
          <w:highlight w:val="none"/>
          <w:u w:val="none"/>
          <w:lang w:val="en-US" w:eastAsia="zh-CN"/>
        </w:rPr>
      </w:pPr>
      <w:r>
        <w:rPr>
          <w:rFonts w:hint="eastAsia"/>
          <w:sz w:val="22"/>
          <w:szCs w:val="22"/>
          <w:highlight w:val="none"/>
          <w:u w:val="none"/>
        </w:rPr>
        <w:t>质疑联系人：</w:t>
      </w:r>
      <w:r>
        <w:rPr>
          <w:rFonts w:hint="eastAsia"/>
          <w:sz w:val="22"/>
          <w:szCs w:val="22"/>
          <w:highlight w:val="none"/>
          <w:u w:val="none"/>
          <w:lang w:val="en-US" w:eastAsia="zh-CN"/>
        </w:rPr>
        <w:t>肖忠文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sz w:val="22"/>
          <w:szCs w:val="22"/>
          <w:highlight w:val="none"/>
          <w:u w:val="none"/>
        </w:rPr>
      </w:pPr>
      <w:r>
        <w:rPr>
          <w:rFonts w:hint="eastAsia"/>
          <w:sz w:val="22"/>
          <w:szCs w:val="22"/>
          <w:highlight w:val="none"/>
          <w:u w:val="none"/>
        </w:rPr>
        <w:t>质疑联系方式：13757727199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3.同级政府采购监督管理部门</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名    称：温州市财政局政府采购监管处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地    址：温州市鹿城区绣山路299号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 xml:space="preserve">传    </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真：/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系</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人 ：项先生、蔡女士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监督投诉电话：0577-88532725、88521948</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sz w:val="22"/>
          <w:szCs w:val="22"/>
          <w:highlight w:val="none"/>
          <w:u w:val="none"/>
        </w:rPr>
      </w:pPr>
      <w:r>
        <w:rPr>
          <w:rFonts w:hint="eastAsia"/>
          <w:sz w:val="22"/>
          <w:szCs w:val="22"/>
          <w:highlight w:val="none"/>
          <w:u w:val="none"/>
        </w:rPr>
        <w:t>　</w:t>
      </w:r>
    </w:p>
    <w:p>
      <w:pPr>
        <w:rPr>
          <w:rFonts w:hint="eastAsia" w:ascii="宋体" w:hAnsi="宋体" w:eastAsia="宋体" w:cs="宋体"/>
          <w:highlight w:val="none"/>
        </w:rPr>
      </w:pPr>
      <w:bookmarkStart w:id="2" w:name="_Toc10401"/>
      <w:bookmarkStart w:id="3" w:name="_Toc5772"/>
      <w:r>
        <w:rPr>
          <w:rFonts w:hint="eastAsia" w:ascii="宋体" w:hAnsi="宋体" w:eastAsia="宋体" w:cs="宋体"/>
          <w:highlight w:val="none"/>
        </w:rPr>
        <w:br w:type="page"/>
      </w:r>
    </w:p>
    <w:p>
      <w:pPr>
        <w:pStyle w:val="4"/>
        <w:bidi w:val="0"/>
        <w:rPr>
          <w:rFonts w:hint="eastAsia" w:ascii="宋体" w:hAnsi="宋体" w:eastAsia="宋体" w:cs="宋体"/>
          <w:highlight w:val="none"/>
        </w:rPr>
      </w:pPr>
      <w:r>
        <w:rPr>
          <w:rFonts w:hint="eastAsia" w:ascii="宋体" w:hAnsi="宋体" w:eastAsia="宋体" w:cs="宋体"/>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hint="eastAsia" w:ascii="宋体" w:hAnsi="宋体" w:eastAsia="宋体" w:cs="宋体"/>
          <w:b/>
          <w:bCs/>
          <w:color w:val="auto"/>
          <w:sz w:val="24"/>
          <w:highlight w:val="none"/>
        </w:rPr>
      </w:pPr>
      <w:bookmarkStart w:id="4" w:name="_Toc1839"/>
      <w:bookmarkStart w:id="5" w:name="_Toc233618971"/>
      <w:bookmarkStart w:id="6" w:name="_Toc354996695"/>
      <w:bookmarkStart w:id="7" w:name="_Toc6224"/>
      <w:bookmarkStart w:id="8" w:name="_Toc33194387"/>
      <w:r>
        <w:rPr>
          <w:rFonts w:hint="eastAsia" w:ascii="宋体" w:hAnsi="宋体" w:eastAsia="宋体" w:cs="宋体"/>
          <w:b/>
          <w:bCs/>
          <w:color w:val="auto"/>
          <w:sz w:val="24"/>
          <w:highlight w:val="none"/>
        </w:rPr>
        <w:t>前 附 表</w:t>
      </w:r>
      <w:bookmarkEnd w:id="4"/>
      <w:bookmarkEnd w:id="5"/>
      <w:bookmarkEnd w:id="6"/>
      <w:bookmarkEnd w:id="7"/>
      <w:bookmarkEnd w:id="8"/>
    </w:p>
    <w:tbl>
      <w:tblPr>
        <w:tblStyle w:val="53"/>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rPr>
              <w:t>一、项目名称</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2024年职工疗休养服务</w:t>
            </w:r>
          </w:p>
          <w:p>
            <w:pPr>
              <w:spacing w:line="460" w:lineRule="exact"/>
              <w:rPr>
                <w:rFonts w:hint="eastAsia" w:ascii="宋体" w:hAnsi="宋体" w:eastAsia="宋体" w:cs="宋体"/>
                <w:b/>
                <w:bCs/>
                <w:color w:val="auto"/>
                <w:sz w:val="22"/>
                <w:szCs w:val="22"/>
                <w:highlight w:val="none"/>
              </w:rPr>
            </w:pPr>
            <w:bookmarkStart w:id="9" w:name="_Hlt75139851"/>
            <w:bookmarkEnd w:id="9"/>
            <w:r>
              <w:rPr>
                <w:rFonts w:hint="eastAsia" w:ascii="宋体" w:hAnsi="宋体" w:eastAsia="宋体" w:cs="宋体"/>
                <w:b/>
                <w:bCs/>
                <w:color w:val="auto"/>
                <w:sz w:val="22"/>
                <w:szCs w:val="22"/>
                <w:highlight w:val="none"/>
              </w:rPr>
              <w:t>二、采购内容：</w:t>
            </w:r>
          </w:p>
          <w:tbl>
            <w:tblPr>
              <w:tblStyle w:val="53"/>
              <w:tblW w:w="91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3107"/>
              <w:gridCol w:w="795"/>
              <w:gridCol w:w="1728"/>
              <w:gridCol w:w="28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eastAsia="zh-CN"/>
                    </w:rPr>
                  </w:pPr>
                  <w:r>
                    <w:rPr>
                      <w:rFonts w:hint="eastAsia" w:ascii="宋体" w:hAnsi="宋体" w:cs="宋体"/>
                      <w:color w:val="auto"/>
                      <w:sz w:val="22"/>
                      <w:szCs w:val="22"/>
                      <w:highlight w:val="none"/>
                      <w:lang w:val="en-US" w:eastAsia="zh-CN"/>
                    </w:rPr>
                    <w:t>标项</w:t>
                  </w:r>
                </w:p>
              </w:tc>
              <w:tc>
                <w:tcPr>
                  <w:tcW w:w="310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c>
                <w:tcPr>
                  <w:tcW w:w="79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单位</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highlight w:val="none"/>
                    </w:rPr>
                    <w:t>预算金额</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元</w:t>
                  </w:r>
                  <w:r>
                    <w:rPr>
                      <w:rFonts w:hint="eastAsia" w:ascii="宋体" w:hAnsi="宋体" w:eastAsia="宋体" w:cs="宋体"/>
                      <w:color w:val="auto"/>
                      <w:sz w:val="22"/>
                      <w:highlight w:val="none"/>
                      <w:lang w:eastAsia="zh-CN"/>
                    </w:rPr>
                    <w:t>）</w:t>
                  </w:r>
                </w:p>
              </w:tc>
              <w:tc>
                <w:tcPr>
                  <w:tcW w:w="28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31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宋体" w:hAnsi="宋体" w:eastAsia="宋体" w:cs="宋体"/>
                      <w:color w:val="auto"/>
                      <w:sz w:val="22"/>
                      <w:highlight w:val="none"/>
                      <w:lang w:val="en-US"/>
                    </w:rPr>
                  </w:pPr>
                  <w:r>
                    <w:rPr>
                      <w:rFonts w:hint="eastAsia" w:ascii="宋体" w:hAnsi="宋体" w:cs="宋体"/>
                      <w:color w:val="auto"/>
                      <w:sz w:val="22"/>
                      <w:highlight w:val="none"/>
                      <w:lang w:eastAsia="zh-CN"/>
                    </w:rPr>
                    <w:t>2024年职工疗休养服务</w:t>
                  </w:r>
                  <w:r>
                    <w:rPr>
                      <w:rFonts w:hint="eastAsia" w:ascii="宋体" w:hAnsi="宋体" w:cs="宋体"/>
                      <w:color w:val="auto"/>
                      <w:sz w:val="22"/>
                      <w:highlight w:val="none"/>
                      <w:lang w:val="en-US" w:eastAsia="zh-CN"/>
                    </w:rPr>
                    <w:t>标项一</w:t>
                  </w:r>
                </w:p>
              </w:tc>
              <w:tc>
                <w:tcPr>
                  <w:tcW w:w="79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eastAsia="宋体" w:cs="宋体"/>
                      <w:color w:val="auto"/>
                      <w:sz w:val="22"/>
                      <w:szCs w:val="22"/>
                      <w:highlight w:val="none"/>
                      <w:shd w:val="clear" w:color="auto" w:fill="FFFFFF"/>
                      <w:lang w:val="en-US" w:eastAsia="zh-CN"/>
                    </w:rPr>
                    <w:t>1</w:t>
                  </w:r>
                  <w:r>
                    <w:rPr>
                      <w:rFonts w:hint="eastAsia" w:ascii="宋体" w:hAnsi="宋体" w:cs="宋体"/>
                      <w:color w:val="auto"/>
                      <w:sz w:val="22"/>
                      <w:szCs w:val="22"/>
                      <w:highlight w:val="none"/>
                      <w:shd w:val="clear" w:color="auto" w:fill="FFFFFF"/>
                      <w:lang w:val="en-US" w:eastAsia="zh-CN"/>
                    </w:rPr>
                    <w:t>年</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495000</w:t>
                  </w:r>
                </w:p>
              </w:tc>
              <w:tc>
                <w:tcPr>
                  <w:tcW w:w="2833" w:type="dxa"/>
                  <w:vMerge w:val="restart"/>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详见招标文件第</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部分“项目技术规范和服务要求”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711"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c>
                <w:tcPr>
                  <w:tcW w:w="3107"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cs="宋体"/>
                      <w:color w:val="auto"/>
                      <w:sz w:val="22"/>
                      <w:highlight w:val="none"/>
                      <w:lang w:eastAsia="zh-CN"/>
                    </w:rPr>
                  </w:pPr>
                  <w:r>
                    <w:rPr>
                      <w:rFonts w:hint="eastAsia" w:ascii="宋体" w:hAnsi="宋体" w:cs="宋体"/>
                      <w:color w:val="auto"/>
                      <w:sz w:val="22"/>
                      <w:highlight w:val="none"/>
                      <w:lang w:eastAsia="zh-CN"/>
                    </w:rPr>
                    <w:t>2024年职工疗休养服务</w:t>
                  </w:r>
                  <w:r>
                    <w:rPr>
                      <w:rFonts w:hint="eastAsia" w:ascii="宋体" w:hAnsi="宋体" w:cs="宋体"/>
                      <w:color w:val="auto"/>
                      <w:sz w:val="22"/>
                      <w:highlight w:val="none"/>
                      <w:lang w:val="en-US" w:eastAsia="zh-CN"/>
                    </w:rPr>
                    <w:t>标项二</w:t>
                  </w:r>
                </w:p>
              </w:tc>
              <w:tc>
                <w:tcPr>
                  <w:tcW w:w="79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eastAsia="宋体" w:cs="宋体"/>
                      <w:color w:val="auto"/>
                      <w:sz w:val="22"/>
                      <w:szCs w:val="22"/>
                      <w:highlight w:val="none"/>
                      <w:shd w:val="clear" w:color="auto" w:fill="FFFFFF"/>
                      <w:lang w:val="en-US" w:eastAsia="zh-CN"/>
                    </w:rPr>
                    <w:t>1</w:t>
                  </w:r>
                  <w:r>
                    <w:rPr>
                      <w:rFonts w:hint="eastAsia" w:ascii="宋体" w:hAnsi="宋体" w:cs="宋体"/>
                      <w:color w:val="auto"/>
                      <w:sz w:val="22"/>
                      <w:szCs w:val="22"/>
                      <w:highlight w:val="none"/>
                      <w:shd w:val="clear" w:color="auto" w:fill="FFFFFF"/>
                      <w:lang w:val="en-US" w:eastAsia="zh-CN"/>
                    </w:rPr>
                    <w:t>年</w:t>
                  </w:r>
                </w:p>
              </w:tc>
              <w:tc>
                <w:tcPr>
                  <w:tcW w:w="1728"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495000</w:t>
                  </w:r>
                </w:p>
              </w:tc>
              <w:tc>
                <w:tcPr>
                  <w:tcW w:w="2833" w:type="dxa"/>
                  <w:vMerge w:val="continue"/>
                  <w:tcBorders>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p>
              </w:tc>
            </w:tr>
          </w:tbl>
          <w:p>
            <w:pPr>
              <w:tabs>
                <w:tab w:val="left" w:pos="360"/>
              </w:tabs>
              <w:spacing w:line="460" w:lineRule="exact"/>
              <w:ind w:firstLine="552" w:firstLineChars="250"/>
              <w:rPr>
                <w:rFonts w:hint="eastAsia" w:ascii="宋体" w:hAnsi="宋体" w:eastAsia="宋体" w:cs="宋体"/>
                <w:color w:val="auto"/>
                <w:highlight w:val="none"/>
              </w:rPr>
            </w:pPr>
            <w:r>
              <w:rPr>
                <w:rFonts w:hint="eastAsia" w:ascii="宋体" w:hAnsi="宋体" w:eastAsia="宋体" w:cs="宋体"/>
                <w:b/>
                <w:color w:val="auto"/>
                <w:sz w:val="22"/>
                <w:szCs w:val="22"/>
                <w:highlight w:val="none"/>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投标</w:t>
            </w:r>
            <w:r>
              <w:rPr>
                <w:rFonts w:hint="eastAsia" w:ascii="宋体" w:hAnsi="宋体" w:eastAsia="宋体" w:cs="宋体"/>
                <w:b/>
                <w:bCs/>
                <w:color w:val="auto"/>
                <w:sz w:val="22"/>
                <w:szCs w:val="22"/>
                <w:highlight w:val="none"/>
              </w:rPr>
              <w:t>有效期：</w:t>
            </w:r>
            <w:r>
              <w:rPr>
                <w:rFonts w:hint="eastAsia" w:ascii="宋体" w:hAnsi="宋体" w:eastAsia="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投标保证金数额：无</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招标服务费：</w:t>
            </w:r>
            <w:r>
              <w:rPr>
                <w:rFonts w:hint="eastAsia" w:ascii="宋体" w:hAnsi="宋体" w:cs="宋体"/>
                <w:b/>
                <w:bCs/>
                <w:color w:val="auto"/>
                <w:sz w:val="22"/>
                <w:szCs w:val="22"/>
                <w:highlight w:val="none"/>
                <w:lang w:val="en-US" w:eastAsia="zh-CN"/>
              </w:rPr>
              <w:t>各标项</w:t>
            </w:r>
            <w:r>
              <w:rPr>
                <w:rFonts w:hint="eastAsia" w:ascii="宋体" w:hAnsi="宋体" w:eastAsia="宋体" w:cs="宋体"/>
                <w:b/>
                <w:bCs/>
                <w:color w:val="auto"/>
                <w:sz w:val="22"/>
                <w:szCs w:val="22"/>
                <w:highlight w:val="none"/>
              </w:rPr>
              <w:t>根据国家计委计价格【2002】1980号《招标代理服务收费管理暂行办法》规定</w:t>
            </w:r>
            <w:r>
              <w:rPr>
                <w:rFonts w:hint="eastAsia" w:ascii="宋体" w:hAnsi="宋体" w:cs="宋体"/>
                <w:b/>
                <w:bCs/>
                <w:color w:val="auto"/>
                <w:sz w:val="22"/>
                <w:szCs w:val="22"/>
                <w:highlight w:val="none"/>
                <w:lang w:val="en-US" w:eastAsia="zh-CN"/>
              </w:rPr>
              <w:t>按预算金额的</w:t>
            </w:r>
            <w:r>
              <w:rPr>
                <w:rFonts w:hint="eastAsia" w:ascii="宋体" w:hAnsi="宋体" w:eastAsia="宋体" w:cs="宋体"/>
                <w:b/>
                <w:bCs/>
                <w:color w:val="auto"/>
                <w:sz w:val="22"/>
                <w:szCs w:val="22"/>
                <w:highlight w:val="none"/>
                <w:lang w:val="en-US" w:eastAsia="zh-CN"/>
              </w:rPr>
              <w:t>标准</w:t>
            </w:r>
            <w:r>
              <w:rPr>
                <w:rFonts w:hint="eastAsia" w:ascii="宋体" w:hAnsi="宋体" w:eastAsia="宋体" w:cs="宋体"/>
                <w:b/>
                <w:bCs/>
                <w:color w:val="auto"/>
                <w:sz w:val="22"/>
                <w:szCs w:val="22"/>
                <w:highlight w:val="none"/>
              </w:rPr>
              <w:t>收取,由中标人在领取中标通知书时支付。</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户   名：温州历程招标有限公司</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   号：33050162870409101001</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投标文件的组成：</w:t>
            </w:r>
            <w:r>
              <w:rPr>
                <w:rFonts w:hint="eastAsia" w:ascii="宋体" w:hAnsi="宋体" w:eastAsia="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投标文件的编制：</w:t>
            </w:r>
            <w:r>
              <w:rPr>
                <w:rFonts w:hint="eastAsia" w:ascii="宋体" w:hAnsi="宋体" w:eastAsia="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投标文件的签章：</w:t>
            </w:r>
            <w:r>
              <w:rPr>
                <w:rFonts w:hint="eastAsia" w:ascii="宋体" w:hAnsi="宋体" w:eastAsia="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投标文件的形式：</w:t>
            </w:r>
            <w:r>
              <w:rPr>
                <w:rFonts w:hint="eastAsia" w:ascii="宋体" w:hAnsi="宋体" w:eastAsia="宋体" w:cs="宋体"/>
                <w:color w:val="auto"/>
                <w:sz w:val="22"/>
                <w:szCs w:val="22"/>
                <w:highlight w:val="none"/>
              </w:rPr>
              <w:t>☑电子投标文件（包括“电子加密投标文件”和“备份投标文件”，在投标文件编制完成后同时生成）；</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sz w:val="22"/>
                <w:szCs w:val="28"/>
                <w:highlight w:val="none"/>
              </w:rPr>
            </w:pPr>
            <w:r>
              <w:rPr>
                <w:rFonts w:hint="eastAsia"/>
                <w:sz w:val="22"/>
                <w:szCs w:val="28"/>
                <w:highlight w:val="none"/>
              </w:rPr>
              <w:t>投标文件份数：</w:t>
            </w:r>
          </w:p>
          <w:p>
            <w:pPr>
              <w:numPr>
                <w:ilvl w:val="0"/>
                <w:numId w:val="1"/>
              </w:numPr>
              <w:spacing w:line="460" w:lineRule="exact"/>
              <w:rPr>
                <w:rFonts w:hint="eastAsia"/>
                <w:sz w:val="22"/>
                <w:szCs w:val="28"/>
                <w:highlight w:val="none"/>
              </w:rPr>
            </w:pPr>
            <w:r>
              <w:rPr>
                <w:rFonts w:hint="eastAsia"/>
                <w:sz w:val="22"/>
                <w:szCs w:val="28"/>
                <w:highlight w:val="none"/>
              </w:rPr>
              <w:t>“电子加密投标文件”：在线上传、递交一份。</w:t>
            </w:r>
          </w:p>
          <w:p>
            <w:pPr>
              <w:numPr>
                <w:ilvl w:val="0"/>
                <w:numId w:val="1"/>
              </w:numPr>
              <w:spacing w:line="460" w:lineRule="exact"/>
              <w:rPr>
                <w:rFonts w:hint="eastAsia"/>
                <w:sz w:val="22"/>
                <w:szCs w:val="28"/>
                <w:highlight w:val="none"/>
              </w:rPr>
            </w:pPr>
            <w:r>
              <w:rPr>
                <w:rFonts w:hint="eastAsia"/>
                <w:sz w:val="22"/>
                <w:szCs w:val="28"/>
                <w:highlight w:val="none"/>
              </w:rPr>
              <w:t>“备份投标文件”：密封包装后投标截止时间前递交一份</w:t>
            </w:r>
          </w:p>
          <w:p>
            <w:pPr>
              <w:spacing w:line="460" w:lineRule="exact"/>
              <w:rPr>
                <w:rFonts w:hint="eastAsia"/>
                <w:sz w:val="22"/>
                <w:szCs w:val="28"/>
                <w:highlight w:val="none"/>
              </w:rPr>
            </w:pPr>
            <w:r>
              <w:rPr>
                <w:rFonts w:hint="eastAsia"/>
                <w:sz w:val="22"/>
                <w:szCs w:val="28"/>
                <w:highlight w:val="none"/>
              </w:rPr>
              <w:t>（若不提供备份投标文件，开标当天电子加密投标文件解密失败，投标人自行负责。）</w:t>
            </w:r>
          </w:p>
          <w:p>
            <w:pPr>
              <w:tabs>
                <w:tab w:val="left" w:pos="360"/>
              </w:tabs>
              <w:spacing w:line="460" w:lineRule="exact"/>
              <w:rPr>
                <w:rFonts w:hint="eastAsia" w:eastAsia="宋体"/>
                <w:sz w:val="22"/>
                <w:szCs w:val="28"/>
                <w:highlight w:val="none"/>
                <w:lang w:eastAsia="zh-CN"/>
              </w:rPr>
            </w:pPr>
            <w:r>
              <w:rPr>
                <w:rFonts w:hint="eastAsia"/>
                <w:sz w:val="22"/>
                <w:szCs w:val="28"/>
                <w:highlight w:val="none"/>
              </w:rPr>
              <w:t>可以</w:t>
            </w:r>
            <w:r>
              <w:rPr>
                <w:rFonts w:hint="eastAsia"/>
                <w:sz w:val="22"/>
                <w:szCs w:val="28"/>
                <w:highlight w:val="none"/>
                <w:lang w:val="en-US" w:eastAsia="zh-CN"/>
              </w:rPr>
              <w:t>以</w:t>
            </w:r>
            <w:r>
              <w:rPr>
                <w:rFonts w:hint="eastAsia"/>
                <w:sz w:val="22"/>
                <w:szCs w:val="28"/>
                <w:highlight w:val="none"/>
              </w:rPr>
              <w:t>邮寄形式（建议顺丰）在投标截止时间前递交，并需</w:t>
            </w:r>
            <w:r>
              <w:rPr>
                <w:rFonts w:hint="eastAsia"/>
                <w:sz w:val="22"/>
                <w:szCs w:val="28"/>
                <w:highlight w:val="none"/>
                <w:lang w:val="en-US" w:eastAsia="zh-CN"/>
              </w:rPr>
              <w:t>及时与</w:t>
            </w:r>
            <w:r>
              <w:rPr>
                <w:rFonts w:hint="eastAsia"/>
                <w:sz w:val="22"/>
                <w:szCs w:val="28"/>
                <w:highlight w:val="none"/>
              </w:rPr>
              <w:t>采购代理机构确认是否收到</w:t>
            </w:r>
            <w:r>
              <w:rPr>
                <w:rFonts w:hint="eastAsia"/>
                <w:sz w:val="22"/>
                <w:szCs w:val="28"/>
                <w:highlight w:val="none"/>
                <w:lang w:eastAsia="zh-CN"/>
              </w:rPr>
              <w:t>：</w:t>
            </w:r>
          </w:p>
          <w:p>
            <w:pPr>
              <w:spacing w:line="460" w:lineRule="exact"/>
              <w:rPr>
                <w:rFonts w:hint="eastAsia"/>
                <w:sz w:val="22"/>
                <w:szCs w:val="28"/>
                <w:highlight w:val="none"/>
                <w:lang w:eastAsia="zh-CN"/>
              </w:rPr>
            </w:pPr>
            <w:r>
              <w:rPr>
                <w:rFonts w:hint="eastAsia"/>
                <w:sz w:val="22"/>
                <w:szCs w:val="28"/>
                <w:highlight w:val="none"/>
              </w:rPr>
              <w:t>邮寄地址：</w:t>
            </w:r>
            <w:r>
              <w:rPr>
                <w:rFonts w:hint="eastAsia"/>
                <w:sz w:val="22"/>
                <w:szCs w:val="28"/>
                <w:highlight w:val="none"/>
                <w:lang w:eastAsia="zh-CN"/>
              </w:rPr>
              <w:t>温州市鹿城区南汇街道勤民路鹿城壹号18幢803室</w:t>
            </w:r>
          </w:p>
          <w:p>
            <w:pPr>
              <w:spacing w:line="460" w:lineRule="exact"/>
              <w:rPr>
                <w:rFonts w:hint="default" w:eastAsia="宋体"/>
                <w:highlight w:val="none"/>
                <w:lang w:val="en-US" w:eastAsia="zh-CN"/>
              </w:rPr>
            </w:pPr>
            <w:r>
              <w:rPr>
                <w:rFonts w:hint="eastAsia"/>
                <w:sz w:val="22"/>
                <w:szCs w:val="28"/>
                <w:highlight w:val="none"/>
                <w:lang w:val="en-US" w:eastAsia="zh-CN"/>
              </w:rPr>
              <w:t>联系人：温先生    联系电话</w:t>
            </w:r>
            <w:r>
              <w:rPr>
                <w:rFonts w:hint="eastAsia"/>
                <w:b w:val="0"/>
                <w:bCs w:val="0"/>
                <w:sz w:val="22"/>
                <w:szCs w:val="28"/>
                <w:highlight w:val="none"/>
                <w:lang w:val="en-US" w:eastAsia="zh-CN"/>
              </w:rPr>
              <w:t>：13757727199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投标文件的上传和递交：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（1）“电子加密投标文件”的上传、递交：</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a.投标人应在投标截止时间前将“电子加密投标文件”成功上传递交至“政府采购云平台”，否则投标无效。</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b.“电子加密投标文件”成功上传</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递交后，供应商可自行打印投标文件接收回执。</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（2）“备份投标文件”的密封包装、递交：</w:t>
            </w:r>
          </w:p>
          <w:p>
            <w:pPr>
              <w:tabs>
                <w:tab w:val="left" w:pos="360"/>
              </w:tabs>
              <w:spacing w:line="460" w:lineRule="exact"/>
              <w:ind w:firstLine="220" w:firstLineChars="10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a.投标人在“政府采购云平台”完成“电子加密投标文件”的上传递交后，</w:t>
            </w:r>
            <w:r>
              <w:rPr>
                <w:rFonts w:hint="eastAsia" w:ascii="宋体" w:hAnsi="宋体" w:eastAsia="宋体" w:cs="宋体"/>
                <w:b/>
                <w:bCs/>
                <w:color w:val="auto"/>
                <w:sz w:val="22"/>
                <w:szCs w:val="22"/>
                <w:highlight w:val="none"/>
              </w:rPr>
              <w:t>还可以在投标截止时间前递交以介质（U盘）存储的数据电文形式的“备份投标文件”，（可以</w:t>
            </w:r>
            <w:r>
              <w:rPr>
                <w:rFonts w:hint="eastAsia" w:ascii="宋体" w:hAnsi="宋体" w:eastAsia="宋体" w:cs="宋体"/>
                <w:b/>
                <w:color w:val="auto"/>
                <w:sz w:val="22"/>
                <w:szCs w:val="22"/>
                <w:highlight w:val="none"/>
                <w:u w:val="single"/>
              </w:rPr>
              <w:t>（邮寄形式，建议顺丰）在投标截止时间前递交，并需</w:t>
            </w:r>
            <w:r>
              <w:rPr>
                <w:rFonts w:hint="eastAsia" w:ascii="宋体" w:hAnsi="宋体" w:cs="宋体"/>
                <w:b/>
                <w:color w:val="auto"/>
                <w:sz w:val="22"/>
                <w:szCs w:val="22"/>
                <w:highlight w:val="none"/>
                <w:u w:val="single"/>
                <w:lang w:val="en-US" w:eastAsia="zh-CN"/>
              </w:rPr>
              <w:t>及时与</w:t>
            </w:r>
            <w:r>
              <w:rPr>
                <w:rFonts w:hint="eastAsia" w:ascii="宋体" w:hAnsi="宋体" w:eastAsia="宋体" w:cs="宋体"/>
                <w:b/>
                <w:color w:val="auto"/>
                <w:sz w:val="22"/>
                <w:szCs w:val="22"/>
                <w:highlight w:val="none"/>
                <w:u w:val="single"/>
              </w:rPr>
              <w:t>采购代理机构确认是否收到</w:t>
            </w:r>
            <w:r>
              <w:rPr>
                <w:rFonts w:hint="eastAsia" w:ascii="宋体" w:hAnsi="宋体" w:eastAsia="宋体" w:cs="宋体"/>
                <w:b/>
                <w:bCs/>
                <w:color w:val="auto"/>
                <w:sz w:val="22"/>
                <w:szCs w:val="22"/>
                <w:highlight w:val="none"/>
              </w:rPr>
              <w:t>）</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电子加密投标文件的解密和异常情况处理：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提交投标文件截止时间：</w:t>
            </w:r>
            <w:r>
              <w:rPr>
                <w:rFonts w:hint="eastAsia" w:ascii="宋体" w:hAnsi="宋体" w:cs="宋体"/>
                <w:b w:val="0"/>
                <w:bCs w:val="0"/>
                <w:color w:val="auto"/>
                <w:sz w:val="22"/>
                <w:szCs w:val="22"/>
                <w:highlight w:val="none"/>
                <w:lang w:val="en-US" w:eastAsia="zh-CN"/>
              </w:rPr>
              <w:t>详见招标公告</w:t>
            </w:r>
            <w:r>
              <w:rPr>
                <w:rFonts w:hint="eastAsia" w:ascii="宋体" w:hAnsi="宋体" w:eastAsia="宋体" w:cs="宋体"/>
                <w:color w:val="auto"/>
                <w:sz w:val="22"/>
                <w:szCs w:val="22"/>
                <w:highlight w:val="none"/>
              </w:rPr>
              <w:t> </w:t>
            </w:r>
          </w:p>
          <w:p>
            <w:pPr>
              <w:widowControl/>
              <w:snapToGrid w:val="0"/>
              <w:spacing w:line="460" w:lineRule="exact"/>
              <w:jc w:val="left"/>
              <w:rPr>
                <w:rFonts w:hint="eastAsia"/>
                <w:color w:val="auto"/>
                <w:highlight w:val="none"/>
              </w:rPr>
            </w:pPr>
            <w:r>
              <w:rPr>
                <w:rFonts w:hint="eastAsia" w:ascii="宋体" w:hAnsi="宋体" w:eastAsia="宋体" w:cs="宋体"/>
                <w:color w:val="auto"/>
                <w:sz w:val="22"/>
                <w:szCs w:val="22"/>
                <w:highlight w:val="none"/>
              </w:rPr>
              <w:t>投标地点（网址）：</w:t>
            </w:r>
            <w:r>
              <w:rPr>
                <w:rFonts w:hint="eastAsia" w:ascii="宋体" w:hAnsi="宋体" w:cs="宋体"/>
                <w:b w:val="0"/>
                <w:bCs w:val="0"/>
                <w:color w:val="auto"/>
                <w:sz w:val="22"/>
                <w:szCs w:val="22"/>
                <w:highlight w:val="none"/>
                <w:lang w:val="en-US" w:eastAsia="zh-CN"/>
              </w:rPr>
              <w:t>详见招标公告</w:t>
            </w:r>
            <w:r>
              <w:rPr>
                <w:rFonts w:hint="eastAsia" w:ascii="宋体" w:hAnsi="宋体" w:eastAsia="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rPr>
              <w:t>开标时间</w:t>
            </w:r>
            <w:r>
              <w:rPr>
                <w:rFonts w:hint="eastAsia" w:ascii="宋体" w:hAnsi="宋体" w:eastAsia="宋体" w:cs="宋体"/>
                <w:b w:val="0"/>
                <w:bCs w:val="0"/>
                <w:color w:val="auto"/>
                <w:sz w:val="22"/>
                <w:szCs w:val="22"/>
                <w:highlight w:val="none"/>
                <w:lang w:eastAsia="zh-CN"/>
              </w:rPr>
              <w:t>：</w:t>
            </w:r>
            <w:r>
              <w:rPr>
                <w:rFonts w:hint="eastAsia" w:ascii="宋体" w:hAnsi="宋体" w:cs="宋体"/>
                <w:b w:val="0"/>
                <w:bCs w:val="0"/>
                <w:color w:val="auto"/>
                <w:sz w:val="22"/>
                <w:szCs w:val="22"/>
                <w:highlight w:val="none"/>
                <w:lang w:val="en-US" w:eastAsia="zh-CN"/>
              </w:rPr>
              <w:t>详见招标公告</w:t>
            </w:r>
          </w:p>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lang w:val="en-US" w:eastAsia="zh-CN"/>
              </w:rPr>
              <w:t>开标地点（网址）：</w:t>
            </w:r>
            <w:r>
              <w:rPr>
                <w:rFonts w:hint="eastAsia" w:ascii="宋体" w:hAnsi="宋体" w:cs="宋体"/>
                <w:b w:val="0"/>
                <w:bCs w:val="0"/>
                <w:color w:val="auto"/>
                <w:sz w:val="22"/>
                <w:szCs w:val="22"/>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eastAsia="宋体" w:cs="宋体"/>
                <w:b w:val="0"/>
                <w:bCs w:val="0"/>
                <w:color w:val="auto"/>
                <w:kern w:val="0"/>
                <w:sz w:val="22"/>
                <w:szCs w:val="22"/>
                <w:highlight w:val="none"/>
                <w:lang w:val="en-US" w:eastAsia="zh-CN"/>
              </w:rPr>
              <w:t>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eastAsia="宋体" w:cs="宋体"/>
                <w:b w:val="0"/>
                <w:bCs w:val="0"/>
                <w:color w:val="auto"/>
                <w:kern w:val="0"/>
                <w:sz w:val="22"/>
                <w:szCs w:val="22"/>
                <w:highlight w:val="none"/>
                <w:lang w:val="en-US" w:eastAsia="zh-CN"/>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val="0"/>
                <w:bCs/>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eastAsia="宋体" w:cs="宋体"/>
                <w:b w:val="0"/>
                <w:bCs w:val="0"/>
                <w:color w:val="auto"/>
                <w:kern w:val="0"/>
                <w:sz w:val="22"/>
                <w:szCs w:val="22"/>
                <w:highlight w:val="none"/>
                <w:lang w:val="en-US" w:eastAsia="zh-CN"/>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hd w:val="clear"/>
              <w:adjustRightInd w:val="0"/>
              <w:snapToGrid w:val="0"/>
              <w:spacing w:line="460" w:lineRule="exact"/>
              <w:ind w:firstLine="442" w:firstLineChars="200"/>
              <w:rPr>
                <w:rFonts w:hint="eastAsia" w:ascii="新宋体" w:hAnsi="新宋体" w:eastAsia="新宋体" w:cs="新宋体"/>
                <w:b/>
                <w:bCs/>
                <w:color w:val="auto"/>
                <w:sz w:val="22"/>
                <w:szCs w:val="28"/>
                <w:highlight w:val="none"/>
              </w:rPr>
            </w:pPr>
            <w:r>
              <w:rPr>
                <w:rFonts w:hint="eastAsia" w:ascii="新宋体" w:hAnsi="新宋体" w:eastAsia="新宋体" w:cs="新宋体"/>
                <w:b/>
                <w:bCs/>
                <w:color w:val="auto"/>
                <w:sz w:val="22"/>
                <w:szCs w:val="28"/>
                <w:highlight w:val="none"/>
              </w:rPr>
              <w:t>1、扶持中小企业（监狱企业、残疾人福利性单位）：</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hint="eastAsia" w:ascii="新宋体" w:hAnsi="新宋体" w:eastAsia="新宋体" w:cs="新宋体"/>
                <w:color w:val="auto"/>
                <w:sz w:val="22"/>
                <w:szCs w:val="28"/>
                <w:highlight w:val="none"/>
                <w:lang w:eastAsia="zh-CN"/>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1</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项目预算：</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99</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万元</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lang w:val="en-US" w:eastAsia="zh-CN"/>
              </w:rPr>
              <w:t xml:space="preserve">标项1: </w:t>
            </w:r>
            <w:r>
              <w:rPr>
                <w:rFonts w:hint="eastAsia" w:ascii="新宋体" w:hAnsi="新宋体" w:eastAsia="新宋体" w:cs="新宋体"/>
                <w:color w:val="auto"/>
                <w:sz w:val="22"/>
                <w:szCs w:val="28"/>
                <w:highlight w:val="none"/>
                <w:u w:val="single"/>
                <w:lang w:val="en-US" w:eastAsia="zh-CN"/>
              </w:rPr>
              <w:t>49.5</w:t>
            </w:r>
            <w:r>
              <w:rPr>
                <w:rFonts w:hint="eastAsia" w:ascii="新宋体" w:hAnsi="新宋体" w:eastAsia="新宋体" w:cs="新宋体"/>
                <w:color w:val="auto"/>
                <w:sz w:val="22"/>
                <w:szCs w:val="28"/>
                <w:highlight w:val="none"/>
                <w:u w:val="none"/>
                <w:lang w:val="en-US" w:eastAsia="zh-CN"/>
              </w:rPr>
              <w:t>万元</w:t>
            </w:r>
            <w:r>
              <w:rPr>
                <w:rFonts w:hint="eastAsia" w:ascii="新宋体" w:hAnsi="新宋体" w:eastAsia="新宋体" w:cs="新宋体"/>
                <w:color w:val="auto"/>
                <w:sz w:val="22"/>
                <w:szCs w:val="28"/>
                <w:highlight w:val="none"/>
                <w:lang w:val="en-US" w:eastAsia="zh-CN"/>
              </w:rPr>
              <w:t>；标项2:</w:t>
            </w:r>
            <w:r>
              <w:rPr>
                <w:rFonts w:hint="eastAsia" w:ascii="新宋体" w:hAnsi="新宋体" w:eastAsia="新宋体" w:cs="新宋体"/>
                <w:color w:val="auto"/>
                <w:sz w:val="22"/>
                <w:szCs w:val="28"/>
                <w:highlight w:val="none"/>
                <w:u w:val="single"/>
                <w:lang w:val="en-US" w:eastAsia="zh-CN"/>
              </w:rPr>
              <w:t xml:space="preserve"> 49.5</w:t>
            </w:r>
            <w:r>
              <w:rPr>
                <w:rFonts w:hint="eastAsia" w:ascii="新宋体" w:hAnsi="新宋体" w:eastAsia="新宋体" w:cs="新宋体"/>
                <w:color w:val="auto"/>
                <w:sz w:val="22"/>
                <w:szCs w:val="28"/>
                <w:highlight w:val="none"/>
                <w:lang w:val="en-US" w:eastAsia="zh-CN"/>
              </w:rPr>
              <w:t>万元</w:t>
            </w:r>
            <w:r>
              <w:rPr>
                <w:rFonts w:hint="eastAsia" w:ascii="新宋体" w:hAnsi="新宋体" w:eastAsia="新宋体" w:cs="新宋体"/>
                <w:color w:val="auto"/>
                <w:sz w:val="22"/>
                <w:szCs w:val="28"/>
                <w:highlight w:val="none"/>
                <w:lang w:eastAsia="zh-CN"/>
              </w:rPr>
              <w:t>）</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2</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项目属性：</w:t>
            </w:r>
            <w:r>
              <w:rPr>
                <w:rFonts w:hint="eastAsia" w:ascii="新宋体" w:hAnsi="新宋体" w:eastAsia="新宋体" w:cs="新宋体"/>
                <w:color w:val="auto"/>
                <w:sz w:val="22"/>
                <w:szCs w:val="28"/>
                <w:highlight w:val="none"/>
                <w:u w:val="single"/>
              </w:rPr>
              <w:t xml:space="preserve"> ②服务类 </w:t>
            </w:r>
            <w:r>
              <w:rPr>
                <w:rFonts w:hint="eastAsia" w:ascii="新宋体" w:hAnsi="新宋体" w:eastAsia="新宋体" w:cs="新宋体"/>
                <w:color w:val="auto"/>
                <w:sz w:val="22"/>
                <w:szCs w:val="28"/>
                <w:highlight w:val="none"/>
              </w:rPr>
              <w:t xml:space="preserve"> （①货物类/②服务类/③工程类）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3</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项目对应的中小企业划分标准所属行业：</w:t>
            </w:r>
            <w:r>
              <w:rPr>
                <w:rFonts w:hint="eastAsia" w:ascii="新宋体" w:hAnsi="新宋体" w:eastAsia="新宋体" w:cs="新宋体"/>
                <w:color w:val="auto"/>
                <w:sz w:val="22"/>
                <w:szCs w:val="28"/>
                <w:highlight w:val="none"/>
                <w:u w:val="single"/>
              </w:rPr>
              <w:t xml:space="preserve"> 租赁和商业服务业 </w:t>
            </w:r>
            <w:r>
              <w:rPr>
                <w:rFonts w:hint="eastAsia" w:ascii="新宋体" w:hAnsi="新宋体" w:eastAsia="新宋体" w:cs="新宋体"/>
                <w:color w:val="auto"/>
                <w:sz w:val="22"/>
                <w:szCs w:val="28"/>
                <w:highlight w:val="none"/>
              </w:rPr>
              <w:t>（具体根据《中小企业划型标准规定》执行）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4</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本项目</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是</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rPr>
              <w:t>属于预留份额专门面向中小企业采购的项目。</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5</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上述第4项中确定为“是”的采购项目，预留份额通过（①）措施进行：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②要求供应商以联合体形式参加采购活动，且联合体中中小企业承担的部分达到</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 xml:space="preserve"> (比例)；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③要求获得采购合同的供应商将采购项目中的 </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(比例)分包给一家或者多家中小企业。</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6</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10%</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 xml:space="preserve">（工程项目为5%）的扣除，用扣除后的价格参加评审。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6%</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（工程项目为 2%）的扣除，用扣除后的价格参加评审。</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、节能产品、环境标志产品的强制采购政策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、节能产品、环境标志产品的优先采购政策</w:t>
            </w:r>
          </w:p>
          <w:p>
            <w:pPr>
              <w:widowControl/>
              <w:snapToGrid w:val="0"/>
              <w:spacing w:line="460" w:lineRule="exact"/>
              <w:ind w:firstLine="440" w:firstLineChars="200"/>
              <w:jc w:val="lef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eastAsia="宋体" w:cs="宋体"/>
                <w:b w:val="0"/>
                <w:bCs w:val="0"/>
                <w:color w:val="auto"/>
                <w:kern w:val="0"/>
                <w:sz w:val="22"/>
                <w:szCs w:val="22"/>
                <w:highlight w:val="none"/>
                <w:lang w:val="en-US" w:eastAsia="zh-CN"/>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2）截止时点：</w:t>
            </w:r>
            <w:r>
              <w:rPr>
                <w:rFonts w:hint="eastAsia" w:ascii="宋体" w:hAnsi="宋体" w:eastAsia="宋体" w:cs="宋体"/>
                <w:color w:val="auto"/>
                <w:sz w:val="22"/>
                <w:highlight w:val="none"/>
              </w:rPr>
              <w:t>招标公告发布之日至投标截止时间前</w:t>
            </w:r>
            <w:r>
              <w:rPr>
                <w:rFonts w:hint="eastAsia" w:ascii="宋体" w:hAnsi="宋体" w:eastAsia="宋体" w:cs="宋体"/>
                <w:color w:val="auto"/>
                <w:sz w:val="22"/>
                <w:szCs w:val="22"/>
                <w:highlight w:val="none"/>
              </w:rPr>
              <w:t>；</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10375" w:type="dxa"/>
            <w:gridSpan w:val="2"/>
            <w:tcBorders>
              <w:top w:val="single" w:color="000000" w:sz="2" w:space="0"/>
              <w:left w:val="single" w:color="000000" w:sz="8"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b/>
                <w:bCs/>
                <w:color w:val="auto"/>
                <w:kern w:val="0"/>
                <w:sz w:val="22"/>
                <w:szCs w:val="22"/>
                <w:highlight w:val="none"/>
              </w:rPr>
            </w:pPr>
            <w:r>
              <w:rPr>
                <w:rFonts w:hint="eastAsia" w:ascii="宋体" w:hAnsi="宋体" w:eastAsia="宋体" w:cs="宋体"/>
                <w:b/>
                <w:bCs/>
                <w:color w:val="auto"/>
                <w:sz w:val="22"/>
                <w:szCs w:val="22"/>
                <w:highlight w:val="none"/>
                <w:lang w:val="en-US" w:eastAsia="zh-CN"/>
              </w:rPr>
              <w:t>注：招标文件其他组成部分涉及与前附表相同内容，如有不明确或不一致，以前附表规定为准。</w:t>
            </w:r>
          </w:p>
        </w:tc>
      </w:tr>
    </w:tbl>
    <w:p>
      <w:pPr>
        <w:rPr>
          <w:rFonts w:hint="eastAsia" w:ascii="宋体" w:hAnsi="宋体" w:eastAsia="宋体" w:cs="宋体"/>
          <w:b/>
          <w:bCs/>
          <w:color w:val="auto"/>
          <w:sz w:val="26"/>
          <w:szCs w:val="26"/>
          <w:highlight w:val="none"/>
        </w:rPr>
      </w:pPr>
      <w:bookmarkStart w:id="10" w:name="_Toc19070"/>
      <w:bookmarkStart w:id="11" w:name="_Toc20846"/>
      <w:r>
        <w:rPr>
          <w:rFonts w:hint="eastAsia" w:ascii="宋体" w:hAnsi="宋体" w:eastAsia="宋体" w:cs="宋体"/>
          <w:b/>
          <w:bCs/>
          <w:color w:val="auto"/>
          <w:sz w:val="26"/>
          <w:szCs w:val="26"/>
          <w:highlight w:val="none"/>
        </w:rPr>
        <w:br w:type="page"/>
      </w:r>
    </w:p>
    <w:p>
      <w:pPr>
        <w:spacing w:before="100" w:beforeAutospacing="1" w:after="100" w:afterAutospacing="1" w:line="460" w:lineRule="exact"/>
        <w:jc w:val="center"/>
        <w:outlineLvl w:val="1"/>
        <w:rPr>
          <w:rFonts w:hint="eastAsia" w:ascii="宋体" w:hAnsi="宋体" w:eastAsia="宋体" w:cs="宋体"/>
          <w:b/>
          <w:bCs/>
          <w:color w:val="auto"/>
          <w:sz w:val="32"/>
          <w:szCs w:val="32"/>
          <w:highlight w:val="none"/>
        </w:rPr>
      </w:pPr>
      <w:r>
        <w:rPr>
          <w:rFonts w:hint="eastAsia" w:ascii="宋体" w:hAnsi="宋体" w:eastAsia="宋体" w:cs="宋体"/>
          <w:b/>
          <w:bCs/>
          <w:color w:val="auto"/>
          <w:sz w:val="26"/>
          <w:szCs w:val="26"/>
          <w:highlight w:val="none"/>
        </w:rPr>
        <w:t>一、 说   明</w:t>
      </w:r>
      <w:bookmarkEnd w:id="10"/>
      <w:bookmarkEnd w:id="11"/>
    </w:p>
    <w:p>
      <w:pPr>
        <w:tabs>
          <w:tab w:val="left" w:pos="360"/>
        </w:tabs>
        <w:spacing w:line="460" w:lineRule="exact"/>
        <w:ind w:firstLine="550" w:firstLineChars="25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2、定义</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投标人：是指参加本政府采购项目投标的供应商；</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甲方：是指合同签订的一方，一般与招标人、用户相同；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乙方：是指合同签订的另一方，与中标人相同；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制造商：是指拥有投标产品自主知识产权的单位；</w:t>
      </w:r>
    </w:p>
    <w:p>
      <w:pPr>
        <w:tabs>
          <w:tab w:val="left" w:pos="360"/>
        </w:tabs>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其不利的评定，一切后果由供应商自行承担。</w:t>
      </w:r>
    </w:p>
    <w:p>
      <w:pPr>
        <w:tabs>
          <w:tab w:val="left" w:pos="360"/>
        </w:tabs>
        <w:spacing w:line="460" w:lineRule="exact"/>
        <w:ind w:firstLine="552" w:firstLineChars="25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3、投标人代表</w:t>
      </w:r>
    </w:p>
    <w:p>
      <w:pPr>
        <w:tabs>
          <w:tab w:val="left" w:pos="360"/>
        </w:tabs>
        <w:spacing w:line="460" w:lineRule="exact"/>
        <w:ind w:firstLine="539" w:firstLineChars="245"/>
        <w:rPr>
          <w:rFonts w:hint="eastAsia" w:ascii="宋体" w:hAnsi="宋体" w:eastAsia="宋体" w:cs="宋体"/>
          <w:b w:val="0"/>
          <w:bCs/>
          <w:color w:val="auto"/>
          <w:sz w:val="22"/>
          <w:highlight w:val="none"/>
        </w:rPr>
      </w:pPr>
      <w:r>
        <w:rPr>
          <w:rFonts w:hint="eastAsia" w:ascii="宋体" w:hAnsi="宋体" w:eastAsia="宋体" w:cs="宋体"/>
          <w:b w:val="0"/>
          <w:bCs/>
          <w:color w:val="auto"/>
          <w:sz w:val="22"/>
          <w:szCs w:val="22"/>
          <w:highlight w:val="none"/>
        </w:rPr>
        <w:t>3.1</w:t>
      </w:r>
      <w:r>
        <w:rPr>
          <w:rFonts w:hint="eastAsia" w:ascii="宋体" w:hAnsi="宋体" w:eastAsia="宋体" w:cs="宋体"/>
          <w:b w:val="0"/>
          <w:bCs/>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eastAsia="宋体" w:cs="宋体"/>
          <w:b/>
          <w:color w:val="auto"/>
          <w:sz w:val="22"/>
          <w:szCs w:val="22"/>
          <w:highlight w:val="none"/>
        </w:rPr>
        <w:t>。</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4、投标费用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 w:val="0"/>
          <w:bCs/>
          <w:color w:val="auto"/>
          <w:sz w:val="22"/>
          <w:szCs w:val="22"/>
          <w:highlight w:val="none"/>
        </w:rPr>
        <w:t>4.1投</w:t>
      </w:r>
      <w:r>
        <w:rPr>
          <w:rFonts w:hint="eastAsia" w:ascii="宋体" w:hAnsi="宋体" w:eastAsia="宋体" w:cs="宋体"/>
          <w:color w:val="auto"/>
          <w:sz w:val="22"/>
          <w:szCs w:val="22"/>
          <w:highlight w:val="none"/>
        </w:rPr>
        <w:t>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2" w:name="_Toc9899"/>
      <w:bookmarkStart w:id="13" w:name="_Toc28278"/>
      <w:r>
        <w:rPr>
          <w:rFonts w:hint="eastAsia" w:ascii="宋体" w:hAnsi="宋体" w:eastAsia="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2、招标文件的澄清</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3、招标文件的修改</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该澄清或修改内容为招标文件的组成部分。</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3.2招标人、招标代理机构可以视采购的具体情况决定是否延长投标截止时间和开标时间，并在招标文件要求递交投标文件的截止时间前，同时在财政部门指定的政府采购信息发布媒体上发布变更公告。</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4" w:name="_Toc22646"/>
      <w:bookmarkStart w:id="15" w:name="_Toc12726"/>
      <w:r>
        <w:rPr>
          <w:rFonts w:hint="eastAsia" w:ascii="宋体" w:hAnsi="宋体" w:eastAsia="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1、投标人应认真阅读招标文件中所有事项、格式、条款和技术规范等。投标人没有按照招标文件要求提交全部资料，或者没有对招标文件各个方面做出实质性响应，导致投标被否决的风险由投标人自行承担。</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color w:val="auto"/>
          <w:sz w:val="22"/>
          <w:szCs w:val="22"/>
          <w:highlight w:val="none"/>
        </w:rPr>
        <w:t>投标文件的构成：</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rPr>
        <w:t>投标</w:t>
      </w:r>
      <w:r>
        <w:rPr>
          <w:rFonts w:hint="eastAsia" w:ascii="宋体" w:hAnsi="宋体" w:eastAsia="宋体" w:cs="宋体"/>
          <w:b w:val="0"/>
          <w:bCs w:val="0"/>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宋体" w:hAnsi="宋体" w:eastAsia="宋体" w:cs="宋体"/>
          <w:b/>
          <w:bCs/>
          <w:color w:val="auto"/>
          <w:kern w:val="0"/>
          <w:sz w:val="22"/>
          <w:szCs w:val="22"/>
          <w:highlight w:val="none"/>
          <w:u w:val="none"/>
          <w:lang w:val="zh-CN"/>
        </w:rPr>
      </w:pPr>
      <w:r>
        <w:rPr>
          <w:rFonts w:hint="eastAsia" w:ascii="宋体" w:hAnsi="宋体" w:eastAsia="宋体" w:cs="宋体"/>
          <w:b/>
          <w:bCs/>
          <w:color w:val="auto"/>
          <w:kern w:val="0"/>
          <w:sz w:val="22"/>
          <w:szCs w:val="22"/>
          <w:highlight w:val="none"/>
          <w:u w:val="none"/>
        </w:rPr>
        <w:t>3.1</w:t>
      </w:r>
      <w:r>
        <w:rPr>
          <w:rFonts w:hint="eastAsia" w:ascii="宋体" w:hAnsi="宋体" w:eastAsia="宋体" w:cs="宋体"/>
          <w:b/>
          <w:bCs/>
          <w:color w:val="auto"/>
          <w:kern w:val="0"/>
          <w:sz w:val="22"/>
          <w:szCs w:val="22"/>
          <w:highlight w:val="none"/>
          <w:u w:val="none"/>
          <w:lang w:val="zh-CN"/>
        </w:rPr>
        <w:t xml:space="preserve">投标人的资格文件至少应包括以下内容： </w:t>
      </w:r>
    </w:p>
    <w:p>
      <w:pPr>
        <w:spacing w:line="460" w:lineRule="exact"/>
        <w:ind w:firstLine="539" w:firstLineChars="245"/>
        <w:rPr>
          <w:rFonts w:hint="eastAsia" w:ascii="宋体" w:hAnsi="宋体" w:eastAsia="宋体" w:cs="宋体"/>
          <w:color w:val="auto"/>
          <w:kern w:val="0"/>
          <w:sz w:val="22"/>
          <w:szCs w:val="22"/>
          <w:highlight w:val="none"/>
          <w:u w:val="none"/>
          <w:lang w:val="en-US" w:eastAsia="zh-CN"/>
        </w:rPr>
      </w:pPr>
      <w:r>
        <w:rPr>
          <w:rFonts w:hint="eastAsia" w:ascii="宋体" w:hAnsi="宋体" w:eastAsia="宋体" w:cs="宋体"/>
          <w:color w:val="auto"/>
          <w:kern w:val="0"/>
          <w:sz w:val="22"/>
          <w:szCs w:val="22"/>
          <w:highlight w:val="none"/>
          <w:u w:val="none"/>
          <w:lang w:val="zh-CN"/>
        </w:rPr>
        <w:t>基本资格条件审查材料：</w:t>
      </w:r>
      <w:r>
        <w:rPr>
          <w:rFonts w:hint="eastAsia" w:ascii="宋体" w:hAnsi="宋体" w:eastAsia="宋体" w:cs="宋体"/>
          <w:color w:val="auto"/>
          <w:kern w:val="0"/>
          <w:sz w:val="22"/>
          <w:szCs w:val="22"/>
          <w:highlight w:val="none"/>
          <w:u w:val="none"/>
          <w:lang w:val="en-US" w:eastAsia="zh-CN"/>
        </w:rPr>
        <w:t>即证明供应商</w:t>
      </w:r>
      <w:r>
        <w:rPr>
          <w:rFonts w:hint="eastAsia" w:ascii="宋体" w:hAnsi="宋体" w:eastAsia="宋体" w:cs="宋体"/>
          <w:color w:val="auto"/>
          <w:kern w:val="0"/>
          <w:sz w:val="22"/>
          <w:szCs w:val="22"/>
          <w:highlight w:val="none"/>
          <w:u w:val="none"/>
          <w:lang w:val="zh-CN"/>
        </w:rPr>
        <w:t>参加本次政府采购活动前3年内</w:t>
      </w:r>
      <w:r>
        <w:rPr>
          <w:rFonts w:hint="eastAsia"/>
          <w:color w:val="auto"/>
          <w:sz w:val="22"/>
          <w:szCs w:val="22"/>
          <w:highlight w:val="none"/>
          <w:u w:val="none"/>
          <w:lang w:val="en-US" w:eastAsia="zh-CN"/>
        </w:rPr>
        <w:t>满足《中华人民共和国政府采购法》</w:t>
      </w:r>
      <w:r>
        <w:rPr>
          <w:rFonts w:hint="eastAsia" w:ascii="宋体" w:hAnsi="宋体" w:eastAsia="宋体" w:cs="宋体"/>
          <w:color w:val="auto"/>
          <w:kern w:val="0"/>
          <w:sz w:val="22"/>
          <w:szCs w:val="22"/>
          <w:highlight w:val="none"/>
          <w:u w:val="none"/>
          <w:lang w:val="zh-CN"/>
        </w:rPr>
        <w:t>的有关资格证明文件。</w:t>
      </w:r>
      <w:r>
        <w:rPr>
          <w:rFonts w:hint="eastAsia" w:ascii="宋体" w:hAnsi="宋体" w:eastAsia="宋体" w:cs="宋体"/>
          <w:color w:val="auto"/>
          <w:kern w:val="0"/>
          <w:sz w:val="22"/>
          <w:szCs w:val="22"/>
          <w:highlight w:val="none"/>
          <w:u w:val="none"/>
          <w:lang w:val="en-US" w:eastAsia="zh-CN"/>
        </w:rPr>
        <w:t>包括：</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1</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rPr>
        <w:t>资格条件承诺函</w:t>
      </w:r>
      <w:r>
        <w:rPr>
          <w:rFonts w:hint="eastAsia" w:ascii="宋体" w:hAnsi="宋体" w:eastAsia="宋体" w:cs="宋体"/>
          <w:color w:val="auto"/>
          <w:sz w:val="22"/>
          <w:szCs w:val="22"/>
          <w:highlight w:val="none"/>
          <w:u w:val="none"/>
          <w:lang w:eastAsia="zh-CN"/>
        </w:rPr>
        <w:t>；</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w:t>
      </w:r>
      <w:r>
        <w:rPr>
          <w:rFonts w:hint="eastAsia" w:ascii="宋体" w:hAnsi="宋体" w:eastAsia="宋体" w:cs="宋体"/>
          <w:color w:val="auto"/>
          <w:sz w:val="22"/>
          <w:szCs w:val="22"/>
          <w:highlight w:val="none"/>
          <w:u w:val="none"/>
          <w:lang w:val="en-US" w:eastAsia="zh-CN"/>
        </w:rPr>
        <w:t>2</w:t>
      </w:r>
      <w:r>
        <w:rPr>
          <w:rFonts w:hint="eastAsia" w:ascii="宋体" w:hAnsi="宋体" w:eastAsia="宋体" w:cs="宋体"/>
          <w:color w:val="auto"/>
          <w:sz w:val="22"/>
          <w:szCs w:val="22"/>
          <w:highlight w:val="none"/>
          <w:u w:val="none"/>
        </w:rPr>
        <w:t xml:space="preserve">）营业执照(或事业法人登记证书或其它工商等登记证明材料；自然人参与政府采购，提供身份证)复印件； </w:t>
      </w:r>
    </w:p>
    <w:p>
      <w:pPr>
        <w:numPr>
          <w:ilvl w:val="0"/>
          <w:numId w:val="0"/>
        </w:numPr>
        <w:snapToGrid w:val="0"/>
        <w:spacing w:line="460" w:lineRule="exact"/>
        <w:ind w:leftChars="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0"/>
        </w:numPr>
        <w:snapToGrid w:val="0"/>
        <w:spacing w:line="460" w:lineRule="exact"/>
        <w:ind w:leftChars="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w:t>
      </w:r>
      <w:r>
        <w:rPr>
          <w:rFonts w:hint="eastAsia" w:ascii="宋体" w:hAnsi="宋体" w:cs="宋体"/>
          <w:color w:val="auto"/>
          <w:sz w:val="22"/>
          <w:szCs w:val="22"/>
          <w:highlight w:val="none"/>
          <w:u w:val="none"/>
          <w:lang w:val="en-US" w:eastAsia="zh-CN"/>
        </w:rPr>
        <w:t>3</w:t>
      </w:r>
      <w:r>
        <w:rPr>
          <w:rFonts w:hint="eastAsia" w:ascii="宋体" w:hAnsi="宋体" w:eastAsia="宋体" w:cs="宋体"/>
          <w:color w:val="auto"/>
          <w:sz w:val="22"/>
          <w:szCs w:val="22"/>
          <w:highlight w:val="none"/>
          <w:u w:val="none"/>
          <w:lang w:val="en-US" w:eastAsia="zh-CN"/>
        </w:rPr>
        <w:t>）投标人信用查询</w:t>
      </w:r>
      <w:r>
        <w:rPr>
          <w:rFonts w:hint="eastAsia" w:ascii="宋体" w:hAnsi="宋体" w:cs="宋体"/>
          <w:color w:val="auto"/>
          <w:sz w:val="22"/>
          <w:szCs w:val="22"/>
          <w:highlight w:val="none"/>
          <w:u w:val="none"/>
          <w:lang w:val="en-US" w:eastAsia="zh-CN"/>
        </w:rPr>
        <w:t>；</w:t>
      </w:r>
    </w:p>
    <w:p>
      <w:pPr>
        <w:numPr>
          <w:ilvl w:val="0"/>
          <w:numId w:val="0"/>
        </w:numPr>
        <w:snapToGrid w:val="0"/>
        <w:spacing w:line="460" w:lineRule="exact"/>
        <w:ind w:leftChars="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4</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rPr>
        <w:t>政府采购活动现场确认声明书</w:t>
      </w:r>
      <w:r>
        <w:rPr>
          <w:rFonts w:hint="eastAsia" w:ascii="宋体" w:hAnsi="宋体" w:eastAsia="宋体" w:cs="宋体"/>
          <w:color w:val="auto"/>
          <w:sz w:val="22"/>
          <w:szCs w:val="22"/>
          <w:highlight w:val="none"/>
          <w:u w:val="none"/>
          <w:lang w:eastAsia="zh-CN"/>
        </w:rPr>
        <w:t>；</w:t>
      </w:r>
    </w:p>
    <w:p>
      <w:pPr>
        <w:numPr>
          <w:ilvl w:val="0"/>
          <w:numId w:val="0"/>
        </w:numPr>
        <w:snapToGrid w:val="0"/>
        <w:spacing w:line="460" w:lineRule="exact"/>
        <w:ind w:leftChars="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5</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rPr>
        <w:t>落实政府采购政策需满足的资格要求证明材料；</w:t>
      </w:r>
    </w:p>
    <w:p>
      <w:pPr>
        <w:numPr>
          <w:ilvl w:val="0"/>
          <w:numId w:val="0"/>
        </w:numPr>
        <w:snapToGrid w:val="0"/>
        <w:spacing w:line="460" w:lineRule="exact"/>
        <w:ind w:leftChars="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6</w:t>
      </w:r>
      <w:r>
        <w:rPr>
          <w:rFonts w:hint="eastAsia" w:ascii="宋体" w:hAnsi="宋体" w:cs="宋体"/>
          <w:color w:val="auto"/>
          <w:sz w:val="22"/>
          <w:szCs w:val="22"/>
          <w:highlight w:val="none"/>
          <w:u w:val="none"/>
          <w:lang w:val="en-US" w:eastAsia="zh-CN"/>
        </w:rPr>
        <w:t>）</w:t>
      </w:r>
      <w:r>
        <w:rPr>
          <w:rFonts w:hint="eastAsia" w:ascii="宋体" w:hAnsi="宋体" w:eastAsia="宋体" w:cs="宋体"/>
          <w:color w:val="auto"/>
          <w:sz w:val="22"/>
          <w:szCs w:val="22"/>
          <w:highlight w:val="none"/>
          <w:u w:val="none"/>
          <w:lang w:val="en-US" w:eastAsia="zh-CN"/>
        </w:rPr>
        <w:t>须具备相应的《旅行社业务经营许可证》</w:t>
      </w:r>
      <w:r>
        <w:rPr>
          <w:rFonts w:hint="eastAsia" w:ascii="宋体" w:hAnsi="宋体" w:cs="宋体"/>
          <w:color w:val="auto"/>
          <w:sz w:val="22"/>
          <w:szCs w:val="22"/>
          <w:highlight w:val="none"/>
          <w:u w:val="none"/>
          <w:lang w:eastAsia="zh-CN"/>
        </w:rPr>
        <w:t>；</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上述资格条件审查材料有一项不提供的，视为资格审查不通过。</w:t>
      </w:r>
    </w:p>
    <w:p>
      <w:pPr>
        <w:snapToGrid w:val="0"/>
        <w:spacing w:line="460" w:lineRule="exact"/>
        <w:ind w:left="105" w:leftChars="50" w:firstLine="442" w:firstLineChars="200"/>
        <w:rPr>
          <w:rFonts w:hint="eastAsia" w:ascii="宋体" w:hAnsi="宋体" w:eastAsia="宋体" w:cs="宋体"/>
          <w:color w:val="auto"/>
          <w:sz w:val="22"/>
          <w:szCs w:val="22"/>
          <w:highlight w:val="none"/>
          <w:u w:val="single"/>
          <w:lang w:val="zh-CN"/>
        </w:rPr>
      </w:pPr>
      <w:r>
        <w:rPr>
          <w:rFonts w:hint="eastAsia" w:ascii="宋体" w:hAnsi="宋体" w:eastAsia="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（1）投标函；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（2）投标报价一览表；</w:t>
      </w:r>
    </w:p>
    <w:p>
      <w:pPr>
        <w:snapToGrid w:val="0"/>
        <w:spacing w:line="460" w:lineRule="exact"/>
        <w:ind w:firstLine="442" w:firstLineChars="200"/>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rPr>
        <w:t>3.3</w:t>
      </w:r>
      <w:r>
        <w:rPr>
          <w:rFonts w:hint="eastAsia" w:ascii="宋体" w:hAnsi="宋体" w:eastAsia="宋体" w:cs="宋体"/>
          <w:b/>
          <w:bCs/>
          <w:color w:val="auto"/>
          <w:kern w:val="0"/>
          <w:sz w:val="22"/>
          <w:szCs w:val="22"/>
          <w:highlight w:val="none"/>
          <w:lang w:val="zh-CN"/>
        </w:rPr>
        <w:t xml:space="preserve">投标人的商务技术文件应包括以下内容： </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（2）投标人情况表</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偏离表（</w:t>
      </w:r>
      <w:r>
        <w:rPr>
          <w:rFonts w:hint="eastAsia" w:ascii="宋体" w:hAnsi="宋体" w:eastAsia="宋体" w:cs="宋体"/>
          <w:color w:val="auto"/>
          <w:sz w:val="22"/>
          <w:szCs w:val="22"/>
          <w:highlight w:val="none"/>
        </w:rPr>
        <w:t>商务、技术偏离</w:t>
      </w:r>
      <w:r>
        <w:rPr>
          <w:rFonts w:hint="eastAsia" w:ascii="宋体" w:hAnsi="宋体" w:eastAsia="宋体" w:cs="宋体"/>
          <w:color w:val="auto"/>
          <w:sz w:val="22"/>
          <w:szCs w:val="22"/>
          <w:highlight w:val="none"/>
          <w:lang w:val="zh-CN"/>
        </w:rPr>
        <w:t>）</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投标人情况</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疗休养活动方案</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投入本项目人员</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组织实施能力、投诉处理、服务响应时间承诺等方案</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保险承诺、应急预案</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eastAsia="zh-CN"/>
        </w:rPr>
        <w:t>增值服务及优惠承诺方案</w:t>
      </w:r>
    </w:p>
    <w:p>
      <w:pPr>
        <w:snapToGrid w:val="0"/>
        <w:spacing w:line="4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（1</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lang w:eastAsia="zh-CN"/>
        </w:rPr>
        <w:t>）其他必要提供的资料。</w:t>
      </w:r>
    </w:p>
    <w:p>
      <w:pPr>
        <w:spacing w:line="460" w:lineRule="exact"/>
        <w:ind w:firstLine="440" w:firstLineChars="200"/>
        <w:rPr>
          <w:rFonts w:hint="eastAsia" w:ascii="宋体" w:hAnsi="宋体" w:eastAsia="宋体" w:cs="宋体"/>
          <w:b w:val="0"/>
          <w:bCs/>
          <w:color w:val="auto"/>
          <w:sz w:val="22"/>
          <w:szCs w:val="22"/>
          <w:highlight w:val="none"/>
          <w:lang w:val="zh-CN"/>
        </w:rPr>
      </w:pPr>
      <w:r>
        <w:rPr>
          <w:rFonts w:hint="eastAsia" w:ascii="宋体" w:hAnsi="宋体" w:eastAsia="宋体" w:cs="宋体"/>
          <w:b w:val="0"/>
          <w:bCs/>
          <w:color w:val="auto"/>
          <w:sz w:val="22"/>
          <w:szCs w:val="22"/>
          <w:highlight w:val="none"/>
          <w:lang w:val="zh-CN"/>
        </w:rPr>
        <w:t>投标文件中所需的各种证书、证件、证明资料如是复印件，须在复印件上加盖有效公章。</w:t>
      </w:r>
    </w:p>
    <w:p>
      <w:pPr>
        <w:pStyle w:val="31"/>
        <w:snapToGrid w:val="0"/>
        <w:spacing w:line="460" w:lineRule="exact"/>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zh-CN"/>
        </w:rPr>
        <w:t>投标人的</w:t>
      </w:r>
      <w:r>
        <w:rPr>
          <w:rFonts w:hint="eastAsia" w:ascii="宋体" w:hAnsi="宋体" w:eastAsia="宋体" w:cs="宋体"/>
          <w:b w:val="0"/>
          <w:bCs/>
          <w:color w:val="auto"/>
          <w:sz w:val="22"/>
          <w:szCs w:val="22"/>
          <w:highlight w:val="none"/>
        </w:rPr>
        <w:t>投标文件必须按照招标文件要求制作。</w:t>
      </w:r>
    </w:p>
    <w:p>
      <w:pPr>
        <w:pStyle w:val="31"/>
        <w:snapToGrid w:val="0"/>
        <w:spacing w:line="460" w:lineRule="exact"/>
        <w:ind w:firstLine="440" w:firstLineChars="200"/>
        <w:rPr>
          <w:rFonts w:hint="eastAsia" w:ascii="宋体" w:hAnsi="宋体" w:eastAsia="宋体" w:cs="宋体"/>
          <w:bCs/>
          <w:color w:val="auto"/>
          <w:sz w:val="22"/>
          <w:szCs w:val="22"/>
          <w:highlight w:val="none"/>
        </w:rPr>
      </w:pPr>
      <w:r>
        <w:rPr>
          <w:rFonts w:hint="eastAsia" w:ascii="宋体" w:hAnsi="宋体" w:eastAsia="宋体" w:cs="宋体"/>
          <w:b w:val="0"/>
          <w:bCs/>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4、投标报价</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4.1投标人应根据国家的有关规定和招标文件要求并结合企业的实际情况进行投标报价。报价为含税单人总价，即在承包本次职工疗休养所需的一切人员工资、车、住宿、门票、餐费、交通、保险、导游、税费、利润等等完成合同所需的一切不可或缺的工作开支以及政策性文件规定及合同包含的所有风险、责任、采购代理服务均由</w:t>
      </w:r>
      <w:r>
        <w:rPr>
          <w:rFonts w:hint="eastAsia" w:ascii="宋体" w:hAnsi="宋体" w:cs="宋体"/>
          <w:b w:val="0"/>
          <w:bCs/>
          <w:color w:val="auto"/>
          <w:sz w:val="22"/>
          <w:highlight w:val="none"/>
          <w:lang w:val="en-US" w:eastAsia="zh-CN"/>
        </w:rPr>
        <w:t>投标人</w:t>
      </w:r>
      <w:r>
        <w:rPr>
          <w:rFonts w:hint="eastAsia" w:ascii="宋体" w:hAnsi="宋体" w:eastAsia="宋体" w:cs="宋体"/>
          <w:b w:val="0"/>
          <w:bCs/>
          <w:color w:val="auto"/>
          <w:sz w:val="22"/>
          <w:highlight w:val="none"/>
        </w:rPr>
        <w:t>承担。</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4.3</w:t>
      </w:r>
      <w:r>
        <w:rPr>
          <w:rFonts w:hint="eastAsia" w:ascii="宋体" w:hAnsi="宋体" w:eastAsia="宋体" w:cs="宋体"/>
          <w:b w:val="0"/>
          <w:bCs w:val="0"/>
          <w:color w:val="auto"/>
          <w:sz w:val="22"/>
          <w:highlight w:val="none"/>
        </w:rPr>
        <w:t>投标货币以人民币进行投标</w:t>
      </w:r>
      <w:r>
        <w:rPr>
          <w:rFonts w:hint="eastAsia" w:ascii="宋体" w:hAnsi="宋体" w:eastAsia="宋体" w:cs="宋体"/>
          <w:b w:val="0"/>
          <w:bCs w:val="0"/>
          <w:color w:val="auto"/>
          <w:sz w:val="22"/>
          <w:szCs w:val="22"/>
          <w:highlight w:val="none"/>
        </w:rPr>
        <w:t>。</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4.4</w:t>
      </w:r>
      <w:r>
        <w:rPr>
          <w:rFonts w:hint="eastAsia" w:ascii="宋体" w:hAnsi="宋体" w:eastAsia="宋体" w:cs="宋体"/>
          <w:b w:val="0"/>
          <w:bCs w:val="0"/>
          <w:color w:val="auto"/>
          <w:sz w:val="22"/>
          <w:highlight w:val="none"/>
        </w:rPr>
        <w:t>招标人和招标代理机构不接受任何选择投标，对任何服务只允许一个价格。</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4.5招标人和</w:t>
      </w:r>
      <w:r>
        <w:rPr>
          <w:rFonts w:hint="eastAsia" w:ascii="宋体" w:hAnsi="宋体" w:eastAsia="宋体" w:cs="宋体"/>
          <w:color w:val="auto"/>
          <w:sz w:val="22"/>
          <w:highlight w:val="none"/>
        </w:rPr>
        <w:t>招标代理机构</w:t>
      </w:r>
      <w:r>
        <w:rPr>
          <w:rFonts w:hint="eastAsia" w:ascii="宋体" w:hAnsi="宋体" w:eastAsia="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 w:val="0"/>
          <w:bCs/>
          <w:color w:val="auto"/>
          <w:sz w:val="22"/>
          <w:szCs w:val="22"/>
          <w:highlight w:val="none"/>
        </w:rPr>
        <w:t>4.7最低报价不能作为中标的保证。</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5、投标有效期</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5.1自开标之日起 120 天内投标应保持有效。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6、投标保证金</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7、投标文件编制</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7.2投标人应当按照本章节 “投标文件的构成”规定的内容及顺序在“政采云电子交易客户端”编制投标文件。其中《资格文件》和《商务技术文件》中不得出现本项目投标报价。</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7.4《投标文件》内容不完整、编排混乱导致《投标文件》被误读、漏读或者查找不到相关内容的，投标人自行负责。</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7.5《投标文件》因字迹潦草或表达不清所引起的后果由投标人负责。</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8、投标文件的签章</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8.1《投标文件》的签章：见《前附表》；</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8.2《投标文件》应由投标人法定代表人或其授权代表签字（或盖章），并加盖投标人公章。</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8.3电子签章操作指南详见采购公告附件《供应商项目采购-电子招投标操作指南》。</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9、投标文件的形式</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9.1投标文件的形式：见《前附表》；</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10、投标文件的份数</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b w:val="0"/>
          <w:bCs w:val="0"/>
          <w:color w:val="auto"/>
          <w:sz w:val="22"/>
          <w:szCs w:val="22"/>
          <w:highlight w:val="none"/>
        </w:rPr>
        <w:t>10.1投标文件的份数：见《前附表》。</w:t>
      </w:r>
    </w:p>
    <w:p>
      <w:pPr>
        <w:spacing w:before="100" w:beforeAutospacing="1" w:after="100" w:afterAutospacing="1" w:line="440" w:lineRule="exact"/>
        <w:jc w:val="center"/>
        <w:outlineLvl w:val="1"/>
        <w:rPr>
          <w:rFonts w:hint="eastAsia" w:ascii="宋体" w:hAnsi="宋体" w:eastAsia="宋体" w:cs="宋体"/>
          <w:b/>
          <w:bCs/>
          <w:color w:val="auto"/>
          <w:sz w:val="22"/>
          <w:szCs w:val="22"/>
          <w:highlight w:val="none"/>
        </w:rPr>
      </w:pPr>
      <w:bookmarkStart w:id="16" w:name="_Toc18542"/>
      <w:bookmarkStart w:id="17" w:name="_Toc15422"/>
      <w:r>
        <w:rPr>
          <w:rFonts w:hint="eastAsia" w:ascii="宋体" w:hAnsi="宋体" w:eastAsia="宋体" w:cs="宋体"/>
          <w:b/>
          <w:bCs/>
          <w:color w:val="auto"/>
          <w:sz w:val="22"/>
          <w:szCs w:val="22"/>
          <w:highlight w:val="none"/>
        </w:rPr>
        <w:t>四、 投标文件的递交</w:t>
      </w:r>
      <w:bookmarkEnd w:id="16"/>
      <w:bookmarkEnd w:id="17"/>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1、投标文件的上传和递交</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1.1“投标文件”的上传、递交：见《前附表》。</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2、“电子加密投标文件”解密和异常情况处理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2.1“电子加密投标文件”解密：见《前附表》。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3、投标文件的补充、修改或撤回</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3.2投标截止时间后，投标人不得撤回、修改《投标文件》。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4、投标文件的备选方案</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bookmarkStart w:id="18" w:name="_Toc30172"/>
      <w:bookmarkStart w:id="19" w:name="_Toc8079"/>
      <w:r>
        <w:rPr>
          <w:rFonts w:hint="eastAsia" w:ascii="宋体" w:hAnsi="宋体" w:eastAsia="宋体" w:cs="宋体"/>
          <w:b/>
          <w:bCs/>
          <w:color w:val="auto"/>
          <w:sz w:val="22"/>
          <w:szCs w:val="22"/>
          <w:highlight w:val="none"/>
        </w:rPr>
        <w:t>五、 开标和评标</w:t>
      </w:r>
      <w:bookmarkEnd w:id="18"/>
      <w:bookmarkEnd w:id="1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1、评标委员会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2、评标过程的保密性</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3、开标形式</w:t>
      </w:r>
    </w:p>
    <w:p>
      <w:pPr>
        <w:spacing w:line="460" w:lineRule="exact"/>
        <w:ind w:firstLine="539" w:firstLineChars="245"/>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 xml:space="preserve"> 采购组织机构将按照招标文件规定的时间通过“政府采购云平台”组织开标、开启投标文件，所有供应商均应当准时(在线)参加。</w:t>
      </w:r>
    </w:p>
    <w:p>
      <w:pPr>
        <w:spacing w:line="460" w:lineRule="exact"/>
        <w:ind w:firstLine="541" w:firstLineChars="245"/>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4、开标准备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4.1开标的准备工作由采购组织机构负责落实；</w:t>
      </w:r>
    </w:p>
    <w:p>
      <w:pPr>
        <w:spacing w:line="460" w:lineRule="exact"/>
        <w:ind w:firstLine="539" w:firstLineChars="245"/>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4.2</w:t>
      </w:r>
      <w:r>
        <w:rPr>
          <w:rFonts w:hint="eastAsia" w:ascii="宋体" w:hAnsi="宋体" w:eastAsia="宋体" w:cs="宋体"/>
          <w:b w:val="0"/>
          <w:bCs w:val="0"/>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eastAsia="宋体" w:cs="宋体"/>
          <w:b w:val="0"/>
          <w:bCs w:val="0"/>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5、开标流程</w:t>
      </w:r>
    </w:p>
    <w:p>
      <w:pPr>
        <w:spacing w:line="460" w:lineRule="exact"/>
        <w:ind w:firstLine="539" w:firstLineChars="245"/>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5.1开标、评标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投标人不足3家的，不得开标。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（3）开启《投标文件》，进入资格审查；</w:t>
      </w:r>
      <w:r>
        <w:rPr>
          <w:rFonts w:hint="eastAsia" w:ascii="宋体" w:hAnsi="宋体" w:eastAsia="宋体" w:cs="宋体"/>
          <w:bCs/>
          <w:color w:val="auto"/>
          <w:sz w:val="22"/>
          <w:szCs w:val="22"/>
          <w:highlight w:val="none"/>
        </w:rPr>
        <w:t>合格投标人不足3家的，不得评标。</w:t>
      </w:r>
    </w:p>
    <w:p>
      <w:pPr>
        <w:spacing w:line="460" w:lineRule="exact"/>
        <w:ind w:firstLine="539" w:firstLineChars="245"/>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（4）开启资格审查通过的投标人的商务技术文件进入符合性审查，</w:t>
      </w:r>
      <w:r>
        <w:rPr>
          <w:rFonts w:hint="eastAsia" w:ascii="宋体" w:hAnsi="宋体" w:eastAsia="宋体" w:cs="宋体"/>
          <w:bCs/>
          <w:color w:val="auto"/>
          <w:sz w:val="22"/>
          <w:szCs w:val="22"/>
          <w:highlight w:val="none"/>
        </w:rPr>
        <w:t>以确定其是否满足招标文件的实质性要求，合格投标人不足3家的，不得评标。</w:t>
      </w:r>
    </w:p>
    <w:p>
      <w:pPr>
        <w:spacing w:line="460" w:lineRule="exact"/>
        <w:ind w:firstLine="541" w:firstLineChars="245"/>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没有满足招标文件的实质性要求的投标作无效标处理。</w:t>
      </w:r>
      <w:r>
        <w:rPr>
          <w:rFonts w:hint="eastAsia" w:ascii="宋体" w:hAnsi="宋体" w:eastAsia="宋体" w:cs="宋体"/>
          <w:bCs/>
          <w:color w:val="auto"/>
          <w:sz w:val="22"/>
          <w:szCs w:val="22"/>
          <w:highlight w:val="none"/>
        </w:rPr>
        <w:t>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（6）评标委员会对报价的合理性、准确性等进行审查核实。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宋体" w:hAnsi="宋体" w:eastAsia="宋体" w:cs="宋体"/>
          <w:color w:val="auto"/>
          <w:sz w:val="22"/>
          <w:szCs w:val="22"/>
          <w:highlight w:val="none"/>
        </w:rPr>
      </w:pPr>
      <w:bookmarkStart w:id="20" w:name="_Toc24550037"/>
      <w:bookmarkStart w:id="21" w:name="_Toc33194393"/>
      <w:r>
        <w:rPr>
          <w:rFonts w:hint="eastAsia" w:ascii="宋体" w:hAnsi="宋体" w:eastAsia="宋体" w:cs="宋体"/>
          <w:color w:val="auto"/>
          <w:sz w:val="22"/>
          <w:szCs w:val="22"/>
          <w:highlight w:val="none"/>
        </w:rPr>
        <w:t>6、投标人资格审查</w:t>
      </w:r>
      <w:bookmarkEnd w:id="20"/>
      <w:bookmarkEnd w:id="21"/>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 w:val="0"/>
          <w:bCs/>
          <w:color w:val="auto"/>
          <w:sz w:val="22"/>
          <w:szCs w:val="22"/>
          <w:highlight w:val="none"/>
        </w:rPr>
        <w:t>6.1开标大会结束后，招标人或采购代理机构首先依法对各投标人的资格进行审查，审查各投标人的资格是否满足招标文件的要求。招</w:t>
      </w:r>
      <w:r>
        <w:rPr>
          <w:rFonts w:hint="eastAsia" w:ascii="宋体" w:hAnsi="宋体" w:eastAsia="宋体" w:cs="宋体"/>
          <w:color w:val="auto"/>
          <w:sz w:val="22"/>
          <w:szCs w:val="22"/>
          <w:highlight w:val="none"/>
        </w:rPr>
        <w:t>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39" w:firstLineChars="245"/>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sz w:val="22"/>
          <w:szCs w:val="22"/>
          <w:highlight w:val="none"/>
        </w:rPr>
        <w:t>6.2投标人提交的资格证明材料无法证明其符合招标文件规定的“投标人资格要求”的，招标人或采购代理机构</w:t>
      </w:r>
      <w:r>
        <w:rPr>
          <w:rFonts w:hint="eastAsia" w:ascii="宋体" w:hAnsi="宋体" w:eastAsia="宋体" w:cs="宋体"/>
          <w:b w:val="0"/>
          <w:bCs/>
          <w:color w:val="auto"/>
          <w:kern w:val="0"/>
          <w:sz w:val="22"/>
          <w:szCs w:val="22"/>
          <w:highlight w:val="none"/>
        </w:rPr>
        <w:t>将对其作资格审查不通过处理（无效投标），并不再将其投标提交评标委员会进行后续评审。</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6</w:t>
      </w:r>
      <w:r>
        <w:rPr>
          <w:rFonts w:hint="eastAsia" w:ascii="宋体" w:hAnsi="宋体" w:eastAsia="宋体" w:cs="宋体"/>
          <w:b w:val="0"/>
          <w:bCs/>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8、投标人存在下列情况之一的，投标无效：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（1）投标文件未按招标文件要求签署、盖章的；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（2）不具备招标文件中规定的资格要求的；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（3）明显不符合招标文件中主要技术规格、技术标准的；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（4）投标文件内容不全或关键字迹模糊无法辨认的；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（5）报价超过招标文件中规定的预算金额的；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（6）投标人代表没有法定代表人合法、有效委托的；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（7）投标文件存在一个或一个以上备选（替代）投标方案的；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（8）仅提交“备份投标文件”的；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（9）投标文件含有招标人不能接受的附加条件的；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（10）法律、法规和招标文件规定的其他无效情形。</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（1）不同投标人的投标文件由同一单位或者个人编制；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（2）不同投标人委托同一单位或者个人办理投标事宜；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（4）不同投标人的投标文件异常一致或者投标报价呈规律性差异；</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（5）不同投标人的投标文件相互混装。</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12、投标文件的澄清</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12.2经澄清后，若偏差仍存在，且不可接受，投标人则被认为是“没有实质性响应招标文件要求”，其投标将被拒绝。</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13、评审结果的修改</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13.1评标结果汇总完成后，除下列情形外，任何人不得修改评标结果：</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（1）分值汇总计算错误的；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（2）分项评分超出评分标准范围的；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（3）评标委员会成员对客观评审因素评分不一致的；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（4）经评标委员会认定评分畸高、畸低的。</w:t>
      </w:r>
    </w:p>
    <w:p>
      <w:pPr>
        <w:spacing w:line="460" w:lineRule="exact"/>
        <w:ind w:firstLine="759" w:firstLineChars="345"/>
        <w:rPr>
          <w:rFonts w:hint="eastAsia" w:ascii="宋体" w:hAnsi="宋体" w:eastAsia="宋体" w:cs="宋体"/>
          <w:b w:val="0"/>
          <w:bCs/>
          <w:color w:val="auto"/>
          <w:highlight w:val="none"/>
        </w:rPr>
      </w:pPr>
      <w:r>
        <w:rPr>
          <w:rFonts w:hint="eastAsia" w:ascii="宋体" w:hAnsi="宋体" w:eastAsia="宋体" w:cs="宋体"/>
          <w:bCs/>
          <w:color w:val="auto"/>
          <w:sz w:val="22"/>
          <w:szCs w:val="22"/>
          <w:highlight w:val="none"/>
        </w:rPr>
        <w:t>13.2书面评标报告签署前，经复核发现存在以上情形之一的，评标委员会将当场修改评标结果，并</w:t>
      </w:r>
      <w:r>
        <w:rPr>
          <w:rFonts w:hint="eastAsia" w:ascii="宋体" w:hAnsi="宋体" w:eastAsia="宋体" w:cs="宋体"/>
          <w:b w:val="0"/>
          <w:bCs/>
          <w:color w:val="auto"/>
          <w:sz w:val="22"/>
          <w:szCs w:val="22"/>
          <w:highlight w:val="none"/>
        </w:rPr>
        <w:t>在评标报告中记载。</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14</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14.1由评标委员会确定中标候选人。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w:t>
      </w:r>
      <w:r>
        <w:rPr>
          <w:rFonts w:hint="eastAsia" w:ascii="宋体" w:hAnsi="宋体" w:cs="宋体"/>
          <w:color w:val="auto"/>
          <w:sz w:val="22"/>
          <w:szCs w:val="22"/>
          <w:highlight w:val="none"/>
          <w:lang w:val="en-US" w:eastAsia="zh-CN"/>
        </w:rPr>
        <w:t>技术</w:t>
      </w:r>
      <w:r>
        <w:rPr>
          <w:rFonts w:hint="eastAsia" w:ascii="宋体" w:hAnsi="宋体" w:eastAsia="宋体" w:cs="宋体"/>
          <w:color w:val="auto"/>
          <w:sz w:val="22"/>
          <w:szCs w:val="22"/>
          <w:highlight w:val="none"/>
        </w:rPr>
        <w:t>得分相同</w:t>
      </w:r>
      <w:r>
        <w:rPr>
          <w:rFonts w:hint="eastAsia" w:ascii="宋体" w:hAnsi="宋体" w:cs="宋体"/>
          <w:color w:val="auto"/>
          <w:sz w:val="22"/>
          <w:szCs w:val="22"/>
          <w:highlight w:val="none"/>
          <w:lang w:val="en-US" w:eastAsia="zh-CN"/>
        </w:rPr>
        <w:t>并列</w:t>
      </w:r>
      <w:r>
        <w:rPr>
          <w:rFonts w:hint="eastAsia" w:ascii="宋体" w:hAnsi="宋体" w:eastAsia="宋体" w:cs="宋体"/>
          <w:color w:val="auto"/>
          <w:sz w:val="22"/>
          <w:szCs w:val="22"/>
          <w:highlight w:val="none"/>
        </w:rPr>
        <w:t>的，</w:t>
      </w:r>
      <w:r>
        <w:rPr>
          <w:rFonts w:hint="eastAsia" w:ascii="宋体" w:hAnsi="宋体" w:cs="宋体"/>
          <w:color w:val="auto"/>
          <w:sz w:val="22"/>
          <w:szCs w:val="22"/>
          <w:highlight w:val="none"/>
        </w:rPr>
        <w:t>由评标委员会采取随机抽取的方式确定</w:t>
      </w:r>
      <w:r>
        <w:rPr>
          <w:rFonts w:hint="eastAsia" w:ascii="宋体" w:hAnsi="宋体" w:cs="宋体"/>
          <w:color w:val="auto"/>
          <w:sz w:val="22"/>
          <w:szCs w:val="22"/>
          <w:highlight w:val="none"/>
          <w:lang w:val="en-US" w:eastAsia="zh-CN"/>
        </w:rPr>
        <w:t>名次优先者</w:t>
      </w:r>
      <w:r>
        <w:rPr>
          <w:rFonts w:hint="eastAsia" w:ascii="宋体" w:hAnsi="宋体" w:eastAsia="宋体" w:cs="宋体"/>
          <w:color w:val="auto"/>
          <w:sz w:val="22"/>
          <w:szCs w:val="22"/>
          <w:highlight w:val="none"/>
        </w:rPr>
        <w:t>）向招标人推荐。</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15、确定中标人</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15.1招标人按照书面评标报告中推荐的中标候选供应商顺序确定中标人；也可以事先授权评标委员会按照推荐的中标候选供应商顺序直接确定中标人。中标候选人并列的，由评标委员会采取随机抽取的方式确定。</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16、起草、签署评审报告</w:t>
      </w:r>
    </w:p>
    <w:p>
      <w:pPr>
        <w:spacing w:line="460" w:lineRule="exact"/>
        <w:ind w:firstLine="759" w:firstLineChars="3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18、招标人对决标结果不做任何解释，也不保证最低价中标。</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b w:val="0"/>
          <w:bCs w:val="0"/>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宋体" w:hAnsi="宋体" w:eastAsia="宋体" w:cs="宋体"/>
          <w:b/>
          <w:bCs/>
          <w:color w:val="auto"/>
          <w:sz w:val="26"/>
          <w:szCs w:val="26"/>
          <w:highlight w:val="none"/>
        </w:rPr>
      </w:pPr>
      <w:bookmarkStart w:id="22" w:name="_Toc21056"/>
      <w:bookmarkStart w:id="23" w:name="_Toc26836"/>
      <w:r>
        <w:rPr>
          <w:rFonts w:hint="eastAsia" w:ascii="宋体" w:hAnsi="宋体" w:eastAsia="宋体" w:cs="宋体"/>
          <w:b/>
          <w:bCs/>
          <w:color w:val="auto"/>
          <w:sz w:val="26"/>
          <w:szCs w:val="26"/>
          <w:highlight w:val="none"/>
        </w:rPr>
        <w:t>六、 授予合同</w:t>
      </w:r>
      <w:bookmarkEnd w:id="22"/>
      <w:bookmarkEnd w:id="23"/>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1、中标通知书</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 xml:space="preserve">1.1中标人确定后，招标人将向中标人发出中标通知书。 </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1.2中标通知书是合同的一个组成部分,对招标人和中标人均具有同等法律效力。</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2、授标时更改采购货物数量的权力</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3、签订合同</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3.1中标人应按中标通知书规定的时间、地点与招标人签订合同。</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3.2</w:t>
      </w:r>
      <w:r>
        <w:rPr>
          <w:rFonts w:hint="eastAsia" w:ascii="宋体" w:hAnsi="宋体" w:eastAsia="宋体" w:cs="宋体"/>
          <w:b w:val="0"/>
          <w:bCs/>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3.4拒签合同的违约责任</w:t>
      </w:r>
    </w:p>
    <w:p>
      <w:pPr>
        <w:spacing w:line="460" w:lineRule="exact"/>
        <w:ind w:firstLine="568" w:firstLineChars="245"/>
        <w:rPr>
          <w:rFonts w:hint="eastAsia" w:ascii="宋体" w:hAnsi="宋体" w:eastAsia="宋体" w:cs="宋体"/>
          <w:b w:val="0"/>
          <w:bCs/>
          <w:color w:val="auto"/>
          <w:spacing w:val="6"/>
          <w:sz w:val="22"/>
          <w:szCs w:val="22"/>
          <w:highlight w:val="none"/>
        </w:rPr>
      </w:pPr>
      <w:r>
        <w:rPr>
          <w:rFonts w:hint="eastAsia" w:ascii="宋体" w:hAnsi="宋体" w:eastAsia="宋体" w:cs="宋体"/>
          <w:b w:val="0"/>
          <w:bCs/>
          <w:color w:val="auto"/>
          <w:spacing w:val="6"/>
          <w:sz w:val="22"/>
          <w:szCs w:val="22"/>
          <w:highlight w:val="none"/>
        </w:rPr>
        <w:t>中标人接到中标通知书后，在规定时间内借故否认已经承诺的条件而拒签合同的，以违约处理。</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cs="宋体"/>
          <w:b w:val="0"/>
          <w:bCs/>
          <w:color w:val="auto"/>
          <w:sz w:val="22"/>
          <w:highlight w:val="none"/>
          <w:lang w:val="en-US" w:eastAsia="zh-CN"/>
        </w:rPr>
        <w:t>4</w:t>
      </w:r>
      <w:r>
        <w:rPr>
          <w:rFonts w:hint="eastAsia" w:ascii="宋体" w:hAnsi="宋体" w:eastAsia="宋体" w:cs="宋体"/>
          <w:b w:val="0"/>
          <w:bCs/>
          <w:color w:val="auto"/>
          <w:sz w:val="22"/>
          <w:highlight w:val="none"/>
        </w:rPr>
        <w:t>、质疑与投诉</w:t>
      </w:r>
    </w:p>
    <w:p>
      <w:pPr>
        <w:spacing w:line="460" w:lineRule="exact"/>
        <w:ind w:firstLine="568" w:firstLineChars="245"/>
        <w:rPr>
          <w:rFonts w:hint="default" w:ascii="宋体" w:hAnsi="宋体" w:cs="宋体"/>
          <w:b w:val="0"/>
          <w:bCs/>
          <w:color w:val="auto"/>
          <w:sz w:val="22"/>
          <w:highlight w:val="none"/>
          <w:lang w:val="en-US" w:eastAsia="zh-CN"/>
        </w:rPr>
      </w:pPr>
      <w:r>
        <w:rPr>
          <w:rFonts w:hint="eastAsia" w:ascii="宋体" w:hAnsi="宋体" w:eastAsia="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rPr>
        <w:t>.1</w:t>
      </w:r>
      <w:r>
        <w:rPr>
          <w:rFonts w:hint="eastAsia" w:ascii="宋体" w:hAnsi="宋体" w:cs="宋体"/>
          <w:b/>
          <w:bCs w:val="0"/>
          <w:color w:val="auto"/>
          <w:sz w:val="22"/>
          <w:highlight w:val="none"/>
          <w:lang w:val="en-US" w:eastAsia="zh-CN"/>
        </w:rPr>
        <w:t>特别提醒：</w:t>
      </w:r>
      <w:r>
        <w:rPr>
          <w:rFonts w:hint="eastAsia" w:ascii="宋体" w:hAnsi="宋体" w:eastAsia="宋体" w:cs="宋体"/>
          <w:color w:val="auto"/>
          <w:sz w:val="22"/>
          <w:highlight w:val="none"/>
          <w:lang w:val="en-US" w:eastAsia="zh-CN"/>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bCs/>
          <w:color w:val="auto"/>
          <w:sz w:val="22"/>
          <w:highlight w:val="none"/>
          <w:lang w:eastAsia="zh-CN"/>
        </w:rPr>
        <w:t>，</w:t>
      </w:r>
      <w:r>
        <w:rPr>
          <w:rFonts w:hint="eastAsia" w:ascii="宋体" w:hAnsi="宋体" w:cs="宋体"/>
          <w:b w:val="0"/>
          <w:bCs/>
          <w:color w:val="auto"/>
          <w:sz w:val="22"/>
          <w:highlight w:val="none"/>
          <w:lang w:val="en-US" w:eastAsia="zh-CN"/>
        </w:rPr>
        <w:t>供应商在法定质疑期内应一次性提出针对同一采购程序环节的质疑，</w:t>
      </w:r>
      <w:r>
        <w:rPr>
          <w:rFonts w:hint="eastAsia" w:ascii="宋体" w:hAnsi="宋体" w:cs="宋体"/>
          <w:bCs/>
          <w:color w:val="auto"/>
          <w:sz w:val="22"/>
          <w:highlight w:val="none"/>
          <w:lang w:val="en-US" w:eastAsia="zh-CN"/>
        </w:rPr>
        <w:t>否则</w:t>
      </w:r>
      <w:r>
        <w:rPr>
          <w:rFonts w:hint="eastAsia" w:ascii="新宋体" w:hAnsi="新宋体" w:eastAsia="新宋体" w:cs="新宋体"/>
          <w:sz w:val="22"/>
          <w:szCs w:val="22"/>
          <w:highlight w:val="none"/>
        </w:rPr>
        <w:t>不予受理、答复</w:t>
      </w:r>
      <w:r>
        <w:rPr>
          <w:rFonts w:hint="eastAsia" w:ascii="宋体" w:hAnsi="宋体" w:cs="宋体"/>
          <w:bCs/>
          <w:color w:val="auto"/>
          <w:sz w:val="22"/>
          <w:highlight w:val="none"/>
          <w:lang w:val="en-US" w:eastAsia="zh-CN"/>
        </w:rPr>
        <w:t>。</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cs="宋体"/>
          <w:b w:val="0"/>
          <w:bCs/>
          <w:color w:val="auto"/>
          <w:sz w:val="22"/>
          <w:highlight w:val="none"/>
          <w:lang w:val="en-US" w:eastAsia="zh-CN"/>
        </w:rPr>
        <w:t>4</w:t>
      </w:r>
      <w:r>
        <w:rPr>
          <w:rFonts w:hint="eastAsia" w:ascii="宋体" w:hAnsi="宋体" w:eastAsia="宋体" w:cs="宋体"/>
          <w:b w:val="0"/>
          <w:bCs/>
          <w:color w:val="auto"/>
          <w:sz w:val="22"/>
          <w:highlight w:val="none"/>
        </w:rPr>
        <w:t>.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eastAsia" w:ascii="宋体" w:hAnsi="宋体" w:eastAsia="宋体" w:cs="宋体"/>
          <w:b w:val="0"/>
          <w:bCs/>
          <w:color w:val="auto"/>
          <w:sz w:val="22"/>
          <w:highlight w:val="none"/>
        </w:rPr>
      </w:pPr>
      <w:r>
        <w:rPr>
          <w:rFonts w:hint="eastAsia" w:ascii="宋体" w:hAnsi="宋体" w:cs="宋体"/>
          <w:b w:val="0"/>
          <w:bCs/>
          <w:color w:val="auto"/>
          <w:sz w:val="22"/>
          <w:highlight w:val="none"/>
          <w:lang w:val="en-US" w:eastAsia="zh-CN"/>
        </w:rPr>
        <w:t>4</w:t>
      </w:r>
      <w:r>
        <w:rPr>
          <w:rFonts w:hint="eastAsia" w:ascii="宋体" w:hAnsi="宋体" w:eastAsia="宋体" w:cs="宋体"/>
          <w:b w:val="0"/>
          <w:bCs/>
          <w:color w:val="auto"/>
          <w:sz w:val="22"/>
          <w:highlight w:val="none"/>
        </w:rPr>
        <w:t>.3投诉人投诉时，应提交投诉书，投诉书应当由本人并由法定代表人签字盖公章，投诉书应说明具体的投诉事项及事实依据。投诉人对投诉书的真实性负责，恶意投诉将承当相应的法律和民事责任。</w:t>
      </w:r>
    </w:p>
    <w:p>
      <w:pPr>
        <w:rPr>
          <w:rFonts w:hint="eastAsia" w:ascii="宋体" w:hAnsi="宋体" w:eastAsia="宋体" w:cs="宋体"/>
          <w:highlight w:val="none"/>
        </w:rPr>
      </w:pPr>
      <w:bookmarkStart w:id="24" w:name="_Toc28194"/>
      <w:bookmarkStart w:id="25" w:name="_Toc19043"/>
    </w:p>
    <w:p>
      <w:pPr>
        <w:rPr>
          <w:rFonts w:hint="eastAsia" w:ascii="宋体" w:hAnsi="宋体" w:eastAsia="宋体" w:cs="宋体"/>
          <w:highlight w:val="none"/>
        </w:rPr>
      </w:pPr>
      <w:r>
        <w:rPr>
          <w:rFonts w:hint="eastAsia" w:ascii="宋体" w:hAnsi="宋体" w:eastAsia="宋体" w:cs="宋体"/>
          <w:highlight w:val="none"/>
        </w:rPr>
        <w:br w:type="page"/>
      </w:r>
    </w:p>
    <w:p>
      <w:pPr>
        <w:pStyle w:val="4"/>
        <w:bidi w:val="0"/>
        <w:rPr>
          <w:rFonts w:hint="eastAsia" w:ascii="宋体" w:hAnsi="宋体" w:eastAsia="宋体" w:cs="宋体"/>
          <w:highlight w:val="none"/>
        </w:rPr>
      </w:pPr>
      <w:r>
        <w:rPr>
          <w:rFonts w:hint="eastAsia" w:ascii="宋体" w:hAnsi="宋体" w:eastAsia="宋体" w:cs="宋体"/>
          <w:highlight w:val="none"/>
        </w:rPr>
        <w:t>第二部分    合同主要条款</w:t>
      </w:r>
      <w:bookmarkEnd w:id="24"/>
      <w:bookmarkEnd w:id="25"/>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w:t>
      </w:r>
      <w:r>
        <w:rPr>
          <w:rFonts w:hint="eastAsia" w:ascii="宋体" w:hAnsi="宋体" w:eastAsia="宋体" w:cs="宋体"/>
          <w:color w:val="auto"/>
          <w:sz w:val="22"/>
          <w:szCs w:val="22"/>
          <w:highlight w:val="none"/>
          <w:lang w:val="en-US" w:eastAsia="zh-CN"/>
        </w:rPr>
        <w:t>采购</w:t>
      </w:r>
      <w:r>
        <w:rPr>
          <w:rFonts w:hint="eastAsia" w:ascii="宋体" w:hAnsi="宋体" w:eastAsia="宋体" w:cs="宋体"/>
          <w:color w:val="auto"/>
          <w:sz w:val="22"/>
          <w:szCs w:val="22"/>
          <w:highlight w:val="none"/>
        </w:rPr>
        <w:t>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乙方：（中标人）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温州市市场监督管理局的</w:t>
      </w:r>
      <w:r>
        <w:rPr>
          <w:rFonts w:hint="eastAsia" w:ascii="宋体" w:hAnsi="宋体" w:eastAsia="宋体" w:cs="宋体"/>
          <w:color w:val="auto"/>
          <w:sz w:val="22"/>
          <w:szCs w:val="22"/>
          <w:highlight w:val="none"/>
          <w:u w:val="single"/>
        </w:rPr>
        <w:t>（</w:t>
      </w:r>
      <w:r>
        <w:rPr>
          <w:rFonts w:hint="eastAsia" w:ascii="宋体" w:hAnsi="宋体" w:eastAsia="宋体" w:cs="宋体"/>
          <w:color w:val="auto"/>
          <w:sz w:val="22"/>
          <w:szCs w:val="22"/>
          <w:highlight w:val="none"/>
          <w:u w:val="single"/>
          <w:lang w:eastAsia="zh-CN"/>
        </w:rPr>
        <w:t>标项名称</w:t>
      </w:r>
      <w:r>
        <w:rPr>
          <w:rFonts w:hint="eastAsia" w:ascii="宋体" w:hAnsi="宋体" w:eastAsia="宋体" w:cs="宋体"/>
          <w:color w:val="auto"/>
          <w:sz w:val="22"/>
          <w:szCs w:val="22"/>
          <w:highlight w:val="none"/>
          <w:u w:val="single"/>
        </w:rPr>
        <w:t>、编号）</w:t>
      </w:r>
      <w:r>
        <w:rPr>
          <w:rFonts w:hint="eastAsia" w:ascii="宋体" w:hAnsi="宋体" w:eastAsia="宋体" w:cs="宋体"/>
          <w:color w:val="auto"/>
          <w:sz w:val="22"/>
          <w:szCs w:val="22"/>
          <w:highlight w:val="none"/>
        </w:rPr>
        <w:t>在国内以公开招标方式进行投标，经</w:t>
      </w:r>
      <w:r>
        <w:rPr>
          <w:rFonts w:hint="eastAsia" w:ascii="宋体" w:hAnsi="宋体" w:eastAsia="宋体" w:cs="宋体"/>
          <w:color w:val="auto"/>
          <w:sz w:val="22"/>
          <w:szCs w:val="22"/>
          <w:highlight w:val="none"/>
          <w:lang w:val="en-US" w:eastAsia="zh-CN"/>
        </w:rPr>
        <w:t>评审小组</w:t>
      </w:r>
      <w:r>
        <w:rPr>
          <w:rFonts w:hint="eastAsia" w:ascii="宋体" w:hAnsi="宋体" w:eastAsia="宋体" w:cs="宋体"/>
          <w:color w:val="auto"/>
          <w:sz w:val="22"/>
          <w:szCs w:val="22"/>
          <w:highlight w:val="none"/>
        </w:rPr>
        <w:t>评定</w:t>
      </w:r>
      <w:r>
        <w:rPr>
          <w:rFonts w:hint="eastAsia" w:ascii="宋体" w:hAnsi="宋体" w:eastAsia="宋体" w:cs="宋体"/>
          <w:color w:val="auto"/>
          <w:sz w:val="22"/>
          <w:szCs w:val="22"/>
          <w:highlight w:val="none"/>
          <w:u w:val="single"/>
        </w:rPr>
        <w:t>（中标人名称）</w:t>
      </w:r>
      <w:r>
        <w:rPr>
          <w:rFonts w:hint="eastAsia" w:ascii="宋体" w:hAnsi="宋体" w:eastAsia="宋体" w:cs="宋体"/>
          <w:color w:val="auto"/>
          <w:sz w:val="22"/>
          <w:szCs w:val="22"/>
          <w:highlight w:val="none"/>
        </w:rPr>
        <w:t>为中标人。双方本着诚信及互利互惠的原则，同意按照下面条款和条件，签署本合同。</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一、本合同签订依据</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《中华人民共和国民法典》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二、合同文件的优先次序</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合同文件如存在歧义或不一致则根据以下优先次序来判断：</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1、合同书及合同补充条款或说明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2、中标通知书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3、承诺书（含询标记录和优惠条款）</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5、招标文件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三、</w:t>
      </w:r>
      <w:r>
        <w:rPr>
          <w:rFonts w:hint="eastAsia" w:ascii="宋体" w:hAnsi="宋体" w:eastAsia="宋体" w:cs="宋体"/>
          <w:color w:val="auto"/>
          <w:sz w:val="22"/>
          <w:szCs w:val="22"/>
          <w:highlight w:val="none"/>
        </w:rPr>
        <w:t>疗休养线路及价格为：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乙方为甲方提供的疗休养路线为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条。分别是：</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，线路费用为：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、合同期限：</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由合同签订之日起至202</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年12月31日为甲方提供疗休养服务。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五</w:t>
      </w:r>
      <w:r>
        <w:rPr>
          <w:rFonts w:hint="eastAsia" w:ascii="宋体" w:hAnsi="宋体" w:eastAsia="宋体" w:cs="宋体"/>
          <w:color w:val="auto"/>
          <w:sz w:val="22"/>
          <w:szCs w:val="22"/>
          <w:highlight w:val="none"/>
        </w:rPr>
        <w:t>、旅游的地点及每个旅游景点的时间安排：</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各线路的安排如下（各线路分开填写）：</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其中线路为：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u w:val="single"/>
          <w:lang w:val="en-US" w:eastAsia="zh-CN"/>
        </w:rPr>
      </w:pPr>
      <w:r>
        <w:rPr>
          <w:rFonts w:hint="eastAsia" w:ascii="宋体" w:hAnsi="宋体" w:eastAsia="宋体" w:cs="宋体"/>
          <w:color w:val="auto"/>
          <w:sz w:val="22"/>
          <w:szCs w:val="22"/>
          <w:highlight w:val="none"/>
        </w:rPr>
        <w:t>乙方为甲方提供的旅游景点为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个。分别是</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每天的时间安排为上午</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时至</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时，下午</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时至</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六</w:t>
      </w:r>
      <w:r>
        <w:rPr>
          <w:rFonts w:hint="eastAsia" w:ascii="宋体" w:hAnsi="宋体" w:eastAsia="宋体" w:cs="宋体"/>
          <w:color w:val="auto"/>
          <w:sz w:val="22"/>
          <w:szCs w:val="22"/>
          <w:highlight w:val="none"/>
        </w:rPr>
        <w:t>、旅游的生活安排：</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乙方为甲方提供食宿，每天伙食为</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元标准（根据中标标准执行，投标时未承诺的按采购内容标准执行）。</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七</w:t>
      </w:r>
      <w:r>
        <w:rPr>
          <w:rFonts w:hint="eastAsia" w:ascii="宋体" w:hAnsi="宋体" w:eastAsia="宋体" w:cs="宋体"/>
          <w:color w:val="auto"/>
          <w:sz w:val="22"/>
          <w:szCs w:val="22"/>
          <w:highlight w:val="none"/>
        </w:rPr>
        <w:t>、导游服务：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乙方为甲方提供导游服务，服务内容：</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八</w:t>
      </w:r>
      <w:r>
        <w:rPr>
          <w:rFonts w:hint="eastAsia" w:ascii="宋体" w:hAnsi="宋体" w:eastAsia="宋体" w:cs="宋体"/>
          <w:color w:val="auto"/>
          <w:sz w:val="22"/>
          <w:szCs w:val="22"/>
          <w:highlight w:val="none"/>
        </w:rPr>
        <w:t>、旅游的费用：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乙方按每月实际出团人数向甲方每月结算一次费用，并提供正规税务发票及费用清单，甲方收到发票后7个工作日内办理付款手续。</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b/>
          <w:bCs/>
          <w:color w:val="auto"/>
          <w:spacing w:val="-6"/>
          <w:sz w:val="22"/>
          <w:szCs w:val="22"/>
          <w:highlight w:val="none"/>
          <w:lang w:val="en-US" w:eastAsia="zh-CN"/>
        </w:rPr>
      </w:pPr>
      <w:r>
        <w:rPr>
          <w:rFonts w:hint="eastAsia" w:ascii="宋体" w:hAnsi="宋体" w:cs="宋体"/>
          <w:color w:val="auto"/>
          <w:sz w:val="22"/>
          <w:highlight w:val="none"/>
        </w:rPr>
        <w:t>本项目最终支付以实际出团人数与中标单价结合按实结算</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九</w:t>
      </w:r>
      <w:r>
        <w:rPr>
          <w:rFonts w:hint="eastAsia" w:ascii="宋体" w:hAnsi="宋体" w:eastAsia="宋体" w:cs="宋体"/>
          <w:color w:val="auto"/>
          <w:sz w:val="22"/>
          <w:szCs w:val="22"/>
          <w:highlight w:val="none"/>
        </w:rPr>
        <w:t>、旅游的交通工具：</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按采购内容要求执行。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十</w:t>
      </w:r>
      <w:r>
        <w:rPr>
          <w:rFonts w:hint="eastAsia" w:ascii="宋体" w:hAnsi="宋体" w:eastAsia="宋体" w:cs="宋体"/>
          <w:color w:val="auto"/>
          <w:sz w:val="22"/>
          <w:szCs w:val="22"/>
          <w:highlight w:val="none"/>
        </w:rPr>
        <w:t>、乙方的权利义务：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1、核实甲方提供的相关信息资料。</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2、按照合同约定向甲方收取疗休养费用。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3、疗休养团队遇紧急情况时，可以采取安全防范措施和紧急避险措施并要求甲方配合。</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4、要求甲方健康、文明疗休养，劝阻甲方违法和违反社会公德的行为。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5、按照合同个约定的内容和标准为甲方提供服务，未经甲方同意不得擅自变更疗休养行程、酒店、餐饮安排；在疗休养过程中维护甲方人员的人身财产权益，承担相应的安全保障责任。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6、向合格的供应商订购产品和服务；不以不合理的低价组织疗休养活动，诱骗甲方，并通过安排购物或者另行付费疗休养项目获取回扣等不正当利益。</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7、组织、接待甲方，不指定具体购物场所，不安排另行付费疗休养项目，但是，经双方协商一致或者甲方要求，且不影响其他游客行程安排的除外。</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在出团前如实告知具体行程安排和有关具体事项，具体事项包括但不限于所到疗休养目的地的属地规定、风俗习惯；疗休养活动中的安全注意事项和安全避险措施、甲方不适合参加疗休养活动的情形；乙方已发可以减免责任的信息；应急联络方式以及法律、法规规定的其他应当告知的事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9、按照合同约定个，为甲方安排符合《中华人民共和国旅游法》、《导游人员管理条例》</w:t>
      </w:r>
      <w:r>
        <w:rPr>
          <w:rFonts w:hint="eastAsia" w:ascii="宋体" w:hAnsi="宋体" w:eastAsia="宋体" w:cs="宋体"/>
          <w:color w:val="auto"/>
          <w:sz w:val="22"/>
          <w:szCs w:val="22"/>
          <w:highlight w:val="none"/>
          <w:lang w:val="en-US" w:eastAsia="zh-CN"/>
        </w:rPr>
        <w:t>等</w:t>
      </w:r>
      <w:r>
        <w:rPr>
          <w:rFonts w:hint="eastAsia" w:ascii="宋体" w:hAnsi="宋体" w:eastAsia="宋体" w:cs="宋体"/>
          <w:color w:val="auto"/>
          <w:sz w:val="22"/>
          <w:szCs w:val="22"/>
          <w:highlight w:val="none"/>
        </w:rPr>
        <w:t>规定的持证导游人员。</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10、妥善保管甲方交其代管的证件、行李等物品。</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为甲方发放用固定格式书写、由甲方填写的安全信息卡（包括甲方的姓名、血型、应急联络方式等）；甲方人身、财产权益受到损害时，应当采取合理必要的保护和救助措施，避免甲方人身、财产权益损失扩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12、乙方提供旅行社责任险及个人旅游人身意外险，包括但不限于旅行社责任险和个人旅游人身意外险（个人旅游人身意外险保额不少于100万），疗休养期间所有的安全责任由乙方承担。</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13、依法对甲方的个人信息保密。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疗休养期间所有的安全责任由乙方承担。由于地接社、履行辅助人的原因造成甲方人身损害、财产损失的，甲方可以要求地接社、履行辅助人承担赔偿责任，也可以要求乙方承担赔偿责任。因乙方不履行协助义务致使甲方人身、财产权益损失扩大的，乙方还应当就扩大的损失承担赔偿责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、乙方不得将本项目疗休养服务转包。</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乙方未经甲方同意不得擅自更改疗休养景点和缩短疗休养时间；不得擅自降低疗休养方案标准（包括但不限于住宿、餐饮、交通工具、导游等实质性内容）；不得通过安排购物或者另行付费疗休养项目获得回扣等不正当利益。如乙方违反约定，应每次向甲方赔偿当批次疗休养费用总额30_% 的违约金，同时甲方有权要求乙方按约定继续完成疗休养服务。乙方在出发前通知甲方拒绝提供疗休养服务的，甲方可以选择其他旅行社按原定行程出游，支出费用由乙方承担。乙方在出发后通知甲方拒绝提供部分疗休养服务的，甲方可以选择乘坐其他交通方式前往原定疗休养景点，支出费用由乙方承担，且乙方不得以此拒绝承担安全保障和维护责任；乙方自行增加游览景点的，增加的费用由乙方承担。事后甲方有权解除合同。</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、每期完成疗养服务后，必须让所有出行人填写《满意度调查表》，每期结算提交。</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一</w:t>
      </w:r>
      <w:r>
        <w:rPr>
          <w:rFonts w:hint="eastAsia" w:ascii="宋体" w:hAnsi="宋体" w:eastAsia="宋体" w:cs="宋体"/>
          <w:color w:val="auto"/>
          <w:sz w:val="22"/>
          <w:szCs w:val="22"/>
          <w:highlight w:val="none"/>
        </w:rPr>
        <w:t>、甲方的权利义务：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1、如实填写旅行社要求填卡写的游客安全信息等各项内容，告知与疗休养活动相关的个人健康信息，并对其真实性负责，保证所提供的联系方式准确无误且能及时联系。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2、按照合同约定支付疗休养费用。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3、遵守法律、法规和有关规定，不在疗休养行程中从事违法活动，不参与色情、赌博和涉毒活动。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4、遵守公共秩序和社会公德，遵守疗休养目的地的风俗习惯，文化传统和宗教信仰，爱护疗休养资源，保护生态环境，遵守《中国公民国内旅游文明行为公约》等文明行为规范。</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5、对国家应对重大突发事件暂时限制旅游或疗休养活动的措施以及有关部门、机构或者旅游经营者采取的安全防范和应急处置措施予以配合。</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6、妥善保管自己的行李物品。</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7、在疗休养活动中或者在解决纠纷时，应采取措施防止损失扩大，不损害当地居民的合法权益；不干扰他人的旅游活动：不损害旅游经营者和旅游从业人员的合法权益。</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8、甲方应遵守乙方安排在本次旅游当中的安全事项及其他合理要求，不得擅自单独行动。自行安排活动期间，应当在自己能够控制风险的范围内选择活动项目，遵守疗休养活动中的安全警示规定。</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9、甲方应遵守乙方在本次疗休养当中设定的安全事项及其他合理要求，不得擅自单独行动。</w:t>
      </w:r>
    </w:p>
    <w:p>
      <w:pPr>
        <w:keepNext w:val="0"/>
        <w:keepLines w:val="0"/>
        <w:pageBreakBefore w:val="0"/>
        <w:widowControl w:val="0"/>
        <w:tabs>
          <w:tab w:val="left" w:pos="576"/>
          <w:tab w:val="left" w:pos="993"/>
        </w:tabs>
        <w:kinsoku/>
        <w:wordWrap/>
        <w:overflowPunct/>
        <w:topLinePunct w:val="0"/>
        <w:bidi w:val="0"/>
        <w:adjustRightInd/>
        <w:snapToGrid w:val="0"/>
        <w:spacing w:line="360" w:lineRule="auto"/>
        <w:ind w:leftChars="0" w:firstLine="440" w:firstLineChars="200"/>
        <w:textAlignment w:val="baseline"/>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二</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验收标准</w:t>
      </w:r>
    </w:p>
    <w:p>
      <w:pPr>
        <w:keepNext w:val="0"/>
        <w:keepLines w:val="0"/>
        <w:pageBreakBefore w:val="0"/>
        <w:widowControl w:val="0"/>
        <w:tabs>
          <w:tab w:val="left" w:pos="576"/>
          <w:tab w:val="left" w:pos="993"/>
        </w:tabs>
        <w:kinsoku/>
        <w:wordWrap/>
        <w:overflowPunct/>
        <w:topLinePunct w:val="0"/>
        <w:bidi w:val="0"/>
        <w:adjustRightInd/>
        <w:snapToGrid w:val="0"/>
        <w:spacing w:line="360" w:lineRule="auto"/>
        <w:ind w:leftChars="0" w:firstLine="440" w:firstLineChars="200"/>
        <w:textAlignment w:val="baseline"/>
        <w:outlineLvl w:val="9"/>
        <w:rPr>
          <w:rStyle w:val="342"/>
          <w:rFonts w:hint="eastAsia" w:ascii="宋体" w:hAnsi="宋体" w:eastAsia="宋体" w:cs="宋体"/>
          <w:bCs/>
          <w:color w:val="auto"/>
          <w:sz w:val="22"/>
          <w:szCs w:val="22"/>
          <w:highlight w:val="none"/>
          <w:lang w:val="en-US" w:eastAsia="zh-CN"/>
        </w:rPr>
      </w:pPr>
      <w:r>
        <w:rPr>
          <w:rFonts w:hint="eastAsia" w:ascii="宋体" w:hAnsi="宋体" w:eastAsia="宋体" w:cs="宋体"/>
          <w:color w:val="auto"/>
          <w:sz w:val="22"/>
          <w:szCs w:val="22"/>
          <w:highlight w:val="none"/>
          <w:lang w:val="en-US" w:eastAsia="zh-CN"/>
        </w:rPr>
        <w:t>依据</w:t>
      </w:r>
      <w:r>
        <w:rPr>
          <w:rStyle w:val="342"/>
          <w:rFonts w:hint="eastAsia" w:ascii="宋体" w:hAnsi="宋体" w:eastAsia="宋体" w:cs="宋体"/>
          <w:bCs/>
          <w:color w:val="auto"/>
          <w:sz w:val="22"/>
          <w:szCs w:val="22"/>
          <w:highlight w:val="none"/>
          <w:lang w:val="en-US" w:eastAsia="zh-CN"/>
        </w:rPr>
        <w:t>考核评价进行验收</w:t>
      </w:r>
    </w:p>
    <w:p>
      <w:pPr>
        <w:keepNext w:val="0"/>
        <w:keepLines w:val="0"/>
        <w:pageBreakBefore w:val="0"/>
        <w:widowControl w:val="0"/>
        <w:tabs>
          <w:tab w:val="left" w:pos="576"/>
          <w:tab w:val="left" w:pos="993"/>
        </w:tabs>
        <w:kinsoku/>
        <w:wordWrap/>
        <w:overflowPunct/>
        <w:topLinePunct w:val="0"/>
        <w:bidi w:val="0"/>
        <w:adjustRightInd/>
        <w:snapToGrid w:val="0"/>
        <w:spacing w:line="360" w:lineRule="auto"/>
        <w:ind w:leftChars="0"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lang w:val="en-US" w:eastAsia="zh-CN"/>
        </w:rPr>
        <w:t>考核评价：</w:t>
      </w:r>
      <w:r>
        <w:rPr>
          <w:rStyle w:val="342"/>
          <w:rFonts w:hint="eastAsia" w:ascii="宋体" w:hAnsi="宋体" w:eastAsia="宋体" w:cs="宋体"/>
          <w:bCs/>
          <w:color w:val="auto"/>
          <w:sz w:val="22"/>
          <w:szCs w:val="22"/>
          <w:highlight w:val="none"/>
        </w:rPr>
        <w:t>每批次职工疗休养结束后，</w:t>
      </w:r>
      <w:r>
        <w:rPr>
          <w:rStyle w:val="342"/>
          <w:rFonts w:hint="eastAsia" w:ascii="宋体" w:hAnsi="宋体" w:eastAsia="宋体" w:cs="宋体"/>
          <w:bCs/>
          <w:color w:val="auto"/>
          <w:sz w:val="22"/>
          <w:szCs w:val="22"/>
          <w:highlight w:val="none"/>
          <w:lang w:eastAsia="zh-CN"/>
        </w:rPr>
        <w:t>甲方</w:t>
      </w:r>
      <w:r>
        <w:rPr>
          <w:rStyle w:val="342"/>
          <w:rFonts w:hint="eastAsia" w:ascii="宋体" w:hAnsi="宋体" w:eastAsia="宋体" w:cs="宋体"/>
          <w:bCs/>
          <w:color w:val="auto"/>
          <w:sz w:val="22"/>
          <w:szCs w:val="22"/>
          <w:highlight w:val="none"/>
        </w:rPr>
        <w:t>将对参加疗休养的职工进行满意度测评调查（职工疗休养满意度调查表附后）。考核违约金为单次支付总额的10％</w:t>
      </w:r>
      <w:r>
        <w:rPr>
          <w:rStyle w:val="342"/>
          <w:rFonts w:hint="eastAsia" w:ascii="宋体" w:hAnsi="宋体" w:eastAsia="宋体" w:cs="宋体"/>
          <w:bCs/>
          <w:color w:val="auto"/>
          <w:sz w:val="22"/>
          <w:szCs w:val="22"/>
          <w:highlight w:val="none"/>
          <w:lang w:eastAsia="zh-CN"/>
        </w:rPr>
        <w:t>：</w:t>
      </w:r>
      <w:r>
        <w:rPr>
          <w:rStyle w:val="342"/>
          <w:rFonts w:hint="eastAsia" w:ascii="宋体" w:hAnsi="宋体" w:eastAsia="宋体" w:cs="宋体"/>
          <w:bCs/>
          <w:color w:val="auto"/>
          <w:sz w:val="22"/>
          <w:szCs w:val="22"/>
          <w:highlight w:val="none"/>
        </w:rPr>
        <w:t>当本月疗养之后评价人数达到15人及以上人数对本次疗休养满意度调查</w:t>
      </w:r>
      <w:r>
        <w:rPr>
          <w:rStyle w:val="342"/>
          <w:rFonts w:hint="eastAsia" w:ascii="宋体" w:hAnsi="宋体" w:cs="宋体"/>
          <w:bCs/>
          <w:color w:val="auto"/>
          <w:sz w:val="22"/>
          <w:szCs w:val="22"/>
          <w:highlight w:val="none"/>
          <w:lang w:val="en-US" w:eastAsia="zh-CN"/>
        </w:rPr>
        <w:t>整体评价</w:t>
      </w:r>
      <w:r>
        <w:rPr>
          <w:rStyle w:val="342"/>
          <w:rFonts w:hint="eastAsia" w:ascii="宋体" w:hAnsi="宋体" w:eastAsia="宋体" w:cs="宋体"/>
          <w:bCs/>
          <w:color w:val="auto"/>
          <w:sz w:val="22"/>
          <w:szCs w:val="22"/>
          <w:highlight w:val="none"/>
        </w:rPr>
        <w:t>较好及以上</w:t>
      </w:r>
      <w:r>
        <w:rPr>
          <w:rStyle w:val="342"/>
          <w:rFonts w:hint="eastAsia" w:ascii="宋体" w:hAnsi="宋体" w:cs="宋体"/>
          <w:bCs/>
          <w:color w:val="auto"/>
          <w:sz w:val="22"/>
          <w:szCs w:val="22"/>
          <w:highlight w:val="none"/>
          <w:lang w:val="en-US" w:eastAsia="zh-CN"/>
        </w:rPr>
        <w:t>满意率</w:t>
      </w:r>
      <w:r>
        <w:rPr>
          <w:rStyle w:val="342"/>
          <w:rFonts w:hint="eastAsia" w:ascii="宋体" w:hAnsi="宋体" w:eastAsia="宋体" w:cs="宋体"/>
          <w:bCs/>
          <w:color w:val="auto"/>
          <w:sz w:val="22"/>
          <w:szCs w:val="22"/>
          <w:highlight w:val="none"/>
        </w:rPr>
        <w:t>高于80</w:t>
      </w:r>
      <w:r>
        <w:rPr>
          <w:rStyle w:val="342"/>
          <w:rFonts w:hint="eastAsia" w:ascii="宋体" w:hAnsi="宋体" w:eastAsia="宋体" w:cs="宋体"/>
          <w:bCs/>
          <w:color w:val="auto"/>
          <w:sz w:val="22"/>
          <w:szCs w:val="22"/>
          <w:highlight w:val="none"/>
          <w:lang w:val="en-US" w:eastAsia="zh-CN"/>
        </w:rPr>
        <w:t>%</w:t>
      </w:r>
      <w:r>
        <w:rPr>
          <w:rStyle w:val="342"/>
          <w:rFonts w:hint="eastAsia" w:ascii="宋体" w:hAnsi="宋体" w:eastAsia="宋体" w:cs="宋体"/>
          <w:bCs/>
          <w:color w:val="auto"/>
          <w:sz w:val="22"/>
          <w:szCs w:val="22"/>
          <w:highlight w:val="none"/>
        </w:rPr>
        <w:t>（含）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w:t>
      </w:r>
      <w:r>
        <w:rPr>
          <w:rStyle w:val="342"/>
          <w:rFonts w:hint="eastAsia" w:ascii="宋体" w:hAnsi="宋体" w:eastAsia="宋体" w:cs="宋体"/>
          <w:bCs/>
          <w:color w:val="auto"/>
          <w:sz w:val="22"/>
          <w:szCs w:val="22"/>
          <w:highlight w:val="none"/>
          <w:lang w:eastAsia="zh-CN"/>
        </w:rPr>
        <w:t>甲方</w:t>
      </w:r>
      <w:r>
        <w:rPr>
          <w:rStyle w:val="342"/>
          <w:rFonts w:hint="eastAsia" w:ascii="宋体" w:hAnsi="宋体" w:eastAsia="宋体" w:cs="宋体"/>
          <w:bCs/>
          <w:color w:val="auto"/>
          <w:sz w:val="22"/>
          <w:szCs w:val="22"/>
          <w:highlight w:val="none"/>
        </w:rPr>
        <w:t>全额支付当</w:t>
      </w:r>
      <w:r>
        <w:rPr>
          <w:rStyle w:val="342"/>
          <w:rFonts w:hint="eastAsia" w:ascii="宋体" w:hAnsi="宋体" w:eastAsia="宋体" w:cs="宋体"/>
          <w:bCs/>
          <w:color w:val="auto"/>
          <w:sz w:val="22"/>
          <w:szCs w:val="22"/>
          <w:highlight w:val="none"/>
          <w:lang w:val="en-US" w:eastAsia="zh-CN"/>
        </w:rPr>
        <w:t>月</w:t>
      </w:r>
      <w:r>
        <w:rPr>
          <w:rStyle w:val="342"/>
          <w:rFonts w:hint="eastAsia" w:ascii="宋体" w:hAnsi="宋体" w:eastAsia="宋体" w:cs="宋体"/>
          <w:bCs/>
          <w:color w:val="auto"/>
          <w:sz w:val="22"/>
          <w:szCs w:val="22"/>
          <w:highlight w:val="none"/>
        </w:rPr>
        <w:t>疗休养费用；高于</w:t>
      </w:r>
      <w:r>
        <w:rPr>
          <w:rStyle w:val="342"/>
          <w:rFonts w:hint="eastAsia" w:ascii="宋体" w:hAnsi="宋体" w:eastAsia="宋体" w:cs="宋体"/>
          <w:bCs/>
          <w:color w:val="auto"/>
          <w:sz w:val="22"/>
          <w:szCs w:val="22"/>
          <w:highlight w:val="none"/>
          <w:lang w:val="en-US" w:eastAsia="zh-CN"/>
        </w:rPr>
        <w:t>6</w:t>
      </w:r>
      <w:r>
        <w:rPr>
          <w:rStyle w:val="342"/>
          <w:rFonts w:hint="eastAsia" w:ascii="宋体" w:hAnsi="宋体" w:eastAsia="宋体" w:cs="宋体"/>
          <w:bCs/>
          <w:color w:val="auto"/>
          <w:sz w:val="22"/>
          <w:szCs w:val="22"/>
          <w:highlight w:val="none"/>
        </w:rPr>
        <w:t>0</w:t>
      </w:r>
      <w:r>
        <w:rPr>
          <w:rStyle w:val="342"/>
          <w:rFonts w:hint="eastAsia" w:ascii="宋体" w:hAnsi="宋体" w:eastAsia="宋体" w:cs="宋体"/>
          <w:bCs/>
          <w:color w:val="auto"/>
          <w:sz w:val="22"/>
          <w:szCs w:val="22"/>
          <w:highlight w:val="none"/>
          <w:lang w:val="en-US" w:eastAsia="zh-CN"/>
        </w:rPr>
        <w:t>%</w:t>
      </w:r>
      <w:r>
        <w:rPr>
          <w:rStyle w:val="342"/>
          <w:rFonts w:hint="eastAsia" w:ascii="宋体" w:hAnsi="宋体" w:eastAsia="宋体" w:cs="宋体"/>
          <w:bCs/>
          <w:color w:val="auto"/>
          <w:sz w:val="22"/>
          <w:szCs w:val="22"/>
          <w:highlight w:val="none"/>
        </w:rPr>
        <w:t>（不含）低于</w:t>
      </w:r>
      <w:r>
        <w:rPr>
          <w:rStyle w:val="342"/>
          <w:rFonts w:hint="eastAsia" w:ascii="宋体" w:hAnsi="宋体" w:eastAsia="宋体" w:cs="宋体"/>
          <w:bCs/>
          <w:color w:val="auto"/>
          <w:sz w:val="22"/>
          <w:szCs w:val="22"/>
          <w:highlight w:val="none"/>
          <w:lang w:val="en-US" w:eastAsia="zh-CN"/>
        </w:rPr>
        <w:t>80%</w:t>
      </w:r>
      <w:r>
        <w:rPr>
          <w:rStyle w:val="342"/>
          <w:rFonts w:hint="eastAsia" w:ascii="宋体" w:hAnsi="宋体" w:eastAsia="宋体" w:cs="宋体"/>
          <w:bCs/>
          <w:color w:val="auto"/>
          <w:sz w:val="22"/>
          <w:szCs w:val="22"/>
          <w:highlight w:val="none"/>
        </w:rPr>
        <w:t>（不含）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w:t>
      </w:r>
      <w:r>
        <w:rPr>
          <w:rStyle w:val="342"/>
          <w:rFonts w:hint="eastAsia" w:ascii="宋体" w:hAnsi="宋体" w:eastAsia="宋体" w:cs="宋体"/>
          <w:bCs/>
          <w:color w:val="auto"/>
          <w:sz w:val="22"/>
          <w:szCs w:val="22"/>
          <w:highlight w:val="none"/>
          <w:lang w:eastAsia="zh-CN"/>
        </w:rPr>
        <w:t>甲方</w:t>
      </w:r>
      <w:r>
        <w:rPr>
          <w:rStyle w:val="342"/>
          <w:rFonts w:hint="eastAsia" w:ascii="宋体" w:hAnsi="宋体" w:eastAsia="宋体" w:cs="宋体"/>
          <w:bCs/>
          <w:color w:val="auto"/>
          <w:sz w:val="22"/>
          <w:szCs w:val="22"/>
          <w:highlight w:val="none"/>
        </w:rPr>
        <w:t>有权扣除50%</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考核违约金</w:t>
      </w:r>
      <w:r>
        <w:rPr>
          <w:rStyle w:val="342"/>
          <w:rFonts w:hint="eastAsia" w:ascii="宋体" w:hAnsi="宋体" w:eastAsia="宋体" w:cs="宋体"/>
          <w:bCs/>
          <w:color w:val="auto"/>
          <w:sz w:val="22"/>
          <w:szCs w:val="22"/>
          <w:highlight w:val="none"/>
          <w:lang w:eastAsia="zh-CN"/>
        </w:rPr>
        <w:t>；</w:t>
      </w:r>
      <w:r>
        <w:rPr>
          <w:rStyle w:val="342"/>
          <w:rFonts w:hint="eastAsia" w:ascii="宋体" w:hAnsi="宋体" w:eastAsia="宋体" w:cs="宋体"/>
          <w:bCs/>
          <w:color w:val="auto"/>
          <w:sz w:val="22"/>
          <w:szCs w:val="22"/>
          <w:highlight w:val="none"/>
        </w:rPr>
        <w:t>低于</w:t>
      </w:r>
      <w:r>
        <w:rPr>
          <w:rStyle w:val="342"/>
          <w:rFonts w:hint="eastAsia" w:ascii="宋体" w:hAnsi="宋体" w:eastAsia="宋体" w:cs="宋体"/>
          <w:bCs/>
          <w:color w:val="auto"/>
          <w:sz w:val="22"/>
          <w:szCs w:val="22"/>
          <w:highlight w:val="none"/>
          <w:lang w:val="en-US" w:eastAsia="zh-CN"/>
        </w:rPr>
        <w:t>60%</w:t>
      </w:r>
      <w:r>
        <w:rPr>
          <w:rStyle w:val="342"/>
          <w:rFonts w:hint="eastAsia" w:ascii="宋体" w:hAnsi="宋体" w:eastAsia="宋体" w:cs="宋体"/>
          <w:bCs/>
          <w:color w:val="auto"/>
          <w:sz w:val="22"/>
          <w:szCs w:val="22"/>
          <w:highlight w:val="none"/>
        </w:rPr>
        <w:t>（含）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w:t>
      </w:r>
      <w:r>
        <w:rPr>
          <w:rStyle w:val="342"/>
          <w:rFonts w:hint="eastAsia" w:ascii="宋体" w:hAnsi="宋体" w:eastAsia="宋体" w:cs="宋体"/>
          <w:bCs/>
          <w:color w:val="auto"/>
          <w:sz w:val="22"/>
          <w:szCs w:val="22"/>
          <w:highlight w:val="none"/>
          <w:lang w:eastAsia="zh-CN"/>
        </w:rPr>
        <w:t>甲方</w:t>
      </w:r>
      <w:r>
        <w:rPr>
          <w:rStyle w:val="342"/>
          <w:rFonts w:hint="eastAsia" w:ascii="宋体" w:hAnsi="宋体" w:eastAsia="宋体" w:cs="宋体"/>
          <w:bCs/>
          <w:color w:val="auto"/>
          <w:sz w:val="22"/>
          <w:szCs w:val="22"/>
          <w:highlight w:val="none"/>
        </w:rPr>
        <w:t>有权扣除</w:t>
      </w:r>
      <w:r>
        <w:rPr>
          <w:rStyle w:val="342"/>
          <w:rFonts w:hint="eastAsia" w:ascii="宋体" w:hAnsi="宋体" w:eastAsia="宋体" w:cs="宋体"/>
          <w:bCs/>
          <w:color w:val="auto"/>
          <w:sz w:val="22"/>
          <w:szCs w:val="22"/>
          <w:highlight w:val="none"/>
          <w:lang w:val="en-US" w:eastAsia="zh-CN"/>
        </w:rPr>
        <w:t>100</w:t>
      </w:r>
      <w:r>
        <w:rPr>
          <w:rStyle w:val="342"/>
          <w:rFonts w:hint="eastAsia" w:ascii="宋体" w:hAnsi="宋体" w:eastAsia="宋体" w:cs="宋体"/>
          <w:bCs/>
          <w:color w:val="auto"/>
          <w:sz w:val="22"/>
          <w:szCs w:val="22"/>
          <w:highlight w:val="none"/>
        </w:rPr>
        <w:t>%</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考核违约金，同时</w:t>
      </w:r>
      <w:r>
        <w:rPr>
          <w:rStyle w:val="342"/>
          <w:rFonts w:hint="eastAsia" w:ascii="宋体" w:hAnsi="宋体" w:eastAsia="宋体" w:cs="宋体"/>
          <w:bCs/>
          <w:color w:val="auto"/>
          <w:sz w:val="22"/>
          <w:szCs w:val="22"/>
          <w:highlight w:val="none"/>
          <w:lang w:eastAsia="zh-CN"/>
        </w:rPr>
        <w:t>甲方</w:t>
      </w:r>
      <w:r>
        <w:rPr>
          <w:rStyle w:val="342"/>
          <w:rFonts w:hint="eastAsia" w:ascii="宋体" w:hAnsi="宋体" w:eastAsia="宋体" w:cs="宋体"/>
          <w:bCs/>
          <w:color w:val="auto"/>
          <w:sz w:val="22"/>
          <w:szCs w:val="22"/>
          <w:highlight w:val="none"/>
        </w:rPr>
        <w:t>有权终止合同。</w:t>
      </w:r>
    </w:p>
    <w:p>
      <w:pPr>
        <w:keepNext w:val="0"/>
        <w:keepLines w:val="0"/>
        <w:pageBreakBefore w:val="0"/>
        <w:kinsoku/>
        <w:wordWrap/>
        <w:overflowPunct/>
        <w:topLinePunct w:val="0"/>
        <w:bidi w:val="0"/>
        <w:adjustRightInd/>
        <w:snapToGrid w:val="0"/>
        <w:spacing w:line="360" w:lineRule="auto"/>
        <w:ind w:leftChars="0"/>
        <w:jc w:val="center"/>
        <w:textAlignment w:val="baseline"/>
        <w:outlineLvl w:val="9"/>
        <w:rPr>
          <w:rStyle w:val="342"/>
          <w:rFonts w:hint="eastAsia" w:ascii="宋体" w:hAnsi="宋体" w:eastAsia="宋体" w:cs="宋体"/>
          <w:b/>
          <w:bCs/>
          <w:color w:val="auto"/>
          <w:sz w:val="22"/>
          <w:szCs w:val="22"/>
          <w:highlight w:val="none"/>
        </w:rPr>
      </w:pPr>
      <w:r>
        <w:rPr>
          <w:rStyle w:val="342"/>
          <w:rFonts w:hint="eastAsia" w:ascii="宋体" w:hAnsi="宋体" w:eastAsia="宋体" w:cs="宋体"/>
          <w:b/>
          <w:bCs/>
          <w:color w:val="auto"/>
          <w:sz w:val="22"/>
          <w:szCs w:val="22"/>
          <w:highlight w:val="none"/>
        </w:rPr>
        <w:t>职工疗休养满意度调查表</w:t>
      </w:r>
    </w:p>
    <w:tbl>
      <w:tblPr>
        <w:tblStyle w:val="5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1680"/>
        <w:gridCol w:w="1605"/>
        <w:gridCol w:w="1545"/>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疗养地点</w:t>
            </w:r>
          </w:p>
        </w:tc>
        <w:tc>
          <w:tcPr>
            <w:tcW w:w="6188" w:type="dxa"/>
            <w:gridSpan w:val="4"/>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疗养时间</w:t>
            </w:r>
          </w:p>
        </w:tc>
        <w:tc>
          <w:tcPr>
            <w:tcW w:w="6188" w:type="dxa"/>
            <w:gridSpan w:val="4"/>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Style w:val="342"/>
                <w:rFonts w:hint="eastAsia" w:ascii="宋体" w:hAnsi="宋体" w:eastAsia="宋体" w:cs="宋体"/>
                <w:bCs/>
                <w:color w:val="auto"/>
                <w:sz w:val="22"/>
                <w:szCs w:val="22"/>
                <w:highlight w:val="none"/>
              </w:rPr>
              <w:t>____ 年___ 月____日至 ___ 月  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vMerge w:val="restart"/>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调查项目</w:t>
            </w:r>
          </w:p>
        </w:tc>
        <w:tc>
          <w:tcPr>
            <w:tcW w:w="6188" w:type="dxa"/>
            <w:gridSpan w:val="4"/>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满意度评价（请您在选项后</w:t>
            </w:r>
            <w:r>
              <w:rPr>
                <w:rFonts w:hint="eastAsia" w:ascii="宋体" w:hAnsi="宋体" w:eastAsia="宋体" w:cs="宋体"/>
                <w:color w:val="auto"/>
                <w:sz w:val="22"/>
                <w:szCs w:val="22"/>
                <w:highlight w:val="none"/>
                <w:lang w:val="en-US" w:eastAsia="zh-CN"/>
              </w:rPr>
              <w:t>打“√”</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vMerge w:val="continue"/>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好</w:t>
            </w: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较好</w:t>
            </w: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一般</w:t>
            </w: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住宿条件</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餐饮状况</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行程景点安排</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车辆状况和司机服务</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导游服务</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安全措施</w:t>
            </w:r>
          </w:p>
        </w:tc>
        <w:tc>
          <w:tcPr>
            <w:tcW w:w="1680"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c>
          <w:tcPr>
            <w:tcW w:w="1358" w:type="dxa"/>
            <w:noWrap/>
            <w:vAlign w:val="center"/>
          </w:tcPr>
          <w:p>
            <w:pPr>
              <w:keepNext w:val="0"/>
              <w:keepLines w:val="0"/>
              <w:pageBreakBefore w:val="0"/>
              <w:kinsoku/>
              <w:wordWrap/>
              <w:overflowPunct/>
              <w:topLinePunct w:val="0"/>
              <w:autoSpaceDE w:val="0"/>
              <w:autoSpaceDN w:val="0"/>
              <w:bidi w:val="0"/>
              <w:adjustRightInd/>
              <w:spacing w:line="360" w:lineRule="auto"/>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7" w:type="dxa"/>
            <w:gridSpan w:val="5"/>
            <w:noWrap/>
            <w:vAlign w:val="top"/>
          </w:tcPr>
          <w:p>
            <w:pPr>
              <w:keepNext w:val="0"/>
              <w:keepLines w:val="0"/>
              <w:pageBreakBefore w:val="0"/>
              <w:kinsoku/>
              <w:wordWrap/>
              <w:overflowPunct/>
              <w:topLinePunct w:val="0"/>
              <w:autoSpaceDE w:val="0"/>
              <w:autoSpaceDN w:val="0"/>
              <w:bidi w:val="0"/>
              <w:adjustRightInd/>
              <w:spacing w:line="360" w:lineRule="auto"/>
              <w:ind w:leftChars="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对本次疗休养的整体评价及建议：</w:t>
            </w:r>
          </w:p>
          <w:p>
            <w:pPr>
              <w:keepNext w:val="0"/>
              <w:keepLines w:val="0"/>
              <w:pageBreakBefore w:val="0"/>
              <w:kinsoku/>
              <w:wordWrap/>
              <w:overflowPunct/>
              <w:topLinePunct w:val="0"/>
              <w:autoSpaceDE w:val="0"/>
              <w:autoSpaceDN w:val="0"/>
              <w:bidi w:val="0"/>
              <w:adjustRightInd/>
              <w:spacing w:line="360" w:lineRule="auto"/>
              <w:ind w:leftChars="0" w:firstLine="440" w:firstLineChars="200"/>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好</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较好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一般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差 </w:t>
            </w:r>
          </w:p>
          <w:p>
            <w:pPr>
              <w:pageBreakBefore w:val="0"/>
              <w:kinsoku/>
              <w:wordWrap/>
              <w:overflowPunct/>
              <w:topLinePunct w:val="0"/>
              <w:bidi w:val="0"/>
              <w:adjustRightInd/>
              <w:spacing w:before="0" w:after="0" w:line="360" w:lineRule="auto"/>
              <w:ind w:leftChars="0"/>
              <w:outlineLvl w:val="9"/>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val="0"/>
              <w:autoSpaceDN w:val="0"/>
              <w:bidi w:val="0"/>
              <w:adjustRightInd/>
              <w:spacing w:line="360" w:lineRule="auto"/>
              <w:ind w:leftChars="0"/>
              <w:jc w:val="right"/>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tc>
      </w:tr>
    </w:tbl>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十三、违约责任</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1、乙方在出发前7日以内（含第7日，下同）提出取消当次旅游服务的，按下列标准向甲方支付违约金：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出发前7日至4日，支付当次旅游费用总额10%的违约金；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出发前3日至1日，支付当次旅游费用总额15%的违约金；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出发当日，支付当次旅游费用总额20%的违约金。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乙方应当在取消出游通知到达之日起5个工作日内，向甲方支付上述违约金。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2、乙方安排的旅游活动及服务档次与合同约定不符，造成甲方经济损失的，乙方应退还旅游者合同金额与实际花费的差额</w:t>
      </w:r>
      <w:r>
        <w:rPr>
          <w:rFonts w:hint="eastAsia" w:ascii="宋体" w:hAnsi="宋体" w:eastAsia="宋体" w:cs="宋体"/>
          <w:color w:val="auto"/>
          <w:sz w:val="22"/>
          <w:szCs w:val="22"/>
          <w:highlight w:val="none"/>
          <w:lang w:val="zh-CN" w:eastAsia="zh-CN"/>
        </w:rPr>
        <w:t>（</w:t>
      </w:r>
      <w:r>
        <w:rPr>
          <w:rFonts w:hint="eastAsia" w:ascii="宋体" w:hAnsi="宋体" w:eastAsia="宋体" w:cs="宋体"/>
          <w:color w:val="auto"/>
          <w:sz w:val="22"/>
          <w:szCs w:val="22"/>
          <w:highlight w:val="none"/>
          <w:lang w:val="en-US" w:eastAsia="zh-CN"/>
        </w:rPr>
        <w:t>职工个人支付部分直接退还给职工个人</w:t>
      </w:r>
      <w:r>
        <w:rPr>
          <w:rFonts w:hint="eastAsia" w:ascii="宋体" w:hAnsi="宋体" w:eastAsia="宋体" w:cs="宋体"/>
          <w:color w:val="auto"/>
          <w:sz w:val="22"/>
          <w:szCs w:val="22"/>
          <w:highlight w:val="none"/>
          <w:lang w:val="zh-CN" w:eastAsia="zh-CN"/>
        </w:rPr>
        <w:t>）</w:t>
      </w:r>
      <w:r>
        <w:rPr>
          <w:rFonts w:hint="eastAsia" w:ascii="宋体" w:hAnsi="宋体" w:eastAsia="宋体" w:cs="宋体"/>
          <w:color w:val="auto"/>
          <w:sz w:val="22"/>
          <w:szCs w:val="22"/>
          <w:highlight w:val="none"/>
          <w:lang w:val="zh-CN"/>
        </w:rPr>
        <w:t>，并支付同额违约金。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擅自缩短游览时间、遗漏旅游景点、减少旅游服务项目的，乙方应赔偿未完成约定旅游服务项目等合理费用，并支付同额违约金。遗漏无门票景点的，每遗漏一处乙方向旅游者支付当次旅游费用总额5%的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4、乙方不履行包价旅游合同义务或者履行合同义务不符合约定的，应当依法承担继续履行、采取补救措施或者赔偿损失等违约责任；造成甲方人身损害、财产损失的，应当依法承担赔偿责任。乙方具备履行条件，经甲方要求仍拒绝履行合同，乙方需支付当次旅游费用总额100%的违约金。</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5、甲方疗休养职工投诉，经核实为乙方原因引起，每人次扣除违约金1000元，违约金不足以弥补实际损失的，乙方应继续赔偿甲方损失。投诉情况查实达3次及以上，</w:t>
      </w:r>
      <w:r>
        <w:rPr>
          <w:rFonts w:hint="eastAsia" w:ascii="宋体" w:hAnsi="宋体" w:cs="宋体"/>
          <w:color w:val="auto"/>
          <w:sz w:val="22"/>
          <w:szCs w:val="22"/>
          <w:highlight w:val="none"/>
          <w:lang w:val="zh-CN"/>
        </w:rPr>
        <w:t>甲方</w:t>
      </w:r>
      <w:r>
        <w:rPr>
          <w:rFonts w:hint="eastAsia" w:ascii="宋体" w:hAnsi="宋体" w:eastAsia="宋体" w:cs="宋体"/>
          <w:color w:val="auto"/>
          <w:sz w:val="22"/>
          <w:szCs w:val="22"/>
          <w:highlight w:val="none"/>
          <w:lang w:val="zh-CN"/>
        </w:rPr>
        <w:t>有权无条件终止合同。</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6、乙方不履行合同或者履行合同不符合约定的服务质量标准，甲方和乙方对违约标准未作出合同约定的，按照《中华人民共和国旅游法》有关规定，亦可参照适用国家旅游局颁布的《旅行社服务质量赔偿标准》（旅办发〔2011〕44号）。</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7、乙方对甲方的数据进行严格保密，未经甲方同意，乙方不得以任何方式把属于</w:t>
      </w:r>
      <w:r>
        <w:rPr>
          <w:rFonts w:hint="eastAsia" w:ascii="宋体" w:hAnsi="宋体" w:cs="宋体"/>
          <w:color w:val="auto"/>
          <w:sz w:val="22"/>
          <w:szCs w:val="22"/>
          <w:highlight w:val="none"/>
          <w:lang w:val="en-US" w:eastAsia="zh-CN"/>
        </w:rPr>
        <w:t>甲方</w:t>
      </w:r>
      <w:r>
        <w:rPr>
          <w:rFonts w:hint="eastAsia" w:ascii="宋体" w:hAnsi="宋体" w:eastAsia="宋体" w:cs="宋体"/>
          <w:color w:val="auto"/>
          <w:sz w:val="22"/>
          <w:szCs w:val="22"/>
          <w:highlight w:val="none"/>
          <w:lang w:val="zh-CN"/>
        </w:rPr>
        <w:t>的数据信息等透露给任何第三方，应保护甲方信息，否则，应向甲方支付违约金，违约金为合同总价的10%，违约金不足以弥补实际损失的，乙方应继续赔偿甲方损失。</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8、合同约定的其他违约事项。</w:t>
      </w:r>
    </w:p>
    <w:p>
      <w:pPr>
        <w:keepNext w:val="0"/>
        <w:keepLines w:val="0"/>
        <w:pageBreakBefore w:val="0"/>
        <w:widowControl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经双方协商同意延期履约或同意终止且无需罚款者不在此例。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十四</w:t>
      </w:r>
      <w:r>
        <w:rPr>
          <w:rFonts w:hint="eastAsia" w:ascii="宋体" w:hAnsi="宋体" w:eastAsia="宋体" w:cs="宋体"/>
          <w:color w:val="auto"/>
          <w:sz w:val="22"/>
          <w:szCs w:val="22"/>
          <w:highlight w:val="none"/>
        </w:rPr>
        <w:t>、合同解除</w:t>
      </w:r>
    </w:p>
    <w:p>
      <w:pPr>
        <w:keepNext w:val="0"/>
        <w:keepLines w:val="0"/>
        <w:pageBreakBefore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因不可抗力（战争、地震等）导致合同无法履行，双方可解除合同。</w:t>
      </w:r>
    </w:p>
    <w:p>
      <w:pPr>
        <w:keepNext w:val="0"/>
        <w:keepLines w:val="0"/>
        <w:pageBreakBefore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乙方未履行服务，超过二周，视为无能力履约，双方可解除合同或甲方可单方面解除合同。</w:t>
      </w:r>
    </w:p>
    <w:p>
      <w:pPr>
        <w:keepNext w:val="0"/>
        <w:keepLines w:val="0"/>
        <w:pageBreakBefore w:val="0"/>
        <w:kinsoku/>
        <w:wordWrap/>
        <w:overflowPunct/>
        <w:topLinePunct w:val="0"/>
        <w:bidi w:val="0"/>
        <w:adjustRightInd/>
        <w:snapToGrid/>
        <w:spacing w:line="360" w:lineRule="auto"/>
        <w:ind w:leftChars="0" w:firstLine="440" w:firstLineChars="200"/>
        <w:textAlignment w:val="auto"/>
        <w:outlineLvl w:val="9"/>
        <w:rPr>
          <w:rStyle w:val="342"/>
          <w:rFonts w:hint="eastAsia" w:ascii="宋体" w:hAnsi="宋体" w:eastAsia="宋体" w:cs="宋体"/>
          <w:bCs/>
          <w:color w:val="auto"/>
          <w:sz w:val="22"/>
          <w:szCs w:val="22"/>
          <w:highlight w:val="none"/>
          <w:lang w:val="en-US" w:eastAsia="zh-CN"/>
        </w:rPr>
      </w:pPr>
      <w:r>
        <w:rPr>
          <w:rFonts w:hint="eastAsia" w:ascii="宋体" w:hAnsi="宋体" w:eastAsia="宋体" w:cs="宋体"/>
          <w:color w:val="auto"/>
          <w:sz w:val="22"/>
          <w:szCs w:val="22"/>
          <w:highlight w:val="none"/>
          <w:lang w:val="en-US" w:eastAsia="zh-CN"/>
        </w:rPr>
        <w:t>3、</w:t>
      </w:r>
      <w:r>
        <w:rPr>
          <w:rStyle w:val="342"/>
          <w:rFonts w:hint="eastAsia" w:ascii="宋体" w:hAnsi="宋体" w:eastAsia="宋体" w:cs="宋体"/>
          <w:bCs/>
          <w:color w:val="auto"/>
          <w:sz w:val="22"/>
          <w:szCs w:val="22"/>
          <w:highlight w:val="none"/>
          <w:lang w:val="en-US" w:eastAsia="zh-CN"/>
        </w:rPr>
        <w:t>实施过程中出现有效投诉3次或以上的，招标人有权终止合同。</w:t>
      </w:r>
    </w:p>
    <w:p>
      <w:pPr>
        <w:keepNext w:val="0"/>
        <w:keepLines w:val="0"/>
        <w:pageBreakBefore w:val="0"/>
        <w:kinsoku/>
        <w:wordWrap/>
        <w:overflowPunct/>
        <w:topLinePunct w:val="0"/>
        <w:bidi w:val="0"/>
        <w:adjustRightInd/>
        <w:snapToGrid/>
        <w:spacing w:line="360" w:lineRule="auto"/>
        <w:ind w:leftChars="0" w:firstLine="440" w:firstLineChars="200"/>
        <w:textAlignment w:val="auto"/>
        <w:outlineLvl w:val="9"/>
        <w:rPr>
          <w:rFonts w:hint="eastAsia" w:ascii="宋体" w:hAnsi="宋体" w:eastAsia="宋体" w:cs="宋体"/>
          <w:color w:val="auto"/>
          <w:highlight w:val="none"/>
        </w:rPr>
      </w:pPr>
      <w:r>
        <w:rPr>
          <w:rStyle w:val="342"/>
          <w:rFonts w:hint="eastAsia" w:ascii="宋体" w:hAnsi="宋体" w:eastAsia="宋体" w:cs="宋体"/>
          <w:bCs/>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合同约定的其他合同解除事项。</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五</w:t>
      </w:r>
      <w:r>
        <w:rPr>
          <w:rFonts w:hint="eastAsia" w:ascii="宋体" w:hAnsi="宋体" w:eastAsia="宋体" w:cs="宋体"/>
          <w:color w:val="auto"/>
          <w:sz w:val="22"/>
          <w:szCs w:val="22"/>
          <w:highlight w:val="none"/>
        </w:rPr>
        <w:t>、不可抗力</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在服务期间发生地震等双方不能预料和不可抗力的自然灾害导致承包区不能正常经营，合同不能或不能全部履行。双方可以按以下内容执行：</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任何一方可以书面形式终止合同无需作出任何赔偿。</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因不可抗力导致合同终止，并不影响任何一方对不可抗力先前发生的违约行为合法追偿。</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乙方不负责因不可抗力造成合同不能正常履行的责任。</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因不可抗力造成甲方的损害，甲方的保险赔偿不受影响。对恢复承包合同期的价格及其它费用双方可以协商解决。</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十六、</w:t>
      </w:r>
      <w:r>
        <w:rPr>
          <w:rFonts w:hint="eastAsia" w:ascii="宋体" w:hAnsi="宋体" w:eastAsia="宋体" w:cs="宋体"/>
          <w:color w:val="auto"/>
          <w:sz w:val="22"/>
          <w:szCs w:val="22"/>
          <w:highlight w:val="none"/>
        </w:rPr>
        <w:t>其他</w:t>
      </w:r>
    </w:p>
    <w:p>
      <w:pPr>
        <w:keepNext w:val="0"/>
        <w:keepLines w:val="0"/>
        <w:pageBreakBefore w:val="0"/>
        <w:widowControl w:val="0"/>
        <w:kinsoku/>
        <w:wordWrap/>
        <w:overflowPunct/>
        <w:topLinePunct w:val="0"/>
        <w:autoSpaceDE w:val="0"/>
        <w:autoSpaceDN w:val="0"/>
        <w:bidi w:val="0"/>
        <w:adjustRightInd/>
        <w:snapToGrid/>
        <w:spacing w:line="360" w:lineRule="auto"/>
        <w:ind w:leftChars="0"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1、由于甲方原因导致人员发生的事故由甲方自行全权负责，乙方不承担任何责任及经济责任。在甲方的责任区内由于甲方原因导致第三方的事故由甲方负责，乙方不承担任何责任及经济责任。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2、本合同中所述通知必须以书面形式，送达对方签收。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3、本合同争议，应双方友好协商解决，协商不能解决的，任何一方均可提起</w:t>
      </w:r>
      <w:r>
        <w:rPr>
          <w:rFonts w:hint="eastAsia" w:ascii="宋体" w:hAnsi="宋体" w:eastAsia="宋体" w:cs="宋体"/>
          <w:color w:val="auto"/>
          <w:sz w:val="22"/>
          <w:szCs w:val="22"/>
          <w:highlight w:val="none"/>
          <w:lang w:val="en-US" w:eastAsia="zh-CN"/>
        </w:rPr>
        <w:t>向甲方所在地人民法院</w:t>
      </w:r>
      <w:r>
        <w:rPr>
          <w:rFonts w:hint="eastAsia" w:ascii="宋体" w:hAnsi="宋体" w:eastAsia="宋体" w:cs="宋体"/>
          <w:color w:val="auto"/>
          <w:sz w:val="22"/>
          <w:szCs w:val="22"/>
          <w:highlight w:val="none"/>
        </w:rPr>
        <w:t>诉讼，诉讼按合同属地原则，诉讼费用由败诉方承担。</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4、如双方同意，可以书面修改或补充本合同条款；合同的附件、修改（补充）文件均与本合同同效。</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5、本合同未尽事宜及对合同内容如有异议，以</w:t>
      </w:r>
      <w:r>
        <w:rPr>
          <w:rFonts w:hint="eastAsia" w:ascii="宋体" w:hAnsi="宋体" w:eastAsia="宋体" w:cs="宋体"/>
          <w:color w:val="auto"/>
          <w:sz w:val="22"/>
          <w:szCs w:val="22"/>
          <w:highlight w:val="none"/>
          <w:lang w:val="en-US" w:eastAsia="zh-CN"/>
        </w:rPr>
        <w:t>招标</w:t>
      </w:r>
      <w:r>
        <w:rPr>
          <w:rFonts w:hint="eastAsia" w:ascii="宋体" w:hAnsi="宋体" w:eastAsia="宋体" w:cs="宋体"/>
          <w:color w:val="auto"/>
          <w:sz w:val="22"/>
          <w:szCs w:val="22"/>
          <w:highlight w:val="none"/>
        </w:rPr>
        <w:t>文件、投标文件和在招标现场承诺为准，如遇国家法律、法规及政策另有规定的，从其规定。</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 xml:space="preserve">本合同签订地为：温州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七</w:t>
      </w:r>
      <w:r>
        <w:rPr>
          <w:rFonts w:hint="eastAsia" w:ascii="宋体" w:hAnsi="宋体" w:eastAsia="宋体" w:cs="宋体"/>
          <w:color w:val="auto"/>
          <w:sz w:val="22"/>
          <w:szCs w:val="22"/>
          <w:highlight w:val="none"/>
        </w:rPr>
        <w:t>、本合同一式</w:t>
      </w:r>
      <w:r>
        <w:rPr>
          <w:rFonts w:hint="eastAsia" w:ascii="宋体" w:hAnsi="宋体" w:eastAsia="宋体" w:cs="宋体"/>
          <w:color w:val="auto"/>
          <w:sz w:val="22"/>
          <w:szCs w:val="22"/>
          <w:highlight w:val="none"/>
          <w:u w:val="single"/>
        </w:rPr>
        <w:t>5</w:t>
      </w:r>
      <w:r>
        <w:rPr>
          <w:rFonts w:hint="eastAsia" w:ascii="宋体" w:hAnsi="宋体" w:eastAsia="宋体" w:cs="宋体"/>
          <w:color w:val="auto"/>
          <w:sz w:val="22"/>
          <w:szCs w:val="22"/>
          <w:highlight w:val="none"/>
        </w:rPr>
        <w:t>份，由甲、乙方各执</w:t>
      </w:r>
      <w:r>
        <w:rPr>
          <w:rFonts w:hint="eastAsia" w:ascii="宋体"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rPr>
        <w:t>2</w:t>
      </w:r>
      <w:r>
        <w:rPr>
          <w:rFonts w:hint="eastAsia" w:ascii="宋体"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份，</w:t>
      </w:r>
      <w:r>
        <w:rPr>
          <w:rFonts w:hint="eastAsia" w:ascii="宋体" w:hAnsi="宋体" w:eastAsia="宋体" w:cs="宋体"/>
          <w:color w:val="auto"/>
          <w:sz w:val="22"/>
          <w:szCs w:val="22"/>
          <w:highlight w:val="none"/>
          <w:u w:val="single"/>
        </w:rPr>
        <w:t xml:space="preserve"> 1 </w:t>
      </w:r>
      <w:r>
        <w:rPr>
          <w:rFonts w:hint="eastAsia" w:ascii="宋体" w:hAnsi="宋体" w:eastAsia="宋体" w:cs="宋体"/>
          <w:color w:val="auto"/>
          <w:sz w:val="22"/>
          <w:szCs w:val="22"/>
          <w:highlight w:val="none"/>
        </w:rPr>
        <w:t>份送</w:t>
      </w:r>
      <w:r>
        <w:rPr>
          <w:rFonts w:hint="eastAsia" w:ascii="宋体" w:hAnsi="宋体" w:eastAsia="宋体" w:cs="宋体"/>
          <w:color w:val="auto"/>
          <w:sz w:val="22"/>
          <w:szCs w:val="22"/>
          <w:highlight w:val="none"/>
          <w:lang w:val="en-US" w:eastAsia="zh-CN"/>
        </w:rPr>
        <w:t>采购</w:t>
      </w:r>
      <w:r>
        <w:rPr>
          <w:rFonts w:hint="eastAsia" w:ascii="宋体" w:hAnsi="宋体" w:eastAsia="宋体" w:cs="宋体"/>
          <w:color w:val="auto"/>
          <w:sz w:val="22"/>
          <w:szCs w:val="22"/>
          <w:highlight w:val="none"/>
        </w:rPr>
        <w:t>代理公司。</w:t>
      </w:r>
    </w:p>
    <w:p>
      <w:pPr>
        <w:pStyle w:val="40"/>
        <w:tabs>
          <w:tab w:val="right" w:leader="dot" w:pos="8302"/>
        </w:tabs>
        <w:outlineLvl w:val="9"/>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p>
    <w:tbl>
      <w:tblPr>
        <w:tblStyle w:val="5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9"/>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pacing w:val="-6"/>
                <w:sz w:val="22"/>
                <w:szCs w:val="22"/>
                <w:highlight w:val="none"/>
                <w:lang w:eastAsia="zh-CN"/>
              </w:rPr>
            </w:pPr>
            <w:r>
              <w:rPr>
                <w:rFonts w:hint="eastAsia" w:ascii="宋体" w:hAnsi="宋体" w:eastAsia="宋体" w:cs="宋体"/>
                <w:color w:val="auto"/>
                <w:spacing w:val="-6"/>
                <w:sz w:val="22"/>
                <w:szCs w:val="22"/>
                <w:highlight w:val="none"/>
              </w:rPr>
              <w:t>甲方（采购人）：（盖章）</w:t>
            </w:r>
            <w:r>
              <w:rPr>
                <w:rFonts w:hint="eastAsia" w:ascii="宋体" w:hAnsi="宋体" w:eastAsia="宋体" w:cs="宋体"/>
                <w:color w:val="auto"/>
                <w:spacing w:val="-6"/>
                <w:sz w:val="22"/>
                <w:szCs w:val="22"/>
                <w:highlight w:val="none"/>
                <w:lang w:eastAsia="zh-CN"/>
              </w:rPr>
              <w:t>温州市市场监督管理局</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乙方（</w:t>
            </w:r>
            <w:r>
              <w:rPr>
                <w:rFonts w:hint="eastAsia" w:ascii="宋体" w:hAnsi="宋体" w:eastAsia="宋体" w:cs="宋体"/>
                <w:color w:val="auto"/>
                <w:spacing w:val="-6"/>
                <w:sz w:val="22"/>
                <w:szCs w:val="22"/>
                <w:highlight w:val="none"/>
                <w:lang w:eastAsia="zh-CN"/>
              </w:rPr>
              <w:t>中标人</w:t>
            </w:r>
            <w:r>
              <w:rPr>
                <w:rFonts w:hint="eastAsia" w:ascii="宋体" w:hAnsi="宋体" w:eastAsia="宋体" w:cs="宋体"/>
                <w:color w:val="auto"/>
                <w:spacing w:val="-6"/>
                <w:sz w:val="22"/>
                <w:szCs w:val="22"/>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z w:val="22"/>
                <w:highlight w:val="none"/>
              </w:rPr>
              <w:t>法人代表：</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pacing w:val="-6"/>
                <w:kern w:val="2"/>
                <w:sz w:val="22"/>
                <w:szCs w:val="22"/>
                <w:highlight w:val="none"/>
                <w:lang w:val="en-US" w:eastAsia="zh-CN" w:bidi="ar-SA"/>
              </w:rPr>
            </w:pPr>
            <w:r>
              <w:rPr>
                <w:rFonts w:hint="eastAsia" w:ascii="宋体" w:hAnsi="宋体" w:eastAsia="宋体" w:cs="宋体"/>
                <w:color w:val="auto"/>
                <w:sz w:val="22"/>
                <w:highlight w:val="none"/>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委托代理人（签字）：</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联系电话：</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地址：</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纳税人名称：</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纳税人名称：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纳税人识别号：</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开户行：</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9"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账号：</w:t>
            </w:r>
          </w:p>
        </w:tc>
        <w:tc>
          <w:tcPr>
            <w:tcW w:w="4317" w:type="dxa"/>
            <w:noWrap w:val="0"/>
            <w:vAlign w:val="center"/>
          </w:tcPr>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账号：</w:t>
            </w:r>
          </w:p>
        </w:tc>
      </w:tr>
    </w:tbl>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highlight w:val="none"/>
        </w:rPr>
      </w:pPr>
      <w:bookmarkStart w:id="26" w:name="_Toc18439"/>
      <w:bookmarkStart w:id="27" w:name="_Toc19081"/>
      <w:r>
        <w:rPr>
          <w:rFonts w:hint="eastAsia" w:ascii="宋体" w:hAnsi="宋体" w:eastAsia="宋体" w:cs="宋体"/>
          <w:highlight w:val="none"/>
        </w:rPr>
        <w:t>第三部分    附件</w:t>
      </w:r>
      <w:bookmarkEnd w:id="26"/>
      <w:bookmarkEnd w:id="27"/>
    </w:p>
    <w:p>
      <w:pPr>
        <w:pStyle w:val="25"/>
        <w:spacing w:line="460" w:lineRule="exact"/>
        <w:ind w:left="433" w:hanging="433" w:hangingChars="196"/>
        <w:outlineLvl w:val="1"/>
        <w:rPr>
          <w:rFonts w:hint="eastAsia" w:ascii="宋体" w:hAnsi="宋体" w:eastAsia="宋体" w:cs="宋体"/>
          <w:b/>
          <w:color w:val="auto"/>
          <w:sz w:val="22"/>
          <w:highlight w:val="none"/>
        </w:rPr>
      </w:pPr>
      <w:bookmarkStart w:id="28" w:name="_Toc6368"/>
      <w:bookmarkStart w:id="29" w:name="_Toc7056"/>
      <w:r>
        <w:rPr>
          <w:rFonts w:hint="eastAsia" w:ascii="宋体" w:hAnsi="宋体" w:eastAsia="宋体" w:cs="宋体"/>
          <w:b/>
          <w:color w:val="auto"/>
          <w:sz w:val="22"/>
          <w:highlight w:val="none"/>
        </w:rPr>
        <w:t>附件一</w:t>
      </w:r>
      <w:bookmarkEnd w:id="28"/>
      <w:bookmarkEnd w:id="29"/>
    </w:p>
    <w:p>
      <w:pPr>
        <w:spacing w:line="400" w:lineRule="exact"/>
        <w:jc w:val="center"/>
        <w:outlineLvl w:val="2"/>
        <w:rPr>
          <w:rFonts w:hint="eastAsia" w:ascii="宋体" w:hAnsi="宋体" w:eastAsia="宋体" w:cs="宋体"/>
          <w:b/>
          <w:bCs/>
          <w:color w:val="auto"/>
          <w:sz w:val="28"/>
          <w:szCs w:val="28"/>
          <w:highlight w:val="none"/>
        </w:rPr>
      </w:pPr>
      <w:bookmarkStart w:id="30" w:name="_Toc13365"/>
      <w:bookmarkStart w:id="31" w:name="_Toc5430"/>
      <w:r>
        <w:rPr>
          <w:rFonts w:hint="eastAsia" w:ascii="宋体" w:hAnsi="宋体" w:eastAsia="宋体" w:cs="宋体"/>
          <w:b/>
          <w:bCs/>
          <w:color w:val="auto"/>
          <w:sz w:val="28"/>
          <w:szCs w:val="28"/>
          <w:highlight w:val="none"/>
        </w:rPr>
        <w:t>报价文件</w:t>
      </w:r>
      <w:bookmarkEnd w:id="30"/>
      <w:bookmarkEnd w:id="31"/>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cs="宋体"/>
          <w:color w:val="auto"/>
          <w:sz w:val="22"/>
          <w:szCs w:val="22"/>
          <w:highlight w:val="none"/>
          <w:lang w:eastAsia="zh-CN"/>
        </w:rPr>
        <w:t>温州市市场监督管理局</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项目（招标编号：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（投标人名称）作为投标人正式授权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1、我方同意在投标人</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(4)良好的资金、财务状况；</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3、提供</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商务</w:t>
      </w:r>
      <w:r>
        <w:rPr>
          <w:rFonts w:hint="eastAsia" w:ascii="宋体" w:hAnsi="宋体" w:eastAsia="宋体" w:cs="宋体"/>
          <w:color w:val="auto"/>
          <w:kern w:val="0"/>
          <w:sz w:val="22"/>
          <w:szCs w:val="22"/>
          <w:highlight w:val="none"/>
          <w:lang w:val="zh-CN"/>
        </w:rPr>
        <w:t>技术文件</w:t>
      </w:r>
      <w:r>
        <w:rPr>
          <w:rFonts w:hint="eastAsia" w:ascii="宋体" w:hAnsi="宋体" w:eastAsia="宋体" w:cs="宋体"/>
          <w:color w:val="auto"/>
          <w:sz w:val="22"/>
          <w:szCs w:val="22"/>
          <w:highlight w:val="none"/>
        </w:rPr>
        <w:t>；</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供应商有前款第(1)至(</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)项情形之一的，中标、成交无效。</w:t>
      </w:r>
    </w:p>
    <w:p>
      <w:pPr>
        <w:shd w:val="clear" w:color="auto" w:fill="FFFFFF"/>
        <w:snapToGrid w:val="0"/>
        <w:spacing w:line="360" w:lineRule="auto"/>
        <w:rPr>
          <w:rFonts w:hint="eastAsia" w:ascii="宋体" w:hAnsi="宋体" w:eastAsia="宋体" w:cs="宋体"/>
          <w:color w:val="auto"/>
          <w:kern w:val="0"/>
          <w:sz w:val="22"/>
          <w:szCs w:val="22"/>
          <w:highlight w:val="none"/>
          <w:lang w:val="zh-CN"/>
        </w:rPr>
      </w:pP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法定（授权）代表人（签字）：</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lang w:val="zh-CN"/>
        </w:rPr>
        <w:t>投标人盖 章：</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电子邮件：  </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传真号码：</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lang w:val="zh-CN"/>
        </w:rPr>
        <w:t>期</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日</w:t>
      </w:r>
    </w:p>
    <w:p>
      <w:pPr>
        <w:spacing w:line="44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zh-CN"/>
        </w:rPr>
        <w:t>注：未按照本投标响应函要求填报的将被视为非实质性响应，从而可能导致该投标文件被拒绝。</w:t>
      </w: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pStyle w:val="25"/>
        <w:ind w:left="0" w:firstLine="0" w:firstLineChars="0"/>
        <w:rPr>
          <w:rFonts w:hint="eastAsia" w:ascii="宋体" w:hAnsi="宋体" w:eastAsia="宋体" w:cs="宋体"/>
          <w:b/>
          <w:bCs/>
          <w:color w:val="auto"/>
          <w:sz w:val="22"/>
          <w:szCs w:val="22"/>
          <w:highlight w:val="none"/>
        </w:rPr>
      </w:pPr>
    </w:p>
    <w:p>
      <w:pPr>
        <w:pStyle w:val="25"/>
        <w:ind w:left="0" w:firstLine="0" w:firstLineChars="0"/>
        <w:rPr>
          <w:rFonts w:hint="eastAsia" w:ascii="宋体" w:hAnsi="宋体" w:eastAsia="宋体" w:cs="宋体"/>
          <w:b/>
          <w:bCs/>
          <w:color w:val="auto"/>
          <w:sz w:val="22"/>
          <w:szCs w:val="22"/>
          <w:highlight w:val="none"/>
        </w:rPr>
      </w:pP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投标报价一览表</w:t>
      </w: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spacing w:line="380" w:lineRule="exact"/>
        <w:jc w:val="center"/>
        <w:rPr>
          <w:rFonts w:hint="eastAsia" w:ascii="宋体" w:hAnsi="宋体" w:eastAsia="宋体" w:cs="宋体"/>
          <w:b w:val="0"/>
          <w:bCs w:val="0"/>
          <w:color w:val="auto"/>
          <w:sz w:val="22"/>
          <w:szCs w:val="22"/>
          <w:highlight w:val="none"/>
        </w:rPr>
      </w:pPr>
      <w:r>
        <w:rPr>
          <w:rFonts w:hint="eastAsia"/>
          <w:color w:val="auto"/>
          <w:sz w:val="22"/>
          <w:szCs w:val="22"/>
          <w:highlight w:val="none"/>
          <w:u w:val="none"/>
          <w:lang w:eastAsia="zh-CN"/>
        </w:rPr>
        <w:t>2024年职工疗休养服务</w:t>
      </w:r>
      <w:r>
        <w:rPr>
          <w:rFonts w:hint="eastAsia"/>
          <w:color w:val="auto"/>
          <w:sz w:val="22"/>
          <w:szCs w:val="22"/>
          <w:highlight w:val="none"/>
          <w:u w:val="none"/>
          <w:lang w:val="en-US" w:eastAsia="zh-CN"/>
        </w:rPr>
        <w:t>标项一</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901"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2"/>
        <w:gridCol w:w="45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疗休养线路</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投标</w:t>
            </w:r>
            <w:r>
              <w:rPr>
                <w:rFonts w:hint="eastAsia" w:ascii="宋体" w:hAnsi="宋体" w:eastAsia="宋体" w:cs="宋体"/>
                <w:b/>
                <w:color w:val="auto"/>
                <w:sz w:val="22"/>
                <w:szCs w:val="22"/>
                <w:highlight w:val="none"/>
              </w:rPr>
              <w:t>报价（单位：元/人）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460" w:lineRule="exact"/>
              <w:jc w:val="center"/>
              <w:textAlignment w:val="baseline"/>
              <w:outlineLvl w:val="9"/>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一、</w:t>
            </w:r>
            <w:r>
              <w:rPr>
                <w:rFonts w:hint="eastAsia" w:ascii="宋体" w:hAnsi="宋体" w:eastAsia="宋体" w:cs="宋体"/>
                <w:bCs/>
                <w:color w:val="auto"/>
                <w:sz w:val="22"/>
                <w:szCs w:val="22"/>
                <w:highlight w:val="none"/>
              </w:rPr>
              <w:t>温州市域内5日游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cs="宋体"/>
                <w:color w:val="auto"/>
                <w:kern w:val="0"/>
                <w:sz w:val="22"/>
                <w:szCs w:val="22"/>
                <w:highlight w:val="none"/>
                <w:lang w:val="en-US" w:eastAsia="zh-CN"/>
              </w:rPr>
              <w:t>二、</w:t>
            </w:r>
            <w:r>
              <w:rPr>
                <w:rStyle w:val="342"/>
                <w:rFonts w:hint="eastAsia" w:ascii="宋体" w:hAnsi="宋体" w:eastAsia="宋体" w:cs="宋体"/>
                <w:color w:val="auto"/>
                <w:kern w:val="0"/>
                <w:sz w:val="22"/>
                <w:szCs w:val="22"/>
                <w:highlight w:val="none"/>
                <w:lang w:val="en-US" w:eastAsia="zh-CN"/>
              </w:rPr>
              <w:t>邻省</w:t>
            </w:r>
            <w:r>
              <w:rPr>
                <w:rStyle w:val="342"/>
                <w:rFonts w:hint="eastAsia" w:ascii="宋体" w:hAnsi="宋体" w:eastAsia="宋体" w:cs="宋体"/>
                <w:color w:val="auto"/>
                <w:kern w:val="0"/>
                <w:sz w:val="22"/>
                <w:szCs w:val="22"/>
                <w:highlight w:val="none"/>
              </w:rPr>
              <w:t>线路：</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1.福建5日游</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rPr>
              <w:t>.江西5日游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三、</w:t>
            </w:r>
            <w:r>
              <w:rPr>
                <w:rStyle w:val="342"/>
                <w:rFonts w:hint="eastAsia" w:ascii="宋体" w:hAnsi="宋体" w:eastAsia="宋体" w:cs="宋体"/>
                <w:color w:val="auto"/>
                <w:kern w:val="0"/>
                <w:sz w:val="22"/>
                <w:szCs w:val="22"/>
                <w:highlight w:val="none"/>
              </w:rPr>
              <w:t>省内路线：</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1.湖州5日游</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2.</w:t>
            </w:r>
            <w:r>
              <w:rPr>
                <w:rStyle w:val="342"/>
                <w:rFonts w:hint="eastAsia" w:ascii="宋体" w:hAnsi="宋体" w:eastAsia="宋体" w:cs="宋体"/>
                <w:color w:val="auto"/>
                <w:kern w:val="0"/>
                <w:sz w:val="22"/>
                <w:szCs w:val="22"/>
                <w:highlight w:val="none"/>
                <w:lang w:val="en-US" w:eastAsia="zh-CN"/>
              </w:rPr>
              <w:t>杭州</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.嘉兴5日游</w:t>
            </w:r>
          </w:p>
          <w:p>
            <w:pPr>
              <w:keepNext w:val="0"/>
              <w:keepLines w:val="0"/>
              <w:pageBreakBefore w:val="0"/>
              <w:kinsoku/>
              <w:wordWrap/>
              <w:overflowPunct/>
              <w:topLinePunct w:val="0"/>
              <w:bidi w:val="0"/>
              <w:adjustRightInd/>
              <w:snapToGrid w:val="0"/>
              <w:spacing w:line="460" w:lineRule="exact"/>
              <w:ind w:firstLine="220" w:firstLineChars="100"/>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4</w:t>
            </w:r>
            <w:r>
              <w:rPr>
                <w:rStyle w:val="342"/>
                <w:rFonts w:hint="eastAsia" w:ascii="宋体" w:hAnsi="宋体" w:eastAsia="宋体" w:cs="宋体"/>
                <w:color w:val="auto"/>
                <w:kern w:val="0"/>
                <w:sz w:val="22"/>
                <w:szCs w:val="22"/>
                <w:highlight w:val="none"/>
              </w:rPr>
              <w:t>.宁波5日游</w:t>
            </w:r>
          </w:p>
          <w:p>
            <w:pPr>
              <w:snapToGrid w:val="0"/>
              <w:spacing w:line="460" w:lineRule="exact"/>
              <w:ind w:firstLine="220" w:firstLineChars="100"/>
              <w:jc w:val="center"/>
              <w:textAlignment w:val="baseline"/>
              <w:outlineLvl w:val="9"/>
              <w:rPr>
                <w:rFonts w:hint="eastAsia"/>
                <w:highlight w:val="none"/>
                <w:lang w:eastAsia="zh-CN"/>
              </w:rPr>
            </w:pP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舟山</w:t>
            </w:r>
            <w:r>
              <w:rPr>
                <w:rStyle w:val="342"/>
                <w:rFonts w:hint="eastAsia" w:ascii="宋体" w:hAnsi="宋体" w:eastAsia="宋体" w:cs="宋体"/>
                <w:color w:val="auto"/>
                <w:kern w:val="0"/>
                <w:sz w:val="22"/>
                <w:szCs w:val="22"/>
                <w:highlight w:val="none"/>
              </w:rPr>
              <w:t>5日游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大写：人民币叁仟元整每人</w:t>
            </w:r>
          </w:p>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小写：￥3000元/人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2</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Style w:val="342"/>
                <w:rFonts w:hint="eastAsia" w:ascii="宋体" w:hAnsi="宋体" w:eastAsia="宋体" w:cs="宋体"/>
                <w:color w:val="auto"/>
                <w:kern w:val="0"/>
                <w:sz w:val="22"/>
                <w:szCs w:val="22"/>
                <w:highlight w:val="none"/>
                <w:lang w:eastAsia="zh-CN"/>
              </w:rPr>
              <w:t>重庆涪陵双飞6日</w:t>
            </w:r>
            <w:r>
              <w:rPr>
                <w:rStyle w:val="342"/>
                <w:rFonts w:hint="eastAsia" w:ascii="宋体" w:hAnsi="宋体" w:eastAsia="宋体" w:cs="宋体"/>
                <w:color w:val="auto"/>
                <w:kern w:val="0"/>
                <w:sz w:val="22"/>
                <w:szCs w:val="22"/>
                <w:highlight w:val="none"/>
              </w:rPr>
              <w:t>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w:t>
            </w:r>
            <w:r>
              <w:rPr>
                <w:rFonts w:hint="eastAsia" w:ascii="宋体" w:hAnsi="宋体" w:eastAsia="宋体" w:cs="宋体"/>
                <w:bCs/>
                <w:color w:val="auto"/>
                <w:sz w:val="22"/>
                <w:szCs w:val="22"/>
                <w:highlight w:val="none"/>
                <w:lang w:val="en-US" w:eastAsia="zh-CN"/>
              </w:rPr>
              <w:t>伍仟伍佰</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55</w:t>
            </w:r>
            <w:r>
              <w:rPr>
                <w:rFonts w:hint="eastAsia" w:ascii="宋体" w:hAnsi="宋体" w:eastAsia="宋体" w:cs="宋体"/>
                <w:bCs/>
                <w:color w:val="auto"/>
                <w:sz w:val="22"/>
                <w:szCs w:val="22"/>
                <w:highlight w:val="none"/>
              </w:rPr>
              <w:t>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3</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Style w:val="342"/>
                <w:rFonts w:hint="eastAsia" w:ascii="宋体" w:hAnsi="宋体" w:eastAsia="宋体" w:cs="宋体"/>
                <w:color w:val="auto"/>
                <w:kern w:val="0"/>
                <w:sz w:val="22"/>
                <w:szCs w:val="22"/>
                <w:highlight w:val="none"/>
              </w:rPr>
              <w:t>西藏双飞</w:t>
            </w:r>
            <w:r>
              <w:rPr>
                <w:rStyle w:val="342"/>
                <w:rFonts w:hint="eastAsia" w:ascii="宋体" w:hAnsi="宋体" w:eastAsia="宋体" w:cs="宋体"/>
                <w:color w:val="auto"/>
                <w:kern w:val="0"/>
                <w:sz w:val="22"/>
                <w:szCs w:val="22"/>
                <w:highlight w:val="none"/>
                <w:lang w:eastAsia="zh-CN"/>
              </w:rPr>
              <w:t>7日</w:t>
            </w:r>
            <w:r>
              <w:rPr>
                <w:rStyle w:val="342"/>
                <w:rFonts w:hint="eastAsia" w:ascii="宋体" w:hAnsi="宋体" w:eastAsia="宋体" w:cs="宋体"/>
                <w:color w:val="auto"/>
                <w:kern w:val="0"/>
                <w:sz w:val="22"/>
                <w:szCs w:val="22"/>
                <w:highlight w:val="none"/>
              </w:rPr>
              <w:t>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小写：人民币</w:t>
            </w:r>
            <w:r>
              <w:rPr>
                <w:rFonts w:hint="eastAsia" w:ascii="宋体" w:hAnsi="宋体" w:eastAsia="宋体" w:cs="宋体"/>
                <w:bCs/>
                <w:color w:val="auto"/>
                <w:sz w:val="22"/>
                <w:szCs w:val="22"/>
                <w:highlight w:val="none"/>
                <w:lang w:val="en-US" w:eastAsia="zh-CN"/>
              </w:rPr>
              <w:t>捌仟伍佰</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8500</w:t>
            </w:r>
            <w:r>
              <w:rPr>
                <w:rFonts w:hint="eastAsia" w:ascii="宋体" w:hAnsi="宋体" w:eastAsia="宋体" w:cs="宋体"/>
                <w:bCs/>
                <w:color w:val="auto"/>
                <w:sz w:val="22"/>
                <w:szCs w:val="22"/>
                <w:highlight w:val="none"/>
              </w:rPr>
              <w:t>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4</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color w:val="auto"/>
                <w:sz w:val="22"/>
                <w:szCs w:val="22"/>
                <w:highlight w:val="none"/>
              </w:rPr>
            </w:pPr>
            <w:r>
              <w:rPr>
                <w:rStyle w:val="342"/>
                <w:rFonts w:hint="eastAsia" w:ascii="宋体" w:hAnsi="宋体" w:eastAsia="宋体" w:cs="宋体"/>
                <w:color w:val="auto"/>
                <w:kern w:val="0"/>
                <w:sz w:val="22"/>
                <w:szCs w:val="22"/>
                <w:highlight w:val="none"/>
              </w:rPr>
              <w:t>四川阿坝双飞6日游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w:t>
            </w:r>
            <w:r>
              <w:rPr>
                <w:rFonts w:hint="eastAsia" w:ascii="宋体" w:hAnsi="宋体" w:eastAsia="宋体" w:cs="宋体"/>
                <w:bCs/>
                <w:color w:val="auto"/>
                <w:sz w:val="22"/>
                <w:szCs w:val="22"/>
                <w:highlight w:val="none"/>
                <w:lang w:val="en-US" w:eastAsia="zh-CN"/>
              </w:rPr>
              <w:t>陆仟</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60</w:t>
            </w:r>
            <w:r>
              <w:rPr>
                <w:rFonts w:hint="eastAsia" w:ascii="宋体" w:hAnsi="宋体" w:eastAsia="宋体" w:cs="宋体"/>
                <w:bCs/>
                <w:color w:val="auto"/>
                <w:sz w:val="22"/>
                <w:szCs w:val="22"/>
                <w:highlight w:val="none"/>
              </w:rPr>
              <w:t>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bl>
    <w:p>
      <w:pPr>
        <w:spacing w:line="400" w:lineRule="exact"/>
        <w:ind w:firstLine="541" w:firstLineChars="245"/>
        <w:rPr>
          <w:rFonts w:hint="eastAsia" w:ascii="宋体" w:hAnsi="宋体" w:eastAsia="宋体" w:cs="宋体"/>
          <w:b/>
          <w:color w:val="auto"/>
          <w:sz w:val="22"/>
          <w:highlight w:val="none"/>
        </w:rPr>
      </w:pPr>
    </w:p>
    <w:p>
      <w:pPr>
        <w:spacing w:line="40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spacing w:line="400" w:lineRule="exact"/>
        <w:ind w:firstLine="541" w:firstLineChars="245"/>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lang w:val="en-US" w:eastAsia="zh-CN"/>
        </w:rPr>
        <w:t>1、</w:t>
      </w:r>
      <w:r>
        <w:rPr>
          <w:rFonts w:hint="eastAsia" w:ascii="宋体" w:hAnsi="宋体" w:eastAsia="宋体" w:cs="宋体"/>
          <w:b/>
          <w:color w:val="auto"/>
          <w:sz w:val="22"/>
          <w:highlight w:val="none"/>
        </w:rPr>
        <w:t>不提供此表格将被视为没有实质性响应招标文件</w:t>
      </w:r>
      <w:r>
        <w:rPr>
          <w:rFonts w:hint="eastAsia" w:ascii="宋体" w:hAnsi="宋体" w:eastAsia="宋体" w:cs="宋体"/>
          <w:b/>
          <w:color w:val="auto"/>
          <w:sz w:val="22"/>
          <w:highlight w:val="none"/>
          <w:lang w:eastAsia="zh-CN"/>
        </w:rPr>
        <w:t>；</w:t>
      </w:r>
    </w:p>
    <w:p>
      <w:pPr>
        <w:numPr>
          <w:ilvl w:val="0"/>
          <w:numId w:val="0"/>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lang w:val="en-US" w:eastAsia="zh-CN"/>
        </w:rPr>
        <w:t>2、</w:t>
      </w:r>
      <w:r>
        <w:rPr>
          <w:rFonts w:hint="eastAsia" w:ascii="宋体" w:hAnsi="宋体" w:eastAsia="宋体" w:cs="宋体"/>
          <w:b/>
          <w:color w:val="auto"/>
          <w:sz w:val="22"/>
          <w:highlight w:val="none"/>
        </w:rPr>
        <w:t>投标人的报价为含税单人总价，即在承包本次职工疗休养所需的一切人员工资、车、住宿、门票、餐费、交通、保险、导游、税费、</w:t>
      </w:r>
      <w:r>
        <w:rPr>
          <w:rFonts w:hint="eastAsia" w:ascii="宋体" w:hAnsi="宋体" w:eastAsia="宋体" w:cs="宋体"/>
          <w:b/>
          <w:color w:val="auto"/>
          <w:sz w:val="22"/>
          <w:highlight w:val="none"/>
          <w:lang w:val="en-US" w:eastAsia="zh-CN"/>
        </w:rPr>
        <w:t>验收、</w:t>
      </w:r>
      <w:r>
        <w:rPr>
          <w:rFonts w:hint="eastAsia" w:ascii="宋体" w:hAnsi="宋体" w:eastAsia="宋体" w:cs="宋体"/>
          <w:b/>
          <w:color w:val="auto"/>
          <w:sz w:val="22"/>
          <w:highlight w:val="none"/>
        </w:rPr>
        <w:t>利润等完成合同所需的一切本身和不可或缺的所有工作开支、政策性文件规定及合同包含的所有风险、责任等各项全部费用。</w:t>
      </w:r>
    </w:p>
    <w:p>
      <w:pPr>
        <w:spacing w:line="360" w:lineRule="auto"/>
        <w:jc w:val="center"/>
        <w:rPr>
          <w:rFonts w:hint="eastAsia" w:ascii="宋体" w:hAnsi="宋体" w:eastAsia="宋体" w:cs="宋体"/>
          <w:color w:val="auto"/>
          <w:sz w:val="22"/>
          <w:szCs w:val="22"/>
          <w:highlight w:val="none"/>
        </w:rPr>
      </w:pP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jc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spacing w:line="380" w:lineRule="exact"/>
        <w:jc w:val="center"/>
        <w:rPr>
          <w:rFonts w:hint="eastAsia" w:ascii="宋体" w:hAnsi="宋体" w:cs="宋体"/>
          <w:b w:val="0"/>
          <w:bCs w:val="0"/>
          <w:color w:val="auto"/>
          <w:sz w:val="22"/>
          <w:szCs w:val="22"/>
          <w:highlight w:val="none"/>
          <w:lang w:val="en-US" w:eastAsia="zh-CN"/>
        </w:rPr>
      </w:pPr>
    </w:p>
    <w:p>
      <w:pPr>
        <w:spacing w:line="380" w:lineRule="exact"/>
        <w:jc w:val="center"/>
        <w:rPr>
          <w:rFonts w:hint="eastAsia" w:ascii="宋体" w:hAnsi="宋体" w:eastAsia="宋体" w:cs="宋体"/>
          <w:b w:val="0"/>
          <w:bCs w:val="0"/>
          <w:color w:val="auto"/>
          <w:sz w:val="22"/>
          <w:szCs w:val="22"/>
          <w:highlight w:val="none"/>
        </w:rPr>
      </w:pPr>
      <w:r>
        <w:rPr>
          <w:rFonts w:hint="eastAsia"/>
          <w:color w:val="auto"/>
          <w:sz w:val="22"/>
          <w:szCs w:val="22"/>
          <w:highlight w:val="none"/>
          <w:u w:val="none"/>
          <w:lang w:eastAsia="zh-CN"/>
        </w:rPr>
        <w:t>2024年职工疗休养服务</w:t>
      </w:r>
      <w:r>
        <w:rPr>
          <w:rFonts w:hint="eastAsia"/>
          <w:color w:val="auto"/>
          <w:sz w:val="22"/>
          <w:szCs w:val="22"/>
          <w:highlight w:val="none"/>
          <w:u w:val="none"/>
          <w:lang w:val="en-US" w:eastAsia="zh-CN"/>
        </w:rPr>
        <w:t>标项二</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901"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2"/>
        <w:gridCol w:w="45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疗休养线路</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jc w:val="center"/>
              <w:outlineLvl w:val="9"/>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投标</w:t>
            </w:r>
            <w:r>
              <w:rPr>
                <w:rFonts w:hint="eastAsia" w:ascii="宋体" w:hAnsi="宋体" w:eastAsia="宋体" w:cs="宋体"/>
                <w:b/>
                <w:color w:val="auto"/>
                <w:sz w:val="22"/>
                <w:szCs w:val="22"/>
                <w:highlight w:val="none"/>
              </w:rPr>
              <w:t>报价（单位：元/人）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460" w:lineRule="exact"/>
              <w:jc w:val="center"/>
              <w:textAlignment w:val="baseline"/>
              <w:outlineLvl w:val="9"/>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一、</w:t>
            </w:r>
            <w:r>
              <w:rPr>
                <w:rFonts w:hint="eastAsia" w:ascii="宋体" w:hAnsi="宋体" w:eastAsia="宋体" w:cs="宋体"/>
                <w:bCs/>
                <w:color w:val="auto"/>
                <w:sz w:val="22"/>
                <w:szCs w:val="22"/>
                <w:highlight w:val="none"/>
              </w:rPr>
              <w:t>温州市域内5日游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二、邻省</w:t>
            </w:r>
            <w:r>
              <w:rPr>
                <w:rStyle w:val="342"/>
                <w:rFonts w:hint="eastAsia" w:ascii="宋体" w:hAnsi="宋体" w:eastAsia="宋体" w:cs="宋体"/>
                <w:color w:val="auto"/>
                <w:kern w:val="0"/>
                <w:sz w:val="22"/>
                <w:szCs w:val="22"/>
                <w:highlight w:val="none"/>
              </w:rPr>
              <w:t>线路：</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1.</w:t>
            </w:r>
            <w:r>
              <w:rPr>
                <w:rStyle w:val="342"/>
                <w:rFonts w:hint="eastAsia" w:ascii="宋体" w:hAnsi="宋体" w:eastAsia="宋体" w:cs="宋体"/>
                <w:color w:val="auto"/>
                <w:kern w:val="0"/>
                <w:sz w:val="22"/>
                <w:szCs w:val="22"/>
                <w:highlight w:val="none"/>
              </w:rPr>
              <w:t>上海5日游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rPr>
              <w:t>安徽5日游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江苏5日游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lang w:eastAsia="zh-CN"/>
              </w:rPr>
            </w:pPr>
            <w:r>
              <w:rPr>
                <w:rStyle w:val="342"/>
                <w:rFonts w:hint="eastAsia" w:ascii="宋体" w:hAnsi="宋体" w:eastAsia="宋体" w:cs="宋体"/>
                <w:color w:val="auto"/>
                <w:kern w:val="0"/>
                <w:sz w:val="22"/>
                <w:szCs w:val="22"/>
                <w:highlight w:val="none"/>
                <w:lang w:val="en-US" w:eastAsia="zh-CN"/>
              </w:rPr>
              <w:t>三、</w:t>
            </w:r>
            <w:r>
              <w:rPr>
                <w:rStyle w:val="342"/>
                <w:rFonts w:hint="eastAsia" w:ascii="宋体" w:hAnsi="宋体" w:eastAsia="宋体" w:cs="宋体"/>
                <w:color w:val="auto"/>
                <w:kern w:val="0"/>
                <w:sz w:val="22"/>
                <w:szCs w:val="22"/>
                <w:highlight w:val="none"/>
              </w:rPr>
              <w:t>省内路线：</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1.衢州5日游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2.绍兴5日游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丽水</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4</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台州</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金华</w:t>
            </w:r>
            <w:r>
              <w:rPr>
                <w:rStyle w:val="342"/>
                <w:rFonts w:hint="eastAsia" w:ascii="宋体" w:hAnsi="宋体" w:eastAsia="宋体" w:cs="宋体"/>
                <w:color w:val="auto"/>
                <w:kern w:val="0"/>
                <w:sz w:val="22"/>
                <w:szCs w:val="22"/>
                <w:highlight w:val="none"/>
              </w:rPr>
              <w:t>5日游</w:t>
            </w:r>
          </w:p>
          <w:p>
            <w:pPr>
              <w:spacing w:after="0" w:line="240" w:lineRule="auto"/>
              <w:jc w:val="center"/>
              <w:outlineLvl w:val="9"/>
              <w:rPr>
                <w:rFonts w:hint="eastAsia" w:ascii="宋体" w:hAnsi="宋体" w:eastAsia="宋体" w:cs="宋体"/>
                <w:bCs/>
                <w:color w:val="auto"/>
                <w:sz w:val="22"/>
                <w:szCs w:val="22"/>
                <w:highlight w:val="none"/>
              </w:rPr>
            </w:pP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大写：人民币叁仟元整每人</w:t>
            </w:r>
          </w:p>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小写：￥3000元/人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2</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Style w:val="342"/>
                <w:rFonts w:hint="eastAsia" w:ascii="宋体" w:hAnsi="宋体" w:eastAsia="宋体" w:cs="宋体"/>
                <w:color w:val="auto"/>
                <w:kern w:val="0"/>
                <w:sz w:val="22"/>
                <w:szCs w:val="22"/>
                <w:highlight w:val="none"/>
              </w:rPr>
              <w:t>青海海西州双飞6日游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w:t>
            </w:r>
            <w:r>
              <w:rPr>
                <w:rFonts w:hint="eastAsia" w:ascii="宋体" w:hAnsi="宋体" w:eastAsia="宋体" w:cs="宋体"/>
                <w:bCs/>
                <w:color w:val="auto"/>
                <w:sz w:val="22"/>
                <w:szCs w:val="22"/>
                <w:highlight w:val="none"/>
                <w:lang w:val="en-US" w:eastAsia="zh-CN"/>
              </w:rPr>
              <w:t>陆仟伍佰</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65</w:t>
            </w:r>
            <w:r>
              <w:rPr>
                <w:rFonts w:hint="eastAsia" w:ascii="宋体" w:hAnsi="宋体" w:eastAsia="宋体" w:cs="宋体"/>
                <w:bCs/>
                <w:color w:val="auto"/>
                <w:sz w:val="22"/>
                <w:szCs w:val="22"/>
                <w:highlight w:val="none"/>
              </w:rPr>
              <w:t>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3</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r>
              <w:rPr>
                <w:rStyle w:val="342"/>
                <w:rFonts w:hint="eastAsia" w:ascii="宋体" w:hAnsi="宋体" w:eastAsia="宋体" w:cs="宋体"/>
                <w:color w:val="auto"/>
                <w:kern w:val="0"/>
                <w:sz w:val="22"/>
                <w:szCs w:val="22"/>
                <w:highlight w:val="none"/>
                <w:lang w:eastAsia="zh-CN"/>
              </w:rPr>
              <w:t>新疆拜城</w:t>
            </w:r>
            <w:r>
              <w:rPr>
                <w:rStyle w:val="342"/>
                <w:rFonts w:hint="eastAsia" w:ascii="宋体" w:hAnsi="宋体" w:eastAsia="宋体" w:cs="宋体"/>
                <w:color w:val="auto"/>
                <w:kern w:val="0"/>
                <w:sz w:val="22"/>
                <w:szCs w:val="22"/>
                <w:highlight w:val="none"/>
              </w:rPr>
              <w:t>三飞</w:t>
            </w:r>
            <w:r>
              <w:rPr>
                <w:rStyle w:val="342"/>
                <w:rFonts w:hint="eastAsia" w:ascii="宋体" w:hAnsi="宋体" w:eastAsia="宋体" w:cs="宋体"/>
                <w:color w:val="auto"/>
                <w:kern w:val="0"/>
                <w:sz w:val="22"/>
                <w:szCs w:val="22"/>
                <w:highlight w:val="none"/>
                <w:lang w:eastAsia="zh-CN"/>
              </w:rPr>
              <w:t>7日</w:t>
            </w:r>
            <w:r>
              <w:rPr>
                <w:rStyle w:val="342"/>
                <w:rFonts w:hint="eastAsia" w:ascii="宋体" w:hAnsi="宋体" w:eastAsia="宋体" w:cs="宋体"/>
                <w:color w:val="auto"/>
                <w:kern w:val="0"/>
                <w:sz w:val="22"/>
                <w:szCs w:val="22"/>
                <w:highlight w:val="none"/>
              </w:rPr>
              <w:t>游</w:t>
            </w: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小写：人民币</w:t>
            </w:r>
            <w:r>
              <w:rPr>
                <w:rFonts w:hint="eastAsia" w:ascii="宋体" w:hAnsi="宋体" w:eastAsia="宋体" w:cs="宋体"/>
                <w:bCs/>
                <w:color w:val="auto"/>
                <w:sz w:val="22"/>
                <w:szCs w:val="22"/>
                <w:highlight w:val="none"/>
                <w:lang w:val="en-US" w:eastAsia="zh-CN"/>
              </w:rPr>
              <w:t>捌仟伍佰</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8500</w:t>
            </w:r>
            <w:r>
              <w:rPr>
                <w:rFonts w:hint="eastAsia" w:ascii="宋体" w:hAnsi="宋体" w:eastAsia="宋体" w:cs="宋体"/>
                <w:bCs/>
                <w:color w:val="auto"/>
                <w:sz w:val="22"/>
                <w:szCs w:val="22"/>
                <w:highlight w:val="none"/>
              </w:rPr>
              <w:t>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4</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lang w:val="en-US" w:eastAsia="zh-CN"/>
              </w:rPr>
            </w:pPr>
            <w:r>
              <w:rPr>
                <w:rStyle w:val="342"/>
                <w:rFonts w:hint="eastAsia" w:ascii="宋体" w:hAnsi="宋体" w:eastAsia="宋体" w:cs="宋体"/>
                <w:color w:val="auto"/>
                <w:kern w:val="0"/>
                <w:sz w:val="22"/>
                <w:szCs w:val="22"/>
                <w:highlight w:val="none"/>
                <w:lang w:val="en-US" w:eastAsia="zh-CN"/>
              </w:rPr>
              <w:t>吉林长白山</w:t>
            </w:r>
            <w:r>
              <w:rPr>
                <w:rStyle w:val="342"/>
                <w:rFonts w:hint="eastAsia" w:ascii="宋体" w:hAnsi="宋体" w:eastAsia="宋体" w:cs="宋体"/>
                <w:color w:val="auto"/>
                <w:kern w:val="0"/>
                <w:sz w:val="22"/>
                <w:szCs w:val="22"/>
                <w:highlight w:val="none"/>
              </w:rPr>
              <w:t>双飞</w:t>
            </w: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日游</w:t>
            </w:r>
          </w:p>
          <w:p>
            <w:pPr>
              <w:spacing w:after="0" w:line="240" w:lineRule="auto"/>
              <w:jc w:val="both"/>
              <w:outlineLvl w:val="9"/>
              <w:rPr>
                <w:rFonts w:hint="eastAsia" w:ascii="宋体" w:hAnsi="宋体" w:eastAsia="宋体" w:cs="宋体"/>
                <w:color w:val="auto"/>
                <w:sz w:val="22"/>
                <w:szCs w:val="22"/>
                <w:highlight w:val="none"/>
              </w:rPr>
            </w:pPr>
          </w:p>
        </w:tc>
        <w:tc>
          <w:tcPr>
            <w:tcW w:w="4550"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大写：人民币</w:t>
            </w:r>
            <w:r>
              <w:rPr>
                <w:rFonts w:hint="eastAsia" w:ascii="宋体" w:hAnsi="宋体" w:eastAsia="宋体" w:cs="宋体"/>
                <w:bCs/>
                <w:color w:val="auto"/>
                <w:sz w:val="22"/>
                <w:szCs w:val="22"/>
                <w:highlight w:val="none"/>
                <w:lang w:val="en-US" w:eastAsia="zh-CN"/>
              </w:rPr>
              <w:t>伍仟伍佰</w:t>
            </w:r>
            <w:r>
              <w:rPr>
                <w:rFonts w:hint="eastAsia" w:ascii="宋体" w:hAnsi="宋体" w:eastAsia="宋体" w:cs="宋体"/>
                <w:bCs/>
                <w:color w:val="auto"/>
                <w:sz w:val="22"/>
                <w:szCs w:val="22"/>
                <w:highlight w:val="none"/>
              </w:rPr>
              <w:t>元整每人</w:t>
            </w:r>
          </w:p>
          <w:p>
            <w:pPr>
              <w:spacing w:after="0" w:line="360" w:lineRule="auto"/>
              <w:outlineLvl w:val="9"/>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小写：￥</w:t>
            </w:r>
            <w:r>
              <w:rPr>
                <w:rFonts w:hint="eastAsia" w:ascii="宋体" w:hAnsi="宋体" w:eastAsia="宋体" w:cs="宋体"/>
                <w:bCs/>
                <w:color w:val="auto"/>
                <w:sz w:val="22"/>
                <w:szCs w:val="22"/>
                <w:highlight w:val="none"/>
                <w:lang w:val="en-US" w:eastAsia="zh-CN"/>
              </w:rPr>
              <w:t>55</w:t>
            </w:r>
            <w:r>
              <w:rPr>
                <w:rFonts w:hint="eastAsia" w:ascii="宋体" w:hAnsi="宋体" w:eastAsia="宋体" w:cs="宋体"/>
                <w:bCs/>
                <w:color w:val="auto"/>
                <w:sz w:val="22"/>
                <w:szCs w:val="22"/>
                <w:highlight w:val="none"/>
              </w:rPr>
              <w:t>00元/人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outlineLvl w:val="9"/>
              <w:rPr>
                <w:rFonts w:hint="eastAsia" w:ascii="宋体" w:hAnsi="宋体" w:eastAsia="宋体" w:cs="宋体"/>
                <w:bCs/>
                <w:color w:val="auto"/>
                <w:sz w:val="22"/>
                <w:szCs w:val="22"/>
                <w:highlight w:val="none"/>
              </w:rPr>
            </w:pPr>
          </w:p>
        </w:tc>
      </w:tr>
    </w:tbl>
    <w:p>
      <w:pPr>
        <w:spacing w:line="400" w:lineRule="exact"/>
        <w:ind w:firstLine="541" w:firstLineChars="245"/>
        <w:rPr>
          <w:rFonts w:hint="eastAsia" w:ascii="宋体" w:hAnsi="宋体" w:eastAsia="宋体" w:cs="宋体"/>
          <w:b/>
          <w:color w:val="auto"/>
          <w:sz w:val="22"/>
          <w:highlight w:val="none"/>
        </w:rPr>
      </w:pPr>
    </w:p>
    <w:p>
      <w:pPr>
        <w:spacing w:line="40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spacing w:line="400" w:lineRule="exact"/>
        <w:ind w:firstLine="541" w:firstLineChars="245"/>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lang w:val="en-US" w:eastAsia="zh-CN"/>
        </w:rPr>
        <w:t>1、</w:t>
      </w:r>
      <w:r>
        <w:rPr>
          <w:rFonts w:hint="eastAsia" w:ascii="宋体" w:hAnsi="宋体" w:eastAsia="宋体" w:cs="宋体"/>
          <w:b/>
          <w:color w:val="auto"/>
          <w:sz w:val="22"/>
          <w:highlight w:val="none"/>
        </w:rPr>
        <w:t>不提供此表格将被视为没有实质性响应招标文件</w:t>
      </w:r>
      <w:r>
        <w:rPr>
          <w:rFonts w:hint="eastAsia" w:ascii="宋体" w:hAnsi="宋体" w:eastAsia="宋体" w:cs="宋体"/>
          <w:b/>
          <w:color w:val="auto"/>
          <w:sz w:val="22"/>
          <w:highlight w:val="none"/>
          <w:lang w:eastAsia="zh-CN"/>
        </w:rPr>
        <w:t>；</w:t>
      </w:r>
    </w:p>
    <w:p>
      <w:pPr>
        <w:spacing w:line="400" w:lineRule="exact"/>
        <w:ind w:firstLine="541" w:firstLineChars="245"/>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lang w:val="en-US" w:eastAsia="zh-CN"/>
        </w:rPr>
        <w:t>2、</w:t>
      </w:r>
      <w:r>
        <w:rPr>
          <w:rFonts w:hint="eastAsia" w:ascii="宋体" w:hAnsi="宋体" w:eastAsia="宋体" w:cs="宋体"/>
          <w:b/>
          <w:color w:val="auto"/>
          <w:sz w:val="22"/>
          <w:highlight w:val="none"/>
        </w:rPr>
        <w:t>投标人的报价为含税单人总价，即在承包本次职工疗休养所需的一切人员工资、车、住宿、门票、餐费、交通、保险、导游、税费、</w:t>
      </w:r>
      <w:r>
        <w:rPr>
          <w:rFonts w:hint="eastAsia" w:ascii="宋体" w:hAnsi="宋体" w:eastAsia="宋体" w:cs="宋体"/>
          <w:b/>
          <w:color w:val="auto"/>
          <w:sz w:val="22"/>
          <w:highlight w:val="none"/>
          <w:lang w:val="en-US" w:eastAsia="zh-CN"/>
        </w:rPr>
        <w:t>验收、</w:t>
      </w:r>
      <w:r>
        <w:rPr>
          <w:rFonts w:hint="eastAsia" w:ascii="宋体" w:hAnsi="宋体" w:eastAsia="宋体" w:cs="宋体"/>
          <w:b/>
          <w:color w:val="auto"/>
          <w:sz w:val="22"/>
          <w:highlight w:val="none"/>
        </w:rPr>
        <w:t>利润等完成合同所需的一切本身和不可或缺的所有工作开支、政策性文件规定及合同包含的所有风险、责任等各项全部费用。</w:t>
      </w:r>
    </w:p>
    <w:p>
      <w:pPr>
        <w:spacing w:line="360" w:lineRule="auto"/>
        <w:jc w:val="center"/>
        <w:rPr>
          <w:rFonts w:hint="eastAsia" w:ascii="宋体" w:hAnsi="宋体" w:eastAsia="宋体" w:cs="宋体"/>
          <w:color w:val="auto"/>
          <w:sz w:val="22"/>
          <w:szCs w:val="22"/>
          <w:highlight w:val="none"/>
        </w:rPr>
      </w:pP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jc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br w:type="page"/>
      </w:r>
    </w:p>
    <w:p>
      <w:pPr>
        <w:pStyle w:val="25"/>
        <w:spacing w:line="460" w:lineRule="exact"/>
        <w:ind w:left="433" w:hanging="433" w:hangingChars="196"/>
        <w:outlineLvl w:val="1"/>
        <w:rPr>
          <w:rFonts w:hint="eastAsia" w:ascii="宋体" w:hAnsi="宋体" w:eastAsia="宋体" w:cs="宋体"/>
          <w:b/>
          <w:color w:val="auto"/>
          <w:sz w:val="22"/>
          <w:szCs w:val="22"/>
          <w:highlight w:val="none"/>
        </w:rPr>
      </w:pPr>
      <w:bookmarkStart w:id="32" w:name="_Toc12035"/>
      <w:bookmarkStart w:id="33" w:name="_Toc19402"/>
      <w:r>
        <w:rPr>
          <w:rFonts w:hint="eastAsia" w:ascii="宋体" w:hAnsi="宋体" w:eastAsia="宋体" w:cs="宋体"/>
          <w:b/>
          <w:color w:val="auto"/>
          <w:sz w:val="22"/>
          <w:szCs w:val="22"/>
          <w:highlight w:val="none"/>
        </w:rPr>
        <w:t>附件二</w:t>
      </w:r>
      <w:bookmarkEnd w:id="32"/>
      <w:bookmarkEnd w:id="33"/>
    </w:p>
    <w:p>
      <w:pPr>
        <w:spacing w:line="460" w:lineRule="exact"/>
        <w:jc w:val="center"/>
        <w:outlineLvl w:val="2"/>
        <w:rPr>
          <w:rFonts w:hint="eastAsia" w:ascii="宋体" w:hAnsi="宋体" w:eastAsia="宋体" w:cs="宋体"/>
          <w:color w:val="auto"/>
          <w:sz w:val="28"/>
          <w:szCs w:val="28"/>
          <w:highlight w:val="none"/>
        </w:rPr>
      </w:pPr>
      <w:bookmarkStart w:id="34" w:name="_Toc25309"/>
      <w:bookmarkStart w:id="35" w:name="_Toc4718"/>
      <w:r>
        <w:rPr>
          <w:rFonts w:hint="eastAsia" w:ascii="宋体" w:hAnsi="宋体" w:eastAsia="宋体" w:cs="宋体"/>
          <w:b/>
          <w:bCs/>
          <w:color w:val="auto"/>
          <w:sz w:val="32"/>
          <w:szCs w:val="32"/>
          <w:highlight w:val="none"/>
        </w:rPr>
        <w:t>资格证明文件</w:t>
      </w:r>
      <w:bookmarkEnd w:id="34"/>
      <w:bookmarkEnd w:id="35"/>
      <w:r>
        <w:rPr>
          <w:rFonts w:hint="eastAsia" w:ascii="宋体" w:hAnsi="宋体" w:eastAsia="宋体" w:cs="宋体"/>
          <w:color w:val="auto"/>
          <w:sz w:val="28"/>
          <w:szCs w:val="28"/>
          <w:highlight w:val="none"/>
        </w:rPr>
        <w:t xml:space="preserve"> </w:t>
      </w: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9"/>
        <w:rPr>
          <w:rFonts w:hint="eastAsia" w:cs="宋体"/>
          <w:b/>
          <w:bCs w:val="0"/>
          <w:color w:val="auto"/>
          <w:kern w:val="0"/>
          <w:sz w:val="32"/>
          <w:szCs w:val="32"/>
          <w:highlight w:val="none"/>
          <w:lang w:val="en-US" w:eastAsia="zh-CN" w:bidi="ar-SA"/>
        </w:rPr>
      </w:pPr>
      <w:bookmarkStart w:id="36" w:name="_Toc16516"/>
      <w:bookmarkStart w:id="37" w:name="_Toc31356"/>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3"/>
        <w:rPr>
          <w:rFonts w:hint="eastAsia" w:ascii="宋体" w:hAnsi="宋体" w:eastAsia="宋体" w:cs="宋体"/>
          <w:b/>
          <w:bCs w:val="0"/>
          <w:color w:val="auto"/>
          <w:sz w:val="28"/>
          <w:szCs w:val="28"/>
          <w:highlight w:val="none"/>
        </w:rPr>
      </w:pPr>
      <w:r>
        <w:rPr>
          <w:rFonts w:hint="eastAsia" w:cs="宋体"/>
          <w:b/>
          <w:bCs w:val="0"/>
          <w:color w:val="auto"/>
          <w:kern w:val="0"/>
          <w:sz w:val="28"/>
          <w:szCs w:val="28"/>
          <w:highlight w:val="none"/>
          <w:lang w:val="en-US" w:eastAsia="zh-CN" w:bidi="ar-SA"/>
        </w:rPr>
        <w:t>1、</w:t>
      </w:r>
      <w:r>
        <w:rPr>
          <w:rFonts w:hint="eastAsia" w:ascii="宋体" w:hAnsi="宋体" w:eastAsia="宋体" w:cs="宋体"/>
          <w:b/>
          <w:bCs w:val="0"/>
          <w:color w:val="auto"/>
          <w:kern w:val="0"/>
          <w:sz w:val="28"/>
          <w:szCs w:val="28"/>
          <w:highlight w:val="none"/>
          <w:lang w:val="en-US" w:eastAsia="zh-CN" w:bidi="ar-SA"/>
        </w:rPr>
        <w:t>资格条件承诺函</w:t>
      </w:r>
    </w:p>
    <w:p>
      <w:pPr>
        <w:shd w:val="clear" w:color="auto" w:fill="FFFFFF"/>
        <w:snapToGrid w:val="0"/>
        <w:spacing w:line="44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温州市市场监督管理局</w:t>
      </w:r>
      <w:r>
        <w:rPr>
          <w:rFonts w:hint="eastAsia" w:ascii="宋体" w:hAnsi="宋体" w:eastAsia="宋体" w:cs="宋体"/>
          <w:color w:val="auto"/>
          <w:sz w:val="22"/>
          <w:szCs w:val="22"/>
          <w:highlight w:val="none"/>
        </w:rPr>
        <w:t>、温州历程招标有限公司：</w:t>
      </w:r>
    </w:p>
    <w:p>
      <w:pPr>
        <w:widowControl/>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我方参与</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（采购项目名称、编号）投标，现郑重承诺</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kern w:val="0"/>
          <w:sz w:val="22"/>
          <w:szCs w:val="22"/>
          <w:highlight w:val="none"/>
        </w:rPr>
        <w:t>参加本次政府采购活动前3年内</w:t>
      </w:r>
      <w:r>
        <w:rPr>
          <w:rFonts w:hint="eastAsia" w:ascii="宋体" w:hAnsi="宋体" w:eastAsia="宋体" w:cs="宋体"/>
          <w:color w:val="auto"/>
          <w:sz w:val="22"/>
          <w:szCs w:val="22"/>
          <w:highlight w:val="none"/>
        </w:rPr>
        <w:t>：</w:t>
      </w:r>
    </w:p>
    <w:p>
      <w:pPr>
        <w:widowControl/>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1、我方符合《中华人民共和国政府采购法》第22条规定的资格条件，即</w:t>
      </w:r>
    </w:p>
    <w:p>
      <w:pPr>
        <w:widowControl/>
        <w:snapToGrid w:val="0"/>
        <w:spacing w:line="440" w:lineRule="exact"/>
        <w:ind w:left="420" w:leftChars="200" w:firstLine="220" w:firstLineChars="1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（1）我方具有独立承担民事责任的能力；</w:t>
      </w:r>
    </w:p>
    <w:p>
      <w:pPr>
        <w:widowControl/>
        <w:snapToGrid w:val="0"/>
        <w:spacing w:line="440" w:lineRule="exact"/>
        <w:ind w:left="420" w:leftChars="200" w:firstLine="220" w:firstLineChars="1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（2）我方具有良好的商业信誉和健全的财务会计制度；</w:t>
      </w:r>
    </w:p>
    <w:p>
      <w:pPr>
        <w:widowControl/>
        <w:snapToGrid w:val="0"/>
        <w:spacing w:line="440" w:lineRule="exact"/>
        <w:ind w:left="420" w:leftChars="200" w:firstLine="220" w:firstLineChars="1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（3）我方具有履行合同所必需的设备和专业技术能力；</w:t>
      </w:r>
    </w:p>
    <w:p>
      <w:pPr>
        <w:widowControl/>
        <w:snapToGrid w:val="0"/>
        <w:spacing w:line="440" w:lineRule="exact"/>
        <w:ind w:left="420" w:leftChars="200" w:firstLine="220" w:firstLineChars="1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（4）我方有依法缴纳税收和社会保障资金的良好记录；</w:t>
      </w:r>
    </w:p>
    <w:p>
      <w:pPr>
        <w:widowControl/>
        <w:snapToGrid w:val="0"/>
        <w:spacing w:line="440" w:lineRule="exact"/>
        <w:ind w:left="989" w:leftChars="314" w:hanging="330" w:hangingChars="15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left="479" w:leftChars="228" w:firstLine="180" w:firstLineChars="82"/>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2、到本项目投标截止时间为止，我方未被“信用中国（</w:t>
      </w:r>
      <w:r>
        <w:rPr>
          <w:rFonts w:hint="eastAsia" w:ascii="宋体" w:hAnsi="宋体" w:eastAsia="宋体" w:cs="宋体"/>
          <w:color w:val="auto"/>
          <w:kern w:val="0"/>
          <w:sz w:val="22"/>
          <w:szCs w:val="22"/>
          <w:highlight w:val="none"/>
        </w:rPr>
        <w:fldChar w:fldCharType="begin"/>
      </w:r>
      <w:r>
        <w:rPr>
          <w:rFonts w:hint="eastAsia" w:ascii="宋体" w:hAnsi="宋体" w:eastAsia="宋体" w:cs="宋体"/>
          <w:color w:val="auto"/>
          <w:kern w:val="0"/>
          <w:sz w:val="22"/>
          <w:szCs w:val="22"/>
          <w:highlight w:val="none"/>
        </w:rPr>
        <w:instrText xml:space="preserve"> HYPERLINK "http://www.creditchina.gov.cn）、" </w:instrText>
      </w:r>
      <w:r>
        <w:rPr>
          <w:rFonts w:hint="eastAsia" w:ascii="宋体" w:hAnsi="宋体" w:eastAsia="宋体" w:cs="宋体"/>
          <w:color w:val="auto"/>
          <w:kern w:val="0"/>
          <w:sz w:val="22"/>
          <w:szCs w:val="22"/>
          <w:highlight w:val="none"/>
        </w:rPr>
        <w:fldChar w:fldCharType="separate"/>
      </w:r>
      <w:r>
        <w:rPr>
          <w:rFonts w:hint="eastAsia" w:ascii="宋体" w:hAnsi="宋体" w:eastAsia="宋体" w:cs="宋体"/>
          <w:color w:val="auto"/>
          <w:kern w:val="0"/>
          <w:sz w:val="22"/>
          <w:szCs w:val="22"/>
          <w:highlight w:val="none"/>
        </w:rPr>
        <w:t>www.creditchina.gov.cn）、</w:t>
      </w:r>
      <w:r>
        <w:rPr>
          <w:rFonts w:hint="eastAsia" w:ascii="宋体" w:hAnsi="宋体" w:eastAsia="宋体" w:cs="宋体"/>
          <w:color w:val="auto"/>
          <w:kern w:val="0"/>
          <w:sz w:val="22"/>
          <w:szCs w:val="22"/>
          <w:highlight w:val="none"/>
        </w:rPr>
        <w:fldChar w:fldCharType="end"/>
      </w:r>
      <w:r>
        <w:rPr>
          <w:rFonts w:hint="eastAsia" w:ascii="宋体" w:hAnsi="宋体" w:eastAsia="宋体" w:cs="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pacing w:line="440" w:lineRule="exact"/>
        <w:ind w:left="479" w:leftChars="228" w:firstLine="180" w:firstLineChars="82"/>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3、我方与参加本次项目同一合同项下政府采购活动的其他供应商不存在单位负责人为同一人或者直接控股、管理关系。</w:t>
      </w:r>
    </w:p>
    <w:p>
      <w:pPr>
        <w:widowControl/>
        <w:spacing w:line="440" w:lineRule="exact"/>
        <w:ind w:left="479" w:leftChars="228" w:firstLine="180" w:firstLineChars="82"/>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4、我方</w:t>
      </w:r>
      <w:r>
        <w:rPr>
          <w:rFonts w:hint="eastAsia" w:ascii="宋体" w:hAnsi="宋体" w:eastAsia="宋体" w:cs="宋体"/>
          <w:color w:val="auto"/>
          <w:kern w:val="0"/>
          <w:sz w:val="22"/>
          <w:szCs w:val="22"/>
          <w:highlight w:val="none"/>
        </w:rPr>
        <w:t>不属于公益一类事业单位。</w:t>
      </w:r>
    </w:p>
    <w:p>
      <w:pPr>
        <w:widowControl/>
        <w:snapToGrid w:val="0"/>
        <w:spacing w:line="440" w:lineRule="exact"/>
        <w:ind w:firstLine="440" w:firstLineChars="200"/>
        <w:jc w:val="left"/>
        <w:rPr>
          <w:rFonts w:hint="eastAsia" w:ascii="宋体" w:hAnsi="宋体" w:eastAsia="宋体" w:cs="宋体"/>
          <w:color w:val="auto"/>
          <w:kern w:val="0"/>
          <w:sz w:val="22"/>
          <w:szCs w:val="22"/>
          <w:highlight w:val="none"/>
          <w:lang w:val="en-US" w:eastAsia="zh-CN"/>
        </w:rPr>
      </w:pPr>
    </w:p>
    <w:p>
      <w:pPr>
        <w:widowControl/>
        <w:snapToGrid w:val="0"/>
        <w:spacing w:line="440" w:lineRule="exact"/>
        <w:ind w:left="210" w:leftChars="10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以上承诺如有虚假，</w:t>
      </w:r>
      <w:r>
        <w:rPr>
          <w:rFonts w:hint="eastAsia" w:ascii="宋体" w:hAnsi="宋体" w:eastAsia="宋体" w:cs="宋体"/>
          <w:color w:val="auto"/>
          <w:sz w:val="22"/>
          <w:szCs w:val="22"/>
          <w:highlight w:val="none"/>
        </w:rPr>
        <w:t>愿接受取消</w:t>
      </w:r>
      <w:r>
        <w:rPr>
          <w:rFonts w:hint="eastAsia" w:ascii="宋体" w:hAnsi="宋体" w:eastAsia="宋体" w:cs="宋体"/>
          <w:color w:val="auto"/>
          <w:kern w:val="0"/>
          <w:sz w:val="22"/>
          <w:szCs w:val="22"/>
          <w:highlight w:val="none"/>
        </w:rPr>
        <w:t>我方任何资格（投标/成交/签订合同）</w:t>
      </w:r>
      <w:r>
        <w:rPr>
          <w:rFonts w:hint="eastAsia" w:ascii="宋体" w:hAnsi="宋体" w:eastAsia="宋体" w:cs="宋体"/>
          <w:color w:val="auto"/>
          <w:sz w:val="22"/>
          <w:szCs w:val="22"/>
          <w:highlight w:val="none"/>
        </w:rPr>
        <w:t>及其他任何形式的处理。</w:t>
      </w:r>
    </w:p>
    <w:p>
      <w:pPr>
        <w:widowControl/>
        <w:snapToGrid w:val="0"/>
        <w:spacing w:line="440" w:lineRule="exact"/>
        <w:ind w:firstLine="440" w:firstLineChars="200"/>
        <w:jc w:val="left"/>
        <w:rPr>
          <w:rFonts w:hint="eastAsia" w:ascii="宋体" w:hAnsi="宋体" w:eastAsia="宋体" w:cs="宋体"/>
          <w:color w:val="auto"/>
          <w:kern w:val="0"/>
          <w:sz w:val="22"/>
          <w:szCs w:val="22"/>
          <w:highlight w:val="none"/>
        </w:rPr>
      </w:pPr>
    </w:p>
    <w:p>
      <w:pPr>
        <w:snapToGrid w:val="0"/>
        <w:spacing w:line="360" w:lineRule="auto"/>
        <w:ind w:firstLine="5060" w:firstLineChars="2300"/>
        <w:rPr>
          <w:rFonts w:hint="eastAsia" w:ascii="宋体" w:hAnsi="宋体" w:eastAsia="宋体" w:cs="宋体"/>
          <w:color w:val="auto"/>
          <w:kern w:val="0"/>
          <w:sz w:val="22"/>
          <w:szCs w:val="22"/>
          <w:highlight w:val="none"/>
          <w:lang w:val="zh-CN"/>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5"/>
        <w:spacing w:line="460" w:lineRule="exact"/>
        <w:ind w:left="479" w:leftChars="228" w:firstLine="5280" w:firstLineChars="24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rPr>
          <w:rFonts w:hint="eastAsia" w:ascii="宋体" w:hAnsi="宋体" w:eastAsia="宋体" w:cs="宋体"/>
          <w:highlight w:val="none"/>
        </w:rPr>
      </w:pP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hint="eastAsia" w:ascii="宋体" w:hAnsi="宋体" w:eastAsia="宋体" w:cs="宋体"/>
          <w:b/>
          <w:bCs w:val="0"/>
          <w:color w:val="auto"/>
          <w:sz w:val="28"/>
          <w:szCs w:val="28"/>
          <w:highlight w:val="none"/>
        </w:rPr>
      </w:pPr>
    </w:p>
    <w:p>
      <w:pPr>
        <w:rPr>
          <w:rFonts w:hint="eastAsia" w:ascii="宋体" w:hAnsi="宋体" w:eastAsia="宋体" w:cs="宋体"/>
          <w:b/>
          <w:bCs w:val="0"/>
          <w:color w:val="auto"/>
          <w:kern w:val="0"/>
          <w:sz w:val="32"/>
          <w:szCs w:val="32"/>
          <w:highlight w:val="none"/>
          <w:lang w:val="en-US" w:eastAsia="zh-CN" w:bidi="ar-SA"/>
        </w:rPr>
      </w:pPr>
      <w:r>
        <w:rPr>
          <w:rFonts w:hint="eastAsia" w:ascii="宋体" w:hAnsi="宋体" w:eastAsia="宋体" w:cs="宋体"/>
          <w:b/>
          <w:bCs w:val="0"/>
          <w:color w:val="auto"/>
          <w:kern w:val="0"/>
          <w:sz w:val="32"/>
          <w:szCs w:val="32"/>
          <w:highlight w:val="none"/>
          <w:lang w:val="en-US" w:eastAsia="zh-CN" w:bidi="ar-SA"/>
        </w:rPr>
        <w:br w:type="page"/>
      </w: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3"/>
        <w:rPr>
          <w:rFonts w:hint="eastAsia" w:cs="宋体"/>
          <w:b/>
          <w:bCs w:val="0"/>
          <w:color w:val="auto"/>
          <w:kern w:val="0"/>
          <w:sz w:val="28"/>
          <w:szCs w:val="28"/>
          <w:highlight w:val="none"/>
          <w:lang w:val="en-US" w:eastAsia="zh-CN" w:bidi="ar-SA"/>
        </w:rPr>
      </w:pPr>
      <w:r>
        <w:rPr>
          <w:rFonts w:hint="eastAsia" w:cs="宋体"/>
          <w:b/>
          <w:bCs w:val="0"/>
          <w:color w:val="auto"/>
          <w:kern w:val="0"/>
          <w:sz w:val="28"/>
          <w:szCs w:val="28"/>
          <w:highlight w:val="none"/>
          <w:lang w:val="en-US" w:eastAsia="zh-CN" w:bidi="ar-SA"/>
        </w:rPr>
        <w:t>2、有效营业执照</w:t>
      </w:r>
    </w:p>
    <w:p>
      <w:pPr>
        <w:pStyle w:val="49"/>
        <w:tabs>
          <w:tab w:val="left" w:pos="630"/>
          <w:tab w:val="left" w:pos="840"/>
          <w:tab w:val="left" w:pos="1050"/>
        </w:tabs>
        <w:adjustRightInd w:val="0"/>
        <w:snapToGrid w:val="0"/>
        <w:spacing w:before="0" w:beforeAutospacing="0" w:after="0" w:afterAutospacing="0" w:line="360" w:lineRule="auto"/>
        <w:ind w:left="420"/>
        <w:rPr>
          <w:rFonts w:hint="eastAsia" w:ascii="宋体" w:hAnsi="宋体" w:eastAsia="宋体" w:cs="宋体"/>
          <w:bCs/>
          <w:color w:val="auto"/>
          <w:sz w:val="24"/>
          <w:szCs w:val="24"/>
          <w:highlight w:val="none"/>
        </w:rPr>
      </w:pPr>
    </w:p>
    <w:p>
      <w:pPr>
        <w:pStyle w:val="49"/>
        <w:tabs>
          <w:tab w:val="left" w:pos="630"/>
          <w:tab w:val="left" w:pos="840"/>
          <w:tab w:val="left" w:pos="1050"/>
        </w:tabs>
        <w:adjustRightInd w:val="0"/>
        <w:snapToGrid w:val="0"/>
        <w:spacing w:before="0" w:beforeAutospacing="0" w:after="0" w:afterAutospacing="0" w:line="360" w:lineRule="auto"/>
        <w:ind w:left="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投标人须在投标文件中出具符合以下情况的证明材料复印件（五选一）：</w:t>
      </w:r>
    </w:p>
    <w:p>
      <w:pPr>
        <w:pStyle w:val="49"/>
        <w:numPr>
          <w:ilvl w:val="0"/>
          <w:numId w:val="0"/>
        </w:numPr>
        <w:tabs>
          <w:tab w:val="left" w:pos="312"/>
        </w:tabs>
        <w:adjustRightInd w:val="0"/>
        <w:snapToGrid w:val="0"/>
        <w:spacing w:before="0" w:beforeAutospacing="0" w:after="0" w:afterAutospacing="0" w:line="360" w:lineRule="auto"/>
        <w:ind w:left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①</w:t>
      </w:r>
      <w:r>
        <w:rPr>
          <w:rFonts w:hint="eastAsia" w:ascii="宋体" w:hAnsi="宋体" w:eastAsia="宋体" w:cs="宋体"/>
          <w:bCs/>
          <w:color w:val="auto"/>
          <w:sz w:val="22"/>
          <w:szCs w:val="22"/>
          <w:highlight w:val="none"/>
        </w:rPr>
        <w:t>如投标人是企业（包括合伙企业），提供在工商部门注册的有效“企业法人营业执照”或“营业执照”；</w:t>
      </w:r>
    </w:p>
    <w:p>
      <w:pPr>
        <w:pStyle w:val="49"/>
        <w:numPr>
          <w:ilvl w:val="0"/>
          <w:numId w:val="0"/>
        </w:numPr>
        <w:tabs>
          <w:tab w:val="left" w:pos="312"/>
        </w:tabs>
        <w:adjustRightInd w:val="0"/>
        <w:snapToGrid w:val="0"/>
        <w:spacing w:before="0" w:beforeAutospacing="0" w:after="0" w:afterAutospacing="0" w:line="360" w:lineRule="auto"/>
        <w:ind w:left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②</w:t>
      </w:r>
      <w:r>
        <w:rPr>
          <w:rFonts w:hint="eastAsia" w:ascii="宋体" w:hAnsi="宋体" w:eastAsia="宋体" w:cs="宋体"/>
          <w:bCs/>
          <w:color w:val="auto"/>
          <w:sz w:val="22"/>
          <w:szCs w:val="22"/>
          <w:highlight w:val="none"/>
        </w:rPr>
        <w:t>如投标人是事业单位，提供有效的“事业单位法人证书”；</w:t>
      </w:r>
    </w:p>
    <w:p>
      <w:pPr>
        <w:pStyle w:val="49"/>
        <w:numPr>
          <w:ilvl w:val="0"/>
          <w:numId w:val="0"/>
        </w:numPr>
        <w:tabs>
          <w:tab w:val="left" w:pos="312"/>
        </w:tabs>
        <w:adjustRightInd w:val="0"/>
        <w:snapToGrid w:val="0"/>
        <w:spacing w:before="0" w:beforeAutospacing="0" w:after="0" w:afterAutospacing="0" w:line="360" w:lineRule="auto"/>
        <w:ind w:left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③</w:t>
      </w:r>
      <w:r>
        <w:rPr>
          <w:rFonts w:hint="eastAsia" w:ascii="宋体" w:hAnsi="宋体" w:eastAsia="宋体" w:cs="宋体"/>
          <w:bCs/>
          <w:color w:val="auto"/>
          <w:sz w:val="22"/>
          <w:szCs w:val="22"/>
          <w:highlight w:val="none"/>
        </w:rPr>
        <w:t>如投标人是非企业专业服务机构的，提供执业许可证等证明文件；</w:t>
      </w:r>
    </w:p>
    <w:p>
      <w:pPr>
        <w:pStyle w:val="49"/>
        <w:numPr>
          <w:ilvl w:val="0"/>
          <w:numId w:val="0"/>
        </w:numPr>
        <w:tabs>
          <w:tab w:val="left" w:pos="312"/>
        </w:tabs>
        <w:adjustRightInd w:val="0"/>
        <w:snapToGrid w:val="0"/>
        <w:spacing w:before="0" w:beforeAutospacing="0" w:after="0" w:afterAutospacing="0" w:line="360" w:lineRule="auto"/>
        <w:ind w:left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④</w:t>
      </w:r>
      <w:r>
        <w:rPr>
          <w:rFonts w:hint="eastAsia" w:ascii="宋体" w:hAnsi="宋体" w:eastAsia="宋体" w:cs="宋体"/>
          <w:bCs/>
          <w:color w:val="auto"/>
          <w:sz w:val="22"/>
          <w:szCs w:val="22"/>
          <w:highlight w:val="none"/>
        </w:rPr>
        <w:t>如投标人是个体工商户，提供有效的“个体工商户营业执照”；</w:t>
      </w:r>
    </w:p>
    <w:p>
      <w:pPr>
        <w:pStyle w:val="49"/>
        <w:numPr>
          <w:ilvl w:val="0"/>
          <w:numId w:val="0"/>
        </w:numPr>
        <w:tabs>
          <w:tab w:val="left" w:pos="312"/>
        </w:tabs>
        <w:adjustRightInd w:val="0"/>
        <w:snapToGrid w:val="0"/>
        <w:spacing w:before="0" w:beforeAutospacing="0" w:after="0" w:afterAutospacing="0" w:line="360" w:lineRule="auto"/>
        <w:ind w:left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⑤</w:t>
      </w:r>
      <w:r>
        <w:rPr>
          <w:rFonts w:hint="eastAsia" w:ascii="宋体" w:hAnsi="宋体" w:eastAsia="宋体" w:cs="宋体"/>
          <w:bCs/>
          <w:color w:val="auto"/>
          <w:sz w:val="22"/>
          <w:szCs w:val="22"/>
          <w:highlight w:val="none"/>
        </w:rPr>
        <w:t>如投标人是自然人，提供有效的自然人身份证明（居民身份证正反面或公安机关出具的临时居民身份证正反面或港澳台胞证或护照）。</w:t>
      </w:r>
    </w:p>
    <w:p>
      <w:pPr>
        <w:pStyle w:val="49"/>
        <w:tabs>
          <w:tab w:val="left" w:pos="312"/>
        </w:tabs>
        <w:adjustRightInd w:val="0"/>
        <w:snapToGrid w:val="0"/>
        <w:spacing w:before="0" w:beforeAutospacing="0" w:after="0" w:afterAutospacing="0" w:line="360" w:lineRule="auto"/>
        <w:rPr>
          <w:rFonts w:hint="eastAsia" w:ascii="宋体" w:hAnsi="宋体" w:eastAsia="宋体" w:cs="宋体"/>
          <w:bCs/>
          <w:color w:val="auto"/>
          <w:sz w:val="22"/>
          <w:szCs w:val="22"/>
          <w:highlight w:val="none"/>
        </w:rPr>
      </w:pPr>
    </w:p>
    <w:p>
      <w:pPr>
        <w:pStyle w:val="219"/>
        <w:tabs>
          <w:tab w:val="left" w:pos="1212"/>
          <w:tab w:val="left" w:pos="3888"/>
        </w:tabs>
        <w:snapToGrid w:val="0"/>
        <w:spacing w:line="360" w:lineRule="auto"/>
        <w:ind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rPr>
          <w:rFonts w:hint="eastAsia" w:ascii="宋体" w:hAnsi="宋体" w:eastAsia="宋体" w:cs="宋体"/>
          <w:highlight w:val="none"/>
        </w:rPr>
      </w:pP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3"/>
        <w:rPr>
          <w:rFonts w:hint="eastAsia" w:cs="宋体"/>
          <w:b/>
          <w:bCs w:val="0"/>
          <w:color w:val="auto"/>
          <w:kern w:val="0"/>
          <w:sz w:val="28"/>
          <w:szCs w:val="28"/>
          <w:highlight w:val="none"/>
          <w:lang w:val="en-US" w:eastAsia="zh-CN" w:bidi="ar-SA"/>
        </w:rPr>
      </w:pPr>
      <w:r>
        <w:rPr>
          <w:rFonts w:hint="eastAsia" w:cs="宋体"/>
          <w:b/>
          <w:bCs w:val="0"/>
          <w:color w:val="auto"/>
          <w:kern w:val="0"/>
          <w:sz w:val="28"/>
          <w:szCs w:val="28"/>
          <w:highlight w:val="none"/>
          <w:lang w:val="en-US" w:eastAsia="zh-CN" w:bidi="ar-SA"/>
        </w:rPr>
        <w:t>3、投标人信用查询</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3、投标人信用信息查询记录和证据留存的具体方式：</w:t>
      </w:r>
      <w:r>
        <w:rPr>
          <w:rFonts w:hint="eastAsia" w:ascii="宋体" w:hAnsi="宋体" w:eastAsia="宋体" w:cs="宋体"/>
          <w:b/>
          <w:bCs/>
          <w:color w:val="auto"/>
          <w:sz w:val="22"/>
          <w:highlight w:val="none"/>
        </w:rPr>
        <w:t>网页截图</w:t>
      </w:r>
      <w:r>
        <w:rPr>
          <w:rFonts w:hint="eastAsia" w:ascii="宋体" w:hAnsi="宋体" w:eastAsia="宋体" w:cs="宋体"/>
          <w:color w:val="auto"/>
          <w:sz w:val="22"/>
          <w:highlight w:val="none"/>
        </w:rPr>
        <w:t>；</w:t>
      </w:r>
    </w:p>
    <w:p>
      <w:pPr>
        <w:tabs>
          <w:tab w:val="left" w:pos="360"/>
        </w:tabs>
        <w:spacing w:line="460" w:lineRule="exact"/>
        <w:ind w:firstLine="550" w:firstLineChars="250"/>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highlight w:val="none"/>
          <w:u w:val="none"/>
        </w:rPr>
        <w:t>4、信用信息的使用规则：对列入失信被执行人、重大税收违法案件当事人名单、政府采购严重违法失信行为记录名单的投标人，其投标将作无效标处理。</w:t>
      </w:r>
    </w:p>
    <w:p>
      <w:pPr>
        <w:rPr>
          <w:rFonts w:hint="eastAsia" w:cs="宋体"/>
          <w:b/>
          <w:bCs w:val="0"/>
          <w:color w:val="auto"/>
          <w:kern w:val="0"/>
          <w:sz w:val="28"/>
          <w:szCs w:val="28"/>
          <w:highlight w:val="none"/>
          <w:lang w:val="en-US" w:eastAsia="zh-CN" w:bidi="ar-SA"/>
        </w:rPr>
      </w:pPr>
    </w:p>
    <w:p>
      <w:pPr>
        <w:rPr>
          <w:rFonts w:hint="eastAsia" w:cs="宋体"/>
          <w:b/>
          <w:bCs w:val="0"/>
          <w:color w:val="auto"/>
          <w:kern w:val="0"/>
          <w:sz w:val="28"/>
          <w:szCs w:val="28"/>
          <w:highlight w:val="none"/>
          <w:lang w:val="en-US" w:eastAsia="zh-CN" w:bidi="ar-SA"/>
        </w:rPr>
      </w:pPr>
      <w:r>
        <w:rPr>
          <w:rFonts w:hint="eastAsia" w:cs="宋体"/>
          <w:b/>
          <w:bCs w:val="0"/>
          <w:color w:val="auto"/>
          <w:kern w:val="0"/>
          <w:sz w:val="28"/>
          <w:szCs w:val="28"/>
          <w:highlight w:val="none"/>
          <w:lang w:val="en-US" w:eastAsia="zh-CN" w:bidi="ar-SA"/>
        </w:rPr>
        <w:br w:type="page"/>
      </w: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3"/>
        <w:rPr>
          <w:rFonts w:hint="eastAsia" w:cs="宋体"/>
          <w:b/>
          <w:bCs w:val="0"/>
          <w:color w:val="auto"/>
          <w:kern w:val="0"/>
          <w:sz w:val="28"/>
          <w:szCs w:val="28"/>
          <w:highlight w:val="none"/>
          <w:lang w:val="en-US" w:eastAsia="zh-CN" w:bidi="ar-SA"/>
        </w:rPr>
      </w:pPr>
      <w:r>
        <w:rPr>
          <w:rFonts w:hint="eastAsia" w:cs="宋体"/>
          <w:b/>
          <w:bCs w:val="0"/>
          <w:color w:val="auto"/>
          <w:kern w:val="0"/>
          <w:sz w:val="28"/>
          <w:szCs w:val="28"/>
          <w:highlight w:val="none"/>
          <w:lang w:val="en-US" w:eastAsia="zh-CN" w:bidi="ar-SA"/>
        </w:rPr>
        <w:t>4、政府采购活动现场确认声明书</w:t>
      </w:r>
    </w:p>
    <w:p>
      <w:pPr>
        <w:spacing w:line="460" w:lineRule="exact"/>
        <w:rPr>
          <w:rFonts w:hint="eastAsia" w:ascii="宋体" w:hAnsi="宋体" w:eastAsia="宋体" w:cs="宋体"/>
          <w:b/>
          <w:bCs/>
          <w:sz w:val="22"/>
          <w:szCs w:val="22"/>
          <w:highlight w:val="none"/>
        </w:rPr>
      </w:pPr>
    </w:p>
    <w:p>
      <w:pPr>
        <w:spacing w:line="460" w:lineRule="exact"/>
        <w:rPr>
          <w:rFonts w:hint="eastAsia" w:ascii="宋体" w:hAnsi="宋体" w:eastAsia="宋体" w:cs="宋体"/>
          <w:b/>
          <w:bCs/>
          <w:sz w:val="22"/>
          <w:szCs w:val="22"/>
          <w:highlight w:val="none"/>
        </w:rPr>
      </w:pPr>
      <w:r>
        <w:rPr>
          <w:rFonts w:hint="eastAsia" w:ascii="宋体" w:hAnsi="宋体" w:eastAsia="宋体" w:cs="宋体"/>
          <w:color w:val="auto"/>
          <w:sz w:val="22"/>
          <w:szCs w:val="22"/>
          <w:highlight w:val="none"/>
          <w:lang w:eastAsia="zh-CN"/>
        </w:rPr>
        <w:t>温州历程招标有限公司</w:t>
      </w:r>
      <w:r>
        <w:rPr>
          <w:rFonts w:hint="eastAsia" w:ascii="宋体" w:hAnsi="宋体" w:eastAsia="宋体" w:cs="宋体"/>
          <w:color w:val="auto"/>
          <w:sz w:val="22"/>
          <w:szCs w:val="22"/>
          <w:highlight w:val="none"/>
        </w:rPr>
        <w:t>：</w:t>
      </w:r>
    </w:p>
    <w:p>
      <w:pPr>
        <w:spacing w:line="460" w:lineRule="exact"/>
        <w:ind w:firstLine="440" w:firstLineChars="200"/>
        <w:rPr>
          <w:rFonts w:hint="eastAsia" w:ascii="宋体" w:hAnsi="宋体" w:eastAsia="宋体" w:cs="宋体"/>
          <w:sz w:val="22"/>
          <w:szCs w:val="22"/>
          <w:highlight w:val="none"/>
        </w:rPr>
      </w:pPr>
      <w:r>
        <w:rPr>
          <w:rFonts w:hint="eastAsia" w:ascii="宋体" w:hAnsi="宋体" w:eastAsia="宋体" w:cs="宋体"/>
          <w:kern w:val="0"/>
          <w:sz w:val="22"/>
          <w:szCs w:val="22"/>
          <w:highlight w:val="none"/>
        </w:rPr>
        <w:t>本人经由</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（供应商名称）负责人</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（姓名）合法授权参加</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项目（编号：</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）采购活动，经与本单位法人代表（负责人）联系确认，现就有关公平竞争事项郑重声明如下：</w:t>
      </w:r>
    </w:p>
    <w:p>
      <w:pPr>
        <w:numPr>
          <w:ilvl w:val="0"/>
          <w:numId w:val="3"/>
        </w:numPr>
        <w:spacing w:line="4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本单位与招标人之间 □不存在利害关系 □存在下列利害关系：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A.投资关系    </w:t>
      </w:r>
    </w:p>
    <w:p>
      <w:pPr>
        <w:spacing w:line="460" w:lineRule="exact"/>
        <w:ind w:firstLine="660" w:firstLineChars="30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 xml:space="preserve">B.行政隶属关系    </w:t>
      </w:r>
    </w:p>
    <w:p>
      <w:pPr>
        <w:spacing w:line="460" w:lineRule="exact"/>
        <w:ind w:firstLine="660" w:firstLineChars="30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 xml:space="preserve">C.业务指导关系  </w:t>
      </w:r>
    </w:p>
    <w:p>
      <w:pPr>
        <w:spacing w:line="460" w:lineRule="exact"/>
        <w:ind w:firstLine="660" w:firstLineChars="300"/>
        <w:rPr>
          <w:rFonts w:hint="eastAsia" w:ascii="宋体" w:hAnsi="宋体" w:eastAsia="宋体" w:cs="宋体"/>
          <w:sz w:val="22"/>
          <w:szCs w:val="22"/>
          <w:highlight w:val="none"/>
        </w:rPr>
      </w:pPr>
      <w:r>
        <w:rPr>
          <w:rFonts w:hint="eastAsia" w:ascii="宋体" w:hAnsi="宋体" w:eastAsia="宋体" w:cs="宋体"/>
          <w:kern w:val="0"/>
          <w:sz w:val="22"/>
          <w:szCs w:val="22"/>
          <w:highlight w:val="none"/>
        </w:rPr>
        <w:t>D.其他可能影响采购公正的利害关系</w:t>
      </w:r>
      <w:r>
        <w:rPr>
          <w:rStyle w:val="333"/>
          <w:rFonts w:hint="eastAsia" w:ascii="宋体" w:hAnsi="宋体" w:eastAsia="宋体" w:cs="宋体"/>
          <w:color w:val="auto"/>
          <w:sz w:val="22"/>
          <w:szCs w:val="22"/>
          <w:highlight w:val="none"/>
        </w:rPr>
        <w:t xml:space="preserve">（如有，请如实说明）                 </w:t>
      </w:r>
      <w:r>
        <w:rPr>
          <w:rFonts w:hint="eastAsia" w:ascii="宋体" w:hAnsi="宋体" w:eastAsia="宋体" w:cs="宋体"/>
          <w:kern w:val="0"/>
          <w:sz w:val="22"/>
          <w:szCs w:val="22"/>
          <w:highlight w:val="none"/>
        </w:rPr>
        <w:t>。</w:t>
      </w:r>
    </w:p>
    <w:p>
      <w:pPr>
        <w:numPr>
          <w:ilvl w:val="0"/>
          <w:numId w:val="3"/>
        </w:numPr>
        <w:spacing w:line="4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 xml:space="preserve">现已清楚知道参加本项目采购活动的其他所有供应商名称，本单位 </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□与其他所有供应商之间均不存在利害关系 </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□与</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供应商名称）之间存在下列利害关系</w:t>
      </w:r>
      <w:r>
        <w:rPr>
          <w:rFonts w:hint="eastAsia" w:ascii="宋体" w:hAnsi="宋体" w:eastAsia="宋体" w:cs="宋体"/>
          <w:kern w:val="0"/>
          <w:sz w:val="22"/>
          <w:szCs w:val="22"/>
          <w:highlight w:val="none"/>
          <w:u w:val="single"/>
        </w:rPr>
        <w:t xml:space="preserve">          </w:t>
      </w:r>
      <w:r>
        <w:rPr>
          <w:rFonts w:hint="eastAsia" w:ascii="宋体" w:hAnsi="宋体" w:eastAsia="宋体" w:cs="宋体"/>
          <w:kern w:val="0"/>
          <w:sz w:val="22"/>
          <w:szCs w:val="22"/>
          <w:highlight w:val="none"/>
        </w:rPr>
        <w:t>：</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A.法定代表人或负责人或实际控制人是同一人</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B.法定代表人或负责人或实际控制人是夫妻关系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C.法定代表人或负责人或实际控制人是直系血亲关系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D.法定代表人或负责人或实际控制人存在三代以内旁系血亲关系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E.法定代表人或负责人或实际控制人存在近姻亲关系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F.法定代表人或负责人或实际控制人存在股份控制或实际控制关系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G.存在共同直接或间接投资设立子公司、联营企业和合营企业情况</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H.存在分级代理或代销关系、同一生产制造商关系、管理关系、重要业务（占主营业务收入50%以上）或重要财务往来关系（如融资）等其他实质性控制关系</w:t>
      </w:r>
      <w:r>
        <w:rPr>
          <w:rFonts w:hint="eastAsia" w:ascii="宋体" w:hAnsi="宋体" w:eastAsia="宋体" w:cs="宋体"/>
          <w:kern w:val="0"/>
          <w:sz w:val="22"/>
          <w:szCs w:val="22"/>
          <w:highlight w:val="none"/>
        </w:rPr>
        <w:br w:type="textWrapping"/>
      </w:r>
      <w:r>
        <w:rPr>
          <w:rFonts w:hint="eastAsia" w:ascii="宋体" w:hAnsi="宋体" w:eastAsia="宋体" w:cs="宋体"/>
          <w:kern w:val="0"/>
          <w:sz w:val="22"/>
          <w:szCs w:val="22"/>
          <w:highlight w:val="none"/>
        </w:rPr>
        <w:t xml:space="preserve">      I.其他利害关系情况</w:t>
      </w:r>
      <w:r>
        <w:rPr>
          <w:rFonts w:hint="eastAsia" w:ascii="宋体" w:hAnsi="宋体" w:eastAsia="宋体" w:cs="宋体"/>
          <w:kern w:val="0"/>
          <w:sz w:val="22"/>
          <w:szCs w:val="22"/>
          <w:highlight w:val="none"/>
          <w:u w:val="single"/>
        </w:rPr>
        <w:t xml:space="preserve">                              。</w:t>
      </w:r>
    </w:p>
    <w:p>
      <w:pPr>
        <w:pStyle w:val="25"/>
        <w:spacing w:line="460" w:lineRule="exact"/>
        <w:ind w:left="0" w:firstLine="0" w:firstLineChars="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（三）现已清楚知道并严格遵守政府采购法律法规和现场纪律</w:t>
      </w:r>
    </w:p>
    <w:p>
      <w:pPr>
        <w:pStyle w:val="25"/>
        <w:spacing w:line="460" w:lineRule="exact"/>
        <w:ind w:left="0" w:firstLine="0" w:firstLineChars="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（四）我发现</w:t>
      </w:r>
      <w:r>
        <w:rPr>
          <w:rStyle w:val="333"/>
          <w:rFonts w:hint="eastAsia" w:ascii="宋体" w:hAnsi="宋体" w:eastAsia="宋体" w:cs="宋体"/>
          <w:color w:val="auto"/>
          <w:sz w:val="22"/>
          <w:szCs w:val="22"/>
          <w:highlight w:val="none"/>
          <w:u w:val="single"/>
        </w:rPr>
        <w:t xml:space="preserve">                  </w:t>
      </w:r>
      <w:r>
        <w:rPr>
          <w:rStyle w:val="333"/>
          <w:rFonts w:hint="eastAsia" w:ascii="宋体" w:hAnsi="宋体" w:eastAsia="宋体" w:cs="宋体"/>
          <w:color w:val="auto"/>
          <w:sz w:val="22"/>
          <w:szCs w:val="22"/>
          <w:highlight w:val="none"/>
        </w:rPr>
        <w:t>与</w:t>
      </w:r>
      <w:r>
        <w:rPr>
          <w:rStyle w:val="333"/>
          <w:rFonts w:hint="eastAsia" w:ascii="宋体" w:hAnsi="宋体" w:eastAsia="宋体" w:cs="宋体"/>
          <w:color w:val="auto"/>
          <w:sz w:val="22"/>
          <w:szCs w:val="22"/>
          <w:highlight w:val="none"/>
          <w:u w:val="single"/>
        </w:rPr>
        <w:t xml:space="preserve">                  </w:t>
      </w:r>
      <w:r>
        <w:rPr>
          <w:rStyle w:val="333"/>
          <w:rFonts w:hint="eastAsia" w:ascii="宋体" w:hAnsi="宋体" w:eastAsia="宋体" w:cs="宋体"/>
          <w:color w:val="auto"/>
          <w:sz w:val="22"/>
          <w:szCs w:val="22"/>
          <w:highlight w:val="none"/>
        </w:rPr>
        <w:t>（供应商名称）</w:t>
      </w:r>
      <w:r>
        <w:rPr>
          <w:rFonts w:hint="eastAsia" w:ascii="宋体" w:hAnsi="宋体" w:eastAsia="宋体" w:cs="宋体"/>
          <w:kern w:val="0"/>
          <w:sz w:val="22"/>
          <w:szCs w:val="22"/>
          <w:highlight w:val="none"/>
        </w:rPr>
        <w:t>之间存在或可能存在上述第二条第</w:t>
      </w:r>
      <w:r>
        <w:rPr>
          <w:rStyle w:val="333"/>
          <w:rFonts w:hint="eastAsia" w:ascii="宋体" w:hAnsi="宋体" w:eastAsia="宋体" w:cs="宋体"/>
          <w:color w:val="auto"/>
          <w:sz w:val="22"/>
          <w:szCs w:val="22"/>
          <w:highlight w:val="none"/>
          <w:u w:val="single"/>
        </w:rPr>
        <w:t xml:space="preserve">        </w:t>
      </w:r>
      <w:r>
        <w:rPr>
          <w:rFonts w:hint="eastAsia" w:ascii="宋体" w:hAnsi="宋体" w:eastAsia="宋体" w:cs="宋体"/>
          <w:kern w:val="0"/>
          <w:sz w:val="22"/>
          <w:szCs w:val="22"/>
          <w:highlight w:val="none"/>
        </w:rPr>
        <w:t>项利害关系。</w:t>
      </w:r>
    </w:p>
    <w:p>
      <w:pPr>
        <w:pStyle w:val="25"/>
        <w:spacing w:line="460" w:lineRule="exact"/>
        <w:ind w:left="0" w:firstLine="0" w:firstLineChars="0"/>
        <w:rPr>
          <w:rFonts w:hint="eastAsia" w:ascii="宋体" w:hAnsi="宋体" w:eastAsia="宋体" w:cs="宋体"/>
          <w:b/>
          <w:kern w:val="0"/>
          <w:sz w:val="22"/>
          <w:szCs w:val="22"/>
          <w:highlight w:val="none"/>
        </w:rPr>
      </w:pPr>
      <w:r>
        <w:rPr>
          <w:rFonts w:hint="eastAsia" w:ascii="宋体" w:hAnsi="宋体" w:eastAsia="宋体" w:cs="宋体"/>
          <w:b/>
          <w:kern w:val="0"/>
          <w:sz w:val="22"/>
          <w:szCs w:val="22"/>
          <w:highlight w:val="none"/>
        </w:rPr>
        <w:t>供应商代表签名:</w:t>
      </w:r>
    </w:p>
    <w:p>
      <w:pPr>
        <w:pStyle w:val="25"/>
        <w:spacing w:line="460" w:lineRule="exact"/>
        <w:ind w:left="0" w:firstLine="0" w:firstLineChars="0"/>
        <w:jc w:val="right"/>
        <w:rPr>
          <w:rFonts w:hint="eastAsia" w:ascii="宋体" w:hAnsi="宋体" w:eastAsia="宋体" w:cs="宋体"/>
          <w:b/>
          <w:bCs/>
          <w:sz w:val="22"/>
          <w:szCs w:val="22"/>
          <w:highlight w:val="none"/>
        </w:rPr>
      </w:pPr>
      <w:r>
        <w:rPr>
          <w:rFonts w:hint="eastAsia" w:ascii="宋体" w:hAnsi="宋体" w:eastAsia="宋体" w:cs="宋体"/>
          <w:b/>
          <w:kern w:val="0"/>
          <w:sz w:val="22"/>
          <w:szCs w:val="22"/>
          <w:highlight w:val="none"/>
        </w:rPr>
        <w:t>日期:202</w:t>
      </w:r>
      <w:r>
        <w:rPr>
          <w:rFonts w:hint="eastAsia" w:ascii="宋体" w:hAnsi="宋体" w:eastAsia="宋体" w:cs="宋体"/>
          <w:b/>
          <w:kern w:val="0"/>
          <w:sz w:val="22"/>
          <w:szCs w:val="22"/>
          <w:highlight w:val="none"/>
          <w:lang w:val="en-US" w:eastAsia="zh-CN"/>
        </w:rPr>
        <w:t xml:space="preserve">  </w:t>
      </w:r>
      <w:r>
        <w:rPr>
          <w:rFonts w:hint="eastAsia" w:ascii="宋体" w:hAnsi="宋体" w:eastAsia="宋体" w:cs="宋体"/>
          <w:b/>
          <w:kern w:val="0"/>
          <w:sz w:val="22"/>
          <w:szCs w:val="22"/>
          <w:highlight w:val="none"/>
        </w:rPr>
        <w:t>年    月    日</w:t>
      </w: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pStyle w:val="49"/>
        <w:keepNext w:val="0"/>
        <w:keepLines w:val="0"/>
        <w:pageBreakBefore w:val="0"/>
        <w:widowControl/>
        <w:numPr>
          <w:ilvl w:val="0"/>
          <w:numId w:val="0"/>
        </w:numPr>
        <w:tabs>
          <w:tab w:val="left" w:pos="630"/>
          <w:tab w:val="left" w:pos="840"/>
          <w:tab w:val="left" w:pos="1050"/>
        </w:tabs>
        <w:kinsoku/>
        <w:wordWrap/>
        <w:overflowPunct/>
        <w:topLinePunct w:val="0"/>
        <w:autoSpaceDE/>
        <w:autoSpaceDN/>
        <w:bidi w:val="0"/>
        <w:adjustRightInd w:val="0"/>
        <w:snapToGrid w:val="0"/>
        <w:spacing w:before="0" w:beforeAutospacing="0" w:after="0" w:afterAutospacing="0" w:line="360" w:lineRule="auto"/>
        <w:jc w:val="center"/>
        <w:textAlignment w:val="auto"/>
        <w:outlineLvl w:val="3"/>
        <w:rPr>
          <w:rFonts w:hint="eastAsia" w:cs="宋体"/>
          <w:b/>
          <w:bCs w:val="0"/>
          <w:color w:val="auto"/>
          <w:kern w:val="0"/>
          <w:sz w:val="28"/>
          <w:szCs w:val="28"/>
          <w:highlight w:val="none"/>
          <w:lang w:val="en-US" w:eastAsia="zh-CN" w:bidi="ar-SA"/>
        </w:rPr>
      </w:pPr>
      <w:r>
        <w:rPr>
          <w:rFonts w:hint="eastAsia" w:cs="宋体"/>
          <w:b/>
          <w:bCs w:val="0"/>
          <w:color w:val="auto"/>
          <w:kern w:val="0"/>
          <w:sz w:val="28"/>
          <w:szCs w:val="28"/>
          <w:highlight w:val="none"/>
          <w:lang w:val="en-US" w:eastAsia="zh-CN" w:bidi="ar-SA"/>
        </w:rPr>
        <w:t>5、落实政府采购政策需满足的资格要求证明材料</w:t>
      </w: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（根据招标公告落实政府采购政策需满足的资格要求选择提供相应的材料）</w:t>
      </w:r>
    </w:p>
    <w:p>
      <w:pPr>
        <w:spacing w:line="460" w:lineRule="exact"/>
        <w:jc w:val="center"/>
        <w:rPr>
          <w:rFonts w:hint="eastAsia" w:ascii="宋体" w:hAnsi="宋体" w:eastAsia="宋体" w:cs="宋体"/>
          <w:b/>
          <w:bCs/>
          <w:color w:val="auto"/>
          <w:sz w:val="24"/>
          <w:szCs w:val="24"/>
          <w:highlight w:val="none"/>
          <w:lang w:eastAsia="zh-CN"/>
        </w:rPr>
      </w:pPr>
    </w:p>
    <w:p>
      <w:pPr>
        <w:spacing w:line="460" w:lineRule="exact"/>
        <w:jc w:val="center"/>
        <w:rPr>
          <w:rFonts w:hint="eastAsia" w:ascii="宋体" w:hAnsi="宋体" w:eastAsia="宋体" w:cs="宋体"/>
          <w:b/>
          <w:bCs/>
          <w:color w:val="auto"/>
          <w:sz w:val="24"/>
          <w:szCs w:val="24"/>
          <w:highlight w:val="none"/>
          <w:lang w:eastAsia="zh-CN"/>
        </w:rPr>
      </w:pPr>
    </w:p>
    <w:p>
      <w:pPr>
        <w:spacing w:line="460" w:lineRule="exact"/>
        <w:jc w:val="center"/>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中小企业声明函（工程、服务）</w:t>
      </w:r>
      <w:r>
        <w:rPr>
          <w:rFonts w:hint="eastAsia" w:ascii="宋体" w:hAnsi="宋体" w:eastAsia="宋体" w:cs="宋体"/>
          <w:b/>
          <w:bCs/>
          <w:color w:val="auto"/>
          <w:sz w:val="32"/>
          <w:szCs w:val="32"/>
          <w:highlight w:val="none"/>
          <w:lang w:eastAsia="zh-CN"/>
        </w:rPr>
        <w:t>》</w:t>
      </w:r>
    </w:p>
    <w:p>
      <w:pPr>
        <w:snapToGrid w:val="0"/>
        <w:spacing w:line="460" w:lineRule="exact"/>
        <w:jc w:val="center"/>
        <w:rPr>
          <w:rFonts w:hint="eastAsia" w:ascii="宋体" w:hAnsi="宋体" w:eastAsia="宋体" w:cs="宋体"/>
          <w:color w:val="auto"/>
          <w:sz w:val="22"/>
          <w:szCs w:val="22"/>
          <w:highlight w:val="none"/>
        </w:rPr>
      </w:pP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1.</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 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 xml:space="preserve">；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w:t>
      </w:r>
    </w:p>
    <w:p>
      <w:pPr>
        <w:spacing w:line="460" w:lineRule="exact"/>
        <w:ind w:firstLine="639" w:firstLineChars="245"/>
        <w:rPr>
          <w:rFonts w:hint="eastAsia" w:ascii="宋体" w:hAnsi="宋体" w:eastAsia="宋体" w:cs="宋体"/>
          <w:b/>
          <w:bCs/>
          <w:color w:val="auto"/>
          <w:spacing w:val="20"/>
          <w:sz w:val="22"/>
          <w:szCs w:val="22"/>
          <w:highlight w:val="none"/>
        </w:rPr>
      </w:pPr>
      <w:r>
        <w:rPr>
          <w:rFonts w:hint="eastAsia" w:ascii="宋体" w:hAnsi="宋体" w:eastAsia="宋体" w:cs="宋体"/>
          <w:b/>
          <w:bCs/>
          <w:color w:val="auto"/>
          <w:spacing w:val="20"/>
          <w:sz w:val="22"/>
          <w:szCs w:val="22"/>
          <w:highlight w:val="none"/>
        </w:rPr>
        <w:t>……</w:t>
      </w:r>
    </w:p>
    <w:p>
      <w:pPr>
        <w:spacing w:line="460" w:lineRule="exact"/>
        <w:ind w:firstLine="637" w:firstLineChars="245"/>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lang w:val="en-US" w:eastAsia="zh-CN"/>
        </w:rPr>
        <w:t xml:space="preserve">           企业</w:t>
      </w:r>
      <w:r>
        <w:rPr>
          <w:rFonts w:hint="eastAsia" w:ascii="宋体" w:hAnsi="宋体" w:eastAsia="宋体" w:cs="宋体"/>
          <w:color w:val="auto"/>
          <w:spacing w:val="20"/>
          <w:sz w:val="22"/>
          <w:szCs w:val="22"/>
          <w:highlight w:val="none"/>
        </w:rPr>
        <w:t>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日</w:t>
      </w:r>
      <w:r>
        <w:rPr>
          <w:rFonts w:hint="eastAsia" w:ascii="宋体" w:hAnsi="宋体" w:eastAsia="宋体" w:cs="宋体"/>
          <w:color w:val="auto"/>
          <w:spacing w:val="20"/>
          <w:sz w:val="22"/>
          <w:szCs w:val="22"/>
          <w:highlight w:val="none"/>
        </w:rPr>
        <w:t xml:space="preserve"> 期：</w:t>
      </w:r>
    </w:p>
    <w:p>
      <w:pPr>
        <w:spacing w:line="460" w:lineRule="exact"/>
        <w:rPr>
          <w:rFonts w:hint="eastAsia" w:ascii="宋体" w:hAnsi="宋体" w:eastAsia="宋体" w:cs="宋体"/>
          <w:color w:val="auto"/>
          <w:spacing w:val="20"/>
          <w:sz w:val="22"/>
          <w:szCs w:val="22"/>
          <w:highlight w:val="none"/>
        </w:rPr>
      </w:pPr>
    </w:p>
    <w:p>
      <w:pPr>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3"/>
        <w:rPr>
          <w:rFonts w:hint="eastAsia" w:ascii="宋体" w:hAnsi="宋体" w:eastAsia="宋体" w:cs="宋体"/>
          <w:b/>
          <w:bCs w:val="0"/>
          <w:color w:val="auto"/>
          <w:kern w:val="0"/>
          <w:sz w:val="28"/>
          <w:szCs w:val="28"/>
          <w:highlight w:val="none"/>
          <w:lang w:val="en-US" w:eastAsia="zh-CN" w:bidi="ar-SA"/>
        </w:rPr>
      </w:pPr>
      <w:r>
        <w:rPr>
          <w:rFonts w:hint="eastAsia" w:ascii="宋体" w:hAnsi="宋体" w:cs="宋体"/>
          <w:b/>
          <w:bCs w:val="0"/>
          <w:color w:val="auto"/>
          <w:kern w:val="0"/>
          <w:sz w:val="28"/>
          <w:szCs w:val="28"/>
          <w:highlight w:val="none"/>
          <w:lang w:val="en-US" w:eastAsia="zh-CN" w:bidi="ar-SA"/>
        </w:rPr>
        <w:t>6、</w:t>
      </w:r>
      <w:r>
        <w:rPr>
          <w:rFonts w:hint="eastAsia" w:ascii="宋体" w:hAnsi="宋体" w:eastAsia="宋体" w:cs="宋体"/>
          <w:b/>
          <w:bCs w:val="0"/>
          <w:color w:val="auto"/>
          <w:kern w:val="0"/>
          <w:sz w:val="28"/>
          <w:szCs w:val="28"/>
          <w:highlight w:val="none"/>
          <w:lang w:val="en-US" w:eastAsia="zh-CN" w:bidi="ar-SA"/>
        </w:rPr>
        <w:t>须具备相应的《旅行社业务经营许可证》</w:t>
      </w: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附件三</w:t>
      </w:r>
      <w:bookmarkEnd w:id="36"/>
      <w:bookmarkEnd w:id="37"/>
    </w:p>
    <w:p>
      <w:pPr>
        <w:spacing w:line="460" w:lineRule="exact"/>
        <w:jc w:val="center"/>
        <w:outlineLvl w:val="2"/>
        <w:rPr>
          <w:rFonts w:hint="eastAsia" w:ascii="宋体" w:hAnsi="宋体" w:eastAsia="宋体" w:cs="宋体"/>
          <w:b/>
          <w:bCs/>
          <w:color w:val="auto"/>
          <w:sz w:val="28"/>
          <w:szCs w:val="28"/>
          <w:highlight w:val="none"/>
          <w:lang w:val="zh-CN"/>
        </w:rPr>
      </w:pPr>
      <w:bookmarkStart w:id="38" w:name="_Toc13639"/>
      <w:bookmarkStart w:id="39" w:name="_Toc29102"/>
      <w:r>
        <w:rPr>
          <w:rFonts w:hint="eastAsia" w:ascii="宋体" w:hAnsi="宋体" w:eastAsia="宋体" w:cs="宋体"/>
          <w:b/>
          <w:bCs/>
          <w:color w:val="auto"/>
          <w:sz w:val="28"/>
          <w:szCs w:val="28"/>
          <w:highlight w:val="none"/>
          <w:lang w:val="zh-CN"/>
        </w:rPr>
        <w:t>商务技术文件</w:t>
      </w:r>
      <w:bookmarkEnd w:id="38"/>
      <w:bookmarkEnd w:id="39"/>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color w:val="auto"/>
          <w:sz w:val="28"/>
          <w:szCs w:val="28"/>
          <w:highlight w:val="none"/>
          <w:lang w:val="en-US" w:eastAsia="zh-CN"/>
        </w:r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1、法定代表人授权书</w:t>
      </w:r>
    </w:p>
    <w:p>
      <w:pPr>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温州市市场监督管理局、</w:t>
      </w:r>
      <w:r>
        <w:rPr>
          <w:rFonts w:hint="eastAsia" w:ascii="宋体" w:hAnsi="宋体" w:cs="宋体"/>
          <w:color w:val="auto"/>
          <w:sz w:val="22"/>
          <w:szCs w:val="22"/>
          <w:highlight w:val="none"/>
          <w:lang w:val="en-US" w:eastAsia="zh-CN"/>
        </w:rPr>
        <w:t>温州历程招标有限公司</w:t>
      </w:r>
      <w:r>
        <w:rPr>
          <w:rFonts w:hint="eastAsia" w:ascii="宋体" w:hAnsi="宋体" w:eastAsia="宋体" w:cs="宋体"/>
          <w:color w:val="auto"/>
          <w:sz w:val="22"/>
          <w:szCs w:val="22"/>
          <w:highlight w:val="none"/>
        </w:rPr>
        <w:t>：</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）的招标活动，全权代表我方处理招标活动中的一切事宜。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081" w:firstLineChars="18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投标人全称（公章）：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p>
    <w:p>
      <w:pPr>
        <w:spacing w:line="380" w:lineRule="exact"/>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outlineLvl w:val="3"/>
        <w:rPr>
          <w:rFonts w:hint="eastAsia" w:ascii="宋体" w:hAnsi="宋体" w:eastAsia="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2、投标人情况表</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vAlign w:val="center"/>
          </w:tcPr>
          <w:p>
            <w:pPr>
              <w:spacing w:line="480" w:lineRule="exact"/>
              <w:jc w:val="center"/>
              <w:rPr>
                <w:rFonts w:hint="eastAsia" w:ascii="宋体" w:hAnsi="宋体" w:eastAsia="宋体" w:cs="宋体"/>
                <w:color w:val="auto"/>
                <w:sz w:val="22"/>
                <w:szCs w:val="22"/>
                <w:highlight w:val="none"/>
              </w:rPr>
            </w:pP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tcPr>
          <w:p>
            <w:pPr>
              <w:spacing w:line="48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3703" w:type="dxa"/>
            <w:gridSpan w:val="4"/>
            <w:vMerge w:val="continue"/>
          </w:tcPr>
          <w:p>
            <w:pPr>
              <w:spacing w:line="480" w:lineRule="exact"/>
              <w:rPr>
                <w:rFonts w:hint="eastAsia" w:ascii="宋体" w:hAnsi="宋体" w:eastAsia="宋体" w:cs="宋体"/>
                <w:color w:val="auto"/>
                <w:sz w:val="22"/>
                <w:szCs w:val="22"/>
                <w:highlight w:val="none"/>
              </w:rPr>
            </w:pP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vAlign w:val="center"/>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728" w:type="dxa"/>
            <w:vMerge w:val="continue"/>
          </w:tcPr>
          <w:p>
            <w:pPr>
              <w:spacing w:line="480" w:lineRule="exact"/>
              <w:rPr>
                <w:rFonts w:hint="eastAsia" w:ascii="宋体" w:hAnsi="宋体" w:eastAsia="宋体" w:cs="宋体"/>
                <w:color w:val="auto"/>
                <w:sz w:val="22"/>
                <w:szCs w:val="22"/>
                <w:highlight w:val="none"/>
              </w:rPr>
            </w:pP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lang w:val="zh-CN" w:eastAsia="zh-CN"/>
        </w:rPr>
        <w:t>偏离表（</w:t>
      </w:r>
      <w:r>
        <w:rPr>
          <w:rFonts w:hint="eastAsia" w:ascii="宋体" w:hAnsi="宋体" w:eastAsia="宋体" w:cs="宋体"/>
          <w:b/>
          <w:bCs/>
          <w:color w:val="auto"/>
          <w:sz w:val="28"/>
          <w:szCs w:val="28"/>
          <w:highlight w:val="none"/>
          <w:lang w:val="en-US" w:eastAsia="zh-CN"/>
        </w:rPr>
        <w:t>商务、技术偏离</w:t>
      </w:r>
      <w:r>
        <w:rPr>
          <w:rFonts w:hint="eastAsia" w:ascii="宋体" w:hAnsi="宋体" w:eastAsia="宋体" w:cs="宋体"/>
          <w:b/>
          <w:bCs/>
          <w:color w:val="auto"/>
          <w:sz w:val="28"/>
          <w:szCs w:val="28"/>
          <w:highlight w:val="none"/>
          <w:lang w:val="zh-CN" w:eastAsia="zh-CN"/>
        </w:rPr>
        <w:t>）</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3687"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招标文件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3402"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1580"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bookmarkStart w:id="40" w:name="_Toc415152386"/>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zh-CN" w:eastAsia="zh-CN"/>
        </w:rPr>
        <w:t>4、投标人情况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新宋体" w:hAnsi="新宋体" w:eastAsia="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31"/>
        <w:spacing w:line="400" w:lineRule="atLeast"/>
        <w:rPr>
          <w:rFonts w:ascii="新宋体" w:hAnsi="新宋体" w:eastAsia="新宋体"/>
          <w:color w:val="auto"/>
          <w:sz w:val="22"/>
          <w:szCs w:val="22"/>
          <w:highlight w:val="none"/>
        </w:rPr>
      </w:pP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60" w:lineRule="exact"/>
        <w:ind w:firstLine="5060" w:firstLineChars="2300"/>
        <w:rPr>
          <w:rFonts w:ascii="新宋体" w:hAnsi="新宋体" w:eastAsia="新宋体"/>
          <w:color w:val="auto"/>
          <w:sz w:val="22"/>
          <w:szCs w:val="22"/>
          <w:highlight w:val="none"/>
        </w:rPr>
      </w:pPr>
      <w:r>
        <w:rPr>
          <w:rFonts w:hint="eastAsia" w:ascii="宋体" w:hAnsi="宋体" w:eastAsia="宋体" w:cs="宋体"/>
          <w:color w:val="auto"/>
          <w:kern w:val="0"/>
          <w:sz w:val="22"/>
          <w:szCs w:val="22"/>
          <w:highlight w:val="none"/>
        </w:rPr>
        <w:t>法定代表人或其授权代表（签字或盖章）</w:t>
      </w:r>
      <w:r>
        <w:rPr>
          <w:rFonts w:hint="eastAsia" w:ascii="新宋体" w:hAnsi="新宋体" w:eastAsia="新宋体"/>
          <w:color w:val="auto"/>
          <w:sz w:val="22"/>
          <w:szCs w:val="22"/>
          <w:highlight w:val="none"/>
        </w:rPr>
        <w:t>：</w:t>
      </w: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460" w:lineRule="exact"/>
        <w:ind w:firstLine="5060" w:firstLineChars="2300"/>
        <w:rPr>
          <w:rFonts w:ascii="新宋体" w:hAnsi="新宋体" w:eastAsia="新宋体"/>
          <w:color w:val="auto"/>
          <w:sz w:val="22"/>
          <w:szCs w:val="22"/>
          <w:highlight w:val="none"/>
        </w:rPr>
      </w:pPr>
    </w:p>
    <w:p>
      <w:pPr>
        <w:spacing w:line="460" w:lineRule="exact"/>
        <w:ind w:firstLine="5060" w:firstLineChars="2300"/>
        <w:rPr>
          <w:rFonts w:ascii="新宋体" w:hAnsi="新宋体" w:eastAsia="新宋体"/>
          <w:color w:val="auto"/>
          <w:sz w:val="22"/>
          <w:szCs w:val="22"/>
          <w:highlight w:val="none"/>
        </w:rPr>
      </w:pPr>
    </w:p>
    <w:p>
      <w:pP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zh-CN" w:eastAsia="zh-CN"/>
        </w:rPr>
        <w:t>5、疗休养活动方案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新宋体" w:hAnsi="新宋体" w:eastAsia="宋体" w:cs="新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spacing w:line="400" w:lineRule="exact"/>
        <w:ind w:firstLine="4620" w:firstLineChars="2100"/>
        <w:rPr>
          <w:rFonts w:ascii="新宋体" w:hAnsi="新宋体" w:eastAsia="新宋体" w:cs="新宋体"/>
          <w:color w:val="auto"/>
          <w:sz w:val="22"/>
          <w:szCs w:val="22"/>
          <w:highlight w:val="none"/>
        </w:rPr>
      </w:pPr>
    </w:p>
    <w:p>
      <w:pPr>
        <w:spacing w:line="360" w:lineRule="auto"/>
        <w:ind w:firstLine="5280" w:firstLineChars="24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宋体" w:hAnsi="宋体" w:eastAsia="宋体" w:cs="宋体"/>
          <w:color w:val="auto"/>
          <w:kern w:val="0"/>
          <w:sz w:val="22"/>
          <w:szCs w:val="22"/>
          <w:highlight w:val="none"/>
        </w:rPr>
        <w:t>法定代表人或其授权代表（签字或盖章）</w:t>
      </w:r>
      <w:r>
        <w:rPr>
          <w:rFonts w:hint="eastAsia" w:ascii="新宋体" w:hAnsi="新宋体" w:eastAsia="新宋体" w:cs="新宋体"/>
          <w:color w:val="auto"/>
          <w:sz w:val="22"/>
          <w:szCs w:val="22"/>
          <w:highlight w:val="none"/>
        </w:rPr>
        <w:t>：</w:t>
      </w:r>
    </w:p>
    <w:p>
      <w:pPr>
        <w:spacing w:line="360" w:lineRule="auto"/>
        <w:rPr>
          <w:rFonts w:hint="eastAsia" w:ascii="宋体" w:hAnsi="宋体" w:eastAsia="宋体" w:cs="宋体"/>
          <w:b/>
          <w:bCs/>
          <w:color w:val="auto"/>
          <w:sz w:val="28"/>
          <w:szCs w:val="28"/>
          <w:highlight w:val="none"/>
          <w:lang w:val="en-US" w:eastAsia="zh-CN"/>
        </w:rPr>
      </w:pPr>
      <w:r>
        <w:rPr>
          <w:rFonts w:hint="eastAsia" w:ascii="新宋体" w:hAnsi="新宋体" w:eastAsia="新宋体" w:cs="新宋体"/>
          <w:color w:val="auto"/>
          <w:sz w:val="22"/>
          <w:szCs w:val="22"/>
          <w:highlight w:val="none"/>
        </w:rPr>
        <w:t xml:space="preserve">                                                日    期：</w:t>
      </w: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6、</w:t>
      </w:r>
      <w:bookmarkEnd w:id="40"/>
      <w:r>
        <w:rPr>
          <w:rFonts w:hint="eastAsia" w:ascii="宋体" w:hAnsi="宋体" w:eastAsia="宋体" w:cs="宋体"/>
          <w:b/>
          <w:bCs/>
          <w:color w:val="auto"/>
          <w:sz w:val="28"/>
          <w:szCs w:val="28"/>
          <w:highlight w:val="none"/>
          <w:lang w:val="en-US" w:eastAsia="zh-CN"/>
        </w:rPr>
        <w:t>投入本项目人员</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31"/>
        <w:spacing w:line="400" w:lineRule="atLeast"/>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7</w:t>
      </w:r>
      <w:r>
        <w:rPr>
          <w:rFonts w:hint="eastAsia" w:ascii="宋体" w:hAnsi="宋体" w:eastAsia="宋体" w:cs="宋体"/>
          <w:b/>
          <w:bCs/>
          <w:color w:val="auto"/>
          <w:sz w:val="28"/>
          <w:szCs w:val="28"/>
          <w:highlight w:val="none"/>
          <w:lang w:val="en-US" w:eastAsia="zh-CN"/>
        </w:rPr>
        <w:t>、组织实施能力、投诉处理、服务响应时间承诺等方案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00" w:lineRule="exact"/>
        <w:ind w:firstLine="4620" w:firstLineChars="2100"/>
        <w:rPr>
          <w:rFonts w:hint="eastAsia" w:ascii="宋体" w:hAnsi="宋体" w:eastAsia="宋体" w:cs="宋体"/>
          <w:color w:val="auto"/>
          <w:sz w:val="22"/>
          <w:szCs w:val="22"/>
          <w:highlight w:val="none"/>
        </w:rPr>
      </w:pPr>
    </w:p>
    <w:p>
      <w:pPr>
        <w:spacing w:line="360" w:lineRule="auto"/>
        <w:ind w:firstLine="5280" w:firstLineChars="24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spacing w:line="460" w:lineRule="exact"/>
        <w:ind w:firstLine="5060" w:firstLineChars="2300"/>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spacing w:line="400" w:lineRule="exact"/>
        <w:jc w:val="center"/>
        <w:outlineLvl w:val="3"/>
        <w:rPr>
          <w:rFonts w:hint="eastAsia" w:ascii="宋体" w:hAnsi="宋体" w:eastAsia="宋体" w:cs="宋体"/>
          <w:b/>
          <w:color w:val="auto"/>
          <w:sz w:val="24"/>
          <w:highlight w:val="none"/>
          <w:lang w:val="zh-CN"/>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、保险承诺、应急预案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pStyle w:val="31"/>
        <w:spacing w:line="400" w:lineRule="atLeast"/>
        <w:rPr>
          <w:rFonts w:hint="eastAsia" w:ascii="宋体" w:hAnsi="宋体" w:eastAsia="宋体" w:cs="宋体"/>
          <w:color w:val="auto"/>
          <w:sz w:val="22"/>
          <w:highlight w:val="none"/>
        </w:rPr>
      </w:pPr>
    </w:p>
    <w:p>
      <w:pPr>
        <w:pStyle w:val="31"/>
        <w:spacing w:line="460" w:lineRule="atLeast"/>
        <w:ind w:left="657" w:leftChars="313" w:firstLine="3960" w:firstLineChars="18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投标人名称（盖章）：</w:t>
      </w:r>
    </w:p>
    <w:p>
      <w:pPr>
        <w:pStyle w:val="31"/>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法定代表人或其授权代表（签字或盖章）：   </w:t>
      </w:r>
    </w:p>
    <w:p>
      <w:pPr>
        <w:pStyle w:val="31"/>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日   期： </w:t>
      </w:r>
    </w:p>
    <w:p>
      <w:pPr>
        <w:jc w:val="both"/>
        <w:rPr>
          <w:rFonts w:hint="eastAsia" w:ascii="宋体" w:hAnsi="宋体" w:eastAsia="宋体" w:cs="宋体"/>
          <w:b/>
          <w:bCs/>
          <w:color w:val="auto"/>
          <w:sz w:val="22"/>
          <w:szCs w:val="22"/>
          <w:highlight w:val="none"/>
        </w:rPr>
      </w:pPr>
    </w:p>
    <w:p>
      <w:pPr>
        <w:pStyle w:val="10"/>
        <w:rPr>
          <w:rFonts w:hint="eastAsia" w:ascii="宋体" w:hAnsi="宋体" w:eastAsia="宋体" w:cs="宋体"/>
          <w:bCs/>
          <w:color w:val="auto"/>
          <w:sz w:val="22"/>
          <w:szCs w:val="22"/>
          <w:highlight w:val="none"/>
        </w:rPr>
      </w:pPr>
    </w:p>
    <w:p>
      <w:pPr>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3"/>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9</w:t>
      </w:r>
      <w:r>
        <w:rPr>
          <w:rFonts w:hint="eastAsia" w:ascii="宋体" w:hAnsi="宋体" w:eastAsia="宋体" w:cs="宋体"/>
          <w:b/>
          <w:bCs/>
          <w:color w:val="auto"/>
          <w:sz w:val="28"/>
          <w:szCs w:val="28"/>
          <w:highlight w:val="none"/>
          <w:lang w:val="en-US" w:eastAsia="zh-CN"/>
        </w:rPr>
        <w:t>、增值服务及优惠承诺方案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WZLCZB（W）-2024-04083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2024年职工疗休养服务</w:t>
      </w:r>
    </w:p>
    <w:tbl>
      <w:tblPr>
        <w:tblStyle w:val="5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法定代表人或其授权代表（签字或盖章）</w:t>
      </w:r>
      <w:r>
        <w:rPr>
          <w:rFonts w:hint="eastAsia" w:ascii="宋体" w:hAnsi="宋体" w:eastAsia="宋体" w:cs="宋体"/>
          <w:color w:val="auto"/>
          <w:sz w:val="22"/>
          <w:szCs w:val="22"/>
          <w:highlight w:val="none"/>
        </w:rPr>
        <w:t>：</w:t>
      </w:r>
    </w:p>
    <w:p>
      <w:pPr>
        <w:spacing w:line="460" w:lineRule="exact"/>
        <w:ind w:firstLine="4400" w:firstLineChars="2000"/>
        <w:rPr>
          <w:rFonts w:hint="eastAsia" w:ascii="宋体" w:hAnsi="宋体" w:eastAsia="宋体" w:cs="宋体"/>
          <w:b/>
          <w:color w:val="auto"/>
          <w:sz w:val="36"/>
          <w:szCs w:val="36"/>
          <w:highlight w:val="none"/>
        </w:rPr>
      </w:pPr>
      <w:r>
        <w:rPr>
          <w:rFonts w:hint="eastAsia" w:ascii="宋体" w:hAnsi="宋体" w:eastAsia="宋体" w:cs="宋体"/>
          <w:color w:val="auto"/>
          <w:sz w:val="22"/>
          <w:szCs w:val="22"/>
          <w:highlight w:val="none"/>
        </w:rPr>
        <w:t xml:space="preserve">日  期：   </w:t>
      </w:r>
    </w:p>
    <w:p>
      <w:pPr>
        <w:spacing w:line="380" w:lineRule="exact"/>
        <w:rPr>
          <w:rFonts w:hint="eastAsia" w:ascii="宋体" w:hAnsi="宋体" w:eastAsia="宋体" w:cs="宋体"/>
          <w:b/>
          <w:color w:val="auto"/>
          <w:sz w:val="36"/>
          <w:szCs w:val="36"/>
          <w:highlight w:val="none"/>
        </w:rPr>
      </w:pPr>
    </w:p>
    <w:p>
      <w:pPr>
        <w:spacing w:line="380" w:lineRule="exact"/>
        <w:rPr>
          <w:rFonts w:hint="eastAsia" w:ascii="宋体" w:hAnsi="宋体" w:eastAsia="宋体" w:cs="宋体"/>
          <w:b/>
          <w:color w:val="auto"/>
          <w:sz w:val="36"/>
          <w:szCs w:val="36"/>
          <w:highlight w:val="none"/>
        </w:rPr>
      </w:pPr>
    </w:p>
    <w:p>
      <w:pPr>
        <w:spacing w:line="380" w:lineRule="exact"/>
        <w:rPr>
          <w:rFonts w:hint="eastAsia" w:ascii="宋体" w:hAnsi="宋体" w:eastAsia="宋体" w:cs="宋体"/>
          <w:color w:val="auto"/>
          <w:sz w:val="22"/>
          <w:szCs w:val="22"/>
          <w:highlight w:val="none"/>
        </w:rPr>
      </w:pPr>
    </w:p>
    <w:p>
      <w:pPr>
        <w:pStyle w:val="4"/>
        <w:numPr>
          <w:ilvl w:val="0"/>
          <w:numId w:val="4"/>
        </w:numPr>
        <w:bidi w:val="0"/>
        <w:rPr>
          <w:rFonts w:hint="eastAsia" w:ascii="宋体" w:hAnsi="宋体" w:eastAsia="宋体" w:cs="宋体"/>
          <w:b/>
          <w:color w:val="auto"/>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 xml:space="preserve"> </w:t>
      </w:r>
      <w:bookmarkStart w:id="41" w:name="_Toc10142"/>
      <w:bookmarkStart w:id="42" w:name="_Toc3381"/>
      <w:bookmarkStart w:id="43" w:name="_Toc221356895"/>
      <w:bookmarkStart w:id="44" w:name="_Toc221356958"/>
      <w:r>
        <w:rPr>
          <w:rFonts w:hint="eastAsia" w:ascii="宋体" w:hAnsi="宋体" w:eastAsia="宋体" w:cs="宋体"/>
          <w:highlight w:val="none"/>
        </w:rPr>
        <w:t>项目技术规范和服务要求</w:t>
      </w:r>
      <w:bookmarkEnd w:id="41"/>
      <w:bookmarkEnd w:id="42"/>
    </w:p>
    <w:bookmarkEnd w:id="43"/>
    <w:bookmarkEnd w:id="44"/>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
          <w:bCs/>
          <w:color w:val="auto"/>
          <w:sz w:val="22"/>
          <w:szCs w:val="22"/>
          <w:highlight w:val="none"/>
        </w:rPr>
      </w:pPr>
      <w:bookmarkStart w:id="45" w:name="_Toc497300733"/>
      <w:bookmarkStart w:id="46" w:name="_Toc497300664"/>
      <w:bookmarkStart w:id="47" w:name="_Toc23050562"/>
      <w:bookmarkStart w:id="48" w:name="_Toc498186820"/>
      <w:bookmarkStart w:id="49" w:name="_Toc497307615"/>
      <w:bookmarkStart w:id="50" w:name="_Toc441051461"/>
      <w:bookmarkStart w:id="51" w:name="_Toc498186719"/>
      <w:bookmarkStart w:id="52" w:name="_Toc495660084"/>
      <w:bookmarkStart w:id="53" w:name="_Toc23050423"/>
      <w:bookmarkStart w:id="54" w:name="_Toc282690445"/>
      <w:bookmarkStart w:id="55" w:name="_Toc40266002"/>
      <w:bookmarkStart w:id="56" w:name="_Toc496101575"/>
      <w:bookmarkStart w:id="57" w:name="_Toc40594931"/>
      <w:bookmarkStart w:id="58" w:name="_Toc496101312"/>
      <w:bookmarkStart w:id="59" w:name="_Toc201920298"/>
      <w:bookmarkStart w:id="60" w:name="_Toc23050833"/>
      <w:bookmarkStart w:id="61" w:name="_Toc495651839"/>
      <w:bookmarkStart w:id="62" w:name="_Toc496256263"/>
      <w:bookmarkStart w:id="63" w:name="_Toc23050625"/>
      <w:bookmarkStart w:id="64" w:name="_Toc498199476"/>
      <w:bookmarkStart w:id="65" w:name="_Toc51996430"/>
      <w:bookmarkStart w:id="66" w:name="_Toc496257825"/>
      <w:r>
        <w:rPr>
          <w:rStyle w:val="342"/>
          <w:rFonts w:hint="eastAsia" w:ascii="宋体" w:hAnsi="宋体" w:eastAsia="宋体" w:cs="宋体"/>
          <w:b/>
          <w:bCs/>
          <w:color w:val="auto"/>
          <w:sz w:val="22"/>
          <w:szCs w:val="22"/>
          <w:highlight w:val="none"/>
        </w:rPr>
        <w:t>一、采购内容</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
          <w:bCs/>
          <w:color w:val="auto"/>
          <w:sz w:val="22"/>
          <w:szCs w:val="22"/>
          <w:highlight w:val="none"/>
        </w:rPr>
      </w:pPr>
      <w:r>
        <w:rPr>
          <w:rStyle w:val="342"/>
          <w:rFonts w:hint="eastAsia" w:ascii="宋体" w:hAnsi="宋体" w:eastAsia="宋体" w:cs="宋体"/>
          <w:bCs/>
          <w:color w:val="auto"/>
          <w:sz w:val="22"/>
          <w:szCs w:val="22"/>
          <w:highlight w:val="none"/>
        </w:rPr>
        <w:t>采购人单位组织疗休养约</w:t>
      </w:r>
      <w:r>
        <w:rPr>
          <w:rStyle w:val="342"/>
          <w:rFonts w:hint="eastAsia" w:ascii="宋体" w:hAnsi="宋体" w:cs="宋体"/>
          <w:bCs/>
          <w:color w:val="auto"/>
          <w:sz w:val="22"/>
          <w:szCs w:val="22"/>
          <w:highlight w:val="none"/>
          <w:lang w:val="en-US" w:eastAsia="zh-CN"/>
        </w:rPr>
        <w:t>330</w:t>
      </w:r>
      <w:r>
        <w:rPr>
          <w:rStyle w:val="342"/>
          <w:rFonts w:hint="eastAsia" w:ascii="宋体" w:hAnsi="宋体" w:eastAsia="宋体" w:cs="宋体"/>
          <w:bCs/>
          <w:color w:val="auto"/>
          <w:sz w:val="22"/>
          <w:szCs w:val="22"/>
          <w:highlight w:val="none"/>
        </w:rPr>
        <w:t>人（</w:t>
      </w:r>
      <w:r>
        <w:rPr>
          <w:rStyle w:val="342"/>
          <w:rFonts w:hint="eastAsia" w:ascii="宋体" w:hAnsi="宋体" w:eastAsia="宋体" w:cs="宋体"/>
          <w:color w:val="auto"/>
          <w:sz w:val="22"/>
          <w:szCs w:val="22"/>
          <w:highlight w:val="none"/>
        </w:rPr>
        <w:t>采购人保留调整出行人数的权利，结算人数按实际</w:t>
      </w:r>
      <w:r>
        <w:rPr>
          <w:rStyle w:val="342"/>
          <w:rFonts w:hint="eastAsia" w:ascii="宋体" w:hAnsi="宋体" w:eastAsia="宋体" w:cs="宋体"/>
          <w:bCs/>
          <w:color w:val="auto"/>
          <w:sz w:val="22"/>
          <w:szCs w:val="22"/>
          <w:highlight w:val="none"/>
        </w:rPr>
        <w:t>出行人数计算，供应商参加投标时应充分考虑采购人调整出行人数的风险），</w:t>
      </w:r>
      <w:r>
        <w:rPr>
          <w:rStyle w:val="342"/>
          <w:rFonts w:hint="eastAsia" w:ascii="宋体" w:hAnsi="宋体" w:eastAsia="宋体" w:cs="宋体"/>
          <w:bCs/>
          <w:color w:val="auto"/>
          <w:sz w:val="22"/>
          <w:szCs w:val="22"/>
          <w:highlight w:val="none"/>
          <w:lang w:eastAsia="zh-CN"/>
        </w:rPr>
        <w:t>投标人</w:t>
      </w:r>
      <w:r>
        <w:rPr>
          <w:rStyle w:val="342"/>
          <w:rFonts w:hint="eastAsia" w:ascii="宋体" w:hAnsi="宋体" w:eastAsia="宋体" w:cs="宋体"/>
          <w:bCs/>
          <w:color w:val="auto"/>
          <w:sz w:val="22"/>
          <w:szCs w:val="22"/>
          <w:highlight w:val="none"/>
        </w:rPr>
        <w:t>负责组织安排采购人的疗休养等活动，包括整个活动期间的食、宿、行等全部服务内容。疗休养</w:t>
      </w:r>
      <w:r>
        <w:rPr>
          <w:rStyle w:val="342"/>
          <w:rFonts w:hint="eastAsia" w:ascii="宋体" w:hAnsi="宋体" w:eastAsia="宋体" w:cs="宋体"/>
          <w:bCs/>
          <w:color w:val="auto"/>
          <w:kern w:val="0"/>
          <w:sz w:val="22"/>
          <w:szCs w:val="22"/>
          <w:highlight w:val="none"/>
        </w:rPr>
        <w:t>批次、目的地、时间等由</w:t>
      </w:r>
      <w:r>
        <w:rPr>
          <w:rStyle w:val="342"/>
          <w:rFonts w:hint="eastAsia" w:ascii="宋体" w:hAnsi="宋体" w:eastAsia="宋体" w:cs="宋体"/>
          <w:bCs/>
          <w:color w:val="auto"/>
          <w:sz w:val="22"/>
          <w:szCs w:val="22"/>
          <w:highlight w:val="none"/>
        </w:rPr>
        <w:t>采购人提出需求</w:t>
      </w:r>
      <w:r>
        <w:rPr>
          <w:rStyle w:val="342"/>
          <w:rFonts w:hint="eastAsia" w:ascii="宋体" w:hAnsi="宋体" w:eastAsia="宋体" w:cs="宋体"/>
          <w:bCs/>
          <w:color w:val="auto"/>
          <w:kern w:val="0"/>
          <w:sz w:val="22"/>
          <w:szCs w:val="22"/>
          <w:highlight w:val="none"/>
        </w:rPr>
        <w:t>，</w:t>
      </w:r>
      <w:r>
        <w:rPr>
          <w:rStyle w:val="342"/>
          <w:rFonts w:hint="eastAsia" w:ascii="宋体" w:hAnsi="宋体" w:eastAsia="宋体" w:cs="宋体"/>
          <w:bCs/>
          <w:color w:val="auto"/>
          <w:sz w:val="22"/>
          <w:szCs w:val="22"/>
          <w:highlight w:val="none"/>
          <w:lang w:eastAsia="zh-CN"/>
        </w:rPr>
        <w:t>投标人</w:t>
      </w:r>
      <w:r>
        <w:rPr>
          <w:rStyle w:val="342"/>
          <w:rFonts w:hint="eastAsia" w:ascii="宋体" w:hAnsi="宋体" w:eastAsia="宋体" w:cs="宋体"/>
          <w:bCs/>
          <w:color w:val="auto"/>
          <w:kern w:val="0"/>
          <w:sz w:val="22"/>
          <w:szCs w:val="22"/>
          <w:highlight w:val="none"/>
        </w:rPr>
        <w:t>按现行有关规定提出疗休养线路方案，经双方确认后实施。</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本采购项目计划：拟线路具体如下：</w:t>
      </w:r>
    </w:p>
    <w:tbl>
      <w:tblPr>
        <w:tblStyle w:val="53"/>
        <w:tblW w:w="977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951"/>
        <w:gridCol w:w="4267"/>
        <w:gridCol w:w="130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标项</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标项名称</w:t>
            </w:r>
          </w:p>
        </w:tc>
        <w:tc>
          <w:tcPr>
            <w:tcW w:w="4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bCs/>
                <w:color w:val="auto"/>
                <w:kern w:val="0"/>
                <w:sz w:val="22"/>
                <w:szCs w:val="22"/>
                <w:highlight w:val="none"/>
              </w:rPr>
            </w:pPr>
            <w:r>
              <w:rPr>
                <w:rStyle w:val="342"/>
                <w:rFonts w:hint="eastAsia" w:ascii="宋体" w:hAnsi="宋体" w:eastAsia="宋体" w:cs="宋体"/>
                <w:bCs/>
                <w:color w:val="auto"/>
                <w:kern w:val="0"/>
                <w:sz w:val="22"/>
                <w:szCs w:val="22"/>
                <w:highlight w:val="none"/>
              </w:rPr>
              <w:t>路线</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预计人数</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zh-CN" w:eastAsia="zh-CN"/>
              </w:rPr>
              <w:t>202</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zh-CN" w:eastAsia="zh-CN"/>
              </w:rPr>
              <w:t>年职工疗休养服务</w:t>
            </w:r>
            <w:r>
              <w:rPr>
                <w:rFonts w:hint="eastAsia" w:ascii="宋体" w:hAnsi="宋体" w:eastAsia="宋体" w:cs="宋体"/>
                <w:color w:val="auto"/>
                <w:sz w:val="22"/>
                <w:szCs w:val="22"/>
                <w:highlight w:val="none"/>
                <w:lang w:val="zh-CN"/>
              </w:rPr>
              <w:t>标项</w:t>
            </w:r>
            <w:r>
              <w:rPr>
                <w:rFonts w:hint="eastAsia" w:ascii="宋体" w:hAnsi="宋体" w:eastAsia="宋体" w:cs="宋体"/>
                <w:color w:val="auto"/>
                <w:sz w:val="22"/>
                <w:szCs w:val="22"/>
                <w:highlight w:val="none"/>
                <w:lang w:val="en-US" w:eastAsia="zh-CN"/>
              </w:rPr>
              <w:t>1</w:t>
            </w:r>
          </w:p>
        </w:tc>
        <w:tc>
          <w:tcPr>
            <w:tcW w:w="4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val="en-US" w:eastAsia="zh-CN"/>
              </w:rPr>
            </w:pPr>
            <w:r>
              <w:rPr>
                <w:rStyle w:val="342"/>
                <w:rFonts w:hint="eastAsia" w:ascii="宋体" w:hAnsi="宋体" w:eastAsia="宋体" w:cs="宋体"/>
                <w:color w:val="auto"/>
                <w:kern w:val="0"/>
                <w:sz w:val="22"/>
                <w:szCs w:val="22"/>
                <w:highlight w:val="none"/>
                <w:lang w:val="en-US" w:eastAsia="zh-CN"/>
              </w:rPr>
              <w:t>一、对口支援路线：</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eastAsia="zh-CN"/>
              </w:rPr>
            </w:pPr>
            <w:r>
              <w:rPr>
                <w:rStyle w:val="342"/>
                <w:rFonts w:hint="eastAsia" w:ascii="宋体" w:hAnsi="宋体" w:eastAsia="宋体" w:cs="宋体"/>
                <w:color w:val="auto"/>
                <w:kern w:val="0"/>
                <w:sz w:val="22"/>
                <w:szCs w:val="22"/>
                <w:highlight w:val="none"/>
                <w:lang w:val="en-US" w:eastAsia="zh-CN"/>
              </w:rPr>
              <w:t>1.</w:t>
            </w:r>
            <w:r>
              <w:rPr>
                <w:rStyle w:val="342"/>
                <w:rFonts w:hint="eastAsia" w:ascii="宋体" w:hAnsi="宋体" w:eastAsia="宋体" w:cs="宋体"/>
                <w:color w:val="auto"/>
                <w:kern w:val="0"/>
                <w:sz w:val="22"/>
                <w:szCs w:val="22"/>
                <w:highlight w:val="none"/>
                <w:lang w:eastAsia="zh-CN"/>
              </w:rPr>
              <w:t>重庆涪陵双飞6日</w:t>
            </w:r>
            <w:r>
              <w:rPr>
                <w:rStyle w:val="342"/>
                <w:rFonts w:hint="eastAsia" w:ascii="宋体" w:hAnsi="宋体" w:eastAsia="宋体" w:cs="宋体"/>
                <w:color w:val="auto"/>
                <w:kern w:val="0"/>
                <w:sz w:val="22"/>
                <w:szCs w:val="22"/>
                <w:highlight w:val="none"/>
              </w:rPr>
              <w:t>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eastAsia="zh-CN"/>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rPr>
              <w:t>西藏双飞</w:t>
            </w:r>
            <w:r>
              <w:rPr>
                <w:rStyle w:val="342"/>
                <w:rFonts w:hint="eastAsia" w:ascii="宋体" w:hAnsi="宋体" w:eastAsia="宋体" w:cs="宋体"/>
                <w:color w:val="auto"/>
                <w:kern w:val="0"/>
                <w:sz w:val="22"/>
                <w:szCs w:val="22"/>
                <w:highlight w:val="none"/>
                <w:lang w:eastAsia="zh-CN"/>
              </w:rPr>
              <w:t>7日</w:t>
            </w:r>
            <w:r>
              <w:rPr>
                <w:rStyle w:val="342"/>
                <w:rFonts w:hint="eastAsia" w:ascii="宋体" w:hAnsi="宋体" w:eastAsia="宋体" w:cs="宋体"/>
                <w:color w:val="auto"/>
                <w:kern w:val="0"/>
                <w:sz w:val="22"/>
                <w:szCs w:val="22"/>
                <w:highlight w:val="none"/>
              </w:rPr>
              <w:t>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四川阿坝双飞6日游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二、邻省</w:t>
            </w:r>
            <w:r>
              <w:rPr>
                <w:rStyle w:val="342"/>
                <w:rFonts w:hint="eastAsia" w:ascii="宋体" w:hAnsi="宋体" w:eastAsia="宋体" w:cs="宋体"/>
                <w:color w:val="auto"/>
                <w:kern w:val="0"/>
                <w:sz w:val="22"/>
                <w:szCs w:val="22"/>
                <w:highlight w:val="none"/>
              </w:rPr>
              <w:t>线路：</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1.福建5日游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rPr>
              <w:t>.江西5日游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三、</w:t>
            </w:r>
            <w:r>
              <w:rPr>
                <w:rStyle w:val="342"/>
                <w:rFonts w:hint="eastAsia" w:ascii="宋体" w:hAnsi="宋体" w:eastAsia="宋体" w:cs="宋体"/>
                <w:color w:val="auto"/>
                <w:kern w:val="0"/>
                <w:sz w:val="22"/>
                <w:szCs w:val="22"/>
                <w:highlight w:val="none"/>
              </w:rPr>
              <w:t>省内路线：</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1.湖州5日游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2.</w:t>
            </w:r>
            <w:r>
              <w:rPr>
                <w:rStyle w:val="342"/>
                <w:rFonts w:hint="eastAsia" w:ascii="宋体" w:hAnsi="宋体" w:eastAsia="宋体" w:cs="宋体"/>
                <w:color w:val="auto"/>
                <w:kern w:val="0"/>
                <w:sz w:val="22"/>
                <w:szCs w:val="22"/>
                <w:highlight w:val="none"/>
                <w:lang w:val="en-US" w:eastAsia="zh-CN"/>
              </w:rPr>
              <w:t>杭州</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.嘉兴5日游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4</w:t>
            </w:r>
            <w:r>
              <w:rPr>
                <w:rStyle w:val="342"/>
                <w:rFonts w:hint="eastAsia" w:ascii="宋体" w:hAnsi="宋体" w:eastAsia="宋体" w:cs="宋体"/>
                <w:color w:val="auto"/>
                <w:kern w:val="0"/>
                <w:sz w:val="22"/>
                <w:szCs w:val="22"/>
                <w:highlight w:val="none"/>
              </w:rPr>
              <w:t>.宁波5日游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val="en-US" w:eastAsia="zh-CN"/>
              </w:rPr>
            </w:pP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舟山</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（行程可安排同一市区内，也可在标段范围内的不同市区穿连安排）</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四、</w:t>
            </w:r>
            <w:r>
              <w:rPr>
                <w:rStyle w:val="342"/>
                <w:rFonts w:hint="eastAsia" w:ascii="宋体" w:hAnsi="宋体" w:eastAsia="宋体" w:cs="宋体"/>
                <w:color w:val="auto"/>
                <w:kern w:val="0"/>
                <w:sz w:val="22"/>
                <w:szCs w:val="22"/>
                <w:highlight w:val="none"/>
              </w:rPr>
              <w:t>温州市域内5日游</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约</w:t>
            </w:r>
            <w:r>
              <w:rPr>
                <w:rStyle w:val="342"/>
                <w:rFonts w:hint="eastAsia" w:ascii="宋体" w:hAnsi="宋体" w:cs="宋体"/>
                <w:bCs/>
                <w:color w:val="auto"/>
                <w:sz w:val="22"/>
                <w:szCs w:val="22"/>
                <w:highlight w:val="none"/>
                <w:lang w:val="en-US" w:eastAsia="zh-CN"/>
              </w:rPr>
              <w:t>165</w:t>
            </w:r>
            <w:r>
              <w:rPr>
                <w:rStyle w:val="342"/>
                <w:rFonts w:hint="eastAsia" w:ascii="宋体" w:hAnsi="宋体" w:eastAsia="宋体" w:cs="宋体"/>
                <w:bCs/>
                <w:color w:val="auto"/>
                <w:sz w:val="22"/>
                <w:szCs w:val="22"/>
                <w:highlight w:val="none"/>
              </w:rPr>
              <w:t>人</w:t>
            </w: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对口支援线路除单位福利费支出3000元外由职工个人补差。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pacing w:line="460" w:lineRule="exact"/>
              <w:jc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zh-CN" w:eastAsia="zh-CN"/>
              </w:rPr>
              <w:t>202</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zh-CN" w:eastAsia="zh-CN"/>
              </w:rPr>
              <w:t>年职工疗休养服务</w:t>
            </w:r>
            <w:r>
              <w:rPr>
                <w:rFonts w:hint="eastAsia" w:ascii="宋体" w:hAnsi="宋体" w:eastAsia="宋体" w:cs="宋体"/>
                <w:color w:val="auto"/>
                <w:sz w:val="22"/>
                <w:szCs w:val="22"/>
                <w:highlight w:val="none"/>
                <w:lang w:val="zh-CN"/>
              </w:rPr>
              <w:t>标项</w:t>
            </w:r>
            <w:r>
              <w:rPr>
                <w:rFonts w:hint="eastAsia" w:ascii="宋体" w:hAnsi="宋体" w:eastAsia="宋体" w:cs="宋体"/>
                <w:color w:val="auto"/>
                <w:sz w:val="22"/>
                <w:szCs w:val="22"/>
                <w:highlight w:val="none"/>
                <w:lang w:val="en-US" w:eastAsia="zh-CN"/>
              </w:rPr>
              <w:t>2</w:t>
            </w:r>
          </w:p>
        </w:tc>
        <w:tc>
          <w:tcPr>
            <w:tcW w:w="4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一、对口支援路线：</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1.</w:t>
            </w:r>
            <w:r>
              <w:rPr>
                <w:rStyle w:val="342"/>
                <w:rFonts w:hint="eastAsia" w:ascii="宋体" w:hAnsi="宋体" w:eastAsia="宋体" w:cs="宋体"/>
                <w:color w:val="auto"/>
                <w:kern w:val="0"/>
                <w:sz w:val="22"/>
                <w:szCs w:val="22"/>
                <w:highlight w:val="none"/>
              </w:rPr>
              <w:t>青海海西州双飞6日游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lang w:eastAsia="zh-CN"/>
              </w:rPr>
              <w:t>新疆拜城</w:t>
            </w:r>
            <w:r>
              <w:rPr>
                <w:rStyle w:val="342"/>
                <w:rFonts w:hint="eastAsia" w:ascii="宋体" w:hAnsi="宋体" w:eastAsia="宋体" w:cs="宋体"/>
                <w:color w:val="auto"/>
                <w:kern w:val="0"/>
                <w:sz w:val="22"/>
                <w:szCs w:val="22"/>
                <w:highlight w:val="none"/>
              </w:rPr>
              <w:t>三飞</w:t>
            </w:r>
            <w:r>
              <w:rPr>
                <w:rStyle w:val="342"/>
                <w:rFonts w:hint="eastAsia" w:ascii="宋体" w:hAnsi="宋体" w:eastAsia="宋体" w:cs="宋体"/>
                <w:color w:val="auto"/>
                <w:kern w:val="0"/>
                <w:sz w:val="22"/>
                <w:szCs w:val="22"/>
                <w:highlight w:val="none"/>
                <w:lang w:eastAsia="zh-CN"/>
              </w:rPr>
              <w:t>7日</w:t>
            </w:r>
            <w:r>
              <w:rPr>
                <w:rStyle w:val="342"/>
                <w:rFonts w:hint="eastAsia" w:ascii="宋体" w:hAnsi="宋体" w:eastAsia="宋体" w:cs="宋体"/>
                <w:color w:val="auto"/>
                <w:kern w:val="0"/>
                <w:sz w:val="22"/>
                <w:szCs w:val="22"/>
                <w:highlight w:val="none"/>
              </w:rPr>
              <w:t>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val="en-US" w:eastAsia="zh-CN"/>
              </w:rPr>
            </w:pPr>
            <w:r>
              <w:rPr>
                <w:rStyle w:val="342"/>
                <w:rFonts w:hint="eastAsia" w:ascii="宋体" w:hAnsi="宋体" w:eastAsia="宋体" w:cs="宋体"/>
                <w:color w:val="auto"/>
                <w:kern w:val="0"/>
                <w:sz w:val="22"/>
                <w:szCs w:val="22"/>
                <w:highlight w:val="none"/>
                <w:lang w:val="en-US" w:eastAsia="zh-CN"/>
              </w:rPr>
              <w:t>3.吉林长白山</w:t>
            </w:r>
            <w:r>
              <w:rPr>
                <w:rStyle w:val="342"/>
                <w:rFonts w:hint="eastAsia" w:ascii="宋体" w:hAnsi="宋体" w:eastAsia="宋体" w:cs="宋体"/>
                <w:color w:val="auto"/>
                <w:kern w:val="0"/>
                <w:sz w:val="22"/>
                <w:szCs w:val="22"/>
                <w:highlight w:val="none"/>
              </w:rPr>
              <w:t>双飞</w:t>
            </w: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二、邻省</w:t>
            </w:r>
            <w:r>
              <w:rPr>
                <w:rStyle w:val="342"/>
                <w:rFonts w:hint="eastAsia" w:ascii="宋体" w:hAnsi="宋体" w:eastAsia="宋体" w:cs="宋体"/>
                <w:color w:val="auto"/>
                <w:kern w:val="0"/>
                <w:sz w:val="22"/>
                <w:szCs w:val="22"/>
                <w:highlight w:val="none"/>
              </w:rPr>
              <w:t>线路：</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1.</w:t>
            </w:r>
            <w:r>
              <w:rPr>
                <w:rStyle w:val="342"/>
                <w:rFonts w:hint="eastAsia" w:ascii="宋体" w:hAnsi="宋体" w:eastAsia="宋体" w:cs="宋体"/>
                <w:color w:val="auto"/>
                <w:kern w:val="0"/>
                <w:sz w:val="22"/>
                <w:szCs w:val="22"/>
                <w:highlight w:val="none"/>
              </w:rPr>
              <w:t>上海5日游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2.</w:t>
            </w:r>
            <w:r>
              <w:rPr>
                <w:rStyle w:val="342"/>
                <w:rFonts w:hint="eastAsia" w:ascii="宋体" w:hAnsi="宋体" w:eastAsia="宋体" w:cs="宋体"/>
                <w:color w:val="auto"/>
                <w:kern w:val="0"/>
                <w:sz w:val="22"/>
                <w:szCs w:val="22"/>
                <w:highlight w:val="none"/>
              </w:rPr>
              <w:t>安徽5日游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江苏5日游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lang w:eastAsia="zh-CN"/>
              </w:rPr>
            </w:pPr>
            <w:r>
              <w:rPr>
                <w:rStyle w:val="342"/>
                <w:rFonts w:hint="eastAsia" w:ascii="宋体" w:hAnsi="宋体" w:eastAsia="宋体" w:cs="宋体"/>
                <w:color w:val="auto"/>
                <w:kern w:val="0"/>
                <w:sz w:val="22"/>
                <w:szCs w:val="22"/>
                <w:highlight w:val="none"/>
                <w:lang w:val="en-US" w:eastAsia="zh-CN"/>
              </w:rPr>
              <w:t>三、</w:t>
            </w:r>
            <w:r>
              <w:rPr>
                <w:rStyle w:val="342"/>
                <w:rFonts w:hint="eastAsia" w:ascii="宋体" w:hAnsi="宋体" w:eastAsia="宋体" w:cs="宋体"/>
                <w:color w:val="auto"/>
                <w:kern w:val="0"/>
                <w:sz w:val="22"/>
                <w:szCs w:val="22"/>
                <w:highlight w:val="none"/>
              </w:rPr>
              <w:t>省内路线：</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1.衢州5日游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2.绍兴5日游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3</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丽水</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4</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台州</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5</w:t>
            </w:r>
            <w:r>
              <w:rPr>
                <w:rStyle w:val="342"/>
                <w:rFonts w:hint="eastAsia" w:ascii="宋体" w:hAnsi="宋体" w:eastAsia="宋体" w:cs="宋体"/>
                <w:color w:val="auto"/>
                <w:kern w:val="0"/>
                <w:sz w:val="22"/>
                <w:szCs w:val="22"/>
                <w:highlight w:val="none"/>
              </w:rPr>
              <w:t>.</w:t>
            </w:r>
            <w:r>
              <w:rPr>
                <w:rStyle w:val="342"/>
                <w:rFonts w:hint="eastAsia" w:ascii="宋体" w:hAnsi="宋体" w:eastAsia="宋体" w:cs="宋体"/>
                <w:color w:val="auto"/>
                <w:kern w:val="0"/>
                <w:sz w:val="22"/>
                <w:szCs w:val="22"/>
                <w:highlight w:val="none"/>
                <w:lang w:val="en-US" w:eastAsia="zh-CN"/>
              </w:rPr>
              <w:t>金华</w:t>
            </w:r>
            <w:r>
              <w:rPr>
                <w:rStyle w:val="342"/>
                <w:rFonts w:hint="eastAsia" w:ascii="宋体" w:hAnsi="宋体" w:eastAsia="宋体" w:cs="宋体"/>
                <w:color w:val="auto"/>
                <w:kern w:val="0"/>
                <w:sz w:val="22"/>
                <w:szCs w:val="22"/>
                <w:highlight w:val="none"/>
              </w:rPr>
              <w:t>5日游</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（行程可安排同一市区内，也可在标段范围内的不同市区穿连安排）</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lang w:val="en-US" w:eastAsia="zh-CN"/>
              </w:rPr>
              <w:t>四、</w:t>
            </w:r>
            <w:r>
              <w:rPr>
                <w:rStyle w:val="342"/>
                <w:rFonts w:hint="eastAsia" w:ascii="宋体" w:hAnsi="宋体" w:eastAsia="宋体" w:cs="宋体"/>
                <w:color w:val="auto"/>
                <w:kern w:val="0"/>
                <w:sz w:val="22"/>
                <w:szCs w:val="22"/>
                <w:highlight w:val="none"/>
              </w:rPr>
              <w:t>温州市域内5日游</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bCs/>
                <w:color w:val="auto"/>
                <w:sz w:val="22"/>
                <w:szCs w:val="22"/>
                <w:highlight w:val="none"/>
              </w:rPr>
              <w:t>约</w:t>
            </w:r>
            <w:r>
              <w:rPr>
                <w:rStyle w:val="342"/>
                <w:rFonts w:hint="eastAsia" w:ascii="宋体" w:hAnsi="宋体" w:eastAsia="宋体" w:cs="宋体"/>
                <w:bCs/>
                <w:color w:val="auto"/>
                <w:sz w:val="22"/>
                <w:szCs w:val="22"/>
                <w:highlight w:val="none"/>
                <w:lang w:val="en-US" w:eastAsia="zh-CN"/>
              </w:rPr>
              <w:t>165</w:t>
            </w:r>
            <w:r>
              <w:rPr>
                <w:rStyle w:val="342"/>
                <w:rFonts w:hint="eastAsia" w:ascii="宋体" w:hAnsi="宋体" w:eastAsia="宋体" w:cs="宋体"/>
                <w:bCs/>
                <w:color w:val="auto"/>
                <w:sz w:val="22"/>
                <w:szCs w:val="22"/>
                <w:highlight w:val="none"/>
              </w:rPr>
              <w:t>人</w:t>
            </w: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7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说明：</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kern w:val="0"/>
                <w:sz w:val="22"/>
                <w:szCs w:val="22"/>
                <w:highlight w:val="none"/>
              </w:rPr>
              <w:t>1、</w:t>
            </w:r>
            <w:r>
              <w:rPr>
                <w:rStyle w:val="342"/>
                <w:rFonts w:hint="eastAsia" w:ascii="宋体" w:hAnsi="宋体" w:eastAsia="宋体" w:cs="宋体"/>
                <w:bCs/>
                <w:color w:val="auto"/>
                <w:sz w:val="22"/>
                <w:szCs w:val="22"/>
                <w:highlight w:val="none"/>
              </w:rPr>
              <w:t>本项目所列疗休养线路为部分线路，采购人有权根据实际情况进行调整，</w:t>
            </w:r>
            <w:r>
              <w:rPr>
                <w:rStyle w:val="342"/>
                <w:rFonts w:hint="eastAsia" w:ascii="宋体" w:hAnsi="宋体" w:eastAsia="宋体" w:cs="宋体"/>
                <w:bCs/>
                <w:color w:val="auto"/>
                <w:sz w:val="22"/>
                <w:szCs w:val="22"/>
                <w:highlight w:val="none"/>
                <w:lang w:eastAsia="zh-CN"/>
              </w:rPr>
              <w:t>投标人</w:t>
            </w:r>
            <w:r>
              <w:rPr>
                <w:rStyle w:val="342"/>
                <w:rFonts w:hint="eastAsia" w:ascii="宋体" w:hAnsi="宋体" w:eastAsia="宋体" w:cs="宋体"/>
                <w:bCs/>
                <w:color w:val="auto"/>
                <w:sz w:val="22"/>
                <w:szCs w:val="22"/>
                <w:highlight w:val="none"/>
              </w:rPr>
              <w:t>参加投标时应充分考虑采购人调整出行线路的风险。</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Cs/>
                <w:color w:val="auto"/>
                <w:sz w:val="22"/>
                <w:szCs w:val="22"/>
                <w:highlight w:val="none"/>
                <w:lang w:val="en-US" w:eastAsia="zh-CN"/>
              </w:rPr>
            </w:pPr>
            <w:r>
              <w:rPr>
                <w:rStyle w:val="342"/>
                <w:rFonts w:hint="eastAsia" w:ascii="宋体" w:hAnsi="宋体" w:eastAsia="宋体" w:cs="宋体"/>
                <w:bCs/>
                <w:color w:val="auto"/>
                <w:sz w:val="22"/>
                <w:szCs w:val="22"/>
                <w:highlight w:val="none"/>
              </w:rPr>
              <w:t>2、</w:t>
            </w:r>
            <w:r>
              <w:rPr>
                <w:rFonts w:hint="eastAsia" w:ascii="宋体" w:hAnsi="宋体" w:eastAsia="宋体" w:cs="宋体"/>
                <w:color w:val="auto"/>
                <w:sz w:val="22"/>
                <w:szCs w:val="22"/>
                <w:highlight w:val="none"/>
              </w:rPr>
              <w:t>提供的市外跟团线路提供线路应</w:t>
            </w:r>
            <w:bookmarkStart w:id="67" w:name="_Hlk44570741"/>
            <w:r>
              <w:rPr>
                <w:rFonts w:hint="eastAsia" w:ascii="宋体" w:hAnsi="宋体" w:eastAsia="宋体" w:cs="宋体"/>
                <w:color w:val="auto"/>
                <w:sz w:val="22"/>
                <w:szCs w:val="22"/>
                <w:highlight w:val="none"/>
              </w:rPr>
              <w:t>为20人团</w:t>
            </w:r>
            <w:bookmarkEnd w:id="67"/>
            <w:r>
              <w:rPr>
                <w:rFonts w:hint="eastAsia" w:ascii="宋体" w:hAnsi="宋体" w:eastAsia="宋体" w:cs="宋体"/>
                <w:color w:val="auto"/>
                <w:sz w:val="22"/>
                <w:szCs w:val="22"/>
                <w:highlight w:val="none"/>
              </w:rPr>
              <w:t>线路标准</w:t>
            </w:r>
            <w:r>
              <w:rPr>
                <w:rStyle w:val="342"/>
                <w:rFonts w:hint="eastAsia" w:ascii="宋体" w:hAnsi="宋体" w:eastAsia="宋体" w:cs="宋体"/>
                <w:bCs/>
                <w:color w:val="auto"/>
                <w:sz w:val="22"/>
                <w:szCs w:val="22"/>
                <w:highlight w:val="none"/>
              </w:rPr>
              <w:t>。以202</w:t>
            </w:r>
            <w:r>
              <w:rPr>
                <w:rStyle w:val="342"/>
                <w:rFonts w:hint="eastAsia" w:ascii="宋体" w:hAnsi="宋体" w:eastAsia="宋体" w:cs="宋体"/>
                <w:bCs/>
                <w:color w:val="auto"/>
                <w:sz w:val="22"/>
                <w:szCs w:val="22"/>
                <w:highlight w:val="none"/>
                <w:lang w:val="en-US" w:eastAsia="zh-CN"/>
              </w:rPr>
              <w:t>4</w:t>
            </w:r>
            <w:r>
              <w:rPr>
                <w:rStyle w:val="342"/>
                <w:rFonts w:hint="eastAsia" w:ascii="宋体" w:hAnsi="宋体" w:eastAsia="宋体" w:cs="宋体"/>
                <w:bCs/>
                <w:color w:val="auto"/>
                <w:sz w:val="22"/>
                <w:szCs w:val="22"/>
                <w:highlight w:val="none"/>
              </w:rPr>
              <w:t>年</w:t>
            </w:r>
            <w:r>
              <w:rPr>
                <w:rStyle w:val="342"/>
                <w:rFonts w:hint="eastAsia" w:ascii="宋体" w:hAnsi="宋体" w:cs="宋体"/>
                <w:bCs/>
                <w:color w:val="auto"/>
                <w:sz w:val="22"/>
                <w:szCs w:val="22"/>
                <w:highlight w:val="none"/>
                <w:lang w:val="en-US" w:eastAsia="zh-CN"/>
              </w:rPr>
              <w:t>4</w:t>
            </w:r>
            <w:r>
              <w:rPr>
                <w:rStyle w:val="342"/>
                <w:rFonts w:hint="eastAsia" w:ascii="宋体" w:hAnsi="宋体" w:eastAsia="宋体" w:cs="宋体"/>
                <w:bCs/>
                <w:color w:val="auto"/>
                <w:sz w:val="22"/>
                <w:szCs w:val="22"/>
                <w:highlight w:val="none"/>
              </w:rPr>
              <w:t>月份的价格作为参考基数安排线路。</w:t>
            </w:r>
          </w:p>
        </w:tc>
      </w:tr>
    </w:tbl>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二、服务期限</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 w:val="0"/>
          <w:bCs/>
          <w:color w:val="auto"/>
          <w:sz w:val="22"/>
          <w:szCs w:val="22"/>
          <w:highlight w:val="none"/>
        </w:rPr>
        <w:t>服务期限：</w:t>
      </w:r>
      <w:r>
        <w:rPr>
          <w:rFonts w:hint="eastAsia" w:ascii="宋体" w:hAnsi="宋体" w:eastAsia="宋体" w:cs="宋体"/>
          <w:b w:val="0"/>
          <w:bCs/>
          <w:color w:val="auto"/>
          <w:sz w:val="22"/>
          <w:szCs w:val="22"/>
          <w:highlight w:val="none"/>
        </w:rPr>
        <w:t>合同签订之日起至202</w:t>
      </w:r>
      <w:r>
        <w:rPr>
          <w:rFonts w:hint="eastAsia" w:ascii="宋体" w:hAnsi="宋体" w:eastAsia="宋体" w:cs="宋体"/>
          <w:b w:val="0"/>
          <w:bCs/>
          <w:color w:val="auto"/>
          <w:sz w:val="22"/>
          <w:szCs w:val="22"/>
          <w:highlight w:val="none"/>
          <w:lang w:val="en-US" w:eastAsia="zh-CN"/>
        </w:rPr>
        <w:t>4</w:t>
      </w:r>
      <w:r>
        <w:rPr>
          <w:rFonts w:hint="eastAsia" w:ascii="宋体" w:hAnsi="宋体" w:eastAsia="宋体" w:cs="宋体"/>
          <w:b w:val="0"/>
          <w:bCs/>
          <w:color w:val="auto"/>
          <w:sz w:val="22"/>
          <w:szCs w:val="22"/>
          <w:highlight w:val="none"/>
        </w:rPr>
        <w:t>年12月31日止</w:t>
      </w:r>
      <w:r>
        <w:rPr>
          <w:rStyle w:val="342"/>
          <w:rFonts w:hint="eastAsia" w:ascii="宋体" w:hAnsi="宋体" w:eastAsia="宋体" w:cs="宋体"/>
          <w:b w:val="0"/>
          <w:bCs/>
          <w:color w:val="auto"/>
          <w:sz w:val="22"/>
          <w:szCs w:val="22"/>
          <w:highlight w:val="none"/>
        </w:rPr>
        <w:t>。</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三、服务标准</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1、住宿：不低于挂牌四星或网评四星标准的酒店（或度假村等同标准住宿，下同）（酒店未评挂星的，应提供相关酒店网站截图、评分资料或其他相关证明资料供评委评审认定），住宿为标准间。</w:t>
      </w:r>
      <w:r>
        <w:rPr>
          <w:rStyle w:val="342"/>
          <w:rFonts w:hint="eastAsia" w:ascii="宋体" w:hAnsi="宋体" w:cs="宋体"/>
          <w:bCs/>
          <w:color w:val="auto"/>
          <w:sz w:val="22"/>
          <w:szCs w:val="22"/>
          <w:highlight w:val="none"/>
          <w:lang w:val="en-US" w:eastAsia="zh-CN"/>
        </w:rPr>
        <w:t>酒店价格不得高于同期市场的平均价格（价格参考各订票平台）。</w:t>
      </w:r>
      <w:r>
        <w:rPr>
          <w:rStyle w:val="342"/>
          <w:rFonts w:hint="eastAsia" w:ascii="宋体" w:hAnsi="宋体" w:eastAsia="宋体" w:cs="宋体"/>
          <w:bCs/>
          <w:color w:val="auto"/>
          <w:sz w:val="22"/>
          <w:szCs w:val="22"/>
          <w:highlight w:val="none"/>
        </w:rPr>
        <w:t>住宿要求尽可能在同一楼层，房间干净，各个设施齐全且能正常使用，24小时供应热水。</w:t>
      </w:r>
      <w:r>
        <w:rPr>
          <w:rStyle w:val="342"/>
          <w:rFonts w:hint="eastAsia" w:ascii="宋体" w:hAnsi="宋体" w:eastAsia="宋体" w:cs="宋体"/>
          <w:bCs/>
          <w:color w:val="auto"/>
          <w:sz w:val="22"/>
          <w:szCs w:val="22"/>
          <w:highlight w:val="none"/>
          <w:lang w:eastAsia="zh-CN"/>
        </w:rPr>
        <w:t>投标人</w:t>
      </w:r>
      <w:r>
        <w:rPr>
          <w:rStyle w:val="342"/>
          <w:rFonts w:hint="eastAsia" w:ascii="宋体" w:hAnsi="宋体" w:eastAsia="宋体" w:cs="宋体"/>
          <w:bCs/>
          <w:color w:val="auto"/>
          <w:sz w:val="22"/>
          <w:szCs w:val="22"/>
          <w:highlight w:val="none"/>
        </w:rPr>
        <w:t>方案应列出每一线路的酒店名称、具体地点、网评分（网页截图）；具体成团的酒店以</w:t>
      </w:r>
      <w:r>
        <w:rPr>
          <w:rStyle w:val="342"/>
          <w:rFonts w:hint="eastAsia" w:ascii="宋体" w:hAnsi="宋体" w:eastAsia="宋体" w:cs="宋体"/>
          <w:bCs/>
          <w:color w:val="auto"/>
          <w:sz w:val="22"/>
          <w:szCs w:val="22"/>
          <w:highlight w:val="none"/>
          <w:lang w:eastAsia="zh-CN"/>
        </w:rPr>
        <w:t>投标人</w:t>
      </w:r>
      <w:r>
        <w:rPr>
          <w:rStyle w:val="342"/>
          <w:rFonts w:hint="eastAsia" w:ascii="宋体" w:hAnsi="宋体" w:eastAsia="宋体" w:cs="宋体"/>
          <w:bCs/>
          <w:color w:val="auto"/>
          <w:sz w:val="22"/>
          <w:szCs w:val="22"/>
          <w:highlight w:val="none"/>
        </w:rPr>
        <w:t>编制并获得采购人认可的方案为准。</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kern w:val="0"/>
          <w:sz w:val="22"/>
          <w:szCs w:val="22"/>
          <w:highlight w:val="none"/>
        </w:rPr>
      </w:pPr>
      <w:r>
        <w:rPr>
          <w:rStyle w:val="342"/>
          <w:rFonts w:hint="eastAsia" w:ascii="宋体" w:hAnsi="宋体" w:eastAsia="宋体" w:cs="宋体"/>
          <w:bCs/>
          <w:color w:val="auto"/>
          <w:sz w:val="22"/>
          <w:szCs w:val="22"/>
          <w:highlight w:val="none"/>
        </w:rPr>
        <w:t>2、餐饮：</w:t>
      </w:r>
      <w:r>
        <w:rPr>
          <w:rStyle w:val="342"/>
          <w:rFonts w:hint="eastAsia" w:ascii="宋体" w:hAnsi="宋体" w:eastAsia="宋体" w:cs="宋体"/>
          <w:color w:val="auto"/>
          <w:sz w:val="22"/>
          <w:szCs w:val="22"/>
          <w:highlight w:val="none"/>
        </w:rPr>
        <w:t>在正规饭店或农家乐就餐，可采用10人一桌或自助餐的形式。入住酒店必须包含早餐</w:t>
      </w:r>
      <w:r>
        <w:rPr>
          <w:rStyle w:val="342"/>
          <w:rFonts w:hint="eastAsia" w:ascii="宋体" w:hAnsi="宋体" w:eastAsia="宋体" w:cs="宋体"/>
          <w:color w:val="auto"/>
          <w:sz w:val="22"/>
          <w:szCs w:val="22"/>
          <w:highlight w:val="none"/>
          <w:lang w:val="en-US" w:eastAsia="zh-CN"/>
        </w:rPr>
        <w:t>，每人正餐餐费标准不低于为50元/人</w:t>
      </w:r>
      <w:r>
        <w:rPr>
          <w:rStyle w:val="342"/>
          <w:rFonts w:hint="eastAsia" w:ascii="宋体" w:hAnsi="宋体" w:eastAsia="宋体" w:cs="宋体"/>
          <w:color w:val="auto"/>
          <w:sz w:val="22"/>
          <w:szCs w:val="22"/>
          <w:highlight w:val="none"/>
        </w:rPr>
        <w:t>。疗休养期间，如遇未用餐的情况</w:t>
      </w:r>
      <w:r>
        <w:rPr>
          <w:rStyle w:val="342"/>
          <w:rFonts w:hint="eastAsia" w:ascii="宋体" w:hAnsi="宋体" w:eastAsia="宋体" w:cs="宋体"/>
          <w:bCs/>
          <w:color w:val="auto"/>
          <w:kern w:val="0"/>
          <w:sz w:val="22"/>
          <w:szCs w:val="22"/>
          <w:highlight w:val="none"/>
        </w:rPr>
        <w:t>，结算时须退还相应餐费。</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color w:val="auto"/>
          <w:sz w:val="22"/>
          <w:szCs w:val="22"/>
          <w:highlight w:val="none"/>
        </w:rPr>
      </w:pPr>
      <w:r>
        <w:rPr>
          <w:rStyle w:val="342"/>
          <w:rFonts w:hint="eastAsia" w:ascii="宋体" w:hAnsi="宋体" w:eastAsia="宋体" w:cs="宋体"/>
          <w:bCs/>
          <w:color w:val="auto"/>
          <w:sz w:val="22"/>
          <w:szCs w:val="22"/>
          <w:highlight w:val="none"/>
        </w:rPr>
        <w:t>3、</w:t>
      </w:r>
      <w:r>
        <w:rPr>
          <w:rStyle w:val="342"/>
          <w:rFonts w:hint="eastAsia" w:ascii="宋体" w:hAnsi="宋体" w:eastAsia="宋体" w:cs="宋体"/>
          <w:color w:val="auto"/>
          <w:sz w:val="22"/>
          <w:szCs w:val="22"/>
          <w:highlight w:val="none"/>
        </w:rPr>
        <w:t>交通：飞机为经济舱；</w:t>
      </w:r>
      <w:r>
        <w:rPr>
          <w:rStyle w:val="342"/>
          <w:rFonts w:hint="eastAsia" w:ascii="宋体" w:hAnsi="宋体" w:eastAsia="宋体" w:cs="宋体"/>
          <w:color w:val="auto"/>
          <w:sz w:val="22"/>
          <w:szCs w:val="22"/>
          <w:highlight w:val="none"/>
          <w:lang w:val="en-US" w:eastAsia="zh-CN"/>
        </w:rPr>
        <w:t>高铁（或动车组，下同）从温州至线路目的地就近的车站（个人出发点至高铁站点的来回路费由个人自理，如投标人主动提出人员接送的除外），高铁为二等座</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rPr>
        <w:t>空调旅游车应提供车况好（2年内新车）、内饰干净、下部有行李箱的车辆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rPr>
        <w:t>驾驶员应具备准驾车型三年或以上驾龄。</w:t>
      </w:r>
      <w:r>
        <w:rPr>
          <w:rStyle w:val="342"/>
          <w:rFonts w:hint="eastAsia" w:ascii="宋体" w:hAnsi="宋体" w:eastAsia="宋体" w:cs="宋体"/>
          <w:color w:val="auto"/>
          <w:sz w:val="22"/>
          <w:szCs w:val="22"/>
          <w:highlight w:val="none"/>
          <w:lang w:eastAsia="zh-CN"/>
        </w:rPr>
        <w:t>投标人</w:t>
      </w:r>
      <w:r>
        <w:rPr>
          <w:rStyle w:val="342"/>
          <w:rFonts w:hint="eastAsia" w:ascii="宋体" w:hAnsi="宋体" w:eastAsia="宋体" w:cs="宋体"/>
          <w:color w:val="auto"/>
          <w:sz w:val="22"/>
          <w:szCs w:val="22"/>
          <w:highlight w:val="none"/>
        </w:rPr>
        <w:t>方案应对此作出承诺，并预备不同人数团队的适配车型，并应获得采购人认可；团队出发前需提供飞机票、高铁车票、旅游车辆及驾驶员信息；报团出行人按</w:t>
      </w:r>
      <w:r>
        <w:rPr>
          <w:rStyle w:val="342"/>
          <w:rFonts w:hint="eastAsia" w:ascii="宋体" w:hAnsi="宋体" w:eastAsia="宋体" w:cs="宋体"/>
          <w:color w:val="auto"/>
          <w:sz w:val="22"/>
          <w:szCs w:val="22"/>
          <w:highlight w:val="none"/>
          <w:lang w:eastAsia="zh-CN"/>
        </w:rPr>
        <w:t>投标人</w:t>
      </w:r>
      <w:r>
        <w:rPr>
          <w:rStyle w:val="342"/>
          <w:rFonts w:hint="eastAsia" w:ascii="宋体" w:hAnsi="宋体" w:eastAsia="宋体" w:cs="宋体"/>
          <w:color w:val="auto"/>
          <w:sz w:val="22"/>
          <w:szCs w:val="22"/>
          <w:highlight w:val="none"/>
        </w:rPr>
        <w:t>要求提早提供相关身份证信息。</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4、</w:t>
      </w:r>
      <w:r>
        <w:rPr>
          <w:rStyle w:val="342"/>
          <w:rFonts w:hint="eastAsia" w:ascii="宋体" w:hAnsi="宋体" w:eastAsia="宋体" w:cs="宋体"/>
          <w:color w:val="auto"/>
          <w:sz w:val="22"/>
          <w:szCs w:val="22"/>
          <w:highlight w:val="none"/>
        </w:rPr>
        <w:t>景点：包含线路安排的主要景区，其他沿途景点或周边景点以</w:t>
      </w:r>
      <w:r>
        <w:rPr>
          <w:rStyle w:val="342"/>
          <w:rFonts w:hint="eastAsia" w:ascii="宋体" w:hAnsi="宋体" w:eastAsia="宋体" w:cs="宋体"/>
          <w:color w:val="auto"/>
          <w:sz w:val="22"/>
          <w:szCs w:val="22"/>
          <w:highlight w:val="none"/>
          <w:lang w:eastAsia="zh-CN"/>
        </w:rPr>
        <w:t>投标人</w:t>
      </w:r>
      <w:r>
        <w:rPr>
          <w:rStyle w:val="342"/>
          <w:rFonts w:hint="eastAsia" w:ascii="宋体" w:hAnsi="宋体" w:eastAsia="宋体" w:cs="宋体"/>
          <w:color w:val="auto"/>
          <w:sz w:val="22"/>
          <w:szCs w:val="22"/>
          <w:highlight w:val="none"/>
        </w:rPr>
        <w:t>编制并获得采购人认可的方案为准，</w:t>
      </w:r>
      <w:r>
        <w:rPr>
          <w:rStyle w:val="342"/>
          <w:rFonts w:hint="eastAsia" w:ascii="宋体" w:hAnsi="宋体" w:eastAsia="宋体" w:cs="宋体"/>
          <w:b/>
          <w:color w:val="auto"/>
          <w:sz w:val="22"/>
          <w:szCs w:val="22"/>
          <w:highlight w:val="none"/>
        </w:rPr>
        <w:t>不得安排购物点</w:t>
      </w:r>
      <w:r>
        <w:rPr>
          <w:rStyle w:val="342"/>
          <w:rFonts w:hint="eastAsia" w:ascii="宋体" w:hAnsi="宋体" w:eastAsia="宋体" w:cs="宋体"/>
          <w:color w:val="auto"/>
          <w:sz w:val="22"/>
          <w:szCs w:val="22"/>
          <w:highlight w:val="none"/>
        </w:rPr>
        <w:t>。景点门票包括大门票和景点内必游的小门票，以及索道（如有）、电瓶车（如有）、游船（如有）等，自费的娱乐项目除外。方案应针对每条线路具体编制，并列出每个参观景点及计划参观时间等。</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5、服务人员：设本项目服务专员（项目负责人），要求具备一定的资历资格和丰富的从业经验，加强双方沟通，根据采购人要求及时调整方案并获得采购人认可，应急处理相关事务等。具体出团全程配导游，要求不少于三年导游经验，引导、讲解景点山水、典故等，解决旅途中可能出现的突发事件，并给予游客食、宿、行等方面的帮助。</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6、疗休养线路：提供的疗休养线路的景点须经采购人确认。如景点设置不合理，采购人有权更换同等价格的景点。</w:t>
      </w:r>
    </w:p>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四、服务要求</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1、疗休养项目及提供的相关服务单位、营运环节、业务流程均应符合国家法律法规，符合国家、行业、地方标准的要求，维护疗休养人员的合法权益。</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u w:val="none"/>
        </w:rPr>
        <w:t>2、</w:t>
      </w:r>
      <w:r>
        <w:rPr>
          <w:rStyle w:val="342"/>
          <w:rFonts w:hint="eastAsia" w:ascii="宋体" w:hAnsi="宋体" w:eastAsia="宋体" w:cs="宋体"/>
          <w:bCs/>
          <w:color w:val="auto"/>
          <w:sz w:val="22"/>
          <w:szCs w:val="22"/>
          <w:highlight w:val="none"/>
          <w:u w:val="single"/>
        </w:rPr>
        <w:t>▲确保疗休养过程中的食品安全、活动安全、人身安全，</w:t>
      </w:r>
      <w:r>
        <w:rPr>
          <w:rStyle w:val="342"/>
          <w:rFonts w:hint="eastAsia" w:ascii="宋体" w:hAnsi="宋体" w:eastAsia="宋体" w:cs="宋体"/>
          <w:bCs/>
          <w:color w:val="auto"/>
          <w:sz w:val="22"/>
          <w:szCs w:val="22"/>
          <w:highlight w:val="none"/>
          <w:u w:val="single"/>
          <w:lang w:eastAsia="zh-CN"/>
        </w:rPr>
        <w:t>投标人</w:t>
      </w:r>
      <w:r>
        <w:rPr>
          <w:rStyle w:val="342"/>
          <w:rFonts w:hint="eastAsia" w:ascii="宋体" w:hAnsi="宋体" w:eastAsia="宋体" w:cs="宋体"/>
          <w:bCs/>
          <w:color w:val="auto"/>
          <w:sz w:val="22"/>
          <w:szCs w:val="22"/>
          <w:highlight w:val="none"/>
          <w:u w:val="single"/>
        </w:rPr>
        <w:t>必须为每位参加疗休养人员购买商业保险，包括不少于</w:t>
      </w:r>
      <w:r>
        <w:rPr>
          <w:rStyle w:val="342"/>
          <w:rFonts w:hint="eastAsia" w:ascii="宋体" w:hAnsi="宋体" w:eastAsia="宋体" w:cs="宋体"/>
          <w:bCs/>
          <w:color w:val="auto"/>
          <w:sz w:val="22"/>
          <w:szCs w:val="22"/>
          <w:highlight w:val="none"/>
          <w:u w:val="single"/>
          <w:lang w:val="en-US" w:eastAsia="zh-CN"/>
        </w:rPr>
        <w:t>100</w:t>
      </w:r>
      <w:r>
        <w:rPr>
          <w:rStyle w:val="342"/>
          <w:rFonts w:hint="eastAsia" w:ascii="宋体" w:hAnsi="宋体" w:eastAsia="宋体" w:cs="宋体"/>
          <w:bCs/>
          <w:color w:val="auto"/>
          <w:sz w:val="22"/>
          <w:szCs w:val="22"/>
          <w:highlight w:val="none"/>
          <w:u w:val="single"/>
        </w:rPr>
        <w:t>万元（人民币）保额的旅行社责任险和不少于100万元（人民币）保额的个人旅游人身意外险（人身意外险包括意外伤害、突发性疾病、伤害医疗、突发性医疗等）。乘坐飞机、火车、客车等公共交通工具的，必须购买公共交通意外保险。发生意外情况时有应急预案。如遇意外突发事件要及时妥善处理，并做好善后处理工作。</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3、规范组织管理，提供优质服务，举行行前会议，在出发前分发矿泉水、旅游包、旅游帽等旅游基本用品，发放《行程安排明细表》和《注意事项》及相关行程服务内容的小册子。选择资质高、信誉好的地接社、饭店、餐厅、景点、旅游汽车公司，提供高品质的疗休养服务，并对其各项资质进行调查、核实、备案，做好疗休养前、中、后的各项服务工作。</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4、在疗休养过程中，不得进行选择性服务，不得擅自增减疗休养项目，压缩疗休养时间，中止疗休养活动。因意外情况需变更行程、增减项目的，应及时征求采购人意见，经同意后方可实施。不得安排自费项目，不得安排任何购物，或以购物为目的的推荐项目。</w:t>
      </w:r>
    </w:p>
    <w:p>
      <w:pPr>
        <w:keepNext w:val="0"/>
        <w:keepLines w:val="0"/>
        <w:pageBreakBefore w:val="0"/>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u w:val="single"/>
        </w:rPr>
      </w:pPr>
      <w:r>
        <w:rPr>
          <w:rStyle w:val="342"/>
          <w:rFonts w:hint="eastAsia" w:ascii="宋体" w:hAnsi="宋体" w:eastAsia="宋体" w:cs="宋体"/>
          <w:bCs/>
          <w:color w:val="auto"/>
          <w:sz w:val="22"/>
          <w:szCs w:val="22"/>
          <w:highlight w:val="none"/>
          <w:u w:val="single"/>
        </w:rPr>
        <w:t>▲5、不得外泄参加疗休养人员名单和个人信息。</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合同期间，必须做到有问必答。对疗休养人员反映的情况或投诉，不回避矛盾、不推卸责任，对发生的问题予以及时处理，将问题解决在旅途中。</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如有会议或培训则负责联系落实会议室事宜，会议室提供茶水。</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出发时间3日前向采购人提交承载车辆情况。</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出发时间5日向采购人确认详细行程安排。</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lang w:eastAsia="zh-CN"/>
        </w:rPr>
      </w:pPr>
      <w:r>
        <w:rPr>
          <w:rStyle w:val="342"/>
          <w:rFonts w:hint="eastAsia" w:ascii="宋体" w:hAnsi="宋体" w:eastAsia="宋体" w:cs="宋体"/>
          <w:bCs/>
          <w:color w:val="auto"/>
          <w:sz w:val="22"/>
          <w:szCs w:val="22"/>
          <w:highlight w:val="none"/>
        </w:rPr>
        <w:t>因采购人工作的特殊性，组团后可能出现临时退团的情形，临时退团产生的费用不足3000元的在此费用中直接扣除（超3000元部分由退团</w:t>
      </w:r>
      <w:r>
        <w:rPr>
          <w:rStyle w:val="342"/>
          <w:rFonts w:hint="eastAsia" w:ascii="宋体" w:hAnsi="宋体" w:eastAsia="宋体" w:cs="宋体"/>
          <w:bCs/>
          <w:color w:val="auto"/>
          <w:sz w:val="22"/>
          <w:szCs w:val="22"/>
          <w:highlight w:val="none"/>
          <w:lang w:eastAsia="zh-CN"/>
        </w:rPr>
        <w:t>职工</w:t>
      </w:r>
      <w:r>
        <w:rPr>
          <w:rStyle w:val="342"/>
          <w:rFonts w:hint="eastAsia" w:ascii="宋体" w:hAnsi="宋体" w:eastAsia="宋体" w:cs="宋体"/>
          <w:bCs/>
          <w:color w:val="auto"/>
          <w:sz w:val="22"/>
          <w:szCs w:val="22"/>
          <w:highlight w:val="none"/>
        </w:rPr>
        <w:t>自负），退团后再次参团产生的费用（含退团费）超3000元部分由退团</w:t>
      </w:r>
      <w:r>
        <w:rPr>
          <w:rStyle w:val="342"/>
          <w:rFonts w:hint="eastAsia" w:ascii="宋体" w:hAnsi="宋体" w:eastAsia="宋体" w:cs="宋体"/>
          <w:bCs/>
          <w:color w:val="auto"/>
          <w:sz w:val="22"/>
          <w:szCs w:val="22"/>
          <w:highlight w:val="none"/>
          <w:lang w:eastAsia="zh-CN"/>
        </w:rPr>
        <w:t>职工</w:t>
      </w:r>
      <w:r>
        <w:rPr>
          <w:rStyle w:val="342"/>
          <w:rFonts w:hint="eastAsia" w:ascii="宋体" w:hAnsi="宋体" w:eastAsia="宋体" w:cs="宋体"/>
          <w:bCs/>
          <w:color w:val="auto"/>
          <w:sz w:val="22"/>
          <w:szCs w:val="22"/>
          <w:highlight w:val="none"/>
        </w:rPr>
        <w:t>自负，并保证不得降低未退团</w:t>
      </w:r>
      <w:r>
        <w:rPr>
          <w:rStyle w:val="342"/>
          <w:rFonts w:hint="eastAsia" w:ascii="宋体" w:hAnsi="宋体" w:eastAsia="宋体" w:cs="宋体"/>
          <w:bCs/>
          <w:color w:val="auto"/>
          <w:sz w:val="22"/>
          <w:szCs w:val="22"/>
          <w:highlight w:val="none"/>
          <w:lang w:eastAsia="zh-CN"/>
        </w:rPr>
        <w:t>职工</w:t>
      </w:r>
      <w:r>
        <w:rPr>
          <w:rStyle w:val="342"/>
          <w:rFonts w:hint="eastAsia" w:ascii="宋体" w:hAnsi="宋体" w:eastAsia="宋体" w:cs="宋体"/>
          <w:bCs/>
          <w:color w:val="auto"/>
          <w:sz w:val="22"/>
          <w:szCs w:val="22"/>
          <w:highlight w:val="none"/>
        </w:rPr>
        <w:t>约定的疗休养标准，由以上原因产生的风险由投标人综合考虑进行报价。</w:t>
      </w:r>
    </w:p>
    <w:p>
      <w:pPr>
        <w:keepNext w:val="0"/>
        <w:keepLines w:val="0"/>
        <w:pageBreakBefore w:val="0"/>
        <w:numPr>
          <w:ilvl w:val="0"/>
          <w:numId w:val="0"/>
        </w:numPr>
        <w:tabs>
          <w:tab w:val="left" w:pos="0"/>
        </w:tabs>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lang w:eastAsia="zh-CN"/>
        </w:rPr>
      </w:pPr>
      <w:r>
        <w:rPr>
          <w:rStyle w:val="342"/>
          <w:rFonts w:hint="eastAsia" w:ascii="宋体" w:hAnsi="宋体" w:eastAsia="宋体" w:cs="宋体"/>
          <w:bCs/>
          <w:color w:val="auto"/>
          <w:sz w:val="22"/>
          <w:szCs w:val="22"/>
          <w:highlight w:val="none"/>
          <w:lang w:eastAsia="zh-CN"/>
        </w:rPr>
        <w:t>除上述外，投标人还应提出相应的应急方案，如出团前提出退团的或因退团导致出团人数过少的解决方案或应急措施，以投标人编制并获得采购人认可的方案为准。</w:t>
      </w:r>
    </w:p>
    <w:p>
      <w:pPr>
        <w:keepNext w:val="0"/>
        <w:keepLines w:val="0"/>
        <w:pageBreakBefore w:val="0"/>
        <w:numPr>
          <w:ilvl w:val="0"/>
          <w:numId w:val="5"/>
        </w:numPr>
        <w:kinsoku/>
        <w:wordWrap/>
        <w:overflowPunct/>
        <w:topLinePunct w:val="0"/>
        <w:bidi w:val="0"/>
        <w:adjustRightInd/>
        <w:snapToGrid w:val="0"/>
        <w:spacing w:line="460" w:lineRule="exact"/>
        <w:ind w:firstLine="440" w:firstLineChars="200"/>
        <w:outlineLvl w:val="9"/>
        <w:rPr>
          <w:rStyle w:val="342"/>
          <w:rFonts w:hint="eastAsia" w:ascii="宋体" w:hAnsi="宋体" w:eastAsia="宋体" w:cs="宋体"/>
          <w:bCs/>
          <w:color w:val="auto"/>
          <w:sz w:val="22"/>
          <w:szCs w:val="22"/>
          <w:highlight w:val="none"/>
          <w:lang w:val="en-US" w:eastAsia="zh-CN"/>
        </w:rPr>
      </w:pPr>
      <w:r>
        <w:rPr>
          <w:rStyle w:val="342"/>
          <w:rFonts w:hint="eastAsia" w:ascii="宋体" w:hAnsi="宋体" w:eastAsia="宋体" w:cs="宋体"/>
          <w:bCs/>
          <w:color w:val="auto"/>
          <w:sz w:val="22"/>
          <w:szCs w:val="22"/>
          <w:highlight w:val="none"/>
          <w:lang w:val="en-US" w:eastAsia="zh-CN"/>
        </w:rPr>
        <w:t>其他要求：符合温州市总工会《关于加强温州市职工疗休养管理工作的实施办法》及其补充意见的规定。</w:t>
      </w:r>
    </w:p>
    <w:p>
      <w:pPr>
        <w:pStyle w:val="344"/>
        <w:keepNext w:val="0"/>
        <w:keepLines w:val="0"/>
        <w:pageBreakBefore w:val="0"/>
        <w:widowControl/>
        <w:kinsoku/>
        <w:wordWrap/>
        <w:overflowPunct/>
        <w:topLinePunct w:val="0"/>
        <w:bidi w:val="0"/>
        <w:adjustRightInd/>
        <w:snapToGrid w:val="0"/>
        <w:spacing w:line="460" w:lineRule="exact"/>
        <w:ind w:left="0" w:leftChars="0" w:firstLine="0" w:firstLineChars="0"/>
        <w:outlineLvl w:val="9"/>
        <w:rPr>
          <w:rStyle w:val="342"/>
          <w:rFonts w:hint="eastAsia" w:ascii="宋体" w:hAnsi="宋体" w:eastAsia="宋体" w:cs="宋体"/>
          <w:b w:val="0"/>
          <w:bCs/>
          <w:color w:val="auto"/>
          <w:sz w:val="22"/>
          <w:szCs w:val="22"/>
          <w:highlight w:val="none"/>
          <w:lang w:val="en-US" w:eastAsia="zh-CN"/>
        </w:rPr>
      </w:pPr>
      <w:r>
        <w:rPr>
          <w:rStyle w:val="342"/>
          <w:rFonts w:hint="eastAsia" w:ascii="宋体" w:hAnsi="宋体" w:eastAsia="宋体" w:cs="宋体"/>
          <w:b w:val="0"/>
          <w:bCs/>
          <w:color w:val="auto"/>
          <w:sz w:val="22"/>
          <w:szCs w:val="22"/>
          <w:highlight w:val="none"/>
        </w:rPr>
        <w:t>五、</w:t>
      </w:r>
      <w:r>
        <w:rPr>
          <w:rStyle w:val="342"/>
          <w:rFonts w:hint="eastAsia" w:ascii="宋体" w:hAnsi="宋体" w:eastAsia="宋体" w:cs="宋体"/>
          <w:b w:val="0"/>
          <w:bCs/>
          <w:color w:val="auto"/>
          <w:sz w:val="22"/>
          <w:szCs w:val="22"/>
          <w:highlight w:val="none"/>
          <w:lang w:val="en-US" w:eastAsia="zh-CN"/>
        </w:rPr>
        <w:t>验收标准</w:t>
      </w:r>
    </w:p>
    <w:p>
      <w:pPr>
        <w:keepNext w:val="0"/>
        <w:keepLines w:val="0"/>
        <w:pageBreakBefore w:val="0"/>
        <w:tabs>
          <w:tab w:val="left" w:pos="576"/>
          <w:tab w:val="left" w:pos="993"/>
        </w:tabs>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lang w:val="en-US" w:eastAsia="zh-CN"/>
        </w:rPr>
      </w:pPr>
      <w:r>
        <w:rPr>
          <w:rStyle w:val="342"/>
          <w:rFonts w:hint="eastAsia" w:ascii="宋体" w:hAnsi="宋体" w:eastAsia="宋体" w:cs="宋体"/>
          <w:bCs/>
          <w:color w:val="auto"/>
          <w:sz w:val="22"/>
          <w:szCs w:val="22"/>
          <w:highlight w:val="none"/>
          <w:lang w:val="en-US" w:eastAsia="zh-CN"/>
        </w:rPr>
        <w:t>验收标准：依据考核评价进行验收</w:t>
      </w:r>
    </w:p>
    <w:p>
      <w:pPr>
        <w:keepNext w:val="0"/>
        <w:keepLines w:val="0"/>
        <w:pageBreakBefore w:val="0"/>
        <w:tabs>
          <w:tab w:val="left" w:pos="576"/>
          <w:tab w:val="left" w:pos="993"/>
        </w:tabs>
        <w:kinsoku/>
        <w:wordWrap/>
        <w:overflowPunct/>
        <w:topLinePunct w:val="0"/>
        <w:bidi w:val="0"/>
        <w:adjustRightInd/>
        <w:snapToGrid w:val="0"/>
        <w:spacing w:line="460" w:lineRule="exact"/>
        <w:ind w:firstLine="440" w:firstLineChars="200"/>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lang w:val="en-US" w:eastAsia="zh-CN"/>
        </w:rPr>
        <w:t>考核评价：</w:t>
      </w:r>
      <w:r>
        <w:rPr>
          <w:rStyle w:val="342"/>
          <w:rFonts w:hint="eastAsia" w:ascii="宋体" w:hAnsi="宋体" w:eastAsia="宋体" w:cs="宋体"/>
          <w:bCs/>
          <w:color w:val="auto"/>
          <w:sz w:val="22"/>
          <w:szCs w:val="22"/>
          <w:highlight w:val="none"/>
        </w:rPr>
        <w:t>每批次职工疗休养结束后，采购人将对参加疗休养的职工进行满意度测评调查（职工疗休养满意度调查表附后）。考核违约金为单次支付总额的10％</w:t>
      </w:r>
      <w:r>
        <w:rPr>
          <w:rStyle w:val="342"/>
          <w:rFonts w:hint="eastAsia" w:ascii="宋体" w:hAnsi="宋体" w:eastAsia="宋体" w:cs="宋体"/>
          <w:bCs/>
          <w:color w:val="auto"/>
          <w:sz w:val="22"/>
          <w:szCs w:val="22"/>
          <w:highlight w:val="none"/>
          <w:lang w:eastAsia="zh-CN"/>
        </w:rPr>
        <w:t>：</w:t>
      </w:r>
      <w:r>
        <w:rPr>
          <w:rStyle w:val="342"/>
          <w:rFonts w:hint="eastAsia" w:ascii="宋体" w:hAnsi="宋体" w:eastAsia="宋体" w:cs="宋体"/>
          <w:bCs/>
          <w:color w:val="auto"/>
          <w:sz w:val="22"/>
          <w:szCs w:val="22"/>
          <w:highlight w:val="none"/>
        </w:rPr>
        <w:t>当本月疗养之后评价人数达到15人及以上人数对本次疗休养满意度调查</w:t>
      </w:r>
      <w:r>
        <w:rPr>
          <w:rStyle w:val="342"/>
          <w:rFonts w:hint="eastAsia" w:ascii="宋体" w:hAnsi="宋体" w:cs="宋体"/>
          <w:bCs/>
          <w:color w:val="auto"/>
          <w:sz w:val="22"/>
          <w:szCs w:val="22"/>
          <w:highlight w:val="none"/>
          <w:lang w:val="en-US" w:eastAsia="zh-CN"/>
        </w:rPr>
        <w:t>整体评价</w:t>
      </w:r>
      <w:r>
        <w:rPr>
          <w:rStyle w:val="342"/>
          <w:rFonts w:hint="eastAsia" w:ascii="宋体" w:hAnsi="宋体" w:eastAsia="宋体" w:cs="宋体"/>
          <w:bCs/>
          <w:color w:val="auto"/>
          <w:sz w:val="22"/>
          <w:szCs w:val="22"/>
          <w:highlight w:val="none"/>
        </w:rPr>
        <w:t>较好及以上</w:t>
      </w:r>
      <w:r>
        <w:rPr>
          <w:rStyle w:val="342"/>
          <w:rFonts w:hint="eastAsia" w:ascii="宋体" w:hAnsi="宋体" w:cs="宋体"/>
          <w:bCs/>
          <w:color w:val="auto"/>
          <w:sz w:val="22"/>
          <w:szCs w:val="22"/>
          <w:highlight w:val="none"/>
          <w:lang w:eastAsia="zh-CN"/>
        </w:rPr>
        <w:t>满意率</w:t>
      </w:r>
      <w:r>
        <w:rPr>
          <w:rStyle w:val="342"/>
          <w:rFonts w:hint="eastAsia" w:ascii="宋体" w:hAnsi="宋体" w:eastAsia="宋体" w:cs="宋体"/>
          <w:bCs/>
          <w:color w:val="auto"/>
          <w:sz w:val="22"/>
          <w:szCs w:val="22"/>
          <w:highlight w:val="none"/>
        </w:rPr>
        <w:t>高于80</w:t>
      </w:r>
      <w:r>
        <w:rPr>
          <w:rStyle w:val="342"/>
          <w:rFonts w:hint="eastAsia" w:ascii="宋体" w:hAnsi="宋体" w:eastAsia="宋体" w:cs="宋体"/>
          <w:bCs/>
          <w:color w:val="auto"/>
          <w:sz w:val="22"/>
          <w:szCs w:val="22"/>
          <w:highlight w:val="none"/>
          <w:lang w:val="en-US" w:eastAsia="zh-CN"/>
        </w:rPr>
        <w:t>%</w:t>
      </w:r>
      <w:r>
        <w:rPr>
          <w:rStyle w:val="342"/>
          <w:rFonts w:hint="eastAsia" w:ascii="宋体" w:hAnsi="宋体" w:eastAsia="宋体" w:cs="宋体"/>
          <w:bCs/>
          <w:color w:val="auto"/>
          <w:sz w:val="22"/>
          <w:szCs w:val="22"/>
          <w:highlight w:val="none"/>
        </w:rPr>
        <w:t>（含）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，采购</w:t>
      </w:r>
      <w:r>
        <w:rPr>
          <w:rStyle w:val="342"/>
          <w:rFonts w:hint="eastAsia" w:ascii="宋体" w:hAnsi="宋体" w:eastAsia="宋体" w:cs="宋体"/>
          <w:bCs/>
          <w:color w:val="auto"/>
          <w:sz w:val="22"/>
          <w:szCs w:val="22"/>
          <w:highlight w:val="none"/>
          <w:lang w:val="en-US" w:eastAsia="zh-CN"/>
        </w:rPr>
        <w:t>人</w:t>
      </w:r>
      <w:r>
        <w:rPr>
          <w:rStyle w:val="342"/>
          <w:rFonts w:hint="eastAsia" w:ascii="宋体" w:hAnsi="宋体" w:eastAsia="宋体" w:cs="宋体"/>
          <w:bCs/>
          <w:color w:val="auto"/>
          <w:sz w:val="22"/>
          <w:szCs w:val="22"/>
          <w:highlight w:val="none"/>
        </w:rPr>
        <w:t>全额支付当</w:t>
      </w:r>
      <w:r>
        <w:rPr>
          <w:rStyle w:val="342"/>
          <w:rFonts w:hint="eastAsia" w:ascii="宋体" w:hAnsi="宋体" w:eastAsia="宋体" w:cs="宋体"/>
          <w:bCs/>
          <w:color w:val="auto"/>
          <w:sz w:val="22"/>
          <w:szCs w:val="22"/>
          <w:highlight w:val="none"/>
          <w:lang w:val="en-US" w:eastAsia="zh-CN"/>
        </w:rPr>
        <w:t>月</w:t>
      </w:r>
      <w:r>
        <w:rPr>
          <w:rStyle w:val="342"/>
          <w:rFonts w:hint="eastAsia" w:ascii="宋体" w:hAnsi="宋体" w:eastAsia="宋体" w:cs="宋体"/>
          <w:bCs/>
          <w:color w:val="auto"/>
          <w:sz w:val="22"/>
          <w:szCs w:val="22"/>
          <w:highlight w:val="none"/>
        </w:rPr>
        <w:t>疗休养费用；高于</w:t>
      </w:r>
      <w:r>
        <w:rPr>
          <w:rStyle w:val="342"/>
          <w:rFonts w:hint="eastAsia" w:ascii="宋体" w:hAnsi="宋体" w:eastAsia="宋体" w:cs="宋体"/>
          <w:bCs/>
          <w:color w:val="auto"/>
          <w:sz w:val="22"/>
          <w:szCs w:val="22"/>
          <w:highlight w:val="none"/>
          <w:lang w:val="en-US" w:eastAsia="zh-CN"/>
        </w:rPr>
        <w:t>6</w:t>
      </w:r>
      <w:r>
        <w:rPr>
          <w:rStyle w:val="342"/>
          <w:rFonts w:hint="eastAsia" w:ascii="宋体" w:hAnsi="宋体" w:eastAsia="宋体" w:cs="宋体"/>
          <w:bCs/>
          <w:color w:val="auto"/>
          <w:sz w:val="22"/>
          <w:szCs w:val="22"/>
          <w:highlight w:val="none"/>
        </w:rPr>
        <w:t>0</w:t>
      </w:r>
      <w:r>
        <w:rPr>
          <w:rStyle w:val="342"/>
          <w:rFonts w:hint="eastAsia" w:ascii="宋体" w:hAnsi="宋体" w:eastAsia="宋体" w:cs="宋体"/>
          <w:bCs/>
          <w:color w:val="auto"/>
          <w:sz w:val="22"/>
          <w:szCs w:val="22"/>
          <w:highlight w:val="none"/>
          <w:lang w:val="en-US" w:eastAsia="zh-CN"/>
        </w:rPr>
        <w:t>%</w:t>
      </w:r>
      <w:r>
        <w:rPr>
          <w:rStyle w:val="342"/>
          <w:rFonts w:hint="eastAsia" w:ascii="宋体" w:hAnsi="宋体" w:eastAsia="宋体" w:cs="宋体"/>
          <w:bCs/>
          <w:color w:val="auto"/>
          <w:sz w:val="22"/>
          <w:szCs w:val="22"/>
          <w:highlight w:val="none"/>
        </w:rPr>
        <w:t>（不含）低于</w:t>
      </w:r>
      <w:r>
        <w:rPr>
          <w:rStyle w:val="342"/>
          <w:rFonts w:hint="eastAsia" w:ascii="宋体" w:hAnsi="宋体" w:eastAsia="宋体" w:cs="宋体"/>
          <w:bCs/>
          <w:color w:val="auto"/>
          <w:sz w:val="22"/>
          <w:szCs w:val="22"/>
          <w:highlight w:val="none"/>
          <w:lang w:val="en-US" w:eastAsia="zh-CN"/>
        </w:rPr>
        <w:t>80%</w:t>
      </w:r>
      <w:r>
        <w:rPr>
          <w:rStyle w:val="342"/>
          <w:rFonts w:hint="eastAsia" w:ascii="宋体" w:hAnsi="宋体" w:eastAsia="宋体" w:cs="宋体"/>
          <w:bCs/>
          <w:color w:val="auto"/>
          <w:sz w:val="22"/>
          <w:szCs w:val="22"/>
          <w:highlight w:val="none"/>
        </w:rPr>
        <w:t>（不含）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，采购</w:t>
      </w:r>
      <w:r>
        <w:rPr>
          <w:rStyle w:val="342"/>
          <w:rFonts w:hint="eastAsia" w:ascii="宋体" w:hAnsi="宋体" w:eastAsia="宋体" w:cs="宋体"/>
          <w:bCs/>
          <w:color w:val="auto"/>
          <w:sz w:val="22"/>
          <w:szCs w:val="22"/>
          <w:highlight w:val="none"/>
          <w:lang w:val="en-US" w:eastAsia="zh-CN"/>
        </w:rPr>
        <w:t>人</w:t>
      </w:r>
      <w:r>
        <w:rPr>
          <w:rStyle w:val="342"/>
          <w:rFonts w:hint="eastAsia" w:ascii="宋体" w:hAnsi="宋体" w:eastAsia="宋体" w:cs="宋体"/>
          <w:bCs/>
          <w:color w:val="auto"/>
          <w:sz w:val="22"/>
          <w:szCs w:val="22"/>
          <w:highlight w:val="none"/>
        </w:rPr>
        <w:t>有权扣除50%</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考核违约金</w:t>
      </w:r>
      <w:r>
        <w:rPr>
          <w:rStyle w:val="342"/>
          <w:rFonts w:hint="eastAsia" w:ascii="宋体" w:hAnsi="宋体" w:eastAsia="宋体" w:cs="宋体"/>
          <w:bCs/>
          <w:color w:val="auto"/>
          <w:sz w:val="22"/>
          <w:szCs w:val="22"/>
          <w:highlight w:val="none"/>
          <w:lang w:eastAsia="zh-CN"/>
        </w:rPr>
        <w:t>；</w:t>
      </w:r>
      <w:r>
        <w:rPr>
          <w:rStyle w:val="342"/>
          <w:rFonts w:hint="eastAsia" w:ascii="宋体" w:hAnsi="宋体" w:eastAsia="宋体" w:cs="宋体"/>
          <w:bCs/>
          <w:color w:val="auto"/>
          <w:sz w:val="22"/>
          <w:szCs w:val="22"/>
          <w:highlight w:val="none"/>
        </w:rPr>
        <w:t>低于</w:t>
      </w:r>
      <w:r>
        <w:rPr>
          <w:rStyle w:val="342"/>
          <w:rFonts w:hint="eastAsia" w:ascii="宋体" w:hAnsi="宋体" w:eastAsia="宋体" w:cs="宋体"/>
          <w:bCs/>
          <w:color w:val="auto"/>
          <w:sz w:val="22"/>
          <w:szCs w:val="22"/>
          <w:highlight w:val="none"/>
          <w:lang w:val="en-US" w:eastAsia="zh-CN"/>
        </w:rPr>
        <w:t>60%</w:t>
      </w:r>
      <w:r>
        <w:rPr>
          <w:rStyle w:val="342"/>
          <w:rFonts w:hint="eastAsia" w:ascii="宋体" w:hAnsi="宋体" w:eastAsia="宋体" w:cs="宋体"/>
          <w:bCs/>
          <w:color w:val="auto"/>
          <w:sz w:val="22"/>
          <w:szCs w:val="22"/>
          <w:highlight w:val="none"/>
        </w:rPr>
        <w:t>（含）</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，采购</w:t>
      </w:r>
      <w:r>
        <w:rPr>
          <w:rStyle w:val="342"/>
          <w:rFonts w:hint="eastAsia" w:ascii="宋体" w:hAnsi="宋体" w:eastAsia="宋体" w:cs="宋体"/>
          <w:bCs/>
          <w:color w:val="auto"/>
          <w:sz w:val="22"/>
          <w:szCs w:val="22"/>
          <w:highlight w:val="none"/>
          <w:lang w:val="en-US" w:eastAsia="zh-CN"/>
        </w:rPr>
        <w:t>人</w:t>
      </w:r>
      <w:r>
        <w:rPr>
          <w:rStyle w:val="342"/>
          <w:rFonts w:hint="eastAsia" w:ascii="宋体" w:hAnsi="宋体" w:eastAsia="宋体" w:cs="宋体"/>
          <w:bCs/>
          <w:color w:val="auto"/>
          <w:sz w:val="22"/>
          <w:szCs w:val="22"/>
          <w:highlight w:val="none"/>
        </w:rPr>
        <w:t>有权扣除</w:t>
      </w:r>
      <w:r>
        <w:rPr>
          <w:rStyle w:val="342"/>
          <w:rFonts w:hint="eastAsia" w:ascii="宋体" w:hAnsi="宋体" w:eastAsia="宋体" w:cs="宋体"/>
          <w:bCs/>
          <w:color w:val="auto"/>
          <w:sz w:val="22"/>
          <w:szCs w:val="22"/>
          <w:highlight w:val="none"/>
          <w:lang w:val="en-US" w:eastAsia="zh-CN"/>
        </w:rPr>
        <w:t>100</w:t>
      </w:r>
      <w:r>
        <w:rPr>
          <w:rStyle w:val="342"/>
          <w:rFonts w:hint="eastAsia" w:ascii="宋体" w:hAnsi="宋体" w:eastAsia="宋体" w:cs="宋体"/>
          <w:bCs/>
          <w:color w:val="auto"/>
          <w:sz w:val="22"/>
          <w:szCs w:val="22"/>
          <w:highlight w:val="none"/>
        </w:rPr>
        <w:t>%</w:t>
      </w:r>
      <w:r>
        <w:rPr>
          <w:rStyle w:val="342"/>
          <w:rFonts w:hint="eastAsia" w:ascii="宋体" w:hAnsi="宋体" w:eastAsia="宋体" w:cs="宋体"/>
          <w:bCs/>
          <w:color w:val="auto"/>
          <w:sz w:val="22"/>
          <w:szCs w:val="22"/>
          <w:highlight w:val="none"/>
          <w:lang w:val="en-US" w:eastAsia="zh-CN"/>
        </w:rPr>
        <w:t>的</w:t>
      </w:r>
      <w:r>
        <w:rPr>
          <w:rStyle w:val="342"/>
          <w:rFonts w:hint="eastAsia" w:ascii="宋体" w:hAnsi="宋体" w:eastAsia="宋体" w:cs="宋体"/>
          <w:bCs/>
          <w:color w:val="auto"/>
          <w:sz w:val="22"/>
          <w:szCs w:val="22"/>
          <w:highlight w:val="none"/>
        </w:rPr>
        <w:t>考核违约金，同时采购人有权终止合同。</w:t>
      </w:r>
    </w:p>
    <w:p>
      <w:pPr>
        <w:keepNext w:val="0"/>
        <w:keepLines w:val="0"/>
        <w:pageBreakBefore w:val="0"/>
        <w:kinsoku/>
        <w:wordWrap/>
        <w:overflowPunct/>
        <w:topLinePunct w:val="0"/>
        <w:bidi w:val="0"/>
        <w:adjustRightInd/>
        <w:snapToGrid w:val="0"/>
        <w:spacing w:line="460" w:lineRule="exact"/>
        <w:jc w:val="center"/>
        <w:textAlignment w:val="baseline"/>
        <w:outlineLvl w:val="9"/>
        <w:rPr>
          <w:rStyle w:val="342"/>
          <w:rFonts w:hint="eastAsia" w:ascii="宋体" w:hAnsi="宋体" w:eastAsia="宋体" w:cs="宋体"/>
          <w:b/>
          <w:bCs/>
          <w:color w:val="auto"/>
          <w:sz w:val="22"/>
          <w:szCs w:val="22"/>
          <w:highlight w:val="none"/>
        </w:rPr>
      </w:pPr>
      <w:r>
        <w:rPr>
          <w:rStyle w:val="342"/>
          <w:rFonts w:hint="eastAsia" w:ascii="宋体" w:hAnsi="宋体" w:eastAsia="宋体" w:cs="宋体"/>
          <w:b/>
          <w:bCs/>
          <w:color w:val="auto"/>
          <w:sz w:val="22"/>
          <w:szCs w:val="22"/>
          <w:highlight w:val="none"/>
        </w:rPr>
        <w:t>职工疗休养满意度调查表</w:t>
      </w:r>
    </w:p>
    <w:tbl>
      <w:tblPr>
        <w:tblStyle w:val="53"/>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1680"/>
        <w:gridCol w:w="1605"/>
        <w:gridCol w:w="1545"/>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疗养地点</w:t>
            </w:r>
          </w:p>
        </w:tc>
        <w:tc>
          <w:tcPr>
            <w:tcW w:w="6379" w:type="dxa"/>
            <w:gridSpan w:val="4"/>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疗养时间</w:t>
            </w:r>
          </w:p>
        </w:tc>
        <w:tc>
          <w:tcPr>
            <w:tcW w:w="6379" w:type="dxa"/>
            <w:gridSpan w:val="4"/>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Style w:val="342"/>
                <w:rFonts w:hint="eastAsia" w:ascii="宋体" w:hAnsi="宋体" w:eastAsia="宋体" w:cs="宋体"/>
                <w:bCs/>
                <w:color w:val="auto"/>
                <w:sz w:val="22"/>
                <w:szCs w:val="22"/>
                <w:highlight w:val="none"/>
              </w:rPr>
              <w:t>____ 年___ 月____日至 ___ 月  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vMerge w:val="restart"/>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调查项目</w:t>
            </w:r>
          </w:p>
        </w:tc>
        <w:tc>
          <w:tcPr>
            <w:tcW w:w="6379" w:type="dxa"/>
            <w:gridSpan w:val="4"/>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满意度评价（请您在选项后</w:t>
            </w:r>
            <w:r>
              <w:rPr>
                <w:rFonts w:hint="eastAsia" w:ascii="宋体" w:hAnsi="宋体" w:eastAsia="宋体" w:cs="宋体"/>
                <w:color w:val="auto"/>
                <w:sz w:val="22"/>
                <w:szCs w:val="22"/>
                <w:highlight w:val="none"/>
                <w:lang w:val="en-US" w:eastAsia="zh-CN"/>
              </w:rPr>
              <w:t>打“√”</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vMerge w:val="continue"/>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好</w:t>
            </w: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较好</w:t>
            </w: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一般</w:t>
            </w: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住宿条件</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餐饮状况</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行程景点安排</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车辆状况和司机服务</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导游服务</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安全措施</w:t>
            </w:r>
          </w:p>
        </w:tc>
        <w:tc>
          <w:tcPr>
            <w:tcW w:w="1680"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60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5"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c>
          <w:tcPr>
            <w:tcW w:w="1549" w:type="dxa"/>
            <w:noWrap/>
            <w:vAlign w:val="center"/>
          </w:tcPr>
          <w:p>
            <w:pPr>
              <w:keepNext w:val="0"/>
              <w:keepLines w:val="0"/>
              <w:pageBreakBefore w:val="0"/>
              <w:kinsoku/>
              <w:wordWrap/>
              <w:overflowPunct/>
              <w:topLinePunct w:val="0"/>
              <w:autoSpaceDE w:val="0"/>
              <w:autoSpaceDN w:val="0"/>
              <w:bidi w:val="0"/>
              <w:adjustRightInd/>
              <w:spacing w:line="460" w:lineRule="exact"/>
              <w:ind w:leftChars="0"/>
              <w:jc w:val="center"/>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78" w:type="dxa"/>
            <w:gridSpan w:val="5"/>
            <w:noWrap/>
            <w:vAlign w:val="top"/>
          </w:tcPr>
          <w:p>
            <w:pPr>
              <w:keepNext w:val="0"/>
              <w:keepLines w:val="0"/>
              <w:pageBreakBefore w:val="0"/>
              <w:kinsoku/>
              <w:wordWrap/>
              <w:overflowPunct/>
              <w:topLinePunct w:val="0"/>
              <w:autoSpaceDE w:val="0"/>
              <w:autoSpaceDN w:val="0"/>
              <w:bidi w:val="0"/>
              <w:adjustRightInd/>
              <w:spacing w:line="460" w:lineRule="exact"/>
              <w:ind w:leftChars="0"/>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对本次疗休养的整体评价及建议：</w:t>
            </w:r>
          </w:p>
          <w:p>
            <w:pPr>
              <w:keepNext w:val="0"/>
              <w:keepLines w:val="0"/>
              <w:pageBreakBefore w:val="0"/>
              <w:kinsoku/>
              <w:wordWrap/>
              <w:overflowPunct/>
              <w:topLinePunct w:val="0"/>
              <w:autoSpaceDE w:val="0"/>
              <w:autoSpaceDN w:val="0"/>
              <w:bidi w:val="0"/>
              <w:adjustRightInd/>
              <w:spacing w:line="460" w:lineRule="exact"/>
              <w:ind w:leftChars="0" w:firstLine="440" w:firstLineChars="200"/>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好</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较好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一般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差 </w:t>
            </w:r>
          </w:p>
          <w:p>
            <w:pPr>
              <w:keepNext w:val="0"/>
              <w:keepLines w:val="0"/>
              <w:pageBreakBefore w:val="0"/>
              <w:kinsoku/>
              <w:wordWrap/>
              <w:overflowPunct/>
              <w:topLinePunct w:val="0"/>
              <w:bidi w:val="0"/>
              <w:adjustRightInd/>
              <w:spacing w:before="0" w:after="0" w:line="460" w:lineRule="exact"/>
              <w:ind w:leftChars="0"/>
              <w:outlineLvl w:val="9"/>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val="0"/>
              <w:autoSpaceDN w:val="0"/>
              <w:bidi w:val="0"/>
              <w:adjustRightInd/>
              <w:spacing w:line="460" w:lineRule="exact"/>
              <w:ind w:leftChars="0"/>
              <w:jc w:val="right"/>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tc>
      </w:tr>
    </w:tbl>
    <w:p>
      <w:pPr>
        <w:keepNext w:val="0"/>
        <w:keepLines w:val="0"/>
        <w:pageBreakBefore w:val="0"/>
        <w:kinsoku/>
        <w:wordWrap/>
        <w:overflowPunct/>
        <w:topLinePunct w:val="0"/>
        <w:bidi w:val="0"/>
        <w:adjustRightInd/>
        <w:snapToGrid w:val="0"/>
        <w:spacing w:line="460" w:lineRule="exact"/>
        <w:textAlignment w:val="baseline"/>
        <w:outlineLvl w:val="9"/>
        <w:rPr>
          <w:rStyle w:val="342"/>
          <w:rFonts w:hint="eastAsia" w:ascii="宋体" w:hAnsi="宋体" w:eastAsia="宋体" w:cs="宋体"/>
          <w:bCs/>
          <w:color w:val="auto"/>
          <w:sz w:val="22"/>
          <w:szCs w:val="22"/>
          <w:highlight w:val="none"/>
        </w:rPr>
      </w:pPr>
      <w:r>
        <w:rPr>
          <w:rStyle w:val="342"/>
          <w:rFonts w:hint="eastAsia" w:ascii="宋体" w:hAnsi="宋体" w:eastAsia="宋体" w:cs="宋体"/>
          <w:bCs/>
          <w:color w:val="auto"/>
          <w:sz w:val="22"/>
          <w:szCs w:val="22"/>
          <w:highlight w:val="none"/>
        </w:rPr>
        <w:t>六、付款方式</w:t>
      </w:r>
    </w:p>
    <w:p>
      <w:pPr>
        <w:keepNext w:val="0"/>
        <w:keepLines w:val="0"/>
        <w:pageBreakBefore w:val="0"/>
        <w:kinsoku/>
        <w:wordWrap/>
        <w:overflowPunct/>
        <w:topLinePunct w:val="0"/>
        <w:bidi w:val="0"/>
        <w:adjustRightInd/>
        <w:snapToGrid w:val="0"/>
        <w:spacing w:line="460" w:lineRule="exact"/>
        <w:ind w:firstLine="550" w:firstLineChars="250"/>
        <w:textAlignment w:val="baseline"/>
        <w:outlineLvl w:val="9"/>
        <w:rPr>
          <w:rStyle w:val="342"/>
          <w:rFonts w:hint="eastAsia" w:ascii="宋体" w:hAnsi="宋体" w:eastAsia="宋体" w:cs="宋体"/>
          <w:bCs/>
          <w:color w:val="auto"/>
          <w:sz w:val="22"/>
          <w:szCs w:val="22"/>
          <w:highlight w:val="none"/>
        </w:rPr>
      </w:pPr>
      <w:r>
        <w:rPr>
          <w:rFonts w:hint="eastAsia" w:ascii="宋体" w:hAnsi="宋体" w:cs="宋体"/>
          <w:color w:val="auto"/>
          <w:sz w:val="22"/>
          <w:szCs w:val="22"/>
          <w:highlight w:val="none"/>
          <w:lang w:val="en-US" w:eastAsia="zh-CN"/>
        </w:rPr>
        <w:t>中标人</w:t>
      </w:r>
      <w:r>
        <w:rPr>
          <w:rFonts w:hint="eastAsia" w:ascii="宋体" w:hAnsi="宋体" w:eastAsia="宋体" w:cs="宋体"/>
          <w:color w:val="auto"/>
          <w:sz w:val="22"/>
          <w:szCs w:val="22"/>
          <w:highlight w:val="none"/>
        </w:rPr>
        <w:t>按每月实际出团人数向采购人每月结算一次费用，并提供正规税务发票及费用清单，采购人收到发票后7个工作日内办理付款手续。</w:t>
      </w:r>
    </w:p>
    <w:p>
      <w:pPr>
        <w:keepNext w:val="0"/>
        <w:keepLines w:val="0"/>
        <w:pageBreakBefore w:val="0"/>
        <w:kinsoku/>
        <w:wordWrap/>
        <w:overflowPunct/>
        <w:topLinePunct w:val="0"/>
        <w:bidi w:val="0"/>
        <w:adjustRightInd/>
        <w:snapToGrid w:val="0"/>
        <w:spacing w:line="460" w:lineRule="exact"/>
        <w:ind w:firstLine="550" w:firstLineChars="250"/>
        <w:textAlignment w:val="baseline"/>
        <w:outlineLvl w:val="9"/>
        <w:rPr>
          <w:rStyle w:val="342"/>
          <w:rFonts w:hint="eastAsia" w:ascii="宋体" w:hAnsi="宋体" w:eastAsia="宋体" w:cs="宋体"/>
          <w:bCs/>
          <w:color w:val="auto"/>
          <w:kern w:val="0"/>
          <w:sz w:val="22"/>
          <w:szCs w:val="22"/>
          <w:highlight w:val="none"/>
        </w:rPr>
      </w:pPr>
      <w:r>
        <w:rPr>
          <w:rFonts w:hint="eastAsia" w:ascii="宋体" w:hAnsi="宋体" w:eastAsia="宋体" w:cs="宋体"/>
          <w:color w:val="auto"/>
          <w:kern w:val="0"/>
          <w:sz w:val="22"/>
          <w:szCs w:val="22"/>
          <w:highlight w:val="none"/>
          <w:u w:val="none"/>
          <w:lang w:val="en-US" w:eastAsia="zh-CN"/>
        </w:rPr>
        <w:t>注：</w:t>
      </w:r>
      <w:r>
        <w:rPr>
          <w:rFonts w:hint="eastAsia" w:ascii="宋体" w:hAnsi="宋体" w:eastAsia="宋体" w:cs="宋体"/>
          <w:color w:val="auto"/>
          <w:kern w:val="0"/>
          <w:sz w:val="22"/>
          <w:szCs w:val="22"/>
          <w:highlight w:val="none"/>
          <w:u w:val="none"/>
        </w:rPr>
        <w:t>采购人</w:t>
      </w:r>
      <w:r>
        <w:rPr>
          <w:rFonts w:hint="eastAsia" w:ascii="宋体" w:hAnsi="宋体" w:eastAsia="宋体" w:cs="宋体"/>
          <w:color w:val="auto"/>
          <w:kern w:val="0"/>
          <w:sz w:val="22"/>
          <w:szCs w:val="22"/>
          <w:highlight w:val="none"/>
          <w:u w:val="none"/>
          <w:lang w:val="en-US" w:eastAsia="zh-CN"/>
        </w:rPr>
        <w:t>对于满足合同约定支付条件的，自收到发票后7个工作日内将资金支付到合同约定的</w:t>
      </w:r>
      <w:r>
        <w:rPr>
          <w:rFonts w:hint="eastAsia" w:ascii="宋体" w:hAnsi="宋体" w:eastAsia="宋体" w:cs="宋体"/>
          <w:color w:val="auto"/>
          <w:kern w:val="0"/>
          <w:sz w:val="22"/>
          <w:szCs w:val="22"/>
          <w:highlight w:val="none"/>
          <w:u w:val="none"/>
        </w:rPr>
        <w:t>中标人</w:t>
      </w:r>
      <w:r>
        <w:rPr>
          <w:rFonts w:hint="eastAsia" w:ascii="宋体" w:hAnsi="宋体" w:eastAsia="宋体" w:cs="宋体"/>
          <w:color w:val="auto"/>
          <w:kern w:val="0"/>
          <w:sz w:val="22"/>
          <w:szCs w:val="22"/>
          <w:highlight w:val="none"/>
          <w:u w:val="none"/>
          <w:lang w:val="en-US" w:eastAsia="zh-CN"/>
        </w:rPr>
        <w:t>账户。</w:t>
      </w:r>
    </w:p>
    <w:p>
      <w:pPr>
        <w:keepNext w:val="0"/>
        <w:keepLines w:val="0"/>
        <w:pageBreakBefore w:val="0"/>
        <w:kinsoku/>
        <w:wordWrap/>
        <w:overflowPunct/>
        <w:topLinePunct w:val="0"/>
        <w:autoSpaceDE/>
        <w:autoSpaceDN/>
        <w:bidi w:val="0"/>
        <w:adjustRightInd/>
        <w:snapToGrid w:val="0"/>
        <w:spacing w:line="460" w:lineRule="exact"/>
        <w:ind w:firstLine="440" w:firstLineChars="200"/>
        <w:jc w:val="left"/>
        <w:textAlignment w:val="auto"/>
        <w:outlineLvl w:val="9"/>
        <w:rPr>
          <w:rFonts w:hint="eastAsia" w:ascii="宋体" w:hAnsi="宋体" w:eastAsia="宋体" w:cs="宋体"/>
          <w:b/>
          <w:bCs/>
          <w:color w:val="auto"/>
          <w:spacing w:val="-6"/>
          <w:sz w:val="22"/>
          <w:szCs w:val="22"/>
          <w:highlight w:val="none"/>
          <w:lang w:val="en-US" w:eastAsia="zh-CN"/>
        </w:rPr>
      </w:pPr>
      <w:r>
        <w:rPr>
          <w:rFonts w:hint="eastAsia" w:ascii="宋体" w:hAnsi="宋体" w:cs="宋体"/>
          <w:color w:val="auto"/>
          <w:sz w:val="22"/>
          <w:highlight w:val="none"/>
        </w:rPr>
        <w:t>本项目最终支付以实际出团人数与中标单价结合按实结算</w:t>
      </w:r>
      <w:r>
        <w:rPr>
          <w:rFonts w:hint="eastAsia" w:ascii="宋体" w:hAnsi="宋体" w:cs="宋体"/>
          <w:color w:val="auto"/>
          <w:sz w:val="22"/>
          <w:highlight w:val="none"/>
          <w:lang w:eastAsia="zh-CN"/>
        </w:rPr>
        <w:t>。</w:t>
      </w:r>
    </w:p>
    <w:p>
      <w:pPr>
        <w:keepNext w:val="0"/>
        <w:keepLines w:val="0"/>
        <w:pageBreakBefore w:val="0"/>
        <w:kinsoku/>
        <w:wordWrap/>
        <w:overflowPunct/>
        <w:topLinePunct w:val="0"/>
        <w:autoSpaceDE/>
        <w:autoSpaceDN/>
        <w:bidi w:val="0"/>
        <w:adjustRightInd/>
        <w:snapToGrid w:val="0"/>
        <w:spacing w:line="460" w:lineRule="exact"/>
        <w:jc w:val="left"/>
        <w:textAlignment w:val="auto"/>
        <w:outlineLvl w:val="9"/>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lang w:val="en-US" w:eastAsia="zh-CN"/>
        </w:rPr>
        <w:t>七、</w:t>
      </w:r>
      <w:r>
        <w:rPr>
          <w:rFonts w:hint="eastAsia" w:ascii="宋体" w:hAnsi="宋体" w:eastAsia="宋体" w:cs="宋体"/>
          <w:b/>
          <w:bCs/>
          <w:color w:val="auto"/>
          <w:spacing w:val="-6"/>
          <w:sz w:val="22"/>
          <w:szCs w:val="22"/>
          <w:highlight w:val="none"/>
        </w:rPr>
        <w:t>其他</w:t>
      </w:r>
    </w:p>
    <w:p>
      <w:pPr>
        <w:keepNext w:val="0"/>
        <w:keepLines w:val="0"/>
        <w:pageBreakBefore w:val="0"/>
        <w:kinsoku/>
        <w:wordWrap/>
        <w:overflowPunct/>
        <w:topLinePunct w:val="0"/>
        <w:autoSpaceDE/>
        <w:autoSpaceDN/>
        <w:bidi w:val="0"/>
        <w:adjustRightInd/>
        <w:snapToGrid w:val="0"/>
        <w:spacing w:line="460" w:lineRule="exact"/>
        <w:ind w:firstLine="416" w:firstLineChars="200"/>
        <w:jc w:val="left"/>
        <w:textAlignment w:val="auto"/>
        <w:outlineLvl w:val="9"/>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1.除招标文件中所明确的采购需求外，欢迎其他能满足本项目采购需求且性能相当于或高于所明确采购需求的</w:t>
      </w:r>
      <w:r>
        <w:rPr>
          <w:rFonts w:hint="eastAsia" w:ascii="宋体" w:hAnsi="宋体" w:eastAsia="宋体" w:cs="宋体"/>
          <w:b w:val="0"/>
          <w:bCs w:val="0"/>
          <w:color w:val="auto"/>
          <w:spacing w:val="-6"/>
          <w:sz w:val="22"/>
          <w:szCs w:val="22"/>
          <w:highlight w:val="none"/>
          <w:lang w:val="en-US" w:eastAsia="zh-CN"/>
        </w:rPr>
        <w:t>服务</w:t>
      </w:r>
      <w:r>
        <w:rPr>
          <w:rFonts w:hint="eastAsia" w:ascii="宋体" w:hAnsi="宋体" w:eastAsia="宋体" w:cs="宋体"/>
          <w:b w:val="0"/>
          <w:bCs w:val="0"/>
          <w:color w:val="auto"/>
          <w:spacing w:val="-6"/>
          <w:sz w:val="22"/>
          <w:szCs w:val="22"/>
          <w:highlight w:val="none"/>
        </w:rPr>
        <w:t>参加投标报价。同时在采购需求偏离表中作出详细对比说明。</w:t>
      </w:r>
    </w:p>
    <w:p>
      <w:pPr>
        <w:keepNext w:val="0"/>
        <w:keepLines w:val="0"/>
        <w:pageBreakBefore w:val="0"/>
        <w:kinsoku/>
        <w:wordWrap/>
        <w:overflowPunct/>
        <w:topLinePunct w:val="0"/>
        <w:autoSpaceDE/>
        <w:autoSpaceDN/>
        <w:bidi w:val="0"/>
        <w:adjustRightInd/>
        <w:snapToGrid w:val="0"/>
        <w:spacing w:line="460" w:lineRule="exact"/>
        <w:ind w:firstLine="416" w:firstLineChars="200"/>
        <w:jc w:val="left"/>
        <w:textAlignment w:val="auto"/>
        <w:outlineLvl w:val="9"/>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2.带“▲”的有关条款为实质性条款，投标人必须做出实质性响应，否则视为投标无效。</w:t>
      </w:r>
    </w:p>
    <w:p>
      <w:pPr>
        <w:keepNext w:val="0"/>
        <w:keepLines w:val="0"/>
        <w:pageBreakBefore w:val="0"/>
        <w:kinsoku/>
        <w:wordWrap/>
        <w:overflowPunct/>
        <w:topLinePunct w:val="0"/>
        <w:autoSpaceDE/>
        <w:autoSpaceDN/>
        <w:bidi w:val="0"/>
        <w:adjustRightInd/>
        <w:snapToGrid w:val="0"/>
        <w:spacing w:line="460" w:lineRule="exact"/>
        <w:ind w:firstLine="416" w:firstLineChars="200"/>
        <w:jc w:val="left"/>
        <w:textAlignment w:val="auto"/>
        <w:outlineLvl w:val="9"/>
        <w:rPr>
          <w:rFonts w:hint="eastAsia" w:ascii="宋体" w:hAnsi="宋体" w:eastAsia="宋体" w:cs="宋体"/>
          <w:b w:val="0"/>
          <w:bCs w:val="0"/>
          <w:color w:val="auto"/>
          <w:spacing w:val="-6"/>
          <w:sz w:val="22"/>
          <w:szCs w:val="22"/>
          <w:highlight w:val="none"/>
          <w:lang w:eastAsia="zh-CN"/>
        </w:rPr>
      </w:pPr>
      <w:r>
        <w:rPr>
          <w:rFonts w:hint="eastAsia" w:ascii="宋体" w:hAnsi="宋体" w:eastAsia="宋体" w:cs="宋体"/>
          <w:b w:val="0"/>
          <w:bCs w:val="0"/>
          <w:color w:val="auto"/>
          <w:spacing w:val="-6"/>
          <w:sz w:val="22"/>
          <w:szCs w:val="22"/>
          <w:highlight w:val="none"/>
        </w:rPr>
        <w:t>3.如技术要求中未特别注明需执行的国家相关标准、行业标准、地方标准或者其他标准、规范，则统一执行最新标准、规范</w:t>
      </w:r>
      <w:r>
        <w:rPr>
          <w:rFonts w:hint="eastAsia" w:ascii="宋体" w:hAnsi="宋体" w:eastAsia="宋体" w:cs="宋体"/>
          <w:b w:val="0"/>
          <w:bCs w:val="0"/>
          <w:color w:val="auto"/>
          <w:spacing w:val="-6"/>
          <w:sz w:val="22"/>
          <w:szCs w:val="22"/>
          <w:highlight w:val="none"/>
          <w:lang w:eastAsia="zh-CN"/>
        </w:rPr>
        <w:t>。</w:t>
      </w:r>
    </w:p>
    <w:p>
      <w:pPr>
        <w:keepNext w:val="0"/>
        <w:keepLines w:val="0"/>
        <w:pageBreakBefore w:val="0"/>
        <w:widowControl w:val="0"/>
        <w:kinsoku/>
        <w:wordWrap/>
        <w:overflowPunct/>
        <w:topLinePunct w:val="0"/>
        <w:bidi w:val="0"/>
        <w:spacing w:line="460" w:lineRule="exact"/>
        <w:textAlignment w:val="auto"/>
        <w:rPr>
          <w:rFonts w:hint="eastAsia" w:ascii="宋体" w:hAnsi="宋体" w:eastAsia="宋体" w:cs="宋体"/>
          <w:b/>
          <w:sz w:val="22"/>
          <w:highlight w:val="none"/>
        </w:rPr>
      </w:pP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keepNext w:val="0"/>
        <w:keepLines w:val="0"/>
        <w:pageBreakBefore w:val="0"/>
        <w:widowControl w:val="0"/>
        <w:numPr>
          <w:ilvl w:val="0"/>
          <w:numId w:val="6"/>
        </w:numPr>
        <w:kinsoku/>
        <w:wordWrap/>
        <w:overflowPunct/>
        <w:topLinePunct w:val="0"/>
        <w:bidi w:val="0"/>
        <w:spacing w:line="460" w:lineRule="exact"/>
        <w:textAlignment w:val="auto"/>
        <w:rPr>
          <w:rFonts w:hint="eastAsia" w:ascii="宋体" w:hAnsi="宋体" w:eastAsia="宋体" w:cs="宋体"/>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highlight w:val="none"/>
        </w:rPr>
      </w:pPr>
      <w:bookmarkStart w:id="68" w:name="_Toc18194"/>
      <w:bookmarkStart w:id="69" w:name="_Toc30323"/>
      <w:r>
        <w:rPr>
          <w:rFonts w:hint="eastAsia" w:ascii="宋体" w:hAnsi="宋体" w:eastAsia="宋体" w:cs="宋体"/>
          <w:highlight w:val="none"/>
        </w:rPr>
        <w:t>第五部分   评标原则及方法</w:t>
      </w:r>
      <w:bookmarkEnd w:id="68"/>
      <w:bookmarkEnd w:id="6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70" w:name="_Toc4407"/>
      <w:bookmarkStart w:id="71" w:name="_Toc15713"/>
      <w:r>
        <w:rPr>
          <w:rFonts w:hint="eastAsia" w:ascii="宋体" w:hAnsi="宋体" w:eastAsia="宋体" w:cs="宋体"/>
          <w:b/>
          <w:color w:val="auto"/>
          <w:sz w:val="22"/>
          <w:szCs w:val="22"/>
          <w:highlight w:val="none"/>
        </w:rPr>
        <w:t>一、总 则</w:t>
      </w:r>
      <w:bookmarkEnd w:id="70"/>
      <w:bookmarkEnd w:id="71"/>
    </w:p>
    <w:p>
      <w:pPr>
        <w:spacing w:line="460" w:lineRule="exact"/>
        <w:ind w:firstLine="539" w:firstLineChars="245"/>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72" w:name="_Toc24468"/>
      <w:bookmarkStart w:id="73" w:name="_Toc23152"/>
      <w:r>
        <w:rPr>
          <w:rFonts w:hint="eastAsia" w:ascii="宋体" w:hAnsi="宋体" w:eastAsia="宋体" w:cs="宋体"/>
          <w:b/>
          <w:color w:val="auto"/>
          <w:sz w:val="22"/>
          <w:szCs w:val="22"/>
          <w:highlight w:val="none"/>
        </w:rPr>
        <w:t>二、评标组织</w:t>
      </w:r>
      <w:bookmarkEnd w:id="72"/>
      <w:bookmarkEnd w:id="73"/>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评标工作由招标人组建的评标委员会负责，评标全过程由有关部门指导监督。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74" w:name="_Toc15153"/>
      <w:bookmarkStart w:id="75" w:name="_Toc67"/>
      <w:r>
        <w:rPr>
          <w:rFonts w:hint="eastAsia" w:ascii="宋体" w:hAnsi="宋体" w:eastAsia="宋体" w:cs="宋体"/>
          <w:b/>
          <w:color w:val="auto"/>
          <w:sz w:val="22"/>
          <w:szCs w:val="22"/>
          <w:highlight w:val="none"/>
        </w:rPr>
        <w:t>三、评标程序</w:t>
      </w:r>
      <w:bookmarkEnd w:id="74"/>
      <w:bookmarkEnd w:id="75"/>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评标委员按照招标文件中规定的评标方法和标准，对投标文件进行商务和技术评估，综合比较与评价</w:t>
      </w:r>
      <w:r>
        <w:rPr>
          <w:rFonts w:hint="eastAsia" w:ascii="宋体" w:hAnsi="宋体" w:eastAsia="宋体" w:cs="宋体"/>
          <w:color w:val="auto"/>
          <w:sz w:val="22"/>
          <w:szCs w:val="22"/>
          <w:highlight w:val="none"/>
        </w:rPr>
        <w:t>，根据综合评审结果，提交评审报告。</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76" w:name="_Toc24825"/>
      <w:bookmarkStart w:id="77" w:name="_Toc11306"/>
      <w:r>
        <w:rPr>
          <w:rFonts w:hint="eastAsia" w:ascii="宋体" w:hAnsi="宋体" w:eastAsia="宋体" w:cs="宋体"/>
          <w:b/>
          <w:color w:val="auto"/>
          <w:sz w:val="22"/>
          <w:szCs w:val="22"/>
          <w:highlight w:val="none"/>
        </w:rPr>
        <w:t>四、评标办法</w:t>
      </w:r>
      <w:bookmarkEnd w:id="76"/>
      <w:bookmarkEnd w:id="77"/>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100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100</w:t>
      </w:r>
      <w:r>
        <w:rPr>
          <w:rFonts w:hint="eastAsia" w:ascii="宋体" w:hAnsi="宋体" w:eastAsia="宋体" w:cs="宋体"/>
          <w:b/>
          <w:color w:val="auto"/>
          <w:sz w:val="22"/>
          <w:szCs w:val="22"/>
          <w:highlight w:val="none"/>
        </w:rPr>
        <w:t>%），商务标（报价）0分（权值0%）。</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78" w:name="_Toc11450"/>
      <w:bookmarkStart w:id="79" w:name="_Toc1535"/>
      <w:r>
        <w:rPr>
          <w:rFonts w:hint="eastAsia" w:ascii="宋体" w:hAnsi="宋体" w:eastAsia="宋体" w:cs="宋体"/>
          <w:b/>
          <w:color w:val="auto"/>
          <w:sz w:val="22"/>
          <w:szCs w:val="22"/>
          <w:highlight w:val="none"/>
        </w:rPr>
        <w:t>评分细则</w:t>
      </w:r>
      <w:bookmarkEnd w:id="78"/>
      <w:bookmarkEnd w:id="7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100</w:t>
      </w:r>
      <w:r>
        <w:rPr>
          <w:rFonts w:hint="eastAsia" w:ascii="宋体" w:hAnsi="宋体" w:eastAsia="宋体" w:cs="宋体"/>
          <w:b/>
          <w:color w:val="auto"/>
          <w:sz w:val="22"/>
          <w:szCs w:val="22"/>
          <w:highlight w:val="none"/>
        </w:rPr>
        <w:t>分（权值</w:t>
      </w:r>
      <w:r>
        <w:rPr>
          <w:rFonts w:hint="eastAsia" w:ascii="宋体" w:hAnsi="宋体" w:cs="宋体"/>
          <w:b/>
          <w:color w:val="auto"/>
          <w:sz w:val="22"/>
          <w:szCs w:val="22"/>
          <w:highlight w:val="none"/>
          <w:lang w:val="en-US" w:eastAsia="zh-CN"/>
        </w:rPr>
        <w:t>100</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eastAsia="宋体" w:cs="宋体"/>
          <w:color w:val="auto"/>
          <w:sz w:val="22"/>
          <w:highlight w:val="none"/>
        </w:rPr>
        <w:t>各评标委员会成员对各投标人的各项评分内容评分的算术平均值为各投标人技术分得分</w:t>
      </w:r>
      <w:r>
        <w:rPr>
          <w:rFonts w:hint="eastAsia" w:ascii="宋体" w:hAnsi="宋体" w:eastAsia="宋体" w:cs="宋体"/>
          <w:color w:val="auto"/>
          <w:sz w:val="22"/>
          <w:szCs w:val="22"/>
          <w:highlight w:val="none"/>
        </w:rPr>
        <w:t>（小数点后按四舍五入保留2位）。</w:t>
      </w:r>
    </w:p>
    <w:tbl>
      <w:tblPr>
        <w:tblStyle w:val="53"/>
        <w:tblW w:w="98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1173"/>
        <w:gridCol w:w="667"/>
        <w:gridCol w:w="6408"/>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序号</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评分项目</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满分</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评标要点及说明</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val="en-US" w:eastAsia="zh-CN"/>
              </w:rPr>
            </w:pPr>
            <w:r>
              <w:rPr>
                <w:rStyle w:val="342"/>
                <w:rFonts w:hint="eastAsia" w:ascii="宋体" w:hAnsi="宋体" w:eastAsia="宋体" w:cs="宋体"/>
                <w:color w:val="auto"/>
                <w:sz w:val="22"/>
                <w:szCs w:val="22"/>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1</w:t>
            </w:r>
          </w:p>
        </w:tc>
        <w:tc>
          <w:tcPr>
            <w:tcW w:w="117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投标人情况</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5</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45"/>
              <w:keepNext w:val="0"/>
              <w:keepLines w:val="0"/>
              <w:pageBreakBefore w:val="0"/>
              <w:widowControl/>
              <w:kinsoku/>
              <w:wordWrap/>
              <w:overflowPunct/>
              <w:topLinePunct w:val="0"/>
              <w:autoSpaceDE/>
              <w:autoSpaceDN/>
              <w:bidi w:val="0"/>
              <w:adjustRightInd/>
              <w:snapToGrid w:val="0"/>
              <w:spacing w:line="460" w:lineRule="exact"/>
              <w:rPr>
                <w:rStyle w:val="342"/>
                <w:rFonts w:hint="eastAsia" w:ascii="宋体" w:hAnsi="宋体" w:eastAsia="宋体" w:cs="宋体"/>
                <w:color w:val="auto"/>
                <w:kern w:val="0"/>
                <w:sz w:val="22"/>
                <w:szCs w:val="22"/>
                <w:highlight w:val="none"/>
              </w:rPr>
            </w:pPr>
            <w:r>
              <w:rPr>
                <w:rStyle w:val="342"/>
                <w:rFonts w:hint="eastAsia" w:ascii="宋体" w:hAnsi="宋体" w:eastAsia="宋体" w:cs="宋体"/>
                <w:color w:val="auto"/>
                <w:sz w:val="22"/>
                <w:szCs w:val="22"/>
                <w:highlight w:val="none"/>
              </w:rPr>
              <w:t>根据投标人的管理制度、市场评价、服务成熟度等情况</w:t>
            </w:r>
            <w:r>
              <w:rPr>
                <w:rStyle w:val="342"/>
                <w:rFonts w:hint="eastAsia" w:ascii="宋体" w:hAnsi="宋体" w:eastAsia="宋体" w:cs="宋体"/>
                <w:color w:val="auto"/>
                <w:sz w:val="22"/>
                <w:szCs w:val="22"/>
                <w:highlight w:val="none"/>
                <w:lang w:val="en-US" w:eastAsia="zh-CN"/>
              </w:rPr>
              <w:t>综合</w:t>
            </w:r>
            <w:r>
              <w:rPr>
                <w:rStyle w:val="342"/>
                <w:rFonts w:hint="eastAsia" w:ascii="宋体" w:hAnsi="宋体" w:eastAsia="宋体" w:cs="宋体"/>
                <w:color w:val="auto"/>
                <w:sz w:val="22"/>
                <w:szCs w:val="22"/>
                <w:highlight w:val="none"/>
              </w:rPr>
              <w:t>评分。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rPr>
              <w:t>管理制度完善、市场评价良好、服务成熟度高的得5</w:t>
            </w:r>
            <w:r>
              <w:rPr>
                <w:rStyle w:val="342"/>
                <w:rFonts w:hint="eastAsia" w:ascii="宋体" w:hAnsi="宋体" w:eastAsia="宋体" w:cs="宋体"/>
                <w:color w:val="auto"/>
                <w:sz w:val="22"/>
                <w:szCs w:val="22"/>
                <w:highlight w:val="none"/>
                <w:lang w:val="en-US" w:eastAsia="zh-CN"/>
              </w:rPr>
              <w:t>分</w:t>
            </w:r>
            <w:r>
              <w:rPr>
                <w:rStyle w:val="342"/>
                <w:rFonts w:hint="eastAsia" w:ascii="宋体" w:hAnsi="宋体" w:eastAsia="宋体" w:cs="宋体"/>
                <w:color w:val="auto"/>
                <w:sz w:val="22"/>
                <w:szCs w:val="22"/>
                <w:highlight w:val="none"/>
              </w:rPr>
              <w:t>；管理制度</w:t>
            </w:r>
            <w:r>
              <w:rPr>
                <w:rStyle w:val="342"/>
                <w:rFonts w:hint="eastAsia" w:ascii="宋体" w:hAnsi="宋体" w:eastAsia="宋体" w:cs="宋体"/>
                <w:color w:val="auto"/>
                <w:sz w:val="22"/>
                <w:szCs w:val="22"/>
                <w:highlight w:val="none"/>
                <w:lang w:val="en-US" w:eastAsia="zh-CN"/>
              </w:rPr>
              <w:t>比较</w:t>
            </w:r>
            <w:r>
              <w:rPr>
                <w:rStyle w:val="342"/>
                <w:rFonts w:hint="eastAsia" w:ascii="宋体" w:hAnsi="宋体" w:eastAsia="宋体" w:cs="宋体"/>
                <w:color w:val="auto"/>
                <w:sz w:val="22"/>
                <w:szCs w:val="22"/>
                <w:highlight w:val="none"/>
              </w:rPr>
              <w:t>完善、市场评价良好、服务成熟度</w:t>
            </w:r>
            <w:r>
              <w:rPr>
                <w:rStyle w:val="342"/>
                <w:rFonts w:hint="eastAsia" w:ascii="宋体" w:hAnsi="宋体" w:eastAsia="宋体" w:cs="宋体"/>
                <w:color w:val="auto"/>
                <w:sz w:val="22"/>
                <w:szCs w:val="22"/>
                <w:highlight w:val="none"/>
                <w:lang w:val="en-US" w:eastAsia="zh-CN"/>
              </w:rPr>
              <w:t>较</w:t>
            </w:r>
            <w:r>
              <w:rPr>
                <w:rStyle w:val="342"/>
                <w:rFonts w:hint="eastAsia" w:ascii="宋体" w:hAnsi="宋体" w:eastAsia="宋体" w:cs="宋体"/>
                <w:color w:val="auto"/>
                <w:sz w:val="22"/>
                <w:szCs w:val="22"/>
                <w:highlight w:val="none"/>
              </w:rPr>
              <w:t>高的得</w:t>
            </w:r>
            <w:r>
              <w:rPr>
                <w:rStyle w:val="342"/>
                <w:rFonts w:hint="eastAsia" w:ascii="宋体" w:hAnsi="宋体" w:eastAsia="宋体" w:cs="宋体"/>
                <w:color w:val="auto"/>
                <w:sz w:val="22"/>
                <w:szCs w:val="22"/>
                <w:highlight w:val="none"/>
                <w:lang w:val="en-US" w:eastAsia="zh-CN"/>
              </w:rPr>
              <w:t>4分；</w:t>
            </w:r>
            <w:r>
              <w:rPr>
                <w:rStyle w:val="342"/>
                <w:rFonts w:hint="eastAsia" w:ascii="宋体" w:hAnsi="宋体" w:eastAsia="宋体" w:cs="宋体"/>
                <w:color w:val="auto"/>
                <w:sz w:val="22"/>
                <w:szCs w:val="22"/>
                <w:highlight w:val="none"/>
              </w:rPr>
              <w:t>管理制度</w:t>
            </w:r>
            <w:r>
              <w:rPr>
                <w:rStyle w:val="342"/>
                <w:rFonts w:hint="eastAsia" w:ascii="宋体" w:hAnsi="宋体" w:eastAsia="宋体" w:cs="宋体"/>
                <w:color w:val="auto"/>
                <w:sz w:val="22"/>
                <w:szCs w:val="22"/>
                <w:highlight w:val="none"/>
                <w:lang w:val="en-US" w:eastAsia="zh-CN"/>
              </w:rPr>
              <w:t>一般</w:t>
            </w:r>
            <w:r>
              <w:rPr>
                <w:rStyle w:val="342"/>
                <w:rFonts w:hint="eastAsia" w:ascii="宋体" w:hAnsi="宋体" w:eastAsia="宋体" w:cs="宋体"/>
                <w:color w:val="auto"/>
                <w:sz w:val="22"/>
                <w:szCs w:val="22"/>
                <w:highlight w:val="none"/>
              </w:rPr>
              <w:t>、市场评价一般、服务成熟度一般的得</w:t>
            </w:r>
            <w:r>
              <w:rPr>
                <w:rStyle w:val="342"/>
                <w:rFonts w:hint="eastAsia" w:ascii="宋体" w:hAnsi="宋体" w:eastAsia="宋体" w:cs="宋体"/>
                <w:color w:val="auto"/>
                <w:sz w:val="22"/>
                <w:szCs w:val="22"/>
                <w:highlight w:val="none"/>
                <w:lang w:val="en-US" w:eastAsia="zh-CN"/>
              </w:rPr>
              <w:t>3</w:t>
            </w:r>
            <w:r>
              <w:rPr>
                <w:rStyle w:val="342"/>
                <w:rFonts w:hint="eastAsia" w:ascii="宋体" w:hAnsi="宋体" w:eastAsia="宋体" w:cs="宋体"/>
                <w:color w:val="auto"/>
                <w:sz w:val="22"/>
                <w:szCs w:val="22"/>
                <w:highlight w:val="none"/>
              </w:rPr>
              <w:t>分；管理制度缺失、市场评价差、服务成熟度低的得</w:t>
            </w:r>
            <w:r>
              <w:rPr>
                <w:rStyle w:val="342"/>
                <w:rFonts w:hint="eastAsia" w:ascii="宋体" w:hAnsi="宋体" w:eastAsia="宋体" w:cs="宋体"/>
                <w:color w:val="auto"/>
                <w:sz w:val="22"/>
                <w:szCs w:val="22"/>
                <w:highlight w:val="none"/>
                <w:lang w:val="en-US" w:eastAsia="zh-CN"/>
              </w:rPr>
              <w:t>1</w:t>
            </w:r>
            <w:r>
              <w:rPr>
                <w:rStyle w:val="342"/>
                <w:rFonts w:hint="eastAsia" w:ascii="宋体" w:hAnsi="宋体" w:eastAsia="宋体" w:cs="宋体"/>
                <w:color w:val="auto"/>
                <w:sz w:val="22"/>
                <w:szCs w:val="22"/>
                <w:highlight w:val="none"/>
              </w:rPr>
              <w:t>分；</w:t>
            </w:r>
            <w:r>
              <w:rPr>
                <w:rStyle w:val="342"/>
                <w:rFonts w:hint="eastAsia" w:ascii="宋体" w:hAnsi="宋体" w:eastAsia="宋体" w:cs="宋体"/>
                <w:color w:val="auto"/>
                <w:sz w:val="22"/>
                <w:szCs w:val="22"/>
                <w:highlight w:val="none"/>
                <w:lang w:val="en-US" w:eastAsia="zh-CN"/>
              </w:rPr>
              <w:t>均为体现的不得分</w:t>
            </w:r>
            <w:r>
              <w:rPr>
                <w:rStyle w:val="342"/>
                <w:rFonts w:hint="eastAsia" w:ascii="宋体" w:hAnsi="宋体" w:eastAsia="宋体" w:cs="宋体"/>
                <w:color w:val="auto"/>
                <w:sz w:val="22"/>
                <w:szCs w:val="22"/>
                <w:highlight w:val="none"/>
                <w:lang w:eastAsia="zh-CN"/>
              </w:rPr>
              <w:t>）</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5</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left"/>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根据</w:t>
            </w:r>
            <w:r>
              <w:rPr>
                <w:rStyle w:val="342"/>
                <w:rFonts w:hint="eastAsia" w:ascii="宋体" w:hAnsi="宋体" w:eastAsia="宋体" w:cs="宋体"/>
                <w:color w:val="auto"/>
                <w:sz w:val="22"/>
                <w:szCs w:val="22"/>
                <w:highlight w:val="none"/>
                <w:lang w:eastAsia="zh-CN"/>
              </w:rPr>
              <w:t>投标人</w:t>
            </w:r>
            <w:r>
              <w:rPr>
                <w:rStyle w:val="342"/>
                <w:rFonts w:hint="eastAsia" w:ascii="宋体" w:hAnsi="宋体" w:eastAsia="宋体" w:cs="宋体"/>
                <w:color w:val="auto"/>
                <w:sz w:val="22"/>
                <w:szCs w:val="22"/>
                <w:highlight w:val="none"/>
              </w:rPr>
              <w:t>旅游目的地的地接接待能力</w:t>
            </w:r>
            <w:r>
              <w:rPr>
                <w:rStyle w:val="342"/>
                <w:rFonts w:hint="eastAsia" w:ascii="宋体" w:hAnsi="宋体" w:eastAsia="宋体" w:cs="宋体"/>
                <w:color w:val="auto"/>
                <w:sz w:val="22"/>
                <w:szCs w:val="22"/>
                <w:highlight w:val="none"/>
                <w:lang w:val="en-US" w:eastAsia="zh-CN"/>
              </w:rPr>
              <w:t>综合</w:t>
            </w:r>
            <w:r>
              <w:rPr>
                <w:rStyle w:val="342"/>
                <w:rFonts w:hint="eastAsia" w:ascii="宋体" w:hAnsi="宋体" w:eastAsia="宋体" w:cs="宋体"/>
                <w:color w:val="auto"/>
                <w:sz w:val="22"/>
                <w:szCs w:val="22"/>
                <w:highlight w:val="none"/>
              </w:rPr>
              <w:t>打分。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rPr>
              <w:t>科学合理</w:t>
            </w:r>
            <w:r>
              <w:rPr>
                <w:rStyle w:val="342"/>
                <w:rFonts w:hint="eastAsia" w:ascii="宋体" w:hAnsi="宋体" w:eastAsia="宋体" w:cs="宋体"/>
                <w:color w:val="auto"/>
                <w:sz w:val="22"/>
                <w:szCs w:val="22"/>
                <w:highlight w:val="none"/>
                <w:lang w:val="en-US" w:eastAsia="zh-CN"/>
              </w:rPr>
              <w:t>性强</w:t>
            </w:r>
            <w:r>
              <w:rPr>
                <w:rStyle w:val="342"/>
                <w:rFonts w:hint="eastAsia" w:ascii="宋体" w:hAnsi="宋体" w:eastAsia="宋体" w:cs="宋体"/>
                <w:color w:val="auto"/>
                <w:sz w:val="22"/>
                <w:szCs w:val="22"/>
                <w:highlight w:val="none"/>
              </w:rPr>
              <w:t>，接洽服务好当地服务对接及时的得</w:t>
            </w:r>
            <w:r>
              <w:rPr>
                <w:rStyle w:val="342"/>
                <w:rFonts w:hint="eastAsia" w:ascii="宋体" w:hAnsi="宋体" w:eastAsia="宋体" w:cs="宋体"/>
                <w:color w:val="auto"/>
                <w:sz w:val="22"/>
                <w:szCs w:val="22"/>
                <w:highlight w:val="none"/>
                <w:lang w:val="en-US" w:eastAsia="zh-CN"/>
              </w:rPr>
              <w:t>5</w:t>
            </w:r>
            <w:r>
              <w:rPr>
                <w:rStyle w:val="342"/>
                <w:rFonts w:hint="eastAsia" w:ascii="宋体" w:hAnsi="宋体" w:eastAsia="宋体" w:cs="宋体"/>
                <w:color w:val="auto"/>
                <w:sz w:val="22"/>
                <w:szCs w:val="22"/>
                <w:highlight w:val="none"/>
              </w:rPr>
              <w:t>分；科学合理</w:t>
            </w:r>
            <w:r>
              <w:rPr>
                <w:rStyle w:val="342"/>
                <w:rFonts w:hint="eastAsia" w:ascii="宋体" w:hAnsi="宋体" w:eastAsia="宋体" w:cs="宋体"/>
                <w:color w:val="auto"/>
                <w:sz w:val="22"/>
                <w:szCs w:val="22"/>
                <w:highlight w:val="none"/>
                <w:lang w:val="en-US" w:eastAsia="zh-CN"/>
              </w:rPr>
              <w:t>性较强</w:t>
            </w:r>
            <w:r>
              <w:rPr>
                <w:rStyle w:val="342"/>
                <w:rFonts w:hint="eastAsia" w:ascii="宋体" w:hAnsi="宋体" w:eastAsia="宋体" w:cs="宋体"/>
                <w:color w:val="auto"/>
                <w:sz w:val="22"/>
                <w:szCs w:val="22"/>
                <w:highlight w:val="none"/>
              </w:rPr>
              <w:t>，接洽服务</w:t>
            </w:r>
            <w:r>
              <w:rPr>
                <w:rStyle w:val="342"/>
                <w:rFonts w:hint="eastAsia" w:ascii="宋体" w:hAnsi="宋体" w:eastAsia="宋体" w:cs="宋体"/>
                <w:color w:val="auto"/>
                <w:sz w:val="22"/>
                <w:szCs w:val="22"/>
                <w:highlight w:val="none"/>
                <w:lang w:val="en-US" w:eastAsia="zh-CN"/>
              </w:rPr>
              <w:t>较</w:t>
            </w:r>
            <w:r>
              <w:rPr>
                <w:rStyle w:val="342"/>
                <w:rFonts w:hint="eastAsia" w:ascii="宋体" w:hAnsi="宋体" w:eastAsia="宋体" w:cs="宋体"/>
                <w:color w:val="auto"/>
                <w:sz w:val="22"/>
                <w:szCs w:val="22"/>
                <w:highlight w:val="none"/>
              </w:rPr>
              <w:t>好当地服务对接</w:t>
            </w:r>
            <w:r>
              <w:rPr>
                <w:rStyle w:val="342"/>
                <w:rFonts w:hint="eastAsia" w:ascii="宋体" w:hAnsi="宋体" w:eastAsia="宋体" w:cs="宋体"/>
                <w:color w:val="auto"/>
                <w:sz w:val="22"/>
                <w:szCs w:val="22"/>
                <w:highlight w:val="none"/>
                <w:lang w:val="en-US" w:eastAsia="zh-CN"/>
              </w:rPr>
              <w:t>比较</w:t>
            </w:r>
            <w:r>
              <w:rPr>
                <w:rStyle w:val="342"/>
                <w:rFonts w:hint="eastAsia" w:ascii="宋体" w:hAnsi="宋体" w:eastAsia="宋体" w:cs="宋体"/>
                <w:color w:val="auto"/>
                <w:sz w:val="22"/>
                <w:szCs w:val="22"/>
                <w:highlight w:val="none"/>
              </w:rPr>
              <w:t>及时的得</w:t>
            </w:r>
            <w:r>
              <w:rPr>
                <w:rStyle w:val="342"/>
                <w:rFonts w:hint="eastAsia" w:ascii="宋体" w:hAnsi="宋体" w:eastAsia="宋体" w:cs="宋体"/>
                <w:color w:val="auto"/>
                <w:sz w:val="22"/>
                <w:szCs w:val="22"/>
                <w:highlight w:val="none"/>
                <w:lang w:val="en-US" w:eastAsia="zh-CN"/>
              </w:rPr>
              <w:t>4</w:t>
            </w:r>
            <w:r>
              <w:rPr>
                <w:rStyle w:val="342"/>
                <w:rFonts w:hint="eastAsia" w:ascii="宋体" w:hAnsi="宋体" w:eastAsia="宋体" w:cs="宋体"/>
                <w:color w:val="auto"/>
                <w:sz w:val="22"/>
                <w:szCs w:val="22"/>
                <w:highlight w:val="none"/>
              </w:rPr>
              <w:t>分；科学合理</w:t>
            </w:r>
            <w:r>
              <w:rPr>
                <w:rStyle w:val="342"/>
                <w:rFonts w:hint="eastAsia" w:ascii="宋体" w:hAnsi="宋体" w:eastAsia="宋体" w:cs="宋体"/>
                <w:color w:val="auto"/>
                <w:sz w:val="22"/>
                <w:szCs w:val="22"/>
                <w:highlight w:val="none"/>
                <w:lang w:val="en-US" w:eastAsia="zh-CN"/>
              </w:rPr>
              <w:t>性一般</w:t>
            </w:r>
            <w:r>
              <w:rPr>
                <w:rStyle w:val="342"/>
                <w:rFonts w:hint="eastAsia" w:ascii="宋体" w:hAnsi="宋体" w:eastAsia="宋体" w:cs="宋体"/>
                <w:color w:val="auto"/>
                <w:sz w:val="22"/>
                <w:szCs w:val="22"/>
                <w:highlight w:val="none"/>
              </w:rPr>
              <w:t>，接接洽服务一般有当地对接的得3分；科学合理</w:t>
            </w:r>
            <w:r>
              <w:rPr>
                <w:rStyle w:val="342"/>
                <w:rFonts w:hint="eastAsia" w:ascii="宋体" w:hAnsi="宋体" w:eastAsia="宋体" w:cs="宋体"/>
                <w:color w:val="auto"/>
                <w:sz w:val="22"/>
                <w:szCs w:val="22"/>
                <w:highlight w:val="none"/>
                <w:lang w:val="en-US" w:eastAsia="zh-CN"/>
              </w:rPr>
              <w:t>性不强</w:t>
            </w:r>
            <w:r>
              <w:rPr>
                <w:rStyle w:val="342"/>
                <w:rFonts w:hint="eastAsia" w:ascii="宋体" w:hAnsi="宋体" w:eastAsia="宋体" w:cs="宋体"/>
                <w:color w:val="auto"/>
                <w:sz w:val="22"/>
                <w:szCs w:val="22"/>
                <w:highlight w:val="none"/>
              </w:rPr>
              <w:t>，接接洽服务</w:t>
            </w:r>
            <w:r>
              <w:rPr>
                <w:rStyle w:val="342"/>
                <w:rFonts w:hint="eastAsia" w:ascii="宋体" w:hAnsi="宋体" w:eastAsia="宋体" w:cs="宋体"/>
                <w:color w:val="auto"/>
                <w:sz w:val="22"/>
                <w:szCs w:val="22"/>
                <w:highlight w:val="none"/>
                <w:lang w:val="en-US" w:eastAsia="zh-CN"/>
              </w:rPr>
              <w:t>及</w:t>
            </w:r>
            <w:r>
              <w:rPr>
                <w:rStyle w:val="342"/>
                <w:rFonts w:hint="eastAsia" w:ascii="宋体" w:hAnsi="宋体" w:eastAsia="宋体" w:cs="宋体"/>
                <w:color w:val="auto"/>
                <w:sz w:val="22"/>
                <w:szCs w:val="22"/>
                <w:highlight w:val="none"/>
              </w:rPr>
              <w:t>当地对接</w:t>
            </w:r>
            <w:r>
              <w:rPr>
                <w:rStyle w:val="342"/>
                <w:rFonts w:hint="eastAsia" w:ascii="宋体" w:hAnsi="宋体" w:eastAsia="宋体" w:cs="宋体"/>
                <w:color w:val="auto"/>
                <w:sz w:val="22"/>
                <w:szCs w:val="22"/>
                <w:highlight w:val="none"/>
                <w:lang w:val="en-US" w:eastAsia="zh-CN"/>
              </w:rPr>
              <w:t>能力不强</w:t>
            </w:r>
            <w:r>
              <w:rPr>
                <w:rStyle w:val="342"/>
                <w:rFonts w:hint="eastAsia" w:ascii="宋体" w:hAnsi="宋体" w:eastAsia="宋体" w:cs="宋体"/>
                <w:color w:val="auto"/>
                <w:sz w:val="22"/>
                <w:szCs w:val="22"/>
                <w:highlight w:val="none"/>
              </w:rPr>
              <w:t>的得</w:t>
            </w:r>
            <w:r>
              <w:rPr>
                <w:rStyle w:val="342"/>
                <w:rFonts w:hint="eastAsia" w:ascii="宋体" w:hAnsi="宋体" w:eastAsia="宋体" w:cs="宋体"/>
                <w:color w:val="auto"/>
                <w:sz w:val="22"/>
                <w:szCs w:val="22"/>
                <w:highlight w:val="none"/>
                <w:lang w:val="en-US" w:eastAsia="zh-CN"/>
              </w:rPr>
              <w:t>1</w:t>
            </w:r>
            <w:r>
              <w:rPr>
                <w:rStyle w:val="342"/>
                <w:rFonts w:hint="eastAsia" w:ascii="宋体" w:hAnsi="宋体" w:eastAsia="宋体" w:cs="宋体"/>
                <w:color w:val="auto"/>
                <w:sz w:val="22"/>
                <w:szCs w:val="22"/>
                <w:highlight w:val="none"/>
              </w:rPr>
              <w:t>分；</w:t>
            </w:r>
            <w:r>
              <w:rPr>
                <w:rStyle w:val="342"/>
                <w:rFonts w:hint="eastAsia" w:ascii="宋体" w:hAnsi="宋体" w:eastAsia="宋体" w:cs="宋体"/>
                <w:color w:val="auto"/>
                <w:sz w:val="22"/>
                <w:szCs w:val="22"/>
                <w:highlight w:val="none"/>
                <w:lang w:val="en-US" w:eastAsia="zh-CN"/>
              </w:rPr>
              <w:t>未提供的不得分</w:t>
            </w:r>
            <w:r>
              <w:rPr>
                <w:rStyle w:val="342"/>
                <w:rFonts w:hint="eastAsia" w:ascii="宋体" w:hAnsi="宋体" w:eastAsia="宋体" w:cs="宋体"/>
                <w:color w:val="auto"/>
                <w:sz w:val="22"/>
                <w:szCs w:val="22"/>
                <w:highlight w:val="none"/>
              </w:rPr>
              <w:t>。</w:t>
            </w:r>
            <w:r>
              <w:rPr>
                <w:rStyle w:val="342"/>
                <w:rFonts w:hint="eastAsia" w:ascii="宋体" w:hAnsi="宋体" w:eastAsia="宋体" w:cs="宋体"/>
                <w:color w:val="auto"/>
                <w:sz w:val="22"/>
                <w:szCs w:val="22"/>
                <w:highlight w:val="none"/>
                <w:lang w:eastAsia="zh-CN"/>
              </w:rPr>
              <w:t>）</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2</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疗休养活动方案</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default" w:ascii="宋体" w:hAnsi="宋体" w:eastAsia="宋体" w:cs="宋体"/>
                <w:color w:val="auto"/>
                <w:sz w:val="22"/>
                <w:szCs w:val="22"/>
                <w:highlight w:val="none"/>
                <w:lang w:val="en-US" w:eastAsia="zh-CN"/>
              </w:rPr>
            </w:pPr>
            <w:r>
              <w:rPr>
                <w:rStyle w:val="342"/>
                <w:rFonts w:hint="eastAsia" w:ascii="宋体" w:hAnsi="宋体" w:cs="宋体"/>
                <w:color w:val="auto"/>
                <w:sz w:val="22"/>
                <w:szCs w:val="22"/>
                <w:highlight w:val="none"/>
                <w:lang w:val="en-US" w:eastAsia="zh-CN"/>
              </w:rPr>
              <w:t>18</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en-US" w:eastAsia="zh-CN"/>
              </w:rPr>
              <w:t>温州市域内线路疗休养活动方案：</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1.</w:t>
            </w:r>
            <w:r>
              <w:rPr>
                <w:rFonts w:hint="eastAsia" w:ascii="宋体" w:hAnsi="宋体" w:eastAsia="宋体" w:cs="宋体"/>
                <w:color w:val="auto"/>
                <w:spacing w:val="-6"/>
                <w:sz w:val="22"/>
                <w:szCs w:val="22"/>
                <w:highlight w:val="none"/>
                <w:lang w:val="en-US" w:eastAsia="zh-CN"/>
              </w:rPr>
              <w:t>路线安排（包括景点安排）方案：根据总体出行线路安排（标明各景点档次、景点之间的车程时间，当天出行路线安排、疗养期间的整体行程安排，住宿至各景点的路线行程安排）方案的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8</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6</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zh-CN" w:eastAsia="zh-CN"/>
              </w:rPr>
              <w:t>2.</w:t>
            </w:r>
            <w:r>
              <w:rPr>
                <w:rFonts w:hint="eastAsia" w:ascii="宋体" w:hAnsi="宋体" w:eastAsia="宋体" w:cs="宋体"/>
                <w:color w:val="auto"/>
                <w:spacing w:val="-6"/>
                <w:sz w:val="22"/>
                <w:szCs w:val="22"/>
                <w:highlight w:val="none"/>
                <w:lang w:val="en-US" w:eastAsia="zh-CN"/>
              </w:rPr>
              <w:t>酒店住宿安排方案（住宿安排须提供住宿点的具体星级等级，无挂牌的提供相当于同档次星级的资料，如网评资料、相关主管单位评定资料等；同时提供酒店相关地理位置及住宿点具体情况介绍及联系号码）与本项目疗休养特色的吻合程度综合给分。根据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8</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6</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zh-CN" w:eastAsia="zh-CN"/>
              </w:rPr>
              <w:t>3.</w:t>
            </w:r>
            <w:r>
              <w:rPr>
                <w:rFonts w:hint="eastAsia" w:ascii="宋体" w:hAnsi="宋体" w:eastAsia="宋体" w:cs="宋体"/>
                <w:color w:val="auto"/>
                <w:spacing w:val="-6"/>
                <w:sz w:val="22"/>
                <w:szCs w:val="22"/>
                <w:highlight w:val="none"/>
                <w:lang w:val="en-US" w:eastAsia="zh-CN"/>
              </w:rPr>
              <w:t>就餐及餐标</w:t>
            </w:r>
            <w:r>
              <w:rPr>
                <w:rFonts w:hint="eastAsia" w:ascii="宋体" w:hAnsi="宋体" w:eastAsia="宋体" w:cs="宋体"/>
                <w:color w:val="auto"/>
                <w:spacing w:val="-6"/>
                <w:sz w:val="22"/>
                <w:szCs w:val="22"/>
                <w:highlight w:val="none"/>
                <w:lang w:val="zh-CN" w:eastAsia="zh-CN"/>
              </w:rPr>
              <w:t>或其他交通工具安排方案综合给分。（可提供相关图片、驾照、行驶证作为辅助评审资料）</w:t>
            </w:r>
            <w:r>
              <w:rPr>
                <w:rFonts w:hint="eastAsia" w:ascii="宋体" w:hAnsi="宋体" w:eastAsia="宋体" w:cs="宋体"/>
                <w:color w:val="auto"/>
                <w:spacing w:val="-6"/>
                <w:sz w:val="22"/>
                <w:szCs w:val="22"/>
                <w:highlight w:val="none"/>
                <w:lang w:val="en-US" w:eastAsia="zh-CN"/>
              </w:rPr>
              <w:t>安排方案的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1.5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rPr>
                <w:rFonts w:hint="eastAsia" w:ascii="宋体" w:hAnsi="宋体" w:eastAsia="宋体" w:cs="宋体"/>
                <w:color w:val="auto"/>
                <w:kern w:val="2"/>
                <w:sz w:val="22"/>
                <w:szCs w:val="22"/>
                <w:highlight w:val="none"/>
                <w:lang w:val="zh-CN" w:eastAsia="zh-CN" w:bidi="ar-SA"/>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val="en-US" w:eastAsia="zh-CN"/>
              </w:rPr>
            </w:pPr>
            <w:r>
              <w:rPr>
                <w:rStyle w:val="342"/>
                <w:rFonts w:hint="eastAsia" w:ascii="宋体" w:hAnsi="宋体" w:cs="宋体"/>
                <w:color w:val="auto"/>
                <w:sz w:val="22"/>
                <w:szCs w:val="22"/>
                <w:highlight w:val="none"/>
                <w:lang w:val="en-US" w:eastAsia="zh-CN"/>
              </w:rPr>
              <w:t>8</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省内路线（</w:t>
            </w:r>
            <w:r>
              <w:rPr>
                <w:rFonts w:hint="eastAsia" w:ascii="宋体" w:hAnsi="宋体" w:eastAsia="宋体" w:cs="宋体"/>
                <w:color w:val="auto"/>
                <w:spacing w:val="-6"/>
                <w:sz w:val="22"/>
                <w:szCs w:val="22"/>
                <w:highlight w:val="none"/>
                <w:lang w:val="en-US" w:eastAsia="zh-CN"/>
              </w:rPr>
              <w:t>除温州市域</w:t>
            </w:r>
            <w:r>
              <w:rPr>
                <w:rFonts w:hint="eastAsia" w:ascii="宋体" w:hAnsi="宋体" w:eastAsia="宋体" w:cs="宋体"/>
                <w:color w:val="auto"/>
                <w:spacing w:val="-6"/>
                <w:sz w:val="22"/>
                <w:szCs w:val="22"/>
                <w:highlight w:val="none"/>
                <w:lang w:val="zh-CN" w:eastAsia="zh-CN"/>
              </w:rPr>
              <w:t>）疗休养活动方案：</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1.</w:t>
            </w:r>
            <w:r>
              <w:rPr>
                <w:rFonts w:hint="eastAsia" w:ascii="宋体" w:hAnsi="宋体" w:eastAsia="宋体" w:cs="宋体"/>
                <w:color w:val="auto"/>
                <w:spacing w:val="-6"/>
                <w:sz w:val="22"/>
                <w:szCs w:val="22"/>
                <w:highlight w:val="none"/>
                <w:lang w:val="en-US" w:eastAsia="zh-CN"/>
              </w:rPr>
              <w:t>路线安排（包括景点安排）方案：根据总体出行线路安排（标明各景点档次、景点之间的车程时间，当天出行路线安排、疗养期间的整体行程安排，住宿至各景点的路线行程安排）方案的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zh-CN" w:eastAsia="zh-CN"/>
              </w:rPr>
              <w:t>2.</w:t>
            </w:r>
            <w:r>
              <w:rPr>
                <w:rFonts w:hint="eastAsia" w:ascii="宋体" w:hAnsi="宋体" w:eastAsia="宋体" w:cs="宋体"/>
                <w:color w:val="auto"/>
                <w:spacing w:val="-6"/>
                <w:sz w:val="22"/>
                <w:szCs w:val="22"/>
                <w:highlight w:val="none"/>
                <w:lang w:val="en-US" w:eastAsia="zh-CN"/>
              </w:rPr>
              <w:t>酒店住宿安排方案（住宿安排须提供住宿点的具体星级等级，无挂牌的提供相当于同档次星级的资料，如网评资料、相关主管单位评定资料等；同时提供酒店相关地理位置及住宿点具体情况介绍及联系号码）与本项目疗休养特色的吻合程度综合给分。根据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eastAsia="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3.</w:t>
            </w:r>
            <w:r>
              <w:rPr>
                <w:rFonts w:hint="eastAsia" w:ascii="宋体" w:hAnsi="宋体" w:eastAsia="宋体" w:cs="宋体"/>
                <w:color w:val="auto"/>
                <w:spacing w:val="-6"/>
                <w:sz w:val="22"/>
                <w:szCs w:val="22"/>
                <w:highlight w:val="none"/>
                <w:lang w:val="en-US" w:eastAsia="zh-CN"/>
              </w:rPr>
              <w:t>就餐及餐标</w:t>
            </w:r>
            <w:r>
              <w:rPr>
                <w:rFonts w:hint="eastAsia" w:ascii="宋体" w:hAnsi="宋体" w:eastAsia="宋体" w:cs="宋体"/>
                <w:color w:val="auto"/>
                <w:spacing w:val="-6"/>
                <w:sz w:val="22"/>
                <w:szCs w:val="22"/>
                <w:highlight w:val="none"/>
                <w:lang w:val="zh-CN" w:eastAsia="zh-CN"/>
              </w:rPr>
              <w:t>或其他交通工具安排方案综合给分。（可提供相关图片、驾照、行驶证作为辅助评审资料）</w:t>
            </w:r>
            <w:r>
              <w:rPr>
                <w:rFonts w:hint="eastAsia" w:ascii="宋体" w:hAnsi="宋体" w:eastAsia="宋体" w:cs="宋体"/>
                <w:color w:val="auto"/>
                <w:spacing w:val="-6"/>
                <w:sz w:val="22"/>
                <w:szCs w:val="22"/>
                <w:highlight w:val="none"/>
                <w:lang w:val="en-US" w:eastAsia="zh-CN"/>
              </w:rPr>
              <w:t>安排方案的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1.5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r>
              <w:rPr>
                <w:rFonts w:hint="eastAsia" w:ascii="宋体" w:hAnsi="宋体" w:eastAsia="宋体" w:cs="宋体"/>
                <w:color w:val="auto"/>
                <w:spacing w:val="-6"/>
                <w:sz w:val="22"/>
                <w:szCs w:val="22"/>
                <w:highlight w:val="none"/>
                <w:lang w:val="en-US" w:eastAsia="zh-CN"/>
              </w:rPr>
              <w:t>。</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color w:val="auto"/>
                <w:kern w:val="2"/>
                <w:sz w:val="22"/>
                <w:szCs w:val="22"/>
                <w:highlight w:val="none"/>
                <w:lang w:val="zh-CN" w:eastAsia="zh-CN" w:bidi="ar-SA"/>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default" w:ascii="宋体" w:hAnsi="宋体" w:eastAsia="宋体" w:cs="宋体"/>
                <w:color w:val="auto"/>
                <w:kern w:val="2"/>
                <w:sz w:val="22"/>
                <w:szCs w:val="22"/>
                <w:highlight w:val="none"/>
                <w:lang w:val="en-US" w:eastAsia="zh-CN" w:bidi="ar-SA"/>
              </w:rPr>
            </w:pPr>
            <w:r>
              <w:rPr>
                <w:rStyle w:val="342"/>
                <w:rFonts w:hint="eastAsia" w:ascii="宋体" w:hAnsi="宋体" w:cs="宋体"/>
                <w:color w:val="auto"/>
                <w:sz w:val="22"/>
                <w:szCs w:val="22"/>
                <w:highlight w:val="none"/>
                <w:lang w:val="en-US" w:eastAsia="zh-CN"/>
              </w:rPr>
              <w:t>15</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en-US" w:eastAsia="zh-CN"/>
              </w:rPr>
              <w:t>邻省</w:t>
            </w:r>
            <w:r>
              <w:rPr>
                <w:rFonts w:hint="eastAsia" w:ascii="宋体" w:hAnsi="宋体" w:eastAsia="宋体" w:cs="宋体"/>
                <w:color w:val="auto"/>
                <w:spacing w:val="-6"/>
                <w:sz w:val="22"/>
                <w:szCs w:val="22"/>
                <w:highlight w:val="none"/>
                <w:lang w:val="zh-CN" w:eastAsia="zh-CN"/>
              </w:rPr>
              <w:t>线路疗休养活动方案：</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1.路线安排（包括景点安排）方案：根据总体出行线路安排（标明各景点档次、景点之间的车程时间</w:t>
            </w:r>
            <w:r>
              <w:rPr>
                <w:rFonts w:hint="eastAsia" w:ascii="宋体" w:hAnsi="宋体" w:eastAsia="宋体" w:cs="宋体"/>
                <w:color w:val="auto"/>
                <w:spacing w:val="-6"/>
                <w:sz w:val="22"/>
                <w:szCs w:val="22"/>
                <w:highlight w:val="none"/>
                <w:lang w:val="en-US" w:eastAsia="zh-CN"/>
              </w:rPr>
              <w:t>，</w:t>
            </w:r>
            <w:r>
              <w:rPr>
                <w:rFonts w:hint="eastAsia" w:ascii="宋体" w:hAnsi="宋体" w:eastAsia="宋体" w:cs="宋体"/>
                <w:color w:val="auto"/>
                <w:spacing w:val="-6"/>
                <w:sz w:val="22"/>
                <w:szCs w:val="22"/>
                <w:highlight w:val="none"/>
                <w:lang w:val="zh-CN" w:eastAsia="zh-CN"/>
              </w:rPr>
              <w:t>当天出行路线安排、疗养期间的整体行程安排，住宿至各景点的路线行程安排）</w:t>
            </w:r>
            <w:r>
              <w:rPr>
                <w:rFonts w:hint="eastAsia" w:ascii="宋体" w:hAnsi="宋体" w:eastAsia="宋体" w:cs="宋体"/>
                <w:color w:val="auto"/>
                <w:spacing w:val="-6"/>
                <w:sz w:val="22"/>
                <w:szCs w:val="22"/>
                <w:highlight w:val="none"/>
                <w:lang w:val="en-US" w:eastAsia="zh-CN"/>
              </w:rPr>
              <w:t>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6.5</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2.酒店住宿安排方案（住宿安排须提供住宿点的具体星级等级，无挂牌的提供相当于同档次星级的资料，如网评资料、相关主管单位评定资料等；同时提供酒店相关地理位置及住宿点具体情况介绍及联系号码）与本项目疗休养特色的吻合程度综合给分。</w:t>
            </w:r>
            <w:r>
              <w:rPr>
                <w:rFonts w:hint="eastAsia" w:ascii="宋体" w:hAnsi="宋体" w:eastAsia="宋体" w:cs="宋体"/>
                <w:color w:val="auto"/>
                <w:spacing w:val="-6"/>
                <w:sz w:val="22"/>
                <w:szCs w:val="22"/>
                <w:highlight w:val="none"/>
                <w:lang w:val="en-US" w:eastAsia="zh-CN"/>
              </w:rPr>
              <w:t>根据方案</w:t>
            </w:r>
            <w:r>
              <w:rPr>
                <w:rFonts w:hint="eastAsia" w:ascii="宋体" w:hAnsi="宋体" w:eastAsia="宋体" w:cs="宋体"/>
                <w:color w:val="auto"/>
                <w:spacing w:val="-6"/>
                <w:sz w:val="22"/>
                <w:szCs w:val="22"/>
                <w:highlight w:val="none"/>
                <w:lang w:val="zh-CN" w:eastAsia="zh-CN"/>
              </w:rPr>
              <w:t>的全面、科学合理、针对性和可操作性综合打分。（全面、科学合理、针对性和可操作性强的得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6.5</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3.就餐及餐标或其他交通工具安排方案综合给分。（可提供相关图片、驾照、行驶证作为辅助评审资料）安排方案的全面、科学合理、针对性和可操作性综合打分。（全面、科学合理、针对性和可操作性强的得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1.5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rPr>
                <w:rFonts w:hint="eastAsia" w:ascii="宋体" w:hAnsi="宋体" w:eastAsia="宋体" w:cs="宋体"/>
                <w:color w:val="auto"/>
                <w:kern w:val="2"/>
                <w:sz w:val="22"/>
                <w:szCs w:val="22"/>
                <w:highlight w:val="none"/>
                <w:lang w:val="en-US" w:eastAsia="zh-CN" w:bidi="ar-SA"/>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default" w:ascii="宋体" w:hAnsi="宋体" w:eastAsia="宋体" w:cs="宋体"/>
                <w:color w:val="auto"/>
                <w:sz w:val="22"/>
                <w:szCs w:val="22"/>
                <w:highlight w:val="none"/>
                <w:lang w:val="en-US" w:eastAsia="zh-CN"/>
              </w:rPr>
            </w:pPr>
            <w:r>
              <w:rPr>
                <w:rStyle w:val="342"/>
                <w:rFonts w:hint="eastAsia" w:ascii="宋体" w:hAnsi="宋体" w:cs="宋体"/>
                <w:color w:val="auto"/>
                <w:sz w:val="22"/>
                <w:szCs w:val="22"/>
                <w:highlight w:val="none"/>
                <w:lang w:val="en-US" w:eastAsia="zh-CN"/>
              </w:rPr>
              <w:t>15</w:t>
            </w:r>
          </w:p>
        </w:tc>
        <w:tc>
          <w:tcPr>
            <w:tcW w:w="6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en-US" w:eastAsia="zh-CN"/>
              </w:rPr>
              <w:t>对口支援</w:t>
            </w:r>
            <w:r>
              <w:rPr>
                <w:rFonts w:hint="eastAsia" w:ascii="宋体" w:hAnsi="宋体" w:eastAsia="宋体" w:cs="宋体"/>
                <w:color w:val="auto"/>
                <w:spacing w:val="-6"/>
                <w:sz w:val="22"/>
                <w:szCs w:val="22"/>
                <w:highlight w:val="none"/>
                <w:lang w:val="zh-CN" w:eastAsia="zh-CN"/>
              </w:rPr>
              <w:t>线路疗休养活动方案：</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1.路线安排（包括景点安排）方案：根据总体出行线路安排（标明各景点档次、景点之间的车程时间</w:t>
            </w:r>
            <w:r>
              <w:rPr>
                <w:rFonts w:hint="eastAsia" w:ascii="宋体" w:hAnsi="宋体" w:eastAsia="宋体" w:cs="宋体"/>
                <w:color w:val="auto"/>
                <w:spacing w:val="-6"/>
                <w:sz w:val="22"/>
                <w:szCs w:val="22"/>
                <w:highlight w:val="none"/>
                <w:lang w:val="en-US" w:eastAsia="zh-CN"/>
              </w:rPr>
              <w:t>，</w:t>
            </w:r>
            <w:r>
              <w:rPr>
                <w:rFonts w:hint="eastAsia" w:ascii="宋体" w:hAnsi="宋体" w:eastAsia="宋体" w:cs="宋体"/>
                <w:color w:val="auto"/>
                <w:spacing w:val="-6"/>
                <w:sz w:val="22"/>
                <w:szCs w:val="22"/>
                <w:highlight w:val="none"/>
                <w:lang w:val="zh-CN" w:eastAsia="zh-CN"/>
              </w:rPr>
              <w:t>当天出行路线安排、疗养期间的整体行程安排，住宿至各景点的路线行程安排）</w:t>
            </w:r>
            <w:r>
              <w:rPr>
                <w:rFonts w:hint="eastAsia" w:ascii="宋体" w:hAnsi="宋体" w:eastAsia="宋体" w:cs="宋体"/>
                <w:color w:val="auto"/>
                <w:spacing w:val="-6"/>
                <w:sz w:val="22"/>
                <w:szCs w:val="22"/>
                <w:highlight w:val="none"/>
                <w:lang w:val="en-US" w:eastAsia="zh-CN"/>
              </w:rPr>
              <w:t>方案的</w:t>
            </w:r>
            <w:r>
              <w:rPr>
                <w:rFonts w:hint="eastAsia" w:ascii="宋体" w:hAnsi="宋体" w:eastAsia="宋体" w:cs="宋体"/>
                <w:color w:val="auto"/>
                <w:spacing w:val="-6"/>
                <w:sz w:val="22"/>
                <w:szCs w:val="22"/>
                <w:highlight w:val="none"/>
                <w:lang w:val="zh-CN" w:eastAsia="zh-CN"/>
              </w:rPr>
              <w:t>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6.5</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2.酒店住宿安排方案（住宿安排须提供住宿点的具体星级等级，无挂牌的提供相当于同档次星级的资料，如网评资料、相关主管单位评定资料等；同时提供酒店相关地理位置及住宿点具体情况介绍及联系号码）与本项目疗休养特色的吻合程度综合给分。</w:t>
            </w:r>
            <w:r>
              <w:rPr>
                <w:rFonts w:hint="eastAsia" w:ascii="宋体" w:hAnsi="宋体" w:eastAsia="宋体" w:cs="宋体"/>
                <w:color w:val="auto"/>
                <w:spacing w:val="-6"/>
                <w:sz w:val="22"/>
                <w:szCs w:val="22"/>
                <w:highlight w:val="none"/>
                <w:lang w:val="en-US" w:eastAsia="zh-CN"/>
              </w:rPr>
              <w:t>根据方案</w:t>
            </w:r>
            <w:r>
              <w:rPr>
                <w:rFonts w:hint="eastAsia" w:ascii="宋体" w:hAnsi="宋体" w:eastAsia="宋体" w:cs="宋体"/>
                <w:color w:val="auto"/>
                <w:spacing w:val="-6"/>
                <w:sz w:val="22"/>
                <w:szCs w:val="22"/>
                <w:highlight w:val="none"/>
                <w:lang w:val="zh-CN" w:eastAsia="zh-CN"/>
              </w:rPr>
              <w:t>的全面、科学合理、针对性和可操作性综合打分。（全面、科学合理、针对性和可操作性强的得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6.5</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分；未提供的不得分）。</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eastAsia="zh-CN"/>
              </w:rPr>
              <w:t>3.就餐及餐标或其他交通工具安排方案综合给分。（可提供相关图片、驾照、行驶证作为辅助评审资料）安排方案的全面、科学合理、针对性和可操作性综合打分。（全面、科学合理、针对性和可操作性强的得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eastAsia="zh-CN"/>
              </w:rPr>
              <w:t>分；全面、科学合理、针对性和可操作性较强的得</w:t>
            </w:r>
            <w:r>
              <w:rPr>
                <w:rFonts w:hint="eastAsia" w:ascii="宋体" w:hAnsi="宋体" w:cs="宋体"/>
                <w:color w:val="auto"/>
                <w:spacing w:val="-6"/>
                <w:sz w:val="22"/>
                <w:szCs w:val="22"/>
                <w:highlight w:val="none"/>
                <w:lang w:val="en-US" w:eastAsia="zh-CN"/>
              </w:rPr>
              <w:t>1.5</w:t>
            </w:r>
            <w:r>
              <w:rPr>
                <w:rFonts w:hint="eastAsia" w:ascii="宋体" w:hAnsi="宋体" w:eastAsia="宋体" w:cs="宋体"/>
                <w:color w:val="auto"/>
                <w:spacing w:val="-6"/>
                <w:sz w:val="22"/>
                <w:szCs w:val="22"/>
                <w:highlight w:val="none"/>
                <w:lang w:val="zh-CN" w:eastAsia="zh-CN"/>
              </w:rPr>
              <w:t>分；全面、科学合理、针对性和可操作性一般的得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eastAsia="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eastAsia="zh-CN"/>
              </w:rPr>
              <w:t>强的得</w:t>
            </w:r>
            <w:r>
              <w:rPr>
                <w:rFonts w:hint="eastAsia" w:ascii="宋体" w:hAnsi="宋体" w:cs="宋体"/>
                <w:color w:val="auto"/>
                <w:spacing w:val="-6"/>
                <w:sz w:val="22"/>
                <w:szCs w:val="22"/>
                <w:highlight w:val="none"/>
                <w:lang w:val="en-US" w:eastAsia="zh-CN"/>
              </w:rPr>
              <w:t>0.5</w:t>
            </w:r>
            <w:r>
              <w:rPr>
                <w:rFonts w:hint="eastAsia" w:ascii="宋体" w:hAnsi="宋体" w:eastAsia="宋体" w:cs="宋体"/>
                <w:color w:val="auto"/>
                <w:spacing w:val="-6"/>
                <w:sz w:val="22"/>
                <w:szCs w:val="22"/>
                <w:highlight w:val="none"/>
                <w:lang w:val="zh-CN" w:eastAsia="zh-CN"/>
              </w:rPr>
              <w:t>分；未提供的不得分）。</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rPr>
                <w:rFonts w:hint="eastAsia" w:ascii="宋体" w:hAnsi="宋体" w:eastAsia="宋体" w:cs="宋体"/>
                <w:color w:val="auto"/>
                <w:kern w:val="2"/>
                <w:sz w:val="22"/>
                <w:szCs w:val="22"/>
                <w:highlight w:val="none"/>
                <w:lang w:val="zh-CN" w:eastAsia="zh-CN" w:bidi="ar-SA"/>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val="en-US" w:eastAsia="zh-CN"/>
              </w:rPr>
            </w:pPr>
            <w:r>
              <w:rPr>
                <w:rStyle w:val="342"/>
                <w:rFonts w:hint="eastAsia" w:ascii="宋体" w:hAnsi="宋体" w:eastAsia="宋体" w:cs="宋体"/>
                <w:color w:val="auto"/>
                <w:sz w:val="22"/>
                <w:szCs w:val="22"/>
                <w:highlight w:val="none"/>
                <w:lang w:val="en-US" w:eastAsia="zh-CN"/>
              </w:rPr>
              <w:t>3</w:t>
            </w:r>
          </w:p>
        </w:tc>
        <w:tc>
          <w:tcPr>
            <w:tcW w:w="117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投入本项目人员</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eastAsia="zh-CN"/>
              </w:rPr>
            </w:pPr>
            <w:r>
              <w:rPr>
                <w:rStyle w:val="342"/>
                <w:rFonts w:hint="eastAsia" w:ascii="宋体" w:hAnsi="宋体" w:cs="宋体"/>
                <w:color w:val="auto"/>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rPr>
              <w:t>根据投标人投入本项目</w:t>
            </w:r>
            <w:r>
              <w:rPr>
                <w:rFonts w:hint="eastAsia" w:ascii="宋体" w:hAnsi="宋体" w:cs="宋体"/>
                <w:color w:val="auto"/>
                <w:spacing w:val="-6"/>
                <w:sz w:val="22"/>
                <w:szCs w:val="22"/>
                <w:highlight w:val="none"/>
                <w:lang w:val="en-US" w:eastAsia="zh-CN"/>
              </w:rPr>
              <w:t>实际</w:t>
            </w:r>
            <w:r>
              <w:rPr>
                <w:rFonts w:hint="eastAsia" w:ascii="宋体" w:hAnsi="宋体" w:eastAsia="宋体" w:cs="宋体"/>
                <w:color w:val="auto"/>
                <w:spacing w:val="-6"/>
                <w:sz w:val="22"/>
                <w:szCs w:val="22"/>
                <w:highlight w:val="none"/>
                <w:lang w:val="zh-CN"/>
              </w:rPr>
              <w:t>负责人资格、荣誉、从业经验、调度能力等</w:t>
            </w:r>
            <w:r>
              <w:rPr>
                <w:rFonts w:hint="eastAsia" w:ascii="宋体" w:hAnsi="宋体" w:eastAsia="宋体" w:cs="宋体"/>
                <w:color w:val="auto"/>
                <w:spacing w:val="-6"/>
                <w:sz w:val="22"/>
                <w:szCs w:val="22"/>
                <w:highlight w:val="none"/>
                <w:lang w:val="en-US" w:eastAsia="zh-CN"/>
              </w:rPr>
              <w:t>综合</w:t>
            </w:r>
            <w:r>
              <w:rPr>
                <w:rFonts w:hint="eastAsia" w:ascii="宋体" w:hAnsi="宋体" w:eastAsia="宋体" w:cs="宋体"/>
                <w:color w:val="auto"/>
                <w:spacing w:val="-6"/>
                <w:sz w:val="22"/>
                <w:szCs w:val="22"/>
                <w:highlight w:val="none"/>
                <w:lang w:val="zh-CN"/>
              </w:rPr>
              <w:t>打分。</w:t>
            </w:r>
            <w:r>
              <w:rPr>
                <w:rFonts w:hint="eastAsia" w:ascii="宋体" w:hAnsi="宋体" w:eastAsia="宋体" w:cs="宋体"/>
                <w:color w:val="auto"/>
                <w:spacing w:val="-6"/>
                <w:sz w:val="22"/>
                <w:szCs w:val="22"/>
                <w:highlight w:val="none"/>
                <w:lang w:val="zh-CN" w:eastAsia="zh-CN"/>
              </w:rPr>
              <w:t>（</w:t>
            </w:r>
            <w:r>
              <w:rPr>
                <w:rFonts w:hint="eastAsia" w:ascii="宋体" w:hAnsi="宋体" w:eastAsia="宋体" w:cs="宋体"/>
                <w:color w:val="auto"/>
                <w:spacing w:val="-6"/>
                <w:sz w:val="22"/>
                <w:szCs w:val="22"/>
                <w:highlight w:val="none"/>
                <w:lang w:val="en-US" w:eastAsia="zh-CN"/>
              </w:rPr>
              <w:t>资质</w:t>
            </w:r>
            <w:r>
              <w:rPr>
                <w:rFonts w:hint="eastAsia" w:ascii="宋体" w:hAnsi="宋体" w:eastAsia="宋体" w:cs="宋体"/>
                <w:color w:val="auto"/>
                <w:spacing w:val="-6"/>
                <w:sz w:val="22"/>
                <w:szCs w:val="22"/>
                <w:highlight w:val="none"/>
                <w:lang w:val="zh-CN"/>
              </w:rPr>
              <w:t>、从业经验、调度能力强的得</w:t>
            </w: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lang w:val="zh-CN"/>
              </w:rPr>
              <w:t>分；</w:t>
            </w:r>
            <w:r>
              <w:rPr>
                <w:rFonts w:hint="eastAsia" w:ascii="宋体" w:hAnsi="宋体" w:eastAsia="宋体" w:cs="宋体"/>
                <w:color w:val="auto"/>
                <w:spacing w:val="-6"/>
                <w:sz w:val="22"/>
                <w:szCs w:val="22"/>
                <w:highlight w:val="none"/>
                <w:lang w:val="en-US" w:eastAsia="zh-CN"/>
              </w:rPr>
              <w:t>资质</w:t>
            </w:r>
            <w:r>
              <w:rPr>
                <w:rFonts w:hint="eastAsia" w:ascii="宋体" w:hAnsi="宋体" w:eastAsia="宋体" w:cs="宋体"/>
                <w:color w:val="auto"/>
                <w:spacing w:val="-6"/>
                <w:sz w:val="22"/>
                <w:szCs w:val="22"/>
                <w:highlight w:val="none"/>
                <w:lang w:val="zh-CN"/>
              </w:rPr>
              <w:t>、从业经验、调度能力较强的得</w:t>
            </w:r>
            <w:r>
              <w:rPr>
                <w:rFonts w:hint="eastAsia" w:ascii="宋体" w:hAnsi="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rPr>
              <w:t>分；</w:t>
            </w:r>
            <w:r>
              <w:rPr>
                <w:rFonts w:hint="eastAsia" w:ascii="宋体" w:hAnsi="宋体" w:eastAsia="宋体" w:cs="宋体"/>
                <w:color w:val="auto"/>
                <w:spacing w:val="-6"/>
                <w:sz w:val="22"/>
                <w:szCs w:val="22"/>
                <w:highlight w:val="none"/>
                <w:lang w:val="en-US" w:eastAsia="zh-CN"/>
              </w:rPr>
              <w:t>资质</w:t>
            </w:r>
            <w:r>
              <w:rPr>
                <w:rFonts w:hint="eastAsia" w:ascii="宋体" w:hAnsi="宋体" w:eastAsia="宋体" w:cs="宋体"/>
                <w:color w:val="auto"/>
                <w:spacing w:val="-6"/>
                <w:sz w:val="22"/>
                <w:szCs w:val="22"/>
                <w:highlight w:val="none"/>
                <w:lang w:val="zh-CN"/>
              </w:rPr>
              <w:t>、从业经验、调度能力一般的得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rPr>
              <w:t>分；</w:t>
            </w:r>
            <w:r>
              <w:rPr>
                <w:rFonts w:hint="eastAsia" w:ascii="宋体" w:hAnsi="宋体" w:eastAsia="宋体" w:cs="宋体"/>
                <w:color w:val="auto"/>
                <w:spacing w:val="-6"/>
                <w:sz w:val="22"/>
                <w:szCs w:val="22"/>
                <w:highlight w:val="none"/>
                <w:lang w:val="en-US" w:eastAsia="zh-CN"/>
              </w:rPr>
              <w:t>资质</w:t>
            </w:r>
            <w:r>
              <w:rPr>
                <w:rFonts w:hint="eastAsia" w:ascii="宋体" w:hAnsi="宋体" w:eastAsia="宋体" w:cs="宋体"/>
                <w:color w:val="auto"/>
                <w:spacing w:val="-6"/>
                <w:sz w:val="22"/>
                <w:szCs w:val="22"/>
                <w:highlight w:val="none"/>
                <w:lang w:val="zh-CN"/>
              </w:rPr>
              <w:t>、从业经验、调度能力不强的得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rPr>
              <w:t>分</w:t>
            </w:r>
            <w:r>
              <w:rPr>
                <w:rFonts w:hint="eastAsia" w:ascii="宋体" w:hAnsi="宋体" w:eastAsia="宋体" w:cs="宋体"/>
                <w:color w:val="auto"/>
                <w:spacing w:val="-6"/>
                <w:sz w:val="22"/>
                <w:szCs w:val="22"/>
                <w:highlight w:val="none"/>
                <w:lang w:val="zh-CN" w:eastAsia="zh-CN"/>
              </w:rPr>
              <w:t>；</w:t>
            </w:r>
            <w:r>
              <w:rPr>
                <w:rFonts w:hint="eastAsia" w:ascii="宋体" w:hAnsi="宋体" w:eastAsia="宋体" w:cs="宋体"/>
                <w:color w:val="auto"/>
                <w:spacing w:val="-6"/>
                <w:sz w:val="22"/>
                <w:szCs w:val="22"/>
                <w:highlight w:val="none"/>
                <w:lang w:val="en-US" w:eastAsia="zh-CN"/>
              </w:rPr>
              <w:t>没有体现项目</w:t>
            </w:r>
            <w:r>
              <w:rPr>
                <w:rFonts w:hint="eastAsia" w:ascii="宋体" w:hAnsi="宋体" w:cs="宋体"/>
                <w:color w:val="auto"/>
                <w:spacing w:val="-6"/>
                <w:sz w:val="22"/>
                <w:szCs w:val="22"/>
                <w:highlight w:val="none"/>
                <w:lang w:val="en-US" w:eastAsia="zh-CN"/>
              </w:rPr>
              <w:t>实际</w:t>
            </w:r>
            <w:r>
              <w:rPr>
                <w:rFonts w:hint="eastAsia" w:ascii="宋体" w:hAnsi="宋体" w:eastAsia="宋体" w:cs="宋体"/>
                <w:color w:val="auto"/>
                <w:spacing w:val="-6"/>
                <w:sz w:val="22"/>
                <w:szCs w:val="22"/>
                <w:highlight w:val="none"/>
                <w:lang w:val="en-US" w:eastAsia="zh-CN"/>
              </w:rPr>
              <w:t>负责人的不得分</w:t>
            </w:r>
            <w:r>
              <w:rPr>
                <w:rFonts w:hint="eastAsia" w:ascii="宋体" w:hAnsi="宋体" w:eastAsia="宋体" w:cs="宋体"/>
                <w:color w:val="auto"/>
                <w:spacing w:val="-6"/>
                <w:sz w:val="22"/>
                <w:szCs w:val="22"/>
                <w:highlight w:val="none"/>
                <w:lang w:val="zh-CN"/>
              </w:rPr>
              <w:t>。</w:t>
            </w:r>
            <w:r>
              <w:rPr>
                <w:rFonts w:hint="eastAsia" w:ascii="宋体" w:hAnsi="宋体" w:eastAsia="宋体" w:cs="宋体"/>
                <w:color w:val="auto"/>
                <w:spacing w:val="-6"/>
                <w:sz w:val="22"/>
                <w:szCs w:val="22"/>
                <w:highlight w:val="none"/>
                <w:lang w:val="zh-CN" w:eastAsia="zh-CN"/>
              </w:rPr>
              <w:t>）</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rPr>
              <w:t>提供</w:t>
            </w:r>
            <w:r>
              <w:rPr>
                <w:rFonts w:hint="eastAsia" w:ascii="宋体" w:hAnsi="宋体" w:cs="宋体"/>
                <w:color w:val="auto"/>
                <w:spacing w:val="-6"/>
                <w:sz w:val="22"/>
                <w:szCs w:val="22"/>
                <w:highlight w:val="none"/>
                <w:lang w:val="en-US" w:eastAsia="zh-CN"/>
              </w:rPr>
              <w:t>人</w:t>
            </w:r>
            <w:r>
              <w:rPr>
                <w:rFonts w:hint="eastAsia" w:ascii="宋体" w:hAnsi="宋体" w:eastAsia="宋体" w:cs="宋体"/>
                <w:color w:val="auto"/>
                <w:spacing w:val="-6"/>
                <w:sz w:val="22"/>
                <w:szCs w:val="22"/>
                <w:highlight w:val="none"/>
                <w:lang w:val="zh-CN"/>
              </w:rPr>
              <w:t>员</w:t>
            </w:r>
            <w:r>
              <w:rPr>
                <w:rFonts w:hint="eastAsia" w:ascii="宋体" w:hAnsi="宋体" w:cs="宋体"/>
                <w:color w:val="auto"/>
                <w:spacing w:val="-6"/>
                <w:sz w:val="22"/>
                <w:szCs w:val="22"/>
                <w:highlight w:val="none"/>
                <w:lang w:val="en-US" w:eastAsia="zh-CN"/>
              </w:rPr>
              <w:t>近三个月内</w:t>
            </w:r>
            <w:r>
              <w:rPr>
                <w:rFonts w:hint="eastAsia" w:ascii="宋体" w:hAnsi="宋体" w:eastAsia="宋体" w:cs="宋体"/>
                <w:color w:val="auto"/>
                <w:spacing w:val="-6"/>
                <w:sz w:val="22"/>
                <w:szCs w:val="22"/>
                <w:highlight w:val="none"/>
                <w:lang w:val="zh-CN"/>
              </w:rPr>
              <w:t>任意一月的社保缴纳复印件证明材料加盖</w:t>
            </w:r>
            <w:r>
              <w:rPr>
                <w:rFonts w:hint="eastAsia" w:ascii="宋体" w:hAnsi="宋体" w:cs="宋体"/>
                <w:color w:val="auto"/>
                <w:spacing w:val="-6"/>
                <w:sz w:val="22"/>
                <w:szCs w:val="22"/>
                <w:highlight w:val="none"/>
                <w:lang w:val="zh-CN"/>
              </w:rPr>
              <w:t>投标人</w:t>
            </w:r>
            <w:r>
              <w:rPr>
                <w:rFonts w:hint="eastAsia" w:ascii="宋体" w:hAnsi="宋体" w:eastAsia="宋体" w:cs="宋体"/>
                <w:color w:val="auto"/>
                <w:spacing w:val="-6"/>
                <w:sz w:val="22"/>
                <w:szCs w:val="22"/>
                <w:highlight w:val="none"/>
                <w:lang w:val="zh-CN"/>
              </w:rPr>
              <w:t>公章，否则不得分。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color w:val="auto"/>
                <w:kern w:val="2"/>
                <w:sz w:val="22"/>
                <w:szCs w:val="22"/>
                <w:highlight w:val="none"/>
                <w:lang w:val="en-US" w:eastAsia="zh-CN" w:bidi="ar-SA"/>
              </w:rPr>
            </w:pPr>
            <w:r>
              <w:rPr>
                <w:rStyle w:val="342"/>
                <w:rFonts w:hint="eastAsia" w:ascii="宋体" w:hAnsi="宋体" w:eastAsia="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default" w:ascii="宋体" w:hAnsi="宋体" w:eastAsia="宋体" w:cs="宋体"/>
                <w:color w:val="auto"/>
                <w:sz w:val="22"/>
                <w:szCs w:val="22"/>
                <w:highlight w:val="none"/>
                <w:lang w:val="en-US" w:eastAsia="zh-CN"/>
              </w:rPr>
            </w:pPr>
            <w:r>
              <w:rPr>
                <w:rStyle w:val="342"/>
                <w:rFonts w:hint="eastAsia" w:ascii="宋体" w:hAnsi="宋体" w:cs="宋体"/>
                <w:color w:val="auto"/>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default"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zh-CN"/>
              </w:rPr>
              <w:t>根据投标人</w:t>
            </w:r>
            <w:r>
              <w:rPr>
                <w:rFonts w:hint="eastAsia" w:ascii="宋体" w:hAnsi="宋体" w:cs="宋体"/>
                <w:color w:val="auto"/>
                <w:spacing w:val="-6"/>
                <w:sz w:val="22"/>
                <w:szCs w:val="22"/>
                <w:highlight w:val="none"/>
                <w:lang w:val="en-US" w:eastAsia="zh-CN"/>
              </w:rPr>
              <w:t>拟投</w:t>
            </w:r>
            <w:r>
              <w:rPr>
                <w:rFonts w:hint="eastAsia" w:ascii="宋体" w:hAnsi="宋体" w:eastAsia="宋体" w:cs="宋体"/>
                <w:color w:val="auto"/>
                <w:spacing w:val="-6"/>
                <w:sz w:val="22"/>
                <w:szCs w:val="22"/>
                <w:highlight w:val="none"/>
                <w:lang w:val="zh-CN"/>
              </w:rPr>
              <w:t>入本项目</w:t>
            </w:r>
            <w:r>
              <w:rPr>
                <w:rFonts w:hint="eastAsia" w:ascii="宋体" w:hAnsi="宋体" w:cs="宋体"/>
                <w:color w:val="auto"/>
                <w:spacing w:val="-6"/>
                <w:sz w:val="22"/>
                <w:szCs w:val="22"/>
                <w:highlight w:val="none"/>
                <w:lang w:val="en-US" w:eastAsia="zh-CN"/>
              </w:rPr>
              <w:t>的业务经办人（中标后与采购人直接对接人员）的专业素质、从业经验是否丰富，协调沟通能力等方面是否高效，意见结果反馈是否及时、到位，采购人提出的相关需求、问题是否能快速解决、落实。（专业素质、从业经验丰富，协调沟通能力等方面高效，意见结果反馈及时、到位，采购人提出的相关需求、问题能快速解决、落实的得4分；专业素质、从业经验较好，协调沟通能力等方面较好，意见结果反馈较好，采购人提出的相关需求、问题解决、落实能力较好的得3分；专业素质、从业经验一般，协调沟通能力等方面一般，意见结果反馈一般，采购人提出的相关需求、问题解决、落实能力一般的得2分；专业素质、从业经验不强，协调沟通能力等方面不强，意见结果反馈不强，采购人提出的相关需求、问题解决、落实能力不强的得1分；</w:t>
            </w:r>
            <w:r>
              <w:rPr>
                <w:rFonts w:hint="eastAsia" w:ascii="宋体" w:hAnsi="宋体" w:eastAsia="宋体" w:cs="宋体"/>
                <w:color w:val="auto"/>
                <w:spacing w:val="-6"/>
                <w:sz w:val="22"/>
                <w:szCs w:val="22"/>
                <w:highlight w:val="none"/>
                <w:lang w:val="en-US" w:eastAsia="zh-CN"/>
              </w:rPr>
              <w:t>没有</w:t>
            </w:r>
            <w:r>
              <w:rPr>
                <w:rFonts w:hint="eastAsia" w:ascii="宋体" w:hAnsi="宋体" w:cs="宋体"/>
                <w:color w:val="auto"/>
                <w:spacing w:val="-6"/>
                <w:sz w:val="22"/>
                <w:szCs w:val="22"/>
                <w:highlight w:val="none"/>
                <w:lang w:val="en-US" w:eastAsia="zh-CN"/>
              </w:rPr>
              <w:t>业务经办人</w:t>
            </w:r>
            <w:r>
              <w:rPr>
                <w:rFonts w:hint="eastAsia" w:ascii="宋体" w:hAnsi="宋体" w:eastAsia="宋体" w:cs="宋体"/>
                <w:color w:val="auto"/>
                <w:spacing w:val="-6"/>
                <w:sz w:val="22"/>
                <w:szCs w:val="22"/>
                <w:highlight w:val="none"/>
                <w:lang w:val="en-US" w:eastAsia="zh-CN"/>
              </w:rPr>
              <w:t>的不得分</w:t>
            </w:r>
            <w:r>
              <w:rPr>
                <w:rFonts w:hint="eastAsia" w:ascii="宋体" w:hAnsi="宋体" w:eastAsia="宋体" w:cs="宋体"/>
                <w:color w:val="auto"/>
                <w:spacing w:val="-6"/>
                <w:sz w:val="22"/>
                <w:szCs w:val="22"/>
                <w:highlight w:val="none"/>
                <w:lang w:val="zh-CN"/>
              </w:rPr>
              <w:t>。</w:t>
            </w:r>
            <w:r>
              <w:rPr>
                <w:rFonts w:hint="eastAsia" w:ascii="宋体" w:hAnsi="宋体" w:cs="宋体"/>
                <w:color w:val="auto"/>
                <w:spacing w:val="-6"/>
                <w:sz w:val="22"/>
                <w:szCs w:val="22"/>
                <w:highlight w:val="none"/>
                <w:lang w:val="en-US" w:eastAsia="zh-CN"/>
              </w:rPr>
              <w:t>）</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eastAsia="zh-CN"/>
              </w:rPr>
            </w:pPr>
            <w:r>
              <w:rPr>
                <w:rStyle w:val="342"/>
                <w:rFonts w:hint="eastAsia" w:ascii="宋体" w:hAnsi="宋体" w:cs="宋体"/>
                <w:color w:val="auto"/>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rPr>
            </w:pPr>
            <w:r>
              <w:rPr>
                <w:rFonts w:hint="eastAsia" w:ascii="宋体" w:hAnsi="宋体" w:eastAsia="宋体" w:cs="宋体"/>
                <w:color w:val="auto"/>
                <w:spacing w:val="-6"/>
                <w:sz w:val="22"/>
                <w:szCs w:val="22"/>
                <w:highlight w:val="none"/>
                <w:lang w:val="zh-CN"/>
              </w:rPr>
              <w:t>根据投入本项目的项目组人员（除项目负责人外）</w:t>
            </w:r>
            <w:r>
              <w:rPr>
                <w:rFonts w:hint="eastAsia" w:ascii="宋体" w:hAnsi="宋体" w:eastAsia="宋体" w:cs="宋体"/>
                <w:color w:val="auto"/>
                <w:spacing w:val="-6"/>
                <w:sz w:val="22"/>
                <w:szCs w:val="22"/>
                <w:highlight w:val="none"/>
                <w:lang w:val="en-US" w:eastAsia="zh-CN"/>
              </w:rPr>
              <w:t>相关证书</w:t>
            </w:r>
            <w:r>
              <w:rPr>
                <w:rFonts w:hint="eastAsia" w:ascii="宋体" w:hAnsi="宋体" w:eastAsia="宋体" w:cs="宋体"/>
                <w:color w:val="auto"/>
                <w:spacing w:val="-6"/>
                <w:sz w:val="22"/>
                <w:szCs w:val="22"/>
                <w:highlight w:val="none"/>
                <w:lang w:val="zh-CN"/>
              </w:rPr>
              <w:t>进行打分；具有初级导游证人员每人得0.5分，中级导游人员每人得1分，高级导游人员每人得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rPr>
              <w:t>分，本项最高得</w:t>
            </w: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lang w:val="zh-CN"/>
              </w:rPr>
              <w:t>分。</w:t>
            </w:r>
          </w:p>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rPr>
            </w:pPr>
            <w:r>
              <w:rPr>
                <w:rFonts w:hint="eastAsia" w:ascii="宋体" w:hAnsi="宋体" w:eastAsia="宋体" w:cs="宋体"/>
                <w:color w:val="auto"/>
                <w:spacing w:val="-6"/>
                <w:sz w:val="22"/>
                <w:szCs w:val="22"/>
                <w:highlight w:val="none"/>
                <w:lang w:val="zh-CN"/>
              </w:rPr>
              <w:t>提供</w:t>
            </w:r>
            <w:r>
              <w:rPr>
                <w:rFonts w:hint="eastAsia" w:ascii="宋体" w:hAnsi="宋体" w:cs="宋体"/>
                <w:color w:val="auto"/>
                <w:spacing w:val="-6"/>
                <w:sz w:val="22"/>
                <w:szCs w:val="22"/>
                <w:highlight w:val="none"/>
                <w:lang w:val="en-US" w:eastAsia="zh-CN"/>
              </w:rPr>
              <w:t>人</w:t>
            </w:r>
            <w:r>
              <w:rPr>
                <w:rFonts w:hint="eastAsia" w:ascii="宋体" w:hAnsi="宋体" w:eastAsia="宋体" w:cs="宋体"/>
                <w:color w:val="auto"/>
                <w:spacing w:val="-6"/>
                <w:sz w:val="22"/>
                <w:szCs w:val="22"/>
                <w:highlight w:val="none"/>
                <w:lang w:val="zh-CN"/>
              </w:rPr>
              <w:t>员</w:t>
            </w:r>
            <w:r>
              <w:rPr>
                <w:rFonts w:hint="eastAsia" w:ascii="宋体" w:hAnsi="宋体" w:cs="宋体"/>
                <w:color w:val="auto"/>
                <w:spacing w:val="-6"/>
                <w:sz w:val="22"/>
                <w:szCs w:val="22"/>
                <w:highlight w:val="none"/>
                <w:lang w:val="en-US" w:eastAsia="zh-CN"/>
              </w:rPr>
              <w:t>近三个月内</w:t>
            </w:r>
            <w:r>
              <w:rPr>
                <w:rFonts w:hint="eastAsia" w:ascii="宋体" w:hAnsi="宋体" w:eastAsia="宋体" w:cs="宋体"/>
                <w:color w:val="auto"/>
                <w:spacing w:val="-6"/>
                <w:sz w:val="22"/>
                <w:szCs w:val="22"/>
                <w:highlight w:val="none"/>
                <w:lang w:val="zh-CN"/>
              </w:rPr>
              <w:t>任意一月的社保缴纳复印件和证书证明材料加盖</w:t>
            </w:r>
            <w:r>
              <w:rPr>
                <w:rFonts w:hint="eastAsia" w:ascii="宋体" w:hAnsi="宋体" w:cs="宋体"/>
                <w:color w:val="auto"/>
                <w:spacing w:val="-6"/>
                <w:sz w:val="22"/>
                <w:szCs w:val="22"/>
                <w:highlight w:val="none"/>
                <w:lang w:val="zh-CN"/>
              </w:rPr>
              <w:t>投标人</w:t>
            </w:r>
            <w:r>
              <w:rPr>
                <w:rFonts w:hint="eastAsia" w:ascii="宋体" w:hAnsi="宋体" w:eastAsia="宋体" w:cs="宋体"/>
                <w:color w:val="auto"/>
                <w:spacing w:val="-6"/>
                <w:sz w:val="22"/>
                <w:szCs w:val="22"/>
                <w:highlight w:val="none"/>
                <w:lang w:val="zh-CN"/>
              </w:rPr>
              <w:t>公章，否则不得分。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restart"/>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lang w:val="en-US" w:eastAsia="zh-CN"/>
              </w:rPr>
            </w:pPr>
            <w:r>
              <w:rPr>
                <w:rStyle w:val="342"/>
                <w:rFonts w:hint="eastAsia" w:ascii="宋体" w:hAnsi="宋体" w:eastAsia="宋体" w:cs="宋体"/>
                <w:color w:val="auto"/>
                <w:sz w:val="22"/>
                <w:szCs w:val="22"/>
                <w:highlight w:val="none"/>
                <w:lang w:val="en-US" w:eastAsia="zh-CN"/>
              </w:rPr>
              <w:t>4</w:t>
            </w:r>
          </w:p>
        </w:tc>
        <w:tc>
          <w:tcPr>
            <w:tcW w:w="1173" w:type="dxa"/>
            <w:vMerge w:val="restart"/>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kern w:val="2"/>
                <w:sz w:val="22"/>
                <w:szCs w:val="22"/>
                <w:highlight w:val="none"/>
                <w:lang w:val="zh-CN" w:eastAsia="zh-CN" w:bidi="ar-SA"/>
              </w:rPr>
            </w:pPr>
            <w:r>
              <w:rPr>
                <w:rFonts w:hint="eastAsia" w:ascii="宋体" w:hAnsi="宋体" w:eastAsia="宋体" w:cs="宋体"/>
                <w:color w:val="auto"/>
                <w:spacing w:val="-6"/>
                <w:sz w:val="22"/>
                <w:szCs w:val="22"/>
                <w:highlight w:val="none"/>
                <w:lang w:val="zh-CN"/>
              </w:rPr>
              <w:t>组织实施能力、投诉处理</w:t>
            </w:r>
            <w:r>
              <w:rPr>
                <w:rFonts w:hint="eastAsia" w:ascii="宋体" w:hAnsi="宋体" w:eastAsia="宋体" w:cs="宋体"/>
                <w:color w:val="auto"/>
                <w:spacing w:val="-6"/>
                <w:sz w:val="22"/>
                <w:szCs w:val="22"/>
                <w:highlight w:val="none"/>
                <w:lang w:val="zh-CN" w:eastAsia="zh-CN"/>
              </w:rPr>
              <w:t>、</w:t>
            </w:r>
            <w:r>
              <w:rPr>
                <w:rFonts w:hint="eastAsia" w:ascii="宋体" w:hAnsi="宋体" w:eastAsia="宋体" w:cs="宋体"/>
                <w:color w:val="auto"/>
                <w:spacing w:val="-6"/>
                <w:sz w:val="22"/>
                <w:szCs w:val="22"/>
                <w:highlight w:val="none"/>
                <w:lang w:val="zh-CN"/>
              </w:rPr>
              <w:t>服务响应时间承诺等</w:t>
            </w:r>
            <w:r>
              <w:rPr>
                <w:rFonts w:hint="eastAsia" w:ascii="宋体" w:hAnsi="宋体" w:eastAsia="宋体" w:cs="宋体"/>
                <w:color w:val="auto"/>
                <w:spacing w:val="-6"/>
                <w:sz w:val="22"/>
                <w:szCs w:val="22"/>
                <w:highlight w:val="none"/>
                <w:lang w:val="en-US" w:eastAsia="zh-CN"/>
              </w:rPr>
              <w:t>方案</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pacing w:val="-6"/>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en-US" w:eastAsia="zh-CN"/>
              </w:rPr>
              <w:t>根据针对本项目提供的</w:t>
            </w:r>
            <w:r>
              <w:rPr>
                <w:rFonts w:hint="eastAsia" w:ascii="宋体" w:hAnsi="宋体" w:eastAsia="宋体" w:cs="宋体"/>
                <w:color w:val="auto"/>
                <w:spacing w:val="-6"/>
                <w:sz w:val="22"/>
                <w:szCs w:val="22"/>
                <w:highlight w:val="none"/>
                <w:lang w:val="zh-CN"/>
              </w:rPr>
              <w:t>投诉处理</w:t>
            </w:r>
            <w:r>
              <w:rPr>
                <w:rFonts w:hint="eastAsia" w:ascii="宋体" w:hAnsi="宋体" w:eastAsia="宋体" w:cs="宋体"/>
                <w:color w:val="auto"/>
                <w:spacing w:val="-6"/>
                <w:sz w:val="22"/>
                <w:szCs w:val="22"/>
                <w:highlight w:val="none"/>
                <w:lang w:val="zh-CN" w:eastAsia="zh-CN"/>
              </w:rPr>
              <w:t>、</w:t>
            </w:r>
            <w:r>
              <w:rPr>
                <w:rFonts w:hint="eastAsia" w:ascii="宋体" w:hAnsi="宋体" w:eastAsia="宋体" w:cs="宋体"/>
                <w:color w:val="auto"/>
                <w:spacing w:val="-6"/>
                <w:sz w:val="22"/>
                <w:szCs w:val="22"/>
                <w:highlight w:val="none"/>
                <w:lang w:val="zh-CN"/>
              </w:rPr>
              <w:t>服务响应时间承诺等方案</w:t>
            </w:r>
            <w:r>
              <w:rPr>
                <w:rFonts w:hint="eastAsia" w:ascii="宋体" w:hAnsi="宋体" w:eastAsia="宋体" w:cs="宋体"/>
                <w:color w:val="auto"/>
                <w:spacing w:val="-6"/>
                <w:sz w:val="22"/>
                <w:szCs w:val="22"/>
                <w:highlight w:val="none"/>
                <w:lang w:val="en-US" w:eastAsia="zh-CN"/>
              </w:rPr>
              <w:t>的</w:t>
            </w:r>
            <w:r>
              <w:rPr>
                <w:rFonts w:hint="eastAsia" w:ascii="宋体" w:hAnsi="宋体" w:eastAsia="宋体" w:cs="宋体"/>
                <w:color w:val="auto"/>
                <w:spacing w:val="-6"/>
                <w:sz w:val="22"/>
                <w:szCs w:val="22"/>
                <w:highlight w:val="none"/>
                <w:lang w:val="zh-CN"/>
              </w:rPr>
              <w:t>全面、科学合理及可行性情况综合打分。（方案全面、科学合理及可行性强的得</w:t>
            </w:r>
            <w:r>
              <w:rPr>
                <w:rFonts w:hint="eastAsia" w:ascii="宋体" w:hAnsi="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lang w:val="zh-CN"/>
              </w:rPr>
              <w:t>分；方案全面、科学合理及可行性较强的得</w:t>
            </w:r>
            <w:r>
              <w:rPr>
                <w:rFonts w:hint="eastAsia" w:ascii="宋体" w:hAnsi="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rPr>
              <w:t>分；方案全面、科学合理及可行性一般的得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rPr>
              <w:t>分；方案全面、科学合理及可行性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rPr>
              <w:t>分；未提供的不得分）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en-US" w:eastAsia="zh-CN"/>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default" w:ascii="宋体" w:hAnsi="宋体" w:eastAsia="宋体" w:cs="宋体"/>
                <w:color w:val="auto"/>
                <w:spacing w:val="-6"/>
                <w:sz w:val="22"/>
                <w:szCs w:val="22"/>
                <w:highlight w:val="none"/>
                <w:lang w:val="en-US" w:eastAsia="zh-CN"/>
              </w:rPr>
            </w:pPr>
            <w:r>
              <w:rPr>
                <w:rFonts w:hint="eastAsia" w:ascii="宋体" w:hAnsi="宋体" w:cs="宋体"/>
                <w:color w:val="auto"/>
                <w:spacing w:val="-6"/>
                <w:sz w:val="22"/>
                <w:szCs w:val="22"/>
                <w:highlight w:val="none"/>
                <w:lang w:val="en-US" w:eastAsia="zh-CN"/>
              </w:rPr>
              <w:t>5</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default"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en-US" w:eastAsia="zh-CN"/>
              </w:rPr>
              <w:t>根据针对本项目提供的</w:t>
            </w:r>
            <w:r>
              <w:rPr>
                <w:rFonts w:hint="eastAsia" w:ascii="宋体" w:hAnsi="宋体" w:eastAsia="宋体" w:cs="宋体"/>
                <w:color w:val="auto"/>
                <w:spacing w:val="-6"/>
                <w:sz w:val="22"/>
                <w:szCs w:val="22"/>
                <w:highlight w:val="none"/>
                <w:lang w:val="zh-CN"/>
              </w:rPr>
              <w:t>组织实施能力</w:t>
            </w:r>
            <w:r>
              <w:rPr>
                <w:rFonts w:hint="eastAsia" w:ascii="宋体" w:hAnsi="宋体" w:cs="宋体"/>
                <w:color w:val="auto"/>
                <w:spacing w:val="-6"/>
                <w:sz w:val="22"/>
                <w:szCs w:val="22"/>
                <w:highlight w:val="none"/>
                <w:lang w:val="zh-CN"/>
              </w:rPr>
              <w:t>，</w:t>
            </w:r>
            <w:r>
              <w:rPr>
                <w:rFonts w:hint="eastAsia" w:ascii="宋体" w:hAnsi="宋体" w:eastAsia="宋体" w:cs="宋体"/>
                <w:color w:val="auto"/>
                <w:spacing w:val="-6"/>
                <w:sz w:val="22"/>
                <w:szCs w:val="22"/>
                <w:highlight w:val="none"/>
              </w:rPr>
              <w:t>沟通协调和预案设置</w:t>
            </w:r>
            <w:r>
              <w:rPr>
                <w:rFonts w:hint="eastAsia" w:ascii="宋体" w:hAnsi="宋体" w:eastAsia="宋体" w:cs="宋体"/>
                <w:color w:val="auto"/>
                <w:spacing w:val="-6"/>
                <w:sz w:val="22"/>
                <w:szCs w:val="22"/>
                <w:highlight w:val="none"/>
                <w:lang w:val="en-US" w:eastAsia="zh-CN"/>
              </w:rPr>
              <w:t>等内容，</w:t>
            </w:r>
            <w:r>
              <w:rPr>
                <w:rFonts w:hint="eastAsia" w:ascii="宋体" w:hAnsi="宋体" w:eastAsia="宋体" w:cs="宋体"/>
                <w:color w:val="auto"/>
                <w:spacing w:val="-6"/>
                <w:sz w:val="22"/>
                <w:szCs w:val="22"/>
                <w:highlight w:val="none"/>
              </w:rPr>
              <w:t>举例与其他</w:t>
            </w:r>
            <w:r>
              <w:rPr>
                <w:rFonts w:hint="eastAsia" w:ascii="宋体" w:hAnsi="宋体" w:eastAsia="宋体" w:cs="宋体"/>
                <w:color w:val="auto"/>
                <w:spacing w:val="-6"/>
                <w:sz w:val="22"/>
                <w:szCs w:val="22"/>
                <w:highlight w:val="none"/>
                <w:lang w:val="en-US" w:eastAsia="zh-CN"/>
              </w:rPr>
              <w:t>采购人</w:t>
            </w:r>
            <w:r>
              <w:rPr>
                <w:rFonts w:hint="eastAsia" w:ascii="宋体" w:hAnsi="宋体" w:eastAsia="宋体" w:cs="宋体"/>
                <w:color w:val="auto"/>
                <w:spacing w:val="-6"/>
                <w:sz w:val="22"/>
                <w:szCs w:val="22"/>
                <w:highlight w:val="none"/>
              </w:rPr>
              <w:t>沟通协调案例，线路、安全等预案设置</w:t>
            </w:r>
            <w:r>
              <w:rPr>
                <w:rStyle w:val="62"/>
                <w:rFonts w:hint="eastAsia" w:ascii="宋体" w:hAnsi="宋体" w:eastAsia="宋体" w:cs="宋体"/>
                <w:color w:val="auto"/>
                <w:sz w:val="22"/>
                <w:szCs w:val="22"/>
                <w:highlight w:val="none"/>
                <w:lang w:eastAsia="zh-CN"/>
              </w:rPr>
              <w:t>。</w:t>
            </w:r>
            <w:r>
              <w:rPr>
                <w:rFonts w:hint="eastAsia" w:ascii="宋体" w:hAnsi="宋体" w:eastAsia="宋体" w:cs="宋体"/>
                <w:color w:val="auto"/>
                <w:spacing w:val="-6"/>
                <w:sz w:val="22"/>
                <w:szCs w:val="22"/>
                <w:highlight w:val="none"/>
                <w:lang w:val="zh-CN"/>
              </w:rPr>
              <w:t>（方案全面、科学合理及可行性强的得</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val="zh-CN"/>
              </w:rPr>
              <w:t>分；方案全面、科学合理及可行性较强的得</w:t>
            </w:r>
            <w:r>
              <w:rPr>
                <w:rFonts w:hint="eastAsia" w:ascii="宋体" w:hAnsi="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rPr>
              <w:t>分；方案全面、科学合理及可行性一般的得</w:t>
            </w:r>
            <w:r>
              <w:rPr>
                <w:rFonts w:hint="eastAsia" w:ascii="宋体" w:hAnsi="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rPr>
              <w:t>分；方案全面、科学合理及可行性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rPr>
              <w:t>分；未提供的不得分）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5</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en-US" w:eastAsia="zh-CN"/>
              </w:rPr>
            </w:pPr>
            <w:r>
              <w:rPr>
                <w:rFonts w:hint="eastAsia" w:ascii="宋体" w:hAnsi="宋体" w:eastAsia="宋体" w:cs="宋体"/>
                <w:color w:val="auto"/>
                <w:spacing w:val="-6"/>
                <w:sz w:val="22"/>
                <w:szCs w:val="22"/>
                <w:highlight w:val="none"/>
                <w:lang w:val="en-US" w:eastAsia="zh-CN"/>
              </w:rPr>
              <w:t>保险承诺、</w:t>
            </w:r>
            <w:r>
              <w:rPr>
                <w:rFonts w:hint="eastAsia" w:ascii="宋体" w:hAnsi="宋体" w:eastAsia="宋体" w:cs="宋体"/>
                <w:color w:val="auto"/>
                <w:spacing w:val="-6"/>
                <w:sz w:val="22"/>
                <w:szCs w:val="22"/>
                <w:highlight w:val="none"/>
                <w:lang w:val="zh-CN"/>
              </w:rPr>
              <w:t>应急预案</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left"/>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rPr>
              <w:t>对服务过程中</w:t>
            </w:r>
            <w:r>
              <w:rPr>
                <w:rFonts w:hint="eastAsia" w:ascii="宋体" w:hAnsi="宋体" w:eastAsia="宋体" w:cs="宋体"/>
                <w:color w:val="auto"/>
                <w:spacing w:val="-6"/>
                <w:sz w:val="22"/>
                <w:szCs w:val="22"/>
                <w:highlight w:val="none"/>
                <w:lang w:val="en-US" w:eastAsia="zh-CN"/>
              </w:rPr>
              <w:t>保险承诺（除招标文件要求之外的承诺）和</w:t>
            </w:r>
            <w:r>
              <w:rPr>
                <w:rFonts w:hint="eastAsia" w:ascii="宋体" w:hAnsi="宋体" w:eastAsia="宋体" w:cs="宋体"/>
                <w:color w:val="auto"/>
                <w:spacing w:val="-6"/>
                <w:sz w:val="22"/>
                <w:szCs w:val="22"/>
                <w:highlight w:val="none"/>
                <w:lang w:val="zh-CN"/>
              </w:rPr>
              <w:t>可能出现的意外情况的</w:t>
            </w:r>
            <w:r>
              <w:rPr>
                <w:rFonts w:hint="eastAsia" w:ascii="宋体" w:hAnsi="宋体" w:eastAsia="宋体" w:cs="宋体"/>
                <w:color w:val="auto"/>
                <w:spacing w:val="-6"/>
                <w:sz w:val="22"/>
                <w:szCs w:val="22"/>
                <w:highlight w:val="none"/>
                <w:lang w:val="en-US" w:eastAsia="zh-CN"/>
              </w:rPr>
              <w:t>应急预案，突发问题解决</w:t>
            </w:r>
            <w:r>
              <w:rPr>
                <w:rFonts w:hint="eastAsia" w:ascii="宋体" w:hAnsi="宋体" w:eastAsia="宋体" w:cs="宋体"/>
                <w:color w:val="auto"/>
                <w:spacing w:val="-6"/>
                <w:sz w:val="22"/>
                <w:szCs w:val="22"/>
                <w:highlight w:val="none"/>
                <w:lang w:val="zh-CN"/>
              </w:rPr>
              <w:t>等方案（含防控和疾病应急预案）</w:t>
            </w:r>
            <w:r>
              <w:rPr>
                <w:rFonts w:hint="eastAsia" w:ascii="宋体" w:hAnsi="宋体" w:eastAsia="宋体" w:cs="宋体"/>
                <w:color w:val="auto"/>
                <w:spacing w:val="-6"/>
                <w:sz w:val="22"/>
                <w:szCs w:val="22"/>
                <w:highlight w:val="none"/>
                <w:lang w:val="en-US" w:eastAsia="zh-CN"/>
              </w:rPr>
              <w:t>的</w:t>
            </w:r>
            <w:r>
              <w:rPr>
                <w:rFonts w:hint="eastAsia" w:ascii="宋体" w:hAnsi="宋体" w:eastAsia="宋体" w:cs="宋体"/>
                <w:color w:val="auto"/>
                <w:spacing w:val="-6"/>
                <w:sz w:val="22"/>
                <w:szCs w:val="22"/>
                <w:highlight w:val="none"/>
                <w:lang w:val="zh-CN"/>
              </w:rPr>
              <w:t>全面、科学合理、针对性和可操作性综合打分。（全面、科学合理、针对性和可操作性强的得</w:t>
            </w:r>
            <w:r>
              <w:rPr>
                <w:rFonts w:hint="eastAsia" w:ascii="宋体" w:hAnsi="宋体" w:eastAsia="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lang w:val="zh-CN"/>
              </w:rPr>
              <w:t>分；全面、科学合理、针对性和可操作性较强的得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lang w:val="zh-CN"/>
              </w:rPr>
              <w:t>分；全面、科学合理、针对性和可操作性一般的得</w:t>
            </w:r>
            <w:r>
              <w:rPr>
                <w:rFonts w:hint="eastAsia" w:ascii="宋体" w:hAnsi="宋体" w:eastAsia="宋体" w:cs="宋体"/>
                <w:color w:val="auto"/>
                <w:spacing w:val="-6"/>
                <w:sz w:val="22"/>
                <w:szCs w:val="22"/>
                <w:highlight w:val="none"/>
                <w:lang w:val="en-US" w:eastAsia="zh-CN"/>
              </w:rPr>
              <w:t>2</w:t>
            </w:r>
            <w:r>
              <w:rPr>
                <w:rFonts w:hint="eastAsia" w:ascii="宋体" w:hAnsi="宋体" w:eastAsia="宋体" w:cs="宋体"/>
                <w:color w:val="auto"/>
                <w:spacing w:val="-6"/>
                <w:sz w:val="22"/>
                <w:szCs w:val="22"/>
                <w:highlight w:val="none"/>
                <w:lang w:val="zh-CN"/>
              </w:rPr>
              <w:t>分；全面、科学合理、针对性和可操作性</w:t>
            </w:r>
            <w:r>
              <w:rPr>
                <w:rFonts w:hint="eastAsia" w:ascii="宋体" w:hAnsi="宋体" w:eastAsia="宋体" w:cs="宋体"/>
                <w:color w:val="auto"/>
                <w:spacing w:val="-6"/>
                <w:sz w:val="22"/>
                <w:szCs w:val="22"/>
                <w:highlight w:val="none"/>
                <w:lang w:val="en-US" w:eastAsia="zh-CN"/>
              </w:rPr>
              <w:t>不</w:t>
            </w:r>
            <w:r>
              <w:rPr>
                <w:rFonts w:hint="eastAsia" w:ascii="宋体" w:hAnsi="宋体" w:eastAsia="宋体" w:cs="宋体"/>
                <w:color w:val="auto"/>
                <w:spacing w:val="-6"/>
                <w:sz w:val="22"/>
                <w:szCs w:val="22"/>
                <w:highlight w:val="none"/>
                <w:lang w:val="zh-CN"/>
              </w:rPr>
              <w:t>强的得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lang w:val="zh-CN"/>
              </w:rPr>
              <w:t>分；未提供的不得分）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r>
              <w:rPr>
                <w:rStyle w:val="342"/>
                <w:rFonts w:hint="eastAsia" w:ascii="宋体" w:hAnsi="宋体" w:eastAsia="宋体" w:cs="宋体"/>
                <w:color w:val="auto"/>
                <w:sz w:val="22"/>
                <w:szCs w:val="22"/>
                <w:highlight w:val="none"/>
              </w:rPr>
              <w:t>6</w:t>
            </w:r>
          </w:p>
        </w:tc>
        <w:tc>
          <w:tcPr>
            <w:tcW w:w="117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rPr>
              <w:t>增值服务及优惠承诺方案</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zh-CN" w:eastAsia="zh-CN"/>
              </w:rPr>
            </w:pPr>
            <w:r>
              <w:rPr>
                <w:rFonts w:hint="eastAsia" w:ascii="宋体" w:hAnsi="宋体" w:eastAsia="宋体" w:cs="宋体"/>
                <w:color w:val="auto"/>
                <w:spacing w:val="-6"/>
                <w:sz w:val="22"/>
                <w:szCs w:val="22"/>
                <w:highlight w:val="none"/>
                <w:lang w:val="zh-CN"/>
              </w:rPr>
              <w:t>5</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pStyle w:val="19"/>
              <w:keepNext w:val="0"/>
              <w:keepLines w:val="0"/>
              <w:pageBreakBefore w:val="0"/>
              <w:kinsoku/>
              <w:wordWrap/>
              <w:overflowPunct/>
              <w:topLinePunct w:val="0"/>
              <w:autoSpaceDE/>
              <w:autoSpaceDN/>
              <w:bidi w:val="0"/>
              <w:adjustRightInd/>
              <w:spacing w:after="0" w:line="460" w:lineRule="exact"/>
              <w:rPr>
                <w:rFonts w:hint="eastAsia" w:ascii="宋体" w:hAnsi="宋体" w:eastAsia="宋体" w:cs="宋体"/>
                <w:color w:val="auto"/>
                <w:kern w:val="2"/>
                <w:sz w:val="22"/>
                <w:szCs w:val="22"/>
                <w:highlight w:val="none"/>
                <w:lang w:val="zh-CN" w:eastAsia="zh-CN" w:bidi="ar-SA"/>
              </w:rPr>
            </w:pPr>
            <w:r>
              <w:rPr>
                <w:rFonts w:hint="eastAsia" w:ascii="宋体" w:hAnsi="宋体" w:eastAsia="宋体" w:cs="宋体"/>
                <w:color w:val="auto"/>
                <w:spacing w:val="-6"/>
                <w:sz w:val="22"/>
                <w:szCs w:val="22"/>
                <w:highlight w:val="none"/>
                <w:lang w:val="en-US" w:eastAsia="zh-CN"/>
              </w:rPr>
              <w:t>省内路线（含温州市域内路线）</w:t>
            </w:r>
            <w:r>
              <w:rPr>
                <w:rStyle w:val="342"/>
                <w:rFonts w:hint="eastAsia" w:ascii="宋体" w:hAnsi="宋体" w:eastAsia="宋体" w:cs="宋体"/>
                <w:color w:val="auto"/>
                <w:sz w:val="22"/>
                <w:szCs w:val="22"/>
                <w:highlight w:val="none"/>
              </w:rPr>
              <w:t>增值服务及优惠承诺方案：除招标文件要求的服务外，投标人提供的增值服务或优惠承诺，根据增值服务或优惠承诺的价值、实用性等</w:t>
            </w:r>
            <w:r>
              <w:rPr>
                <w:rFonts w:hint="eastAsia" w:ascii="宋体" w:hAnsi="宋体" w:eastAsia="宋体" w:cs="宋体"/>
                <w:color w:val="auto"/>
                <w:spacing w:val="-6"/>
                <w:sz w:val="22"/>
                <w:szCs w:val="22"/>
                <w:highlight w:val="none"/>
                <w:lang w:val="zh-CN"/>
              </w:rPr>
              <w:t>综合</w:t>
            </w:r>
            <w:r>
              <w:rPr>
                <w:rStyle w:val="342"/>
                <w:rFonts w:hint="eastAsia" w:ascii="宋体" w:hAnsi="宋体" w:eastAsia="宋体" w:cs="宋体"/>
                <w:color w:val="auto"/>
                <w:sz w:val="22"/>
                <w:szCs w:val="22"/>
                <w:highlight w:val="none"/>
              </w:rPr>
              <w:t>打分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lang w:val="zh-CN"/>
              </w:rPr>
              <w:t>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强的得</w:t>
            </w:r>
            <w:r>
              <w:rPr>
                <w:rStyle w:val="342"/>
                <w:rFonts w:hint="eastAsia" w:ascii="宋体" w:hAnsi="宋体" w:eastAsia="宋体" w:cs="宋体"/>
                <w:color w:val="auto"/>
                <w:sz w:val="22"/>
                <w:szCs w:val="22"/>
                <w:highlight w:val="none"/>
                <w:lang w:val="en-US" w:eastAsia="zh-CN"/>
              </w:rPr>
              <w:t>5</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较强的得</w:t>
            </w:r>
            <w:r>
              <w:rPr>
                <w:rStyle w:val="342"/>
                <w:rFonts w:hint="eastAsia" w:ascii="宋体" w:hAnsi="宋体" w:cs="宋体"/>
                <w:color w:val="auto"/>
                <w:sz w:val="22"/>
                <w:szCs w:val="22"/>
                <w:highlight w:val="none"/>
                <w:lang w:val="en-US" w:eastAsia="zh-CN"/>
              </w:rPr>
              <w:t>3</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一般的得</w:t>
            </w:r>
            <w:r>
              <w:rPr>
                <w:rStyle w:val="342"/>
                <w:rFonts w:hint="eastAsia" w:ascii="宋体" w:hAnsi="宋体" w:cs="宋体"/>
                <w:color w:val="auto"/>
                <w:sz w:val="22"/>
                <w:szCs w:val="22"/>
                <w:highlight w:val="none"/>
                <w:lang w:val="en-US" w:eastAsia="zh-CN"/>
              </w:rPr>
              <w:t>2</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en-US" w:eastAsia="zh-CN"/>
              </w:rPr>
              <w:t>不</w:t>
            </w:r>
            <w:r>
              <w:rPr>
                <w:rStyle w:val="342"/>
                <w:rFonts w:hint="eastAsia" w:ascii="宋体" w:hAnsi="宋体" w:eastAsia="宋体" w:cs="宋体"/>
                <w:color w:val="auto"/>
                <w:sz w:val="22"/>
                <w:szCs w:val="22"/>
                <w:highlight w:val="none"/>
                <w:lang w:val="zh-CN"/>
              </w:rPr>
              <w:t>强的得</w:t>
            </w:r>
            <w:r>
              <w:rPr>
                <w:rStyle w:val="342"/>
                <w:rFonts w:hint="eastAsia" w:ascii="宋体" w:hAnsi="宋体" w:eastAsia="宋体" w:cs="宋体"/>
                <w:color w:val="auto"/>
                <w:sz w:val="22"/>
                <w:szCs w:val="22"/>
                <w:highlight w:val="none"/>
                <w:lang w:val="en-US" w:eastAsia="zh-CN"/>
              </w:rPr>
              <w:t>1</w:t>
            </w:r>
            <w:r>
              <w:rPr>
                <w:rStyle w:val="342"/>
                <w:rFonts w:hint="eastAsia" w:ascii="宋体" w:hAnsi="宋体" w:eastAsia="宋体" w:cs="宋体"/>
                <w:color w:val="auto"/>
                <w:sz w:val="22"/>
                <w:szCs w:val="22"/>
                <w:highlight w:val="none"/>
                <w:lang w:val="zh-CN"/>
              </w:rPr>
              <w:t>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lang w:val="zh-CN"/>
              </w:rPr>
              <w:t>未提供的不得分。</w:t>
            </w:r>
            <w:r>
              <w:rPr>
                <w:rStyle w:val="342"/>
                <w:rFonts w:hint="eastAsia" w:ascii="宋体" w:hAnsi="宋体" w:eastAsia="宋体" w:cs="宋体"/>
                <w:color w:val="auto"/>
                <w:sz w:val="22"/>
                <w:szCs w:val="22"/>
                <w:highlight w:val="none"/>
                <w:lang w:eastAsia="zh-CN"/>
              </w:rPr>
              <w:t>）</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Style w:val="342"/>
                <w:rFonts w:hint="eastAsia" w:ascii="宋体" w:hAnsi="宋体" w:eastAsia="宋体" w:cs="宋体"/>
                <w:color w:val="auto"/>
                <w:sz w:val="22"/>
                <w:szCs w:val="22"/>
                <w:highlight w:val="none"/>
              </w:rPr>
            </w:pPr>
          </w:p>
        </w:tc>
        <w:tc>
          <w:tcPr>
            <w:tcW w:w="117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zh-CN"/>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after="0" w:line="460" w:lineRule="exact"/>
              <w:jc w:val="center"/>
              <w:rPr>
                <w:rFonts w:hint="eastAsia" w:ascii="宋体" w:hAnsi="宋体" w:eastAsia="宋体" w:cs="宋体"/>
                <w:color w:val="auto"/>
                <w:spacing w:val="-6"/>
                <w:sz w:val="22"/>
                <w:szCs w:val="22"/>
                <w:highlight w:val="none"/>
                <w:lang w:val="en-US" w:eastAsia="zh-CN"/>
              </w:rPr>
            </w:pPr>
            <w:r>
              <w:rPr>
                <w:rFonts w:hint="eastAsia" w:ascii="宋体" w:hAnsi="宋体" w:cs="宋体"/>
                <w:color w:val="auto"/>
                <w:spacing w:val="-6"/>
                <w:sz w:val="22"/>
                <w:szCs w:val="22"/>
                <w:highlight w:val="none"/>
                <w:lang w:val="en-US" w:eastAsia="zh-CN"/>
              </w:rPr>
              <w:t>4</w:t>
            </w:r>
          </w:p>
        </w:tc>
        <w:tc>
          <w:tcPr>
            <w:tcW w:w="6408" w:type="dxa"/>
            <w:tcBorders>
              <w:top w:val="single" w:color="000000" w:sz="4" w:space="0"/>
              <w:left w:val="single" w:color="000000" w:sz="4" w:space="0"/>
              <w:bottom w:val="single" w:color="000000" w:sz="4" w:space="0"/>
              <w:right w:val="single" w:color="000000" w:sz="4" w:space="0"/>
            </w:tcBorders>
            <w:noWrap w:val="0"/>
            <w:vAlign w:val="center"/>
          </w:tcPr>
          <w:p>
            <w:pPr>
              <w:pStyle w:val="19"/>
              <w:keepNext w:val="0"/>
              <w:keepLines w:val="0"/>
              <w:pageBreakBefore w:val="0"/>
              <w:kinsoku/>
              <w:wordWrap/>
              <w:overflowPunct/>
              <w:topLinePunct w:val="0"/>
              <w:autoSpaceDE/>
              <w:autoSpaceDN/>
              <w:bidi w:val="0"/>
              <w:adjustRightInd/>
              <w:spacing w:after="0" w:line="460" w:lineRule="exact"/>
              <w:rPr>
                <w:rStyle w:val="342"/>
                <w:rFonts w:hint="default" w:ascii="宋体" w:hAnsi="宋体" w:eastAsia="宋体" w:cs="宋体"/>
                <w:color w:val="auto"/>
                <w:sz w:val="22"/>
                <w:szCs w:val="22"/>
                <w:highlight w:val="none"/>
                <w:lang w:val="en-US"/>
              </w:rPr>
            </w:pPr>
            <w:r>
              <w:rPr>
                <w:rFonts w:hint="eastAsia" w:ascii="宋体" w:hAnsi="宋体" w:eastAsia="宋体" w:cs="宋体"/>
                <w:color w:val="auto"/>
                <w:spacing w:val="-6"/>
                <w:sz w:val="22"/>
                <w:szCs w:val="22"/>
                <w:highlight w:val="none"/>
                <w:lang w:val="en-US" w:eastAsia="zh-CN"/>
              </w:rPr>
              <w:t>邻省</w:t>
            </w:r>
            <w:r>
              <w:rPr>
                <w:rFonts w:hint="eastAsia" w:ascii="宋体" w:hAnsi="宋体" w:eastAsia="宋体" w:cs="宋体"/>
                <w:color w:val="auto"/>
                <w:spacing w:val="-6"/>
                <w:sz w:val="22"/>
                <w:szCs w:val="22"/>
                <w:highlight w:val="none"/>
                <w:lang w:val="zh-CN" w:eastAsia="zh-CN"/>
              </w:rPr>
              <w:t>线路</w:t>
            </w:r>
            <w:r>
              <w:rPr>
                <w:rFonts w:hint="eastAsia" w:ascii="宋体" w:hAnsi="宋体" w:eastAsia="宋体" w:cs="宋体"/>
                <w:color w:val="auto"/>
                <w:spacing w:val="-6"/>
                <w:sz w:val="22"/>
                <w:szCs w:val="22"/>
                <w:highlight w:val="none"/>
                <w:lang w:val="en-US" w:eastAsia="zh-CN"/>
              </w:rPr>
              <w:t>和对口支援</w:t>
            </w:r>
            <w:r>
              <w:rPr>
                <w:rFonts w:hint="eastAsia" w:ascii="宋体" w:hAnsi="宋体" w:eastAsia="宋体" w:cs="宋体"/>
                <w:color w:val="auto"/>
                <w:spacing w:val="-6"/>
                <w:sz w:val="22"/>
                <w:szCs w:val="22"/>
                <w:highlight w:val="none"/>
                <w:lang w:val="zh-CN" w:eastAsia="zh-CN"/>
              </w:rPr>
              <w:t>线路</w:t>
            </w:r>
            <w:r>
              <w:rPr>
                <w:rStyle w:val="342"/>
                <w:rFonts w:hint="eastAsia" w:ascii="宋体" w:hAnsi="宋体" w:eastAsia="宋体" w:cs="宋体"/>
                <w:color w:val="auto"/>
                <w:sz w:val="22"/>
                <w:szCs w:val="22"/>
                <w:highlight w:val="none"/>
              </w:rPr>
              <w:t>增值服务及优惠承诺方案：除招标文件要求的服务外，投标人提供的增值服务或优惠承诺，根据增值服务或优惠承诺的价值、实用性等</w:t>
            </w:r>
            <w:r>
              <w:rPr>
                <w:rFonts w:hint="eastAsia" w:ascii="宋体" w:hAnsi="宋体" w:eastAsia="宋体" w:cs="宋体"/>
                <w:color w:val="auto"/>
                <w:spacing w:val="-6"/>
                <w:sz w:val="22"/>
                <w:szCs w:val="22"/>
                <w:highlight w:val="none"/>
                <w:lang w:val="zh-CN"/>
              </w:rPr>
              <w:t>综合</w:t>
            </w:r>
            <w:r>
              <w:rPr>
                <w:rStyle w:val="342"/>
                <w:rFonts w:hint="eastAsia" w:ascii="宋体" w:hAnsi="宋体" w:eastAsia="宋体" w:cs="宋体"/>
                <w:color w:val="auto"/>
                <w:sz w:val="22"/>
                <w:szCs w:val="22"/>
                <w:highlight w:val="none"/>
              </w:rPr>
              <w:t>打分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lang w:val="zh-CN"/>
              </w:rPr>
              <w:t>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强的得</w:t>
            </w:r>
            <w:r>
              <w:rPr>
                <w:rStyle w:val="342"/>
                <w:rFonts w:hint="eastAsia" w:ascii="宋体" w:hAnsi="宋体" w:cs="宋体"/>
                <w:color w:val="auto"/>
                <w:sz w:val="22"/>
                <w:szCs w:val="22"/>
                <w:highlight w:val="none"/>
                <w:lang w:val="en-US" w:eastAsia="zh-CN"/>
              </w:rPr>
              <w:t>4</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较强的得</w:t>
            </w:r>
            <w:r>
              <w:rPr>
                <w:rStyle w:val="342"/>
                <w:rFonts w:hint="eastAsia" w:ascii="宋体" w:hAnsi="宋体" w:cs="宋体"/>
                <w:color w:val="auto"/>
                <w:sz w:val="22"/>
                <w:szCs w:val="22"/>
                <w:highlight w:val="none"/>
                <w:lang w:val="en-US" w:eastAsia="zh-CN"/>
              </w:rPr>
              <w:t>3</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zh-CN"/>
              </w:rPr>
              <w:t>一般的得</w:t>
            </w:r>
            <w:r>
              <w:rPr>
                <w:rStyle w:val="342"/>
                <w:rFonts w:hint="eastAsia" w:ascii="宋体" w:hAnsi="宋体" w:cs="宋体"/>
                <w:color w:val="auto"/>
                <w:sz w:val="22"/>
                <w:szCs w:val="22"/>
                <w:highlight w:val="none"/>
                <w:lang w:val="en-US" w:eastAsia="zh-CN"/>
              </w:rPr>
              <w:t>2</w:t>
            </w:r>
            <w:r>
              <w:rPr>
                <w:rStyle w:val="342"/>
                <w:rFonts w:hint="eastAsia" w:ascii="宋体" w:hAnsi="宋体" w:eastAsia="宋体" w:cs="宋体"/>
                <w:color w:val="auto"/>
                <w:sz w:val="22"/>
                <w:szCs w:val="22"/>
                <w:highlight w:val="none"/>
                <w:lang w:val="zh-CN"/>
              </w:rPr>
              <w:t>分；方案</w:t>
            </w:r>
            <w:r>
              <w:rPr>
                <w:rStyle w:val="342"/>
                <w:rFonts w:hint="eastAsia" w:ascii="宋体" w:hAnsi="宋体" w:eastAsia="宋体" w:cs="宋体"/>
                <w:color w:val="auto"/>
                <w:sz w:val="22"/>
                <w:szCs w:val="22"/>
                <w:highlight w:val="none"/>
              </w:rPr>
              <w:t>价值、实用性</w:t>
            </w:r>
            <w:r>
              <w:rPr>
                <w:rStyle w:val="342"/>
                <w:rFonts w:hint="eastAsia" w:ascii="宋体" w:hAnsi="宋体" w:eastAsia="宋体" w:cs="宋体"/>
                <w:color w:val="auto"/>
                <w:sz w:val="22"/>
                <w:szCs w:val="22"/>
                <w:highlight w:val="none"/>
                <w:lang w:val="en-US" w:eastAsia="zh-CN"/>
              </w:rPr>
              <w:t>不</w:t>
            </w:r>
            <w:r>
              <w:rPr>
                <w:rStyle w:val="342"/>
                <w:rFonts w:hint="eastAsia" w:ascii="宋体" w:hAnsi="宋体" w:eastAsia="宋体" w:cs="宋体"/>
                <w:color w:val="auto"/>
                <w:sz w:val="22"/>
                <w:szCs w:val="22"/>
                <w:highlight w:val="none"/>
                <w:lang w:val="zh-CN"/>
              </w:rPr>
              <w:t>强的得</w:t>
            </w:r>
            <w:r>
              <w:rPr>
                <w:rStyle w:val="342"/>
                <w:rFonts w:hint="eastAsia" w:ascii="宋体" w:hAnsi="宋体" w:eastAsia="宋体" w:cs="宋体"/>
                <w:color w:val="auto"/>
                <w:sz w:val="22"/>
                <w:szCs w:val="22"/>
                <w:highlight w:val="none"/>
                <w:lang w:val="en-US" w:eastAsia="zh-CN"/>
              </w:rPr>
              <w:t>1</w:t>
            </w:r>
            <w:r>
              <w:rPr>
                <w:rStyle w:val="342"/>
                <w:rFonts w:hint="eastAsia" w:ascii="宋体" w:hAnsi="宋体" w:eastAsia="宋体" w:cs="宋体"/>
                <w:color w:val="auto"/>
                <w:sz w:val="22"/>
                <w:szCs w:val="22"/>
                <w:highlight w:val="none"/>
                <w:lang w:val="zh-CN"/>
              </w:rPr>
              <w:t>分</w:t>
            </w:r>
            <w:r>
              <w:rPr>
                <w:rStyle w:val="342"/>
                <w:rFonts w:hint="eastAsia" w:ascii="宋体" w:hAnsi="宋体" w:eastAsia="宋体" w:cs="宋体"/>
                <w:color w:val="auto"/>
                <w:sz w:val="22"/>
                <w:szCs w:val="22"/>
                <w:highlight w:val="none"/>
                <w:lang w:eastAsia="zh-CN"/>
              </w:rPr>
              <w:t>；</w:t>
            </w:r>
            <w:r>
              <w:rPr>
                <w:rStyle w:val="342"/>
                <w:rFonts w:hint="eastAsia" w:ascii="宋体" w:hAnsi="宋体" w:eastAsia="宋体" w:cs="宋体"/>
                <w:color w:val="auto"/>
                <w:sz w:val="22"/>
                <w:szCs w:val="22"/>
                <w:highlight w:val="none"/>
                <w:lang w:val="zh-CN"/>
              </w:rPr>
              <w:t>未提供的不得分。</w:t>
            </w:r>
            <w:r>
              <w:rPr>
                <w:rStyle w:val="342"/>
                <w:rFonts w:hint="eastAsia" w:ascii="宋体" w:hAnsi="宋体" w:eastAsia="宋体" w:cs="宋体"/>
                <w:color w:val="auto"/>
                <w:sz w:val="22"/>
                <w:szCs w:val="22"/>
                <w:highlight w:val="none"/>
                <w:lang w:eastAsia="zh-CN"/>
              </w:rPr>
              <w:t>）</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textAlignment w:val="baseline"/>
              <w:rPr>
                <w:rFonts w:hint="default"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主观分</w:t>
            </w:r>
          </w:p>
        </w:tc>
      </w:tr>
    </w:tbl>
    <w:p>
      <w:pPr>
        <w:pStyle w:val="25"/>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2、报价评分（</w:t>
      </w:r>
      <w:r>
        <w:rPr>
          <w:rFonts w:hint="eastAsia" w:ascii="宋体" w:hAnsi="宋体" w:cs="宋体"/>
          <w:b/>
          <w:color w:val="auto"/>
          <w:sz w:val="22"/>
          <w:szCs w:val="22"/>
          <w:highlight w:val="none"/>
          <w:lang w:val="en-US" w:eastAsia="zh-CN"/>
        </w:rPr>
        <w:t>0</w:t>
      </w:r>
      <w:r>
        <w:rPr>
          <w:rFonts w:hint="eastAsia" w:ascii="宋体" w:hAnsi="宋体" w:eastAsia="宋体" w:cs="宋体"/>
          <w:b/>
          <w:color w:val="auto"/>
          <w:sz w:val="22"/>
          <w:szCs w:val="22"/>
          <w:highlight w:val="none"/>
        </w:rPr>
        <w:t>0分）（权值0%）：</w:t>
      </w:r>
    </w:p>
    <w:p>
      <w:pPr>
        <w:pStyle w:val="25"/>
        <w:keepNext w:val="0"/>
        <w:keepLines w:val="0"/>
        <w:pageBreakBefore w:val="0"/>
        <w:widowControl w:val="0"/>
        <w:kinsoku/>
        <w:wordWrap/>
        <w:overflowPunct/>
        <w:topLinePunct w:val="0"/>
        <w:autoSpaceDE/>
        <w:autoSpaceDN/>
        <w:bidi w:val="0"/>
        <w:adjustRightInd/>
        <w:snapToGrid/>
        <w:spacing w:line="460" w:lineRule="exact"/>
        <w:ind w:left="0" w:leftChars="0"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本项目采用固定价格采购，其价格不列为评审因素。</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投标如缺少须提供的一种功能或配置或服务，如若中标，该缺漏项费用将由中标人自行承担。</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3、有效投标人的综合得分为技术分和商务（报价）分的总和。</w:t>
      </w:r>
    </w:p>
    <w:p>
      <w:pPr>
        <w:spacing w:line="460" w:lineRule="exact"/>
        <w:ind w:firstLine="541" w:firstLineChars="245"/>
        <w:outlineLvl w:val="1"/>
        <w:rPr>
          <w:rFonts w:hint="eastAsia" w:ascii="宋体" w:hAnsi="宋体" w:eastAsia="宋体" w:cs="宋体"/>
          <w:b/>
          <w:bCs/>
          <w:color w:val="auto"/>
          <w:sz w:val="22"/>
          <w:szCs w:val="22"/>
          <w:highlight w:val="none"/>
        </w:rPr>
      </w:pPr>
      <w:bookmarkStart w:id="80" w:name="_Toc2482"/>
      <w:bookmarkStart w:id="81" w:name="_Toc4727"/>
      <w:r>
        <w:rPr>
          <w:rFonts w:hint="eastAsia" w:ascii="宋体" w:hAnsi="宋体" w:eastAsia="宋体" w:cs="宋体"/>
          <w:b/>
          <w:bCs/>
          <w:color w:val="auto"/>
          <w:sz w:val="22"/>
          <w:szCs w:val="22"/>
          <w:highlight w:val="none"/>
        </w:rPr>
        <w:t>六、定标办法</w:t>
      </w:r>
      <w:bookmarkEnd w:id="80"/>
      <w:bookmarkEnd w:id="81"/>
    </w:p>
    <w:p>
      <w:pPr>
        <w:spacing w:line="460" w:lineRule="exact"/>
        <w:ind w:firstLine="440" w:firstLineChars="200"/>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1、确定中标候选人</w:t>
      </w:r>
    </w:p>
    <w:p>
      <w:pPr>
        <w:spacing w:line="460" w:lineRule="exact"/>
        <w:ind w:firstLine="440" w:firstLineChars="200"/>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1.1由评标委员会确定中标候选人。</w:t>
      </w:r>
    </w:p>
    <w:p>
      <w:pPr>
        <w:spacing w:line="460" w:lineRule="exact"/>
        <w:ind w:firstLine="440" w:firstLineChars="200"/>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1.2评标委员会依据法律、法规及招标文件有关规定按评审后得分（即商务技术分与报价得分之和）由高到低顺序排序，得分前二名的投标人确定为该项目的第一和第二中标候选人（技术得分相同并列的，由评标委员会采取随机抽取的方式确定名次优先者）向招标人推荐。</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2、确定中标人</w:t>
      </w:r>
    </w:p>
    <w:p>
      <w:pPr>
        <w:spacing w:line="460" w:lineRule="exact"/>
        <w:ind w:firstLine="440" w:firstLineChars="200"/>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 xml:space="preserve"> 2.1招标人按照评标报告中推荐的中标候选供应商顺序确定中标人；也可以事先授权评标委员会按照推荐的中标候选供应商顺序直接确定中标人。中标候选人并列的，由评标委员会采取随机抽取的方式确定。如标段二的第一中标候选人与标段一的第一中标候选人相同，由评标委员会少数服从多数确定中标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 w:val="0"/>
          <w:bCs w:val="0"/>
          <w:color w:val="auto"/>
          <w:kern w:val="2"/>
          <w:sz w:val="22"/>
          <w:szCs w:val="22"/>
          <w:highlight w:val="none"/>
          <w:lang w:val="en-US" w:eastAsia="zh-CN" w:bidi="ar-SA"/>
        </w:rPr>
        <w:t>2.2如中标人放弃中标；或未能在规定时间内与招标人签订合同的；或者经</w:t>
      </w:r>
      <w:r>
        <w:rPr>
          <w:rFonts w:hint="eastAsia" w:ascii="宋体" w:hAnsi="宋体" w:eastAsia="宋体" w:cs="宋体"/>
          <w:color w:val="auto"/>
          <w:sz w:val="22"/>
          <w:szCs w:val="22"/>
          <w:highlight w:val="none"/>
        </w:rPr>
        <w:t>质疑，招标人审查后，确因排名第一的候选人在本次采购活动中存在违法违规行为或其他原因使质疑成立的，招标人可以</w:t>
      </w:r>
      <w:r>
        <w:rPr>
          <w:rFonts w:hint="eastAsia" w:ascii="宋体" w:hAnsi="宋体" w:cs="宋体"/>
          <w:color w:val="auto"/>
          <w:sz w:val="22"/>
          <w:szCs w:val="22"/>
          <w:highlight w:val="none"/>
          <w:lang w:val="en-US" w:eastAsia="zh-CN"/>
        </w:rPr>
        <w:t>依法</w:t>
      </w:r>
      <w:r>
        <w:rPr>
          <w:rFonts w:hint="eastAsia" w:ascii="宋体" w:hAnsi="宋体" w:eastAsia="宋体" w:cs="宋体"/>
          <w:color w:val="auto"/>
          <w:sz w:val="22"/>
          <w:szCs w:val="22"/>
          <w:highlight w:val="none"/>
        </w:rPr>
        <w:t>视情况直接确定排名第二的候选人为中标人或重新组织招标。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宋体" w:hAnsi="宋体" w:eastAsia="宋体" w:cs="宋体"/>
          <w:b/>
          <w:color w:val="auto"/>
          <w:sz w:val="22"/>
          <w:szCs w:val="22"/>
          <w:highlight w:val="none"/>
        </w:rPr>
      </w:pPr>
      <w:bookmarkStart w:id="82" w:name="_Toc17587"/>
      <w:bookmarkStart w:id="83" w:name="_Toc3629"/>
      <w:r>
        <w:rPr>
          <w:rFonts w:hint="eastAsia" w:ascii="宋体" w:hAnsi="宋体" w:eastAsia="宋体" w:cs="宋体"/>
          <w:b/>
          <w:color w:val="auto"/>
          <w:sz w:val="22"/>
          <w:szCs w:val="22"/>
          <w:highlight w:val="none"/>
        </w:rPr>
        <w:t>七、投标人义务</w:t>
      </w:r>
      <w:bookmarkEnd w:id="82"/>
      <w:bookmarkEnd w:id="83"/>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color w:val="auto"/>
          <w:sz w:val="22"/>
          <w:szCs w:val="22"/>
          <w:highlight w:val="none"/>
        </w:rPr>
        <w:t>投标人应随时接受评标委员会的询标，解答包括有关的商务、技术问题等。评标结束，所有评标资料存招标机构备查。</w:t>
      </w:r>
    </w:p>
    <w:p>
      <w:pPr>
        <w:spacing w:line="460" w:lineRule="exact"/>
        <w:jc w:val="center"/>
        <w:rPr>
          <w:rFonts w:hint="eastAsia" w:ascii="宋体" w:hAnsi="宋体" w:eastAsia="宋体" w:cs="宋体"/>
          <w:b/>
          <w:color w:val="auto"/>
          <w:sz w:val="32"/>
          <w:szCs w:val="32"/>
          <w:highlight w:val="none"/>
        </w:rPr>
      </w:pPr>
    </w:p>
    <w:p>
      <w:pPr>
        <w:pStyle w:val="25"/>
        <w:ind w:left="440" w:hanging="440"/>
        <w:rPr>
          <w:rFonts w:hint="eastAsia" w:ascii="宋体" w:hAnsi="宋体" w:eastAsia="宋体" w:cs="宋体"/>
          <w:color w:val="auto"/>
          <w:kern w:val="0"/>
          <w:sz w:val="22"/>
          <w:szCs w:val="22"/>
          <w:highlight w:val="none"/>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微软雅黑"/>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7"/>
      </w:rPr>
    </w:pPr>
    <w:r>
      <w:fldChar w:fldCharType="begin"/>
    </w:r>
    <w:r>
      <w:rPr>
        <w:rStyle w:val="57"/>
      </w:rPr>
      <w:instrText xml:space="preserve">PAGE  </w:instrText>
    </w:r>
    <w:r>
      <w:fldChar w:fldCharType="separate"/>
    </w:r>
    <w:r>
      <w:rPr>
        <w:rStyle w:val="57"/>
      </w:rPr>
      <w:t>28</w:t>
    </w:r>
    <w:r>
      <w:fldChar w:fldCharType="end"/>
    </w:r>
  </w:p>
  <w:p>
    <w:pPr>
      <w:pStyle w:val="37"/>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7"/>
      </w:rPr>
    </w:pPr>
    <w:r>
      <w:fldChar w:fldCharType="begin"/>
    </w:r>
    <w:r>
      <w:rPr>
        <w:rStyle w:val="57"/>
      </w:rPr>
      <w:instrText xml:space="preserve">PAGE  </w:instrText>
    </w:r>
    <w:r>
      <w:fldChar w:fldCharType="separate"/>
    </w:r>
    <w:r>
      <w:rPr>
        <w:rStyle w:val="57"/>
      </w:rPr>
      <w:t>72</w:t>
    </w:r>
    <w:r>
      <w:fldChar w:fldCharType="end"/>
    </w:r>
  </w:p>
  <w:p>
    <w:pPr>
      <w:pStyle w:val="37"/>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rPr>
      <w:t>温州市政府（分散）采购招标文件                                             项目编号：</w:t>
    </w:r>
    <w:r>
      <w:rPr>
        <w:rFonts w:hint="eastAsia"/>
        <w:lang w:eastAsia="zh-CN"/>
      </w:rPr>
      <w:t xml:space="preserve">WZLCZB（W）-2024-04083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rPr>
      <w:t>温州市政府（分散）采购招标文件                                             项目编号：</w:t>
    </w:r>
    <w:r>
      <w:rPr>
        <w:rFonts w:hint="eastAsia"/>
        <w:lang w:eastAsia="zh-CN"/>
      </w:rPr>
      <w:t xml:space="preserve">WZLCZB（W）-2024-04083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3FD8B5CB"/>
    <w:multiLevelType w:val="singleLevel"/>
    <w:tmpl w:val="3FD8B5CB"/>
    <w:lvl w:ilvl="0" w:tentative="0">
      <w:start w:val="1"/>
      <w:numFmt w:val="decimal"/>
      <w:suff w:val="space"/>
      <w:lvlText w:val="（%1）"/>
      <w:lvlJc w:val="left"/>
    </w:lvl>
  </w:abstractNum>
  <w:abstractNum w:abstractNumId="4">
    <w:nsid w:val="52D7A3B6"/>
    <w:multiLevelType w:val="singleLevel"/>
    <w:tmpl w:val="52D7A3B6"/>
    <w:lvl w:ilvl="0" w:tentative="0">
      <w:start w:val="1"/>
      <w:numFmt w:val="decimal"/>
      <w:suff w:val="nothing"/>
      <w:lvlText w:val="（%1）"/>
      <w:lvlJc w:val="left"/>
    </w:lvl>
  </w:abstractNum>
  <w:abstractNum w:abstractNumId="5">
    <w:nsid w:val="59DE7C9A"/>
    <w:multiLevelType w:val="singleLevel"/>
    <w:tmpl w:val="59DE7C9A"/>
    <w:lvl w:ilvl="0" w:tentative="0">
      <w:start w:val="3"/>
      <w:numFmt w:val="chineseCounting"/>
      <w:suff w:val="nothing"/>
      <w:lvlText w:val="%1、"/>
      <w:lvlJc w:val="left"/>
      <w:rPr>
        <w:rFonts w:hint="eastAsia"/>
      </w:rPr>
    </w:lvl>
  </w:abstractNum>
  <w:abstractNum w:abstractNumId="6">
    <w:nsid w:val="7BDDDB34"/>
    <w:multiLevelType w:val="singleLevel"/>
    <w:tmpl w:val="7BDDDB34"/>
    <w:lvl w:ilvl="0" w:tentative="0">
      <w:start w:val="6"/>
      <w:numFmt w:val="decimal"/>
      <w:suff w:val="nothing"/>
      <w:lvlText w:val="%1、"/>
      <w:lvlJc w:val="left"/>
      <w:pPr>
        <w:tabs>
          <w:tab w:val="left" w:pos="0"/>
        </w:tabs>
        <w:ind w:left="0" w:firstLine="0"/>
        <w:textAlignment w:val="baseline"/>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Yjc0MjQ3MDVjYjJkMDFhZjlkZDA2OTg4YWRlZmQifQ=="/>
  </w:docVars>
  <w:rsids>
    <w:rsidRoot w:val="00172A27"/>
    <w:rsid w:val="000149E3"/>
    <w:rsid w:val="00020693"/>
    <w:rsid w:val="000217C7"/>
    <w:rsid w:val="00026A46"/>
    <w:rsid w:val="00027D0D"/>
    <w:rsid w:val="00031F49"/>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20D29B1"/>
    <w:rsid w:val="021F7DAD"/>
    <w:rsid w:val="0224444B"/>
    <w:rsid w:val="022D7429"/>
    <w:rsid w:val="02451328"/>
    <w:rsid w:val="027D25C0"/>
    <w:rsid w:val="02841565"/>
    <w:rsid w:val="02B3222E"/>
    <w:rsid w:val="02F63BA4"/>
    <w:rsid w:val="031D0871"/>
    <w:rsid w:val="03283281"/>
    <w:rsid w:val="03331487"/>
    <w:rsid w:val="034A64CB"/>
    <w:rsid w:val="039714E5"/>
    <w:rsid w:val="03BE392F"/>
    <w:rsid w:val="03E13A1E"/>
    <w:rsid w:val="04156ACE"/>
    <w:rsid w:val="042A5AFC"/>
    <w:rsid w:val="043D6DF1"/>
    <w:rsid w:val="043F2279"/>
    <w:rsid w:val="04417A7E"/>
    <w:rsid w:val="044865A2"/>
    <w:rsid w:val="048D46D7"/>
    <w:rsid w:val="04A01243"/>
    <w:rsid w:val="04C27070"/>
    <w:rsid w:val="04E23C80"/>
    <w:rsid w:val="04FD6D0A"/>
    <w:rsid w:val="050751FC"/>
    <w:rsid w:val="05166806"/>
    <w:rsid w:val="0529508C"/>
    <w:rsid w:val="053A30CA"/>
    <w:rsid w:val="057D25F0"/>
    <w:rsid w:val="05936339"/>
    <w:rsid w:val="05D76F02"/>
    <w:rsid w:val="06111444"/>
    <w:rsid w:val="062F7E7F"/>
    <w:rsid w:val="0650016B"/>
    <w:rsid w:val="06695ADA"/>
    <w:rsid w:val="067F52AB"/>
    <w:rsid w:val="068E5B46"/>
    <w:rsid w:val="06B81820"/>
    <w:rsid w:val="06D82C35"/>
    <w:rsid w:val="06E17425"/>
    <w:rsid w:val="06E81491"/>
    <w:rsid w:val="07081502"/>
    <w:rsid w:val="072046E3"/>
    <w:rsid w:val="07373C8C"/>
    <w:rsid w:val="074234A9"/>
    <w:rsid w:val="0747552D"/>
    <w:rsid w:val="07592C30"/>
    <w:rsid w:val="07791E20"/>
    <w:rsid w:val="078177D5"/>
    <w:rsid w:val="07924879"/>
    <w:rsid w:val="079C0E64"/>
    <w:rsid w:val="07D37D83"/>
    <w:rsid w:val="07D60F62"/>
    <w:rsid w:val="08621901"/>
    <w:rsid w:val="08911C02"/>
    <w:rsid w:val="08913549"/>
    <w:rsid w:val="08A302D0"/>
    <w:rsid w:val="08B53A61"/>
    <w:rsid w:val="08E76FD5"/>
    <w:rsid w:val="08FD20E7"/>
    <w:rsid w:val="09101BCD"/>
    <w:rsid w:val="09315C91"/>
    <w:rsid w:val="093D09BC"/>
    <w:rsid w:val="09510BFE"/>
    <w:rsid w:val="097E368B"/>
    <w:rsid w:val="09816EE6"/>
    <w:rsid w:val="099757EE"/>
    <w:rsid w:val="09A34824"/>
    <w:rsid w:val="09B85302"/>
    <w:rsid w:val="09B94936"/>
    <w:rsid w:val="09D26DBF"/>
    <w:rsid w:val="09F65854"/>
    <w:rsid w:val="0A07422F"/>
    <w:rsid w:val="0A1B49C1"/>
    <w:rsid w:val="0A3D0590"/>
    <w:rsid w:val="0A5824B5"/>
    <w:rsid w:val="0A7416D8"/>
    <w:rsid w:val="0A8945EB"/>
    <w:rsid w:val="0BAC1F4C"/>
    <w:rsid w:val="0BBE4F63"/>
    <w:rsid w:val="0BDA530A"/>
    <w:rsid w:val="0C0247C0"/>
    <w:rsid w:val="0C030D0C"/>
    <w:rsid w:val="0C3408BA"/>
    <w:rsid w:val="0C353302"/>
    <w:rsid w:val="0C496297"/>
    <w:rsid w:val="0C660E5E"/>
    <w:rsid w:val="0C9A109E"/>
    <w:rsid w:val="0CA74D09"/>
    <w:rsid w:val="0CA9483B"/>
    <w:rsid w:val="0CC51217"/>
    <w:rsid w:val="0CCB1484"/>
    <w:rsid w:val="0D0A01F7"/>
    <w:rsid w:val="0D1F1C9D"/>
    <w:rsid w:val="0D735BCC"/>
    <w:rsid w:val="0D7C2119"/>
    <w:rsid w:val="0D920730"/>
    <w:rsid w:val="0DE33D9A"/>
    <w:rsid w:val="0E022677"/>
    <w:rsid w:val="0E064CB1"/>
    <w:rsid w:val="0E4706D1"/>
    <w:rsid w:val="0E4B6575"/>
    <w:rsid w:val="0E5B42B3"/>
    <w:rsid w:val="0E5C2643"/>
    <w:rsid w:val="0E6537C4"/>
    <w:rsid w:val="0E701E1B"/>
    <w:rsid w:val="0E750CB0"/>
    <w:rsid w:val="0E8E6882"/>
    <w:rsid w:val="0EA41A28"/>
    <w:rsid w:val="0EE50D43"/>
    <w:rsid w:val="0F0377AE"/>
    <w:rsid w:val="0F0E6EE3"/>
    <w:rsid w:val="0F706416"/>
    <w:rsid w:val="0FCD5779"/>
    <w:rsid w:val="0FD03A0D"/>
    <w:rsid w:val="10381F40"/>
    <w:rsid w:val="104869BA"/>
    <w:rsid w:val="10575CC4"/>
    <w:rsid w:val="10F47168"/>
    <w:rsid w:val="110264F1"/>
    <w:rsid w:val="1104198D"/>
    <w:rsid w:val="1105049E"/>
    <w:rsid w:val="115434FF"/>
    <w:rsid w:val="115D3896"/>
    <w:rsid w:val="11B62E53"/>
    <w:rsid w:val="12103D4D"/>
    <w:rsid w:val="12345EA5"/>
    <w:rsid w:val="124027F2"/>
    <w:rsid w:val="125A673E"/>
    <w:rsid w:val="12775E6D"/>
    <w:rsid w:val="12A01322"/>
    <w:rsid w:val="12AB0828"/>
    <w:rsid w:val="12CA5DF5"/>
    <w:rsid w:val="12CE17F6"/>
    <w:rsid w:val="12E05DF5"/>
    <w:rsid w:val="133616DD"/>
    <w:rsid w:val="13582BF6"/>
    <w:rsid w:val="13583E3E"/>
    <w:rsid w:val="138356B4"/>
    <w:rsid w:val="13884680"/>
    <w:rsid w:val="13996DA4"/>
    <w:rsid w:val="13A56966"/>
    <w:rsid w:val="13B56A40"/>
    <w:rsid w:val="13C34F2E"/>
    <w:rsid w:val="13D309B3"/>
    <w:rsid w:val="13EC3F05"/>
    <w:rsid w:val="13FF0438"/>
    <w:rsid w:val="14077D57"/>
    <w:rsid w:val="14342819"/>
    <w:rsid w:val="144A7740"/>
    <w:rsid w:val="14965811"/>
    <w:rsid w:val="14D92610"/>
    <w:rsid w:val="15001500"/>
    <w:rsid w:val="154A25D7"/>
    <w:rsid w:val="15525604"/>
    <w:rsid w:val="156E5828"/>
    <w:rsid w:val="15B36E57"/>
    <w:rsid w:val="15B43A33"/>
    <w:rsid w:val="15C02CFA"/>
    <w:rsid w:val="15D02588"/>
    <w:rsid w:val="163004AD"/>
    <w:rsid w:val="164356BB"/>
    <w:rsid w:val="166F777C"/>
    <w:rsid w:val="169C21B8"/>
    <w:rsid w:val="169C6B59"/>
    <w:rsid w:val="16BB60A4"/>
    <w:rsid w:val="16D604C4"/>
    <w:rsid w:val="173A5387"/>
    <w:rsid w:val="17725C57"/>
    <w:rsid w:val="17755246"/>
    <w:rsid w:val="17800AEC"/>
    <w:rsid w:val="18245E40"/>
    <w:rsid w:val="18335F1D"/>
    <w:rsid w:val="186B461D"/>
    <w:rsid w:val="187C7565"/>
    <w:rsid w:val="188B4950"/>
    <w:rsid w:val="18C50468"/>
    <w:rsid w:val="18C7387D"/>
    <w:rsid w:val="18C76564"/>
    <w:rsid w:val="19087A11"/>
    <w:rsid w:val="191B7534"/>
    <w:rsid w:val="196C6250"/>
    <w:rsid w:val="196E2C37"/>
    <w:rsid w:val="1974690A"/>
    <w:rsid w:val="19C072D3"/>
    <w:rsid w:val="1A25720B"/>
    <w:rsid w:val="1A510684"/>
    <w:rsid w:val="1A6171B2"/>
    <w:rsid w:val="1AA65F2A"/>
    <w:rsid w:val="1AA666F2"/>
    <w:rsid w:val="1ADC340E"/>
    <w:rsid w:val="1AED2C78"/>
    <w:rsid w:val="1AEF15D5"/>
    <w:rsid w:val="1B1F6B22"/>
    <w:rsid w:val="1B343FD0"/>
    <w:rsid w:val="1B356551"/>
    <w:rsid w:val="1B377F92"/>
    <w:rsid w:val="1B3E4ABA"/>
    <w:rsid w:val="1B8A6475"/>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FB57EB"/>
    <w:rsid w:val="1E0062C5"/>
    <w:rsid w:val="1E4F15C4"/>
    <w:rsid w:val="1E665E93"/>
    <w:rsid w:val="1E6D0B8E"/>
    <w:rsid w:val="1E740910"/>
    <w:rsid w:val="1E8A1B7B"/>
    <w:rsid w:val="1ED05FDD"/>
    <w:rsid w:val="1EDA4565"/>
    <w:rsid w:val="1F0115E6"/>
    <w:rsid w:val="1F4A16E0"/>
    <w:rsid w:val="1F8B73B9"/>
    <w:rsid w:val="1F8F25D3"/>
    <w:rsid w:val="1FC0508F"/>
    <w:rsid w:val="1FD17519"/>
    <w:rsid w:val="1FDE37FF"/>
    <w:rsid w:val="1FE87CF6"/>
    <w:rsid w:val="20142293"/>
    <w:rsid w:val="202875D1"/>
    <w:rsid w:val="203B6405"/>
    <w:rsid w:val="204042C4"/>
    <w:rsid w:val="204434A6"/>
    <w:rsid w:val="207D5778"/>
    <w:rsid w:val="208E2CB0"/>
    <w:rsid w:val="20C7192F"/>
    <w:rsid w:val="20C94ACB"/>
    <w:rsid w:val="20CC6F0F"/>
    <w:rsid w:val="20F3606E"/>
    <w:rsid w:val="2117534C"/>
    <w:rsid w:val="213009EF"/>
    <w:rsid w:val="213D75BE"/>
    <w:rsid w:val="213F7AB1"/>
    <w:rsid w:val="217A33A1"/>
    <w:rsid w:val="21872636"/>
    <w:rsid w:val="218F2648"/>
    <w:rsid w:val="21AB5C9B"/>
    <w:rsid w:val="21B427AB"/>
    <w:rsid w:val="21BD46E0"/>
    <w:rsid w:val="227C0C68"/>
    <w:rsid w:val="227D1F07"/>
    <w:rsid w:val="22AE5DFE"/>
    <w:rsid w:val="23025E80"/>
    <w:rsid w:val="235C31B0"/>
    <w:rsid w:val="23C16FD2"/>
    <w:rsid w:val="242C445B"/>
    <w:rsid w:val="24447157"/>
    <w:rsid w:val="247E04BE"/>
    <w:rsid w:val="248B6BF0"/>
    <w:rsid w:val="24975A35"/>
    <w:rsid w:val="24A451C8"/>
    <w:rsid w:val="24B0777F"/>
    <w:rsid w:val="24B80E3D"/>
    <w:rsid w:val="24BA3A6C"/>
    <w:rsid w:val="24C14262"/>
    <w:rsid w:val="24DB11B1"/>
    <w:rsid w:val="24DB1DC1"/>
    <w:rsid w:val="254579AD"/>
    <w:rsid w:val="25482804"/>
    <w:rsid w:val="25550995"/>
    <w:rsid w:val="25916749"/>
    <w:rsid w:val="25B15AD3"/>
    <w:rsid w:val="25B73564"/>
    <w:rsid w:val="25E5097B"/>
    <w:rsid w:val="25ED1CE2"/>
    <w:rsid w:val="260366CA"/>
    <w:rsid w:val="26190B1E"/>
    <w:rsid w:val="261954E5"/>
    <w:rsid w:val="26B25A04"/>
    <w:rsid w:val="26E86A48"/>
    <w:rsid w:val="27101EDB"/>
    <w:rsid w:val="27450F96"/>
    <w:rsid w:val="27A03254"/>
    <w:rsid w:val="27A230C5"/>
    <w:rsid w:val="27A851CF"/>
    <w:rsid w:val="27F6755B"/>
    <w:rsid w:val="2835156C"/>
    <w:rsid w:val="285E7742"/>
    <w:rsid w:val="285F589C"/>
    <w:rsid w:val="2860075F"/>
    <w:rsid w:val="288E7537"/>
    <w:rsid w:val="28D51CE9"/>
    <w:rsid w:val="28E0382C"/>
    <w:rsid w:val="28FB2940"/>
    <w:rsid w:val="2935387C"/>
    <w:rsid w:val="295642C7"/>
    <w:rsid w:val="295721AE"/>
    <w:rsid w:val="29923BE6"/>
    <w:rsid w:val="29C74D12"/>
    <w:rsid w:val="29D70027"/>
    <w:rsid w:val="29DA51F1"/>
    <w:rsid w:val="29E4565C"/>
    <w:rsid w:val="2A217644"/>
    <w:rsid w:val="2A5522DC"/>
    <w:rsid w:val="2A6D7AE4"/>
    <w:rsid w:val="2A81126C"/>
    <w:rsid w:val="2A9A509F"/>
    <w:rsid w:val="2ABE75C5"/>
    <w:rsid w:val="2AC54EDF"/>
    <w:rsid w:val="2ADE1592"/>
    <w:rsid w:val="2AE72478"/>
    <w:rsid w:val="2AFE6BB2"/>
    <w:rsid w:val="2AFF547A"/>
    <w:rsid w:val="2B0F5BE3"/>
    <w:rsid w:val="2B194010"/>
    <w:rsid w:val="2B1A0A86"/>
    <w:rsid w:val="2B766889"/>
    <w:rsid w:val="2B8F7412"/>
    <w:rsid w:val="2BB62C14"/>
    <w:rsid w:val="2BB82208"/>
    <w:rsid w:val="2BC1544C"/>
    <w:rsid w:val="2BE811E1"/>
    <w:rsid w:val="2BF25A55"/>
    <w:rsid w:val="2BF83122"/>
    <w:rsid w:val="2C4D4422"/>
    <w:rsid w:val="2C61592A"/>
    <w:rsid w:val="2CF23348"/>
    <w:rsid w:val="2D0212AF"/>
    <w:rsid w:val="2D0721CE"/>
    <w:rsid w:val="2D2D0FB8"/>
    <w:rsid w:val="2D5369A4"/>
    <w:rsid w:val="2D553E12"/>
    <w:rsid w:val="2D563294"/>
    <w:rsid w:val="2D572DE8"/>
    <w:rsid w:val="2D7657B0"/>
    <w:rsid w:val="2DA92533"/>
    <w:rsid w:val="2DC542FD"/>
    <w:rsid w:val="2E027319"/>
    <w:rsid w:val="2E740C9C"/>
    <w:rsid w:val="2E912614"/>
    <w:rsid w:val="2EB82B9B"/>
    <w:rsid w:val="2EDB211E"/>
    <w:rsid w:val="2FAF734F"/>
    <w:rsid w:val="2FB74538"/>
    <w:rsid w:val="2FC85BC4"/>
    <w:rsid w:val="2FF16930"/>
    <w:rsid w:val="30255652"/>
    <w:rsid w:val="302A5959"/>
    <w:rsid w:val="305B0C4B"/>
    <w:rsid w:val="306F34C7"/>
    <w:rsid w:val="306F5FB1"/>
    <w:rsid w:val="31024AE6"/>
    <w:rsid w:val="311F3585"/>
    <w:rsid w:val="31232744"/>
    <w:rsid w:val="313F60CD"/>
    <w:rsid w:val="316C164E"/>
    <w:rsid w:val="31AC33EA"/>
    <w:rsid w:val="31B469D0"/>
    <w:rsid w:val="31D64F96"/>
    <w:rsid w:val="32017181"/>
    <w:rsid w:val="3202578C"/>
    <w:rsid w:val="326D3B31"/>
    <w:rsid w:val="326D5CEC"/>
    <w:rsid w:val="327021FA"/>
    <w:rsid w:val="329C1DF0"/>
    <w:rsid w:val="329E2BA3"/>
    <w:rsid w:val="32AE7A75"/>
    <w:rsid w:val="32E032B1"/>
    <w:rsid w:val="32EF11A3"/>
    <w:rsid w:val="32EF2028"/>
    <w:rsid w:val="33011C41"/>
    <w:rsid w:val="333C6A3D"/>
    <w:rsid w:val="33644CFD"/>
    <w:rsid w:val="33774568"/>
    <w:rsid w:val="33A0028D"/>
    <w:rsid w:val="33A570FA"/>
    <w:rsid w:val="33D32C1C"/>
    <w:rsid w:val="33D92429"/>
    <w:rsid w:val="340F23FA"/>
    <w:rsid w:val="343B3818"/>
    <w:rsid w:val="343C1893"/>
    <w:rsid w:val="35800787"/>
    <w:rsid w:val="358526AE"/>
    <w:rsid w:val="35B43FF1"/>
    <w:rsid w:val="35B54B22"/>
    <w:rsid w:val="35DF0F8E"/>
    <w:rsid w:val="35E83CBD"/>
    <w:rsid w:val="35EF293B"/>
    <w:rsid w:val="35F13A2A"/>
    <w:rsid w:val="360453EB"/>
    <w:rsid w:val="361633A9"/>
    <w:rsid w:val="362C0965"/>
    <w:rsid w:val="36495F37"/>
    <w:rsid w:val="36523501"/>
    <w:rsid w:val="366A6E58"/>
    <w:rsid w:val="37366041"/>
    <w:rsid w:val="373D0F4E"/>
    <w:rsid w:val="375D41E8"/>
    <w:rsid w:val="37625DAE"/>
    <w:rsid w:val="377717B0"/>
    <w:rsid w:val="379D7A74"/>
    <w:rsid w:val="37A03DDA"/>
    <w:rsid w:val="37DC389E"/>
    <w:rsid w:val="37E41DF1"/>
    <w:rsid w:val="37FC364E"/>
    <w:rsid w:val="38463090"/>
    <w:rsid w:val="38540357"/>
    <w:rsid w:val="3882116E"/>
    <w:rsid w:val="388234B9"/>
    <w:rsid w:val="38973473"/>
    <w:rsid w:val="38A56CC9"/>
    <w:rsid w:val="38C05F24"/>
    <w:rsid w:val="38D750B8"/>
    <w:rsid w:val="38E770AC"/>
    <w:rsid w:val="38F2240C"/>
    <w:rsid w:val="39171CC0"/>
    <w:rsid w:val="393F39C1"/>
    <w:rsid w:val="3941283A"/>
    <w:rsid w:val="395212E1"/>
    <w:rsid w:val="39654AF7"/>
    <w:rsid w:val="39976574"/>
    <w:rsid w:val="39A165F9"/>
    <w:rsid w:val="39B72706"/>
    <w:rsid w:val="39C84E5A"/>
    <w:rsid w:val="39FA0921"/>
    <w:rsid w:val="3A2A6FC1"/>
    <w:rsid w:val="3A3457E8"/>
    <w:rsid w:val="3A3F0320"/>
    <w:rsid w:val="3A536E24"/>
    <w:rsid w:val="3A565A98"/>
    <w:rsid w:val="3A810ECA"/>
    <w:rsid w:val="3A871F8A"/>
    <w:rsid w:val="3AA31206"/>
    <w:rsid w:val="3AB57780"/>
    <w:rsid w:val="3AC65AD2"/>
    <w:rsid w:val="3ACF5A26"/>
    <w:rsid w:val="3B1B509F"/>
    <w:rsid w:val="3B3575B2"/>
    <w:rsid w:val="3B4764C1"/>
    <w:rsid w:val="3B54731C"/>
    <w:rsid w:val="3B67428D"/>
    <w:rsid w:val="3B7051B0"/>
    <w:rsid w:val="3B713350"/>
    <w:rsid w:val="3B7A26BE"/>
    <w:rsid w:val="3BE767A5"/>
    <w:rsid w:val="3C1701DB"/>
    <w:rsid w:val="3C2E25AC"/>
    <w:rsid w:val="3C33699A"/>
    <w:rsid w:val="3C41291B"/>
    <w:rsid w:val="3C447C27"/>
    <w:rsid w:val="3C4E3440"/>
    <w:rsid w:val="3E225ED0"/>
    <w:rsid w:val="3E29108F"/>
    <w:rsid w:val="3E3D2DA2"/>
    <w:rsid w:val="3E763568"/>
    <w:rsid w:val="3E9C4491"/>
    <w:rsid w:val="3EB341AB"/>
    <w:rsid w:val="3EC20226"/>
    <w:rsid w:val="3EC451E1"/>
    <w:rsid w:val="3EC47F80"/>
    <w:rsid w:val="3F1E63B0"/>
    <w:rsid w:val="3F2226EC"/>
    <w:rsid w:val="3F601C75"/>
    <w:rsid w:val="3F636838"/>
    <w:rsid w:val="3FAC6CE4"/>
    <w:rsid w:val="3FB04B06"/>
    <w:rsid w:val="3FD91ECC"/>
    <w:rsid w:val="3FDA48AC"/>
    <w:rsid w:val="4004626D"/>
    <w:rsid w:val="40233C63"/>
    <w:rsid w:val="402A3DD6"/>
    <w:rsid w:val="402E363B"/>
    <w:rsid w:val="403A7A13"/>
    <w:rsid w:val="40883F9A"/>
    <w:rsid w:val="40A6403B"/>
    <w:rsid w:val="40C31767"/>
    <w:rsid w:val="40D11C13"/>
    <w:rsid w:val="40D14228"/>
    <w:rsid w:val="40E32648"/>
    <w:rsid w:val="413F338F"/>
    <w:rsid w:val="415D3A83"/>
    <w:rsid w:val="419659D4"/>
    <w:rsid w:val="41A50FA5"/>
    <w:rsid w:val="41AF222E"/>
    <w:rsid w:val="41CC07BC"/>
    <w:rsid w:val="41DD5AAF"/>
    <w:rsid w:val="420569A4"/>
    <w:rsid w:val="4246080B"/>
    <w:rsid w:val="42CE24FD"/>
    <w:rsid w:val="42F302DD"/>
    <w:rsid w:val="43260C43"/>
    <w:rsid w:val="438034F8"/>
    <w:rsid w:val="4388321A"/>
    <w:rsid w:val="441A31FF"/>
    <w:rsid w:val="443F03D6"/>
    <w:rsid w:val="446A3759"/>
    <w:rsid w:val="446B4961"/>
    <w:rsid w:val="449428DA"/>
    <w:rsid w:val="45132E7E"/>
    <w:rsid w:val="45797DA1"/>
    <w:rsid w:val="45A046DF"/>
    <w:rsid w:val="45AB1A67"/>
    <w:rsid w:val="45B725A0"/>
    <w:rsid w:val="45D33008"/>
    <w:rsid w:val="45D53422"/>
    <w:rsid w:val="462E25CA"/>
    <w:rsid w:val="46303A17"/>
    <w:rsid w:val="465A58CC"/>
    <w:rsid w:val="46931FE6"/>
    <w:rsid w:val="46D637ED"/>
    <w:rsid w:val="46DD3F38"/>
    <w:rsid w:val="46F16F1D"/>
    <w:rsid w:val="46FD2CBF"/>
    <w:rsid w:val="472910BD"/>
    <w:rsid w:val="47553E8E"/>
    <w:rsid w:val="477C293C"/>
    <w:rsid w:val="47A7120B"/>
    <w:rsid w:val="47CA2F97"/>
    <w:rsid w:val="47D84675"/>
    <w:rsid w:val="47E17B3A"/>
    <w:rsid w:val="481379C4"/>
    <w:rsid w:val="481947FE"/>
    <w:rsid w:val="483B043E"/>
    <w:rsid w:val="486B0826"/>
    <w:rsid w:val="486B1D8E"/>
    <w:rsid w:val="48A93D74"/>
    <w:rsid w:val="48D139F6"/>
    <w:rsid w:val="48F56DD6"/>
    <w:rsid w:val="491916C6"/>
    <w:rsid w:val="49573AC8"/>
    <w:rsid w:val="49AA7971"/>
    <w:rsid w:val="49FE240E"/>
    <w:rsid w:val="4A141151"/>
    <w:rsid w:val="4A316318"/>
    <w:rsid w:val="4A5950C6"/>
    <w:rsid w:val="4A643B84"/>
    <w:rsid w:val="4A777A6A"/>
    <w:rsid w:val="4AC9062D"/>
    <w:rsid w:val="4AE52C42"/>
    <w:rsid w:val="4AF2187D"/>
    <w:rsid w:val="4AFC3953"/>
    <w:rsid w:val="4B1E385E"/>
    <w:rsid w:val="4B6870F9"/>
    <w:rsid w:val="4B6C2969"/>
    <w:rsid w:val="4BCF6DCB"/>
    <w:rsid w:val="4BD06B38"/>
    <w:rsid w:val="4BDF321A"/>
    <w:rsid w:val="4C0065CE"/>
    <w:rsid w:val="4C18241E"/>
    <w:rsid w:val="4C227943"/>
    <w:rsid w:val="4C4373DD"/>
    <w:rsid w:val="4C472142"/>
    <w:rsid w:val="4C5F22C4"/>
    <w:rsid w:val="4CDD603C"/>
    <w:rsid w:val="4DC86CD0"/>
    <w:rsid w:val="4DD62C1F"/>
    <w:rsid w:val="4DF46D27"/>
    <w:rsid w:val="4E367509"/>
    <w:rsid w:val="4E5211BA"/>
    <w:rsid w:val="4E90713C"/>
    <w:rsid w:val="4E9D1D1E"/>
    <w:rsid w:val="4F0E0B1D"/>
    <w:rsid w:val="4F563CC4"/>
    <w:rsid w:val="4FBD41CA"/>
    <w:rsid w:val="4FD246D2"/>
    <w:rsid w:val="4FEA5982"/>
    <w:rsid w:val="50077D56"/>
    <w:rsid w:val="50131451"/>
    <w:rsid w:val="50831BFE"/>
    <w:rsid w:val="50B52FE4"/>
    <w:rsid w:val="50BF2E54"/>
    <w:rsid w:val="51390BE4"/>
    <w:rsid w:val="513A0DFD"/>
    <w:rsid w:val="51C804DE"/>
    <w:rsid w:val="51CF0D4C"/>
    <w:rsid w:val="51E12FF8"/>
    <w:rsid w:val="51E33826"/>
    <w:rsid w:val="51E71C22"/>
    <w:rsid w:val="520C6B50"/>
    <w:rsid w:val="522E62F3"/>
    <w:rsid w:val="52444BF1"/>
    <w:rsid w:val="524B45E9"/>
    <w:rsid w:val="52A33960"/>
    <w:rsid w:val="52B476CE"/>
    <w:rsid w:val="52F47A95"/>
    <w:rsid w:val="531645CA"/>
    <w:rsid w:val="531F2A96"/>
    <w:rsid w:val="532449C3"/>
    <w:rsid w:val="53262EC9"/>
    <w:rsid w:val="53734149"/>
    <w:rsid w:val="53932760"/>
    <w:rsid w:val="539873E7"/>
    <w:rsid w:val="53B46D0C"/>
    <w:rsid w:val="53C0793C"/>
    <w:rsid w:val="54087353"/>
    <w:rsid w:val="54375044"/>
    <w:rsid w:val="544232E7"/>
    <w:rsid w:val="54557110"/>
    <w:rsid w:val="549661B6"/>
    <w:rsid w:val="54B9588F"/>
    <w:rsid w:val="54D24E79"/>
    <w:rsid w:val="5503429F"/>
    <w:rsid w:val="551027C6"/>
    <w:rsid w:val="552F7315"/>
    <w:rsid w:val="554B0FDD"/>
    <w:rsid w:val="55631D2D"/>
    <w:rsid w:val="55BB1E97"/>
    <w:rsid w:val="55C8709D"/>
    <w:rsid w:val="560509A3"/>
    <w:rsid w:val="56050C0A"/>
    <w:rsid w:val="56250237"/>
    <w:rsid w:val="564569EB"/>
    <w:rsid w:val="56AB5944"/>
    <w:rsid w:val="56F645A2"/>
    <w:rsid w:val="57024FAA"/>
    <w:rsid w:val="57154FEF"/>
    <w:rsid w:val="57214861"/>
    <w:rsid w:val="572B4616"/>
    <w:rsid w:val="574D0C71"/>
    <w:rsid w:val="57541EAD"/>
    <w:rsid w:val="576D2C98"/>
    <w:rsid w:val="577465D8"/>
    <w:rsid w:val="57AE5029"/>
    <w:rsid w:val="57C23486"/>
    <w:rsid w:val="57D123D3"/>
    <w:rsid w:val="5807247D"/>
    <w:rsid w:val="58117CC1"/>
    <w:rsid w:val="582C3384"/>
    <w:rsid w:val="58624A55"/>
    <w:rsid w:val="59162EF2"/>
    <w:rsid w:val="59216A89"/>
    <w:rsid w:val="59A175DF"/>
    <w:rsid w:val="59B819C2"/>
    <w:rsid w:val="59C7668D"/>
    <w:rsid w:val="59FC4729"/>
    <w:rsid w:val="59FF697B"/>
    <w:rsid w:val="5A0B75E4"/>
    <w:rsid w:val="5A575BFF"/>
    <w:rsid w:val="5A77586F"/>
    <w:rsid w:val="5AA12CBD"/>
    <w:rsid w:val="5ACA65CD"/>
    <w:rsid w:val="5ACC7A53"/>
    <w:rsid w:val="5ADD47D9"/>
    <w:rsid w:val="5AE51758"/>
    <w:rsid w:val="5B581F93"/>
    <w:rsid w:val="5B6B529B"/>
    <w:rsid w:val="5BB250E2"/>
    <w:rsid w:val="5BB3320D"/>
    <w:rsid w:val="5BC31A45"/>
    <w:rsid w:val="5BC772C9"/>
    <w:rsid w:val="5BF50377"/>
    <w:rsid w:val="5C465FA2"/>
    <w:rsid w:val="5C544090"/>
    <w:rsid w:val="5C726BB6"/>
    <w:rsid w:val="5C7322D1"/>
    <w:rsid w:val="5CEF4070"/>
    <w:rsid w:val="5CFC28A8"/>
    <w:rsid w:val="5D246FFC"/>
    <w:rsid w:val="5D36426B"/>
    <w:rsid w:val="5DDA696A"/>
    <w:rsid w:val="5E410FFD"/>
    <w:rsid w:val="5E544606"/>
    <w:rsid w:val="5E8E05EA"/>
    <w:rsid w:val="5EFB61FA"/>
    <w:rsid w:val="5F2C7D02"/>
    <w:rsid w:val="5F31206E"/>
    <w:rsid w:val="5F7663E9"/>
    <w:rsid w:val="5FB656F9"/>
    <w:rsid w:val="5FBC2CFA"/>
    <w:rsid w:val="5FC53466"/>
    <w:rsid w:val="5FD13015"/>
    <w:rsid w:val="5FF56DB4"/>
    <w:rsid w:val="60190EE3"/>
    <w:rsid w:val="601D48F2"/>
    <w:rsid w:val="601E31F8"/>
    <w:rsid w:val="602832C7"/>
    <w:rsid w:val="603D1F50"/>
    <w:rsid w:val="603F673E"/>
    <w:rsid w:val="605467C6"/>
    <w:rsid w:val="60D605A1"/>
    <w:rsid w:val="612C537D"/>
    <w:rsid w:val="61464F6C"/>
    <w:rsid w:val="61515A7F"/>
    <w:rsid w:val="61633E93"/>
    <w:rsid w:val="61A4558D"/>
    <w:rsid w:val="61C32B70"/>
    <w:rsid w:val="61D54EA8"/>
    <w:rsid w:val="61E045CD"/>
    <w:rsid w:val="61E23930"/>
    <w:rsid w:val="62016875"/>
    <w:rsid w:val="623E052A"/>
    <w:rsid w:val="628B7263"/>
    <w:rsid w:val="62902D58"/>
    <w:rsid w:val="62AE4BDA"/>
    <w:rsid w:val="62C97640"/>
    <w:rsid w:val="62D27C48"/>
    <w:rsid w:val="6307315E"/>
    <w:rsid w:val="63184211"/>
    <w:rsid w:val="631B5AD9"/>
    <w:rsid w:val="635514AC"/>
    <w:rsid w:val="635C575B"/>
    <w:rsid w:val="63672302"/>
    <w:rsid w:val="636863CF"/>
    <w:rsid w:val="63715219"/>
    <w:rsid w:val="63752C12"/>
    <w:rsid w:val="637E19DB"/>
    <w:rsid w:val="638C1080"/>
    <w:rsid w:val="63B413CF"/>
    <w:rsid w:val="63BC2FED"/>
    <w:rsid w:val="63D4721A"/>
    <w:rsid w:val="63FF6C27"/>
    <w:rsid w:val="6405263C"/>
    <w:rsid w:val="642454D9"/>
    <w:rsid w:val="6464336B"/>
    <w:rsid w:val="65360BCA"/>
    <w:rsid w:val="653C5193"/>
    <w:rsid w:val="655C7828"/>
    <w:rsid w:val="658B4967"/>
    <w:rsid w:val="65CB1350"/>
    <w:rsid w:val="66330E7B"/>
    <w:rsid w:val="66351622"/>
    <w:rsid w:val="665A2304"/>
    <w:rsid w:val="669C6349"/>
    <w:rsid w:val="66A80AC6"/>
    <w:rsid w:val="66E00C7E"/>
    <w:rsid w:val="67144976"/>
    <w:rsid w:val="67202357"/>
    <w:rsid w:val="67603F26"/>
    <w:rsid w:val="67D3264E"/>
    <w:rsid w:val="67D63720"/>
    <w:rsid w:val="67EC027D"/>
    <w:rsid w:val="68024DD3"/>
    <w:rsid w:val="680F332B"/>
    <w:rsid w:val="6832253F"/>
    <w:rsid w:val="685C3C4D"/>
    <w:rsid w:val="687102AD"/>
    <w:rsid w:val="68724B40"/>
    <w:rsid w:val="68902798"/>
    <w:rsid w:val="690C7142"/>
    <w:rsid w:val="69412846"/>
    <w:rsid w:val="695907E9"/>
    <w:rsid w:val="6964290E"/>
    <w:rsid w:val="698304CD"/>
    <w:rsid w:val="69932BAE"/>
    <w:rsid w:val="69A16FDB"/>
    <w:rsid w:val="69BA6060"/>
    <w:rsid w:val="69ED5B2B"/>
    <w:rsid w:val="6A223F21"/>
    <w:rsid w:val="6A4771F0"/>
    <w:rsid w:val="6A641277"/>
    <w:rsid w:val="6A985E45"/>
    <w:rsid w:val="6AAD0001"/>
    <w:rsid w:val="6ACC3B62"/>
    <w:rsid w:val="6AE30427"/>
    <w:rsid w:val="6B1B05C6"/>
    <w:rsid w:val="6B35684E"/>
    <w:rsid w:val="6B5775BA"/>
    <w:rsid w:val="6B6C1D6A"/>
    <w:rsid w:val="6B706DFD"/>
    <w:rsid w:val="6B735145"/>
    <w:rsid w:val="6B76701F"/>
    <w:rsid w:val="6BAA63F6"/>
    <w:rsid w:val="6BB64940"/>
    <w:rsid w:val="6BBA5ABD"/>
    <w:rsid w:val="6BC04151"/>
    <w:rsid w:val="6BFF6B53"/>
    <w:rsid w:val="6C161EDD"/>
    <w:rsid w:val="6C17534B"/>
    <w:rsid w:val="6C52384A"/>
    <w:rsid w:val="6C5F577B"/>
    <w:rsid w:val="6C5F6B13"/>
    <w:rsid w:val="6C804F5F"/>
    <w:rsid w:val="6C831486"/>
    <w:rsid w:val="6C8C7141"/>
    <w:rsid w:val="6C903E5F"/>
    <w:rsid w:val="6C92595F"/>
    <w:rsid w:val="6CA31D11"/>
    <w:rsid w:val="6CE513BE"/>
    <w:rsid w:val="6CEE595E"/>
    <w:rsid w:val="6CF82160"/>
    <w:rsid w:val="6D094BFA"/>
    <w:rsid w:val="6D1D7324"/>
    <w:rsid w:val="6D283EB3"/>
    <w:rsid w:val="6D476F5C"/>
    <w:rsid w:val="6D524D35"/>
    <w:rsid w:val="6D631E8B"/>
    <w:rsid w:val="6DA45721"/>
    <w:rsid w:val="6DEF5724"/>
    <w:rsid w:val="6E2D7396"/>
    <w:rsid w:val="6E977E1E"/>
    <w:rsid w:val="6E9A083E"/>
    <w:rsid w:val="6F1013D6"/>
    <w:rsid w:val="6F1830F3"/>
    <w:rsid w:val="6F2C4E6B"/>
    <w:rsid w:val="6F7502BE"/>
    <w:rsid w:val="6F8E346E"/>
    <w:rsid w:val="6F922D77"/>
    <w:rsid w:val="6FA85985"/>
    <w:rsid w:val="6FD7718C"/>
    <w:rsid w:val="6FEA2DEF"/>
    <w:rsid w:val="70231C9D"/>
    <w:rsid w:val="704116AB"/>
    <w:rsid w:val="70411BFE"/>
    <w:rsid w:val="704768DE"/>
    <w:rsid w:val="707B5C7D"/>
    <w:rsid w:val="708C386D"/>
    <w:rsid w:val="7093353E"/>
    <w:rsid w:val="70A25D2A"/>
    <w:rsid w:val="70EC15F1"/>
    <w:rsid w:val="70F606D1"/>
    <w:rsid w:val="710C3141"/>
    <w:rsid w:val="71104E62"/>
    <w:rsid w:val="713927A1"/>
    <w:rsid w:val="71426CAF"/>
    <w:rsid w:val="719525E5"/>
    <w:rsid w:val="71C43EDF"/>
    <w:rsid w:val="71C805F9"/>
    <w:rsid w:val="71D12B7B"/>
    <w:rsid w:val="72047D57"/>
    <w:rsid w:val="7254510E"/>
    <w:rsid w:val="72563FB1"/>
    <w:rsid w:val="726977A1"/>
    <w:rsid w:val="726E28BC"/>
    <w:rsid w:val="729701F7"/>
    <w:rsid w:val="72C13435"/>
    <w:rsid w:val="7332304C"/>
    <w:rsid w:val="733B0345"/>
    <w:rsid w:val="73460DCF"/>
    <w:rsid w:val="736F51CC"/>
    <w:rsid w:val="73765DF7"/>
    <w:rsid w:val="739C093C"/>
    <w:rsid w:val="739D0315"/>
    <w:rsid w:val="73CE4F10"/>
    <w:rsid w:val="73DE0BF4"/>
    <w:rsid w:val="73EF72A5"/>
    <w:rsid w:val="740166CA"/>
    <w:rsid w:val="741606DE"/>
    <w:rsid w:val="74403414"/>
    <w:rsid w:val="746B4618"/>
    <w:rsid w:val="746F2FAE"/>
    <w:rsid w:val="748E187D"/>
    <w:rsid w:val="74F727ED"/>
    <w:rsid w:val="75395A4F"/>
    <w:rsid w:val="757762E2"/>
    <w:rsid w:val="75A62599"/>
    <w:rsid w:val="75C718AC"/>
    <w:rsid w:val="75E5168E"/>
    <w:rsid w:val="75E65018"/>
    <w:rsid w:val="75FD7923"/>
    <w:rsid w:val="764536B8"/>
    <w:rsid w:val="764C1E95"/>
    <w:rsid w:val="765340BE"/>
    <w:rsid w:val="76600B0B"/>
    <w:rsid w:val="769D4729"/>
    <w:rsid w:val="76EC025F"/>
    <w:rsid w:val="77104195"/>
    <w:rsid w:val="77532B5B"/>
    <w:rsid w:val="77A72B49"/>
    <w:rsid w:val="77BA48A1"/>
    <w:rsid w:val="77EA45C3"/>
    <w:rsid w:val="77F3515D"/>
    <w:rsid w:val="77F537AF"/>
    <w:rsid w:val="78427D95"/>
    <w:rsid w:val="789B3619"/>
    <w:rsid w:val="78CE3373"/>
    <w:rsid w:val="78EA06B1"/>
    <w:rsid w:val="79303653"/>
    <w:rsid w:val="79332894"/>
    <w:rsid w:val="79432FDA"/>
    <w:rsid w:val="794E031B"/>
    <w:rsid w:val="79573B90"/>
    <w:rsid w:val="796340FE"/>
    <w:rsid w:val="79F651E3"/>
    <w:rsid w:val="7A4A0DFD"/>
    <w:rsid w:val="7A552236"/>
    <w:rsid w:val="7A735659"/>
    <w:rsid w:val="7A7E0068"/>
    <w:rsid w:val="7AB60141"/>
    <w:rsid w:val="7AB7745D"/>
    <w:rsid w:val="7AC17447"/>
    <w:rsid w:val="7AD70C9B"/>
    <w:rsid w:val="7ADA5B3C"/>
    <w:rsid w:val="7B0C61E4"/>
    <w:rsid w:val="7B4531F1"/>
    <w:rsid w:val="7B4D07FD"/>
    <w:rsid w:val="7B7F006F"/>
    <w:rsid w:val="7BAB3DF5"/>
    <w:rsid w:val="7BD26364"/>
    <w:rsid w:val="7BDB29F1"/>
    <w:rsid w:val="7C2F53CB"/>
    <w:rsid w:val="7C3A3603"/>
    <w:rsid w:val="7C461D0D"/>
    <w:rsid w:val="7C485C63"/>
    <w:rsid w:val="7CA834CE"/>
    <w:rsid w:val="7CB9036C"/>
    <w:rsid w:val="7D047631"/>
    <w:rsid w:val="7D3475DB"/>
    <w:rsid w:val="7D3E86F5"/>
    <w:rsid w:val="7D771F95"/>
    <w:rsid w:val="7D942460"/>
    <w:rsid w:val="7DBB0F77"/>
    <w:rsid w:val="7DDD5D1F"/>
    <w:rsid w:val="7E0B3754"/>
    <w:rsid w:val="7E3C4D54"/>
    <w:rsid w:val="7E563F68"/>
    <w:rsid w:val="7EC40A24"/>
    <w:rsid w:val="7F5F072D"/>
    <w:rsid w:val="7F711C25"/>
    <w:rsid w:val="AFFD4354"/>
    <w:rsid w:val="E79DF37E"/>
    <w:rsid w:val="EEF776C4"/>
    <w:rsid w:val="F7FD8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9"/>
    <w:autoRedefine/>
    <w:qFormat/>
    <w:uiPriority w:val="0"/>
    <w:pPr>
      <w:keepNext/>
      <w:jc w:val="center"/>
      <w:outlineLvl w:val="0"/>
    </w:pPr>
    <w:rPr>
      <w:rFonts w:eastAsia="黑体"/>
      <w:b/>
      <w:sz w:val="32"/>
      <w:szCs w:val="20"/>
    </w:rPr>
  </w:style>
  <w:style w:type="paragraph" w:styleId="5">
    <w:name w:val="heading 2"/>
    <w:basedOn w:val="1"/>
    <w:next w:val="1"/>
    <w:link w:val="67"/>
    <w:qFormat/>
    <w:uiPriority w:val="0"/>
    <w:pPr>
      <w:keepNext/>
      <w:outlineLvl w:val="1"/>
    </w:pPr>
    <w:rPr>
      <w:rFonts w:ascii="仿宋_GB2312"/>
      <w:b/>
      <w:sz w:val="28"/>
      <w:szCs w:val="32"/>
    </w:rPr>
  </w:style>
  <w:style w:type="paragraph" w:styleId="6">
    <w:name w:val="heading 3"/>
    <w:basedOn w:val="1"/>
    <w:next w:val="1"/>
    <w:link w:val="152"/>
    <w:qFormat/>
    <w:uiPriority w:val="0"/>
    <w:pPr>
      <w:keepNext/>
      <w:keepLines/>
      <w:spacing w:line="540" w:lineRule="atLeast"/>
      <w:outlineLvl w:val="2"/>
    </w:pPr>
    <w:rPr>
      <w:rFonts w:eastAsia="黑体"/>
      <w:b/>
      <w:sz w:val="28"/>
      <w:szCs w:val="20"/>
    </w:rPr>
  </w:style>
  <w:style w:type="paragraph" w:styleId="7">
    <w:name w:val="heading 4"/>
    <w:basedOn w:val="1"/>
    <w:next w:val="1"/>
    <w:link w:val="149"/>
    <w:autoRedefine/>
    <w:qFormat/>
    <w:uiPriority w:val="0"/>
    <w:pPr>
      <w:keepNext/>
      <w:keepLines/>
      <w:spacing w:line="540" w:lineRule="atLeast"/>
      <w:outlineLvl w:val="3"/>
    </w:pPr>
    <w:rPr>
      <w:sz w:val="28"/>
      <w:szCs w:val="28"/>
    </w:rPr>
  </w:style>
  <w:style w:type="paragraph" w:styleId="8">
    <w:name w:val="heading 5"/>
    <w:basedOn w:val="1"/>
    <w:next w:val="1"/>
    <w:link w:val="132"/>
    <w:autoRedefine/>
    <w:qFormat/>
    <w:uiPriority w:val="0"/>
    <w:pPr>
      <w:keepNext/>
      <w:keepLines/>
      <w:spacing w:before="280" w:after="290" w:line="372" w:lineRule="auto"/>
      <w:outlineLvl w:val="4"/>
    </w:pPr>
    <w:rPr>
      <w:b/>
      <w:bCs/>
      <w:kern w:val="0"/>
      <w:sz w:val="28"/>
      <w:szCs w:val="28"/>
    </w:rPr>
  </w:style>
  <w:style w:type="paragraph" w:styleId="9">
    <w:name w:val="heading 6"/>
    <w:basedOn w:val="1"/>
    <w:next w:val="10"/>
    <w:link w:val="173"/>
    <w:autoRedefine/>
    <w:qFormat/>
    <w:uiPriority w:val="0"/>
    <w:pPr>
      <w:keepNext/>
      <w:keepLines/>
      <w:spacing w:before="240" w:after="64" w:line="317" w:lineRule="auto"/>
      <w:outlineLvl w:val="5"/>
    </w:pPr>
    <w:rPr>
      <w:rFonts w:ascii="Arial" w:hAnsi="Arial" w:eastAsia="黑体"/>
      <w:b/>
      <w:sz w:val="24"/>
      <w:szCs w:val="20"/>
    </w:rPr>
  </w:style>
  <w:style w:type="paragraph" w:styleId="11">
    <w:name w:val="heading 7"/>
    <w:basedOn w:val="1"/>
    <w:next w:val="10"/>
    <w:link w:val="70"/>
    <w:qFormat/>
    <w:uiPriority w:val="0"/>
    <w:pPr>
      <w:keepNext/>
      <w:keepLines/>
      <w:spacing w:before="240" w:after="64" w:line="317" w:lineRule="auto"/>
      <w:outlineLvl w:val="6"/>
    </w:pPr>
    <w:rPr>
      <w:b/>
      <w:sz w:val="24"/>
      <w:szCs w:val="20"/>
    </w:rPr>
  </w:style>
  <w:style w:type="paragraph" w:styleId="12">
    <w:name w:val="heading 8"/>
    <w:basedOn w:val="1"/>
    <w:next w:val="10"/>
    <w:link w:val="176"/>
    <w:autoRedefine/>
    <w:qFormat/>
    <w:uiPriority w:val="0"/>
    <w:pPr>
      <w:keepNext/>
      <w:keepLines/>
      <w:spacing w:before="240" w:after="64" w:line="317" w:lineRule="auto"/>
      <w:outlineLvl w:val="7"/>
    </w:pPr>
    <w:rPr>
      <w:rFonts w:ascii="Arial" w:hAnsi="Arial" w:eastAsia="黑体"/>
      <w:sz w:val="24"/>
      <w:szCs w:val="20"/>
    </w:rPr>
  </w:style>
  <w:style w:type="paragraph" w:styleId="13">
    <w:name w:val="heading 9"/>
    <w:basedOn w:val="1"/>
    <w:next w:val="10"/>
    <w:link w:val="163"/>
    <w:autoRedefine/>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ind w:left="420" w:leftChars="200"/>
    </w:pPr>
  </w:style>
  <w:style w:type="paragraph" w:styleId="3">
    <w:name w:val="macro"/>
    <w:link w:val="118"/>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0">
    <w:name w:val="Normal Indent"/>
    <w:basedOn w:val="1"/>
    <w:next w:val="1"/>
    <w:link w:val="105"/>
    <w:autoRedefine/>
    <w:qFormat/>
    <w:uiPriority w:val="0"/>
    <w:pPr>
      <w:adjustRightInd w:val="0"/>
      <w:spacing w:line="312" w:lineRule="atLeast"/>
      <w:ind w:firstLine="420"/>
      <w:textAlignment w:val="baseline"/>
    </w:pPr>
    <w:rPr>
      <w:rFonts w:ascii="仿宋_GB2312"/>
      <w:b/>
      <w:kern w:val="0"/>
      <w:szCs w:val="32"/>
    </w:rPr>
  </w:style>
  <w:style w:type="paragraph" w:styleId="14">
    <w:name w:val="toc 7"/>
    <w:basedOn w:val="1"/>
    <w:next w:val="1"/>
    <w:autoRedefine/>
    <w:qFormat/>
    <w:uiPriority w:val="0"/>
    <w:pPr>
      <w:autoSpaceDE w:val="0"/>
      <w:autoSpaceDN w:val="0"/>
      <w:adjustRightInd w:val="0"/>
      <w:ind w:left="2520" w:leftChars="1200"/>
      <w:jc w:val="left"/>
    </w:pPr>
    <w:rPr>
      <w:kern w:val="0"/>
      <w:sz w:val="20"/>
      <w:szCs w:val="20"/>
    </w:rPr>
  </w:style>
  <w:style w:type="paragraph" w:styleId="15">
    <w:name w:val="List Number"/>
    <w:basedOn w:val="1"/>
    <w:autoRedefine/>
    <w:qFormat/>
    <w:uiPriority w:val="0"/>
    <w:pPr>
      <w:tabs>
        <w:tab w:val="left" w:pos="360"/>
      </w:tabs>
      <w:ind w:left="360" w:hanging="360" w:hangingChars="200"/>
    </w:pPr>
  </w:style>
  <w:style w:type="paragraph" w:styleId="16">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7">
    <w:name w:val="List Bullet"/>
    <w:basedOn w:val="1"/>
    <w:autoRedefine/>
    <w:qFormat/>
    <w:uiPriority w:val="0"/>
    <w:pPr>
      <w:tabs>
        <w:tab w:val="left" w:pos="360"/>
      </w:tabs>
    </w:pPr>
    <w:rPr>
      <w:rFonts w:ascii="Calibri" w:hAnsi="Calibri"/>
      <w:szCs w:val="22"/>
    </w:rPr>
  </w:style>
  <w:style w:type="paragraph" w:styleId="18">
    <w:name w:val="Document Map"/>
    <w:basedOn w:val="1"/>
    <w:link w:val="131"/>
    <w:autoRedefine/>
    <w:qFormat/>
    <w:uiPriority w:val="0"/>
    <w:pPr>
      <w:shd w:val="clear" w:color="auto" w:fill="000080"/>
    </w:pPr>
  </w:style>
  <w:style w:type="paragraph" w:styleId="19">
    <w:name w:val="annotation text"/>
    <w:basedOn w:val="1"/>
    <w:link w:val="91"/>
    <w:autoRedefine/>
    <w:qFormat/>
    <w:uiPriority w:val="0"/>
    <w:pPr>
      <w:jc w:val="left"/>
    </w:pPr>
  </w:style>
  <w:style w:type="paragraph" w:styleId="20">
    <w:name w:val="Salutation"/>
    <w:basedOn w:val="1"/>
    <w:next w:val="1"/>
    <w:link w:val="79"/>
    <w:autoRedefine/>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1">
    <w:name w:val="Body Text 3"/>
    <w:basedOn w:val="1"/>
    <w:link w:val="95"/>
    <w:qFormat/>
    <w:uiPriority w:val="0"/>
    <w:pPr>
      <w:autoSpaceDE w:val="0"/>
      <w:autoSpaceDN w:val="0"/>
      <w:adjustRightInd w:val="0"/>
      <w:jc w:val="center"/>
    </w:pPr>
  </w:style>
  <w:style w:type="paragraph" w:styleId="22">
    <w:name w:val="Body Text"/>
    <w:basedOn w:val="1"/>
    <w:next w:val="23"/>
    <w:link w:val="164"/>
    <w:qFormat/>
    <w:uiPriority w:val="0"/>
    <w:pPr>
      <w:spacing w:after="120"/>
    </w:pPr>
    <w:rPr>
      <w:rFonts w:ascii="仿宋_GB2312"/>
      <w:b/>
    </w:rPr>
  </w:style>
  <w:style w:type="paragraph" w:styleId="23">
    <w:name w:val="Body Text First Indent"/>
    <w:basedOn w:val="22"/>
    <w:next w:val="24"/>
    <w:link w:val="196"/>
    <w:qFormat/>
    <w:uiPriority w:val="0"/>
    <w:pPr>
      <w:autoSpaceDE w:val="0"/>
      <w:autoSpaceDN w:val="0"/>
      <w:adjustRightInd w:val="0"/>
      <w:ind w:firstLine="420" w:firstLineChars="100"/>
      <w:jc w:val="left"/>
    </w:pPr>
    <w:rPr>
      <w:rFonts w:ascii="Times New Roman"/>
      <w:b w:val="0"/>
      <w:kern w:val="0"/>
      <w:sz w:val="20"/>
      <w:szCs w:val="20"/>
    </w:rPr>
  </w:style>
  <w:style w:type="paragraph" w:styleId="24">
    <w:name w:val="toc 6"/>
    <w:basedOn w:val="1"/>
    <w:next w:val="1"/>
    <w:autoRedefine/>
    <w:qFormat/>
    <w:uiPriority w:val="0"/>
    <w:pPr>
      <w:autoSpaceDE w:val="0"/>
      <w:autoSpaceDN w:val="0"/>
      <w:adjustRightInd w:val="0"/>
      <w:ind w:left="2100" w:leftChars="1000"/>
      <w:jc w:val="left"/>
    </w:pPr>
    <w:rPr>
      <w:kern w:val="0"/>
      <w:sz w:val="20"/>
      <w:szCs w:val="20"/>
    </w:rPr>
  </w:style>
  <w:style w:type="paragraph" w:styleId="25">
    <w:name w:val="Body Text Indent"/>
    <w:basedOn w:val="1"/>
    <w:next w:val="1"/>
    <w:link w:val="144"/>
    <w:autoRedefine/>
    <w:qFormat/>
    <w:uiPriority w:val="0"/>
    <w:pPr>
      <w:ind w:left="480" w:hanging="480" w:hangingChars="200"/>
    </w:pPr>
    <w:rPr>
      <w:sz w:val="24"/>
    </w:rPr>
  </w:style>
  <w:style w:type="paragraph" w:styleId="26">
    <w:name w:val="List Number 3"/>
    <w:basedOn w:val="1"/>
    <w:autoRedefine/>
    <w:qFormat/>
    <w:uiPriority w:val="0"/>
    <w:pPr>
      <w:tabs>
        <w:tab w:val="left" w:pos="1200"/>
      </w:tabs>
      <w:ind w:left="1200" w:leftChars="400" w:hanging="360" w:hangingChars="200"/>
    </w:pPr>
  </w:style>
  <w:style w:type="paragraph" w:styleId="27">
    <w:name w:val="Block Text"/>
    <w:basedOn w:val="1"/>
    <w:autoRedefine/>
    <w:qFormat/>
    <w:uiPriority w:val="0"/>
    <w:pPr>
      <w:spacing w:line="520" w:lineRule="exact"/>
      <w:ind w:left="540" w:leftChars="257" w:right="-514"/>
    </w:pPr>
    <w:rPr>
      <w:rFonts w:ascii="宋体" w:hAnsi="宋体"/>
      <w:sz w:val="24"/>
    </w:rPr>
  </w:style>
  <w:style w:type="paragraph" w:styleId="28">
    <w:name w:val="List Bullet 2"/>
    <w:basedOn w:val="1"/>
    <w:qFormat/>
    <w:uiPriority w:val="0"/>
    <w:pPr>
      <w:tabs>
        <w:tab w:val="left" w:pos="780"/>
      </w:tabs>
      <w:spacing w:line="360" w:lineRule="auto"/>
      <w:ind w:left="780" w:leftChars="200" w:hanging="360" w:hangingChars="200"/>
    </w:pPr>
  </w:style>
  <w:style w:type="paragraph" w:styleId="29">
    <w:name w:val="toc 5"/>
    <w:basedOn w:val="1"/>
    <w:next w:val="1"/>
    <w:autoRedefine/>
    <w:qFormat/>
    <w:uiPriority w:val="0"/>
    <w:pPr>
      <w:autoSpaceDE w:val="0"/>
      <w:autoSpaceDN w:val="0"/>
      <w:adjustRightInd w:val="0"/>
      <w:ind w:left="1680" w:leftChars="800"/>
      <w:jc w:val="left"/>
    </w:pPr>
    <w:rPr>
      <w:kern w:val="0"/>
      <w:sz w:val="20"/>
      <w:szCs w:val="20"/>
    </w:rPr>
  </w:style>
  <w:style w:type="paragraph" w:styleId="30">
    <w:name w:val="toc 3"/>
    <w:basedOn w:val="1"/>
    <w:next w:val="1"/>
    <w:autoRedefine/>
    <w:qFormat/>
    <w:uiPriority w:val="0"/>
    <w:pPr>
      <w:ind w:left="840" w:leftChars="400"/>
    </w:pPr>
  </w:style>
  <w:style w:type="paragraph" w:styleId="31">
    <w:name w:val="Plain Text"/>
    <w:basedOn w:val="1"/>
    <w:link w:val="192"/>
    <w:autoRedefine/>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2">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autoRedefine/>
    <w:qFormat/>
    <w:uiPriority w:val="0"/>
    <w:pPr>
      <w:autoSpaceDE w:val="0"/>
      <w:autoSpaceDN w:val="0"/>
      <w:adjustRightInd w:val="0"/>
      <w:ind w:left="2940" w:leftChars="1400"/>
      <w:jc w:val="left"/>
    </w:pPr>
    <w:rPr>
      <w:kern w:val="0"/>
      <w:sz w:val="20"/>
      <w:szCs w:val="20"/>
    </w:rPr>
  </w:style>
  <w:style w:type="paragraph" w:styleId="34">
    <w:name w:val="Date"/>
    <w:basedOn w:val="1"/>
    <w:next w:val="1"/>
    <w:link w:val="133"/>
    <w:autoRedefine/>
    <w:qFormat/>
    <w:uiPriority w:val="0"/>
    <w:pPr>
      <w:ind w:left="100" w:leftChars="2500"/>
    </w:pPr>
  </w:style>
  <w:style w:type="paragraph" w:styleId="35">
    <w:name w:val="Body Text Indent 2"/>
    <w:basedOn w:val="1"/>
    <w:link w:val="178"/>
    <w:autoRedefine/>
    <w:qFormat/>
    <w:uiPriority w:val="0"/>
    <w:pPr>
      <w:spacing w:line="500" w:lineRule="exact"/>
      <w:ind w:firstLine="511" w:firstLineChars="213"/>
    </w:pPr>
    <w:rPr>
      <w:sz w:val="24"/>
    </w:rPr>
  </w:style>
  <w:style w:type="paragraph" w:styleId="36">
    <w:name w:val="Balloon Text"/>
    <w:basedOn w:val="1"/>
    <w:link w:val="151"/>
    <w:autoRedefine/>
    <w:qFormat/>
    <w:uiPriority w:val="0"/>
    <w:rPr>
      <w:sz w:val="18"/>
      <w:szCs w:val="18"/>
    </w:rPr>
  </w:style>
  <w:style w:type="paragraph" w:styleId="37">
    <w:name w:val="footer"/>
    <w:basedOn w:val="1"/>
    <w:link w:val="120"/>
    <w:autoRedefine/>
    <w:qFormat/>
    <w:uiPriority w:val="0"/>
    <w:pPr>
      <w:tabs>
        <w:tab w:val="center" w:pos="4153"/>
        <w:tab w:val="right" w:pos="8306"/>
      </w:tabs>
      <w:snapToGrid w:val="0"/>
      <w:jc w:val="left"/>
    </w:pPr>
    <w:rPr>
      <w:sz w:val="18"/>
      <w:szCs w:val="18"/>
    </w:rPr>
  </w:style>
  <w:style w:type="paragraph" w:styleId="38">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54"/>
    <w:autoRedefine/>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40">
    <w:name w:val="toc 1"/>
    <w:basedOn w:val="1"/>
    <w:next w:val="1"/>
    <w:autoRedefine/>
    <w:qFormat/>
    <w:uiPriority w:val="0"/>
  </w:style>
  <w:style w:type="paragraph" w:styleId="41">
    <w:name w:val="toc 4"/>
    <w:basedOn w:val="1"/>
    <w:next w:val="1"/>
    <w:autoRedefine/>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134"/>
    <w:autoRedefine/>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autoRedefine/>
    <w:qFormat/>
    <w:uiPriority w:val="0"/>
    <w:pPr>
      <w:ind w:left="200" w:hanging="200" w:hangingChars="200"/>
    </w:pPr>
  </w:style>
  <w:style w:type="paragraph" w:styleId="45">
    <w:name w:val="Body Text Indent 3"/>
    <w:basedOn w:val="1"/>
    <w:link w:val="146"/>
    <w:autoRedefine/>
    <w:qFormat/>
    <w:uiPriority w:val="0"/>
    <w:pPr>
      <w:spacing w:line="500" w:lineRule="exact"/>
      <w:ind w:left="511" w:hanging="511" w:hangingChars="213"/>
    </w:pPr>
    <w:rPr>
      <w:sz w:val="24"/>
    </w:rPr>
  </w:style>
  <w:style w:type="paragraph" w:styleId="46">
    <w:name w:val="toc 9"/>
    <w:basedOn w:val="1"/>
    <w:next w:val="1"/>
    <w:autoRedefine/>
    <w:qFormat/>
    <w:uiPriority w:val="0"/>
    <w:pPr>
      <w:autoSpaceDE w:val="0"/>
      <w:autoSpaceDN w:val="0"/>
      <w:adjustRightInd w:val="0"/>
      <w:ind w:left="3360" w:leftChars="1600"/>
      <w:jc w:val="left"/>
    </w:pPr>
    <w:rPr>
      <w:kern w:val="0"/>
      <w:sz w:val="20"/>
      <w:szCs w:val="20"/>
    </w:rPr>
  </w:style>
  <w:style w:type="paragraph" w:styleId="47">
    <w:name w:val="Body Text 2"/>
    <w:basedOn w:val="1"/>
    <w:link w:val="198"/>
    <w:autoRedefine/>
    <w:qFormat/>
    <w:uiPriority w:val="0"/>
    <w:pPr>
      <w:autoSpaceDE w:val="0"/>
      <w:autoSpaceDN w:val="0"/>
      <w:adjustRightInd w:val="0"/>
      <w:spacing w:after="120" w:line="480" w:lineRule="auto"/>
      <w:jc w:val="left"/>
    </w:pPr>
  </w:style>
  <w:style w:type="paragraph" w:styleId="4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1"/>
    <w:autoRedefine/>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96"/>
    <w:autoRedefine/>
    <w:qFormat/>
    <w:uiPriority w:val="0"/>
    <w:rPr>
      <w:b/>
      <w:bCs/>
    </w:rPr>
  </w:style>
  <w:style w:type="paragraph" w:styleId="52">
    <w:name w:val="Body Text First Indent 2"/>
    <w:basedOn w:val="25"/>
    <w:autoRedefine/>
    <w:qFormat/>
    <w:uiPriority w:val="0"/>
    <w:pPr>
      <w:spacing w:after="120"/>
      <w:ind w:left="420" w:leftChars="200" w:firstLine="420"/>
    </w:pPr>
    <w:rPr>
      <w:rFonts w:cs="宋体"/>
      <w:sz w:val="21"/>
      <w:szCs w:val="21"/>
    </w:rPr>
  </w:style>
  <w:style w:type="table" w:styleId="54">
    <w:name w:val="Table Grid"/>
    <w:basedOn w:val="5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autoRedefine/>
    <w:qFormat/>
    <w:uiPriority w:val="0"/>
    <w:rPr>
      <w:rFonts w:ascii="仿宋_GB2312" w:eastAsia="仿宋_GB2312"/>
      <w:bCs/>
      <w:sz w:val="32"/>
      <w:szCs w:val="32"/>
    </w:rPr>
  </w:style>
  <w:style w:type="character" w:styleId="57">
    <w:name w:val="page number"/>
    <w:basedOn w:val="55"/>
    <w:autoRedefine/>
    <w:qFormat/>
    <w:uiPriority w:val="0"/>
  </w:style>
  <w:style w:type="character" w:styleId="58">
    <w:name w:val="FollowedHyperlink"/>
    <w:autoRedefine/>
    <w:qFormat/>
    <w:uiPriority w:val="0"/>
    <w:rPr>
      <w:rFonts w:ascii="仿宋_GB2312" w:eastAsia="仿宋_GB2312"/>
      <w:b/>
      <w:color w:val="800080"/>
      <w:sz w:val="32"/>
      <w:szCs w:val="32"/>
      <w:u w:val="none"/>
    </w:rPr>
  </w:style>
  <w:style w:type="character" w:styleId="59">
    <w:name w:val="Emphasis"/>
    <w:autoRedefine/>
    <w:qFormat/>
    <w:uiPriority w:val="0"/>
    <w:rPr>
      <w:i/>
      <w:iCs/>
    </w:rPr>
  </w:style>
  <w:style w:type="character" w:styleId="60">
    <w:name w:val="line number"/>
    <w:basedOn w:val="55"/>
    <w:autoRedefine/>
    <w:qFormat/>
    <w:uiPriority w:val="0"/>
  </w:style>
  <w:style w:type="character" w:styleId="61">
    <w:name w:val="Hyperlink"/>
    <w:autoRedefine/>
    <w:qFormat/>
    <w:uiPriority w:val="0"/>
    <w:rPr>
      <w:rFonts w:ascii="仿宋_GB2312" w:eastAsia="仿宋_GB2312"/>
      <w:b/>
      <w:color w:val="0000FF"/>
      <w:sz w:val="32"/>
      <w:szCs w:val="32"/>
      <w:u w:val="none"/>
    </w:rPr>
  </w:style>
  <w:style w:type="character" w:styleId="62">
    <w:name w:val="annotation reference"/>
    <w:autoRedefine/>
    <w:qFormat/>
    <w:uiPriority w:val="0"/>
    <w:rPr>
      <w:sz w:val="21"/>
      <w:szCs w:val="21"/>
    </w:rPr>
  </w:style>
  <w:style w:type="character" w:styleId="63">
    <w:name w:val="HTML Cite"/>
    <w:autoRedefine/>
    <w:qFormat/>
    <w:uiPriority w:val="0"/>
    <w:rPr>
      <w:color w:val="008000"/>
    </w:rPr>
  </w:style>
  <w:style w:type="paragraph" w:customStyle="1" w:styleId="64">
    <w:name w:val="Char3 Char Char Char"/>
    <w:basedOn w:val="1"/>
    <w:autoRedefine/>
    <w:qFormat/>
    <w:uiPriority w:val="0"/>
  </w:style>
  <w:style w:type="character" w:customStyle="1" w:styleId="65">
    <w:name w:val="不明显参考1"/>
    <w:autoRedefine/>
    <w:qFormat/>
    <w:uiPriority w:val="0"/>
    <w:rPr>
      <w:smallCaps/>
      <w:color w:val="C0504D"/>
      <w:u w:val="single"/>
    </w:rPr>
  </w:style>
  <w:style w:type="character" w:customStyle="1" w:styleId="66">
    <w:name w:val="PI Char1"/>
    <w:autoRedefine/>
    <w:qFormat/>
    <w:uiPriority w:val="0"/>
    <w:rPr>
      <w:rFonts w:eastAsia="宋体"/>
      <w:kern w:val="2"/>
      <w:sz w:val="24"/>
      <w:szCs w:val="24"/>
      <w:lang w:val="en-US" w:eastAsia="zh-CN" w:bidi="ar-SA"/>
    </w:rPr>
  </w:style>
  <w:style w:type="character" w:customStyle="1" w:styleId="67">
    <w:name w:val="标题 2 Char"/>
    <w:link w:val="5"/>
    <w:autoRedefine/>
    <w:qFormat/>
    <w:uiPriority w:val="0"/>
    <w:rPr>
      <w:rFonts w:ascii="仿宋_GB2312" w:eastAsia="宋体"/>
      <w:b/>
      <w:kern w:val="2"/>
      <w:sz w:val="28"/>
      <w:szCs w:val="32"/>
      <w:lang w:val="en-US" w:eastAsia="zh-CN" w:bidi="ar-SA"/>
    </w:rPr>
  </w:style>
  <w:style w:type="character" w:customStyle="1" w:styleId="68">
    <w:name w:val="pt141"/>
    <w:autoRedefine/>
    <w:qFormat/>
    <w:uiPriority w:val="0"/>
    <w:rPr>
      <w:color w:val="330066"/>
      <w:spacing w:val="450"/>
      <w:sz w:val="22"/>
      <w:szCs w:val="22"/>
    </w:rPr>
  </w:style>
  <w:style w:type="character" w:customStyle="1" w:styleId="69">
    <w:name w:val="Char Char27"/>
    <w:qFormat/>
    <w:uiPriority w:val="0"/>
    <w:rPr>
      <w:rFonts w:eastAsia="宋体"/>
      <w:kern w:val="2"/>
      <w:sz w:val="28"/>
      <w:lang w:val="en-US" w:eastAsia="zh-CN" w:bidi="ar-SA"/>
    </w:rPr>
  </w:style>
  <w:style w:type="character" w:customStyle="1" w:styleId="70">
    <w:name w:val="标题 7 Char"/>
    <w:link w:val="11"/>
    <w:qFormat/>
    <w:uiPriority w:val="0"/>
    <w:rPr>
      <w:rFonts w:eastAsia="宋体"/>
      <w:b/>
      <w:kern w:val="2"/>
      <w:sz w:val="24"/>
      <w:lang w:val="en-US" w:eastAsia="zh-CN" w:bidi="ar-SA"/>
    </w:rPr>
  </w:style>
  <w:style w:type="character" w:customStyle="1" w:styleId="71">
    <w:name w:val="明显参考1"/>
    <w:qFormat/>
    <w:uiPriority w:val="0"/>
    <w:rPr>
      <w:b/>
      <w:bCs/>
      <w:smallCaps/>
      <w:color w:val="C0504D"/>
      <w:spacing w:val="5"/>
      <w:u w:val="single"/>
    </w:rPr>
  </w:style>
  <w:style w:type="character" w:customStyle="1" w:styleId="72">
    <w:name w:val="书籍标题1"/>
    <w:qFormat/>
    <w:uiPriority w:val="0"/>
    <w:rPr>
      <w:b/>
      <w:bCs/>
      <w:smallCaps/>
      <w:spacing w:val="5"/>
    </w:rPr>
  </w:style>
  <w:style w:type="character" w:customStyle="1" w:styleId="73">
    <w:name w:val="Char Char61"/>
    <w:qFormat/>
    <w:uiPriority w:val="0"/>
    <w:rPr>
      <w:rFonts w:ascii="Times New Roman" w:hAnsi="Times New Roman" w:eastAsia="宋体" w:cs="Times New Roman"/>
      <w:szCs w:val="24"/>
    </w:rPr>
  </w:style>
  <w:style w:type="character" w:customStyle="1" w:styleId="74">
    <w:name w:val="Char Char24"/>
    <w:qFormat/>
    <w:uiPriority w:val="0"/>
    <w:rPr>
      <w:rFonts w:eastAsia="宋体"/>
      <w:b/>
      <w:kern w:val="2"/>
      <w:sz w:val="28"/>
      <w:lang w:val="en-US" w:eastAsia="zh-CN" w:bidi="ar-SA"/>
    </w:rPr>
  </w:style>
  <w:style w:type="character" w:customStyle="1" w:styleId="75">
    <w:name w:val="Style4"/>
    <w:qFormat/>
    <w:uiPriority w:val="0"/>
    <w:rPr>
      <w:rFonts w:ascii="Calibri" w:hAnsi="宋体" w:eastAsia="宋体" w:cs="Times New Roman"/>
      <w:szCs w:val="22"/>
      <w:lang w:eastAsia="zh-CN"/>
    </w:rPr>
  </w:style>
  <w:style w:type="character" w:customStyle="1" w:styleId="76">
    <w:name w:val="Style1"/>
    <w:qFormat/>
    <w:uiPriority w:val="0"/>
    <w:rPr>
      <w:rFonts w:ascii="Calibri" w:hAnsi="宋体" w:eastAsia="宋体" w:cs="Times New Roman"/>
      <w:sz w:val="22"/>
      <w:szCs w:val="22"/>
      <w:lang w:eastAsia="zh-CN"/>
    </w:rPr>
  </w:style>
  <w:style w:type="character" w:customStyle="1" w:styleId="77">
    <w:name w:val="heading 1 Char1"/>
    <w:qFormat/>
    <w:uiPriority w:val="0"/>
    <w:rPr>
      <w:rFonts w:eastAsia="宋体"/>
      <w:b/>
      <w:bCs/>
      <w:kern w:val="44"/>
      <w:sz w:val="44"/>
      <w:szCs w:val="44"/>
      <w:lang w:val="en-US" w:eastAsia="zh-CN" w:bidi="ar-SA"/>
    </w:rPr>
  </w:style>
  <w:style w:type="character" w:customStyle="1" w:styleId="78">
    <w:name w:val="Style5"/>
    <w:qFormat/>
    <w:uiPriority w:val="0"/>
    <w:rPr>
      <w:rFonts w:ascii="Calibri" w:hAnsi="宋体" w:eastAsia="宋体" w:cs="Times New Roman"/>
      <w:sz w:val="22"/>
      <w:szCs w:val="22"/>
      <w:lang w:eastAsia="zh-CN"/>
    </w:rPr>
  </w:style>
  <w:style w:type="character" w:customStyle="1" w:styleId="79">
    <w:name w:val="称呼 Char"/>
    <w:link w:val="20"/>
    <w:qFormat/>
    <w:uiPriority w:val="0"/>
    <w:rPr>
      <w:rFonts w:ascii="仿宋_GB2312" w:eastAsia="仿宋_GB2312"/>
      <w:b/>
      <w:sz w:val="24"/>
      <w:szCs w:val="32"/>
    </w:rPr>
  </w:style>
  <w:style w:type="character" w:customStyle="1" w:styleId="80">
    <w:name w:val="Ò³Ã¼ Char Char2"/>
    <w:qFormat/>
    <w:uiPriority w:val="0"/>
    <w:rPr>
      <w:kern w:val="2"/>
      <w:sz w:val="18"/>
      <w:szCs w:val="18"/>
    </w:rPr>
  </w:style>
  <w:style w:type="character" w:customStyle="1" w:styleId="81">
    <w:name w:val="明显强调1"/>
    <w:qFormat/>
    <w:uiPriority w:val="0"/>
    <w:rPr>
      <w:b/>
      <w:bCs/>
      <w:i/>
      <w:iCs/>
      <w:color w:val="4F81BD"/>
    </w:rPr>
  </w:style>
  <w:style w:type="character" w:customStyle="1" w:styleId="82">
    <w:name w:val="样式 标题 3 + 黑体 小四 Char Char"/>
    <w:link w:val="83"/>
    <w:qFormat/>
    <w:uiPriority w:val="0"/>
    <w:rPr>
      <w:rFonts w:ascii="黑体" w:hAnsi="Arial" w:eastAsia="黑体"/>
      <w:bCs/>
      <w:sz w:val="24"/>
      <w:szCs w:val="24"/>
      <w:lang w:bidi="ar-SA"/>
    </w:rPr>
  </w:style>
  <w:style w:type="paragraph" w:customStyle="1" w:styleId="83">
    <w:name w:val="样式 标题 3 + 黑体 小四"/>
    <w:basedOn w:val="6"/>
    <w:link w:val="82"/>
    <w:qFormat/>
    <w:uiPriority w:val="0"/>
    <w:pPr>
      <w:spacing w:before="260" w:after="260" w:line="413" w:lineRule="auto"/>
    </w:pPr>
    <w:rPr>
      <w:rFonts w:ascii="黑体" w:hAnsi="Arial"/>
      <w:b w:val="0"/>
      <w:bCs/>
      <w:kern w:val="0"/>
      <w:sz w:val="24"/>
      <w:szCs w:val="24"/>
    </w:rPr>
  </w:style>
  <w:style w:type="character" w:customStyle="1" w:styleId="84">
    <w:name w:val="heading 7 Char1"/>
    <w:qFormat/>
    <w:uiPriority w:val="0"/>
    <w:rPr>
      <w:rFonts w:ascii="Arial" w:hAnsi="Arial" w:eastAsia="黑体"/>
      <w:sz w:val="21"/>
      <w:szCs w:val="21"/>
      <w:lang w:val="en-US" w:eastAsia="zh-CN" w:bidi="ar-SA"/>
    </w:rPr>
  </w:style>
  <w:style w:type="character" w:customStyle="1" w:styleId="85">
    <w:name w:val="Char Char1"/>
    <w:qFormat/>
    <w:uiPriority w:val="0"/>
    <w:rPr>
      <w:rFonts w:eastAsia="宋体"/>
      <w:sz w:val="21"/>
      <w:lang w:val="en-US" w:eastAsia="zh-CN" w:bidi="ar-SA"/>
    </w:rPr>
  </w:style>
  <w:style w:type="character" w:customStyle="1" w:styleId="86">
    <w:name w:val="Char Char12"/>
    <w:qFormat/>
    <w:uiPriority w:val="0"/>
    <w:rPr>
      <w:rFonts w:eastAsia="宋体"/>
      <w:kern w:val="2"/>
      <w:sz w:val="21"/>
      <w:szCs w:val="24"/>
      <w:lang w:val="en-US" w:eastAsia="zh-CN" w:bidi="ar-SA"/>
    </w:rPr>
  </w:style>
  <w:style w:type="character" w:customStyle="1" w:styleId="87">
    <w:name w:val="Char Char18"/>
    <w:qFormat/>
    <w:uiPriority w:val="0"/>
    <w:rPr>
      <w:b/>
      <w:bCs/>
      <w:kern w:val="2"/>
      <w:sz w:val="32"/>
      <w:szCs w:val="32"/>
    </w:rPr>
  </w:style>
  <w:style w:type="character" w:customStyle="1" w:styleId="88">
    <w:name w:val="Char Char4"/>
    <w:qFormat/>
    <w:uiPriority w:val="0"/>
    <w:rPr>
      <w:rFonts w:ascii="Cambria" w:hAnsi="Cambria" w:eastAsia="宋体"/>
      <w:b/>
      <w:bCs/>
      <w:sz w:val="32"/>
      <w:szCs w:val="32"/>
      <w:lang w:bidi="ar-SA"/>
    </w:rPr>
  </w:style>
  <w:style w:type="character" w:customStyle="1" w:styleId="89">
    <w:name w:val="PI Char"/>
    <w:qFormat/>
    <w:uiPriority w:val="0"/>
    <w:rPr>
      <w:rFonts w:ascii="宋体" w:hAnsi="宋体"/>
      <w:sz w:val="24"/>
    </w:rPr>
  </w:style>
  <w:style w:type="character" w:customStyle="1" w:styleId="90">
    <w:name w:val="明显参考2"/>
    <w:qFormat/>
    <w:uiPriority w:val="0"/>
    <w:rPr>
      <w:b/>
      <w:bCs/>
      <w:smallCaps/>
      <w:color w:val="C0504D"/>
      <w:spacing w:val="5"/>
      <w:u w:val="single"/>
    </w:rPr>
  </w:style>
  <w:style w:type="character" w:customStyle="1" w:styleId="91">
    <w:name w:val="批注文字 Char"/>
    <w:link w:val="19"/>
    <w:qFormat/>
    <w:uiPriority w:val="0"/>
    <w:rPr>
      <w:rFonts w:eastAsia="宋体"/>
      <w:kern w:val="2"/>
      <w:sz w:val="21"/>
      <w:szCs w:val="24"/>
      <w:lang w:val="en-US" w:eastAsia="zh-CN" w:bidi="ar-SA"/>
    </w:rPr>
  </w:style>
  <w:style w:type="character" w:customStyle="1" w:styleId="92">
    <w:name w:val="Style2"/>
    <w:qFormat/>
    <w:uiPriority w:val="0"/>
    <w:rPr>
      <w:rFonts w:ascii="Calibri" w:hAnsi="宋体" w:eastAsia="宋体" w:cs="Times New Roman"/>
      <w:sz w:val="22"/>
      <w:szCs w:val="22"/>
      <w:lang w:eastAsia="zh-CN"/>
    </w:rPr>
  </w:style>
  <w:style w:type="character" w:customStyle="1" w:styleId="93">
    <w:name w:val="Footer-Even Char1"/>
    <w:qFormat/>
    <w:uiPriority w:val="0"/>
    <w:rPr>
      <w:rFonts w:eastAsia="宋体"/>
      <w:kern w:val="2"/>
      <w:sz w:val="18"/>
      <w:szCs w:val="18"/>
      <w:lang w:val="en-US" w:eastAsia="zh-CN" w:bidi="ar-SA"/>
    </w:rPr>
  </w:style>
  <w:style w:type="character" w:customStyle="1" w:styleId="94">
    <w:name w:val="heading 4 Char1"/>
    <w:qFormat/>
    <w:uiPriority w:val="0"/>
    <w:rPr>
      <w:rFonts w:ascii="Cambria" w:hAnsi="Cambria" w:eastAsia="宋体"/>
      <w:b/>
      <w:bCs/>
      <w:kern w:val="2"/>
      <w:sz w:val="28"/>
      <w:szCs w:val="28"/>
      <w:lang w:val="en-US" w:eastAsia="zh-CN" w:bidi="ar-SA"/>
    </w:rPr>
  </w:style>
  <w:style w:type="character" w:customStyle="1" w:styleId="95">
    <w:name w:val="正文文本 3 Char"/>
    <w:basedOn w:val="55"/>
    <w:link w:val="21"/>
    <w:qFormat/>
    <w:uiPriority w:val="0"/>
  </w:style>
  <w:style w:type="character" w:customStyle="1" w:styleId="96">
    <w:name w:val="批注主题 Char"/>
    <w:link w:val="51"/>
    <w:qFormat/>
    <w:uiPriority w:val="0"/>
    <w:rPr>
      <w:rFonts w:eastAsia="宋体"/>
      <w:b/>
      <w:bCs/>
      <w:kern w:val="2"/>
      <w:sz w:val="21"/>
      <w:szCs w:val="24"/>
      <w:lang w:val="en-US" w:eastAsia="zh-CN" w:bidi="ar-SA"/>
    </w:rPr>
  </w:style>
  <w:style w:type="character" w:customStyle="1" w:styleId="97">
    <w:name w:val="不明显参考11"/>
    <w:qFormat/>
    <w:uiPriority w:val="0"/>
    <w:rPr>
      <w:smallCaps/>
      <w:color w:val="C0504D"/>
      <w:u w:val="single"/>
    </w:rPr>
  </w:style>
  <w:style w:type="character" w:customStyle="1" w:styleId="98">
    <w:name w:val="Plain Text Char"/>
    <w:qFormat/>
    <w:uiPriority w:val="0"/>
    <w:rPr>
      <w:rFonts w:ascii="宋体" w:hAnsi="Courier New" w:eastAsia="宋体" w:cs="Times New Roman"/>
      <w:sz w:val="21"/>
      <w:szCs w:val="21"/>
    </w:rPr>
  </w:style>
  <w:style w:type="character" w:customStyle="1" w:styleId="99">
    <w:name w:val="Char Char111"/>
    <w:qFormat/>
    <w:uiPriority w:val="0"/>
    <w:rPr>
      <w:rFonts w:ascii="Times New Roman" w:hAnsi="Times New Roman" w:eastAsia="宋体" w:cs="Times New Roman"/>
      <w:sz w:val="18"/>
      <w:szCs w:val="18"/>
    </w:rPr>
  </w:style>
  <w:style w:type="character" w:customStyle="1" w:styleId="100">
    <w:name w:val="无间距字符"/>
    <w:link w:val="101"/>
    <w:qFormat/>
    <w:uiPriority w:val="0"/>
    <w:rPr>
      <w:rFonts w:eastAsia="Times New Roman"/>
      <w:sz w:val="22"/>
      <w:szCs w:val="22"/>
      <w:lang w:val="en-US" w:eastAsia="zh-CN" w:bidi="ar-SA"/>
    </w:rPr>
  </w:style>
  <w:style w:type="paragraph" w:customStyle="1" w:styleId="101">
    <w:name w:val="无间距"/>
    <w:link w:val="100"/>
    <w:qFormat/>
    <w:uiPriority w:val="0"/>
    <w:rPr>
      <w:rFonts w:ascii="Times New Roman" w:hAnsi="Times New Roman" w:eastAsia="Times New Roman" w:cs="Times New Roman"/>
      <w:sz w:val="22"/>
      <w:szCs w:val="22"/>
      <w:lang w:val="en-US" w:eastAsia="zh-CN" w:bidi="ar-SA"/>
    </w:rPr>
  </w:style>
  <w:style w:type="character" w:customStyle="1" w:styleId="102">
    <w:name w:val="heading 5 Char2"/>
    <w:qFormat/>
    <w:uiPriority w:val="0"/>
    <w:rPr>
      <w:b/>
      <w:bCs/>
      <w:kern w:val="2"/>
      <w:sz w:val="28"/>
      <w:szCs w:val="28"/>
    </w:rPr>
  </w:style>
  <w:style w:type="character" w:customStyle="1" w:styleId="103">
    <w:name w:val="样式2 Char Char"/>
    <w:link w:val="104"/>
    <w:qFormat/>
    <w:uiPriority w:val="0"/>
    <w:rPr>
      <w:rFonts w:ascii="宋体" w:hAnsi="宋体" w:eastAsia="宋体"/>
      <w:bCs/>
      <w:kern w:val="2"/>
      <w:sz w:val="28"/>
      <w:szCs w:val="28"/>
      <w:lang w:val="en-US" w:eastAsia="zh-CN" w:bidi="ar-SA"/>
    </w:rPr>
  </w:style>
  <w:style w:type="paragraph" w:customStyle="1" w:styleId="104">
    <w:name w:val="样式2"/>
    <w:basedOn w:val="5"/>
    <w:link w:val="103"/>
    <w:qFormat/>
    <w:uiPriority w:val="0"/>
    <w:pPr>
      <w:keepLines/>
      <w:snapToGrid w:val="0"/>
      <w:spacing w:before="260" w:afterLines="50" w:line="480" w:lineRule="exact"/>
      <w:ind w:firstLine="556"/>
    </w:pPr>
    <w:rPr>
      <w:rFonts w:ascii="宋体" w:hAnsi="宋体"/>
      <w:b w:val="0"/>
      <w:bCs/>
      <w:szCs w:val="28"/>
    </w:rPr>
  </w:style>
  <w:style w:type="character" w:customStyle="1" w:styleId="105">
    <w:name w:val="正文缩进 Char"/>
    <w:link w:val="10"/>
    <w:qFormat/>
    <w:uiPriority w:val="0"/>
    <w:rPr>
      <w:rFonts w:ascii="仿宋_GB2312" w:eastAsia="宋体"/>
      <w:b/>
      <w:sz w:val="21"/>
      <w:szCs w:val="32"/>
      <w:lang w:val="en-US" w:eastAsia="zh-CN" w:bidi="ar-SA"/>
    </w:rPr>
  </w:style>
  <w:style w:type="character" w:customStyle="1" w:styleId="106">
    <w:name w:val="heading 2 Char1"/>
    <w:qFormat/>
    <w:uiPriority w:val="0"/>
    <w:rPr>
      <w:rFonts w:ascii="Cambria" w:hAnsi="Cambria" w:eastAsia="宋体"/>
      <w:b/>
      <w:bCs/>
      <w:kern w:val="2"/>
      <w:sz w:val="32"/>
      <w:szCs w:val="32"/>
      <w:lang w:val="en-US" w:eastAsia="zh-CN" w:bidi="ar-SA"/>
    </w:rPr>
  </w:style>
  <w:style w:type="character" w:customStyle="1" w:styleId="107">
    <w:name w:val="heading 3 Char1"/>
    <w:qFormat/>
    <w:uiPriority w:val="0"/>
    <w:rPr>
      <w:rFonts w:eastAsia="宋体"/>
      <w:b/>
      <w:bCs/>
      <w:kern w:val="2"/>
      <w:sz w:val="32"/>
      <w:szCs w:val="32"/>
      <w:lang w:val="en-US" w:eastAsia="zh-CN" w:bidi="ar-SA"/>
    </w:rPr>
  </w:style>
  <w:style w:type="character" w:customStyle="1" w:styleId="108">
    <w:name w:val="Char Char15"/>
    <w:qFormat/>
    <w:uiPriority w:val="0"/>
    <w:rPr>
      <w:rFonts w:ascii="Arial" w:hAnsi="Arial" w:eastAsia="黑体"/>
      <w:sz w:val="24"/>
      <w:szCs w:val="24"/>
    </w:rPr>
  </w:style>
  <w:style w:type="character" w:customStyle="1" w:styleId="109">
    <w:name w:val="heading 1 Char"/>
    <w:qFormat/>
    <w:uiPriority w:val="0"/>
    <w:rPr>
      <w:rFonts w:ascii="Arial" w:hAnsi="Arial" w:eastAsia="黑体"/>
      <w:b/>
      <w:sz w:val="36"/>
      <w:szCs w:val="36"/>
    </w:rPr>
  </w:style>
  <w:style w:type="character" w:customStyle="1" w:styleId="110">
    <w:name w:val="ändrad Char"/>
    <w:qFormat/>
    <w:uiPriority w:val="0"/>
    <w:rPr>
      <w:rFonts w:eastAsia="宋体"/>
      <w:kern w:val="2"/>
      <w:sz w:val="21"/>
      <w:szCs w:val="24"/>
      <w:lang w:val="en-US" w:eastAsia="zh-CN" w:bidi="ar-SA"/>
    </w:rPr>
  </w:style>
  <w:style w:type="character" w:customStyle="1" w:styleId="111">
    <w:name w:val="标题 Char"/>
    <w:link w:val="50"/>
    <w:qFormat/>
    <w:uiPriority w:val="0"/>
    <w:rPr>
      <w:rFonts w:ascii="Cambria" w:hAnsi="Cambria" w:eastAsia="宋体"/>
      <w:b/>
      <w:bCs/>
      <w:kern w:val="2"/>
      <w:sz w:val="32"/>
      <w:szCs w:val="32"/>
      <w:lang w:val="en-US" w:eastAsia="zh-CN" w:bidi="ar-SA"/>
    </w:rPr>
  </w:style>
  <w:style w:type="character" w:customStyle="1" w:styleId="112">
    <w:name w:val="Char Char22"/>
    <w:qFormat/>
    <w:uiPriority w:val="0"/>
    <w:rPr>
      <w:rFonts w:ascii="Arial" w:hAnsi="Arial" w:eastAsia="黑体"/>
      <w:b/>
      <w:bCs/>
      <w:kern w:val="44"/>
      <w:sz w:val="30"/>
      <w:szCs w:val="44"/>
      <w:lang w:val="en-US" w:eastAsia="zh-CN" w:bidi="ar-SA"/>
    </w:rPr>
  </w:style>
  <w:style w:type="character" w:customStyle="1" w:styleId="113">
    <w:name w:val="blue1"/>
    <w:basedOn w:val="55"/>
    <w:qFormat/>
    <w:uiPriority w:val="0"/>
  </w:style>
  <w:style w:type="character" w:customStyle="1" w:styleId="114">
    <w:name w:val="样式 宋体"/>
    <w:qFormat/>
    <w:uiPriority w:val="0"/>
    <w:rPr>
      <w:rFonts w:ascii="宋体" w:hAnsi="宋体" w:eastAsia="宋体"/>
      <w:sz w:val="24"/>
      <w:szCs w:val="24"/>
    </w:rPr>
  </w:style>
  <w:style w:type="character" w:customStyle="1" w:styleId="115">
    <w:name w:val="dandyren_title1"/>
    <w:qFormat/>
    <w:uiPriority w:val="0"/>
    <w:rPr>
      <w:b/>
      <w:bCs/>
      <w:color w:val="FF6633"/>
      <w:sz w:val="18"/>
      <w:szCs w:val="18"/>
    </w:rPr>
  </w:style>
  <w:style w:type="character" w:customStyle="1" w:styleId="116">
    <w:name w:val="font21"/>
    <w:basedOn w:val="55"/>
    <w:qFormat/>
    <w:uiPriority w:val="0"/>
    <w:rPr>
      <w:rFonts w:ascii="Wingdings 2" w:hAnsi="Wingdings 2" w:eastAsia="Wingdings 2" w:cs="Wingdings 2"/>
      <w:b/>
      <w:color w:val="000000"/>
      <w:sz w:val="20"/>
      <w:szCs w:val="20"/>
      <w:u w:val="none"/>
    </w:rPr>
  </w:style>
  <w:style w:type="character" w:customStyle="1" w:styleId="117">
    <w:name w:val="Ò³Ã¼ Char Char1"/>
    <w:qFormat/>
    <w:uiPriority w:val="0"/>
    <w:rPr>
      <w:rFonts w:eastAsia="宋体"/>
      <w:kern w:val="2"/>
      <w:sz w:val="18"/>
      <w:szCs w:val="18"/>
      <w:lang w:val="en-US" w:eastAsia="zh-CN" w:bidi="ar-SA"/>
    </w:rPr>
  </w:style>
  <w:style w:type="character" w:customStyle="1" w:styleId="118">
    <w:name w:val="宏文本 Char"/>
    <w:link w:val="3"/>
    <w:qFormat/>
    <w:uiPriority w:val="0"/>
    <w:rPr>
      <w:rFonts w:ascii="Courier New" w:hAnsi="Courier New" w:eastAsia="Times New Roman"/>
      <w:kern w:val="2"/>
      <w:sz w:val="24"/>
      <w:szCs w:val="24"/>
      <w:lang w:val="en-US" w:eastAsia="zh-CN" w:bidi="ar-SA"/>
    </w:rPr>
  </w:style>
  <w:style w:type="character" w:customStyle="1" w:styleId="119">
    <w:name w:val="Footer-Even Char"/>
    <w:qFormat/>
    <w:uiPriority w:val="0"/>
    <w:rPr>
      <w:sz w:val="18"/>
      <w:szCs w:val="18"/>
    </w:rPr>
  </w:style>
  <w:style w:type="character" w:customStyle="1" w:styleId="120">
    <w:name w:val="页脚 Char"/>
    <w:link w:val="37"/>
    <w:qFormat/>
    <w:uiPriority w:val="0"/>
    <w:rPr>
      <w:rFonts w:eastAsia="宋体"/>
      <w:kern w:val="2"/>
      <w:sz w:val="18"/>
      <w:szCs w:val="18"/>
      <w:lang w:val="en-US" w:eastAsia="zh-CN" w:bidi="ar-SA"/>
    </w:rPr>
  </w:style>
  <w:style w:type="character" w:customStyle="1" w:styleId="121">
    <w:name w:val="style111"/>
    <w:qFormat/>
    <w:uiPriority w:val="0"/>
    <w:rPr>
      <w:sz w:val="27"/>
      <w:szCs w:val="27"/>
    </w:rPr>
  </w:style>
  <w:style w:type="character" w:customStyle="1" w:styleId="122">
    <w:name w:val="PI Char2"/>
    <w:qFormat/>
    <w:uiPriority w:val="0"/>
    <w:rPr>
      <w:kern w:val="2"/>
      <w:sz w:val="24"/>
      <w:szCs w:val="24"/>
    </w:rPr>
  </w:style>
  <w:style w:type="character" w:customStyle="1" w:styleId="123">
    <w:name w:val="gray6"/>
    <w:basedOn w:val="55"/>
    <w:qFormat/>
    <w:uiPriority w:val="0"/>
  </w:style>
  <w:style w:type="character" w:customStyle="1" w:styleId="124">
    <w:name w:val="Char Char Char1"/>
    <w:qFormat/>
    <w:uiPriority w:val="0"/>
    <w:rPr>
      <w:rFonts w:ascii="宋体" w:hAnsi="Courier New"/>
      <w:sz w:val="21"/>
      <w:szCs w:val="21"/>
    </w:rPr>
  </w:style>
  <w:style w:type="character" w:customStyle="1" w:styleId="125">
    <w:name w:val="Char Char121"/>
    <w:qFormat/>
    <w:uiPriority w:val="0"/>
    <w:rPr>
      <w:rFonts w:eastAsia="宋体"/>
      <w:kern w:val="2"/>
      <w:sz w:val="21"/>
      <w:szCs w:val="24"/>
      <w:lang w:val="en-US" w:eastAsia="zh-CN" w:bidi="ar-SA"/>
    </w:rPr>
  </w:style>
  <w:style w:type="character" w:customStyle="1" w:styleId="126">
    <w:name w:val="Char Char Char Char Char Char Char Char Char"/>
    <w:qFormat/>
    <w:uiPriority w:val="0"/>
    <w:rPr>
      <w:rFonts w:ascii="宋体" w:hAnsi="Courier New" w:eastAsia="宋体"/>
      <w:sz w:val="21"/>
      <w:szCs w:val="21"/>
      <w:lang w:val="en-US" w:eastAsia="zh-CN" w:bidi="ar-SA"/>
    </w:rPr>
  </w:style>
  <w:style w:type="character" w:customStyle="1" w:styleId="127">
    <w:name w:val="heading 4 Char2"/>
    <w:qFormat/>
    <w:uiPriority w:val="0"/>
    <w:rPr>
      <w:rFonts w:ascii="Cambria" w:hAnsi="Cambria"/>
      <w:b/>
      <w:bCs/>
      <w:kern w:val="2"/>
      <w:sz w:val="28"/>
      <w:szCs w:val="28"/>
    </w:rPr>
  </w:style>
  <w:style w:type="character" w:customStyle="1" w:styleId="128">
    <w:name w:val="heading 3 Char"/>
    <w:qFormat/>
    <w:uiPriority w:val="0"/>
    <w:rPr>
      <w:rFonts w:ascii="Arial" w:hAnsi="Arial" w:eastAsia="黑体"/>
      <w:sz w:val="28"/>
      <w:szCs w:val="24"/>
    </w:rPr>
  </w:style>
  <w:style w:type="character" w:customStyle="1" w:styleId="129">
    <w:name w:val="标题 1 Char"/>
    <w:link w:val="4"/>
    <w:autoRedefine/>
    <w:qFormat/>
    <w:uiPriority w:val="0"/>
    <w:rPr>
      <w:rFonts w:eastAsia="黑体"/>
      <w:b/>
      <w:kern w:val="2"/>
      <w:sz w:val="32"/>
      <w:lang w:val="en-US" w:eastAsia="zh-CN" w:bidi="ar-SA"/>
    </w:rPr>
  </w:style>
  <w:style w:type="character" w:customStyle="1" w:styleId="130">
    <w:name w:val="Char Char16"/>
    <w:qFormat/>
    <w:uiPriority w:val="0"/>
    <w:rPr>
      <w:b/>
      <w:bCs/>
      <w:kern w:val="2"/>
      <w:sz w:val="28"/>
      <w:szCs w:val="28"/>
    </w:rPr>
  </w:style>
  <w:style w:type="character" w:customStyle="1" w:styleId="131">
    <w:name w:val="文档结构图 Char"/>
    <w:link w:val="18"/>
    <w:qFormat/>
    <w:uiPriority w:val="0"/>
    <w:rPr>
      <w:rFonts w:eastAsia="宋体"/>
      <w:kern w:val="2"/>
      <w:sz w:val="21"/>
      <w:szCs w:val="24"/>
      <w:lang w:val="en-US" w:eastAsia="zh-CN" w:bidi="ar-SA"/>
    </w:rPr>
  </w:style>
  <w:style w:type="character" w:customStyle="1" w:styleId="132">
    <w:name w:val="标题 5 Char"/>
    <w:link w:val="8"/>
    <w:qFormat/>
    <w:uiPriority w:val="0"/>
    <w:rPr>
      <w:rFonts w:eastAsia="宋体"/>
      <w:b/>
      <w:bCs/>
      <w:sz w:val="28"/>
      <w:szCs w:val="28"/>
      <w:lang w:bidi="ar-SA"/>
    </w:rPr>
  </w:style>
  <w:style w:type="character" w:customStyle="1" w:styleId="133">
    <w:name w:val="日期 Char"/>
    <w:link w:val="34"/>
    <w:qFormat/>
    <w:uiPriority w:val="0"/>
    <w:rPr>
      <w:rFonts w:eastAsia="宋体"/>
      <w:kern w:val="2"/>
      <w:sz w:val="21"/>
      <w:szCs w:val="24"/>
      <w:lang w:val="en-US" w:eastAsia="zh-CN" w:bidi="ar-SA"/>
    </w:rPr>
  </w:style>
  <w:style w:type="character" w:customStyle="1" w:styleId="134">
    <w:name w:val="副标题 Char"/>
    <w:link w:val="42"/>
    <w:qFormat/>
    <w:uiPriority w:val="0"/>
    <w:rPr>
      <w:rFonts w:ascii="Cambria" w:hAnsi="Cambria" w:eastAsia="宋体"/>
      <w:b/>
      <w:bCs/>
      <w:kern w:val="28"/>
      <w:sz w:val="32"/>
      <w:szCs w:val="32"/>
      <w:lang w:val="en-US" w:eastAsia="zh-CN" w:bidi="ar-SA"/>
    </w:rPr>
  </w:style>
  <w:style w:type="character" w:customStyle="1" w:styleId="135">
    <w:name w:val="页眉 Char"/>
    <w:link w:val="38"/>
    <w:qFormat/>
    <w:uiPriority w:val="0"/>
    <w:rPr>
      <w:rFonts w:eastAsia="宋体"/>
      <w:kern w:val="2"/>
      <w:sz w:val="18"/>
      <w:szCs w:val="18"/>
      <w:lang w:val="en-US" w:eastAsia="zh-CN" w:bidi="ar-SA"/>
    </w:rPr>
  </w:style>
  <w:style w:type="character" w:customStyle="1" w:styleId="136">
    <w:name w:val="style13"/>
    <w:basedOn w:val="55"/>
    <w:qFormat/>
    <w:uiPriority w:val="0"/>
  </w:style>
  <w:style w:type="character" w:customStyle="1" w:styleId="137">
    <w:name w:val="textcolor1"/>
    <w:qFormat/>
    <w:uiPriority w:val="0"/>
    <w:rPr>
      <w:rFonts w:ascii="仿宋_GB2312" w:eastAsia="仿宋_GB2312"/>
      <w:b/>
      <w:color w:val="FF6600"/>
      <w:sz w:val="32"/>
      <w:szCs w:val="32"/>
    </w:rPr>
  </w:style>
  <w:style w:type="character" w:customStyle="1" w:styleId="138">
    <w:name w:val="Table Text Char Char"/>
    <w:link w:val="139"/>
    <w:qFormat/>
    <w:uiPriority w:val="0"/>
    <w:rPr>
      <w:sz w:val="21"/>
      <w:lang w:val="en-US" w:eastAsia="en-US" w:bidi="ar-SA"/>
    </w:rPr>
  </w:style>
  <w:style w:type="paragraph" w:customStyle="1" w:styleId="139">
    <w:name w:val="Table Text"/>
    <w:basedOn w:val="1"/>
    <w:link w:val="138"/>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0">
    <w:name w:val="Ò³Ã¼ Char Char"/>
    <w:qFormat/>
    <w:uiPriority w:val="0"/>
    <w:rPr>
      <w:sz w:val="18"/>
      <w:szCs w:val="18"/>
    </w:rPr>
  </w:style>
  <w:style w:type="character" w:customStyle="1" w:styleId="141">
    <w:name w:val="heading 2 Char2"/>
    <w:qFormat/>
    <w:uiPriority w:val="0"/>
    <w:rPr>
      <w:rFonts w:ascii="Cambria" w:hAnsi="Cambria"/>
      <w:b/>
      <w:bCs/>
      <w:kern w:val="2"/>
      <w:sz w:val="32"/>
      <w:szCs w:val="32"/>
    </w:rPr>
  </w:style>
  <w:style w:type="character" w:customStyle="1" w:styleId="142">
    <w:name w:val="书籍标题11"/>
    <w:qFormat/>
    <w:uiPriority w:val="0"/>
    <w:rPr>
      <w:b/>
      <w:bCs/>
      <w:smallCaps/>
      <w:spacing w:val="5"/>
    </w:rPr>
  </w:style>
  <w:style w:type="character" w:customStyle="1" w:styleId="143">
    <w:name w:val="Char Char21"/>
    <w:qFormat/>
    <w:uiPriority w:val="0"/>
    <w:rPr>
      <w:rFonts w:ascii="Times New Roman" w:hAnsi="Times New Roman" w:eastAsia="宋体" w:cs="Times New Roman"/>
      <w:b/>
      <w:bCs/>
      <w:kern w:val="44"/>
      <w:sz w:val="44"/>
      <w:szCs w:val="44"/>
    </w:rPr>
  </w:style>
  <w:style w:type="character" w:customStyle="1" w:styleId="144">
    <w:name w:val="正文文本缩进 Char"/>
    <w:link w:val="25"/>
    <w:qFormat/>
    <w:uiPriority w:val="0"/>
    <w:rPr>
      <w:rFonts w:eastAsia="宋体"/>
      <w:kern w:val="2"/>
      <w:sz w:val="24"/>
      <w:szCs w:val="24"/>
      <w:lang w:val="en-US" w:eastAsia="zh-CN" w:bidi="ar-SA"/>
    </w:rPr>
  </w:style>
  <w:style w:type="character" w:customStyle="1" w:styleId="145">
    <w:name w:val="不明显强调1"/>
    <w:qFormat/>
    <w:uiPriority w:val="0"/>
    <w:rPr>
      <w:i/>
      <w:iCs/>
      <w:color w:val="808080"/>
    </w:rPr>
  </w:style>
  <w:style w:type="character" w:customStyle="1" w:styleId="146">
    <w:name w:val="正文文本缩进 3 Char"/>
    <w:link w:val="45"/>
    <w:qFormat/>
    <w:uiPriority w:val="0"/>
    <w:rPr>
      <w:rFonts w:eastAsia="宋体"/>
      <w:kern w:val="2"/>
      <w:sz w:val="24"/>
      <w:szCs w:val="24"/>
      <w:lang w:val="en-US" w:eastAsia="zh-CN" w:bidi="ar-SA"/>
    </w:rPr>
  </w:style>
  <w:style w:type="character" w:customStyle="1" w:styleId="147">
    <w:name w:val="heading 5 Char"/>
    <w:qFormat/>
    <w:uiPriority w:val="0"/>
    <w:rPr>
      <w:rFonts w:ascii="Arial" w:hAnsi="Arial" w:eastAsia="黑体"/>
      <w:sz w:val="21"/>
      <w:szCs w:val="21"/>
    </w:rPr>
  </w:style>
  <w:style w:type="character" w:customStyle="1" w:styleId="148">
    <w:name w:val="Style3"/>
    <w:qFormat/>
    <w:uiPriority w:val="0"/>
    <w:rPr>
      <w:rFonts w:ascii="Calibri" w:hAnsi="宋体" w:eastAsia="宋体" w:cs="Times New Roman"/>
      <w:szCs w:val="22"/>
      <w:lang w:eastAsia="zh-CN"/>
    </w:rPr>
  </w:style>
  <w:style w:type="character" w:customStyle="1" w:styleId="149">
    <w:name w:val="标题 4 Char"/>
    <w:link w:val="7"/>
    <w:qFormat/>
    <w:uiPriority w:val="0"/>
    <w:rPr>
      <w:rFonts w:eastAsia="宋体"/>
      <w:kern w:val="2"/>
      <w:sz w:val="28"/>
      <w:szCs w:val="28"/>
      <w:lang w:val="en-US" w:eastAsia="zh-CN" w:bidi="ar-SA"/>
    </w:rPr>
  </w:style>
  <w:style w:type="character" w:customStyle="1" w:styleId="150">
    <w:name w:val="Char Char241"/>
    <w:qFormat/>
    <w:uiPriority w:val="0"/>
    <w:rPr>
      <w:rFonts w:eastAsia="宋体"/>
      <w:b/>
      <w:kern w:val="2"/>
      <w:sz w:val="28"/>
      <w:lang w:val="en-US" w:eastAsia="zh-CN" w:bidi="ar-SA"/>
    </w:rPr>
  </w:style>
  <w:style w:type="character" w:customStyle="1" w:styleId="151">
    <w:name w:val="批注框文本 Char"/>
    <w:link w:val="36"/>
    <w:qFormat/>
    <w:uiPriority w:val="0"/>
    <w:rPr>
      <w:rFonts w:eastAsia="宋体"/>
      <w:kern w:val="2"/>
      <w:sz w:val="18"/>
      <w:szCs w:val="18"/>
      <w:lang w:val="en-US" w:eastAsia="zh-CN" w:bidi="ar-SA"/>
    </w:rPr>
  </w:style>
  <w:style w:type="character" w:customStyle="1" w:styleId="152">
    <w:name w:val="标题 3 Char"/>
    <w:link w:val="6"/>
    <w:qFormat/>
    <w:uiPriority w:val="0"/>
    <w:rPr>
      <w:rFonts w:eastAsia="黑体"/>
      <w:b/>
      <w:kern w:val="2"/>
      <w:sz w:val="28"/>
      <w:lang w:val="en-US" w:eastAsia="zh-CN" w:bidi="ar-SA"/>
    </w:rPr>
  </w:style>
  <w:style w:type="character" w:customStyle="1" w:styleId="153">
    <w:name w:val="明显强调11"/>
    <w:qFormat/>
    <w:uiPriority w:val="0"/>
    <w:rPr>
      <w:b/>
      <w:bCs/>
      <w:i/>
      <w:iCs/>
      <w:color w:val="4F81BD"/>
    </w:rPr>
  </w:style>
  <w:style w:type="character" w:customStyle="1" w:styleId="154">
    <w:name w:val="签名 Char"/>
    <w:link w:val="39"/>
    <w:qFormat/>
    <w:uiPriority w:val="0"/>
    <w:rPr>
      <w:rFonts w:ascii="仿宋_GB2312" w:eastAsia="仿宋_GB2312"/>
      <w:b/>
      <w:sz w:val="24"/>
      <w:szCs w:val="32"/>
    </w:rPr>
  </w:style>
  <w:style w:type="character" w:customStyle="1" w:styleId="155">
    <w:name w:val="heading 3 Char2"/>
    <w:qFormat/>
    <w:uiPriority w:val="0"/>
    <w:rPr>
      <w:b/>
      <w:bCs/>
      <w:kern w:val="2"/>
      <w:sz w:val="32"/>
      <w:szCs w:val="32"/>
    </w:rPr>
  </w:style>
  <w:style w:type="character" w:customStyle="1" w:styleId="156">
    <w:name w:val="style21"/>
    <w:qFormat/>
    <w:uiPriority w:val="0"/>
    <w:rPr>
      <w:sz w:val="15"/>
      <w:szCs w:val="15"/>
    </w:rPr>
  </w:style>
  <w:style w:type="character" w:customStyle="1" w:styleId="157">
    <w:name w:val="Char Char271"/>
    <w:qFormat/>
    <w:uiPriority w:val="0"/>
    <w:rPr>
      <w:rFonts w:eastAsia="宋体"/>
      <w:kern w:val="2"/>
      <w:sz w:val="28"/>
      <w:lang w:val="en-US" w:eastAsia="zh-CN" w:bidi="ar-SA"/>
    </w:rPr>
  </w:style>
  <w:style w:type="character" w:customStyle="1" w:styleId="158">
    <w:name w:val="表格 Char Char"/>
    <w:link w:val="159"/>
    <w:qFormat/>
    <w:uiPriority w:val="0"/>
    <w:rPr>
      <w:rFonts w:ascii="宋体" w:hAnsi="宋体" w:eastAsia="宋体"/>
      <w:lang w:val="en-US" w:eastAsia="zh-CN" w:bidi="ar-SA"/>
    </w:rPr>
  </w:style>
  <w:style w:type="paragraph" w:customStyle="1" w:styleId="159">
    <w:name w:val="表格"/>
    <w:basedOn w:val="1"/>
    <w:link w:val="158"/>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0">
    <w:name w:val="heading 6 Char1"/>
    <w:qFormat/>
    <w:uiPriority w:val="0"/>
    <w:rPr>
      <w:rFonts w:ascii="Arial" w:hAnsi="Arial" w:eastAsia="黑体"/>
      <w:kern w:val="2"/>
      <w:sz w:val="24"/>
      <w:szCs w:val="24"/>
      <w:lang w:val="en-US" w:eastAsia="zh-CN" w:bidi="ar-SA"/>
    </w:rPr>
  </w:style>
  <w:style w:type="character" w:customStyle="1" w:styleId="161">
    <w:name w:val="Char Char211"/>
    <w:qFormat/>
    <w:uiPriority w:val="0"/>
    <w:rPr>
      <w:rFonts w:ascii="Times New Roman" w:hAnsi="Times New Roman" w:eastAsia="宋体" w:cs="Times New Roman"/>
      <w:b/>
      <w:bCs/>
      <w:kern w:val="44"/>
      <w:sz w:val="44"/>
      <w:szCs w:val="44"/>
    </w:rPr>
  </w:style>
  <w:style w:type="character" w:customStyle="1" w:styleId="162">
    <w:name w:val="不明显强调11"/>
    <w:qFormat/>
    <w:uiPriority w:val="0"/>
    <w:rPr>
      <w:i/>
      <w:iCs/>
      <w:color w:val="808080"/>
    </w:rPr>
  </w:style>
  <w:style w:type="character" w:customStyle="1" w:styleId="163">
    <w:name w:val="标题 9 Char"/>
    <w:link w:val="13"/>
    <w:qFormat/>
    <w:uiPriority w:val="0"/>
    <w:rPr>
      <w:rFonts w:ascii="Arial" w:hAnsi="Arial" w:eastAsia="黑体"/>
      <w:kern w:val="2"/>
      <w:sz w:val="21"/>
      <w:lang w:val="en-US" w:eastAsia="zh-CN" w:bidi="ar-SA"/>
    </w:rPr>
  </w:style>
  <w:style w:type="character" w:customStyle="1" w:styleId="164">
    <w:name w:val="正文文本 Char"/>
    <w:link w:val="22"/>
    <w:qFormat/>
    <w:uiPriority w:val="0"/>
    <w:rPr>
      <w:rFonts w:ascii="仿宋_GB2312" w:eastAsia="宋体"/>
      <w:b/>
      <w:kern w:val="2"/>
      <w:sz w:val="21"/>
      <w:szCs w:val="24"/>
      <w:lang w:val="en-US" w:eastAsia="zh-CN" w:bidi="ar-SA"/>
    </w:rPr>
  </w:style>
  <w:style w:type="character" w:customStyle="1" w:styleId="165">
    <w:name w:val="明显引用 Char"/>
    <w:link w:val="166"/>
    <w:qFormat/>
    <w:uiPriority w:val="0"/>
    <w:rPr>
      <w:rFonts w:ascii="Calibri" w:hAnsi="Calibri" w:eastAsia="宋体"/>
      <w:b/>
      <w:bCs/>
      <w:i/>
      <w:iCs/>
      <w:color w:val="4F81BD"/>
      <w:lang w:val="en-US" w:eastAsia="zh-CN" w:bidi="ar-SA"/>
    </w:rPr>
  </w:style>
  <w:style w:type="paragraph" w:styleId="166">
    <w:name w:val="Intense Quote"/>
    <w:basedOn w:val="1"/>
    <w:next w:val="1"/>
    <w:link w:val="165"/>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7">
    <w:name w:val="heading 5 Char1"/>
    <w:qFormat/>
    <w:uiPriority w:val="0"/>
    <w:rPr>
      <w:rFonts w:eastAsia="宋体"/>
      <w:b/>
      <w:bCs/>
      <w:kern w:val="2"/>
      <w:sz w:val="28"/>
      <w:szCs w:val="28"/>
      <w:lang w:val="en-US" w:eastAsia="zh-CN" w:bidi="ar-SA"/>
    </w:rPr>
  </w:style>
  <w:style w:type="character" w:customStyle="1" w:styleId="168">
    <w:name w:val="Texte Char Char"/>
    <w:qFormat/>
    <w:uiPriority w:val="0"/>
    <w:rPr>
      <w:rFonts w:ascii="宋体" w:hAnsi="Courier New" w:eastAsia="宋体"/>
      <w:sz w:val="21"/>
      <w:szCs w:val="21"/>
      <w:lang w:val="en-US" w:eastAsia="zh-CN" w:bidi="ar-SA"/>
    </w:rPr>
  </w:style>
  <w:style w:type="character" w:customStyle="1" w:styleId="169">
    <w:name w:val="正文1 Char Char"/>
    <w:link w:val="170"/>
    <w:qFormat/>
    <w:uiPriority w:val="0"/>
    <w:rPr>
      <w:rFonts w:ascii="宋体" w:hAnsi="宋体" w:eastAsia="宋体" w:cs="宋体"/>
      <w:sz w:val="21"/>
      <w:lang w:val="en-US" w:eastAsia="zh-CN" w:bidi="ar-SA"/>
    </w:rPr>
  </w:style>
  <w:style w:type="paragraph" w:customStyle="1" w:styleId="170">
    <w:name w:val="正文1"/>
    <w:basedOn w:val="1"/>
    <w:link w:val="169"/>
    <w:qFormat/>
    <w:uiPriority w:val="0"/>
    <w:pPr>
      <w:widowControl/>
      <w:spacing w:line="360" w:lineRule="auto"/>
      <w:ind w:left="360" w:firstLine="420"/>
      <w:jc w:val="left"/>
    </w:pPr>
    <w:rPr>
      <w:rFonts w:ascii="宋体" w:hAnsi="宋体" w:cs="宋体"/>
      <w:kern w:val="0"/>
      <w:szCs w:val="20"/>
    </w:rPr>
  </w:style>
  <w:style w:type="character" w:customStyle="1" w:styleId="171">
    <w:name w:val="heading 8 Char1"/>
    <w:qFormat/>
    <w:uiPriority w:val="0"/>
    <w:rPr>
      <w:rFonts w:ascii="Arial" w:hAnsi="Arial" w:eastAsia="黑体"/>
      <w:sz w:val="24"/>
      <w:lang w:val="en-US" w:eastAsia="zh-CN" w:bidi="ar-SA"/>
    </w:rPr>
  </w:style>
  <w:style w:type="character" w:customStyle="1" w:styleId="172">
    <w:name w:val="heading 9 Char1"/>
    <w:qFormat/>
    <w:uiPriority w:val="0"/>
    <w:rPr>
      <w:rFonts w:ascii="Arial" w:hAnsi="Arial" w:eastAsia="黑体"/>
      <w:sz w:val="21"/>
      <w:lang w:val="en-US" w:eastAsia="zh-CN" w:bidi="ar-SA"/>
    </w:rPr>
  </w:style>
  <w:style w:type="character" w:customStyle="1" w:styleId="173">
    <w:name w:val="标题 6 Char"/>
    <w:link w:val="9"/>
    <w:qFormat/>
    <w:uiPriority w:val="0"/>
    <w:rPr>
      <w:rFonts w:ascii="Arial" w:hAnsi="Arial" w:eastAsia="黑体"/>
      <w:b/>
      <w:kern w:val="2"/>
      <w:sz w:val="24"/>
      <w:lang w:val="en-US" w:eastAsia="zh-CN" w:bidi="ar-SA"/>
    </w:rPr>
  </w:style>
  <w:style w:type="character" w:customStyle="1" w:styleId="174">
    <w:name w:val="ändrad Char1"/>
    <w:qFormat/>
    <w:uiPriority w:val="0"/>
    <w:rPr>
      <w:rFonts w:ascii="仿宋_GB2312" w:eastAsia="宋体"/>
      <w:b/>
      <w:kern w:val="2"/>
      <w:sz w:val="21"/>
      <w:szCs w:val="24"/>
      <w:lang w:val="en-US" w:eastAsia="zh-CN" w:bidi="ar-SA"/>
    </w:rPr>
  </w:style>
  <w:style w:type="character" w:customStyle="1" w:styleId="175">
    <w:name w:val="Char Char41"/>
    <w:qFormat/>
    <w:uiPriority w:val="0"/>
    <w:rPr>
      <w:rFonts w:ascii="Cambria" w:hAnsi="Cambria" w:eastAsia="宋体"/>
      <w:b/>
      <w:bCs/>
      <w:sz w:val="32"/>
      <w:szCs w:val="32"/>
      <w:lang w:bidi="ar-SA"/>
    </w:rPr>
  </w:style>
  <w:style w:type="character" w:customStyle="1" w:styleId="176">
    <w:name w:val="标题 8 Char"/>
    <w:link w:val="12"/>
    <w:qFormat/>
    <w:uiPriority w:val="0"/>
    <w:rPr>
      <w:rFonts w:ascii="Arial" w:hAnsi="Arial" w:eastAsia="黑体"/>
      <w:kern w:val="2"/>
      <w:sz w:val="24"/>
      <w:lang w:val="en-US" w:eastAsia="zh-CN" w:bidi="ar-SA"/>
    </w:rPr>
  </w:style>
  <w:style w:type="character" w:customStyle="1" w:styleId="177">
    <w:name w:val="Char Char11"/>
    <w:qFormat/>
    <w:uiPriority w:val="0"/>
    <w:rPr>
      <w:rFonts w:ascii="Times New Roman" w:hAnsi="Times New Roman" w:eastAsia="宋体" w:cs="Times New Roman"/>
      <w:sz w:val="18"/>
      <w:szCs w:val="18"/>
    </w:rPr>
  </w:style>
  <w:style w:type="character" w:customStyle="1" w:styleId="178">
    <w:name w:val="正文文本缩进 2 Char"/>
    <w:link w:val="35"/>
    <w:qFormat/>
    <w:uiPriority w:val="0"/>
    <w:rPr>
      <w:rFonts w:eastAsia="宋体"/>
      <w:kern w:val="2"/>
      <w:sz w:val="24"/>
      <w:szCs w:val="24"/>
      <w:lang w:val="en-US" w:eastAsia="zh-CN" w:bidi="ar-SA"/>
    </w:rPr>
  </w:style>
  <w:style w:type="character" w:customStyle="1" w:styleId="179">
    <w:name w:val="Char Char6"/>
    <w:qFormat/>
    <w:uiPriority w:val="0"/>
    <w:rPr>
      <w:rFonts w:ascii="Times New Roman" w:hAnsi="Times New Roman" w:eastAsia="宋体" w:cs="Times New Roman"/>
      <w:szCs w:val="24"/>
    </w:rPr>
  </w:style>
  <w:style w:type="character" w:customStyle="1" w:styleId="180">
    <w:name w:val="Char Char Char"/>
    <w:qFormat/>
    <w:uiPriority w:val="0"/>
    <w:rPr>
      <w:rFonts w:ascii="宋体" w:hAnsi="Courier New" w:eastAsia="宋体"/>
      <w:b/>
      <w:sz w:val="21"/>
      <w:szCs w:val="21"/>
      <w:lang w:val="en-US" w:eastAsia="zh-CN" w:bidi="ar-SA"/>
    </w:rPr>
  </w:style>
  <w:style w:type="character" w:customStyle="1" w:styleId="181">
    <w:name w:val="heading 2 Char"/>
    <w:qFormat/>
    <w:uiPriority w:val="0"/>
    <w:rPr>
      <w:rFonts w:ascii="Arial" w:hAnsi="Arial" w:eastAsia="黑体" w:cs="Times New Roman"/>
      <w:sz w:val="30"/>
      <w:szCs w:val="24"/>
    </w:rPr>
  </w:style>
  <w:style w:type="character" w:customStyle="1" w:styleId="182">
    <w:name w:val="Char Char2"/>
    <w:qFormat/>
    <w:uiPriority w:val="0"/>
    <w:rPr>
      <w:rFonts w:ascii="Arial" w:hAnsi="Arial" w:eastAsia="黑体"/>
      <w:b/>
      <w:bCs/>
      <w:kern w:val="44"/>
      <w:sz w:val="30"/>
      <w:szCs w:val="44"/>
      <w:lang w:val="en-US" w:eastAsia="zh-CN" w:bidi="ar-SA"/>
    </w:rPr>
  </w:style>
  <w:style w:type="character" w:customStyle="1" w:styleId="183">
    <w:name w:val="Footer-Even Char2"/>
    <w:qFormat/>
    <w:uiPriority w:val="0"/>
    <w:rPr>
      <w:kern w:val="2"/>
      <w:sz w:val="18"/>
      <w:szCs w:val="18"/>
    </w:rPr>
  </w:style>
  <w:style w:type="character" w:customStyle="1" w:styleId="184">
    <w:name w:val="Char Char17"/>
    <w:qFormat/>
    <w:uiPriority w:val="0"/>
    <w:rPr>
      <w:rFonts w:ascii="Cambria" w:hAnsi="Cambria"/>
      <w:b/>
      <w:bCs/>
      <w:kern w:val="2"/>
      <w:sz w:val="28"/>
      <w:szCs w:val="28"/>
    </w:rPr>
  </w:style>
  <w:style w:type="character" w:customStyle="1" w:styleId="185">
    <w:name w:val="heading 4 Char"/>
    <w:qFormat/>
    <w:uiPriority w:val="0"/>
    <w:rPr>
      <w:rFonts w:ascii="Arial" w:hAnsi="Arial" w:eastAsia="黑体" w:cs="Times New Roman"/>
      <w:sz w:val="21"/>
      <w:szCs w:val="21"/>
    </w:rPr>
  </w:style>
  <w:style w:type="character" w:customStyle="1" w:styleId="186">
    <w:name w:val="Char Char20"/>
    <w:qFormat/>
    <w:uiPriority w:val="0"/>
    <w:rPr>
      <w:b/>
      <w:bCs/>
      <w:kern w:val="44"/>
      <w:sz w:val="44"/>
      <w:szCs w:val="44"/>
    </w:rPr>
  </w:style>
  <w:style w:type="character" w:customStyle="1" w:styleId="187">
    <w:name w:val="heading 1 Char2"/>
    <w:qFormat/>
    <w:uiPriority w:val="0"/>
    <w:rPr>
      <w:b/>
      <w:bCs/>
      <w:kern w:val="44"/>
      <w:sz w:val="44"/>
      <w:szCs w:val="44"/>
    </w:rPr>
  </w:style>
  <w:style w:type="character" w:customStyle="1" w:styleId="188">
    <w:name w:val="font11"/>
    <w:qFormat/>
    <w:uiPriority w:val="0"/>
    <w:rPr>
      <w:rFonts w:hint="eastAsia" w:ascii="宋体" w:hAnsi="宋体" w:eastAsia="宋体" w:cs="宋体"/>
      <w:b/>
      <w:color w:val="000000"/>
      <w:sz w:val="20"/>
      <w:szCs w:val="20"/>
      <w:u w:val="none"/>
    </w:rPr>
  </w:style>
  <w:style w:type="character" w:customStyle="1" w:styleId="189">
    <w:name w:val="表正文 Char2"/>
    <w:qFormat/>
    <w:uiPriority w:val="0"/>
    <w:rPr>
      <w:rFonts w:ascii="Times New Roman" w:hAnsi="Times New Roman" w:eastAsia="宋体" w:cs="Times New Roman"/>
      <w:szCs w:val="24"/>
    </w:rPr>
  </w:style>
  <w:style w:type="character" w:customStyle="1" w:styleId="190">
    <w:name w:val="引用 Char"/>
    <w:link w:val="191"/>
    <w:qFormat/>
    <w:uiPriority w:val="0"/>
    <w:rPr>
      <w:rFonts w:ascii="Calibri" w:hAnsi="Calibri" w:eastAsia="宋体"/>
      <w:i/>
      <w:iCs/>
      <w:color w:val="000000"/>
      <w:lang w:val="en-US" w:eastAsia="zh-CN" w:bidi="ar-SA"/>
    </w:rPr>
  </w:style>
  <w:style w:type="paragraph" w:styleId="191">
    <w:name w:val="Quote"/>
    <w:basedOn w:val="1"/>
    <w:next w:val="1"/>
    <w:link w:val="190"/>
    <w:qFormat/>
    <w:uiPriority w:val="0"/>
    <w:rPr>
      <w:rFonts w:ascii="Calibri" w:hAnsi="Calibri"/>
      <w:i/>
      <w:iCs/>
      <w:color w:val="000000"/>
      <w:kern w:val="0"/>
      <w:sz w:val="20"/>
      <w:szCs w:val="20"/>
    </w:rPr>
  </w:style>
  <w:style w:type="character" w:customStyle="1" w:styleId="192">
    <w:name w:val="纯文本 Char"/>
    <w:link w:val="31"/>
    <w:qFormat/>
    <w:uiPriority w:val="0"/>
    <w:rPr>
      <w:rFonts w:ascii="宋体" w:hAnsi="Courier New" w:eastAsia="宋体"/>
      <w:b/>
      <w:sz w:val="21"/>
      <w:szCs w:val="21"/>
      <w:lang w:val="en-US" w:eastAsia="zh-CN" w:bidi="ar-SA"/>
    </w:rPr>
  </w:style>
  <w:style w:type="character" w:customStyle="1" w:styleId="193">
    <w:name w:val="Char Char19"/>
    <w:qFormat/>
    <w:uiPriority w:val="0"/>
    <w:rPr>
      <w:rFonts w:ascii="Cambria" w:hAnsi="Cambria"/>
      <w:b/>
      <w:bCs/>
      <w:kern w:val="2"/>
      <w:sz w:val="32"/>
      <w:szCs w:val="32"/>
    </w:rPr>
  </w:style>
  <w:style w:type="character" w:customStyle="1" w:styleId="194">
    <w:name w:val="style41"/>
    <w:qFormat/>
    <w:uiPriority w:val="0"/>
    <w:rPr>
      <w:color w:val="auto"/>
    </w:rPr>
  </w:style>
  <w:style w:type="character" w:customStyle="1" w:styleId="195">
    <w:name w:val="Char Char201"/>
    <w:qFormat/>
    <w:uiPriority w:val="0"/>
    <w:rPr>
      <w:rFonts w:ascii="Cambria" w:hAnsi="Cambria" w:eastAsia="宋体" w:cs="Times New Roman"/>
      <w:b/>
      <w:bCs/>
      <w:sz w:val="32"/>
      <w:szCs w:val="32"/>
    </w:rPr>
  </w:style>
  <w:style w:type="character" w:customStyle="1" w:styleId="196">
    <w:name w:val="正文首行缩进 Char"/>
    <w:link w:val="23"/>
    <w:qFormat/>
    <w:uiPriority w:val="0"/>
    <w:rPr>
      <w:rFonts w:eastAsia="宋体"/>
      <w:lang w:val="en-US" w:eastAsia="zh-CN" w:bidi="ar-SA"/>
    </w:rPr>
  </w:style>
  <w:style w:type="character" w:customStyle="1" w:styleId="197">
    <w:name w:val="smalltxt1"/>
    <w:qFormat/>
    <w:uiPriority w:val="0"/>
    <w:rPr>
      <w:rFonts w:hint="default" w:ascii="ˎ̥" w:hAnsi="ˎ̥"/>
      <w:sz w:val="24"/>
      <w:szCs w:val="24"/>
    </w:rPr>
  </w:style>
  <w:style w:type="character" w:customStyle="1" w:styleId="198">
    <w:name w:val="正文文本 2 Char"/>
    <w:basedOn w:val="55"/>
    <w:link w:val="47"/>
    <w:qFormat/>
    <w:uiPriority w:val="0"/>
  </w:style>
  <w:style w:type="paragraph" w:customStyle="1" w:styleId="19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0">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1">
    <w:name w:val="表内文字"/>
    <w:basedOn w:val="1"/>
    <w:qFormat/>
    <w:uiPriority w:val="0"/>
    <w:pPr>
      <w:spacing w:line="240" w:lineRule="atLeast"/>
      <w:jc w:val="center"/>
    </w:pPr>
    <w:rPr>
      <w:rFonts w:ascii="Arial" w:hAnsi="Arial" w:cs="Arial"/>
      <w:b/>
      <w:bCs/>
    </w:rPr>
  </w:style>
  <w:style w:type="paragraph" w:customStyle="1" w:styleId="202">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3">
    <w:name w:val="Char Char Char Char Char Char Char"/>
    <w:basedOn w:val="1"/>
    <w:autoRedefine/>
    <w:qFormat/>
    <w:uiPriority w:val="0"/>
    <w:rPr>
      <w:rFonts w:ascii="仿宋_GB2312" w:eastAsia="仿宋_GB2312"/>
      <w:b/>
      <w:sz w:val="32"/>
      <w:szCs w:val="32"/>
    </w:rPr>
  </w:style>
  <w:style w:type="paragraph" w:customStyle="1" w:styleId="20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5">
    <w:name w:val="列出段落1"/>
    <w:basedOn w:val="1"/>
    <w:autoRedefine/>
    <w:qFormat/>
    <w:uiPriority w:val="0"/>
    <w:pPr>
      <w:ind w:firstLine="420" w:firstLineChars="200"/>
    </w:pPr>
    <w:rPr>
      <w:szCs w:val="20"/>
    </w:rPr>
  </w:style>
  <w:style w:type="paragraph" w:customStyle="1" w:styleId="206">
    <w:name w:val="一级条标题"/>
    <w:next w:val="1"/>
    <w:autoRedefine/>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7">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8">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9">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2">
    <w:name w:val="NICMAN Body Text"/>
    <w:basedOn w:val="1"/>
    <w:next w:val="22"/>
    <w:autoRedefine/>
    <w:qFormat/>
    <w:uiPriority w:val="0"/>
    <w:pPr>
      <w:autoSpaceDE w:val="0"/>
      <w:autoSpaceDN w:val="0"/>
      <w:adjustRightInd w:val="0"/>
      <w:spacing w:after="120"/>
      <w:jc w:val="left"/>
    </w:pPr>
    <w:rPr>
      <w:kern w:val="0"/>
      <w:sz w:val="20"/>
      <w:szCs w:val="20"/>
    </w:rPr>
  </w:style>
  <w:style w:type="paragraph" w:customStyle="1" w:styleId="213">
    <w:name w:val="Char Char Char Char Char Char Char Char Char Char Char Char Char"/>
    <w:basedOn w:val="1"/>
    <w:autoRedefine/>
    <w:qFormat/>
    <w:uiPriority w:val="0"/>
    <w:rPr>
      <w:rFonts w:ascii="Tahoma" w:hAnsi="Tahoma"/>
      <w:sz w:val="24"/>
      <w:szCs w:val="20"/>
    </w:rPr>
  </w:style>
  <w:style w:type="paragraph" w:customStyle="1" w:styleId="214">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5">
    <w:name w:val="正文缩进1"/>
    <w:basedOn w:val="1"/>
    <w:next w:val="25"/>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6">
    <w:name w:val="Table Heading"/>
    <w:autoRedefine/>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7">
    <w:name w:val="Char Char Char Char1"/>
    <w:basedOn w:val="18"/>
    <w:autoRedefine/>
    <w:qFormat/>
    <w:uiPriority w:val="0"/>
    <w:rPr>
      <w:rFonts w:ascii="Tahoma" w:hAnsi="Tahoma"/>
      <w:sz w:val="24"/>
    </w:rPr>
  </w:style>
  <w:style w:type="paragraph" w:customStyle="1" w:styleId="218">
    <w:name w:val="正文 首行缩进:  2 字符 Char"/>
    <w:basedOn w:val="1"/>
    <w:autoRedefine/>
    <w:qFormat/>
    <w:uiPriority w:val="0"/>
    <w:pPr>
      <w:spacing w:line="360" w:lineRule="auto"/>
      <w:ind w:firstLine="480"/>
    </w:pPr>
    <w:rPr>
      <w:rFonts w:cs="宋体"/>
      <w:sz w:val="24"/>
      <w:szCs w:val="20"/>
    </w:rPr>
  </w:style>
  <w:style w:type="paragraph" w:customStyle="1" w:styleId="219">
    <w:name w:val="样式1"/>
    <w:basedOn w:val="1"/>
    <w:autoRedefine/>
    <w:qFormat/>
    <w:uiPriority w:val="0"/>
    <w:pPr>
      <w:autoSpaceDE w:val="0"/>
      <w:autoSpaceDN w:val="0"/>
      <w:adjustRightInd w:val="0"/>
      <w:spacing w:line="400" w:lineRule="exact"/>
    </w:pPr>
    <w:rPr>
      <w:rFonts w:ascii="宋体" w:cs="宋体"/>
      <w:kern w:val="0"/>
    </w:rPr>
  </w:style>
  <w:style w:type="paragraph" w:customStyle="1" w:styleId="22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23">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224">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5">
    <w:name w:val="二级条标题"/>
    <w:basedOn w:val="206"/>
    <w:next w:val="1"/>
    <w:qFormat/>
    <w:uiPriority w:val="0"/>
    <w:pPr>
      <w:tabs>
        <w:tab w:val="left" w:pos="4309"/>
        <w:tab w:val="clear" w:pos="3889"/>
      </w:tabs>
      <w:ind w:left="4309"/>
      <w:outlineLvl w:val="3"/>
    </w:pPr>
  </w:style>
  <w:style w:type="paragraph" w:customStyle="1" w:styleId="226">
    <w:name w:val="正文－恩普"/>
    <w:basedOn w:val="10"/>
    <w:autoRedefine/>
    <w:qFormat/>
    <w:uiPriority w:val="0"/>
    <w:pPr>
      <w:adjustRightInd/>
      <w:spacing w:line="360" w:lineRule="auto"/>
      <w:ind w:firstLine="200" w:firstLineChars="200"/>
      <w:textAlignment w:val="auto"/>
    </w:pPr>
    <w:rPr>
      <w:kern w:val="2"/>
      <w:sz w:val="24"/>
      <w:szCs w:val="24"/>
    </w:rPr>
  </w:style>
  <w:style w:type="paragraph" w:customStyle="1" w:styleId="227">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228">
    <w:name w:val="正文（首行缩进）"/>
    <w:basedOn w:val="25"/>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9">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0">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23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2">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3">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234">
    <w:name w:val="三级条标题"/>
    <w:basedOn w:val="225"/>
    <w:next w:val="1"/>
    <w:autoRedefine/>
    <w:qFormat/>
    <w:uiPriority w:val="0"/>
    <w:pPr>
      <w:tabs>
        <w:tab w:val="left" w:pos="4729"/>
        <w:tab w:val="clear" w:pos="4309"/>
      </w:tabs>
      <w:ind w:left="4729"/>
      <w:outlineLvl w:val="4"/>
    </w:pPr>
  </w:style>
  <w:style w:type="paragraph" w:customStyle="1" w:styleId="235">
    <w:name w:val="Test2"/>
    <w:basedOn w:val="5"/>
    <w:autoRedefine/>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6">
    <w:name w:val="默认段落字体 Para Char Char Char Char Char Char Char"/>
    <w:basedOn w:val="1"/>
    <w:qFormat/>
    <w:uiPriority w:val="0"/>
  </w:style>
  <w:style w:type="paragraph" w:customStyle="1" w:styleId="237">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9">
    <w:name w:val="Char1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0">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2">
    <w:name w:val="列表段落"/>
    <w:basedOn w:val="1"/>
    <w:qFormat/>
    <w:uiPriority w:val="0"/>
    <w:pPr>
      <w:ind w:firstLine="420" w:firstLineChars="200"/>
    </w:pPr>
    <w:rPr>
      <w:rFonts w:ascii="Calibri" w:hAnsi="Calibri"/>
      <w:szCs w:val="22"/>
    </w:rPr>
  </w:style>
  <w:style w:type="paragraph" w:customStyle="1" w:styleId="243">
    <w:name w:val="五级条标题"/>
    <w:basedOn w:val="244"/>
    <w:next w:val="1"/>
    <w:qFormat/>
    <w:uiPriority w:val="0"/>
    <w:pPr>
      <w:tabs>
        <w:tab w:val="left" w:pos="5149"/>
        <w:tab w:val="left" w:pos="5569"/>
      </w:tabs>
      <w:ind w:left="5569"/>
      <w:outlineLvl w:val="6"/>
    </w:pPr>
  </w:style>
  <w:style w:type="paragraph" w:customStyle="1" w:styleId="244">
    <w:name w:val="四级条标题"/>
    <w:basedOn w:val="234"/>
    <w:next w:val="1"/>
    <w:autoRedefine/>
    <w:qFormat/>
    <w:uiPriority w:val="0"/>
    <w:pPr>
      <w:tabs>
        <w:tab w:val="left" w:pos="5149"/>
        <w:tab w:val="clear" w:pos="4729"/>
      </w:tabs>
      <w:ind w:left="5149"/>
      <w:outlineLvl w:val="5"/>
    </w:pPr>
  </w:style>
  <w:style w:type="paragraph" w:customStyle="1" w:styleId="245">
    <w:name w:val="正文-宋体四号"/>
    <w:basedOn w:val="1"/>
    <w:qFormat/>
    <w:uiPriority w:val="0"/>
    <w:pPr>
      <w:spacing w:line="360" w:lineRule="auto"/>
      <w:ind w:firstLine="560" w:firstLineChars="200"/>
    </w:pPr>
    <w:rPr>
      <w:rFonts w:cs="宋体"/>
      <w:sz w:val="28"/>
      <w:szCs w:val="20"/>
    </w:rPr>
  </w:style>
  <w:style w:type="paragraph" w:customStyle="1" w:styleId="246">
    <w:name w:val="纯文本1"/>
    <w:basedOn w:val="1"/>
    <w:qFormat/>
    <w:uiPriority w:val="0"/>
    <w:pPr>
      <w:adjustRightInd w:val="0"/>
      <w:textAlignment w:val="baseline"/>
    </w:pPr>
    <w:rPr>
      <w:rFonts w:ascii="宋体" w:hAnsi="Courier New" w:eastAsia="楷体_GB2312"/>
      <w:sz w:val="28"/>
      <w:szCs w:val="20"/>
    </w:rPr>
  </w:style>
  <w:style w:type="paragraph" w:customStyle="1" w:styleId="247">
    <w:name w:val="Char2"/>
    <w:basedOn w:val="1"/>
    <w:autoRedefine/>
    <w:qFormat/>
    <w:uiPriority w:val="0"/>
  </w:style>
  <w:style w:type="paragraph" w:customStyle="1" w:styleId="24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9">
    <w:name w:val="样式5"/>
    <w:basedOn w:val="10"/>
    <w:qFormat/>
    <w:uiPriority w:val="0"/>
    <w:pPr>
      <w:adjustRightInd/>
      <w:spacing w:line="360" w:lineRule="auto"/>
      <w:ind w:firstLine="200" w:firstLineChars="200"/>
      <w:textAlignment w:val="auto"/>
    </w:pPr>
    <w:rPr>
      <w:sz w:val="28"/>
      <w:szCs w:val="21"/>
    </w:rPr>
  </w:style>
  <w:style w:type="paragraph" w:customStyle="1" w:styleId="250">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1">
    <w:name w:val="Char Char Char Char Char Char Char Char Char Char Char Char Char1"/>
    <w:basedOn w:val="1"/>
    <w:autoRedefine/>
    <w:qFormat/>
    <w:uiPriority w:val="0"/>
  </w:style>
  <w:style w:type="paragraph" w:customStyle="1" w:styleId="252">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3">
    <w:name w:val="样式 标题 3 + 黑色 段前: 5 磅 段后: 5 磅 行距: 1.5 倍行距"/>
    <w:basedOn w:val="1"/>
    <w:autoRedefine/>
    <w:qFormat/>
    <w:uiPriority w:val="0"/>
    <w:pPr>
      <w:ind w:left="855" w:hanging="855"/>
    </w:pPr>
    <w:rPr>
      <w:sz w:val="24"/>
      <w:szCs w:val="20"/>
    </w:rPr>
  </w:style>
  <w:style w:type="paragraph" w:customStyle="1" w:styleId="254">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5">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6">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8">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9">
    <w:name w:val="表格文字（大）"/>
    <w:basedOn w:val="1"/>
    <w:autoRedefine/>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0">
    <w:name w:val="排列"/>
    <w:basedOn w:val="1"/>
    <w:autoRedefine/>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1">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26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4">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5">
    <w:name w:val="tabletext"/>
    <w:basedOn w:val="1"/>
    <w:autoRedefine/>
    <w:qFormat/>
    <w:uiPriority w:val="0"/>
    <w:pPr>
      <w:widowControl/>
      <w:spacing w:line="300" w:lineRule="atLeast"/>
      <w:jc w:val="left"/>
    </w:pPr>
    <w:rPr>
      <w:rFonts w:ascii="宋体" w:hAnsi="宋体" w:cs="宋体"/>
      <w:kern w:val="0"/>
      <w:sz w:val="18"/>
      <w:szCs w:val="18"/>
    </w:rPr>
  </w:style>
  <w:style w:type="paragraph" w:customStyle="1" w:styleId="26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7">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8">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9">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70">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2">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3">
    <w:name w:val="简单回函地址"/>
    <w:basedOn w:val="1"/>
    <w:qFormat/>
    <w:uiPriority w:val="0"/>
  </w:style>
  <w:style w:type="paragraph" w:customStyle="1" w:styleId="274">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5">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6">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7">
    <w:name w:val="1 Char"/>
    <w:basedOn w:val="10"/>
    <w:qFormat/>
    <w:uiPriority w:val="0"/>
    <w:pPr>
      <w:adjustRightInd/>
      <w:spacing w:line="360" w:lineRule="auto"/>
      <w:ind w:firstLine="200" w:firstLineChars="200"/>
      <w:textAlignment w:val="auto"/>
    </w:pPr>
    <w:rPr>
      <w:kern w:val="2"/>
    </w:rPr>
  </w:style>
  <w:style w:type="paragraph" w:customStyle="1" w:styleId="278">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9">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0">
    <w:name w:val="Char Char"/>
    <w:basedOn w:val="1"/>
    <w:qFormat/>
    <w:uiPriority w:val="0"/>
    <w:rPr>
      <w:rFonts w:ascii="仿宋_GB2312" w:eastAsia="仿宋_GB2312"/>
      <w:b/>
      <w:sz w:val="32"/>
      <w:szCs w:val="32"/>
    </w:rPr>
  </w:style>
  <w:style w:type="paragraph" w:customStyle="1" w:styleId="281">
    <w:name w:val="l正文"/>
    <w:basedOn w:val="1"/>
    <w:qFormat/>
    <w:uiPriority w:val="0"/>
    <w:pPr>
      <w:spacing w:line="360" w:lineRule="auto"/>
      <w:ind w:firstLine="200" w:firstLineChars="200"/>
    </w:pPr>
    <w:rPr>
      <w:rFonts w:ascii="宋体" w:hAnsi="宋体"/>
      <w:sz w:val="24"/>
    </w:rPr>
  </w:style>
  <w:style w:type="paragraph" w:customStyle="1" w:styleId="28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4">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5">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6">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7">
    <w:name w:val="Char Char Char Char Char Char Char1"/>
    <w:basedOn w:val="1"/>
    <w:qFormat/>
    <w:uiPriority w:val="0"/>
    <w:rPr>
      <w:rFonts w:ascii="仿宋_GB2312" w:eastAsia="仿宋_GB2312"/>
      <w:b/>
      <w:sz w:val="32"/>
      <w:szCs w:val="32"/>
    </w:rPr>
  </w:style>
  <w:style w:type="paragraph" w:customStyle="1" w:styleId="28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0">
    <w:name w:val="标题2"/>
    <w:basedOn w:val="5"/>
    <w:qFormat/>
    <w:uiPriority w:val="0"/>
    <w:pPr>
      <w:tabs>
        <w:tab w:val="left" w:pos="709"/>
      </w:tabs>
    </w:pPr>
    <w:rPr>
      <w:rFonts w:ascii="宋体" w:hAnsi="宋体"/>
      <w:sz w:val="36"/>
      <w:szCs w:val="36"/>
    </w:rPr>
  </w:style>
  <w:style w:type="paragraph" w:customStyle="1" w:styleId="29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3">
    <w:name w:val="Char1"/>
    <w:basedOn w:val="1"/>
    <w:qFormat/>
    <w:uiPriority w:val="0"/>
    <w:rPr>
      <w:rFonts w:ascii="仿宋_GB2312" w:eastAsia="仿宋_GB2312"/>
      <w:b/>
      <w:sz w:val="32"/>
      <w:szCs w:val="32"/>
    </w:rPr>
  </w:style>
  <w:style w:type="paragraph" w:customStyle="1" w:styleId="294">
    <w:name w:val="正文字缩2字"/>
    <w:basedOn w:val="1"/>
    <w:qFormat/>
    <w:uiPriority w:val="0"/>
    <w:pPr>
      <w:spacing w:before="60" w:after="60" w:line="360" w:lineRule="auto"/>
      <w:ind w:left="200" w:leftChars="200" w:firstLine="200" w:firstLineChars="200"/>
    </w:pPr>
    <w:rPr>
      <w:sz w:val="24"/>
    </w:rPr>
  </w:style>
  <w:style w:type="paragraph" w:customStyle="1" w:styleId="295">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6">
    <w:name w:val="保留正文"/>
    <w:basedOn w:val="22"/>
    <w:qFormat/>
    <w:uiPriority w:val="0"/>
    <w:pPr>
      <w:keepNext/>
      <w:spacing w:after="160"/>
    </w:pPr>
    <w:rPr>
      <w:szCs w:val="20"/>
    </w:rPr>
  </w:style>
  <w:style w:type="paragraph" w:customStyle="1" w:styleId="29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9">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0">
    <w:name w:val="Char"/>
    <w:basedOn w:val="1"/>
    <w:autoRedefine/>
    <w:qFormat/>
    <w:uiPriority w:val="0"/>
    <w:rPr>
      <w:rFonts w:ascii="仿宋_GB2312" w:eastAsia="仿宋_GB2312"/>
      <w:b/>
      <w:sz w:val="32"/>
      <w:szCs w:val="32"/>
    </w:rPr>
  </w:style>
  <w:style w:type="paragraph" w:customStyle="1" w:styleId="301">
    <w:name w:val="Char2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2">
    <w:name w:val="正文文字表格居中"/>
    <w:basedOn w:val="1"/>
    <w:next w:val="47"/>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3">
    <w:name w:val="Table Contents"/>
    <w:basedOn w:val="1"/>
    <w:autoRedefine/>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4">
    <w:name w:val="Char1 Char Char Char Char Char Char"/>
    <w:basedOn w:val="1"/>
    <w:autoRedefine/>
    <w:qFormat/>
    <w:uiPriority w:val="0"/>
    <w:rPr>
      <w:rFonts w:ascii="宋体" w:hAnsi="宋体"/>
      <w:color w:val="000000"/>
      <w:sz w:val="24"/>
    </w:rPr>
  </w:style>
  <w:style w:type="paragraph" w:customStyle="1" w:styleId="305">
    <w:name w:val="此正文"/>
    <w:basedOn w:val="1"/>
    <w:autoRedefine/>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6">
    <w:name w:val="Char1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7">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8">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9">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0">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1">
    <w:name w:val="Char Char13"/>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3">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4">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5">
    <w:name w:val="章标题"/>
    <w:next w:val="1"/>
    <w:autoRedefine/>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6">
    <w:name w:val="样式 标题 3 + 黑体 小四 非加粗"/>
    <w:basedOn w:val="6"/>
    <w:autoRedefine/>
    <w:qFormat/>
    <w:uiPriority w:val="0"/>
    <w:pPr>
      <w:spacing w:before="260" w:after="260" w:line="413" w:lineRule="auto"/>
    </w:pPr>
    <w:rPr>
      <w:rFonts w:ascii="黑体" w:hAnsi="黑体"/>
      <w:b w:val="0"/>
      <w:kern w:val="0"/>
      <w:sz w:val="24"/>
      <w:szCs w:val="32"/>
    </w:rPr>
  </w:style>
  <w:style w:type="paragraph" w:customStyle="1" w:styleId="317">
    <w:name w:val="正文_0_0"/>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8">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9">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320">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1">
    <w:name w:val="VIT-Text"/>
    <w:basedOn w:val="1"/>
    <w:autoRedefine/>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2">
    <w:name w:val="文档正文"/>
    <w:basedOn w:val="1"/>
    <w:autoRedefine/>
    <w:qFormat/>
    <w:uiPriority w:val="0"/>
    <w:pPr>
      <w:adjustRightInd w:val="0"/>
      <w:spacing w:line="300" w:lineRule="auto"/>
      <w:ind w:firstLine="567"/>
      <w:textAlignment w:val="baseline"/>
    </w:pPr>
    <w:rPr>
      <w:kern w:val="0"/>
      <w:sz w:val="24"/>
      <w:szCs w:val="20"/>
    </w:rPr>
  </w:style>
  <w:style w:type="paragraph" w:customStyle="1" w:styleId="323">
    <w:name w:val="列出段落2"/>
    <w:basedOn w:val="1"/>
    <w:autoRedefine/>
    <w:qFormat/>
    <w:uiPriority w:val="0"/>
    <w:pPr>
      <w:ind w:firstLine="420" w:firstLineChars="200"/>
    </w:pPr>
  </w:style>
  <w:style w:type="paragraph" w:customStyle="1" w:styleId="324">
    <w:name w:val="标题五"/>
    <w:basedOn w:val="1"/>
    <w:autoRedefine/>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5">
    <w:name w:val="È±Ê¡ÎÄ±¾ Char"/>
    <w:basedOn w:val="1"/>
    <w:autoRedefine/>
    <w:qFormat/>
    <w:uiPriority w:val="0"/>
    <w:pPr>
      <w:widowControl/>
      <w:overflowPunct w:val="0"/>
      <w:autoSpaceDE w:val="0"/>
      <w:autoSpaceDN w:val="0"/>
      <w:adjustRightInd w:val="0"/>
      <w:textAlignment w:val="baseline"/>
    </w:pPr>
    <w:rPr>
      <w:szCs w:val="21"/>
      <w:lang w:val="zh-CN"/>
    </w:rPr>
  </w:style>
  <w:style w:type="paragraph" w:customStyle="1" w:styleId="326">
    <w:name w:val="p0"/>
    <w:basedOn w:val="1"/>
    <w:autoRedefine/>
    <w:qFormat/>
    <w:uiPriority w:val="0"/>
    <w:pPr>
      <w:widowControl/>
    </w:pPr>
    <w:rPr>
      <w:kern w:val="0"/>
      <w:szCs w:val="21"/>
    </w:rPr>
  </w:style>
  <w:style w:type="paragraph" w:customStyle="1" w:styleId="327">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8">
    <w:name w:val="TableGrid"/>
    <w:autoRedefine/>
    <w:qFormat/>
    <w:uiPriority w:val="0"/>
    <w:tblPr>
      <w:tblCellMar>
        <w:top w:w="0" w:type="dxa"/>
        <w:left w:w="0" w:type="dxa"/>
        <w:bottom w:w="0" w:type="dxa"/>
        <w:right w:w="0" w:type="dxa"/>
      </w:tblCellMar>
    </w:tblPr>
  </w:style>
  <w:style w:type="paragraph" w:styleId="329">
    <w:name w:val="List Paragraph"/>
    <w:basedOn w:val="1"/>
    <w:autoRedefine/>
    <w:qFormat/>
    <w:uiPriority w:val="99"/>
    <w:pPr>
      <w:ind w:firstLine="420" w:firstLineChars="200"/>
    </w:pPr>
  </w:style>
  <w:style w:type="paragraph" w:customStyle="1" w:styleId="330">
    <w:name w:val="正文段"/>
    <w:basedOn w:val="1"/>
    <w:autoRedefine/>
    <w:qFormat/>
    <w:uiPriority w:val="0"/>
    <w:pPr>
      <w:widowControl/>
      <w:snapToGrid w:val="0"/>
      <w:spacing w:afterLines="50"/>
      <w:ind w:firstLine="200" w:firstLineChars="200"/>
    </w:pPr>
    <w:rPr>
      <w:sz w:val="24"/>
      <w:szCs w:val="20"/>
    </w:rPr>
  </w:style>
  <w:style w:type="paragraph" w:customStyle="1" w:styleId="331">
    <w:name w:val="_Style 3"/>
    <w:basedOn w:val="1"/>
    <w:next w:val="1"/>
    <w:autoRedefine/>
    <w:qFormat/>
    <w:uiPriority w:val="34"/>
    <w:pPr>
      <w:spacing w:line="360" w:lineRule="auto"/>
      <w:ind w:firstLine="420" w:firstLineChars="200"/>
    </w:pPr>
  </w:style>
  <w:style w:type="paragraph" w:customStyle="1" w:styleId="332">
    <w:name w:val="_Style 2"/>
    <w:basedOn w:val="1"/>
    <w:next w:val="1"/>
    <w:autoRedefine/>
    <w:qFormat/>
    <w:uiPriority w:val="0"/>
    <w:pPr>
      <w:pBdr>
        <w:bottom w:val="single" w:color="auto" w:sz="6" w:space="1"/>
      </w:pBdr>
      <w:jc w:val="center"/>
    </w:pPr>
    <w:rPr>
      <w:rFonts w:ascii="Arial"/>
      <w:vanish/>
      <w:sz w:val="16"/>
    </w:rPr>
  </w:style>
  <w:style w:type="character" w:customStyle="1" w:styleId="333">
    <w:name w:val="font31"/>
    <w:basedOn w:val="55"/>
    <w:autoRedefine/>
    <w:qFormat/>
    <w:uiPriority w:val="0"/>
    <w:rPr>
      <w:rFonts w:hint="eastAsia" w:ascii="宋体" w:hAnsi="宋体" w:eastAsia="宋体" w:cs="宋体"/>
      <w:color w:val="000000"/>
      <w:sz w:val="24"/>
      <w:szCs w:val="24"/>
      <w:u w:val="single"/>
    </w:rPr>
  </w:style>
  <w:style w:type="paragraph" w:customStyle="1" w:styleId="334">
    <w:name w:val="表格文字"/>
    <w:basedOn w:val="1"/>
    <w:next w:val="22"/>
    <w:autoRedefine/>
    <w:qFormat/>
    <w:uiPriority w:val="0"/>
    <w:pPr>
      <w:adjustRightInd w:val="0"/>
      <w:spacing w:line="420" w:lineRule="atLeast"/>
      <w:jc w:val="left"/>
      <w:textAlignment w:val="baseline"/>
    </w:pPr>
    <w:rPr>
      <w:kern w:val="0"/>
    </w:rPr>
  </w:style>
  <w:style w:type="character" w:customStyle="1" w:styleId="335">
    <w:name w:val="font01"/>
    <w:basedOn w:val="55"/>
    <w:autoRedefine/>
    <w:qFormat/>
    <w:uiPriority w:val="0"/>
    <w:rPr>
      <w:rFonts w:ascii="Arial" w:hAnsi="Arial" w:cs="Arial"/>
      <w:color w:val="000000"/>
      <w:sz w:val="18"/>
      <w:szCs w:val="18"/>
      <w:u w:val="none"/>
    </w:rPr>
  </w:style>
  <w:style w:type="paragraph" w:customStyle="1" w:styleId="336">
    <w:name w:val="列出段落3"/>
    <w:basedOn w:val="1"/>
    <w:autoRedefine/>
    <w:qFormat/>
    <w:uiPriority w:val="34"/>
    <w:pPr>
      <w:adjustRightInd w:val="0"/>
      <w:snapToGrid w:val="0"/>
      <w:spacing w:after="200"/>
      <w:ind w:firstLine="420" w:firstLineChars="200"/>
    </w:pPr>
    <w:rPr>
      <w:rFonts w:ascii="Tahoma" w:hAnsi="Tahoma" w:eastAsia="微软雅黑"/>
      <w:sz w:val="22"/>
    </w:rPr>
  </w:style>
  <w:style w:type="paragraph" w:customStyle="1" w:styleId="337">
    <w:name w:val="标题3 附件1"/>
    <w:basedOn w:val="1"/>
    <w:autoRedefine/>
    <w:qFormat/>
    <w:uiPriority w:val="0"/>
    <w:pPr>
      <w:keepNext/>
      <w:keepLines/>
      <w:spacing w:before="340" w:after="330" w:line="360" w:lineRule="exact"/>
      <w:jc w:val="left"/>
      <w:outlineLvl w:val="2"/>
    </w:pPr>
    <w:rPr>
      <w:b/>
      <w:bCs/>
      <w:kern w:val="44"/>
      <w:szCs w:val="21"/>
    </w:rPr>
  </w:style>
  <w:style w:type="character" w:customStyle="1" w:styleId="338">
    <w:name w:val="font61"/>
    <w:basedOn w:val="55"/>
    <w:autoRedefine/>
    <w:qFormat/>
    <w:uiPriority w:val="0"/>
    <w:rPr>
      <w:rFonts w:hint="eastAsia" w:ascii="宋体" w:hAnsi="宋体" w:eastAsia="宋体" w:cs="宋体"/>
      <w:color w:val="000000"/>
      <w:sz w:val="20"/>
      <w:szCs w:val="20"/>
      <w:u w:val="none"/>
    </w:rPr>
  </w:style>
  <w:style w:type="character" w:customStyle="1" w:styleId="339">
    <w:name w:val="font81"/>
    <w:basedOn w:val="55"/>
    <w:autoRedefine/>
    <w:qFormat/>
    <w:uiPriority w:val="0"/>
    <w:rPr>
      <w:rFonts w:ascii="Calibri" w:hAnsi="Calibri" w:cs="Calibri"/>
      <w:color w:val="000000"/>
      <w:sz w:val="20"/>
      <w:szCs w:val="20"/>
      <w:u w:val="none"/>
    </w:rPr>
  </w:style>
  <w:style w:type="character" w:customStyle="1" w:styleId="340">
    <w:name w:val="font71"/>
    <w:basedOn w:val="55"/>
    <w:autoRedefine/>
    <w:qFormat/>
    <w:uiPriority w:val="0"/>
    <w:rPr>
      <w:rFonts w:hint="eastAsia" w:ascii="宋体" w:hAnsi="宋体" w:eastAsia="宋体" w:cs="宋体"/>
      <w:color w:val="000000"/>
      <w:sz w:val="22"/>
      <w:szCs w:val="22"/>
      <w:u w:val="none"/>
    </w:rPr>
  </w:style>
  <w:style w:type="paragraph" w:customStyle="1" w:styleId="341">
    <w:name w:val="01 正文-首行缩进2字符"/>
    <w:basedOn w:val="1"/>
    <w:autoRedefine/>
    <w:qFormat/>
    <w:uiPriority w:val="0"/>
    <w:pPr>
      <w:spacing w:before="50" w:beforeLines="50" w:after="50" w:afterLines="50"/>
      <w:ind w:firstLine="200" w:firstLineChars="200"/>
    </w:pPr>
    <w:rPr>
      <w:rFonts w:ascii="Arial" w:hAnsi="Arial"/>
      <w:color w:val="000000"/>
    </w:rPr>
  </w:style>
  <w:style w:type="character" w:customStyle="1" w:styleId="342">
    <w:name w:val="NormalCharacter"/>
    <w:link w:val="343"/>
    <w:autoRedefine/>
    <w:semiHidden/>
    <w:qFormat/>
    <w:uiPriority w:val="0"/>
    <w:rPr>
      <w:rFonts w:ascii="Times New Roman" w:hAnsi="Times New Roman"/>
    </w:rPr>
  </w:style>
  <w:style w:type="paragraph" w:customStyle="1" w:styleId="343">
    <w:name w:val="UserStyle_26"/>
    <w:basedOn w:val="1"/>
    <w:link w:val="342"/>
    <w:autoRedefine/>
    <w:qFormat/>
    <w:uiPriority w:val="0"/>
    <w:pPr>
      <w:textAlignment w:val="baseline"/>
    </w:pPr>
    <w:rPr>
      <w:rFonts w:ascii="Times New Roman" w:hAnsi="Times New Roman"/>
    </w:rPr>
  </w:style>
  <w:style w:type="paragraph" w:customStyle="1" w:styleId="344">
    <w:name w:val="NormalIndent"/>
    <w:basedOn w:val="1"/>
    <w:next w:val="1"/>
    <w:autoRedefine/>
    <w:qFormat/>
    <w:uiPriority w:val="0"/>
    <w:pPr>
      <w:spacing w:line="312" w:lineRule="atLeast"/>
      <w:ind w:firstLine="420"/>
      <w:textAlignment w:val="baseline"/>
    </w:pPr>
    <w:rPr>
      <w:rFonts w:ascii="仿宋_GB2312" w:hAnsi="Times New Roman"/>
      <w:b/>
      <w:kern w:val="0"/>
      <w:szCs w:val="32"/>
    </w:rPr>
  </w:style>
  <w:style w:type="paragraph" w:customStyle="1" w:styleId="345">
    <w:name w:val="UserStyle_266"/>
    <w:basedOn w:val="1"/>
    <w:next w:val="346"/>
    <w:autoRedefine/>
    <w:qFormat/>
    <w:uiPriority w:val="0"/>
    <w:pPr>
      <w:jc w:val="left"/>
      <w:textAlignment w:val="baseline"/>
    </w:pPr>
    <w:rPr>
      <w:rFonts w:ascii="Times New Roman" w:hAnsi="Times New Roman"/>
      <w:kern w:val="21"/>
      <w:szCs w:val="21"/>
    </w:rPr>
  </w:style>
  <w:style w:type="paragraph" w:customStyle="1" w:styleId="346">
    <w:name w:val="BodyText"/>
    <w:basedOn w:val="1"/>
    <w:next w:val="1"/>
    <w:autoRedefine/>
    <w:qFormat/>
    <w:uiPriority w:val="0"/>
    <w:pPr>
      <w:spacing w:after="120"/>
      <w:textAlignment w:val="baseline"/>
    </w:pPr>
    <w:rPr>
      <w:rFonts w:ascii="仿宋_GB2312" w:hAnsi="Times New Roman"/>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57</Pages>
  <Words>22421</Words>
  <Characters>23729</Characters>
  <Lines>322</Lines>
  <Paragraphs>90</Paragraphs>
  <TotalTime>25</TotalTime>
  <ScaleCrop>false</ScaleCrop>
  <LinksUpToDate>false</LinksUpToDate>
  <CharactersWithSpaces>26072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2020-10-14T14:50:00Z</dcterms:created>
  <dc:creator>zyq</dc:creator>
  <cp:lastModifiedBy>历程招标</cp:lastModifiedBy>
  <cp:lastPrinted>2021-03-23T15:00:00Z</cp:lastPrinted>
  <dcterms:modified xsi:type="dcterms:W3CDTF">2024-04-03T07:02:34Z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BC1BA64C697642BF92F420CC9F67FF35</vt:lpwstr>
  </property>
</Properties>
</file>