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2023年度职工疗休养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9"/>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9"/>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9"/>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第二部分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 xml:space="preserve">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第三部分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27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27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第五部分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44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49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49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721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2023年度职工疗休养</w:t>
      </w:r>
      <w:r>
        <w:rPr>
          <w:rFonts w:hint="eastAsia" w:ascii="宋体" w:hAnsi="宋体" w:eastAsia="宋体" w:cs="宋体"/>
          <w:color w:val="auto"/>
          <w:sz w:val="22"/>
          <w:highlight w:val="none"/>
        </w:rPr>
        <w:t>招标项目的潜在投标人应在浙江政府采购网获取（下载）招标文件，并于</w:t>
      </w:r>
      <w:r>
        <w:rPr>
          <w:rFonts w:hint="eastAsia"/>
          <w:color w:val="auto"/>
          <w:sz w:val="22"/>
          <w:szCs w:val="22"/>
          <w:highlight w:val="none"/>
          <w:u w:val="none"/>
          <w:lang w:val="en-US" w:eastAsia="zh-CN"/>
        </w:rPr>
        <w:t>2023年03月24日09</w:t>
      </w:r>
      <w:r>
        <w:rPr>
          <w:rFonts w:hint="eastAsia"/>
          <w:color w:val="auto"/>
          <w:sz w:val="22"/>
          <w:szCs w:val="22"/>
          <w:highlight w:val="none"/>
          <w:u w:val="none"/>
        </w:rPr>
        <w:t>:30</w:t>
      </w:r>
      <w:r>
        <w:rPr>
          <w:rFonts w:hint="eastAsia" w:ascii="宋体" w:hAnsi="宋体" w:eastAsia="宋体" w:cs="宋体"/>
          <w:color w:val="auto"/>
          <w:sz w:val="22"/>
          <w:highlight w:val="none"/>
        </w:rPr>
        <w:t>（北京时间）前递交（上传）投标文件。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WZLCZB（W）-2023-03080</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2023年度职工疗休养</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ascii="新宋体" w:hAnsi="新宋体" w:eastAsia="新宋体" w:cs="新宋体"/>
          <w:i w:val="0"/>
          <w:iCs w:val="0"/>
          <w:caps w:val="0"/>
          <w:color w:val="auto"/>
          <w:spacing w:val="0"/>
          <w:sz w:val="22"/>
          <w:szCs w:val="22"/>
          <w:highlight w:val="none"/>
          <w:shd w:val="clear" w:fill="FFFFFF"/>
        </w:rPr>
      </w:pPr>
      <w:r>
        <w:rPr>
          <w:rFonts w:ascii="新宋体" w:hAnsi="新宋体" w:eastAsia="新宋体" w:cs="新宋体"/>
          <w:i w:val="0"/>
          <w:iCs w:val="0"/>
          <w:caps w:val="0"/>
          <w:color w:val="auto"/>
          <w:spacing w:val="0"/>
          <w:sz w:val="22"/>
          <w:szCs w:val="22"/>
          <w:highlight w:val="none"/>
          <w:shd w:val="clear" w:fill="FFFFFF"/>
        </w:rPr>
        <w:t>采购需求：</w:t>
      </w:r>
    </w:p>
    <w:tbl>
      <w:tblPr>
        <w:tblStyle w:val="54"/>
        <w:tblW w:w="0" w:type="auto"/>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738"/>
        <w:gridCol w:w="268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序号</w:t>
            </w:r>
          </w:p>
        </w:tc>
        <w:tc>
          <w:tcPr>
            <w:tcW w:w="2738"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路线</w:t>
            </w:r>
          </w:p>
        </w:tc>
        <w:tc>
          <w:tcPr>
            <w:tcW w:w="2687"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预算金额</w:t>
            </w:r>
          </w:p>
        </w:tc>
        <w:tc>
          <w:tcPr>
            <w:tcW w:w="2990"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1</w:t>
            </w:r>
          </w:p>
        </w:tc>
        <w:tc>
          <w:tcPr>
            <w:tcW w:w="2738" w:type="dxa"/>
            <w:vAlign w:val="center"/>
          </w:tcPr>
          <w:p>
            <w:pPr>
              <w:spacing w:line="360" w:lineRule="exact"/>
              <w:jc w:val="cente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Fonts w:hint="eastAsia" w:ascii="宋体" w:hAnsi="宋体" w:cs="宋体"/>
                <w:b w:val="0"/>
                <w:bCs w:val="0"/>
                <w:color w:val="auto"/>
                <w:kern w:val="0"/>
                <w:sz w:val="22"/>
                <w:szCs w:val="22"/>
                <w:highlight w:val="none"/>
              </w:rPr>
              <w:t>市域线路</w:t>
            </w:r>
          </w:p>
        </w:tc>
        <w:tc>
          <w:tcPr>
            <w:tcW w:w="2687"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110000元</w:t>
            </w:r>
          </w:p>
        </w:tc>
        <w:tc>
          <w:tcPr>
            <w:tcW w:w="2990" w:type="dxa"/>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t>1200元/人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2</w:t>
            </w:r>
          </w:p>
        </w:tc>
        <w:tc>
          <w:tcPr>
            <w:tcW w:w="2738" w:type="dxa"/>
            <w:vAlign w:val="center"/>
          </w:tcPr>
          <w:p>
            <w:pPr>
              <w:spacing w:line="360" w:lineRule="exact"/>
              <w:jc w:val="cente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Fonts w:hint="eastAsia" w:ascii="宋体" w:hAnsi="宋体" w:cs="宋体"/>
                <w:b w:val="0"/>
                <w:bCs w:val="0"/>
                <w:color w:val="auto"/>
                <w:kern w:val="0"/>
                <w:sz w:val="22"/>
                <w:szCs w:val="22"/>
                <w:highlight w:val="none"/>
              </w:rPr>
              <w:t>省际线路</w:t>
            </w:r>
          </w:p>
        </w:tc>
        <w:tc>
          <w:tcPr>
            <w:tcW w:w="2687"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60000元</w:t>
            </w:r>
          </w:p>
        </w:tc>
        <w:tc>
          <w:tcPr>
            <w:tcW w:w="2990" w:type="dxa"/>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3" w:type="dxa"/>
            <w:gridSpan w:val="2"/>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总预算金额</w:t>
            </w:r>
          </w:p>
        </w:tc>
        <w:tc>
          <w:tcPr>
            <w:tcW w:w="5677" w:type="dxa"/>
            <w:gridSpan w:val="2"/>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人民币壹拾柒万元整（¥：170000.00元）</w:t>
            </w:r>
          </w:p>
        </w:tc>
      </w:tr>
    </w:tbl>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微软雅黑" w:hAnsi="微软雅黑" w:eastAsia="微软雅黑" w:cs="微软雅黑"/>
          <w:i w:val="0"/>
          <w:iCs w:val="0"/>
          <w:caps w:val="0"/>
          <w:color w:val="auto"/>
          <w:spacing w:val="0"/>
          <w:sz w:val="21"/>
          <w:szCs w:val="21"/>
          <w:highlight w:val="none"/>
          <w:u w:val="no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lang w:val="en-US" w:eastAsia="zh-CN"/>
        </w:rPr>
        <w:t>具体内容</w:t>
      </w:r>
      <w:r>
        <w:rPr>
          <w:rStyle w:val="56"/>
          <w:rFonts w:hint="eastAsia" w:ascii="新宋体" w:hAnsi="新宋体" w:eastAsia="新宋体" w:cs="新宋体"/>
          <w:b w:val="0"/>
          <w:bCs w:val="0"/>
          <w:i w:val="0"/>
          <w:iCs w:val="0"/>
          <w:caps w:val="0"/>
          <w:color w:val="auto"/>
          <w:spacing w:val="0"/>
          <w:sz w:val="22"/>
          <w:szCs w:val="22"/>
          <w:highlight w:val="none"/>
          <w:u w:val="none"/>
          <w:shd w:val="clear" w:fill="FFFFFF"/>
        </w:rPr>
        <w:t>详见招标文件第四部分项目技术规范和服务要求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本项目不接受联合体投标。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2023年3月3日</w:t>
      </w:r>
      <w:r>
        <w:rPr>
          <w:rFonts w:hint="eastAsia"/>
          <w:color w:val="auto"/>
          <w:sz w:val="22"/>
          <w:szCs w:val="22"/>
          <w:highlight w:val="none"/>
          <w:u w:val="none"/>
        </w:rPr>
        <w:t>至</w:t>
      </w:r>
      <w:r>
        <w:rPr>
          <w:rFonts w:hint="eastAsia"/>
          <w:color w:val="auto"/>
          <w:sz w:val="22"/>
          <w:szCs w:val="22"/>
          <w:highlight w:val="none"/>
          <w:u w:val="none"/>
          <w:lang w:val="en-US" w:eastAsia="zh-CN"/>
        </w:rPr>
        <w:t>2023年03月24日</w:t>
      </w:r>
      <w:r>
        <w:rPr>
          <w:rFonts w:hint="eastAsia"/>
          <w:color w:val="auto"/>
          <w:sz w:val="22"/>
          <w:szCs w:val="22"/>
          <w:highlight w:val="none"/>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val="en-US" w:eastAsia="zh-CN"/>
        </w:rPr>
        <w:t>2023年03月24日09</w:t>
      </w:r>
      <w:r>
        <w:rPr>
          <w:rFonts w:hint="eastAsia"/>
          <w:color w:val="auto"/>
          <w:sz w:val="22"/>
          <w:szCs w:val="22"/>
          <w:highlight w:val="none"/>
          <w:u w:val="none"/>
        </w:rPr>
        <w:t>:30（北京时间）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val="en-US" w:eastAsia="zh-CN"/>
        </w:rPr>
        <w:t>2023年03月24日09</w:t>
      </w:r>
      <w:r>
        <w:rPr>
          <w:rFonts w:hint="eastAsia"/>
          <w:color w:val="auto"/>
          <w:sz w:val="22"/>
          <w:szCs w:val="22"/>
          <w:highlight w:val="none"/>
          <w:u w:val="none"/>
        </w:rPr>
        <w:t>:30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4"/>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1839"/>
      <w:bookmarkStart w:id="6" w:name="_Toc354996695"/>
      <w:bookmarkStart w:id="7" w:name="_Toc6224"/>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2023年度职工疗休养</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563"/>
              <w:gridCol w:w="2625"/>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序号</w:t>
                  </w:r>
                </w:p>
              </w:tc>
              <w:tc>
                <w:tcPr>
                  <w:tcW w:w="2563"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路线</w:t>
                  </w:r>
                </w:p>
              </w:tc>
              <w:tc>
                <w:tcPr>
                  <w:tcW w:w="26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预算金额</w:t>
                  </w:r>
                </w:p>
              </w:tc>
              <w:tc>
                <w:tcPr>
                  <w:tcW w:w="3182"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1</w:t>
                  </w:r>
                </w:p>
              </w:tc>
              <w:tc>
                <w:tcPr>
                  <w:tcW w:w="2563" w:type="dxa"/>
                  <w:vAlign w:val="center"/>
                </w:tcPr>
                <w:p>
                  <w:pPr>
                    <w:spacing w:line="360" w:lineRule="exact"/>
                    <w:jc w:val="cente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Fonts w:hint="eastAsia" w:ascii="宋体" w:hAnsi="宋体" w:cs="宋体"/>
                      <w:b w:val="0"/>
                      <w:bCs w:val="0"/>
                      <w:color w:val="auto"/>
                      <w:kern w:val="0"/>
                      <w:sz w:val="22"/>
                      <w:szCs w:val="22"/>
                      <w:highlight w:val="none"/>
                    </w:rPr>
                    <w:t>市域线路</w:t>
                  </w:r>
                </w:p>
              </w:tc>
              <w:tc>
                <w:tcPr>
                  <w:tcW w:w="26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110000元</w:t>
                  </w:r>
                </w:p>
              </w:tc>
              <w:tc>
                <w:tcPr>
                  <w:tcW w:w="3182" w:type="dxa"/>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t>1200元/人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2</w:t>
                  </w:r>
                </w:p>
              </w:tc>
              <w:tc>
                <w:tcPr>
                  <w:tcW w:w="2563" w:type="dxa"/>
                  <w:vAlign w:val="center"/>
                </w:tcPr>
                <w:p>
                  <w:pPr>
                    <w:spacing w:line="360" w:lineRule="exact"/>
                    <w:jc w:val="cente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Fonts w:hint="eastAsia" w:ascii="宋体" w:hAnsi="宋体" w:cs="宋体"/>
                      <w:b w:val="0"/>
                      <w:bCs w:val="0"/>
                      <w:color w:val="auto"/>
                      <w:kern w:val="0"/>
                      <w:sz w:val="22"/>
                      <w:szCs w:val="22"/>
                      <w:highlight w:val="none"/>
                    </w:rPr>
                    <w:t>省际线路</w:t>
                  </w:r>
                </w:p>
              </w:tc>
              <w:tc>
                <w:tcPr>
                  <w:tcW w:w="2625" w:type="dxa"/>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60000元</w:t>
                  </w:r>
                </w:p>
              </w:tc>
              <w:tc>
                <w:tcPr>
                  <w:tcW w:w="3182" w:type="dxa"/>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25" w:type="dxa"/>
                  <w:gridSpan w:val="2"/>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default"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总预算金额</w:t>
                  </w:r>
                </w:p>
              </w:tc>
              <w:tc>
                <w:tcPr>
                  <w:tcW w:w="5807" w:type="dxa"/>
                  <w:gridSpan w:val="2"/>
                  <w:vAlign w:val="center"/>
                </w:tcPr>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jc w:val="center"/>
                    <w:textAlignment w:val="auto"/>
                    <w:rPr>
                      <w:rStyle w:val="56"/>
                      <w:rFonts w:hint="eastAsia" w:ascii="新宋体" w:hAnsi="新宋体" w:eastAsia="新宋体" w:cs="新宋体"/>
                      <w:b/>
                      <w:bCs/>
                      <w:i w:val="0"/>
                      <w:iCs w:val="0"/>
                      <w:caps w:val="0"/>
                      <w:color w:val="auto"/>
                      <w:spacing w:val="0"/>
                      <w:sz w:val="22"/>
                      <w:szCs w:val="22"/>
                      <w:highlight w:val="none"/>
                      <w:u w:val="none"/>
                      <w:shd w:val="clear" w:fill="FFFFFF"/>
                      <w:vertAlign w:val="baseline"/>
                    </w:rPr>
                  </w:pPr>
                  <w:r>
                    <w:rPr>
                      <w:rStyle w:val="56"/>
                      <w:rFonts w:hint="eastAsia" w:ascii="新宋体" w:hAnsi="新宋体" w:eastAsia="新宋体" w:cs="新宋体"/>
                      <w:b w:val="0"/>
                      <w:bCs w:val="0"/>
                      <w:i w:val="0"/>
                      <w:iCs w:val="0"/>
                      <w:caps w:val="0"/>
                      <w:color w:val="auto"/>
                      <w:spacing w:val="0"/>
                      <w:sz w:val="22"/>
                      <w:szCs w:val="22"/>
                      <w:highlight w:val="none"/>
                      <w:u w:val="none"/>
                      <w:shd w:val="clear" w:fill="FFFFFF"/>
                      <w:vertAlign w:val="baseline"/>
                      <w:lang w:val="en-US" w:eastAsia="zh-CN"/>
                    </w:rPr>
                    <w:t>人民币壹拾柒万元整（¥：170000.00元）</w:t>
                  </w:r>
                </w:p>
              </w:tc>
            </w:tr>
          </w:tbl>
          <w:p>
            <w:pPr>
              <w:tabs>
                <w:tab w:val="left" w:pos="360"/>
              </w:tabs>
              <w:spacing w:line="4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w:t>
            </w:r>
            <w:r>
              <w:rPr>
                <w:rFonts w:hint="eastAsia" w:ascii="宋体" w:hAnsi="宋体" w:eastAsia="宋体" w:cs="宋体"/>
                <w:color w:val="auto"/>
                <w:sz w:val="22"/>
                <w:szCs w:val="22"/>
                <w:highlight w:val="none"/>
                <w:lang w:val="en-US" w:eastAsia="zh-CN"/>
              </w:rPr>
              <w:t>标准的75%</w:t>
            </w:r>
            <w:r>
              <w:rPr>
                <w:rFonts w:hint="eastAsia" w:ascii="宋体" w:hAnsi="宋体" w:eastAsia="宋体" w:cs="宋体"/>
                <w:color w:val="auto"/>
                <w:sz w:val="22"/>
                <w:szCs w:val="22"/>
                <w:highlight w:val="none"/>
              </w:rPr>
              <w:t>收取,由中标人在领取中标通知书时支付。</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开户行：中国建设银行温州黎明支行</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政采云平台技术服务费：</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（一）不涉及合同金额的采购项目，技术服务费500元/件；</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（二）涉及合同金额的采购项目，根据合同标的额，按照下列比例收费：</w:t>
            </w:r>
          </w:p>
          <w:p>
            <w:pPr>
              <w:spacing w:line="460" w:lineRule="exact"/>
              <w:ind w:firstLine="220" w:firstLineChars="100"/>
              <w:rPr>
                <w:rFonts w:hint="eastAsia"/>
                <w:color w:val="auto"/>
                <w:highlight w:val="none"/>
              </w:rPr>
            </w:pPr>
            <w:r>
              <w:rPr>
                <w:rFonts w:hint="eastAsia" w:ascii="宋体" w:hAnsi="宋体" w:eastAsia="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color w:val="auto"/>
                <w:sz w:val="22"/>
                <w:szCs w:val="22"/>
                <w:highlight w:val="none"/>
                <w:u w:val="none"/>
                <w:lang w:val="en-US" w:eastAsia="zh-CN"/>
              </w:rPr>
              <w:t>2023年03月24日09</w:t>
            </w:r>
            <w:r>
              <w:rPr>
                <w:rFonts w:hint="eastAsia"/>
                <w:color w:val="auto"/>
                <w:sz w:val="22"/>
                <w:szCs w:val="22"/>
                <w:highlight w:val="none"/>
                <w:u w:val="none"/>
              </w:rPr>
              <w:t>:30（北京时间）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color w:val="auto"/>
                <w:sz w:val="22"/>
                <w:szCs w:val="22"/>
                <w:highlight w:val="none"/>
                <w:u w:val="none"/>
                <w:lang w:val="en-US" w:eastAsia="zh-CN"/>
              </w:rPr>
              <w:t>2</w:t>
            </w:r>
            <w:bookmarkStart w:id="63" w:name="_GoBack"/>
            <w:bookmarkEnd w:id="63"/>
            <w:r>
              <w:rPr>
                <w:rFonts w:hint="eastAsia"/>
                <w:color w:val="auto"/>
                <w:sz w:val="22"/>
                <w:szCs w:val="22"/>
                <w:highlight w:val="none"/>
                <w:u w:val="none"/>
                <w:lang w:val="en-US" w:eastAsia="zh-CN"/>
              </w:rPr>
              <w:t>023年03月24日09</w:t>
            </w:r>
            <w:r>
              <w:rPr>
                <w:rFonts w:hint="eastAsia"/>
                <w:color w:val="auto"/>
                <w:sz w:val="22"/>
                <w:szCs w:val="22"/>
                <w:highlight w:val="none"/>
                <w:u w:val="none"/>
              </w:rPr>
              <w:t>:30（北京时间）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投标人企业规范性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同类项目业绩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项目投入人员素质情况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疗休养策划方案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保险承诺</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投诉处理及突发事件处理</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特色服务和增值服务方案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其他优惠服务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0"/>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新宋体" w:hAnsi="新宋体" w:eastAsia="新宋体"/>
          <w:b w:val="0"/>
          <w:bCs/>
          <w:color w:val="auto"/>
          <w:sz w:val="22"/>
          <w:szCs w:val="22"/>
          <w:highlight w:val="none"/>
        </w:rPr>
        <w:t>投标人的报价为含税单人总价，即在承包本次职工疗休养所需的一切人员工资、车、住宿、门票、餐费、交通、保险、导游、税费、利润等完成合同所需的一切本身和不可或缺的所有工作开支、政策性文件规定及合同包含的所有风险、责任等各项全部费用。</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4.5招标人和</w:t>
      </w:r>
      <w:r>
        <w:rPr>
          <w:rFonts w:hint="eastAsia" w:ascii="宋体" w:hAnsi="宋体" w:eastAsia="宋体" w:cs="宋体"/>
          <w:b w:val="0"/>
          <w:bCs w:val="0"/>
          <w:color w:val="auto"/>
          <w:sz w:val="22"/>
          <w:highlight w:val="none"/>
        </w:rPr>
        <w:t>招标代理机构</w:t>
      </w:r>
      <w:r>
        <w:rPr>
          <w:rFonts w:hint="eastAsia" w:ascii="宋体" w:hAnsi="宋体" w:eastAsia="宋体" w:cs="宋体"/>
          <w:b w:val="0"/>
          <w:bCs w:val="0"/>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6、投标保证金</w:t>
      </w:r>
      <w:r>
        <w:rPr>
          <w:rFonts w:hint="eastAsia" w:ascii="宋体" w:hAnsi="宋体" w:cs="宋体"/>
          <w:b/>
          <w:bCs/>
          <w:color w:val="auto"/>
          <w:sz w:val="22"/>
          <w:szCs w:val="22"/>
          <w:highlight w:val="none"/>
          <w:lang w:val="en-US" w:eastAsia="zh-CN"/>
        </w:rPr>
        <w:t xml:space="preserve">  </w:t>
      </w: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采购组织机构将按照招标文件规定的时间通过“政府采购云平台”组织开标、开启投标文件，所有供应商均应当准时(在线)参加。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41" w:firstLineChars="245"/>
        <w:rPr>
          <w:rFonts w:hint="eastAsia" w:ascii="宋体" w:hAnsi="宋体" w:eastAsia="宋体" w:cs="宋体"/>
          <w:b/>
          <w:bCs/>
          <w:color w:val="auto"/>
          <w:sz w:val="22"/>
          <w:szCs w:val="22"/>
          <w:highlight w:val="none"/>
        </w:rPr>
      </w:pPr>
      <w:bookmarkStart w:id="20" w:name="_Toc33194393"/>
      <w:bookmarkStart w:id="21" w:name="_Toc24550037"/>
      <w:r>
        <w:rPr>
          <w:rFonts w:hint="eastAsia" w:ascii="宋体" w:hAnsi="宋体" w:eastAsia="宋体" w:cs="宋体"/>
          <w:b/>
          <w:bCs/>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 w:val="0"/>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14.2评标委员会依据法律、法规及招标文件有关规定按评审后得分（即技术分）由高到低顺序排序，得分前二名的投标人确定为该项目的第一和第二中标候选人（</w:t>
      </w:r>
      <w:r>
        <w:rPr>
          <w:rFonts w:hint="eastAsia" w:ascii="宋体" w:hAnsi="宋体" w:cs="宋体"/>
          <w:color w:val="auto"/>
          <w:sz w:val="22"/>
          <w:szCs w:val="22"/>
          <w:highlight w:val="none"/>
          <w:lang w:val="en-US" w:eastAsia="zh-CN"/>
        </w:rPr>
        <w:t>技术</w:t>
      </w:r>
      <w:r>
        <w:rPr>
          <w:rFonts w:hint="eastAsia" w:ascii="宋体" w:hAnsi="宋体" w:eastAsia="宋体" w:cs="宋体"/>
          <w:color w:val="auto"/>
          <w:sz w:val="22"/>
          <w:szCs w:val="22"/>
          <w:highlight w:val="none"/>
        </w:rPr>
        <w:t>得分相同</w:t>
      </w:r>
      <w:r>
        <w:rPr>
          <w:rFonts w:hint="eastAsia" w:ascii="宋体" w:hAnsi="宋体" w:cs="宋体"/>
          <w:color w:val="auto"/>
          <w:sz w:val="22"/>
          <w:szCs w:val="22"/>
          <w:highlight w:val="none"/>
          <w:lang w:val="en-US" w:eastAsia="zh-CN"/>
        </w:rPr>
        <w:t>并列</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rPr>
        <w:t>由评标委员会采取随机抽取的方式确定</w:t>
      </w:r>
      <w:r>
        <w:rPr>
          <w:rFonts w:hint="eastAsia" w:ascii="宋体" w:hAnsi="宋体" w:cs="宋体"/>
          <w:color w:val="auto"/>
          <w:sz w:val="22"/>
          <w:szCs w:val="22"/>
          <w:highlight w:val="none"/>
          <w:lang w:val="en-US" w:eastAsia="zh-CN"/>
        </w:rPr>
        <w:t>名次优先者</w:t>
      </w:r>
      <w:r>
        <w:rPr>
          <w:rFonts w:hint="eastAsia" w:ascii="宋体" w:hAnsi="宋体" w:eastAsia="宋体" w:cs="宋体"/>
          <w:color w:val="auto"/>
          <w:sz w:val="22"/>
          <w:szCs w:val="22"/>
          <w:highlight w:val="none"/>
        </w:rPr>
        <w:t>）向招标人推荐。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采取随机抽取的方式确定名次优先者。</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pPr>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br w:type="page"/>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outlineLvl w:val="1"/>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1.2中标</w:t>
      </w:r>
      <w:r>
        <w:rPr>
          <w:rFonts w:hint="eastAsia" w:ascii="宋体" w:hAnsi="宋体" w:eastAsia="宋体" w:cs="宋体"/>
          <w:color w:val="auto"/>
          <w:sz w:val="22"/>
          <w:szCs w:val="22"/>
          <w:highlight w:val="none"/>
        </w:rPr>
        <w:t>通知书是合同的一个组成部分,对招标人和中标人均具有同等法律效力。</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w:t>
      </w:r>
      <w:r>
        <w:rPr>
          <w:rFonts w:hint="eastAsia" w:ascii="宋体" w:hAnsi="宋体" w:eastAsia="宋体" w:cs="宋体"/>
          <w:b w:val="0"/>
          <w:bCs w:val="0"/>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cs="宋体"/>
          <w:bCs/>
          <w:color w:val="auto"/>
          <w:sz w:val="22"/>
          <w:highlight w:val="none"/>
          <w:lang w:val="en-US" w:eastAsia="zh-CN"/>
        </w:rPr>
        <w:t>1</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pStyle w:val="4"/>
        <w:bidi w:val="0"/>
        <w:rPr>
          <w:rFonts w:hint="eastAsia" w:ascii="宋体" w:hAnsi="宋体" w:eastAsia="宋体" w:cs="宋体"/>
          <w:color w:val="auto"/>
          <w:highlight w:val="none"/>
        </w:rPr>
      </w:pPr>
      <w:bookmarkStart w:id="24" w:name="_Toc28194"/>
      <w:bookmarkStart w:id="25" w:name="_Toc19043"/>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（项目名称、编号）在国内以公开招标方式进行投标，经评标委员会评定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 旅游的时间安排：</w:t>
      </w:r>
    </w:p>
    <w:p>
      <w:pPr>
        <w:spacing w:line="460" w:lineRule="exact"/>
        <w:ind w:firstLine="668" w:firstLineChars="304"/>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由乙方在__年__月__日至__年__月__日为甲方提供旅游服务。</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四、旅游的地点及每个旅游景点的时间安排：</w:t>
      </w:r>
    </w:p>
    <w:p>
      <w:pPr>
        <w:spacing w:line="460" w:lineRule="exact"/>
        <w:ind w:firstLine="679" w:firstLineChars="309"/>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b/>
          <w:bCs/>
          <w:color w:val="auto"/>
          <w:sz w:val="22"/>
          <w:szCs w:val="22"/>
          <w:highlight w:val="none"/>
          <w:lang w:val="en-US" w:eastAsia="zh-CN"/>
        </w:rPr>
        <w:t>市域</w:t>
      </w:r>
      <w:r>
        <w:rPr>
          <w:rFonts w:hint="eastAsia" w:ascii="新宋体" w:hAnsi="新宋体" w:eastAsia="新宋体" w:cs="新宋体"/>
          <w:b/>
          <w:bCs/>
          <w:color w:val="auto"/>
          <w:sz w:val="22"/>
          <w:szCs w:val="22"/>
          <w:highlight w:val="none"/>
        </w:rPr>
        <w:t>各线路的安排如下：</w:t>
      </w:r>
    </w:p>
    <w:p>
      <w:pPr>
        <w:spacing w:line="460" w:lineRule="exact"/>
        <w:ind w:firstLine="679" w:firstLineChars="309"/>
        <w:rPr>
          <w:rFonts w:hint="eastAsia" w:ascii="新宋体" w:hAnsi="新宋体" w:eastAsia="新宋体" w:cs="新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线路1：文成疗休养3天（非周末）</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乐清疗休养3天（非周末）</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泰顺疗休养3天（非周末）</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线路4：洞头疗休养3天（非周末）</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乙方为甲方提供的旅游景点为____个。分别是________、________、________.</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每天的时间安排为上午________时至________时，下午________时至________时。</w:t>
      </w:r>
    </w:p>
    <w:p>
      <w:pPr>
        <w:spacing w:line="460" w:lineRule="exact"/>
        <w:ind w:firstLine="682" w:firstLineChars="309"/>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省际各线路的安排如下：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60" w:firstLineChars="3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olor w:val="auto"/>
          <w:sz w:val="22"/>
          <w:highlight w:val="none"/>
          <w:lang w:val="en-US" w:eastAsia="zh-CN"/>
        </w:rPr>
        <w:t>1）</w:t>
      </w:r>
      <w:r>
        <w:rPr>
          <w:rFonts w:hint="eastAsia" w:ascii="宋体" w:hAnsi="宋体"/>
          <w:color w:val="auto"/>
          <w:sz w:val="22"/>
          <w:highlight w:val="none"/>
        </w:rPr>
        <w:t>线路1：</w:t>
      </w:r>
      <w:r>
        <w:rPr>
          <w:rFonts w:hint="eastAsia" w:ascii="宋体" w:hAnsi="宋体"/>
          <w:color w:val="auto"/>
          <w:sz w:val="22"/>
          <w:highlight w:val="none"/>
          <w:lang w:val="en-US" w:eastAsia="zh-CN"/>
        </w:rPr>
        <w:t>龙游石窟、千岛湖、兰溪地下长河5天</w:t>
      </w:r>
      <w:r>
        <w:rPr>
          <w:rFonts w:hint="eastAsia" w:ascii="宋体" w:hAnsi="宋体" w:cs="宋体"/>
          <w:color w:val="auto"/>
          <w:kern w:val="0"/>
          <w:sz w:val="22"/>
          <w:szCs w:val="22"/>
          <w:highlight w:val="none"/>
        </w:rPr>
        <w:t>（含周六日）</w:t>
      </w:r>
      <w:r>
        <w:rPr>
          <w:rFonts w:hint="eastAsia" w:ascii="宋体" w:hAnsi="宋体" w:cs="宋体"/>
          <w:color w:val="auto"/>
          <w:kern w:val="0"/>
          <w:sz w:val="22"/>
          <w:szCs w:val="22"/>
          <w:highlight w:val="none"/>
          <w:lang w:eastAsia="zh-CN"/>
        </w:rPr>
        <w:t>；</w:t>
      </w:r>
      <w:r>
        <w:rPr>
          <w:rFonts w:hint="eastAsia" w:ascii="宋体" w:hAnsi="宋体"/>
          <w:color w:val="auto"/>
          <w:sz w:val="22"/>
          <w:highlight w:val="none"/>
        </w:rPr>
        <w:t>线路2：</w:t>
      </w:r>
      <w:r>
        <w:rPr>
          <w:rFonts w:hint="eastAsia" w:ascii="宋体" w:hAnsi="宋体"/>
          <w:color w:val="auto"/>
          <w:sz w:val="22"/>
          <w:highlight w:val="none"/>
          <w:lang w:val="en-US" w:eastAsia="zh-CN"/>
        </w:rPr>
        <w:t>莫干山南浔5天</w:t>
      </w:r>
      <w:r>
        <w:rPr>
          <w:rFonts w:hint="eastAsia" w:ascii="宋体" w:hAnsi="宋体" w:cs="宋体"/>
          <w:color w:val="auto"/>
          <w:kern w:val="0"/>
          <w:sz w:val="22"/>
          <w:szCs w:val="22"/>
          <w:highlight w:val="none"/>
        </w:rPr>
        <w:t>（含周六日）</w:t>
      </w:r>
      <w:r>
        <w:rPr>
          <w:rFonts w:hint="eastAsia" w:ascii="宋体" w:hAnsi="宋体" w:cs="宋体"/>
          <w:color w:val="auto"/>
          <w:kern w:val="0"/>
          <w:sz w:val="22"/>
          <w:szCs w:val="22"/>
          <w:highlight w:val="none"/>
          <w:lang w:eastAsia="zh-CN"/>
        </w:rPr>
        <w:t>；</w:t>
      </w:r>
      <w:r>
        <w:rPr>
          <w:rFonts w:hint="eastAsia" w:ascii="宋体" w:hAnsi="宋体"/>
          <w:color w:val="auto"/>
          <w:sz w:val="22"/>
          <w:highlight w:val="none"/>
        </w:rPr>
        <w:t>线路</w:t>
      </w:r>
      <w:r>
        <w:rPr>
          <w:rFonts w:hint="eastAsia" w:ascii="宋体" w:hAnsi="宋体"/>
          <w:color w:val="auto"/>
          <w:sz w:val="22"/>
          <w:highlight w:val="none"/>
          <w:lang w:val="en-US" w:eastAsia="zh-CN"/>
        </w:rPr>
        <w:t>3：黄山、宏村、古徽州双动5天</w:t>
      </w:r>
      <w:r>
        <w:rPr>
          <w:rFonts w:hint="eastAsia" w:ascii="宋体" w:hAnsi="宋体" w:cs="宋体"/>
          <w:color w:val="auto"/>
          <w:kern w:val="0"/>
          <w:sz w:val="22"/>
          <w:szCs w:val="22"/>
          <w:highlight w:val="none"/>
        </w:rPr>
        <w:t>（含周六日）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线路4：黄龙、九寨沟、若尔盖花湖、黄河九曲、红原6日游</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提供的旅游景点为____个。分别是________、________、________.</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每天的时间安排为上午________时至________时，下午________时至________时。</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五、旅游的生活安排：</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乙方为甲方提供食宿，每天伙食在________元至________元标准内。</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六、导游服务：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乙方为甲方提供导游服务，服务内容：____________________.</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七、旅游的费用：</w:t>
      </w:r>
    </w:p>
    <w:p>
      <w:pPr>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本次旅游的个人费用按</w:t>
      </w:r>
      <w:r>
        <w:rPr>
          <w:rFonts w:ascii="新宋体" w:hAnsi="新宋体" w:eastAsia="新宋体" w:cs="新宋体"/>
          <w:color w:val="auto"/>
          <w:sz w:val="22"/>
          <w:szCs w:val="22"/>
          <w:highlight w:val="none"/>
        </w:rPr>
        <w:t>不同线路</w:t>
      </w:r>
      <w:r>
        <w:rPr>
          <w:rFonts w:hint="eastAsia" w:ascii="新宋体" w:hAnsi="新宋体" w:eastAsia="新宋体" w:cs="新宋体"/>
          <w:color w:val="auto"/>
          <w:sz w:val="22"/>
          <w:szCs w:val="22"/>
          <w:highlight w:val="none"/>
        </w:rPr>
        <w:t>（各线路分开填写）</w:t>
      </w:r>
      <w:r>
        <w:rPr>
          <w:rFonts w:ascii="新宋体" w:hAnsi="新宋体" w:eastAsia="新宋体" w:cs="新宋体"/>
          <w:color w:val="auto"/>
          <w:sz w:val="22"/>
          <w:szCs w:val="22"/>
          <w:highlight w:val="none"/>
        </w:rPr>
        <w:t>分别为</w:t>
      </w:r>
      <w:r>
        <w:rPr>
          <w:rFonts w:hint="eastAsia" w:ascii="新宋体" w:hAnsi="新宋体" w:eastAsia="新宋体" w:cs="新宋体"/>
          <w:color w:val="auto"/>
          <w:sz w:val="22"/>
          <w:szCs w:val="22"/>
          <w:highlight w:val="none"/>
        </w:rPr>
        <w:t>____元（包括交通、住宿、餐饮、旅行社</w:t>
      </w:r>
      <w:r>
        <w:rPr>
          <w:rFonts w:ascii="新宋体" w:hAnsi="新宋体" w:eastAsia="新宋体" w:cs="新宋体"/>
          <w:color w:val="auto"/>
          <w:sz w:val="22"/>
          <w:szCs w:val="22"/>
          <w:highlight w:val="none"/>
        </w:rPr>
        <w:t>统一安排的景区景点</w:t>
      </w:r>
      <w:r>
        <w:rPr>
          <w:rFonts w:hint="eastAsia" w:ascii="新宋体" w:hAnsi="新宋体" w:eastAsia="新宋体" w:cs="新宋体"/>
          <w:color w:val="auto"/>
          <w:sz w:val="22"/>
          <w:szCs w:val="22"/>
          <w:highlight w:val="none"/>
        </w:rPr>
        <w:t>门票、行程中</w:t>
      </w:r>
      <w:r>
        <w:rPr>
          <w:rFonts w:ascii="新宋体" w:hAnsi="新宋体" w:eastAsia="新宋体" w:cs="新宋体"/>
          <w:color w:val="auto"/>
          <w:sz w:val="22"/>
          <w:szCs w:val="22"/>
          <w:highlight w:val="none"/>
        </w:rPr>
        <w:t>安排的其他</w:t>
      </w:r>
      <w:r>
        <w:rPr>
          <w:rFonts w:hint="eastAsia" w:ascii="新宋体" w:hAnsi="新宋体" w:eastAsia="新宋体" w:cs="新宋体"/>
          <w:color w:val="auto"/>
          <w:sz w:val="22"/>
          <w:szCs w:val="22"/>
          <w:highlight w:val="none"/>
        </w:rPr>
        <w:t>项目</w:t>
      </w:r>
      <w:r>
        <w:rPr>
          <w:rFonts w:ascii="新宋体" w:hAnsi="新宋体" w:eastAsia="新宋体" w:cs="新宋体"/>
          <w:color w:val="auto"/>
          <w:sz w:val="22"/>
          <w:szCs w:val="22"/>
          <w:highlight w:val="none"/>
        </w:rPr>
        <w:t>费用、</w:t>
      </w:r>
      <w:r>
        <w:rPr>
          <w:rFonts w:hint="eastAsia" w:ascii="新宋体" w:hAnsi="新宋体" w:eastAsia="新宋体" w:cs="新宋体"/>
          <w:color w:val="auto"/>
          <w:sz w:val="22"/>
          <w:szCs w:val="22"/>
          <w:highlight w:val="none"/>
        </w:rPr>
        <w:t>导游</w:t>
      </w:r>
      <w:r>
        <w:rPr>
          <w:rFonts w:ascii="新宋体" w:hAnsi="新宋体" w:eastAsia="新宋体" w:cs="新宋体"/>
          <w:color w:val="auto"/>
          <w:sz w:val="22"/>
          <w:szCs w:val="22"/>
          <w:highlight w:val="none"/>
        </w:rPr>
        <w:t>服务费和旅行社其他服务费用、</w:t>
      </w:r>
      <w:r>
        <w:rPr>
          <w:rFonts w:hint="eastAsia" w:ascii="新宋体" w:hAnsi="新宋体" w:eastAsia="新宋体" w:cs="新宋体"/>
          <w:color w:val="auto"/>
          <w:sz w:val="22"/>
          <w:szCs w:val="22"/>
          <w:highlight w:val="none"/>
        </w:rPr>
        <w:t>旅行</w:t>
      </w:r>
      <w:r>
        <w:rPr>
          <w:rFonts w:ascii="新宋体" w:hAnsi="新宋体" w:eastAsia="新宋体" w:cs="新宋体"/>
          <w:color w:val="auto"/>
          <w:sz w:val="22"/>
          <w:szCs w:val="22"/>
          <w:highlight w:val="none"/>
        </w:rPr>
        <w:t>期间各项</w:t>
      </w:r>
      <w:r>
        <w:rPr>
          <w:rFonts w:hint="eastAsia" w:ascii="新宋体" w:hAnsi="新宋体" w:eastAsia="新宋体" w:cs="新宋体"/>
          <w:color w:val="auto"/>
          <w:sz w:val="22"/>
          <w:szCs w:val="22"/>
          <w:highlight w:val="none"/>
        </w:rPr>
        <w:t>保险费</w:t>
      </w:r>
      <w:r>
        <w:rPr>
          <w:rFonts w:ascii="新宋体" w:hAnsi="新宋体" w:eastAsia="新宋体" w:cs="新宋体"/>
          <w:color w:val="auto"/>
          <w:sz w:val="22"/>
          <w:szCs w:val="22"/>
          <w:highlight w:val="none"/>
        </w:rPr>
        <w:t>、其他包括但不限于利润、税费</w:t>
      </w:r>
      <w:r>
        <w:rPr>
          <w:rFonts w:hint="eastAsia" w:ascii="新宋体" w:hAnsi="新宋体" w:eastAsia="新宋体" w:cs="新宋体"/>
          <w:color w:val="auto"/>
          <w:sz w:val="22"/>
          <w:szCs w:val="22"/>
          <w:highlight w:val="none"/>
        </w:rPr>
        <w:t>等相关费用在内）。甲方</w:t>
      </w:r>
      <w:r>
        <w:rPr>
          <w:rFonts w:ascii="新宋体" w:hAnsi="新宋体" w:eastAsia="新宋体" w:cs="新宋体"/>
          <w:color w:val="auto"/>
          <w:sz w:val="22"/>
          <w:szCs w:val="22"/>
          <w:highlight w:val="none"/>
        </w:rPr>
        <w:t>有权对参加本次疗休养活动的人数进行调整，最终按照</w:t>
      </w:r>
      <w:r>
        <w:rPr>
          <w:rFonts w:hint="eastAsia" w:ascii="新宋体" w:hAnsi="新宋体" w:eastAsia="新宋体" w:cs="新宋体"/>
          <w:color w:val="auto"/>
          <w:sz w:val="22"/>
          <w:szCs w:val="22"/>
          <w:highlight w:val="none"/>
        </w:rPr>
        <w:t>出行</w:t>
      </w:r>
      <w:r>
        <w:rPr>
          <w:rFonts w:ascii="新宋体" w:hAnsi="新宋体" w:eastAsia="新宋体" w:cs="新宋体"/>
          <w:color w:val="auto"/>
          <w:sz w:val="22"/>
          <w:szCs w:val="22"/>
          <w:highlight w:val="none"/>
        </w:rPr>
        <w:t>实际人数进行结算。</w:t>
      </w:r>
    </w:p>
    <w:p>
      <w:pPr>
        <w:tabs>
          <w:tab w:val="left" w:pos="525"/>
        </w:tabs>
        <w:spacing w:line="460" w:lineRule="exact"/>
        <w:ind w:firstLine="413" w:firstLineChars="187"/>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w:t>
      </w:r>
      <w:r>
        <w:rPr>
          <w:rFonts w:ascii="新宋体" w:hAnsi="新宋体" w:eastAsia="新宋体" w:cs="新宋体"/>
          <w:b/>
          <w:bCs/>
          <w:color w:val="auto"/>
          <w:sz w:val="22"/>
          <w:szCs w:val="22"/>
          <w:highlight w:val="none"/>
        </w:rPr>
        <w:t>疗休养活动</w:t>
      </w:r>
      <w:r>
        <w:rPr>
          <w:rFonts w:hint="eastAsia" w:ascii="新宋体" w:hAnsi="新宋体" w:eastAsia="新宋体" w:cs="新宋体"/>
          <w:b/>
          <w:bCs/>
          <w:color w:val="auto"/>
          <w:sz w:val="22"/>
          <w:szCs w:val="22"/>
          <w:highlight w:val="none"/>
        </w:rPr>
        <w:t>按批次进行，按批次支付。各批次疗休养行程结束后，</w:t>
      </w:r>
      <w:r>
        <w:rPr>
          <w:rFonts w:hint="eastAsia" w:ascii="新宋体" w:hAnsi="新宋体" w:eastAsia="新宋体" w:cs="新宋体"/>
          <w:b/>
          <w:bCs/>
          <w:color w:val="auto"/>
          <w:sz w:val="22"/>
          <w:szCs w:val="22"/>
          <w:highlight w:val="none"/>
          <w:lang w:eastAsia="zh-CN"/>
        </w:rPr>
        <w:t>乙方</w:t>
      </w:r>
      <w:r>
        <w:rPr>
          <w:rFonts w:ascii="新宋体" w:hAnsi="新宋体" w:eastAsia="新宋体" w:cs="新宋体"/>
          <w:b/>
          <w:bCs/>
          <w:color w:val="auto"/>
          <w:sz w:val="22"/>
          <w:szCs w:val="22"/>
          <w:highlight w:val="none"/>
        </w:rPr>
        <w:t>提供结算函</w:t>
      </w:r>
      <w:r>
        <w:rPr>
          <w:rFonts w:hint="eastAsia" w:ascii="新宋体" w:hAnsi="新宋体" w:eastAsia="新宋体" w:cs="新宋体"/>
          <w:b/>
          <w:bCs/>
          <w:color w:val="auto"/>
          <w:sz w:val="22"/>
          <w:szCs w:val="22"/>
          <w:highlight w:val="none"/>
        </w:rPr>
        <w:t>（附</w:t>
      </w:r>
      <w:r>
        <w:rPr>
          <w:rFonts w:ascii="新宋体" w:hAnsi="新宋体" w:eastAsia="新宋体" w:cs="新宋体"/>
          <w:b/>
          <w:bCs/>
          <w:color w:val="auto"/>
          <w:sz w:val="22"/>
          <w:szCs w:val="22"/>
          <w:highlight w:val="none"/>
        </w:rPr>
        <w:t>本结算批次</w:t>
      </w:r>
      <w:r>
        <w:rPr>
          <w:rFonts w:hint="eastAsia" w:ascii="新宋体" w:hAnsi="新宋体" w:eastAsia="新宋体" w:cs="新宋体"/>
          <w:b/>
          <w:bCs/>
          <w:color w:val="auto"/>
          <w:sz w:val="22"/>
          <w:szCs w:val="22"/>
          <w:highlight w:val="none"/>
        </w:rPr>
        <w:t>的</w:t>
      </w:r>
      <w:r>
        <w:rPr>
          <w:rFonts w:ascii="新宋体" w:hAnsi="新宋体" w:eastAsia="新宋体" w:cs="新宋体"/>
          <w:b/>
          <w:bCs/>
          <w:color w:val="auto"/>
          <w:sz w:val="22"/>
          <w:szCs w:val="22"/>
          <w:highlight w:val="none"/>
        </w:rPr>
        <w:t>人数、总价等</w:t>
      </w:r>
      <w:r>
        <w:rPr>
          <w:rFonts w:hint="eastAsia" w:ascii="新宋体" w:hAnsi="新宋体" w:eastAsia="新宋体" w:cs="新宋体"/>
          <w:b/>
          <w:bCs/>
          <w:color w:val="auto"/>
          <w:sz w:val="22"/>
          <w:szCs w:val="22"/>
          <w:highlight w:val="none"/>
        </w:rPr>
        <w:t>统计</w:t>
      </w:r>
      <w:r>
        <w:rPr>
          <w:rFonts w:ascii="新宋体" w:hAnsi="新宋体" w:eastAsia="新宋体" w:cs="新宋体"/>
          <w:b/>
          <w:bCs/>
          <w:color w:val="auto"/>
          <w:sz w:val="22"/>
          <w:szCs w:val="22"/>
          <w:highlight w:val="none"/>
        </w:rPr>
        <w:t>情况</w:t>
      </w:r>
      <w:r>
        <w:rPr>
          <w:rFonts w:hint="eastAsia" w:ascii="新宋体" w:hAnsi="新宋体" w:eastAsia="新宋体" w:cs="新宋体"/>
          <w:b/>
          <w:bCs/>
          <w:color w:val="auto"/>
          <w:sz w:val="22"/>
          <w:szCs w:val="22"/>
          <w:highlight w:val="none"/>
        </w:rPr>
        <w:t>）</w:t>
      </w:r>
      <w:r>
        <w:rPr>
          <w:rFonts w:ascii="新宋体" w:hAnsi="新宋体" w:eastAsia="新宋体" w:cs="新宋体"/>
          <w:b/>
          <w:bCs/>
          <w:color w:val="auto"/>
          <w:sz w:val="22"/>
          <w:szCs w:val="22"/>
          <w:highlight w:val="none"/>
        </w:rPr>
        <w:t>，经采购人签字同意后，</w:t>
      </w:r>
      <w:r>
        <w:rPr>
          <w:rFonts w:hint="eastAsia" w:ascii="新宋体" w:hAnsi="新宋体" w:eastAsia="新宋体" w:cs="新宋体"/>
          <w:b/>
          <w:bCs/>
          <w:color w:val="auto"/>
          <w:sz w:val="22"/>
          <w:szCs w:val="22"/>
          <w:highlight w:val="none"/>
        </w:rPr>
        <w:t>采购人按批次根据</w:t>
      </w:r>
      <w:r>
        <w:rPr>
          <w:rFonts w:hint="eastAsia" w:ascii="新宋体" w:hAnsi="新宋体" w:eastAsia="新宋体" w:cs="新宋体"/>
          <w:b/>
          <w:bCs/>
          <w:color w:val="auto"/>
          <w:sz w:val="22"/>
          <w:szCs w:val="22"/>
          <w:highlight w:val="none"/>
          <w:lang w:eastAsia="zh-CN"/>
        </w:rPr>
        <w:t>乙方</w:t>
      </w:r>
      <w:r>
        <w:rPr>
          <w:rFonts w:hint="eastAsia" w:ascii="新宋体" w:hAnsi="新宋体" w:eastAsia="新宋体" w:cs="新宋体"/>
          <w:b/>
          <w:bCs/>
          <w:color w:val="auto"/>
          <w:sz w:val="22"/>
          <w:szCs w:val="22"/>
          <w:highlight w:val="none"/>
        </w:rPr>
        <w:t>开具的增值税普通发票，30日内一次性支付该批次合同价款（个人负担</w:t>
      </w:r>
      <w:r>
        <w:rPr>
          <w:rFonts w:ascii="新宋体" w:hAnsi="新宋体" w:eastAsia="新宋体" w:cs="新宋体"/>
          <w:b/>
          <w:bCs/>
          <w:color w:val="auto"/>
          <w:sz w:val="22"/>
          <w:szCs w:val="22"/>
          <w:highlight w:val="none"/>
        </w:rPr>
        <w:t>费用由职工个人与旅行社结算</w:t>
      </w:r>
      <w:r>
        <w:rPr>
          <w:rFonts w:hint="eastAsia" w:ascii="新宋体" w:hAnsi="新宋体" w:eastAsia="新宋体" w:cs="新宋体"/>
          <w:b/>
          <w:bCs/>
          <w:color w:val="auto"/>
          <w:sz w:val="22"/>
          <w:szCs w:val="22"/>
          <w:highlight w:val="none"/>
        </w:rPr>
        <w:t>）。</w:t>
      </w:r>
    </w:p>
    <w:p>
      <w:pPr>
        <w:spacing w:line="460" w:lineRule="exact"/>
        <w:ind w:firstLine="44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本项总预算为</w:t>
      </w:r>
      <w:r>
        <w:rPr>
          <w:rFonts w:hint="eastAsia" w:ascii="新宋体" w:hAnsi="新宋体" w:eastAsia="新宋体" w:cs="新宋体"/>
          <w:b/>
          <w:color w:val="auto"/>
          <w:sz w:val="22"/>
          <w:szCs w:val="22"/>
          <w:highlight w:val="none"/>
        </w:rPr>
        <w:t>人民币</w:t>
      </w:r>
      <w:r>
        <w:rPr>
          <w:rFonts w:hint="eastAsia" w:ascii="新宋体" w:hAnsi="新宋体" w:eastAsia="新宋体" w:cs="新宋体"/>
          <w:b/>
          <w:color w:val="auto"/>
          <w:sz w:val="22"/>
          <w:szCs w:val="22"/>
          <w:highlight w:val="none"/>
          <w:lang w:val="en-US" w:eastAsia="zh-CN"/>
        </w:rPr>
        <w:t>壹拾柒万</w:t>
      </w:r>
      <w:r>
        <w:rPr>
          <w:rFonts w:hint="eastAsia" w:ascii="新宋体" w:hAnsi="新宋体" w:eastAsia="新宋体" w:cs="新宋体"/>
          <w:b/>
          <w:color w:val="auto"/>
          <w:sz w:val="22"/>
          <w:szCs w:val="22"/>
          <w:highlight w:val="none"/>
        </w:rPr>
        <w:t>万元整（¥</w:t>
      </w:r>
      <w:r>
        <w:rPr>
          <w:rFonts w:hint="eastAsia" w:ascii="新宋体" w:hAnsi="新宋体" w:eastAsia="新宋体" w:cs="新宋体"/>
          <w:b/>
          <w:color w:val="auto"/>
          <w:sz w:val="22"/>
          <w:szCs w:val="22"/>
          <w:highlight w:val="none"/>
          <w:lang w:val="en-US" w:eastAsia="zh-CN"/>
        </w:rPr>
        <w:t>17</w:t>
      </w:r>
      <w:r>
        <w:rPr>
          <w:rFonts w:hint="eastAsia" w:ascii="新宋体" w:hAnsi="新宋体" w:eastAsia="新宋体" w:cs="新宋体"/>
          <w:b/>
          <w:color w:val="auto"/>
          <w:sz w:val="22"/>
          <w:szCs w:val="22"/>
          <w:highlight w:val="none"/>
        </w:rPr>
        <w:t>0000.00元），总预算为甲方负担费用的总和。</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八、旅游的交通工具：</w:t>
      </w:r>
    </w:p>
    <w:p>
      <w:pPr>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乙方为甲方提供交通工具。________、________、________等交通工具都由乙方联系、提供，</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并保证甲方的旅游安全。 </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九、乙方的权利义务及违约金：</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1、核实</w:t>
      </w:r>
      <w:r>
        <w:rPr>
          <w:rFonts w:ascii="新宋体" w:hAnsi="新宋体" w:eastAsia="新宋体" w:cs="新宋体"/>
          <w:color w:val="auto"/>
          <w:sz w:val="22"/>
          <w:szCs w:val="22"/>
          <w:highlight w:val="none"/>
        </w:rPr>
        <w:t>甲方提供的相关信息资料</w:t>
      </w:r>
      <w:r>
        <w:rPr>
          <w:rFonts w:hint="eastAsia" w:ascii="新宋体" w:hAnsi="新宋体" w:eastAsia="新宋体" w:cs="新宋体"/>
          <w:color w:val="auto"/>
          <w:sz w:val="22"/>
          <w:szCs w:val="22"/>
          <w:highlight w:val="none"/>
        </w:rPr>
        <w:t>。</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2、</w:t>
      </w:r>
      <w:r>
        <w:rPr>
          <w:rFonts w:ascii="新宋体" w:hAnsi="新宋体" w:eastAsia="新宋体" w:cs="新宋体"/>
          <w:color w:val="auto"/>
          <w:sz w:val="22"/>
          <w:szCs w:val="22"/>
          <w:highlight w:val="none"/>
        </w:rPr>
        <w:t>按照合同约定向甲方收取疗休养费用。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疗休养团队遇</w:t>
      </w:r>
      <w:r>
        <w:rPr>
          <w:rFonts w:hint="eastAsia" w:ascii="新宋体" w:hAnsi="新宋体" w:eastAsia="新宋体" w:cs="新宋体"/>
          <w:color w:val="auto"/>
          <w:sz w:val="22"/>
          <w:szCs w:val="22"/>
          <w:highlight w:val="none"/>
        </w:rPr>
        <w:t>紧急</w:t>
      </w:r>
      <w:r>
        <w:rPr>
          <w:rFonts w:ascii="新宋体" w:hAnsi="新宋体" w:eastAsia="新宋体" w:cs="新宋体"/>
          <w:color w:val="auto"/>
          <w:sz w:val="22"/>
          <w:szCs w:val="22"/>
          <w:highlight w:val="none"/>
        </w:rPr>
        <w:t>情况时，可以采取安全防范措施和紧急避险措施并要求甲方配合。</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rPr>
        <w:t>甲方</w:t>
      </w:r>
      <w:r>
        <w:rPr>
          <w:rFonts w:ascii="新宋体" w:hAnsi="新宋体" w:eastAsia="新宋体" w:cs="新宋体"/>
          <w:color w:val="auto"/>
          <w:sz w:val="22"/>
          <w:szCs w:val="22"/>
          <w:highlight w:val="none"/>
        </w:rPr>
        <w:t>健康、文明疗休养，劝阻甲方违法和违反社会公德的行为。</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、按照</w:t>
      </w:r>
      <w:r>
        <w:rPr>
          <w:rFonts w:ascii="新宋体" w:hAnsi="新宋体" w:eastAsia="新宋体" w:cs="新宋体"/>
          <w:color w:val="auto"/>
          <w:sz w:val="22"/>
          <w:szCs w:val="22"/>
          <w:highlight w:val="none"/>
        </w:rPr>
        <w:t>合同个约定的内容和标准为甲方提供服务，</w:t>
      </w:r>
      <w:r>
        <w:rPr>
          <w:rFonts w:hint="eastAsia" w:ascii="新宋体" w:hAnsi="新宋体" w:eastAsia="新宋体" w:cs="新宋体"/>
          <w:color w:val="auto"/>
          <w:sz w:val="22"/>
          <w:szCs w:val="22"/>
          <w:highlight w:val="none"/>
        </w:rPr>
        <w:t>未经甲方同意不得擅自变更疗休养</w:t>
      </w:r>
      <w:r>
        <w:rPr>
          <w:rFonts w:ascii="新宋体" w:hAnsi="新宋体" w:eastAsia="新宋体" w:cs="新宋体"/>
          <w:color w:val="auto"/>
          <w:sz w:val="22"/>
          <w:szCs w:val="22"/>
          <w:highlight w:val="none"/>
        </w:rPr>
        <w:t>行程、酒店、餐饮安排；在疗休养过程中维护甲方人员的人身财产权益，承担相应的安全保障责任。</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6、向</w:t>
      </w:r>
      <w:r>
        <w:rPr>
          <w:rFonts w:ascii="新宋体" w:hAnsi="新宋体" w:eastAsia="新宋体" w:cs="新宋体"/>
          <w:color w:val="auto"/>
          <w:sz w:val="22"/>
          <w:szCs w:val="22"/>
          <w:highlight w:val="none"/>
        </w:rPr>
        <w:t>合格的供应商订购产品和服务；不以不合理的低价组织疗休养活动，诱骗甲方，并通过安排购物或者另行付费疗休养项目获取回扣等不正当利益</w:t>
      </w:r>
      <w:r>
        <w:rPr>
          <w:rFonts w:hint="eastAsia" w:ascii="新宋体" w:hAnsi="新宋体" w:eastAsia="新宋体" w:cs="新宋体"/>
          <w:color w:val="auto"/>
          <w:sz w:val="22"/>
          <w:szCs w:val="22"/>
          <w:highlight w:val="none"/>
        </w:rPr>
        <w:t>。</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t>、组织</w:t>
      </w:r>
      <w:r>
        <w:rPr>
          <w:rFonts w:ascii="新宋体" w:hAnsi="新宋体" w:eastAsia="新宋体" w:cs="新宋体"/>
          <w:color w:val="auto"/>
          <w:sz w:val="22"/>
          <w:szCs w:val="22"/>
          <w:highlight w:val="none"/>
        </w:rPr>
        <w:t>、接待甲方，不指定具体购物场所，不安排</w:t>
      </w:r>
      <w:r>
        <w:rPr>
          <w:rFonts w:hint="eastAsia" w:ascii="新宋体" w:hAnsi="新宋体" w:eastAsia="新宋体" w:cs="新宋体"/>
          <w:color w:val="auto"/>
          <w:sz w:val="22"/>
          <w:szCs w:val="22"/>
          <w:highlight w:val="none"/>
        </w:rPr>
        <w:t>另行</w:t>
      </w:r>
      <w:r>
        <w:rPr>
          <w:rFonts w:ascii="新宋体" w:hAnsi="新宋体" w:eastAsia="新宋体" w:cs="新宋体"/>
          <w:color w:val="auto"/>
          <w:sz w:val="22"/>
          <w:szCs w:val="22"/>
          <w:highlight w:val="none"/>
        </w:rPr>
        <w:t>付费疗休养项目，但是，经双方协商一致或者甲方要求，且不影响</w:t>
      </w:r>
      <w:r>
        <w:rPr>
          <w:rFonts w:hint="eastAsia" w:ascii="新宋体" w:hAnsi="新宋体" w:eastAsia="新宋体" w:cs="新宋体"/>
          <w:color w:val="auto"/>
          <w:sz w:val="22"/>
          <w:szCs w:val="22"/>
          <w:highlight w:val="none"/>
        </w:rPr>
        <w:t>其他</w:t>
      </w:r>
      <w:r>
        <w:rPr>
          <w:rFonts w:ascii="新宋体" w:hAnsi="新宋体" w:eastAsia="新宋体" w:cs="新宋体"/>
          <w:color w:val="auto"/>
          <w:sz w:val="22"/>
          <w:szCs w:val="22"/>
          <w:highlight w:val="none"/>
        </w:rPr>
        <w:t>游客行程安排的除外。</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在出团前如实告知具体行程安排和有关具体事项，具体事项包括但不限于所到疗休养目的地的属地规定、风俗习惯；疗休养活动中的安全注意事项和安全避险措施、甲方不适合参加疗休养活动的情形；乙方已发可以减免责任的信息；应急联络方式以及法律、法规规定的其他应当告知的事项。</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t>、按照</w:t>
      </w:r>
      <w:r>
        <w:rPr>
          <w:rFonts w:ascii="新宋体" w:hAnsi="新宋体" w:eastAsia="新宋体" w:cs="新宋体"/>
          <w:color w:val="auto"/>
          <w:sz w:val="22"/>
          <w:szCs w:val="22"/>
          <w:highlight w:val="none"/>
        </w:rPr>
        <w:t>合同约定个，为甲方安排符合《</w:t>
      </w:r>
      <w:r>
        <w:rPr>
          <w:rFonts w:hint="eastAsia" w:ascii="新宋体" w:hAnsi="新宋体" w:eastAsia="新宋体" w:cs="新宋体"/>
          <w:color w:val="auto"/>
          <w:sz w:val="22"/>
          <w:szCs w:val="22"/>
          <w:highlight w:val="none"/>
        </w:rPr>
        <w:t>中华</w:t>
      </w:r>
      <w:r>
        <w:rPr>
          <w:rFonts w:ascii="新宋体" w:hAnsi="新宋体" w:eastAsia="新宋体" w:cs="新宋体"/>
          <w:color w:val="auto"/>
          <w:sz w:val="22"/>
          <w:szCs w:val="22"/>
          <w:highlight w:val="none"/>
        </w:rPr>
        <w:t>人民共和国旅游法》</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导游</w:t>
      </w:r>
      <w:r>
        <w:rPr>
          <w:rFonts w:ascii="新宋体" w:hAnsi="新宋体" w:eastAsia="新宋体" w:cs="新宋体"/>
          <w:color w:val="auto"/>
          <w:sz w:val="22"/>
          <w:szCs w:val="22"/>
          <w:highlight w:val="none"/>
        </w:rPr>
        <w:t>人员管理条例》</w:t>
      </w:r>
      <w:r>
        <w:rPr>
          <w:rFonts w:hint="eastAsia" w:ascii="新宋体" w:hAnsi="新宋体" w:eastAsia="新宋体" w:cs="新宋体"/>
          <w:color w:val="auto"/>
          <w:sz w:val="22"/>
          <w:szCs w:val="22"/>
          <w:highlight w:val="none"/>
        </w:rPr>
        <w:t>规定</w:t>
      </w:r>
      <w:r>
        <w:rPr>
          <w:rFonts w:ascii="新宋体" w:hAnsi="新宋体" w:eastAsia="新宋体" w:cs="新宋体"/>
          <w:color w:val="auto"/>
          <w:sz w:val="22"/>
          <w:szCs w:val="22"/>
          <w:highlight w:val="none"/>
        </w:rPr>
        <w:t>的持证导游人员。</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妥善保管甲方交其代管的证件、行李等物品。</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t>、为</w:t>
      </w:r>
      <w:r>
        <w:rPr>
          <w:rFonts w:ascii="新宋体" w:hAnsi="新宋体" w:eastAsia="新宋体" w:cs="新宋体"/>
          <w:color w:val="auto"/>
          <w:sz w:val="22"/>
          <w:szCs w:val="22"/>
          <w:highlight w:val="none"/>
        </w:rPr>
        <w:t>甲方发放用固定格式书写、由甲方填写的安全信息卡（</w:t>
      </w:r>
      <w:r>
        <w:rPr>
          <w:rFonts w:hint="eastAsia" w:ascii="新宋体" w:hAnsi="新宋体" w:eastAsia="新宋体" w:cs="新宋体"/>
          <w:color w:val="auto"/>
          <w:sz w:val="22"/>
          <w:szCs w:val="22"/>
          <w:highlight w:val="none"/>
        </w:rPr>
        <w:t>包括</w:t>
      </w:r>
      <w:r>
        <w:rPr>
          <w:rFonts w:ascii="新宋体" w:hAnsi="新宋体" w:eastAsia="新宋体" w:cs="新宋体"/>
          <w:color w:val="auto"/>
          <w:sz w:val="22"/>
          <w:szCs w:val="22"/>
          <w:highlight w:val="none"/>
        </w:rPr>
        <w:t>甲方的姓名、血型、应急联络方式等）</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甲方人身、财产权益受到损害时，应当采取合理必要的保护和救助措施，避免甲方人身、财产权益损失扩大。</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t>乙方提供旅行社责任险及个人旅游人身意外险，包括但不限于旅行社责任险和个人旅游人身意外险（个人旅游人身意外险保额不少于100万），疗休养期间所有的安全责任由乙方承担。</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疗休养行程中解除合同的，乙方应当将</w:t>
      </w:r>
      <w:r>
        <w:rPr>
          <w:rFonts w:hint="eastAsia" w:ascii="新宋体" w:hAnsi="新宋体" w:eastAsia="新宋体" w:cs="新宋体"/>
          <w:color w:val="auto"/>
          <w:sz w:val="22"/>
          <w:szCs w:val="22"/>
          <w:highlight w:val="none"/>
        </w:rPr>
        <w:t>甲方</w:t>
      </w:r>
      <w:r>
        <w:rPr>
          <w:rFonts w:ascii="新宋体" w:hAnsi="新宋体" w:eastAsia="新宋体" w:cs="新宋体"/>
          <w:color w:val="auto"/>
          <w:sz w:val="22"/>
          <w:szCs w:val="22"/>
          <w:highlight w:val="none"/>
        </w:rPr>
        <w:t>人员带回出发地或者甲方指定的合理地点，由于乙方的原因导致合同解除的，返程费用由乙方承担。</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14</w:t>
      </w:r>
      <w:r>
        <w:rPr>
          <w:rFonts w:hint="eastAsia" w:ascii="新宋体" w:hAnsi="新宋体" w:eastAsia="新宋体" w:cs="新宋体"/>
          <w:color w:val="auto"/>
          <w:sz w:val="22"/>
          <w:szCs w:val="22"/>
          <w:highlight w:val="none"/>
        </w:rPr>
        <w:t>、依法</w:t>
      </w:r>
      <w:r>
        <w:rPr>
          <w:rFonts w:ascii="新宋体" w:hAnsi="新宋体" w:eastAsia="新宋体" w:cs="新宋体"/>
          <w:color w:val="auto"/>
          <w:sz w:val="22"/>
          <w:szCs w:val="22"/>
          <w:highlight w:val="none"/>
        </w:rPr>
        <w:t>对甲方的个人信息保密。</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疗休养期间所有</w:t>
      </w:r>
      <w:r>
        <w:rPr>
          <w:rFonts w:hint="eastAsia" w:ascii="新宋体" w:hAnsi="新宋体" w:eastAsia="新宋体" w:cs="新宋体"/>
          <w:color w:val="auto"/>
          <w:sz w:val="22"/>
          <w:szCs w:val="22"/>
          <w:highlight w:val="none"/>
        </w:rPr>
        <w:t>的</w:t>
      </w:r>
      <w:r>
        <w:rPr>
          <w:rFonts w:ascii="新宋体" w:hAnsi="新宋体" w:eastAsia="新宋体" w:cs="新宋体"/>
          <w:color w:val="auto"/>
          <w:sz w:val="22"/>
          <w:szCs w:val="22"/>
          <w:highlight w:val="none"/>
        </w:rPr>
        <w:t>安全责任由乙方承担。</w:t>
      </w:r>
      <w:r>
        <w:rPr>
          <w:rFonts w:hint="eastAsia" w:ascii="新宋体" w:hAnsi="新宋体" w:eastAsia="新宋体" w:cs="新宋体"/>
          <w:color w:val="auto"/>
          <w:sz w:val="22"/>
          <w:szCs w:val="22"/>
          <w:highlight w:val="none"/>
        </w:rPr>
        <w:t>由于地接社、履行辅助人的原因造成甲方人身损害、财产损失的，甲方可以要求地接社、履行辅助人承担赔偿责任，也可以要求乙方承担赔偿责任。因乙方不履行协助义务致使甲方人身、财产权益损失扩大的，乙方还应当就扩大的损失承担赔偿责任。</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乙方不得将本项目疗休养服务转包、分包。</w:t>
      </w:r>
    </w:p>
    <w:p>
      <w:pPr>
        <w:tabs>
          <w:tab w:val="left" w:pos="525"/>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17、乙方未经甲方同意不得擅自更改疗休养景点和缩短疗休养时间；不得擅自降低疗休养方案标准（包括但不限于住宿、餐饮、交通工具、导游等实质性内容）；</w:t>
      </w:r>
      <w:r>
        <w:rPr>
          <w:rFonts w:ascii="新宋体" w:hAnsi="新宋体" w:eastAsia="新宋体" w:cs="新宋体"/>
          <w:color w:val="auto"/>
          <w:sz w:val="22"/>
          <w:szCs w:val="22"/>
          <w:highlight w:val="none"/>
        </w:rPr>
        <w:t>不得通过安排购物或者另行付费疗休养项目获得回扣等不正当利益</w:t>
      </w:r>
      <w:r>
        <w:rPr>
          <w:rFonts w:hint="eastAsia" w:ascii="新宋体" w:hAnsi="新宋体" w:eastAsia="新宋体" w:cs="新宋体"/>
          <w:color w:val="auto"/>
          <w:sz w:val="22"/>
          <w:szCs w:val="22"/>
          <w:highlight w:val="none"/>
        </w:rPr>
        <w:t>。如乙方违反约定，应每次向甲方赔偿当批次疗休养费用总额</w:t>
      </w:r>
      <w:r>
        <w:rPr>
          <w:rFonts w:hint="eastAsia" w:ascii="新宋体" w:hAnsi="新宋体" w:eastAsia="新宋体" w:cs="新宋体"/>
          <w:color w:val="auto"/>
          <w:sz w:val="22"/>
          <w:szCs w:val="22"/>
          <w:highlight w:val="none"/>
          <w:u w:val="single"/>
        </w:rPr>
        <w:t>3</w:t>
      </w:r>
      <w:r>
        <w:rPr>
          <w:rFonts w:ascii="新宋体" w:hAnsi="新宋体" w:eastAsia="新宋体" w:cs="新宋体"/>
          <w:color w:val="auto"/>
          <w:sz w:val="22"/>
          <w:szCs w:val="22"/>
          <w:highlight w:val="none"/>
          <w:u w:val="single"/>
        </w:rPr>
        <w:t>0</w:t>
      </w:r>
      <w:r>
        <w:rPr>
          <w:rFonts w:hint="eastAsia" w:ascii="新宋体" w:hAnsi="新宋体" w:eastAsia="新宋体" w:cs="新宋体"/>
          <w:color w:val="auto"/>
          <w:sz w:val="22"/>
          <w:szCs w:val="22"/>
          <w:highlight w:val="none"/>
        </w:rPr>
        <w:t>_% 的违约金，同时甲方有权要求乙方按约定继续完成疗休养服务。乙方</w:t>
      </w:r>
      <w:r>
        <w:rPr>
          <w:rFonts w:ascii="新宋体" w:hAnsi="新宋体" w:eastAsia="新宋体" w:cs="新宋体"/>
          <w:color w:val="auto"/>
          <w:sz w:val="22"/>
          <w:szCs w:val="22"/>
          <w:highlight w:val="none"/>
        </w:rPr>
        <w:t>在出发前通知甲方拒绝提供疗休养服务的，</w:t>
      </w:r>
      <w:r>
        <w:rPr>
          <w:rFonts w:hint="eastAsia" w:ascii="新宋体" w:hAnsi="新宋体" w:eastAsia="新宋体" w:cs="新宋体"/>
          <w:color w:val="auto"/>
          <w:sz w:val="22"/>
          <w:szCs w:val="22"/>
          <w:highlight w:val="none"/>
        </w:rPr>
        <w:t>甲方可以选择</w:t>
      </w:r>
      <w:r>
        <w:rPr>
          <w:rFonts w:ascii="新宋体" w:hAnsi="新宋体" w:eastAsia="新宋体" w:cs="新宋体"/>
          <w:color w:val="auto"/>
          <w:sz w:val="22"/>
          <w:szCs w:val="22"/>
          <w:highlight w:val="none"/>
        </w:rPr>
        <w:t>其他旅行社</w:t>
      </w:r>
      <w:r>
        <w:rPr>
          <w:rFonts w:hint="eastAsia" w:ascii="新宋体" w:hAnsi="新宋体" w:eastAsia="新宋体" w:cs="新宋体"/>
          <w:color w:val="auto"/>
          <w:sz w:val="22"/>
          <w:szCs w:val="22"/>
          <w:highlight w:val="none"/>
        </w:rPr>
        <w:t>按</w:t>
      </w:r>
      <w:r>
        <w:rPr>
          <w:rFonts w:ascii="新宋体" w:hAnsi="新宋体" w:eastAsia="新宋体" w:cs="新宋体"/>
          <w:color w:val="auto"/>
          <w:sz w:val="22"/>
          <w:szCs w:val="22"/>
          <w:highlight w:val="none"/>
        </w:rPr>
        <w:t>原定</w:t>
      </w:r>
      <w:r>
        <w:rPr>
          <w:rFonts w:hint="eastAsia" w:ascii="新宋体" w:hAnsi="新宋体" w:eastAsia="新宋体" w:cs="新宋体"/>
          <w:color w:val="auto"/>
          <w:sz w:val="22"/>
          <w:szCs w:val="22"/>
          <w:highlight w:val="none"/>
        </w:rPr>
        <w:t>行程</w:t>
      </w:r>
      <w:r>
        <w:rPr>
          <w:rFonts w:ascii="新宋体" w:hAnsi="新宋体" w:eastAsia="新宋体" w:cs="新宋体"/>
          <w:color w:val="auto"/>
          <w:sz w:val="22"/>
          <w:szCs w:val="22"/>
          <w:highlight w:val="none"/>
        </w:rPr>
        <w:t>出游</w:t>
      </w:r>
      <w:r>
        <w:rPr>
          <w:rFonts w:hint="eastAsia" w:ascii="新宋体" w:hAnsi="新宋体" w:eastAsia="新宋体" w:cs="新宋体"/>
          <w:color w:val="auto"/>
          <w:sz w:val="22"/>
          <w:szCs w:val="22"/>
          <w:highlight w:val="none"/>
        </w:rPr>
        <w:t>，支出费用由乙方承担。乙方</w:t>
      </w:r>
      <w:r>
        <w:rPr>
          <w:rFonts w:ascii="新宋体" w:hAnsi="新宋体" w:eastAsia="新宋体" w:cs="新宋体"/>
          <w:color w:val="auto"/>
          <w:sz w:val="22"/>
          <w:szCs w:val="22"/>
          <w:highlight w:val="none"/>
        </w:rPr>
        <w:t>在出发后通知甲方拒绝提供部分疗休养服务的，甲方可以选择</w:t>
      </w:r>
      <w:r>
        <w:rPr>
          <w:rFonts w:hint="eastAsia" w:ascii="新宋体" w:hAnsi="新宋体" w:eastAsia="新宋体" w:cs="新宋体"/>
          <w:color w:val="auto"/>
          <w:sz w:val="22"/>
          <w:szCs w:val="22"/>
          <w:highlight w:val="none"/>
        </w:rPr>
        <w:t>乘坐</w:t>
      </w:r>
      <w:r>
        <w:rPr>
          <w:rFonts w:ascii="新宋体" w:hAnsi="新宋体" w:eastAsia="新宋体" w:cs="新宋体"/>
          <w:color w:val="auto"/>
          <w:sz w:val="22"/>
          <w:szCs w:val="22"/>
          <w:highlight w:val="none"/>
        </w:rPr>
        <w:t>其他交通方式前往原定疗休养景点，支出费用由乙方承担</w:t>
      </w:r>
      <w:r>
        <w:rPr>
          <w:rFonts w:hint="eastAsia" w:ascii="新宋体" w:hAnsi="新宋体" w:eastAsia="新宋体" w:cs="新宋体"/>
          <w:color w:val="auto"/>
          <w:sz w:val="22"/>
          <w:szCs w:val="22"/>
          <w:highlight w:val="none"/>
        </w:rPr>
        <w:t>，且乙方不得以此拒绝承担安全保障和维护责任；乙方自行增加游览景点的，增加的费用由乙方承担。事后甲方有权解除合同。</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t>、乙方不得擅自变更或解除合同，否则按约定赔偿甲方合同总额</w:t>
      </w:r>
      <w:r>
        <w:rPr>
          <w:rFonts w:hint="eastAsia" w:ascii="新宋体" w:hAnsi="新宋体" w:eastAsia="新宋体" w:cs="新宋体"/>
          <w:color w:val="auto"/>
          <w:sz w:val="22"/>
          <w:szCs w:val="22"/>
          <w:highlight w:val="none"/>
          <w:u w:val="single"/>
        </w:rPr>
        <w:t>30</w:t>
      </w:r>
      <w:r>
        <w:rPr>
          <w:rFonts w:hint="eastAsia" w:ascii="新宋体" w:hAnsi="新宋体" w:eastAsia="新宋体" w:cs="新宋体"/>
          <w:color w:val="auto"/>
          <w:sz w:val="22"/>
          <w:szCs w:val="22"/>
          <w:highlight w:val="none"/>
        </w:rPr>
        <w:t>％的违约金。</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t>、</w:t>
      </w:r>
      <w:r>
        <w:rPr>
          <w:rFonts w:hint="eastAsia" w:ascii="宋体" w:hAnsi="宋体"/>
          <w:color w:val="auto"/>
          <w:sz w:val="22"/>
          <w:szCs w:val="22"/>
          <w:highlight w:val="none"/>
        </w:rPr>
        <w:t>每次完成当次疗养服务后，必须让出行代表填写《满意度调查表》，当次调查表出团人员10%（含）以上出现差评时，应扣除当次出行费用的5%至10%（具体扣除费用由采购人确定）</w:t>
      </w:r>
    </w:p>
    <w:p>
      <w:pPr>
        <w:spacing w:line="460" w:lineRule="exact"/>
        <w:ind w:firstLine="442" w:firstLineChars="200"/>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十、甲方的权利义务及违约金：</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1、如实</w:t>
      </w:r>
      <w:r>
        <w:rPr>
          <w:rFonts w:ascii="新宋体" w:hAnsi="新宋体" w:eastAsia="新宋体" w:cs="新宋体"/>
          <w:color w:val="auto"/>
          <w:sz w:val="22"/>
          <w:szCs w:val="22"/>
          <w:highlight w:val="none"/>
        </w:rPr>
        <w:t>填写旅行社要求填</w:t>
      </w:r>
      <w:r>
        <w:rPr>
          <w:rFonts w:hint="eastAsia" w:ascii="新宋体" w:hAnsi="新宋体" w:eastAsia="新宋体" w:cs="新宋体"/>
          <w:color w:val="auto"/>
          <w:sz w:val="22"/>
          <w:szCs w:val="22"/>
          <w:highlight w:val="none"/>
        </w:rPr>
        <w:t>卡</w:t>
      </w:r>
      <w:r>
        <w:rPr>
          <w:rFonts w:ascii="新宋体" w:hAnsi="新宋体" w:eastAsia="新宋体" w:cs="新宋体"/>
          <w:color w:val="auto"/>
          <w:sz w:val="22"/>
          <w:szCs w:val="22"/>
          <w:highlight w:val="none"/>
        </w:rPr>
        <w:t>写的游客安全信息等各项内容，告知与疗休养活动相关的个人健康信息，并对其真实性负责，保证</w:t>
      </w:r>
      <w:r>
        <w:rPr>
          <w:rFonts w:hint="eastAsia" w:ascii="新宋体" w:hAnsi="新宋体" w:eastAsia="新宋体" w:cs="新宋体"/>
          <w:color w:val="auto"/>
          <w:sz w:val="22"/>
          <w:szCs w:val="22"/>
          <w:highlight w:val="none"/>
        </w:rPr>
        <w:t>所</w:t>
      </w:r>
      <w:r>
        <w:rPr>
          <w:rFonts w:ascii="新宋体" w:hAnsi="新宋体" w:eastAsia="新宋体" w:cs="新宋体"/>
          <w:color w:val="auto"/>
          <w:sz w:val="22"/>
          <w:szCs w:val="22"/>
          <w:highlight w:val="none"/>
        </w:rPr>
        <w:t>提供的联系方式准确无误且能及时联系。</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按照合同约定支付疗休养费用。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、遵守法律</w:t>
      </w:r>
      <w:r>
        <w:rPr>
          <w:rFonts w:ascii="新宋体" w:hAnsi="新宋体" w:eastAsia="新宋体" w:cs="新宋体"/>
          <w:color w:val="auto"/>
          <w:sz w:val="22"/>
          <w:szCs w:val="22"/>
          <w:highlight w:val="none"/>
        </w:rPr>
        <w:t>、法规和</w:t>
      </w:r>
      <w:r>
        <w:rPr>
          <w:rFonts w:hint="eastAsia" w:ascii="新宋体" w:hAnsi="新宋体" w:eastAsia="新宋体" w:cs="新宋体"/>
          <w:color w:val="auto"/>
          <w:sz w:val="22"/>
          <w:szCs w:val="22"/>
          <w:highlight w:val="none"/>
        </w:rPr>
        <w:t>有关</w:t>
      </w:r>
      <w:r>
        <w:rPr>
          <w:rFonts w:ascii="新宋体" w:hAnsi="新宋体" w:eastAsia="新宋体" w:cs="新宋体"/>
          <w:color w:val="auto"/>
          <w:sz w:val="22"/>
          <w:szCs w:val="22"/>
          <w:highlight w:val="none"/>
        </w:rPr>
        <w:t>规定，不在疗休养行程中从事违法活动，不参与色情、赌博和涉毒活动。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遵守公共秩序和社会公德，遵守疗休养目的地的风俗习惯，文化传统和</w:t>
      </w:r>
      <w:r>
        <w:rPr>
          <w:rFonts w:hint="eastAsia" w:ascii="新宋体" w:hAnsi="新宋体" w:eastAsia="新宋体" w:cs="新宋体"/>
          <w:color w:val="auto"/>
          <w:sz w:val="22"/>
          <w:szCs w:val="22"/>
          <w:highlight w:val="none"/>
        </w:rPr>
        <w:t>宗教信仰</w:t>
      </w:r>
      <w:r>
        <w:rPr>
          <w:rFonts w:ascii="新宋体" w:hAnsi="新宋体" w:eastAsia="新宋体" w:cs="新宋体"/>
          <w:color w:val="auto"/>
          <w:sz w:val="22"/>
          <w:szCs w:val="22"/>
          <w:highlight w:val="none"/>
        </w:rPr>
        <w:t>，爱护疗休养资源，保护生态环境，遵守《</w:t>
      </w:r>
      <w:r>
        <w:rPr>
          <w:rFonts w:hint="eastAsia" w:ascii="新宋体" w:hAnsi="新宋体" w:eastAsia="新宋体" w:cs="新宋体"/>
          <w:color w:val="auto"/>
          <w:sz w:val="22"/>
          <w:szCs w:val="22"/>
          <w:highlight w:val="none"/>
        </w:rPr>
        <w:t>中国</w:t>
      </w:r>
      <w:r>
        <w:rPr>
          <w:rFonts w:ascii="新宋体" w:hAnsi="新宋体" w:eastAsia="新宋体" w:cs="新宋体"/>
          <w:color w:val="auto"/>
          <w:sz w:val="22"/>
          <w:szCs w:val="22"/>
          <w:highlight w:val="none"/>
        </w:rPr>
        <w:t>公民国内旅游文明行为公约》</w:t>
      </w:r>
      <w:r>
        <w:rPr>
          <w:rFonts w:hint="eastAsia" w:ascii="新宋体" w:hAnsi="新宋体" w:eastAsia="新宋体" w:cs="新宋体"/>
          <w:color w:val="auto"/>
          <w:sz w:val="22"/>
          <w:szCs w:val="22"/>
          <w:highlight w:val="none"/>
        </w:rPr>
        <w:t>等</w:t>
      </w:r>
      <w:r>
        <w:rPr>
          <w:rFonts w:ascii="新宋体" w:hAnsi="新宋体" w:eastAsia="新宋体" w:cs="新宋体"/>
          <w:color w:val="auto"/>
          <w:sz w:val="22"/>
          <w:szCs w:val="22"/>
          <w:highlight w:val="none"/>
        </w:rPr>
        <w:t>文明行为规范。</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对国家应对重大突发事件暂时限制旅游或疗休养活动的措施</w:t>
      </w:r>
      <w:r>
        <w:rPr>
          <w:rFonts w:hint="eastAsia" w:ascii="新宋体" w:hAnsi="新宋体" w:eastAsia="新宋体" w:cs="新宋体"/>
          <w:color w:val="auto"/>
          <w:sz w:val="22"/>
          <w:szCs w:val="22"/>
          <w:highlight w:val="none"/>
        </w:rPr>
        <w:t>以及</w:t>
      </w:r>
      <w:r>
        <w:rPr>
          <w:rFonts w:ascii="新宋体" w:hAnsi="新宋体" w:eastAsia="新宋体" w:cs="新宋体"/>
          <w:color w:val="auto"/>
          <w:sz w:val="22"/>
          <w:szCs w:val="22"/>
          <w:highlight w:val="none"/>
        </w:rPr>
        <w:t>有关部门、机构或者旅游经营者采取的安全防范和应急处置措施予以配合。</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、妥善保管自己的行李物品。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t>、在疗休养活动中或者在解决纠纷时，应采取措施防止损失扩大，不损害当地居民的合法权益；不干扰他人的旅游活动：不损害旅游经营者和旅游从业人员的合法权益。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rPr>
        <w:t>、甲方应遵守乙方安排在本次旅游当中的安全事项及其他合理要求，不得擅自单独行动。自行安排活动期间，应当在自己能够控制风险的范围内选择活动项目，遵守疗休养活动中的安全警示规定。</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t>、甲方应遵守乙方在本次疗休养当中设定的安全事项及其他合理要求，不得擅自单独行动。</w:t>
      </w: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十一、不可抗力</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1、在服务期间发生地震等双方不能预料和不可抗力的自然灾害导致承包区不能正常经营，合同不能或不能全部履行。双方可以按以下内容执行：</w:t>
      </w:r>
    </w:p>
    <w:p>
      <w:pPr>
        <w:tabs>
          <w:tab w:val="left" w:pos="-1080"/>
        </w:tabs>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1.1任何一方可以书面形式终止合同无需作出任何赔偿。</w:t>
      </w:r>
    </w:p>
    <w:p>
      <w:pPr>
        <w:tabs>
          <w:tab w:val="left" w:pos="-1080"/>
        </w:tabs>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1.2因不可抗力导致合同终止，并不影响任何一方对不可抗力先前发生的违约行为合法追偿。</w:t>
      </w:r>
    </w:p>
    <w:p>
      <w:pPr>
        <w:tabs>
          <w:tab w:val="left" w:pos="-1080"/>
        </w:tabs>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1.3乙方不负责因不可抗力造成合同不能正常履行的责任。</w:t>
      </w:r>
    </w:p>
    <w:p>
      <w:pPr>
        <w:tabs>
          <w:tab w:val="left" w:pos="-1080"/>
        </w:tabs>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1.4因不可抗力造成甲方的损害，甲方的保险赔偿不受影响。对恢复承包合同期的价格及其它费用双方可以协商解决。</w:t>
      </w: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十二、其他</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1、由于甲方原因导致人员发生的事故由甲方自行全权负责，乙方不承担任何责任及经济责任。在甲方的责任区内由于甲方原因导致第三方的事故由甲方负责，乙方不承担任何责任及经济责任。</w:t>
      </w:r>
    </w:p>
    <w:p>
      <w:pPr>
        <w:spacing w:line="460" w:lineRule="exact"/>
        <w:ind w:firstLine="565" w:firstLineChars="257"/>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2、本合同中所述通知必须以书面形式，送达对方签收。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Style w:val="346"/>
          <w:rFonts w:ascii="新宋体" w:hAnsi="新宋体" w:eastAsia="新宋体" w:cs="新宋体"/>
          <w:bCs/>
          <w:color w:val="auto"/>
          <w:sz w:val="22"/>
          <w:szCs w:val="22"/>
          <w:highlight w:val="none"/>
        </w:rPr>
        <w:t>双方在执行合同中所发生的一切争议，应通过协商解决。如协商不成，应向甲方法定地址所在人民法院起诉。</w:t>
      </w:r>
    </w:p>
    <w:p>
      <w:pPr>
        <w:spacing w:line="460" w:lineRule="exact"/>
        <w:ind w:firstLine="565" w:firstLineChars="257"/>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4、如双方同意，可以书面修改或补充本合同条款；合同的附件、修改（补充）文件均与本合同同效。</w:t>
      </w:r>
    </w:p>
    <w:p>
      <w:pPr>
        <w:spacing w:line="460" w:lineRule="exact"/>
        <w:ind w:firstLine="565" w:firstLineChars="257"/>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5、</w:t>
      </w:r>
      <w:r>
        <w:rPr>
          <w:rFonts w:ascii="新宋体" w:hAnsi="新宋体" w:eastAsia="新宋体"/>
          <w:color w:val="auto"/>
          <w:sz w:val="22"/>
          <w:szCs w:val="22"/>
          <w:highlight w:val="none"/>
        </w:rPr>
        <w:t>本合同签订地为：</w:t>
      </w:r>
      <w:r>
        <w:rPr>
          <w:rFonts w:hint="eastAsia"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温州</w:t>
      </w:r>
      <w:r>
        <w:rPr>
          <w:rFonts w:hint="eastAsia" w:ascii="新宋体" w:hAnsi="新宋体" w:eastAsia="新宋体"/>
          <w:color w:val="auto"/>
          <w:sz w:val="22"/>
          <w:szCs w:val="22"/>
          <w:highlight w:val="none"/>
          <w:u w:val="single"/>
        </w:rPr>
        <w:t xml:space="preserve">   </w:t>
      </w:r>
    </w:p>
    <w:p>
      <w:pPr>
        <w:spacing w:line="460" w:lineRule="exact"/>
        <w:ind w:firstLine="4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 本合同一式</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rPr>
        <w:t>份，由甲、乙方各执</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rPr>
        <w:t>份。</w:t>
      </w:r>
    </w:p>
    <w:p>
      <w:pPr>
        <w:spacing w:line="460" w:lineRule="exact"/>
        <w:ind w:firstLine="539" w:firstLineChars="245"/>
        <w:rPr>
          <w:rFonts w:ascii="新宋体" w:hAnsi="新宋体" w:eastAsia="新宋体" w:cs="新宋体"/>
          <w:bCs/>
          <w:color w:val="auto"/>
          <w:sz w:val="22"/>
          <w:szCs w:val="22"/>
          <w:highlight w:val="none"/>
          <w:lang w:val="zh-CN"/>
        </w:rPr>
      </w:pP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spacing w:line="44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pPr>
        <w:spacing w:line="460" w:lineRule="exact"/>
        <w:rPr>
          <w:rFonts w:hint="eastAsia" w:ascii="宋体" w:hAnsi="宋体" w:cs="宋体"/>
          <w:bCs/>
          <w:color w:val="auto"/>
          <w:sz w:val="22"/>
          <w:szCs w:val="22"/>
          <w:highlight w:val="none"/>
        </w:rPr>
      </w:pPr>
    </w:p>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新宋体" w:hAnsi="新宋体" w:eastAsia="新宋体" w:cs="新宋体"/>
          <w:b/>
          <w:color w:val="auto"/>
          <w:sz w:val="44"/>
          <w:szCs w:val="44"/>
          <w:highlight w:val="none"/>
        </w:rPr>
      </w:pPr>
      <w:r>
        <w:rPr>
          <w:rFonts w:hint="eastAsia" w:ascii="新宋体" w:hAnsi="新宋体" w:eastAsia="新宋体" w:cs="新宋体"/>
          <w:b/>
          <w:color w:val="auto"/>
          <w:kern w:val="2"/>
          <w:sz w:val="22"/>
          <w:szCs w:val="22"/>
          <w:highlight w:val="none"/>
          <w:lang w:val="en-US" w:eastAsia="zh-CN" w:bidi="ar-SA"/>
        </w:rPr>
        <w:br w:type="page"/>
      </w:r>
    </w:p>
    <w:p>
      <w:pPr>
        <w:pStyle w:val="4"/>
        <w:bidi w:val="0"/>
        <w:rPr>
          <w:rFonts w:hint="eastAsia" w:ascii="宋体" w:hAnsi="宋体" w:eastAsia="宋体" w:cs="宋体"/>
          <w:color w:val="auto"/>
          <w:highlight w:val="none"/>
        </w:rPr>
      </w:pPr>
      <w:bookmarkStart w:id="26" w:name="_Toc18439"/>
      <w:bookmarkStart w:id="27" w:name="_Toc19081"/>
      <w:r>
        <w:rPr>
          <w:rFonts w:hint="eastAsia" w:ascii="宋体" w:hAnsi="宋体" w:eastAsia="宋体" w:cs="宋体"/>
          <w:color w:val="auto"/>
          <w:highlight w:val="none"/>
        </w:rPr>
        <w:t>第三部分    附件</w:t>
      </w:r>
      <w:bookmarkEnd w:id="26"/>
      <w:bookmarkEnd w:id="27"/>
    </w:p>
    <w:p>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13365"/>
      <w:bookmarkStart w:id="31" w:name="_Toc5430"/>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13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lang w:val="en-US" w:eastAsia="zh-CN"/>
              </w:rPr>
              <w:t>路线</w:t>
            </w:r>
          </w:p>
        </w:tc>
        <w:tc>
          <w:tcPr>
            <w:tcW w:w="5136"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145" w:type="dxa"/>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lang w:eastAsia="zh-CN"/>
              </w:rPr>
            </w:pPr>
            <w:r>
              <w:rPr>
                <w:rFonts w:hint="eastAsia" w:ascii="宋体" w:hAnsi="宋体" w:eastAsia="宋体" w:cs="宋体"/>
                <w:b w:val="0"/>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05" w:type="dxa"/>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304" w:type="dxa"/>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eastAsia="宋体" w:cs="宋体"/>
                <w:color w:val="auto"/>
                <w:sz w:val="22"/>
                <w:highlight w:val="none"/>
              </w:rPr>
            </w:pPr>
            <w:r>
              <w:rPr>
                <w:rFonts w:hint="eastAsia" w:ascii="宋体" w:hAnsi="宋体" w:cs="宋体"/>
                <w:color w:val="auto"/>
                <w:kern w:val="0"/>
                <w:sz w:val="22"/>
                <w:szCs w:val="22"/>
                <w:highlight w:val="none"/>
              </w:rPr>
              <w:t>市域线路</w:t>
            </w:r>
          </w:p>
        </w:tc>
        <w:tc>
          <w:tcPr>
            <w:tcW w:w="5136" w:type="dxa"/>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color w:val="auto"/>
                <w:highlight w:val="none"/>
              </w:rPr>
            </w:pPr>
            <w:r>
              <w:rPr>
                <w:rFonts w:hint="eastAsia" w:ascii="宋体" w:hAnsi="宋体" w:cs="宋体"/>
                <w:color w:val="auto"/>
                <w:kern w:val="0"/>
                <w:sz w:val="22"/>
                <w:szCs w:val="22"/>
                <w:highlight w:val="none"/>
              </w:rPr>
              <w:t>固定费用</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1</w:t>
            </w:r>
            <w:r>
              <w:rPr>
                <w:rFonts w:ascii="宋体" w:hAnsi="宋体" w:cs="宋体"/>
                <w:color w:val="auto"/>
                <w:kern w:val="0"/>
                <w:sz w:val="22"/>
                <w:szCs w:val="22"/>
                <w:highlight w:val="none"/>
              </w:rPr>
              <w:t>200</w:t>
            </w:r>
            <w:r>
              <w:rPr>
                <w:rFonts w:hint="eastAsia" w:ascii="宋体" w:hAnsi="宋体" w:cs="宋体"/>
                <w:color w:val="auto"/>
                <w:kern w:val="0"/>
                <w:sz w:val="22"/>
                <w:szCs w:val="22"/>
                <w:highlight w:val="none"/>
              </w:rPr>
              <w:t>元/人</w:t>
            </w:r>
          </w:p>
        </w:tc>
        <w:tc>
          <w:tcPr>
            <w:tcW w:w="1145" w:type="dxa"/>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05" w:type="dxa"/>
            <w:vAlign w:val="center"/>
          </w:tcPr>
          <w:p>
            <w:pPr>
              <w:spacing w:line="38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2304" w:type="dxa"/>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eastAsia="宋体" w:cs="宋体"/>
                <w:color w:val="auto"/>
                <w:sz w:val="22"/>
                <w:highlight w:val="none"/>
              </w:rPr>
            </w:pPr>
            <w:r>
              <w:rPr>
                <w:rFonts w:hint="eastAsia" w:ascii="宋体" w:hAnsi="宋体" w:cs="宋体"/>
                <w:color w:val="auto"/>
                <w:kern w:val="0"/>
                <w:sz w:val="22"/>
                <w:szCs w:val="22"/>
                <w:highlight w:val="none"/>
              </w:rPr>
              <w:t>省际线路</w:t>
            </w:r>
          </w:p>
        </w:tc>
        <w:tc>
          <w:tcPr>
            <w:tcW w:w="5136" w:type="dxa"/>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eastAsia="宋体" w:cs="宋体"/>
                <w:color w:val="auto"/>
                <w:sz w:val="22"/>
                <w:highlight w:val="none"/>
              </w:rPr>
            </w:pPr>
            <w:r>
              <w:rPr>
                <w:rFonts w:hint="eastAsia" w:ascii="宋体" w:hAnsi="宋体" w:cs="宋体"/>
                <w:color w:val="auto"/>
                <w:kern w:val="0"/>
                <w:sz w:val="22"/>
                <w:szCs w:val="22"/>
                <w:highlight w:val="none"/>
              </w:rPr>
              <w:t>固定费用</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2000</w:t>
            </w:r>
            <w:r>
              <w:rPr>
                <w:rFonts w:hint="eastAsia" w:ascii="宋体" w:hAnsi="宋体" w:cs="宋体"/>
                <w:color w:val="auto"/>
                <w:kern w:val="0"/>
                <w:sz w:val="22"/>
                <w:szCs w:val="22"/>
                <w:highlight w:val="none"/>
              </w:rPr>
              <w:t>元/人</w:t>
            </w:r>
          </w:p>
        </w:tc>
        <w:tc>
          <w:tcPr>
            <w:tcW w:w="1145" w:type="dxa"/>
            <w:vAlign w:val="center"/>
          </w:tcPr>
          <w:p>
            <w:pPr>
              <w:keepNext w:val="0"/>
              <w:keepLines w:val="0"/>
              <w:pageBreakBefore w:val="0"/>
              <w:widowControl w:val="0"/>
              <w:kinsoku/>
              <w:wordWrap/>
              <w:overflowPunct/>
              <w:topLinePunct w:val="0"/>
              <w:bidi w:val="0"/>
              <w:spacing w:line="460" w:lineRule="exact"/>
              <w:jc w:val="center"/>
              <w:rPr>
                <w:rFonts w:hint="default" w:ascii="宋体" w:hAnsi="宋体" w:eastAsia="宋体" w:cs="宋体"/>
                <w:color w:val="auto"/>
                <w:sz w:val="22"/>
                <w:highlight w:val="none"/>
                <w:lang w:val="en-US" w:eastAsia="zh-CN"/>
              </w:rPr>
            </w:pPr>
          </w:p>
        </w:tc>
      </w:tr>
    </w:tbl>
    <w:p>
      <w:pPr>
        <w:spacing w:line="400" w:lineRule="exact"/>
        <w:rPr>
          <w:rFonts w:hint="eastAsia" w:ascii="宋体" w:hAnsi="宋体" w:eastAsia="宋体" w:cs="宋体"/>
          <w:b/>
          <w:color w:val="auto"/>
          <w:sz w:val="22"/>
          <w:highlight w:val="none"/>
        </w:rPr>
      </w:pPr>
    </w:p>
    <w:p>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说明：不提供此表格将被视为没有实质性响应招标文件</w:t>
      </w: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00" w:lineRule="exact"/>
        <w:ind w:firstLine="3740" w:firstLineChars="17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color w:val="auto"/>
          <w:sz w:val="22"/>
          <w:szCs w:val="22"/>
          <w:highlight w:val="none"/>
          <w:lang w:val="zh-CN"/>
        </w:rPr>
        <w:br w:type="page"/>
      </w:r>
    </w:p>
    <w:p>
      <w:pPr>
        <w:rPr>
          <w:rFonts w:hint="eastAsia" w:ascii="宋体" w:hAnsi="宋体" w:eastAsia="宋体" w:cs="宋体"/>
          <w:b/>
          <w:color w:val="auto"/>
          <w:sz w:val="22"/>
          <w:szCs w:val="22"/>
          <w:highlight w:val="none"/>
        </w:rPr>
      </w:pPr>
    </w:p>
    <w:p>
      <w:pPr>
        <w:pStyle w:val="24"/>
        <w:spacing w:line="460" w:lineRule="exact"/>
        <w:outlineLvl w:val="1"/>
        <w:rPr>
          <w:rFonts w:hint="eastAsia" w:ascii="宋体" w:hAnsi="宋体" w:eastAsia="宋体" w:cs="宋体"/>
          <w:b/>
          <w:color w:val="auto"/>
          <w:sz w:val="22"/>
          <w:szCs w:val="22"/>
          <w:highlight w:val="none"/>
        </w:rPr>
      </w:pPr>
      <w:bookmarkStart w:id="32" w:name="_Toc12035"/>
      <w:bookmarkStart w:id="33" w:name="_Toc19402"/>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w:t>
      </w:r>
      <w:r>
        <w:rPr>
          <w:rFonts w:hint="eastAsia" w:ascii="宋体" w:hAnsi="宋体" w:cs="宋体"/>
          <w:b/>
          <w:color w:val="auto"/>
          <w:kern w:val="0"/>
          <w:sz w:val="22"/>
          <w:szCs w:val="22"/>
          <w:highlight w:val="none"/>
          <w:lang w:val="en-US" w:eastAsia="zh-CN"/>
        </w:rPr>
        <w:t>3</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6" w:name="_Toc31356"/>
      <w:bookmarkStart w:id="37" w:name="_Toc1651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380" w:lineRule="exact"/>
        <w:jc w:val="center"/>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偏离表（</w:t>
      </w:r>
      <w:r>
        <w:rPr>
          <w:rFonts w:hint="eastAsia" w:ascii="宋体" w:hAnsi="宋体" w:eastAsia="宋体" w:cs="宋体"/>
          <w:b/>
          <w:color w:val="auto"/>
          <w:sz w:val="28"/>
          <w:szCs w:val="28"/>
          <w:highlight w:val="none"/>
        </w:rPr>
        <w:t>商务、技术偏离</w:t>
      </w:r>
      <w:r>
        <w:rPr>
          <w:rFonts w:hint="eastAsia" w:ascii="宋体" w:hAnsi="宋体" w:eastAsia="宋体" w:cs="宋体"/>
          <w:b/>
          <w:color w:val="auto"/>
          <w:sz w:val="28"/>
          <w:szCs w:val="28"/>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38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4、投标人企业规范性</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380" w:lineRule="exact"/>
        <w:rPr>
          <w:rFonts w:hint="eastAsia" w:ascii="宋体" w:hAnsi="宋体" w:eastAsia="宋体" w:cs="宋体"/>
          <w:b/>
          <w:color w:val="auto"/>
          <w:sz w:val="36"/>
          <w:szCs w:val="36"/>
          <w:highlight w:val="none"/>
        </w:rPr>
      </w:pPr>
    </w:p>
    <w:p>
      <w:pPr>
        <w:spacing w:line="380" w:lineRule="exact"/>
        <w:jc w:val="center"/>
        <w:outlineLvl w:val="3"/>
        <w:rPr>
          <w:rFonts w:hint="eastAsia" w:ascii="宋体" w:hAnsi="宋体" w:eastAsia="宋体" w:cs="宋体"/>
          <w:b/>
          <w:color w:val="auto"/>
          <w:sz w:val="28"/>
          <w:szCs w:val="28"/>
          <w:highlight w:val="none"/>
          <w:lang w:val="zh-CN"/>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、同类项目业绩</w:t>
      </w: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pPr w:leftFromText="180" w:rightFromText="180" w:vertAnchor="text" w:horzAnchor="page" w:tblpX="1177"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、项目投入人员素质情况</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30"/>
        <w:spacing w:line="400" w:lineRule="atLeast"/>
        <w:ind w:left="657" w:leftChars="313" w:firstLine="3975" w:firstLineChars="1800"/>
        <w:rPr>
          <w:rFonts w:hint="eastAsia" w:ascii="宋体" w:hAnsi="宋体" w:eastAsia="宋体" w:cs="宋体"/>
          <w:color w:val="auto"/>
          <w:sz w:val="22"/>
          <w:highlight w:val="none"/>
        </w:rPr>
      </w:pPr>
    </w:p>
    <w:p>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0"/>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color w:val="auto"/>
          <w:highlight w:val="none"/>
          <w:lang w:val="en-US" w:eastAsia="zh-CN"/>
        </w:rPr>
      </w:pP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、疗休养策划方案</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586"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30"/>
        <w:spacing w:line="400" w:lineRule="atLeast"/>
        <w:rPr>
          <w:rFonts w:hint="eastAsia" w:ascii="宋体" w:hAnsi="宋体" w:eastAsia="宋体" w:cs="宋体"/>
          <w:color w:val="auto"/>
          <w:sz w:val="22"/>
          <w:highlight w:val="none"/>
        </w:rPr>
      </w:pPr>
    </w:p>
    <w:p>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、保险承诺</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color w:val="auto"/>
          <w:sz w:val="22"/>
          <w:szCs w:val="22"/>
          <w:highlight w:val="none"/>
        </w:rPr>
      </w:pP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、售后服务</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73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br w:type="page"/>
      </w:r>
      <w:r>
        <w:rPr>
          <w:rFonts w:hint="eastAsia" w:ascii="宋体" w:hAnsi="宋体" w:cs="宋体"/>
          <w:b/>
          <w:color w:val="auto"/>
          <w:sz w:val="28"/>
          <w:szCs w:val="28"/>
          <w:highlight w:val="none"/>
          <w:lang w:val="en-US" w:eastAsia="zh-CN"/>
        </w:rPr>
        <w:t>10</w:t>
      </w:r>
      <w:r>
        <w:rPr>
          <w:rFonts w:hint="eastAsia" w:ascii="宋体" w:hAnsi="宋体" w:eastAsia="宋体" w:cs="宋体"/>
          <w:b/>
          <w:color w:val="auto"/>
          <w:sz w:val="28"/>
          <w:szCs w:val="28"/>
          <w:highlight w:val="none"/>
          <w:lang w:val="en-US" w:eastAsia="zh-CN"/>
        </w:rPr>
        <w:t>、投诉处理及突发事件处理</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color w:val="auto"/>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11</w:t>
      </w:r>
      <w:r>
        <w:rPr>
          <w:rFonts w:hint="eastAsia" w:ascii="宋体" w:hAnsi="宋体" w:eastAsia="宋体" w:cs="宋体"/>
          <w:b/>
          <w:color w:val="auto"/>
          <w:sz w:val="28"/>
          <w:szCs w:val="28"/>
          <w:highlight w:val="none"/>
          <w:lang w:val="en-US" w:eastAsia="zh-CN"/>
        </w:rPr>
        <w:t>、特色服务和增值服务方案</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436"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b/>
          <w:color w:val="auto"/>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12</w:t>
      </w:r>
      <w:r>
        <w:rPr>
          <w:rFonts w:hint="eastAsia" w:ascii="宋体" w:hAnsi="宋体" w:eastAsia="宋体" w:cs="宋体"/>
          <w:b/>
          <w:color w:val="auto"/>
          <w:sz w:val="28"/>
          <w:szCs w:val="28"/>
          <w:highlight w:val="none"/>
          <w:lang w:val="en-US" w:eastAsia="zh-CN"/>
        </w:rPr>
        <w:t>、其他优惠服务</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348"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b/>
          <w:color w:val="auto"/>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br w:type="page"/>
      </w:r>
    </w:p>
    <w:p>
      <w:pPr>
        <w:pStyle w:val="4"/>
        <w:numPr>
          <w:ilvl w:val="0"/>
          <w:numId w:val="7"/>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10142"/>
      <w:bookmarkStart w:id="42" w:name="_Toc3381"/>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pPr>
        <w:numPr>
          <w:ilvl w:val="0"/>
          <w:numId w:val="0"/>
        </w:numPr>
        <w:ind w:leftChars="0"/>
        <w:rPr>
          <w:rFonts w:hint="eastAsia" w:ascii="宋体" w:hAnsi="宋体" w:cs="宋体"/>
          <w:color w:val="auto"/>
          <w:highlight w:val="none"/>
          <w:lang w:val="en-US" w:eastAsia="zh-CN"/>
        </w:rPr>
      </w:pPr>
      <w:bookmarkStart w:id="45" w:name="_Toc18194"/>
      <w:bookmarkStart w:id="46" w:name="_Toc30323"/>
    </w:p>
    <w:p>
      <w:pPr>
        <w:keepNext w:val="0"/>
        <w:keepLines w:val="0"/>
        <w:pageBreakBefore w:val="0"/>
        <w:widowControl w:val="0"/>
        <w:kinsoku/>
        <w:wordWrap/>
        <w:overflowPunct/>
        <w:topLinePunct w:val="0"/>
        <w:autoSpaceDN w:val="0"/>
        <w:bidi w:val="0"/>
        <w:snapToGrid/>
        <w:spacing w:line="460" w:lineRule="exact"/>
        <w:textAlignment w:val="auto"/>
        <w:rPr>
          <w:rFonts w:ascii="宋体" w:hAnsi="宋体" w:cs="宋体"/>
          <w:b/>
          <w:color w:val="auto"/>
          <w:sz w:val="22"/>
          <w:szCs w:val="22"/>
          <w:highlight w:val="none"/>
        </w:rPr>
      </w:pPr>
      <w:bookmarkStart w:id="47" w:name="_Toc384221224"/>
      <w:r>
        <w:rPr>
          <w:rFonts w:hint="eastAsia" w:ascii="宋体" w:hAnsi="宋体" w:cs="宋体"/>
          <w:b/>
          <w:color w:val="auto"/>
          <w:sz w:val="22"/>
          <w:szCs w:val="22"/>
          <w:highlight w:val="none"/>
        </w:rPr>
        <w:t>一、招标项目内容：</w:t>
      </w:r>
    </w:p>
    <w:tbl>
      <w:tblPr>
        <w:tblStyle w:val="5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8"/>
        <w:gridCol w:w="3608"/>
        <w:gridCol w:w="1350"/>
        <w:gridCol w:w="175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4"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278"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ascii="宋体" w:hAnsi="宋体"/>
                <w:b/>
                <w:color w:val="auto"/>
                <w:sz w:val="22"/>
                <w:szCs w:val="22"/>
                <w:highlight w:val="none"/>
              </w:rPr>
            </w:pPr>
            <w:r>
              <w:rPr>
                <w:rFonts w:hint="eastAsia" w:ascii="宋体" w:hAnsi="宋体"/>
                <w:b/>
                <w:color w:val="auto"/>
                <w:sz w:val="22"/>
                <w:szCs w:val="22"/>
                <w:highlight w:val="none"/>
              </w:rPr>
              <w:t>线路</w:t>
            </w:r>
          </w:p>
        </w:tc>
        <w:tc>
          <w:tcPr>
            <w:tcW w:w="3608"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b/>
                <w:color w:val="auto"/>
                <w:sz w:val="22"/>
                <w:szCs w:val="22"/>
                <w:highlight w:val="none"/>
              </w:rPr>
            </w:pPr>
            <w:r>
              <w:rPr>
                <w:rFonts w:ascii="宋体" w:hAnsi="宋体"/>
                <w:b/>
                <w:color w:val="auto"/>
                <w:sz w:val="22"/>
                <w:szCs w:val="22"/>
                <w:highlight w:val="none"/>
              </w:rPr>
              <w:t>采购</w:t>
            </w:r>
            <w:r>
              <w:rPr>
                <w:rFonts w:hint="eastAsia" w:ascii="宋体" w:hAnsi="宋体"/>
                <w:b/>
                <w:color w:val="auto"/>
                <w:sz w:val="22"/>
                <w:szCs w:val="22"/>
                <w:highlight w:val="none"/>
              </w:rPr>
              <w:t>内容（疗休养线路）</w:t>
            </w:r>
          </w:p>
        </w:tc>
        <w:tc>
          <w:tcPr>
            <w:tcW w:w="1350"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ascii="宋体" w:hAnsi="宋体"/>
                <w:b/>
                <w:color w:val="auto"/>
                <w:sz w:val="22"/>
                <w:szCs w:val="22"/>
                <w:highlight w:val="none"/>
              </w:rPr>
            </w:pPr>
            <w:r>
              <w:rPr>
                <w:rFonts w:hint="eastAsia" w:ascii="宋体" w:hAnsi="宋体"/>
                <w:b/>
                <w:color w:val="auto"/>
                <w:sz w:val="22"/>
                <w:szCs w:val="22"/>
                <w:highlight w:val="none"/>
              </w:rPr>
              <w:t>预计人数</w:t>
            </w:r>
          </w:p>
        </w:tc>
        <w:tc>
          <w:tcPr>
            <w:tcW w:w="1752"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b/>
                <w:color w:val="auto"/>
                <w:sz w:val="22"/>
                <w:szCs w:val="22"/>
                <w:highlight w:val="none"/>
              </w:rPr>
            </w:pPr>
            <w:r>
              <w:rPr>
                <w:rFonts w:hint="eastAsia" w:ascii="宋体" w:hAnsi="宋体"/>
                <w:b/>
                <w:color w:val="auto"/>
                <w:sz w:val="22"/>
                <w:szCs w:val="22"/>
                <w:highlight w:val="none"/>
              </w:rPr>
              <w:t>预计时间</w:t>
            </w:r>
          </w:p>
        </w:tc>
        <w:tc>
          <w:tcPr>
            <w:tcW w:w="1437"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b/>
                <w:color w:val="auto"/>
                <w:sz w:val="22"/>
                <w:szCs w:val="22"/>
                <w:highlight w:val="none"/>
              </w:rPr>
            </w:pPr>
            <w:r>
              <w:rPr>
                <w:rFonts w:hint="eastAsia" w:ascii="宋体" w:hAnsi="宋体"/>
                <w:b/>
                <w:color w:val="auto"/>
                <w:sz w:val="22"/>
                <w:szCs w:val="22"/>
                <w:highlight w:val="none"/>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1</w:t>
            </w:r>
          </w:p>
        </w:tc>
        <w:tc>
          <w:tcPr>
            <w:tcW w:w="1278"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市域线路</w:t>
            </w:r>
          </w:p>
        </w:tc>
        <w:tc>
          <w:tcPr>
            <w:tcW w:w="36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线路1：文成疗休养3天（非周末）</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线路2：乐清疗休养3天（非周末）</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线路3：泰顺疗休养3天（非周末）</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线路4：洞头疗休养3天（非周末）</w:t>
            </w:r>
          </w:p>
          <w:p>
            <w:pPr>
              <w:keepNext w:val="0"/>
              <w:keepLines w:val="0"/>
              <w:autoSpaceDE w:val="0"/>
              <w:autoSpaceDN w:val="0"/>
              <w:adjustRightInd w:val="0"/>
              <w:spacing w:line="460" w:lineRule="exact"/>
              <w:jc w:val="left"/>
              <w:rPr>
                <w:rFonts w:hint="eastAsia" w:eastAsia="宋体"/>
                <w:color w:val="auto"/>
                <w:highlight w:val="none"/>
                <w:lang w:eastAsia="zh-CN"/>
              </w:rPr>
            </w:pPr>
            <w:r>
              <w:rPr>
                <w:rFonts w:hint="eastAsia" w:ascii="宋体" w:hAnsi="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1、以上为建议线路，投标人可提供其他相当的同类线路供采购人选择；2、</w:t>
            </w:r>
            <w:r>
              <w:rPr>
                <w:rFonts w:hint="eastAsia" w:ascii="宋体" w:hAnsi="宋体" w:cs="宋体"/>
                <w:b w:val="0"/>
                <w:bCs w:val="0"/>
                <w:color w:val="auto"/>
                <w:kern w:val="0"/>
                <w:sz w:val="22"/>
                <w:szCs w:val="22"/>
                <w:highlight w:val="none"/>
              </w:rPr>
              <w:t>采购人在选择线路时可根据自身情况，要求供应商提供本次招标内容以外的线路，保持综合单价不变</w:t>
            </w:r>
            <w:r>
              <w:rPr>
                <w:rFonts w:hint="eastAsia" w:ascii="宋体" w:hAnsi="宋体" w:cs="宋体"/>
                <w:b w:val="0"/>
                <w:bCs w:val="0"/>
                <w:color w:val="auto"/>
                <w:kern w:val="0"/>
                <w:sz w:val="22"/>
                <w:szCs w:val="22"/>
                <w:highlight w:val="none"/>
                <w:lang w:eastAsia="zh-CN"/>
              </w:rPr>
              <w:t>）</w:t>
            </w:r>
          </w:p>
        </w:tc>
        <w:tc>
          <w:tcPr>
            <w:tcW w:w="1350"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91</w:t>
            </w:r>
            <w:r>
              <w:rPr>
                <w:rFonts w:hint="eastAsia" w:ascii="宋体" w:hAnsi="宋体"/>
                <w:color w:val="auto"/>
                <w:sz w:val="22"/>
                <w:szCs w:val="22"/>
                <w:highlight w:val="none"/>
              </w:rPr>
              <w:t>人</w:t>
            </w:r>
          </w:p>
          <w:p>
            <w:pPr>
              <w:keepNext w:val="0"/>
              <w:keepLines w:val="0"/>
              <w:pageBreakBefore w:val="0"/>
              <w:widowControl w:val="0"/>
              <w:kinsoku/>
              <w:wordWrap/>
              <w:overflowPunct/>
              <w:topLinePunct w:val="0"/>
              <w:bidi w:val="0"/>
              <w:snapToGrid/>
              <w:spacing w:line="460" w:lineRule="exact"/>
              <w:jc w:val="center"/>
              <w:textAlignment w:val="auto"/>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eastAsia="宋体" w:cs="宋体"/>
                <w:color w:val="auto"/>
                <w:sz w:val="24"/>
                <w:szCs w:val="24"/>
                <w:highlight w:val="none"/>
              </w:rPr>
              <w:t>分段分时</w:t>
            </w:r>
            <w:r>
              <w:rPr>
                <w:rFonts w:hint="eastAsia" w:ascii="宋体" w:hAnsi="宋体" w:cs="宋体"/>
                <w:color w:val="auto"/>
                <w:sz w:val="24"/>
                <w:szCs w:val="24"/>
                <w:highlight w:val="none"/>
                <w:lang w:val="en-US" w:eastAsia="zh-CN"/>
              </w:rPr>
              <w:t>或</w:t>
            </w:r>
            <w:r>
              <w:rPr>
                <w:rFonts w:ascii="宋体" w:hAnsi="宋体" w:eastAsia="宋体" w:cs="宋体"/>
                <w:color w:val="auto"/>
                <w:sz w:val="24"/>
                <w:szCs w:val="24"/>
                <w:highlight w:val="none"/>
              </w:rPr>
              <w:t>组团</w:t>
            </w:r>
            <w:r>
              <w:rPr>
                <w:rFonts w:hint="eastAsia" w:ascii="宋体" w:hAnsi="宋体"/>
                <w:color w:val="auto"/>
                <w:sz w:val="22"/>
                <w:szCs w:val="22"/>
                <w:highlight w:val="none"/>
              </w:rPr>
              <w:t>）</w:t>
            </w:r>
          </w:p>
        </w:tc>
        <w:tc>
          <w:tcPr>
            <w:tcW w:w="1752"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ascii="宋体" w:hAnsi="宋体" w:eastAsia="宋体" w:cs="宋体"/>
                <w:color w:val="auto"/>
                <w:sz w:val="24"/>
                <w:szCs w:val="24"/>
                <w:highlight w:val="none"/>
              </w:rPr>
              <w:t>第一、二季度：完成60%；第三、四季度完成40%：</w:t>
            </w:r>
          </w:p>
        </w:tc>
        <w:tc>
          <w:tcPr>
            <w:tcW w:w="1437"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hint="eastAsia" w:ascii="宋体" w:hAnsi="宋体" w:cs="宋体"/>
                <w:color w:val="auto"/>
                <w:kern w:val="0"/>
                <w:sz w:val="22"/>
                <w:szCs w:val="22"/>
                <w:highlight w:val="none"/>
              </w:rPr>
              <w:t>费用固定为1</w:t>
            </w:r>
            <w:r>
              <w:rPr>
                <w:rFonts w:ascii="宋体" w:hAnsi="宋体" w:cs="宋体"/>
                <w:color w:val="auto"/>
                <w:kern w:val="0"/>
                <w:sz w:val="22"/>
                <w:szCs w:val="22"/>
                <w:highlight w:val="none"/>
              </w:rPr>
              <w:t>200</w:t>
            </w:r>
            <w:r>
              <w:rPr>
                <w:rFonts w:hint="eastAsia" w:ascii="宋体" w:hAnsi="宋体" w:cs="宋体"/>
                <w:color w:val="auto"/>
                <w:kern w:val="0"/>
                <w:sz w:val="22"/>
                <w:szCs w:val="22"/>
                <w:highlight w:val="none"/>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64"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2</w:t>
            </w:r>
          </w:p>
        </w:tc>
        <w:tc>
          <w:tcPr>
            <w:tcW w:w="1278"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省际线路</w:t>
            </w:r>
          </w:p>
        </w:tc>
        <w:tc>
          <w:tcPr>
            <w:tcW w:w="36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olor w:val="auto"/>
                <w:sz w:val="22"/>
                <w:highlight w:val="none"/>
              </w:rPr>
            </w:pPr>
            <w:r>
              <w:rPr>
                <w:rFonts w:hint="eastAsia" w:ascii="宋体" w:hAnsi="宋体"/>
                <w:color w:val="auto"/>
                <w:sz w:val="22"/>
                <w:highlight w:val="none"/>
              </w:rPr>
              <w:t>线路1：</w:t>
            </w:r>
            <w:r>
              <w:rPr>
                <w:rFonts w:hint="eastAsia" w:ascii="宋体" w:hAnsi="宋体"/>
                <w:color w:val="auto"/>
                <w:sz w:val="22"/>
                <w:highlight w:val="none"/>
                <w:lang w:val="en-US" w:eastAsia="zh-CN"/>
              </w:rPr>
              <w:t>龙游石窟、千岛湖、兰溪地下长河5天</w:t>
            </w:r>
            <w:r>
              <w:rPr>
                <w:rFonts w:hint="eastAsia" w:ascii="宋体" w:hAnsi="宋体" w:cs="宋体"/>
                <w:color w:val="auto"/>
                <w:kern w:val="0"/>
                <w:sz w:val="22"/>
                <w:szCs w:val="22"/>
                <w:highlight w:val="none"/>
              </w:rPr>
              <w:t>（含周六日）</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olor w:val="auto"/>
                <w:sz w:val="22"/>
                <w:highlight w:val="none"/>
              </w:rPr>
              <w:t>线路2：</w:t>
            </w:r>
            <w:r>
              <w:rPr>
                <w:rFonts w:hint="eastAsia" w:ascii="宋体" w:hAnsi="宋体"/>
                <w:color w:val="auto"/>
                <w:sz w:val="22"/>
                <w:highlight w:val="none"/>
                <w:lang w:val="en-US" w:eastAsia="zh-CN"/>
              </w:rPr>
              <w:t>莫干山南浔5天</w:t>
            </w:r>
            <w:r>
              <w:rPr>
                <w:rFonts w:hint="eastAsia" w:ascii="宋体" w:hAnsi="宋体" w:cs="宋体"/>
                <w:color w:val="auto"/>
                <w:kern w:val="0"/>
                <w:sz w:val="22"/>
                <w:szCs w:val="22"/>
                <w:highlight w:val="none"/>
              </w:rPr>
              <w:t>（含周六日）</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color w:val="auto"/>
                <w:kern w:val="0"/>
                <w:sz w:val="22"/>
                <w:szCs w:val="22"/>
                <w:highlight w:val="none"/>
              </w:rPr>
            </w:pPr>
            <w:r>
              <w:rPr>
                <w:rFonts w:hint="eastAsia" w:ascii="宋体" w:hAnsi="宋体"/>
                <w:color w:val="auto"/>
                <w:sz w:val="22"/>
                <w:highlight w:val="none"/>
              </w:rPr>
              <w:t>线路</w:t>
            </w:r>
            <w:r>
              <w:rPr>
                <w:rFonts w:hint="eastAsia" w:ascii="宋体" w:hAnsi="宋体"/>
                <w:color w:val="auto"/>
                <w:sz w:val="22"/>
                <w:highlight w:val="none"/>
                <w:lang w:val="en-US" w:eastAsia="zh-CN"/>
              </w:rPr>
              <w:t>3：黄山、宏村、古徽州双动5天</w:t>
            </w:r>
            <w:r>
              <w:rPr>
                <w:rFonts w:hint="eastAsia" w:ascii="宋体" w:hAnsi="宋体" w:cs="宋体"/>
                <w:color w:val="auto"/>
                <w:kern w:val="0"/>
                <w:sz w:val="22"/>
                <w:szCs w:val="22"/>
                <w:highlight w:val="none"/>
              </w:rPr>
              <w:t>（含周六日）</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线路4：黄龙、九寨沟、若尔盖花湖、黄河九曲、红原6日游</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省际线路原则上游玩时限为5天，如有固定费用、固定时间外其他需自费或增加游玩时间的事宜，请在相应的线路中注明</w:t>
            </w:r>
            <w:r>
              <w:rPr>
                <w:rFonts w:hint="eastAsia" w:ascii="宋体" w:hAnsi="宋体" w:cs="宋体"/>
                <w:b/>
                <w:bCs/>
                <w:color w:val="auto"/>
                <w:kern w:val="0"/>
                <w:sz w:val="22"/>
                <w:szCs w:val="22"/>
                <w:highlight w:val="none"/>
                <w:lang w:eastAsia="zh-CN"/>
              </w:rPr>
              <w:t>）</w:t>
            </w:r>
          </w:p>
        </w:tc>
        <w:tc>
          <w:tcPr>
            <w:tcW w:w="1350"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人</w:t>
            </w:r>
          </w:p>
          <w:p>
            <w:pPr>
              <w:pStyle w:val="2"/>
              <w:rPr>
                <w:rFonts w:hint="eastAsia" w:eastAsia="宋体"/>
                <w:color w:val="auto"/>
                <w:highlight w:val="none"/>
                <w:lang w:eastAsia="zh-CN"/>
              </w:rPr>
            </w:pP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lang w:val="en-US" w:eastAsia="zh-CN"/>
              </w:rPr>
              <w:t>1批次完成</w:t>
            </w:r>
            <w:r>
              <w:rPr>
                <w:rFonts w:hint="eastAsia" w:ascii="宋体" w:hAnsi="宋体"/>
                <w:b w:val="0"/>
                <w:bCs w:val="0"/>
                <w:color w:val="auto"/>
                <w:sz w:val="22"/>
                <w:szCs w:val="22"/>
                <w:highlight w:val="none"/>
                <w:lang w:eastAsia="zh-CN"/>
              </w:rPr>
              <w:t>）</w:t>
            </w:r>
          </w:p>
        </w:tc>
        <w:tc>
          <w:tcPr>
            <w:tcW w:w="1752" w:type="dxa"/>
            <w:noWrap w:val="0"/>
            <w:vAlign w:val="center"/>
          </w:tcPr>
          <w:p>
            <w:pPr>
              <w:keepNext w:val="0"/>
              <w:keepLines w:val="0"/>
              <w:numPr>
                <w:ilvl w:val="0"/>
                <w:numId w:val="0"/>
              </w:numPr>
              <w:spacing w:line="460" w:lineRule="exact"/>
              <w:jc w:val="center"/>
              <w:rPr>
                <w:rFonts w:hint="default"/>
                <w:color w:val="auto"/>
                <w:highlight w:val="none"/>
                <w:lang w:val="en-US" w:eastAsia="zh-CN"/>
              </w:rPr>
            </w:pPr>
            <w:r>
              <w:rPr>
                <w:rFonts w:hint="eastAsia" w:ascii="宋体" w:hAnsi="宋体" w:cs="宋体"/>
                <w:color w:val="auto"/>
                <w:kern w:val="0"/>
                <w:sz w:val="22"/>
                <w:szCs w:val="22"/>
                <w:highlight w:val="none"/>
                <w:lang w:val="en-US" w:eastAsia="zh-CN"/>
              </w:rPr>
              <w:t>第三、四季度</w:t>
            </w:r>
          </w:p>
        </w:tc>
        <w:tc>
          <w:tcPr>
            <w:tcW w:w="1437" w:type="dxa"/>
            <w:noWrap w:val="0"/>
            <w:vAlign w:val="center"/>
          </w:tcPr>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费用固定为</w:t>
            </w:r>
            <w:r>
              <w:rPr>
                <w:rFonts w:hint="eastAsia" w:ascii="宋体" w:hAnsi="宋体" w:cs="宋体"/>
                <w:color w:val="auto"/>
                <w:kern w:val="0"/>
                <w:sz w:val="22"/>
                <w:szCs w:val="22"/>
                <w:highlight w:val="none"/>
                <w:lang w:val="en-US" w:eastAsia="zh-CN"/>
              </w:rPr>
              <w:t>2000</w:t>
            </w:r>
            <w:r>
              <w:rPr>
                <w:rFonts w:hint="eastAsia" w:ascii="宋体" w:hAnsi="宋体" w:cs="宋体"/>
                <w:color w:val="auto"/>
                <w:kern w:val="0"/>
                <w:sz w:val="22"/>
                <w:szCs w:val="22"/>
                <w:highlight w:val="none"/>
              </w:rPr>
              <w:t>元/人</w:t>
            </w:r>
          </w:p>
        </w:tc>
      </w:tr>
    </w:tbl>
    <w:p>
      <w:pPr>
        <w:keepNext w:val="0"/>
        <w:keepLines w:val="0"/>
        <w:pageBreakBefore w:val="0"/>
        <w:widowControl w:val="0"/>
        <w:kinsoku/>
        <w:wordWrap/>
        <w:overflowPunct/>
        <w:topLinePunct w:val="0"/>
        <w:bidi w:val="0"/>
        <w:snapToGrid/>
        <w:spacing w:line="460" w:lineRule="exact"/>
        <w:ind w:firstLine="442" w:firstLineChars="200"/>
        <w:textAlignment w:val="auto"/>
        <w:rPr>
          <w:rFonts w:ascii="宋体" w:hAnsi="宋体" w:cs="宋体"/>
          <w:b/>
          <w:color w:val="auto"/>
          <w:sz w:val="22"/>
          <w:szCs w:val="22"/>
          <w:highlight w:val="none"/>
        </w:rPr>
      </w:pPr>
      <w:r>
        <w:rPr>
          <w:rFonts w:hint="eastAsia" w:ascii="宋体" w:hAnsi="宋体" w:cs="宋体"/>
          <w:b/>
          <w:bCs/>
          <w:color w:val="auto"/>
          <w:sz w:val="22"/>
          <w:szCs w:val="22"/>
          <w:highlight w:val="none"/>
        </w:rPr>
        <w:t>供应商应充分考虑疗休养线路提示（</w:t>
      </w:r>
      <w:r>
        <w:rPr>
          <w:rFonts w:hint="eastAsia" w:ascii="宋体" w:hAnsi="宋体" w:cs="宋体"/>
          <w:b/>
          <w:bCs/>
          <w:color w:val="auto"/>
          <w:sz w:val="22"/>
          <w:szCs w:val="22"/>
          <w:highlight w:val="none"/>
          <w:u w:val="single"/>
        </w:rPr>
        <w:t>重要提示：线路中的地点为必须出行线路的地点或安排在出行线路中的景点），具体路线由供应商妥善安排</w:t>
      </w:r>
      <w:r>
        <w:rPr>
          <w:rFonts w:hint="eastAsia" w:ascii="宋体" w:hAnsi="宋体" w:cs="宋体"/>
          <w:b/>
          <w:color w:val="auto"/>
          <w:sz w:val="22"/>
          <w:szCs w:val="22"/>
          <w:highlight w:val="none"/>
        </w:rPr>
        <w:t>。</w:t>
      </w:r>
    </w:p>
    <w:p>
      <w:pPr>
        <w:keepNext w:val="0"/>
        <w:keepLines w:val="0"/>
        <w:pageBreakBefore w:val="0"/>
        <w:widowControl w:val="0"/>
        <w:kinsoku/>
        <w:wordWrap/>
        <w:overflowPunct/>
        <w:topLinePunct w:val="0"/>
        <w:autoSpaceDN w:val="0"/>
        <w:bidi w:val="0"/>
        <w:snapToGrid/>
        <w:spacing w:line="460" w:lineRule="exact"/>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三、项目具体线路安排及要求：</w:t>
      </w:r>
    </w:p>
    <w:p>
      <w:pPr>
        <w:keepNext w:val="0"/>
        <w:keepLines w:val="0"/>
        <w:pageBreakBefore w:val="0"/>
        <w:widowControl w:val="0"/>
        <w:kinsoku/>
        <w:wordWrap/>
        <w:overflowPunct/>
        <w:topLinePunct w:val="0"/>
        <w:autoSpaceDN w:val="0"/>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（一）疗休养线路</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职工疗休养总数不定，具体结算人数以疗养出行的个数进行结算，</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需考虑由此产生的风险；路线：市域线路、省际线路。具体要求如下：</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1、线路：出行费用按照市域线路费用固定为12</w:t>
      </w:r>
      <w:r>
        <w:rPr>
          <w:rFonts w:ascii="宋体" w:hAnsi="宋体" w:cs="宋体"/>
          <w:color w:val="auto"/>
          <w:sz w:val="22"/>
          <w:szCs w:val="22"/>
          <w:highlight w:val="none"/>
        </w:rPr>
        <w:t>00</w:t>
      </w:r>
      <w:r>
        <w:rPr>
          <w:rFonts w:hint="eastAsia" w:ascii="宋体" w:hAnsi="宋体" w:cs="宋体"/>
          <w:color w:val="auto"/>
          <w:sz w:val="22"/>
          <w:szCs w:val="22"/>
          <w:highlight w:val="none"/>
        </w:rPr>
        <w:t>元/人，省际线路费用固定为</w:t>
      </w:r>
      <w:r>
        <w:rPr>
          <w:rFonts w:hint="eastAsia" w:ascii="宋体" w:hAnsi="宋体" w:cs="宋体"/>
          <w:color w:val="auto"/>
          <w:kern w:val="0"/>
          <w:sz w:val="22"/>
          <w:szCs w:val="22"/>
          <w:highlight w:val="none"/>
          <w:lang w:val="en-US" w:eastAsia="zh-CN"/>
        </w:rPr>
        <w:t>2</w:t>
      </w:r>
      <w:r>
        <w:rPr>
          <w:rFonts w:ascii="宋体" w:hAnsi="宋体" w:cs="宋体"/>
          <w:color w:val="auto"/>
          <w:kern w:val="0"/>
          <w:sz w:val="22"/>
          <w:szCs w:val="22"/>
          <w:highlight w:val="none"/>
        </w:rPr>
        <w:t>000</w:t>
      </w:r>
      <w:r>
        <w:rPr>
          <w:rFonts w:hint="eastAsia" w:ascii="宋体" w:hAnsi="宋体" w:cs="宋体"/>
          <w:color w:val="auto"/>
          <w:kern w:val="0"/>
          <w:sz w:val="22"/>
          <w:szCs w:val="22"/>
          <w:highlight w:val="none"/>
        </w:rPr>
        <w:t>元/人</w:t>
      </w:r>
      <w:r>
        <w:rPr>
          <w:rFonts w:hint="eastAsia" w:ascii="宋体" w:hAnsi="宋体" w:cs="宋体"/>
          <w:color w:val="auto"/>
          <w:sz w:val="22"/>
          <w:szCs w:val="22"/>
          <w:highlight w:val="none"/>
        </w:rPr>
        <w:t>，在实施阶段，职工可分批次任选某一线路。供应商应考虑职工疗休养的公平性、均衡性，自行安排上述线路的具体方案。成交供应商的方案应获得采购人的认可，采购人保留对成交供应商的某一线路指定其他方案的权利。</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2、时间：市域线路3天，省际线路5天（含在途时间）。组团按采购人计划实施，具体出团及返回时间根据供应商编制并获得采购人认可的方案为准。</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3、餐标：</w:t>
      </w:r>
      <w:r>
        <w:rPr>
          <w:rFonts w:hint="eastAsia" w:ascii="新宋体" w:hAnsi="新宋体" w:eastAsia="新宋体"/>
          <w:color w:val="auto"/>
          <w:sz w:val="22"/>
          <w:szCs w:val="22"/>
          <w:highlight w:val="none"/>
        </w:rPr>
        <w:t>在正规饭店或农家乐就餐，可采用10人一桌或自助餐的形式。入住酒店必须包含早餐，每人正餐餐费标准不低于为</w:t>
      </w:r>
      <w:r>
        <w:rPr>
          <w:rFonts w:ascii="新宋体" w:hAnsi="新宋体" w:eastAsia="新宋体"/>
          <w:color w:val="auto"/>
          <w:sz w:val="22"/>
          <w:szCs w:val="22"/>
          <w:highlight w:val="none"/>
        </w:rPr>
        <w:t>50</w:t>
      </w:r>
      <w:r>
        <w:rPr>
          <w:rFonts w:hint="eastAsia" w:ascii="新宋体" w:hAnsi="新宋体" w:eastAsia="新宋体"/>
          <w:color w:val="auto"/>
          <w:sz w:val="22"/>
          <w:szCs w:val="22"/>
          <w:highlight w:val="none"/>
        </w:rPr>
        <w:t>元/人。</w:t>
      </w:r>
      <w:r>
        <w:rPr>
          <w:rFonts w:hint="eastAsia" w:ascii="宋体" w:hAnsi="宋体" w:cs="宋体"/>
          <w:color w:val="auto"/>
          <w:sz w:val="22"/>
          <w:szCs w:val="22"/>
          <w:highlight w:val="none"/>
        </w:rPr>
        <w:t>具体供应正餐次数以供应商编制并获得采购人认可的方案为准。</w:t>
      </w:r>
    </w:p>
    <w:p>
      <w:pPr>
        <w:keepNext w:val="0"/>
        <w:keepLines w:val="0"/>
        <w:pageBreakBefore w:val="0"/>
        <w:widowControl w:val="0"/>
        <w:tabs>
          <w:tab w:val="left" w:pos="9135"/>
        </w:tabs>
        <w:kinsoku/>
        <w:wordWrap/>
        <w:overflowPunct/>
        <w:topLinePunct w:val="0"/>
        <w:bidi w:val="0"/>
        <w:snapToGrid/>
        <w:spacing w:line="4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新宋体" w:hAnsi="新宋体" w:eastAsia="新宋体"/>
          <w:color w:val="auto"/>
          <w:sz w:val="22"/>
          <w:szCs w:val="22"/>
          <w:highlight w:val="none"/>
        </w:rPr>
        <w:t>四星级及以上标准的酒店，开业或新装修时间不超过五年。住宿为标准间。住宿要求不安排一楼，尽可能在同一楼层，含早餐。要求房间干净，各个设施齐全且能正常使用，24小时供应热水。同一线路原则上住在同一家酒店。</w:t>
      </w:r>
      <w:r>
        <w:rPr>
          <w:rFonts w:hint="eastAsia" w:ascii="宋体" w:hAnsi="宋体" w:cs="宋体"/>
          <w:color w:val="auto"/>
          <w:sz w:val="22"/>
          <w:szCs w:val="22"/>
          <w:highlight w:val="none"/>
        </w:rPr>
        <w:t>供应商方案应列出每一线路的酒店名称、具体地点、网评分（网页截图），具体成团的酒店以供应商编制并获得采购人认可的方案为准，另外若团队中出现单男单女，个人不补住房差价，由旅行社承担或安排；个人要求单住房，需要补交个人房差价。</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szCs w:val="22"/>
          <w:highlight w:val="none"/>
        </w:rPr>
        <w:t>5、交通：采用优质空调旅游车（包括从车站至疗休养酒店或安排的景点、景区内交通等）。空调旅游车应提供车况好（20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年1月以后登记上牌）、内饰干净、下部有行李箱的车辆；驾驶员应具备准驾车型三年或以上驾龄。供应商方案应对此作出承诺，并预备不同人数团队的适配车型，并应获得采购人认可；团队出发前需提供高铁车票、旅游车辆及驾驶员信息；报团出行人按供应商要求提早提供相关身份证信息，以供购买高铁车票和安排适配车型。</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6、景点：包含线路安排的主要景区，其他沿途景点或周边景点以供应商编制并获得采购人认可的方案为准，</w:t>
      </w:r>
      <w:r>
        <w:rPr>
          <w:rFonts w:hint="eastAsia" w:ascii="宋体" w:hAnsi="宋体" w:cs="宋体"/>
          <w:b/>
          <w:color w:val="auto"/>
          <w:sz w:val="22"/>
          <w:szCs w:val="22"/>
          <w:highlight w:val="none"/>
        </w:rPr>
        <w:t>不得安排购物点</w:t>
      </w:r>
      <w:r>
        <w:rPr>
          <w:rFonts w:hint="eastAsia" w:ascii="宋体" w:hAnsi="宋体" w:cs="宋体"/>
          <w:color w:val="auto"/>
          <w:sz w:val="22"/>
          <w:szCs w:val="22"/>
          <w:highlight w:val="none"/>
        </w:rPr>
        <w:t>。景点门票包括大门票和景点内必游的小门票，以及索道（如有）、电瓶车（如有）、游船（如有）等，自费的娱乐项目除外。方案应针对每条线路具体编制，并列出每个参观景点及计划参观时间等。</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服务人员：设本项目服务专员（项目负责人），要求具备一定的资历资格和丰富的从业经验，加强双方沟通，根据采购人要求及时调整方案并获得采购人认可，应急处理相关事务等。具体出团全程配全程陪同导游及地陪导游，要求不少于三年导游经验，引导、讲解景点山水、典故等，解决旅途中可能出现的突发事件，并给予游客食、宿、行等方面的帮助。</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8、组团：采购人内部公布线路和供应商方案后，由职工自由报名组团【因采购人每批次疗休养人数较少，供应商应和采购人协商提供较少座位数车辆，但必须保证车辆足够舒适，供应商可提前在磋商响应文件中做好预案供采购人参考】，</w:t>
      </w:r>
      <w:r>
        <w:rPr>
          <w:rFonts w:hint="eastAsia" w:ascii="宋体" w:hAnsi="宋体" w:cs="宋体"/>
          <w:b/>
          <w:bCs/>
          <w:color w:val="auto"/>
          <w:sz w:val="22"/>
          <w:szCs w:val="22"/>
          <w:highlight w:val="none"/>
        </w:rPr>
        <w:t>最多组团人数</w:t>
      </w:r>
      <w:r>
        <w:rPr>
          <w:rFonts w:ascii="宋体" w:hAnsi="宋体" w:cs="宋体"/>
          <w:b/>
          <w:bCs/>
          <w:color w:val="auto"/>
          <w:sz w:val="22"/>
          <w:szCs w:val="22"/>
          <w:highlight w:val="none"/>
        </w:rPr>
        <w:t>2</w:t>
      </w:r>
      <w:r>
        <w:rPr>
          <w:rFonts w:hint="eastAsia" w:ascii="宋体" w:hAnsi="宋体" w:cs="宋体"/>
          <w:b/>
          <w:bCs/>
          <w:color w:val="auto"/>
          <w:sz w:val="22"/>
          <w:szCs w:val="22"/>
          <w:highlight w:val="none"/>
        </w:rPr>
        <w:t>1人（已报名成团的，因临时退团不足</w:t>
      </w:r>
      <w:r>
        <w:rPr>
          <w:rFonts w:ascii="宋体" w:hAnsi="宋体" w:cs="宋体"/>
          <w:b/>
          <w:bCs/>
          <w:color w:val="auto"/>
          <w:sz w:val="22"/>
          <w:szCs w:val="22"/>
          <w:highlight w:val="none"/>
        </w:rPr>
        <w:t>2</w:t>
      </w:r>
      <w:r>
        <w:rPr>
          <w:rFonts w:hint="eastAsia" w:ascii="宋体" w:hAnsi="宋体" w:cs="宋体"/>
          <w:b/>
          <w:bCs/>
          <w:color w:val="auto"/>
          <w:sz w:val="22"/>
          <w:szCs w:val="22"/>
          <w:highlight w:val="none"/>
        </w:rPr>
        <w:t>0人的，该团继续出行，退团人员按退团规定补退团费用即可）</w:t>
      </w:r>
      <w:r>
        <w:rPr>
          <w:rFonts w:hint="eastAsia" w:ascii="宋体" w:hAnsi="宋体" w:cs="宋体"/>
          <w:color w:val="auto"/>
          <w:sz w:val="22"/>
          <w:szCs w:val="22"/>
          <w:highlight w:val="none"/>
        </w:rPr>
        <w:t>，供应商可提出更灵活更优惠的方案。组团后如出现临时退团的情形，供应商应允许出团前除预定的高铁车票（飞机机票）退票费用（按国家规定执行，由疗休养活动单位或个人自负）外可无条件退团，并保证不得降低未退团职工约定的疗休养标准。</w:t>
      </w:r>
    </w:p>
    <w:p>
      <w:pPr>
        <w:keepNext w:val="0"/>
        <w:keepLines w:val="0"/>
        <w:pageBreakBefore w:val="0"/>
        <w:widowControl w:val="0"/>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除上述外，磋商供应商还应提出相应的应急方案，如出团前4个工作日内提出退团的或因退团导致出团人数过少的解决方案或应急措施，以供应商编制并获得采购人认可的方案为准。</w:t>
      </w:r>
    </w:p>
    <w:p>
      <w:pPr>
        <w:keepNext w:val="0"/>
        <w:keepLines w:val="0"/>
        <w:pageBreakBefore w:val="0"/>
        <w:widowControl w:val="0"/>
        <w:numPr>
          <w:ilvl w:val="0"/>
          <w:numId w:val="8"/>
        </w:numPr>
        <w:kinsoku/>
        <w:wordWrap/>
        <w:overflowPunct/>
        <w:topLinePunct w:val="0"/>
        <w:autoSpaceDN w:val="0"/>
        <w:bidi w:val="0"/>
        <w:snapToGrid/>
        <w:spacing w:line="4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szCs w:val="22"/>
          <w:highlight w:val="none"/>
        </w:rPr>
        <w:t>费用：此次价格包括以上参团职工吃、住、行及景点门票费、导游费、保险费（旅游全程保险费）、服务人员（导游、司机等）吃、住、行费用、供应商预计的其他费用和风险费用。供应商应根据自身编制的方案并考虑职工疗休养的公平性、均衡性。</w:t>
      </w:r>
    </w:p>
    <w:p>
      <w:pPr>
        <w:keepNext w:val="0"/>
        <w:keepLines w:val="0"/>
        <w:pageBreakBefore w:val="0"/>
        <w:widowControl w:val="0"/>
        <w:numPr>
          <w:ilvl w:val="0"/>
          <w:numId w:val="8"/>
        </w:numPr>
        <w:kinsoku/>
        <w:wordWrap/>
        <w:overflowPunct/>
        <w:topLinePunct w:val="0"/>
        <w:autoSpaceDN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另外单人门票未消费的可退回至本人，团体餐费未消费的需补充到全团消费。</w:t>
      </w:r>
    </w:p>
    <w:p>
      <w:pPr>
        <w:keepNext w:val="0"/>
        <w:keepLines w:val="0"/>
        <w:pageBreakBefore w:val="0"/>
        <w:widowControl w:val="0"/>
        <w:numPr>
          <w:ilvl w:val="0"/>
          <w:numId w:val="8"/>
        </w:numPr>
        <w:kinsoku/>
        <w:wordWrap/>
        <w:overflowPunct/>
        <w:topLinePunct w:val="0"/>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实施过程中出现有效投诉3次或以上的，采购人有权终止合同。</w:t>
      </w:r>
    </w:p>
    <w:p>
      <w:pPr>
        <w:keepNext w:val="0"/>
        <w:keepLines w:val="0"/>
        <w:pageBreakBefore w:val="0"/>
        <w:widowControl w:val="0"/>
        <w:numPr>
          <w:ilvl w:val="0"/>
          <w:numId w:val="8"/>
        </w:numPr>
        <w:kinsoku/>
        <w:wordWrap/>
        <w:overflowPunct/>
        <w:topLinePunct w:val="0"/>
        <w:bidi w:val="0"/>
        <w:snapToGrid/>
        <w:spacing w:line="460" w:lineRule="exact"/>
        <w:ind w:firstLine="440" w:firstLineChars="200"/>
        <w:textAlignment w:val="auto"/>
        <w:rPr>
          <w:rFonts w:ascii="宋体" w:hAnsi="宋体" w:cs="宋体"/>
          <w:color w:val="auto"/>
          <w:sz w:val="22"/>
          <w:highlight w:val="none"/>
        </w:rPr>
      </w:pPr>
      <w:r>
        <w:rPr>
          <w:rFonts w:hint="eastAsia" w:ascii="宋体" w:hAnsi="宋体"/>
          <w:color w:val="auto"/>
          <w:sz w:val="22"/>
          <w:szCs w:val="22"/>
          <w:highlight w:val="none"/>
        </w:rPr>
        <w:t>每次完成当次疗养服务后，必须让出行代表填写《满意度调查表》，当次调查表出团人员10%（含）以上出现差评时，应扣除当次出行费用的5%至10%（具体扣除费用由采购人确定）。</w:t>
      </w:r>
    </w:p>
    <w:bookmarkEnd w:id="47"/>
    <w:p>
      <w:pPr>
        <w:tabs>
          <w:tab w:val="left" w:pos="9135"/>
        </w:tabs>
        <w:spacing w:line="440" w:lineRule="exact"/>
        <w:ind w:left="214" w:leftChars="-1" w:hanging="216" w:hangingChars="98"/>
        <w:rPr>
          <w:rFonts w:hint="eastAsia" w:ascii="宋体" w:hAnsi="宋体"/>
          <w:b/>
          <w:color w:val="auto"/>
          <w:sz w:val="22"/>
          <w:szCs w:val="22"/>
          <w:highlight w:val="none"/>
        </w:rPr>
      </w:pPr>
      <w:r>
        <w:rPr>
          <w:rFonts w:hint="eastAsia" w:ascii="宋体" w:hAnsi="宋体"/>
          <w:b/>
          <w:color w:val="auto"/>
          <w:sz w:val="22"/>
          <w:szCs w:val="22"/>
          <w:highlight w:val="none"/>
        </w:rPr>
        <w:t>四、其它说明</w:t>
      </w:r>
    </w:p>
    <w:p>
      <w:pPr>
        <w:tabs>
          <w:tab w:val="left" w:pos="9135"/>
        </w:tabs>
        <w:spacing w:line="440" w:lineRule="exact"/>
        <w:ind w:left="440" w:hanging="440" w:hanging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 本次采购人职工人数约为</w:t>
      </w:r>
      <w:r>
        <w:rPr>
          <w:rFonts w:hint="eastAsia" w:ascii="新宋体" w:hAnsi="新宋体" w:eastAsia="新宋体"/>
          <w:color w:val="auto"/>
          <w:sz w:val="22"/>
          <w:szCs w:val="22"/>
          <w:highlight w:val="none"/>
          <w:lang w:val="en-US" w:eastAsia="zh-CN"/>
        </w:rPr>
        <w:t>121</w:t>
      </w:r>
      <w:r>
        <w:rPr>
          <w:rFonts w:hint="eastAsia" w:ascii="新宋体" w:hAnsi="新宋体" w:eastAsia="新宋体"/>
          <w:color w:val="auto"/>
          <w:sz w:val="22"/>
          <w:szCs w:val="22"/>
          <w:highlight w:val="none"/>
        </w:rPr>
        <w:t>人左右，具体疗休养人数以实际人数为准，合同款按线路的实际人数*每人综合单价进行结算。</w:t>
      </w:r>
    </w:p>
    <w:p>
      <w:pPr>
        <w:tabs>
          <w:tab w:val="left" w:pos="9135"/>
        </w:tabs>
        <w:spacing w:line="440" w:lineRule="exact"/>
        <w:ind w:left="440" w:hanging="440" w:hangingChars="200"/>
        <w:rPr>
          <w:rFonts w:hint="eastAsia" w:ascii="新宋体" w:hAnsi="新宋体" w:eastAsia="新宋体"/>
          <w:color w:val="auto"/>
          <w:sz w:val="22"/>
          <w:szCs w:val="22"/>
          <w:highlight w:val="none"/>
          <w:u w:val="singl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w:t>
      </w:r>
      <w:r>
        <w:rPr>
          <w:rFonts w:hint="eastAsia" w:ascii="新宋体" w:hAnsi="新宋体" w:eastAsia="新宋体"/>
          <w:b/>
          <w:bCs/>
          <w:color w:val="auto"/>
          <w:sz w:val="22"/>
          <w:szCs w:val="22"/>
          <w:highlight w:val="none"/>
          <w:u w:val="single"/>
        </w:rPr>
        <w:t>▲市域线路每人综合单价均限定为1200元，省际线路每人综合单价均限定为</w:t>
      </w:r>
      <w:r>
        <w:rPr>
          <w:rFonts w:hint="eastAsia" w:ascii="新宋体" w:hAnsi="新宋体" w:eastAsia="新宋体"/>
          <w:b/>
          <w:bCs/>
          <w:color w:val="auto"/>
          <w:sz w:val="22"/>
          <w:szCs w:val="22"/>
          <w:highlight w:val="none"/>
          <w:u w:val="single"/>
          <w:lang w:val="en-US" w:eastAsia="zh-CN"/>
        </w:rPr>
        <w:t>2</w:t>
      </w:r>
      <w:r>
        <w:rPr>
          <w:rFonts w:hint="eastAsia" w:ascii="新宋体" w:hAnsi="新宋体" w:eastAsia="新宋体"/>
          <w:b/>
          <w:bCs/>
          <w:color w:val="auto"/>
          <w:sz w:val="22"/>
          <w:szCs w:val="22"/>
          <w:highlight w:val="none"/>
          <w:u w:val="single"/>
        </w:rPr>
        <w:t>000元，不需要供应商进行报价。</w:t>
      </w:r>
    </w:p>
    <w:p>
      <w:pPr>
        <w:tabs>
          <w:tab w:val="left" w:pos="9135"/>
        </w:tabs>
        <w:spacing w:line="440" w:lineRule="exact"/>
        <w:ind w:left="440" w:hanging="440" w:hangingChars="200"/>
        <w:rPr>
          <w:rFonts w:ascii="新宋体" w:hAnsi="新宋体" w:eastAsia="新宋体"/>
          <w:color w:val="auto"/>
          <w:sz w:val="22"/>
          <w:szCs w:val="22"/>
          <w:highlight w:val="none"/>
        </w:rPr>
      </w:pPr>
      <w:r>
        <w:rPr>
          <w:rFonts w:ascii="新宋体" w:hAnsi="新宋体" w:eastAsia="新宋体"/>
          <w:color w:val="auto"/>
          <w:sz w:val="22"/>
          <w:szCs w:val="22"/>
          <w:highlight w:val="none"/>
        </w:rPr>
        <w:t>3</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采购人在选择疗休养线路时可根据自身情况，要求供应商提供本次</w:t>
      </w:r>
      <w:r>
        <w:rPr>
          <w:rFonts w:hint="eastAsia" w:ascii="新宋体" w:hAnsi="新宋体" w:eastAsia="新宋体"/>
          <w:color w:val="auto"/>
          <w:sz w:val="22"/>
          <w:szCs w:val="22"/>
          <w:highlight w:val="none"/>
          <w:lang w:val="en-US" w:eastAsia="zh-CN"/>
        </w:rPr>
        <w:t>招标</w:t>
      </w:r>
      <w:r>
        <w:rPr>
          <w:rFonts w:hint="eastAsia" w:ascii="新宋体" w:hAnsi="新宋体" w:eastAsia="新宋体"/>
          <w:color w:val="auto"/>
          <w:sz w:val="22"/>
          <w:szCs w:val="22"/>
          <w:highlight w:val="none"/>
        </w:rPr>
        <w:t>内容以外的线路，保持综合单价不变。</w:t>
      </w:r>
    </w:p>
    <w:p>
      <w:pPr>
        <w:tabs>
          <w:tab w:val="left" w:pos="9135"/>
        </w:tabs>
        <w:spacing w:line="440" w:lineRule="exact"/>
        <w:ind w:left="214" w:leftChars="-1" w:hanging="216" w:hangingChars="98"/>
        <w:rPr>
          <w:rFonts w:ascii="宋体" w:hAnsi="宋体"/>
          <w:b/>
          <w:color w:val="auto"/>
          <w:sz w:val="22"/>
          <w:szCs w:val="22"/>
          <w:highlight w:val="none"/>
        </w:rPr>
      </w:pPr>
      <w:r>
        <w:rPr>
          <w:rFonts w:hint="eastAsia" w:ascii="宋体" w:hAnsi="宋体"/>
          <w:b/>
          <w:color w:val="auto"/>
          <w:sz w:val="22"/>
          <w:szCs w:val="22"/>
          <w:highlight w:val="none"/>
        </w:rPr>
        <w:t>五、商务、技术部分</w:t>
      </w:r>
    </w:p>
    <w:tbl>
      <w:tblPr>
        <w:tblStyle w:val="53"/>
        <w:tblW w:w="9558" w:type="dxa"/>
        <w:tblInd w:w="1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3"/>
        <w:gridCol w:w="8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支付方式</w:t>
            </w:r>
          </w:p>
        </w:tc>
        <w:tc>
          <w:tcPr>
            <w:tcW w:w="80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
                <w:bCs/>
                <w:color w:val="auto"/>
                <w:sz w:val="22"/>
                <w:highlight w:val="none"/>
              </w:rPr>
            </w:pPr>
            <w:r>
              <w:rPr>
                <w:rFonts w:hint="eastAsia" w:ascii="宋体" w:hAnsi="宋体"/>
                <w:color w:val="auto"/>
                <w:kern w:val="0"/>
                <w:sz w:val="22"/>
                <w:szCs w:val="22"/>
                <w:highlight w:val="none"/>
              </w:rPr>
              <w:t>供应商在提供疗休养服务后，按合同规定的价格足额开具的正式发票，同时提供每批次职工疗休养合同（复印件），采购人据此与供应商分别结算，每批次结算一次（完成疗休养服务后</w:t>
            </w:r>
            <w:r>
              <w:rPr>
                <w:rFonts w:hint="eastAsia" w:ascii="宋体" w:hAnsi="宋体"/>
                <w:b/>
                <w:bCs/>
                <w:color w:val="auto"/>
                <w:kern w:val="0"/>
                <w:sz w:val="22"/>
                <w:szCs w:val="22"/>
                <w:highlight w:val="none"/>
                <w:lang w:val="en-US" w:eastAsia="zh-CN"/>
              </w:rPr>
              <w:t>30</w:t>
            </w:r>
            <w:r>
              <w:rPr>
                <w:rFonts w:hint="eastAsia" w:ascii="宋体" w:hAnsi="宋体"/>
                <w:b/>
                <w:bCs/>
                <w:color w:val="auto"/>
                <w:kern w:val="0"/>
                <w:sz w:val="22"/>
                <w:szCs w:val="22"/>
                <w:highlight w:val="none"/>
              </w:rPr>
              <w:t>日</w:t>
            </w:r>
            <w:r>
              <w:rPr>
                <w:rFonts w:hint="eastAsia" w:ascii="宋体" w:hAnsi="宋体"/>
                <w:color w:val="auto"/>
                <w:kern w:val="0"/>
                <w:sz w:val="22"/>
                <w:szCs w:val="22"/>
                <w:highlight w:val="none"/>
              </w:rPr>
              <w:t>内），在采购人履行财务审核程序后，办理付款手续。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服务时间</w:t>
            </w:r>
          </w:p>
        </w:tc>
        <w:tc>
          <w:tcPr>
            <w:tcW w:w="8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2"/>
                <w:highlight w:val="none"/>
              </w:rPr>
            </w:pPr>
            <w:r>
              <w:rPr>
                <w:rFonts w:hint="eastAsia" w:ascii="宋体" w:hAnsi="宋体"/>
                <w:color w:val="auto"/>
                <w:sz w:val="22"/>
                <w:szCs w:val="22"/>
                <w:highlight w:val="none"/>
              </w:rPr>
              <w:t>本次招标项目服务时间为</w:t>
            </w:r>
            <w:r>
              <w:rPr>
                <w:rFonts w:ascii="宋体" w:hAnsi="宋体"/>
                <w:color w:val="auto"/>
                <w:sz w:val="22"/>
                <w:szCs w:val="22"/>
                <w:highlight w:val="none"/>
              </w:rPr>
              <w:t>1</w:t>
            </w:r>
            <w:r>
              <w:rPr>
                <w:rFonts w:hint="eastAsia" w:ascii="宋体" w:hAnsi="宋体"/>
                <w:color w:val="auto"/>
                <w:sz w:val="22"/>
                <w:szCs w:val="22"/>
                <w:highlight w:val="none"/>
              </w:rPr>
              <w:t>年，自合同签订之日起开始计算。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服务地点</w:t>
            </w:r>
          </w:p>
        </w:tc>
        <w:tc>
          <w:tcPr>
            <w:tcW w:w="8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验收标准</w:t>
            </w:r>
          </w:p>
        </w:tc>
        <w:tc>
          <w:tcPr>
            <w:tcW w:w="8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szCs w:val="22"/>
                <w:highlight w:val="none"/>
              </w:rPr>
              <w:t>按满意度调查表确认（满意度调查表详见附表）。</w:t>
            </w:r>
          </w:p>
        </w:tc>
      </w:tr>
    </w:tbl>
    <w:p>
      <w:pPr>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45"/>
      <w:bookmarkEnd w:id="46"/>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8" w:name="_Toc4407"/>
      <w:bookmarkStart w:id="49" w:name="_Toc15713"/>
      <w:r>
        <w:rPr>
          <w:rFonts w:hint="eastAsia" w:ascii="宋体" w:hAnsi="宋体" w:eastAsia="宋体" w:cs="宋体"/>
          <w:b/>
          <w:color w:val="auto"/>
          <w:sz w:val="22"/>
          <w:szCs w:val="22"/>
          <w:highlight w:val="none"/>
        </w:rPr>
        <w:t>一、总 则</w:t>
      </w:r>
      <w:bookmarkEnd w:id="48"/>
      <w:bookmarkEnd w:id="49"/>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24468"/>
      <w:bookmarkStart w:id="51" w:name="_Toc23152"/>
      <w:r>
        <w:rPr>
          <w:rFonts w:hint="eastAsia" w:ascii="宋体" w:hAnsi="宋体" w:eastAsia="宋体" w:cs="宋体"/>
          <w:b/>
          <w:color w:val="auto"/>
          <w:sz w:val="22"/>
          <w:szCs w:val="22"/>
          <w:highlight w:val="none"/>
        </w:rPr>
        <w:t>二、评标组织</w:t>
      </w:r>
      <w:bookmarkEnd w:id="50"/>
      <w:bookmarkEnd w:id="5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67"/>
      <w:bookmarkStart w:id="53" w:name="_Toc15153"/>
      <w:r>
        <w:rPr>
          <w:rFonts w:hint="eastAsia" w:ascii="宋体" w:hAnsi="宋体" w:eastAsia="宋体" w:cs="宋体"/>
          <w:b/>
          <w:color w:val="auto"/>
          <w:sz w:val="22"/>
          <w:szCs w:val="22"/>
          <w:highlight w:val="none"/>
        </w:rPr>
        <w:t>三、评标程序</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24825"/>
      <w:bookmarkStart w:id="55" w:name="_Toc11306"/>
      <w:r>
        <w:rPr>
          <w:rFonts w:hint="eastAsia" w:ascii="宋体" w:hAnsi="宋体" w:eastAsia="宋体" w:cs="宋体"/>
          <w:b/>
          <w:color w:val="auto"/>
          <w:sz w:val="22"/>
          <w:szCs w:val="22"/>
          <w:highlight w:val="none"/>
        </w:rPr>
        <w:t>四、评标办法</w:t>
      </w:r>
      <w:bookmarkEnd w:id="54"/>
      <w:bookmarkEnd w:id="5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1535"/>
      <w:bookmarkStart w:id="57" w:name="_Toc11450"/>
      <w:r>
        <w:rPr>
          <w:rFonts w:hint="eastAsia" w:ascii="宋体" w:hAnsi="宋体" w:eastAsia="宋体" w:cs="宋体"/>
          <w:b/>
          <w:color w:val="auto"/>
          <w:sz w:val="22"/>
          <w:szCs w:val="22"/>
          <w:highlight w:val="none"/>
        </w:rPr>
        <w:t>评分细则</w:t>
      </w:r>
      <w:bookmarkEnd w:id="56"/>
      <w:bookmarkEnd w:id="5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b/>
                <w:color w:val="auto"/>
                <w:sz w:val="22"/>
                <w:szCs w:val="22"/>
                <w:highlight w:val="none"/>
              </w:rPr>
            </w:pPr>
            <w:bookmarkStart w:id="58" w:name="_Hlk518666386"/>
            <w:r>
              <w:rPr>
                <w:rFonts w:hint="eastAsia" w:ascii="宋体" w:hAnsi="宋体" w:cs="Arial"/>
                <w:b/>
                <w:color w:val="auto"/>
                <w:sz w:val="22"/>
                <w:szCs w:val="22"/>
                <w:highlight w:val="none"/>
              </w:rPr>
              <w:t>序号</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b/>
                <w:color w:val="auto"/>
                <w:sz w:val="22"/>
                <w:szCs w:val="22"/>
                <w:highlight w:val="none"/>
              </w:rPr>
            </w:pPr>
            <w:r>
              <w:rPr>
                <w:rFonts w:hint="eastAsia" w:ascii="宋体" w:hAnsi="宋体" w:cs="Arial"/>
                <w:b/>
                <w:color w:val="auto"/>
                <w:sz w:val="22"/>
                <w:szCs w:val="22"/>
                <w:highlight w:val="none"/>
              </w:rPr>
              <w:t>评分项目</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b/>
                <w:color w:val="auto"/>
                <w:sz w:val="22"/>
                <w:szCs w:val="22"/>
                <w:highlight w:val="none"/>
              </w:rPr>
            </w:pPr>
            <w:r>
              <w:rPr>
                <w:rFonts w:hint="eastAsia" w:ascii="宋体" w:hAnsi="宋体" w:cs="Arial"/>
                <w:b/>
                <w:color w:val="auto"/>
                <w:sz w:val="22"/>
                <w:szCs w:val="22"/>
                <w:highlight w:val="none"/>
              </w:rPr>
              <w:t>分值</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b/>
                <w:color w:val="auto"/>
                <w:sz w:val="22"/>
                <w:szCs w:val="22"/>
                <w:highlight w:val="none"/>
              </w:rPr>
            </w:pPr>
            <w:r>
              <w:rPr>
                <w:rFonts w:hint="eastAsia" w:ascii="宋体" w:hAnsi="宋体" w:cs="Arial"/>
                <w:b/>
                <w:color w:val="auto"/>
                <w:sz w:val="22"/>
                <w:szCs w:val="22"/>
                <w:highlight w:val="none"/>
              </w:rPr>
              <w:t>评审要点及说明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1</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ascii="宋体" w:hAnsi="宋体" w:cs="Arial"/>
                <w:color w:val="auto"/>
                <w:sz w:val="22"/>
                <w:szCs w:val="22"/>
                <w:highlight w:val="none"/>
              </w:rPr>
            </w:pP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lang w:val="zh-CN"/>
              </w:rPr>
              <w:t>企业规范性</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hint="default" w:ascii="宋体" w:hAnsi="宋体" w:cs="Arial"/>
                <w:color w:val="auto"/>
                <w:sz w:val="22"/>
                <w:szCs w:val="22"/>
                <w:highlight w:val="none"/>
                <w:lang w:val="en-US"/>
              </w:rPr>
              <w:t>3</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Arial"/>
                <w:color w:val="auto"/>
                <w:sz w:val="22"/>
                <w:szCs w:val="22"/>
                <w:highlight w:val="none"/>
              </w:rPr>
            </w:pPr>
            <w:r>
              <w:rPr>
                <w:rFonts w:hint="eastAsia" w:ascii="宋体" w:hAnsi="宋体" w:cs="宋体"/>
                <w:color w:val="auto"/>
                <w:sz w:val="22"/>
                <w:szCs w:val="22"/>
                <w:highlight w:val="none"/>
              </w:rPr>
              <w:t>根据</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企业管理制度、投诉处理等制度建设是否规范等情况综合评分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2</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同类项目业绩</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宋体"/>
                <w:color w:val="auto"/>
                <w:sz w:val="22"/>
                <w:szCs w:val="22"/>
                <w:highlight w:val="none"/>
              </w:rPr>
              <w:t>3</w:t>
            </w:r>
          </w:p>
        </w:tc>
        <w:tc>
          <w:tcPr>
            <w:tcW w:w="6946"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ascii="宋体" w:hAnsi="宋体" w:cs="宋体"/>
                <w:color w:val="auto"/>
                <w:sz w:val="22"/>
                <w:highlight w:val="none"/>
                <w:lang w:val="zh-CN"/>
              </w:rPr>
            </w:pP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lang w:val="zh-CN"/>
              </w:rPr>
              <w:t>自20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lang w:val="zh-CN"/>
              </w:rPr>
              <w:t>年0</w:t>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月01日（含）以来（以合同签订时间为准）至本项目投标截止时间在国内签订的同类（疗休养类）项目业绩，符合条件</w:t>
            </w:r>
            <w:r>
              <w:rPr>
                <w:rFonts w:hint="eastAsia" w:ascii="宋体" w:hAnsi="宋体" w:cs="宋体"/>
                <w:color w:val="auto"/>
                <w:sz w:val="22"/>
                <w:szCs w:val="22"/>
                <w:highlight w:val="none"/>
                <w:lang w:val="en-US" w:eastAsia="zh-CN"/>
              </w:rPr>
              <w:t>每个得1分</w:t>
            </w:r>
            <w:r>
              <w:rPr>
                <w:rFonts w:hint="eastAsia" w:ascii="宋体" w:hAnsi="宋体" w:cs="宋体"/>
                <w:color w:val="auto"/>
                <w:sz w:val="22"/>
                <w:szCs w:val="22"/>
                <w:highlight w:val="none"/>
                <w:lang w:val="zh-CN"/>
              </w:rPr>
              <w:t>，最高得</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分。</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Arial"/>
                <w:color w:val="auto"/>
                <w:sz w:val="22"/>
                <w:szCs w:val="22"/>
                <w:highlight w:val="none"/>
              </w:rPr>
            </w:pPr>
            <w:r>
              <w:rPr>
                <w:rFonts w:hint="eastAsia" w:ascii="宋体" w:hAnsi="宋体" w:cs="宋体"/>
                <w:color w:val="auto"/>
                <w:sz w:val="22"/>
                <w:szCs w:val="22"/>
                <w:highlight w:val="none"/>
                <w:lang w:val="zh-CN"/>
              </w:rPr>
              <w:t>注：</w:t>
            </w:r>
            <w:r>
              <w:rPr>
                <w:rFonts w:hint="eastAsia" w:ascii="宋体" w:hAnsi="宋体" w:cs="宋体"/>
                <w:color w:val="auto"/>
                <w:sz w:val="22"/>
                <w:szCs w:val="22"/>
                <w:highlight w:val="none"/>
              </w:rPr>
              <w:t>响应文件内</w:t>
            </w:r>
            <w:r>
              <w:rPr>
                <w:rFonts w:hint="eastAsia" w:ascii="宋体" w:hAnsi="宋体" w:cs="宋体"/>
                <w:color w:val="auto"/>
                <w:sz w:val="22"/>
                <w:szCs w:val="22"/>
                <w:highlight w:val="none"/>
                <w:lang w:val="zh-CN"/>
              </w:rPr>
              <w:t>提供的完整合同复印件并加盖</w:t>
            </w:r>
            <w:r>
              <w:rPr>
                <w:rFonts w:hint="eastAsia" w:ascii="宋体" w:hAnsi="宋体" w:cs="宋体"/>
                <w:color w:val="auto"/>
                <w:sz w:val="22"/>
                <w:szCs w:val="22"/>
                <w:highlight w:val="none"/>
                <w:lang w:val="en-US" w:eastAsia="zh-CN"/>
              </w:rPr>
              <w:t>投标人单位</w:t>
            </w:r>
            <w:r>
              <w:rPr>
                <w:rFonts w:hint="eastAsia" w:ascii="宋体" w:hAnsi="宋体" w:cs="宋体"/>
                <w:color w:val="auto"/>
                <w:sz w:val="22"/>
                <w:szCs w:val="22"/>
                <w:highlight w:val="none"/>
                <w:lang w:val="zh-CN"/>
              </w:rPr>
              <w:t>公章，否则不得分。</w:t>
            </w:r>
            <w:r>
              <w:rPr>
                <w:rFonts w:hint="eastAsia" w:ascii="宋体" w:hAnsi="宋体" w:cs="宋体"/>
                <w:b w:val="0"/>
                <w:bCs w:val="0"/>
                <w:color w:val="auto"/>
                <w:kern w:val="0"/>
                <w:sz w:val="22"/>
                <w:szCs w:val="22"/>
                <w:highlight w:val="none"/>
                <w:lang w:val="en-US" w:eastAsia="zh-CN"/>
              </w:rPr>
              <w:t>同一个采购人视为1个业绩</w:t>
            </w:r>
            <w:r>
              <w:rPr>
                <w:rFonts w:hint="eastAsia" w:ascii="宋体" w:hAnsi="宋体" w:cs="宋体"/>
                <w:b w:val="0"/>
                <w:bCs w:val="0"/>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3</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hint="eastAsia" w:ascii="宋体" w:hAnsi="宋体" w:cs="宋体"/>
                <w:color w:val="auto"/>
                <w:sz w:val="22"/>
                <w:szCs w:val="22"/>
                <w:highlight w:val="none"/>
                <w:lang w:val="zh-CN"/>
              </w:rPr>
              <w:t>项目投入人员素质情况</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ascii="宋体" w:hAnsi="宋体" w:cs="宋体"/>
                <w:color w:val="auto"/>
                <w:spacing w:val="-6"/>
                <w:sz w:val="22"/>
                <w:szCs w:val="22"/>
                <w:highlight w:val="none"/>
              </w:rPr>
              <w:t>5</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ascii="宋体" w:hAnsi="宋体" w:cs="宋体"/>
                <w:color w:val="auto"/>
                <w:spacing w:val="-6"/>
                <w:sz w:val="22"/>
                <w:highlight w:val="none"/>
                <w:lang w:val="zh-CN"/>
              </w:rPr>
            </w:pPr>
            <w:r>
              <w:rPr>
                <w:rFonts w:hint="eastAsia" w:ascii="宋体" w:hAnsi="宋体" w:cs="宋体"/>
                <w:color w:val="auto"/>
                <w:spacing w:val="-6"/>
                <w:sz w:val="22"/>
                <w:szCs w:val="22"/>
                <w:highlight w:val="none"/>
              </w:rPr>
              <w:t>1）</w:t>
            </w:r>
            <w:r>
              <w:rPr>
                <w:rFonts w:hint="eastAsia" w:ascii="宋体" w:hAnsi="宋体" w:cs="宋体"/>
                <w:color w:val="auto"/>
                <w:spacing w:val="-6"/>
                <w:sz w:val="22"/>
                <w:szCs w:val="22"/>
                <w:highlight w:val="none"/>
                <w:lang w:val="zh-CN"/>
              </w:rPr>
              <w:t>项目负责人（领队）的专业素质、技术能力、经验等情况，是否具有类似项目经验，是否具有调动各项资源的能力</w:t>
            </w:r>
            <w:r>
              <w:rPr>
                <w:rFonts w:hint="eastAsia" w:ascii="宋体" w:hAnsi="宋体" w:cs="宋体"/>
                <w:color w:val="auto"/>
                <w:spacing w:val="-6"/>
                <w:sz w:val="22"/>
                <w:szCs w:val="22"/>
                <w:highlight w:val="none"/>
              </w:rPr>
              <w:t>综合给分</w:t>
            </w:r>
            <w:r>
              <w:rPr>
                <w:rFonts w:hint="eastAsia" w:ascii="宋体" w:hAnsi="宋体" w:cs="宋体"/>
                <w:color w:val="auto"/>
                <w:spacing w:val="-6"/>
                <w:sz w:val="22"/>
                <w:szCs w:val="22"/>
                <w:highlight w:val="none"/>
                <w:lang w:val="zh-CN"/>
              </w:rPr>
              <w:t>（</w:t>
            </w:r>
            <w:r>
              <w:rPr>
                <w:rFonts w:hint="eastAsia" w:ascii="宋体" w:hAnsi="宋体" w:cs="宋体"/>
                <w:color w:val="auto"/>
                <w:spacing w:val="-6"/>
                <w:sz w:val="22"/>
                <w:szCs w:val="22"/>
                <w:highlight w:val="none"/>
              </w:rPr>
              <w:t>0-</w:t>
            </w:r>
            <w:r>
              <w:rPr>
                <w:rFonts w:ascii="宋体" w:hAnsi="宋体" w:cs="宋体"/>
                <w:color w:val="auto"/>
                <w:spacing w:val="-6"/>
                <w:sz w:val="22"/>
                <w:szCs w:val="22"/>
                <w:highlight w:val="none"/>
              </w:rPr>
              <w:t>3</w:t>
            </w:r>
            <w:r>
              <w:rPr>
                <w:rFonts w:hint="eastAsia" w:ascii="宋体" w:hAnsi="宋体" w:cs="宋体"/>
                <w:color w:val="auto"/>
                <w:spacing w:val="-6"/>
                <w:sz w:val="22"/>
                <w:szCs w:val="22"/>
                <w:highlight w:val="none"/>
              </w:rPr>
              <w:t>分</w:t>
            </w:r>
            <w:r>
              <w:rPr>
                <w:rFonts w:hint="eastAsia" w:ascii="宋体" w:hAnsi="宋体" w:cs="宋体"/>
                <w:color w:val="auto"/>
                <w:spacing w:val="-6"/>
                <w:sz w:val="22"/>
                <w:szCs w:val="22"/>
                <w:highlight w:val="none"/>
                <w:lang w:val="zh-CN"/>
              </w:rPr>
              <w:t>）。</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Arial"/>
                <w:b/>
                <w:color w:val="auto"/>
                <w:sz w:val="22"/>
                <w:szCs w:val="22"/>
                <w:highlight w:val="none"/>
                <w:u w:val="single"/>
              </w:rPr>
            </w:pPr>
            <w:r>
              <w:rPr>
                <w:rFonts w:hint="eastAsia" w:ascii="宋体" w:hAnsi="宋体" w:cs="宋体"/>
                <w:color w:val="auto"/>
                <w:spacing w:val="-6"/>
                <w:sz w:val="22"/>
                <w:szCs w:val="22"/>
                <w:highlight w:val="none"/>
              </w:rPr>
              <w:t>2）</w:t>
            </w:r>
            <w:r>
              <w:rPr>
                <w:rFonts w:hint="eastAsia" w:ascii="宋体" w:hAnsi="宋体" w:cs="宋体"/>
                <w:color w:val="auto"/>
                <w:sz w:val="22"/>
                <w:szCs w:val="22"/>
                <w:highlight w:val="none"/>
                <w:lang w:val="zh-CN"/>
              </w:rPr>
              <w:t>项目组实施人员专业人员素质、技术能力、类似项目经验等情况，数量是否充足，是否具有类似</w:t>
            </w:r>
            <w:r>
              <w:rPr>
                <w:rFonts w:hint="eastAsia" w:ascii="宋体" w:hAnsi="宋体" w:cs="宋体"/>
                <w:color w:val="auto"/>
                <w:sz w:val="22"/>
                <w:szCs w:val="22"/>
                <w:highlight w:val="none"/>
              </w:rPr>
              <w:t>职工等服务项目的工作经</w:t>
            </w:r>
            <w:r>
              <w:rPr>
                <w:rFonts w:hint="eastAsia" w:ascii="宋体" w:hAnsi="宋体" w:cs="宋体"/>
                <w:color w:val="auto"/>
                <w:sz w:val="22"/>
                <w:szCs w:val="22"/>
                <w:highlight w:val="none"/>
                <w:lang w:val="zh-CN"/>
              </w:rPr>
              <w:t>项目经验</w:t>
            </w:r>
            <w:r>
              <w:rPr>
                <w:rFonts w:hint="eastAsia" w:ascii="宋体" w:hAnsi="宋体" w:cs="宋体"/>
                <w:color w:val="auto"/>
                <w:kern w:val="0"/>
                <w:sz w:val="22"/>
                <w:szCs w:val="22"/>
                <w:highlight w:val="none"/>
              </w:rPr>
              <w:t>综合给分</w:t>
            </w:r>
            <w:r>
              <w:rPr>
                <w:rFonts w:hint="eastAsia" w:ascii="宋体" w:hAnsi="宋体" w:cs="宋体"/>
                <w:color w:val="auto"/>
                <w:spacing w:val="-6"/>
                <w:sz w:val="22"/>
                <w:szCs w:val="22"/>
                <w:highlight w:val="none"/>
                <w:lang w:val="zh-CN"/>
              </w:rPr>
              <w:t>（</w:t>
            </w:r>
            <w:r>
              <w:rPr>
                <w:rFonts w:hint="eastAsia" w:ascii="宋体" w:hAnsi="宋体" w:cs="宋体"/>
                <w:color w:val="auto"/>
                <w:spacing w:val="-6"/>
                <w:sz w:val="22"/>
                <w:szCs w:val="22"/>
                <w:highlight w:val="none"/>
              </w:rPr>
              <w:t>0-2分</w:t>
            </w:r>
            <w:r>
              <w:rPr>
                <w:rFonts w:hint="eastAsia" w:ascii="宋体" w:hAnsi="宋体" w:cs="宋体"/>
                <w:color w:val="auto"/>
                <w:spacing w:val="-6"/>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75" w:type="dxa"/>
            <w:vMerge w:val="restart"/>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4</w:t>
            </w:r>
          </w:p>
        </w:tc>
        <w:tc>
          <w:tcPr>
            <w:tcW w:w="1560" w:type="dxa"/>
            <w:vMerge w:val="restart"/>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ascii="宋体" w:hAnsi="宋体" w:cs="Arial"/>
                <w:color w:val="auto"/>
                <w:sz w:val="22"/>
                <w:szCs w:val="22"/>
                <w:highlight w:val="none"/>
              </w:rPr>
            </w:pPr>
            <w:r>
              <w:rPr>
                <w:rFonts w:hint="eastAsia" w:ascii="宋体" w:hAnsi="宋体" w:cs="宋体"/>
                <w:color w:val="auto"/>
                <w:sz w:val="22"/>
                <w:szCs w:val="22"/>
                <w:highlight w:val="none"/>
                <w:lang w:val="zh-CN"/>
              </w:rPr>
              <w:t>疗休养策划方案</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lang w:val="en-US" w:eastAsia="zh-CN"/>
              </w:rPr>
              <w:t>5</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highlight w:val="none"/>
                <w:lang w:val="zh-CN"/>
              </w:rPr>
            </w:pPr>
            <w:r>
              <w:rPr>
                <w:rFonts w:hint="eastAsia" w:ascii="宋体" w:hAnsi="宋体" w:cs="宋体"/>
                <w:color w:val="auto"/>
                <w:sz w:val="22"/>
                <w:szCs w:val="22"/>
                <w:highlight w:val="none"/>
              </w:rPr>
              <w:t>景点安排：景点安排中增加5A级景点或4A级景点的适当进行加分，当天各景点距离不宜过远，以舒适游为主，标明各景点档次、景点之间的车程时间，根据景点安排的合理性等情况综合打分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0-15分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75"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p>
        </w:tc>
        <w:tc>
          <w:tcPr>
            <w:tcW w:w="1560"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z w:val="22"/>
                <w:szCs w:val="22"/>
                <w:highlight w:val="none"/>
                <w:lang w:val="zh-CN"/>
              </w:rPr>
            </w:pP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2"/>
                <w:szCs w:val="22"/>
                <w:highlight w:val="none"/>
                <w:lang w:eastAsia="zh-CN"/>
              </w:rPr>
            </w:pPr>
            <w:r>
              <w:rPr>
                <w:rFonts w:hint="eastAsia" w:ascii="宋体" w:hAnsi="宋体" w:cs="宋体"/>
                <w:color w:val="auto"/>
                <w:spacing w:val="-6"/>
                <w:sz w:val="22"/>
                <w:szCs w:val="22"/>
                <w:highlight w:val="none"/>
              </w:rPr>
              <w:t>1</w:t>
            </w:r>
            <w:r>
              <w:rPr>
                <w:rFonts w:hint="eastAsia" w:ascii="宋体" w:hAnsi="宋体" w:cs="宋体"/>
                <w:color w:val="auto"/>
                <w:spacing w:val="-6"/>
                <w:sz w:val="22"/>
                <w:szCs w:val="22"/>
                <w:highlight w:val="none"/>
                <w:lang w:val="en-US" w:eastAsia="zh-CN"/>
              </w:rPr>
              <w:t>5</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路线安排：根据总体出行线路安排（当天出行路线安排、整体行程安排，住宿至各景点的路线行程安排）的合理性、科学性等情况综合打分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0-15分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75"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p>
        </w:tc>
        <w:tc>
          <w:tcPr>
            <w:tcW w:w="1560"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z w:val="22"/>
                <w:szCs w:val="22"/>
                <w:highlight w:val="none"/>
                <w:lang w:val="zh-CN"/>
              </w:rPr>
            </w:pP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25</w:t>
            </w:r>
          </w:p>
        </w:tc>
        <w:tc>
          <w:tcPr>
            <w:tcW w:w="6946" w:type="dxa"/>
            <w:shd w:val="clear" w:color="auto" w:fill="FFFFFF"/>
            <w:noWrap w:val="0"/>
            <w:vAlign w:val="center"/>
          </w:tcPr>
          <w:p>
            <w:pPr>
              <w:pStyle w:val="52"/>
              <w:spacing w:line="360" w:lineRule="auto"/>
              <w:ind w:left="0" w:leftChars="0" w:firstLine="0" w:firstLineChars="0"/>
              <w:rPr>
                <w:rFonts w:hint="eastAsia" w:eastAsia="新宋体"/>
                <w:color w:val="auto"/>
                <w:highlight w:val="none"/>
                <w:lang w:eastAsia="zh-CN"/>
              </w:rPr>
            </w:pPr>
            <w:r>
              <w:rPr>
                <w:rFonts w:hint="eastAsia"/>
                <w:color w:val="auto"/>
                <w:sz w:val="22"/>
                <w:szCs w:val="28"/>
                <w:highlight w:val="none"/>
                <w:lang w:val="zh-CN"/>
              </w:rPr>
              <w:t>酒店住宿安排：</w:t>
            </w:r>
            <w:r>
              <w:rPr>
                <w:rFonts w:hint="eastAsia" w:ascii="新宋体" w:hAnsi="新宋体" w:eastAsia="新宋体" w:cs="新宋体"/>
                <w:color w:val="auto"/>
                <w:sz w:val="22"/>
                <w:highlight w:val="none"/>
              </w:rPr>
              <w:t>各线路住宿安排高于招标要求（挂牌五星或相当于五星的，以五星标准作为参考依据</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原则上酒店安排不多于2个；住宿安排必须提供住宿点的具体星级等级，无挂牌的提供相当于同档次星级的资料，如网评资料、相关主管单位评定资料等；同时提供酒店相关地理位置及住宿点具体情况介绍及联系号码等情况进行打分</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lang w:val="en-US" w:eastAsia="zh-CN"/>
              </w:rPr>
              <w:t>0-25分</w:t>
            </w:r>
            <w:r>
              <w:rPr>
                <w:rFonts w:hint="eastAsia" w:ascii="新宋体" w:hAnsi="新宋体" w:eastAsia="新宋体" w:cs="新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p>
        </w:tc>
        <w:tc>
          <w:tcPr>
            <w:tcW w:w="1560"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z w:val="22"/>
                <w:szCs w:val="22"/>
                <w:highlight w:val="none"/>
                <w:lang w:val="zh-CN"/>
              </w:rPr>
            </w:pP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2"/>
                <w:szCs w:val="22"/>
                <w:highlight w:val="none"/>
                <w:lang w:eastAsia="zh-CN"/>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lang w:val="en-US" w:eastAsia="zh-CN"/>
              </w:rPr>
              <w:t>5</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textAlignment w:val="auto"/>
              <w:rPr>
                <w:rFonts w:ascii="宋体" w:hAnsi="宋体" w:cs="宋体"/>
                <w:color w:val="auto"/>
                <w:spacing w:val="-6"/>
                <w:sz w:val="22"/>
                <w:szCs w:val="22"/>
                <w:highlight w:val="none"/>
                <w:lang w:val="zh-CN"/>
              </w:rPr>
            </w:pPr>
            <w:r>
              <w:rPr>
                <w:rFonts w:hint="eastAsia" w:ascii="宋体" w:hAnsi="宋体" w:cs="宋体"/>
                <w:color w:val="auto"/>
                <w:spacing w:val="-6"/>
                <w:sz w:val="22"/>
                <w:szCs w:val="22"/>
                <w:highlight w:val="none"/>
                <w:lang w:val="zh-CN"/>
              </w:rPr>
              <w:t>餐标、旅游车或安排方案：根据按提供餐标及交通工具安排方案综合打分（</w:t>
            </w:r>
            <w:r>
              <w:rPr>
                <w:rFonts w:hint="eastAsia" w:ascii="宋体" w:hAnsi="宋体" w:cs="宋体"/>
                <w:color w:val="auto"/>
                <w:spacing w:val="-6"/>
                <w:sz w:val="22"/>
                <w:szCs w:val="22"/>
                <w:highlight w:val="none"/>
                <w:lang w:val="en-US" w:eastAsia="zh-CN"/>
              </w:rPr>
              <w:t>0-15分</w:t>
            </w:r>
            <w:r>
              <w:rPr>
                <w:rFonts w:hint="eastAsia" w:ascii="宋体" w:hAnsi="宋体" w:cs="宋体"/>
                <w:color w:val="auto"/>
                <w:spacing w:val="-6"/>
                <w:sz w:val="22"/>
                <w:szCs w:val="22"/>
                <w:highlight w:val="none"/>
                <w:lang w:val="zh-CN"/>
              </w:rPr>
              <w:t>）。（可提供相关图片、驾照复印件（扫描件）、行驶证复印件（扫描件）作为辅助评审资料）。</w:t>
            </w:r>
          </w:p>
          <w:p>
            <w:pPr>
              <w:keepNext w:val="0"/>
              <w:keepLines w:val="0"/>
              <w:pageBreakBefore w:val="0"/>
              <w:kinsoku/>
              <w:wordWrap/>
              <w:overflowPunct/>
              <w:topLinePunct w:val="0"/>
              <w:autoSpaceDE/>
              <w:autoSpaceDN/>
              <w:bidi w:val="0"/>
              <w:spacing w:line="460" w:lineRule="exact"/>
              <w:jc w:val="left"/>
              <w:textAlignment w:val="auto"/>
              <w:rPr>
                <w:rFonts w:hint="eastAsia" w:ascii="新宋体" w:hAnsi="新宋体" w:eastAsia="新宋体" w:cs="新宋体"/>
                <w:color w:val="auto"/>
                <w:sz w:val="22"/>
                <w:szCs w:val="22"/>
                <w:highlight w:val="none"/>
              </w:rPr>
            </w:pPr>
            <w:r>
              <w:rPr>
                <w:rFonts w:hint="eastAsia" w:ascii="宋体" w:hAnsi="宋体" w:cs="宋体"/>
                <w:color w:val="auto"/>
                <w:spacing w:val="-6"/>
                <w:sz w:val="22"/>
                <w:szCs w:val="22"/>
                <w:highlight w:val="none"/>
                <w:lang w:val="zh-CN"/>
              </w:rPr>
              <w:t>说明：餐标每人每餐</w:t>
            </w:r>
            <w:r>
              <w:rPr>
                <w:rFonts w:ascii="宋体" w:hAnsi="宋体" w:cs="宋体"/>
                <w:color w:val="auto"/>
                <w:spacing w:val="-6"/>
                <w:sz w:val="22"/>
                <w:szCs w:val="22"/>
                <w:highlight w:val="none"/>
                <w:lang w:val="zh-CN"/>
              </w:rPr>
              <w:t>50</w:t>
            </w:r>
            <w:r>
              <w:rPr>
                <w:rFonts w:hint="eastAsia" w:ascii="宋体" w:hAnsi="宋体" w:cs="宋体"/>
                <w:color w:val="auto"/>
                <w:spacing w:val="-6"/>
                <w:sz w:val="22"/>
                <w:szCs w:val="22"/>
                <w:highlight w:val="none"/>
                <w:lang w:val="zh-CN"/>
              </w:rPr>
              <w:t>元以下的不得分。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5</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宋体"/>
                <w:color w:val="auto"/>
                <w:spacing w:val="-6"/>
                <w:sz w:val="22"/>
                <w:szCs w:val="22"/>
                <w:highlight w:val="none"/>
                <w:lang w:val="zh-CN"/>
              </w:rPr>
              <w:t>保险承诺</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ascii="宋体" w:hAnsi="宋体" w:cs="宋体"/>
                <w:color w:val="auto"/>
                <w:spacing w:val="-6"/>
                <w:sz w:val="22"/>
                <w:szCs w:val="22"/>
                <w:highlight w:val="none"/>
              </w:rPr>
              <w:t>3</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Arial"/>
                <w:color w:val="auto"/>
                <w:sz w:val="22"/>
                <w:szCs w:val="22"/>
                <w:highlight w:val="none"/>
              </w:rPr>
            </w:pPr>
            <w:r>
              <w:rPr>
                <w:rFonts w:hint="eastAsia" w:ascii="宋体" w:hAnsi="宋体" w:cs="宋体"/>
                <w:color w:val="auto"/>
                <w:spacing w:val="-6"/>
                <w:sz w:val="22"/>
                <w:szCs w:val="22"/>
                <w:highlight w:val="none"/>
                <w:lang w:val="zh-CN"/>
              </w:rPr>
              <w:t>根据</w:t>
            </w:r>
            <w:r>
              <w:rPr>
                <w:rFonts w:hint="eastAsia" w:ascii="宋体" w:hAnsi="宋体" w:cs="宋体"/>
                <w:color w:val="auto"/>
                <w:spacing w:val="-6"/>
                <w:sz w:val="22"/>
                <w:szCs w:val="22"/>
                <w:highlight w:val="none"/>
                <w:lang w:val="en-US" w:eastAsia="zh-CN"/>
              </w:rPr>
              <w:t>投标人</w:t>
            </w:r>
            <w:r>
              <w:rPr>
                <w:rFonts w:hint="eastAsia" w:ascii="宋体" w:hAnsi="宋体" w:cs="宋体"/>
                <w:color w:val="auto"/>
                <w:spacing w:val="-6"/>
                <w:sz w:val="22"/>
                <w:szCs w:val="22"/>
                <w:highlight w:val="none"/>
                <w:lang w:val="zh-CN"/>
              </w:rPr>
              <w:t>投保的旅行社责任险保单中每次事故每人责任限额（每分项合计）及财产损失责任限额的总额由专家综合比较打分：100万元以下不得分,100万元得</w:t>
            </w:r>
            <w:r>
              <w:rPr>
                <w:rFonts w:ascii="宋体" w:hAnsi="宋体" w:cs="宋体"/>
                <w:color w:val="auto"/>
                <w:spacing w:val="-6"/>
                <w:sz w:val="22"/>
                <w:szCs w:val="22"/>
                <w:highlight w:val="none"/>
                <w:lang w:val="zh-CN"/>
              </w:rPr>
              <w:t>1</w:t>
            </w:r>
            <w:r>
              <w:rPr>
                <w:rFonts w:hint="eastAsia" w:ascii="宋体" w:hAnsi="宋体" w:cs="宋体"/>
                <w:color w:val="auto"/>
                <w:spacing w:val="-6"/>
                <w:sz w:val="22"/>
                <w:szCs w:val="22"/>
                <w:highlight w:val="none"/>
                <w:lang w:val="zh-CN"/>
              </w:rPr>
              <w:t>分,100万元（</w:t>
            </w:r>
            <w:r>
              <w:rPr>
                <w:rFonts w:hint="eastAsia" w:ascii="宋体" w:hAnsi="宋体" w:cs="宋体"/>
                <w:color w:val="auto"/>
                <w:spacing w:val="-6"/>
                <w:sz w:val="22"/>
                <w:szCs w:val="22"/>
                <w:highlight w:val="none"/>
                <w:lang w:val="en-US" w:eastAsia="zh-CN"/>
              </w:rPr>
              <w:t>不含</w:t>
            </w:r>
            <w:r>
              <w:rPr>
                <w:rFonts w:hint="eastAsia" w:ascii="宋体" w:hAnsi="宋体" w:cs="宋体"/>
                <w:color w:val="auto"/>
                <w:spacing w:val="-6"/>
                <w:sz w:val="22"/>
                <w:szCs w:val="22"/>
                <w:highlight w:val="none"/>
                <w:lang w:val="zh-CN"/>
              </w:rPr>
              <w:t>）-150万元（含）得</w:t>
            </w:r>
            <w:r>
              <w:rPr>
                <w:rFonts w:ascii="宋体" w:hAnsi="宋体" w:cs="宋体"/>
                <w:color w:val="auto"/>
                <w:spacing w:val="-6"/>
                <w:sz w:val="22"/>
                <w:szCs w:val="22"/>
                <w:highlight w:val="none"/>
                <w:lang w:val="zh-CN"/>
              </w:rPr>
              <w:t>2</w:t>
            </w:r>
            <w:r>
              <w:rPr>
                <w:rFonts w:hint="eastAsia" w:ascii="宋体" w:hAnsi="宋体" w:cs="宋体"/>
                <w:color w:val="auto"/>
                <w:spacing w:val="-6"/>
                <w:sz w:val="22"/>
                <w:szCs w:val="22"/>
                <w:highlight w:val="none"/>
                <w:lang w:val="zh-CN"/>
              </w:rPr>
              <w:t>分,150万元以上得</w:t>
            </w:r>
            <w:r>
              <w:rPr>
                <w:rFonts w:ascii="宋体" w:hAnsi="宋体" w:cs="宋体"/>
                <w:color w:val="auto"/>
                <w:spacing w:val="-6"/>
                <w:sz w:val="22"/>
                <w:szCs w:val="22"/>
                <w:highlight w:val="none"/>
                <w:lang w:val="zh-CN"/>
              </w:rPr>
              <w:t>3</w:t>
            </w:r>
            <w:r>
              <w:rPr>
                <w:rFonts w:hint="eastAsia" w:ascii="宋体" w:hAnsi="宋体" w:cs="宋体"/>
                <w:color w:val="auto"/>
                <w:spacing w:val="-6"/>
                <w:sz w:val="22"/>
                <w:szCs w:val="22"/>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6</w:t>
            </w:r>
          </w:p>
        </w:tc>
        <w:tc>
          <w:tcPr>
            <w:tcW w:w="1560" w:type="dxa"/>
            <w:vMerge w:val="restart"/>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hint="eastAsia" w:ascii="宋体" w:hAnsi="宋体" w:cs="宋体"/>
                <w:color w:val="auto"/>
                <w:spacing w:val="-6"/>
                <w:sz w:val="22"/>
                <w:szCs w:val="22"/>
                <w:highlight w:val="none"/>
                <w:lang w:val="en-US" w:eastAsia="zh-CN"/>
              </w:rPr>
              <w:t>售后服务</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zh-CN"/>
              </w:rPr>
              <w:t>2</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根据投标人服务网点机构的便利性等情况进行综合比较打分（0-2分）。</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szCs w:val="22"/>
                <w:highlight w:val="none"/>
                <w:lang w:val="zh-CN"/>
              </w:rPr>
            </w:pPr>
            <w:r>
              <w:rPr>
                <w:rFonts w:hint="eastAsia" w:ascii="宋体" w:hAnsi="宋体" w:cs="宋体"/>
                <w:color w:val="auto"/>
                <w:spacing w:val="-6"/>
                <w:sz w:val="22"/>
                <w:szCs w:val="22"/>
                <w:highlight w:val="none"/>
                <w:lang w:val="zh-CN"/>
              </w:rPr>
              <w:t>说明：提供营业执照、办事点或门店的具体证明资料等。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Arial"/>
                <w:color w:val="auto"/>
                <w:sz w:val="22"/>
                <w:szCs w:val="22"/>
                <w:highlight w:val="none"/>
              </w:rPr>
            </w:pPr>
          </w:p>
        </w:tc>
        <w:tc>
          <w:tcPr>
            <w:tcW w:w="1560" w:type="dxa"/>
            <w:vMerge w:val="continue"/>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ascii="宋体" w:hAnsi="宋体" w:cs="Arial"/>
                <w:color w:val="auto"/>
                <w:sz w:val="22"/>
                <w:szCs w:val="22"/>
                <w:highlight w:val="none"/>
              </w:rPr>
            </w:pP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ascii="宋体" w:hAnsi="宋体" w:cs="Arial"/>
                <w:color w:val="auto"/>
                <w:sz w:val="22"/>
                <w:szCs w:val="22"/>
                <w:highlight w:val="none"/>
              </w:rPr>
            </w:pPr>
            <w:r>
              <w:rPr>
                <w:rFonts w:hint="eastAsia" w:ascii="宋体" w:hAnsi="宋体" w:cs="宋体"/>
                <w:color w:val="auto"/>
                <w:spacing w:val="-6"/>
                <w:sz w:val="22"/>
                <w:szCs w:val="22"/>
                <w:highlight w:val="none"/>
                <w:lang w:val="zh-CN"/>
              </w:rPr>
              <w:t>2</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ascii="宋体" w:hAnsi="宋体" w:cs="宋体"/>
                <w:color w:val="auto"/>
                <w:spacing w:val="-6"/>
                <w:sz w:val="22"/>
                <w:szCs w:val="22"/>
                <w:highlight w:val="none"/>
                <w:lang w:val="zh-CN"/>
              </w:rPr>
            </w:pPr>
            <w:r>
              <w:rPr>
                <w:rFonts w:hint="eastAsia" w:ascii="宋体" w:hAnsi="宋体" w:cs="宋体"/>
                <w:color w:val="auto"/>
                <w:spacing w:val="-6"/>
                <w:sz w:val="22"/>
                <w:szCs w:val="22"/>
                <w:highlight w:val="none"/>
                <w:lang w:val="zh-CN"/>
              </w:rPr>
              <w:t>服务响应时间承诺：1小时内能响应并派人员到采购人协商地点的得2分，1小时至4小时内能响应并派人员到采购人协商地点的得1分，其它响应时间的由评委视情况进行打分0-0.5分。</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Arial"/>
                <w:b/>
                <w:color w:val="auto"/>
                <w:sz w:val="22"/>
                <w:szCs w:val="22"/>
                <w:highlight w:val="none"/>
                <w:u w:val="single"/>
              </w:rPr>
            </w:pPr>
            <w:r>
              <w:rPr>
                <w:rFonts w:hint="eastAsia" w:ascii="宋体" w:hAnsi="宋体" w:cs="宋体"/>
                <w:color w:val="auto"/>
                <w:spacing w:val="-6"/>
                <w:sz w:val="22"/>
                <w:szCs w:val="22"/>
                <w:highlight w:val="none"/>
              </w:rPr>
              <w:t>说明：以上需</w:t>
            </w:r>
            <w:r>
              <w:rPr>
                <w:rFonts w:hint="eastAsia" w:ascii="宋体" w:hAnsi="宋体" w:cs="宋体"/>
                <w:color w:val="auto"/>
                <w:spacing w:val="-6"/>
                <w:sz w:val="22"/>
                <w:szCs w:val="22"/>
                <w:highlight w:val="none"/>
                <w:lang w:val="en-US" w:eastAsia="zh-CN"/>
              </w:rPr>
              <w:t>投标人</w:t>
            </w:r>
            <w:r>
              <w:rPr>
                <w:rFonts w:hint="eastAsia" w:ascii="宋体" w:hAnsi="宋体" w:cs="宋体"/>
                <w:color w:val="auto"/>
                <w:spacing w:val="-6"/>
                <w:sz w:val="22"/>
                <w:szCs w:val="22"/>
                <w:highlight w:val="none"/>
              </w:rPr>
              <w:t>在商务和技术文件中提供相关承诺，否则不予计算得分。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7</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投诉处理及突发事件处理</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ascii="宋体" w:hAnsi="宋体" w:cs="宋体"/>
                <w:color w:val="auto"/>
                <w:spacing w:val="-6"/>
                <w:sz w:val="22"/>
                <w:szCs w:val="22"/>
                <w:highlight w:val="none"/>
              </w:rPr>
              <w:t>4</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（1）日常投诉处理详细方案及可行性情况综合打分（</w:t>
            </w:r>
            <w:r>
              <w:rPr>
                <w:rFonts w:hint="eastAsia" w:ascii="宋体" w:hAnsi="宋体" w:cs="宋体"/>
                <w:color w:val="auto"/>
                <w:spacing w:val="-6"/>
                <w:sz w:val="22"/>
                <w:szCs w:val="22"/>
                <w:highlight w:val="none"/>
                <w:lang w:val="en-US" w:eastAsia="zh-CN"/>
              </w:rPr>
              <w:t>0-</w:t>
            </w: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分）。</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（2）突发状况应对方案情况综合打分（</w:t>
            </w:r>
            <w:r>
              <w:rPr>
                <w:rFonts w:hint="eastAsia" w:ascii="宋体" w:hAnsi="宋体" w:cs="宋体"/>
                <w:color w:val="auto"/>
                <w:spacing w:val="-6"/>
                <w:sz w:val="22"/>
                <w:szCs w:val="22"/>
                <w:highlight w:val="none"/>
                <w:lang w:val="en-US" w:eastAsia="zh-CN"/>
              </w:rPr>
              <w:t>0-</w:t>
            </w: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8</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特色服务和增值服务方案</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ascii="宋体" w:hAnsi="宋体" w:cs="宋体"/>
                <w:color w:val="auto"/>
                <w:spacing w:val="-6"/>
                <w:sz w:val="22"/>
                <w:szCs w:val="22"/>
                <w:highlight w:val="none"/>
              </w:rPr>
              <w:t>4</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根据</w:t>
            </w:r>
            <w:r>
              <w:rPr>
                <w:rFonts w:hint="eastAsia" w:ascii="宋体" w:hAnsi="宋体" w:cs="宋体"/>
                <w:color w:val="auto"/>
                <w:spacing w:val="-6"/>
                <w:sz w:val="22"/>
                <w:szCs w:val="22"/>
                <w:highlight w:val="none"/>
                <w:lang w:val="en-US" w:eastAsia="zh-CN"/>
              </w:rPr>
              <w:t>投标人</w:t>
            </w:r>
            <w:r>
              <w:rPr>
                <w:rFonts w:hint="eastAsia" w:ascii="宋体" w:hAnsi="宋体" w:cs="宋体"/>
                <w:color w:val="auto"/>
                <w:spacing w:val="-6"/>
                <w:sz w:val="22"/>
                <w:szCs w:val="22"/>
                <w:highlight w:val="none"/>
              </w:rPr>
              <w:t>提供的后续服务方案和本项目的增值（特色）服务方案综合给分</w:t>
            </w:r>
            <w:r>
              <w:rPr>
                <w:rFonts w:hint="eastAsia" w:ascii="宋体" w:hAnsi="宋体" w:cs="宋体"/>
                <w:color w:val="auto"/>
                <w:spacing w:val="-6"/>
                <w:sz w:val="22"/>
                <w:szCs w:val="22"/>
                <w:highlight w:val="none"/>
                <w:lang w:eastAsia="zh-CN"/>
              </w:rPr>
              <w:t>（</w:t>
            </w:r>
            <w:r>
              <w:rPr>
                <w:rFonts w:hint="eastAsia" w:ascii="宋体" w:hAnsi="宋体" w:cs="宋体"/>
                <w:color w:val="auto"/>
                <w:spacing w:val="-6"/>
                <w:sz w:val="22"/>
                <w:szCs w:val="22"/>
                <w:highlight w:val="none"/>
                <w:lang w:val="en-US" w:eastAsia="zh-CN"/>
              </w:rPr>
              <w:t>0-4分</w:t>
            </w:r>
            <w:r>
              <w:rPr>
                <w:rFonts w:hint="eastAsia" w:ascii="宋体" w:hAnsi="宋体" w:cs="宋体"/>
                <w:color w:val="auto"/>
                <w:spacing w:val="-6"/>
                <w:sz w:val="22"/>
                <w:szCs w:val="22"/>
                <w:highlight w:val="none"/>
                <w:lang w:eastAsia="zh-CN"/>
              </w:rPr>
              <w:t>）</w:t>
            </w:r>
            <w:r>
              <w:rPr>
                <w:rFonts w:hint="eastAsia" w:ascii="宋体" w:hAnsi="宋体" w:cs="宋体"/>
                <w:color w:val="auto"/>
                <w:spacing w:val="-6"/>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9</w:t>
            </w:r>
          </w:p>
        </w:tc>
        <w:tc>
          <w:tcPr>
            <w:tcW w:w="1560"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ascii="宋体" w:hAnsi="宋体" w:cs="宋体"/>
                <w:color w:val="auto"/>
                <w:spacing w:val="-6"/>
                <w:sz w:val="22"/>
                <w:szCs w:val="22"/>
                <w:highlight w:val="none"/>
              </w:rPr>
              <w:t>其他优惠服务</w:t>
            </w:r>
          </w:p>
        </w:tc>
        <w:tc>
          <w:tcPr>
            <w:tcW w:w="709"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auto"/>
                <w:spacing w:val="-6"/>
                <w:sz w:val="22"/>
                <w:szCs w:val="22"/>
                <w:highlight w:val="none"/>
              </w:rPr>
            </w:pPr>
            <w:r>
              <w:rPr>
                <w:rFonts w:ascii="宋体" w:hAnsi="宋体" w:cs="宋体"/>
                <w:color w:val="auto"/>
                <w:spacing w:val="-6"/>
                <w:sz w:val="22"/>
                <w:szCs w:val="22"/>
                <w:highlight w:val="none"/>
              </w:rPr>
              <w:t>4</w:t>
            </w:r>
          </w:p>
        </w:tc>
        <w:tc>
          <w:tcPr>
            <w:tcW w:w="6946" w:type="dxa"/>
            <w:shd w:val="clear" w:color="auto" w:fill="FFFFFF"/>
            <w:noWrap w:val="0"/>
            <w:vAlign w:val="center"/>
          </w:tcPr>
          <w:p>
            <w:pPr>
              <w:keepNext w:val="0"/>
              <w:keepLines w:val="0"/>
              <w:pageBreakBefore w:val="0"/>
              <w:kinsoku/>
              <w:wordWrap/>
              <w:overflowPunct/>
              <w:topLinePunct w:val="0"/>
              <w:autoSpaceDE/>
              <w:autoSpaceDN/>
              <w:bidi w:val="0"/>
              <w:spacing w:line="460" w:lineRule="exact"/>
              <w:jc w:val="left"/>
              <w:textAlignment w:val="auto"/>
              <w:rPr>
                <w:rFonts w:hint="default" w:ascii="宋体" w:hAnsi="宋体" w:eastAsia="宋体" w:cs="宋体"/>
                <w:color w:val="auto"/>
                <w:spacing w:val="-6"/>
                <w:sz w:val="22"/>
                <w:szCs w:val="22"/>
                <w:highlight w:val="none"/>
                <w:lang w:val="en-US" w:eastAsia="zh-CN"/>
              </w:rPr>
            </w:pPr>
            <w:r>
              <w:rPr>
                <w:rFonts w:ascii="宋体" w:hAnsi="宋体" w:cs="宋体"/>
                <w:color w:val="auto"/>
                <w:spacing w:val="-6"/>
                <w:sz w:val="22"/>
                <w:szCs w:val="22"/>
                <w:highlight w:val="none"/>
              </w:rPr>
              <w:t>除</w:t>
            </w:r>
            <w:r>
              <w:rPr>
                <w:rFonts w:hint="eastAsia" w:ascii="宋体" w:hAnsi="宋体" w:cs="宋体"/>
                <w:color w:val="auto"/>
                <w:spacing w:val="-6"/>
                <w:sz w:val="22"/>
                <w:szCs w:val="22"/>
                <w:highlight w:val="none"/>
                <w:lang w:val="en-US" w:eastAsia="zh-CN"/>
              </w:rPr>
              <w:t>招标</w:t>
            </w:r>
            <w:r>
              <w:rPr>
                <w:rFonts w:ascii="宋体" w:hAnsi="宋体" w:cs="宋体"/>
                <w:color w:val="auto"/>
                <w:spacing w:val="-6"/>
                <w:sz w:val="22"/>
                <w:szCs w:val="22"/>
                <w:highlight w:val="none"/>
              </w:rPr>
              <w:t>文件中规定的服务要求以外，</w:t>
            </w:r>
            <w:r>
              <w:rPr>
                <w:rFonts w:hint="eastAsia" w:ascii="宋体" w:hAnsi="宋体" w:cs="宋体"/>
                <w:color w:val="auto"/>
                <w:spacing w:val="-6"/>
                <w:sz w:val="22"/>
                <w:szCs w:val="22"/>
                <w:highlight w:val="none"/>
                <w:lang w:val="en-US" w:eastAsia="zh-CN"/>
              </w:rPr>
              <w:t>投标人</w:t>
            </w:r>
            <w:r>
              <w:rPr>
                <w:rFonts w:ascii="宋体" w:hAnsi="宋体" w:cs="宋体"/>
                <w:color w:val="auto"/>
                <w:spacing w:val="-6"/>
                <w:sz w:val="22"/>
                <w:szCs w:val="22"/>
                <w:highlight w:val="none"/>
              </w:rPr>
              <w:t>针对本项目</w:t>
            </w:r>
            <w:r>
              <w:rPr>
                <w:rFonts w:hint="eastAsia" w:ascii="宋体" w:hAnsi="宋体" w:cs="宋体"/>
                <w:color w:val="auto"/>
                <w:spacing w:val="-6"/>
                <w:sz w:val="22"/>
                <w:szCs w:val="22"/>
                <w:highlight w:val="none"/>
                <w:lang w:val="en-US" w:eastAsia="zh-CN"/>
              </w:rPr>
              <w:t>提供</w:t>
            </w:r>
            <w:r>
              <w:rPr>
                <w:rFonts w:ascii="宋体" w:hAnsi="宋体" w:cs="宋体"/>
                <w:color w:val="auto"/>
                <w:spacing w:val="-6"/>
                <w:sz w:val="22"/>
                <w:szCs w:val="22"/>
                <w:highlight w:val="none"/>
              </w:rPr>
              <w:t>的优惠服务，根据其实用性、合理性打分</w:t>
            </w:r>
            <w:r>
              <w:rPr>
                <w:rFonts w:hint="eastAsia" w:ascii="宋体" w:hAnsi="宋体" w:cs="宋体"/>
                <w:color w:val="auto"/>
                <w:spacing w:val="-6"/>
                <w:sz w:val="22"/>
                <w:szCs w:val="22"/>
                <w:highlight w:val="none"/>
                <w:lang w:eastAsia="zh-CN"/>
              </w:rPr>
              <w:t>（</w:t>
            </w:r>
            <w:r>
              <w:rPr>
                <w:rFonts w:hint="eastAsia" w:ascii="宋体" w:hAnsi="宋体" w:cs="宋体"/>
                <w:color w:val="auto"/>
                <w:spacing w:val="-6"/>
                <w:sz w:val="22"/>
                <w:szCs w:val="22"/>
                <w:highlight w:val="none"/>
                <w:lang w:val="en-US" w:eastAsia="zh-CN"/>
              </w:rPr>
              <w:t>0-4分</w:t>
            </w:r>
            <w:r>
              <w:rPr>
                <w:rFonts w:hint="eastAsia" w:ascii="宋体" w:hAnsi="宋体" w:cs="宋体"/>
                <w:color w:val="auto"/>
                <w:spacing w:val="-6"/>
                <w:sz w:val="22"/>
                <w:szCs w:val="22"/>
                <w:highlight w:val="none"/>
                <w:lang w:eastAsia="zh-CN"/>
              </w:rPr>
              <w:t>）</w:t>
            </w:r>
            <w:r>
              <w:rPr>
                <w:rFonts w:hint="eastAsia" w:ascii="宋体" w:hAnsi="宋体" w:cs="宋体"/>
                <w:color w:val="auto"/>
                <w:spacing w:val="-6"/>
                <w:sz w:val="22"/>
                <w:szCs w:val="22"/>
                <w:highlight w:val="none"/>
              </w:rPr>
              <w:t>。</w:t>
            </w:r>
            <w:r>
              <w:rPr>
                <w:rFonts w:hint="eastAsia" w:ascii="宋体" w:hAnsi="宋体" w:cs="宋体"/>
                <w:color w:val="auto"/>
                <w:spacing w:val="-6"/>
                <w:sz w:val="22"/>
                <w:szCs w:val="22"/>
                <w:highlight w:val="none"/>
                <w:lang w:val="en-US" w:eastAsia="zh-CN"/>
              </w:rPr>
              <w:t>无实质性优惠条件的不得分。</w:t>
            </w:r>
          </w:p>
        </w:tc>
      </w:tr>
      <w:bookmarkEnd w:id="58"/>
    </w:tbl>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3、有效投标人的综合得分为技术分的总和。</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9" w:name="_Toc2482"/>
      <w:bookmarkStart w:id="60" w:name="_Toc4727"/>
      <w:r>
        <w:rPr>
          <w:rFonts w:hint="eastAsia" w:ascii="宋体" w:hAnsi="宋体" w:eastAsia="宋体" w:cs="宋体"/>
          <w:b/>
          <w:bCs/>
          <w:color w:val="auto"/>
          <w:sz w:val="22"/>
          <w:szCs w:val="22"/>
          <w:highlight w:val="none"/>
        </w:rPr>
        <w:t>六、定标办法</w:t>
      </w:r>
      <w:bookmarkEnd w:id="59"/>
      <w:bookmarkEnd w:id="60"/>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kern w:val="0"/>
          <w:sz w:val="22"/>
          <w:szCs w:val="22"/>
          <w:highlight w:val="none"/>
        </w:rPr>
        <w:t>、</w:t>
      </w:r>
      <w:r>
        <w:rPr>
          <w:rFonts w:hint="eastAsia" w:ascii="宋体" w:hAnsi="宋体" w:eastAsia="宋体" w:cs="宋体"/>
          <w:b w:val="0"/>
          <w:bCs w:val="0"/>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1.2评标委员会依据法律、法规及招标文件有关规定按评审后得分（即技术分）由高到低顺序排序，得分前二名的投标人确定为该项目的第一和第二中标候选人（</w:t>
      </w:r>
      <w:r>
        <w:rPr>
          <w:rFonts w:hint="eastAsia" w:ascii="宋体" w:hAnsi="宋体" w:cs="宋体"/>
          <w:color w:val="auto"/>
          <w:sz w:val="22"/>
          <w:szCs w:val="22"/>
          <w:highlight w:val="none"/>
          <w:lang w:val="en-US" w:eastAsia="zh-CN"/>
        </w:rPr>
        <w:t>技术</w:t>
      </w:r>
      <w:r>
        <w:rPr>
          <w:rFonts w:hint="eastAsia" w:ascii="宋体" w:hAnsi="宋体" w:eastAsia="宋体" w:cs="宋体"/>
          <w:color w:val="auto"/>
          <w:sz w:val="22"/>
          <w:szCs w:val="22"/>
          <w:highlight w:val="none"/>
        </w:rPr>
        <w:t>得分相同</w:t>
      </w:r>
      <w:r>
        <w:rPr>
          <w:rFonts w:hint="eastAsia" w:ascii="宋体" w:hAnsi="宋体" w:cs="宋体"/>
          <w:color w:val="auto"/>
          <w:sz w:val="22"/>
          <w:szCs w:val="22"/>
          <w:highlight w:val="none"/>
          <w:lang w:val="en-US" w:eastAsia="zh-CN"/>
        </w:rPr>
        <w:t>并列</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rPr>
        <w:t>由评标委员会采取随机抽取的方式确定</w:t>
      </w:r>
      <w:r>
        <w:rPr>
          <w:rFonts w:hint="eastAsia" w:ascii="宋体" w:hAnsi="宋体" w:cs="宋体"/>
          <w:color w:val="auto"/>
          <w:sz w:val="22"/>
          <w:szCs w:val="22"/>
          <w:highlight w:val="none"/>
          <w:lang w:val="en-US" w:eastAsia="zh-CN"/>
        </w:rPr>
        <w:t>名次优先者</w:t>
      </w:r>
      <w:r>
        <w:rPr>
          <w:rFonts w:hint="eastAsia" w:ascii="宋体" w:hAnsi="宋体" w:eastAsia="宋体" w:cs="宋体"/>
          <w:color w:val="auto"/>
          <w:sz w:val="22"/>
          <w:szCs w:val="22"/>
          <w:highlight w:val="none"/>
        </w:rPr>
        <w:t>）向招标人推荐。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val="0"/>
          <w:bCs w:val="0"/>
          <w:color w:val="auto"/>
          <w:sz w:val="22"/>
          <w:szCs w:val="22"/>
          <w:highlight w:val="none"/>
        </w:rPr>
        <w:t>2.1招标人按照评标报告中推荐的中标候选供应商顺序确定中标人；也可以事先授权评标委员会按照推荐的中标候选供应商顺序直接确定中标人。中标候选人并列的，由评标委员会采取随机抽取的方式确定。</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bookmarkStart w:id="61" w:name="_Toc3629"/>
      <w:bookmarkStart w:id="62" w:name="_Toc17587"/>
    </w:p>
    <w:p>
      <w:pPr>
        <w:spacing w:line="460" w:lineRule="exact"/>
        <w:ind w:firstLine="541" w:firstLineChars="245"/>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七、投标人义务</w:t>
      </w:r>
      <w:bookmarkEnd w:id="61"/>
      <w:bookmarkEnd w:id="62"/>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WZLCZB（W）-2023-03080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WZLCZB（W）-2023-03080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88BE161C"/>
    <w:multiLevelType w:val="singleLevel"/>
    <w:tmpl w:val="88BE161C"/>
    <w:lvl w:ilvl="0" w:tentative="0">
      <w:start w:val="9"/>
      <w:numFmt w:val="decimal"/>
      <w:suff w:val="nothing"/>
      <w:lvlText w:val="%1、"/>
      <w:lvlJc w:val="left"/>
    </w:lvl>
  </w:abstractNum>
  <w:abstractNum w:abstractNumId="2">
    <w:nsid w:val="9DED2AFC"/>
    <w:multiLevelType w:val="singleLevel"/>
    <w:tmpl w:val="9DED2AFC"/>
    <w:lvl w:ilvl="0" w:tentative="0">
      <w:start w:val="4"/>
      <w:numFmt w:val="chineseCounting"/>
      <w:suff w:val="space"/>
      <w:lvlText w:val="第%1部分"/>
      <w:lvlJc w:val="left"/>
      <w:rPr>
        <w:rFonts w:hint="eastAsia"/>
      </w:rPr>
    </w:lvl>
  </w:abstractNum>
  <w:abstractNum w:abstractNumId="3">
    <w:nsid w:val="B1C0EE6B"/>
    <w:multiLevelType w:val="singleLevel"/>
    <w:tmpl w:val="B1C0EE6B"/>
    <w:lvl w:ilvl="0" w:tentative="0">
      <w:start w:val="5"/>
      <w:numFmt w:val="chineseCounting"/>
      <w:suff w:val="nothing"/>
      <w:lvlText w:val="%1、"/>
      <w:lvlJc w:val="left"/>
      <w:rPr>
        <w:rFonts w:hint="eastAsia"/>
      </w:rPr>
    </w:lvl>
  </w:abstractNum>
  <w:abstractNum w:abstractNumId="4">
    <w:nsid w:val="BAF9EC89"/>
    <w:multiLevelType w:val="singleLevel"/>
    <w:tmpl w:val="BAF9EC89"/>
    <w:lvl w:ilvl="0" w:tentative="0">
      <w:start w:val="1"/>
      <w:numFmt w:val="chineseCounting"/>
      <w:suff w:val="nothing"/>
      <w:lvlText w:val="（%1）"/>
      <w:lvlJc w:val="left"/>
      <w:rPr>
        <w:rFonts w:hint="eastAsia"/>
      </w:rPr>
    </w:lvl>
  </w:abstractNum>
  <w:abstractNum w:abstractNumId="5">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7">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52D7A3B6"/>
    <w:multiLevelType w:val="singleLevel"/>
    <w:tmpl w:val="52D7A3B6"/>
    <w:lvl w:ilvl="0" w:tentative="0">
      <w:start w:val="1"/>
      <w:numFmt w:val="decimal"/>
      <w:suff w:val="nothing"/>
      <w:lvlText w:val="（%1）"/>
      <w:lvlJc w:val="left"/>
    </w:lvl>
  </w:abstractNum>
  <w:num w:numId="1">
    <w:abstractNumId w:val="6"/>
  </w:num>
  <w:num w:numId="2">
    <w:abstractNumId w:val="5"/>
  </w:num>
  <w:num w:numId="3">
    <w:abstractNumId w:val="7"/>
  </w:num>
  <w:num w:numId="4">
    <w:abstractNumId w:val="0"/>
  </w:num>
  <w:num w:numId="5">
    <w:abstractNumId w:val="8"/>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270A2"/>
    <w:rsid w:val="02841565"/>
    <w:rsid w:val="029411C5"/>
    <w:rsid w:val="02B3222E"/>
    <w:rsid w:val="02F63BA4"/>
    <w:rsid w:val="031D0871"/>
    <w:rsid w:val="03283281"/>
    <w:rsid w:val="03331487"/>
    <w:rsid w:val="034A64CB"/>
    <w:rsid w:val="039714E5"/>
    <w:rsid w:val="03A05429"/>
    <w:rsid w:val="03BE392F"/>
    <w:rsid w:val="03E13A1E"/>
    <w:rsid w:val="04156ACE"/>
    <w:rsid w:val="042A5AFC"/>
    <w:rsid w:val="043D6DF1"/>
    <w:rsid w:val="043F2279"/>
    <w:rsid w:val="044865A2"/>
    <w:rsid w:val="048B4A02"/>
    <w:rsid w:val="048D46D7"/>
    <w:rsid w:val="04A01243"/>
    <w:rsid w:val="04C27070"/>
    <w:rsid w:val="04E23C80"/>
    <w:rsid w:val="04FD6D0A"/>
    <w:rsid w:val="050751FC"/>
    <w:rsid w:val="05166806"/>
    <w:rsid w:val="0529508C"/>
    <w:rsid w:val="05355B4E"/>
    <w:rsid w:val="053A30CA"/>
    <w:rsid w:val="054F5ED5"/>
    <w:rsid w:val="057D25F0"/>
    <w:rsid w:val="05936339"/>
    <w:rsid w:val="05992721"/>
    <w:rsid w:val="05B14A6B"/>
    <w:rsid w:val="05D76F02"/>
    <w:rsid w:val="062F7E7F"/>
    <w:rsid w:val="0650016B"/>
    <w:rsid w:val="06695ADA"/>
    <w:rsid w:val="067F52AB"/>
    <w:rsid w:val="06E17425"/>
    <w:rsid w:val="06E81491"/>
    <w:rsid w:val="07081502"/>
    <w:rsid w:val="070C604B"/>
    <w:rsid w:val="072046E3"/>
    <w:rsid w:val="07373C8C"/>
    <w:rsid w:val="074234A9"/>
    <w:rsid w:val="0747552D"/>
    <w:rsid w:val="074E1793"/>
    <w:rsid w:val="07592C30"/>
    <w:rsid w:val="07791E20"/>
    <w:rsid w:val="078177D5"/>
    <w:rsid w:val="07865C0E"/>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3042BA"/>
    <w:rsid w:val="0BAC1F4C"/>
    <w:rsid w:val="0BBE4F63"/>
    <w:rsid w:val="0BDA530A"/>
    <w:rsid w:val="0C0247C0"/>
    <w:rsid w:val="0C353302"/>
    <w:rsid w:val="0C496297"/>
    <w:rsid w:val="0C660E5E"/>
    <w:rsid w:val="0C7C51F9"/>
    <w:rsid w:val="0C9420A5"/>
    <w:rsid w:val="0C9A109E"/>
    <w:rsid w:val="0CA74D09"/>
    <w:rsid w:val="0CA9483B"/>
    <w:rsid w:val="0CC51217"/>
    <w:rsid w:val="0CE16324"/>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C8358F"/>
    <w:rsid w:val="0EE50D43"/>
    <w:rsid w:val="0F0377AE"/>
    <w:rsid w:val="0F0E6EE3"/>
    <w:rsid w:val="0F706416"/>
    <w:rsid w:val="0FCD5779"/>
    <w:rsid w:val="0FD03A0D"/>
    <w:rsid w:val="10381F40"/>
    <w:rsid w:val="104869BA"/>
    <w:rsid w:val="109A2257"/>
    <w:rsid w:val="10AB1294"/>
    <w:rsid w:val="10F47168"/>
    <w:rsid w:val="110264F1"/>
    <w:rsid w:val="1104198D"/>
    <w:rsid w:val="111A71BB"/>
    <w:rsid w:val="11342860"/>
    <w:rsid w:val="115434FF"/>
    <w:rsid w:val="115D3896"/>
    <w:rsid w:val="11967974"/>
    <w:rsid w:val="11A0539B"/>
    <w:rsid w:val="11B62E53"/>
    <w:rsid w:val="12103D4D"/>
    <w:rsid w:val="12345EA5"/>
    <w:rsid w:val="124027F2"/>
    <w:rsid w:val="125A673E"/>
    <w:rsid w:val="12775E6D"/>
    <w:rsid w:val="12930883"/>
    <w:rsid w:val="12A01322"/>
    <w:rsid w:val="12AB0828"/>
    <w:rsid w:val="12E05DF5"/>
    <w:rsid w:val="133616DD"/>
    <w:rsid w:val="13582BF6"/>
    <w:rsid w:val="13583E3E"/>
    <w:rsid w:val="136156A3"/>
    <w:rsid w:val="138356B4"/>
    <w:rsid w:val="13884680"/>
    <w:rsid w:val="138E124B"/>
    <w:rsid w:val="13996DA4"/>
    <w:rsid w:val="13A56966"/>
    <w:rsid w:val="13B56A40"/>
    <w:rsid w:val="13D309B3"/>
    <w:rsid w:val="13EC3F05"/>
    <w:rsid w:val="14077D57"/>
    <w:rsid w:val="143079B7"/>
    <w:rsid w:val="14342819"/>
    <w:rsid w:val="14590296"/>
    <w:rsid w:val="14965811"/>
    <w:rsid w:val="14CE5CB2"/>
    <w:rsid w:val="14D92610"/>
    <w:rsid w:val="15001500"/>
    <w:rsid w:val="154A25D7"/>
    <w:rsid w:val="15525604"/>
    <w:rsid w:val="155E753C"/>
    <w:rsid w:val="156E5828"/>
    <w:rsid w:val="15B36E57"/>
    <w:rsid w:val="15B43A33"/>
    <w:rsid w:val="15C02CFA"/>
    <w:rsid w:val="15D02588"/>
    <w:rsid w:val="162E3144"/>
    <w:rsid w:val="163004AD"/>
    <w:rsid w:val="164356BB"/>
    <w:rsid w:val="166F777C"/>
    <w:rsid w:val="169C21B8"/>
    <w:rsid w:val="169C6B59"/>
    <w:rsid w:val="16BB60A4"/>
    <w:rsid w:val="16D604C4"/>
    <w:rsid w:val="16E85509"/>
    <w:rsid w:val="173A5387"/>
    <w:rsid w:val="17725C57"/>
    <w:rsid w:val="17755246"/>
    <w:rsid w:val="17800AEC"/>
    <w:rsid w:val="18245E40"/>
    <w:rsid w:val="184F1816"/>
    <w:rsid w:val="186B461D"/>
    <w:rsid w:val="186D4855"/>
    <w:rsid w:val="188B4950"/>
    <w:rsid w:val="18C7387D"/>
    <w:rsid w:val="18C76564"/>
    <w:rsid w:val="19087A11"/>
    <w:rsid w:val="191B7534"/>
    <w:rsid w:val="196E2C37"/>
    <w:rsid w:val="1974690A"/>
    <w:rsid w:val="1A510684"/>
    <w:rsid w:val="1A6171B2"/>
    <w:rsid w:val="1AA65F2A"/>
    <w:rsid w:val="1AA666F2"/>
    <w:rsid w:val="1ACC4114"/>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AC07D7"/>
    <w:rsid w:val="1ED05FDD"/>
    <w:rsid w:val="1ED65DE0"/>
    <w:rsid w:val="1EDA4565"/>
    <w:rsid w:val="1EE937D9"/>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552388"/>
    <w:rsid w:val="217875FD"/>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80E3D"/>
    <w:rsid w:val="24BA3A6C"/>
    <w:rsid w:val="24C14262"/>
    <w:rsid w:val="24C74A89"/>
    <w:rsid w:val="24DB11B1"/>
    <w:rsid w:val="24DB1DC1"/>
    <w:rsid w:val="24E80115"/>
    <w:rsid w:val="254579AD"/>
    <w:rsid w:val="25550995"/>
    <w:rsid w:val="25916749"/>
    <w:rsid w:val="25E5097B"/>
    <w:rsid w:val="25ED1CE2"/>
    <w:rsid w:val="25F220DD"/>
    <w:rsid w:val="260366CA"/>
    <w:rsid w:val="26190B1E"/>
    <w:rsid w:val="261954E5"/>
    <w:rsid w:val="2630460F"/>
    <w:rsid w:val="26B25A04"/>
    <w:rsid w:val="26E86A48"/>
    <w:rsid w:val="2707113A"/>
    <w:rsid w:val="27101EDB"/>
    <w:rsid w:val="27450F96"/>
    <w:rsid w:val="27A03254"/>
    <w:rsid w:val="27A230C5"/>
    <w:rsid w:val="27A851CF"/>
    <w:rsid w:val="27F6755B"/>
    <w:rsid w:val="2835156C"/>
    <w:rsid w:val="285E7742"/>
    <w:rsid w:val="285F589C"/>
    <w:rsid w:val="2860075F"/>
    <w:rsid w:val="286E5C18"/>
    <w:rsid w:val="288E7537"/>
    <w:rsid w:val="28D51CE9"/>
    <w:rsid w:val="28E0382C"/>
    <w:rsid w:val="28FB2940"/>
    <w:rsid w:val="2935387C"/>
    <w:rsid w:val="29923BE6"/>
    <w:rsid w:val="29BF563D"/>
    <w:rsid w:val="29D70027"/>
    <w:rsid w:val="29E4565C"/>
    <w:rsid w:val="2A217644"/>
    <w:rsid w:val="2A5522DC"/>
    <w:rsid w:val="2A6D7AE4"/>
    <w:rsid w:val="2A81126C"/>
    <w:rsid w:val="2A9A509F"/>
    <w:rsid w:val="2AB41E05"/>
    <w:rsid w:val="2ABE75C5"/>
    <w:rsid w:val="2AC54EDF"/>
    <w:rsid w:val="2ADE1592"/>
    <w:rsid w:val="2AE72478"/>
    <w:rsid w:val="2AFC168B"/>
    <w:rsid w:val="2AFE6BB2"/>
    <w:rsid w:val="2AFF547A"/>
    <w:rsid w:val="2B0F5BE3"/>
    <w:rsid w:val="2B194010"/>
    <w:rsid w:val="2B1A0A86"/>
    <w:rsid w:val="2B766889"/>
    <w:rsid w:val="2BB62C14"/>
    <w:rsid w:val="2BB82208"/>
    <w:rsid w:val="2BC1544C"/>
    <w:rsid w:val="2BF83122"/>
    <w:rsid w:val="2C4D4422"/>
    <w:rsid w:val="2C61592A"/>
    <w:rsid w:val="2C725B11"/>
    <w:rsid w:val="2CCA5BD5"/>
    <w:rsid w:val="2CCC3408"/>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AC33EA"/>
    <w:rsid w:val="31B469D0"/>
    <w:rsid w:val="31CB1F97"/>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0D7427"/>
    <w:rsid w:val="343B3818"/>
    <w:rsid w:val="343C1893"/>
    <w:rsid w:val="3449265D"/>
    <w:rsid w:val="358526AE"/>
    <w:rsid w:val="35B54B22"/>
    <w:rsid w:val="35DF0F8E"/>
    <w:rsid w:val="35E83CBD"/>
    <w:rsid w:val="35EF293B"/>
    <w:rsid w:val="35F13A2A"/>
    <w:rsid w:val="35FD564E"/>
    <w:rsid w:val="360453EB"/>
    <w:rsid w:val="362C0965"/>
    <w:rsid w:val="36495F37"/>
    <w:rsid w:val="364C6854"/>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6F6D9A"/>
    <w:rsid w:val="3B713350"/>
    <w:rsid w:val="3B7A26BE"/>
    <w:rsid w:val="3BBD2198"/>
    <w:rsid w:val="3BE767A5"/>
    <w:rsid w:val="3C1701DB"/>
    <w:rsid w:val="3C2E25AC"/>
    <w:rsid w:val="3C33699A"/>
    <w:rsid w:val="3C41291B"/>
    <w:rsid w:val="3C447C27"/>
    <w:rsid w:val="3C4E3440"/>
    <w:rsid w:val="3E225ED0"/>
    <w:rsid w:val="3E29108F"/>
    <w:rsid w:val="3E45410A"/>
    <w:rsid w:val="3E595CC5"/>
    <w:rsid w:val="3E5E3444"/>
    <w:rsid w:val="3E763568"/>
    <w:rsid w:val="3EB341AB"/>
    <w:rsid w:val="3EC20226"/>
    <w:rsid w:val="3EC451E1"/>
    <w:rsid w:val="3EC47F80"/>
    <w:rsid w:val="3F1E63B0"/>
    <w:rsid w:val="3F2226EC"/>
    <w:rsid w:val="3F601C75"/>
    <w:rsid w:val="3FAC6CE4"/>
    <w:rsid w:val="3FDA48AC"/>
    <w:rsid w:val="3FF01385"/>
    <w:rsid w:val="402A3DD6"/>
    <w:rsid w:val="402E363B"/>
    <w:rsid w:val="403A7A13"/>
    <w:rsid w:val="40883F9A"/>
    <w:rsid w:val="40A6403B"/>
    <w:rsid w:val="40C31767"/>
    <w:rsid w:val="40D11C13"/>
    <w:rsid w:val="40D14228"/>
    <w:rsid w:val="40E32648"/>
    <w:rsid w:val="413F338F"/>
    <w:rsid w:val="415D3A83"/>
    <w:rsid w:val="4171510F"/>
    <w:rsid w:val="41A50FA5"/>
    <w:rsid w:val="41B113E8"/>
    <w:rsid w:val="41C32EE7"/>
    <w:rsid w:val="41CC07BC"/>
    <w:rsid w:val="41DD5AAF"/>
    <w:rsid w:val="420569A4"/>
    <w:rsid w:val="4246080B"/>
    <w:rsid w:val="42CE24FD"/>
    <w:rsid w:val="42F302DD"/>
    <w:rsid w:val="43260C43"/>
    <w:rsid w:val="43715C63"/>
    <w:rsid w:val="438034F8"/>
    <w:rsid w:val="4388321A"/>
    <w:rsid w:val="441A31FF"/>
    <w:rsid w:val="446A3759"/>
    <w:rsid w:val="446B4961"/>
    <w:rsid w:val="449428DA"/>
    <w:rsid w:val="45132E7E"/>
    <w:rsid w:val="45246BD7"/>
    <w:rsid w:val="456F7A14"/>
    <w:rsid w:val="45B725A0"/>
    <w:rsid w:val="462E25CA"/>
    <w:rsid w:val="46303A17"/>
    <w:rsid w:val="46516D06"/>
    <w:rsid w:val="465A58CC"/>
    <w:rsid w:val="46620428"/>
    <w:rsid w:val="46D637ED"/>
    <w:rsid w:val="46DD3F38"/>
    <w:rsid w:val="46F16F1D"/>
    <w:rsid w:val="46FD2CBF"/>
    <w:rsid w:val="470923BB"/>
    <w:rsid w:val="472910BD"/>
    <w:rsid w:val="475528CD"/>
    <w:rsid w:val="47553E8E"/>
    <w:rsid w:val="477C293C"/>
    <w:rsid w:val="47B00967"/>
    <w:rsid w:val="47CA2F97"/>
    <w:rsid w:val="47D84675"/>
    <w:rsid w:val="47E17B3A"/>
    <w:rsid w:val="47FF4104"/>
    <w:rsid w:val="481379C4"/>
    <w:rsid w:val="4816651B"/>
    <w:rsid w:val="481947FE"/>
    <w:rsid w:val="483B043E"/>
    <w:rsid w:val="486B0826"/>
    <w:rsid w:val="486B1D8E"/>
    <w:rsid w:val="48A93D74"/>
    <w:rsid w:val="48D139F6"/>
    <w:rsid w:val="48F56DD6"/>
    <w:rsid w:val="491916C6"/>
    <w:rsid w:val="49451A7F"/>
    <w:rsid w:val="49573AC8"/>
    <w:rsid w:val="49742A5E"/>
    <w:rsid w:val="49932D4F"/>
    <w:rsid w:val="49AA7971"/>
    <w:rsid w:val="49FE240E"/>
    <w:rsid w:val="4A141151"/>
    <w:rsid w:val="4A316318"/>
    <w:rsid w:val="4A643B84"/>
    <w:rsid w:val="4A777A6A"/>
    <w:rsid w:val="4A791AFA"/>
    <w:rsid w:val="4AC9062D"/>
    <w:rsid w:val="4AE52C42"/>
    <w:rsid w:val="4AF2187D"/>
    <w:rsid w:val="4AFC3953"/>
    <w:rsid w:val="4B103205"/>
    <w:rsid w:val="4B1E385E"/>
    <w:rsid w:val="4B425A6C"/>
    <w:rsid w:val="4B5C1B56"/>
    <w:rsid w:val="4B6870F9"/>
    <w:rsid w:val="4B6C2969"/>
    <w:rsid w:val="4BCF6DCB"/>
    <w:rsid w:val="4BD06B38"/>
    <w:rsid w:val="4BDF321A"/>
    <w:rsid w:val="4BEA7E05"/>
    <w:rsid w:val="4C0065CE"/>
    <w:rsid w:val="4C18241E"/>
    <w:rsid w:val="4C227943"/>
    <w:rsid w:val="4C3231D4"/>
    <w:rsid w:val="4C472142"/>
    <w:rsid w:val="4C4D77A7"/>
    <w:rsid w:val="4C5F22C4"/>
    <w:rsid w:val="4C871B4D"/>
    <w:rsid w:val="4C9463A6"/>
    <w:rsid w:val="4CF63E8A"/>
    <w:rsid w:val="4DBE75D0"/>
    <w:rsid w:val="4DC86CD0"/>
    <w:rsid w:val="4DD62C1F"/>
    <w:rsid w:val="4DF46D27"/>
    <w:rsid w:val="4E367509"/>
    <w:rsid w:val="4E5211BA"/>
    <w:rsid w:val="4E90713C"/>
    <w:rsid w:val="4E9D1D1E"/>
    <w:rsid w:val="4F0E0B1D"/>
    <w:rsid w:val="4F701DAA"/>
    <w:rsid w:val="4FBD41CA"/>
    <w:rsid w:val="4FD246D2"/>
    <w:rsid w:val="50077D56"/>
    <w:rsid w:val="50131451"/>
    <w:rsid w:val="50831BFE"/>
    <w:rsid w:val="50B52FE4"/>
    <w:rsid w:val="50BF2E54"/>
    <w:rsid w:val="50EC2322"/>
    <w:rsid w:val="51390BE4"/>
    <w:rsid w:val="51C804DE"/>
    <w:rsid w:val="51CF0D4C"/>
    <w:rsid w:val="51D81AA2"/>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097CE2"/>
    <w:rsid w:val="560A379E"/>
    <w:rsid w:val="56126C00"/>
    <w:rsid w:val="56250237"/>
    <w:rsid w:val="563420A4"/>
    <w:rsid w:val="564569EB"/>
    <w:rsid w:val="566A655E"/>
    <w:rsid w:val="56AB5944"/>
    <w:rsid w:val="56F645A2"/>
    <w:rsid w:val="57214861"/>
    <w:rsid w:val="572B4616"/>
    <w:rsid w:val="57541EAD"/>
    <w:rsid w:val="57555E34"/>
    <w:rsid w:val="577465D8"/>
    <w:rsid w:val="57AE5029"/>
    <w:rsid w:val="57C23486"/>
    <w:rsid w:val="57D123D3"/>
    <w:rsid w:val="58117CC1"/>
    <w:rsid w:val="581B6D8F"/>
    <w:rsid w:val="582C3384"/>
    <w:rsid w:val="58624A55"/>
    <w:rsid w:val="5881143C"/>
    <w:rsid w:val="59194667"/>
    <w:rsid w:val="59216A89"/>
    <w:rsid w:val="59671A3A"/>
    <w:rsid w:val="59A14E6F"/>
    <w:rsid w:val="59A175DF"/>
    <w:rsid w:val="59B819C2"/>
    <w:rsid w:val="59C7668D"/>
    <w:rsid w:val="59FC4729"/>
    <w:rsid w:val="5A0B75E4"/>
    <w:rsid w:val="5A575BFF"/>
    <w:rsid w:val="5A77586F"/>
    <w:rsid w:val="5A8E77E6"/>
    <w:rsid w:val="5AA12CBD"/>
    <w:rsid w:val="5ACA65CD"/>
    <w:rsid w:val="5ACC7A53"/>
    <w:rsid w:val="5ADF0A3C"/>
    <w:rsid w:val="5AE51758"/>
    <w:rsid w:val="5B581F93"/>
    <w:rsid w:val="5B5B2B5B"/>
    <w:rsid w:val="5B6861FF"/>
    <w:rsid w:val="5B6B529B"/>
    <w:rsid w:val="5BB250E2"/>
    <w:rsid w:val="5BB3320D"/>
    <w:rsid w:val="5BC31A45"/>
    <w:rsid w:val="5BC772C9"/>
    <w:rsid w:val="5C465FA2"/>
    <w:rsid w:val="5C544090"/>
    <w:rsid w:val="5C726BB6"/>
    <w:rsid w:val="5C7322D1"/>
    <w:rsid w:val="5CC93204"/>
    <w:rsid w:val="5CEF4070"/>
    <w:rsid w:val="5CFC28A8"/>
    <w:rsid w:val="5D246FFC"/>
    <w:rsid w:val="5D36426B"/>
    <w:rsid w:val="5D3715D8"/>
    <w:rsid w:val="5DB12146"/>
    <w:rsid w:val="5DDA696A"/>
    <w:rsid w:val="5E410FFD"/>
    <w:rsid w:val="5E544606"/>
    <w:rsid w:val="5E8E05EA"/>
    <w:rsid w:val="5EFB61FA"/>
    <w:rsid w:val="5F2C7D02"/>
    <w:rsid w:val="5F570B14"/>
    <w:rsid w:val="5F5C7AFC"/>
    <w:rsid w:val="5F7663E9"/>
    <w:rsid w:val="5FB656F9"/>
    <w:rsid w:val="5FBC2CFA"/>
    <w:rsid w:val="5FC53466"/>
    <w:rsid w:val="5FD13015"/>
    <w:rsid w:val="60190EE3"/>
    <w:rsid w:val="601D48F2"/>
    <w:rsid w:val="601E31F8"/>
    <w:rsid w:val="602832C7"/>
    <w:rsid w:val="603D1F50"/>
    <w:rsid w:val="603F673E"/>
    <w:rsid w:val="605467C6"/>
    <w:rsid w:val="608960CB"/>
    <w:rsid w:val="60D605A1"/>
    <w:rsid w:val="61464F6C"/>
    <w:rsid w:val="61515A7F"/>
    <w:rsid w:val="61633E93"/>
    <w:rsid w:val="61A4558D"/>
    <w:rsid w:val="61C32B70"/>
    <w:rsid w:val="61E045CD"/>
    <w:rsid w:val="62016875"/>
    <w:rsid w:val="628B7263"/>
    <w:rsid w:val="62902D58"/>
    <w:rsid w:val="62A94B4A"/>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4A55079"/>
    <w:rsid w:val="653C5193"/>
    <w:rsid w:val="655C7828"/>
    <w:rsid w:val="65652A5B"/>
    <w:rsid w:val="658932D3"/>
    <w:rsid w:val="65CB1350"/>
    <w:rsid w:val="65DF4571"/>
    <w:rsid w:val="66330E7B"/>
    <w:rsid w:val="66351622"/>
    <w:rsid w:val="663E7042"/>
    <w:rsid w:val="665A2304"/>
    <w:rsid w:val="669C6349"/>
    <w:rsid w:val="66A80AC6"/>
    <w:rsid w:val="67144976"/>
    <w:rsid w:val="67202357"/>
    <w:rsid w:val="67603F26"/>
    <w:rsid w:val="676B1C85"/>
    <w:rsid w:val="67D3264E"/>
    <w:rsid w:val="67E7474E"/>
    <w:rsid w:val="68024DD3"/>
    <w:rsid w:val="680F332B"/>
    <w:rsid w:val="6832253F"/>
    <w:rsid w:val="685C3C4D"/>
    <w:rsid w:val="687102AD"/>
    <w:rsid w:val="68724B40"/>
    <w:rsid w:val="68795FF9"/>
    <w:rsid w:val="68902798"/>
    <w:rsid w:val="689F66D8"/>
    <w:rsid w:val="690C7142"/>
    <w:rsid w:val="693E1410"/>
    <w:rsid w:val="69412846"/>
    <w:rsid w:val="695907E9"/>
    <w:rsid w:val="6964290E"/>
    <w:rsid w:val="696C13D9"/>
    <w:rsid w:val="698304CD"/>
    <w:rsid w:val="69932BAE"/>
    <w:rsid w:val="69A16FDB"/>
    <w:rsid w:val="69BA6060"/>
    <w:rsid w:val="69D62885"/>
    <w:rsid w:val="69ED079D"/>
    <w:rsid w:val="6A223F21"/>
    <w:rsid w:val="6A4771F0"/>
    <w:rsid w:val="6A641277"/>
    <w:rsid w:val="6A985E45"/>
    <w:rsid w:val="6AAD0001"/>
    <w:rsid w:val="6AC3518B"/>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011E0F"/>
    <w:rsid w:val="6E1C29F8"/>
    <w:rsid w:val="6E2D7396"/>
    <w:rsid w:val="6E967068"/>
    <w:rsid w:val="6E977E1E"/>
    <w:rsid w:val="6E9A083E"/>
    <w:rsid w:val="6EA93458"/>
    <w:rsid w:val="6F1013D6"/>
    <w:rsid w:val="6F1830F3"/>
    <w:rsid w:val="6F2C4E6B"/>
    <w:rsid w:val="6F7502BE"/>
    <w:rsid w:val="6F8E346E"/>
    <w:rsid w:val="6F922D77"/>
    <w:rsid w:val="6FA85985"/>
    <w:rsid w:val="6FEA2DEF"/>
    <w:rsid w:val="70000FB6"/>
    <w:rsid w:val="70231C9D"/>
    <w:rsid w:val="70411BFE"/>
    <w:rsid w:val="708C386D"/>
    <w:rsid w:val="7093353E"/>
    <w:rsid w:val="70A25D2A"/>
    <w:rsid w:val="70EC15F1"/>
    <w:rsid w:val="70F606D1"/>
    <w:rsid w:val="710C3141"/>
    <w:rsid w:val="71104E62"/>
    <w:rsid w:val="713927A1"/>
    <w:rsid w:val="71426CAF"/>
    <w:rsid w:val="719525E5"/>
    <w:rsid w:val="71C43EDF"/>
    <w:rsid w:val="71CA611F"/>
    <w:rsid w:val="71D12B7B"/>
    <w:rsid w:val="72047D57"/>
    <w:rsid w:val="72394BC6"/>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292F8C"/>
    <w:rsid w:val="77532B5B"/>
    <w:rsid w:val="77A72B49"/>
    <w:rsid w:val="77BA48A1"/>
    <w:rsid w:val="77EA45C3"/>
    <w:rsid w:val="77F3515D"/>
    <w:rsid w:val="77F537AF"/>
    <w:rsid w:val="78427D95"/>
    <w:rsid w:val="78CE3373"/>
    <w:rsid w:val="78CE772A"/>
    <w:rsid w:val="78EA06B1"/>
    <w:rsid w:val="79303653"/>
    <w:rsid w:val="79324212"/>
    <w:rsid w:val="79332894"/>
    <w:rsid w:val="79432FDA"/>
    <w:rsid w:val="794E031B"/>
    <w:rsid w:val="796340FE"/>
    <w:rsid w:val="797F3C93"/>
    <w:rsid w:val="79E3441F"/>
    <w:rsid w:val="79F651E3"/>
    <w:rsid w:val="7A4A0DFD"/>
    <w:rsid w:val="7A552236"/>
    <w:rsid w:val="7A694619"/>
    <w:rsid w:val="7A735659"/>
    <w:rsid w:val="7A7E0068"/>
    <w:rsid w:val="7AC17447"/>
    <w:rsid w:val="7AD70C9B"/>
    <w:rsid w:val="7ADA5B3C"/>
    <w:rsid w:val="7B4531F1"/>
    <w:rsid w:val="7B4D07FD"/>
    <w:rsid w:val="7B936E5C"/>
    <w:rsid w:val="7BAB3DF5"/>
    <w:rsid w:val="7BD26364"/>
    <w:rsid w:val="7BDB29F1"/>
    <w:rsid w:val="7C2F53CB"/>
    <w:rsid w:val="7C3A3603"/>
    <w:rsid w:val="7C461D0D"/>
    <w:rsid w:val="7C485C63"/>
    <w:rsid w:val="7C7019BF"/>
    <w:rsid w:val="7CA834CE"/>
    <w:rsid w:val="7CB9036C"/>
    <w:rsid w:val="7D047631"/>
    <w:rsid w:val="7D1A1F9B"/>
    <w:rsid w:val="7D3475DB"/>
    <w:rsid w:val="7D771F95"/>
    <w:rsid w:val="7D942460"/>
    <w:rsid w:val="7DA54805"/>
    <w:rsid w:val="7DDD5D1F"/>
    <w:rsid w:val="7E0B3754"/>
    <w:rsid w:val="7E3C4D54"/>
    <w:rsid w:val="7E563F68"/>
    <w:rsid w:val="7E976B06"/>
    <w:rsid w:val="7E990CC6"/>
    <w:rsid w:val="7EC40A24"/>
    <w:rsid w:val="7EDF5F74"/>
    <w:rsid w:val="7F1A5ED2"/>
    <w:rsid w:val="7F224085"/>
    <w:rsid w:val="7F270DFD"/>
    <w:rsid w:val="7F5F072D"/>
    <w:rsid w:val="7F711C25"/>
    <w:rsid w:val="7FC50A87"/>
    <w:rsid w:val="7FD0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2">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next w:val="1"/>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Body Text Indent"/>
    <w:basedOn w:val="1"/>
    <w:next w:val="1"/>
    <w:link w:val="144"/>
    <w:qFormat/>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3"/>
    <w:qFormat/>
    <w:uiPriority w:val="0"/>
    <w:pPr>
      <w:ind w:left="100" w:leftChars="2500"/>
    </w:pPr>
  </w:style>
  <w:style w:type="paragraph" w:styleId="34">
    <w:name w:val="Body Text Indent 2"/>
    <w:basedOn w:val="1"/>
    <w:link w:val="178"/>
    <w:qFormat/>
    <w:uiPriority w:val="0"/>
    <w:pPr>
      <w:spacing w:line="500" w:lineRule="exact"/>
      <w:ind w:firstLine="511" w:firstLineChars="213"/>
    </w:pPr>
    <w:rPr>
      <w:sz w:val="24"/>
    </w:rPr>
  </w:style>
  <w:style w:type="paragraph" w:styleId="35">
    <w:name w:val="Balloon Text"/>
    <w:basedOn w:val="1"/>
    <w:link w:val="151"/>
    <w:qFormat/>
    <w:uiPriority w:val="0"/>
    <w:rPr>
      <w:sz w:val="18"/>
      <w:szCs w:val="18"/>
    </w:rPr>
  </w:style>
  <w:style w:type="paragraph" w:styleId="36">
    <w:name w:val="footer"/>
    <w:basedOn w:val="1"/>
    <w:link w:val="120"/>
    <w:qFormat/>
    <w:uiPriority w:val="0"/>
    <w:pPr>
      <w:tabs>
        <w:tab w:val="center" w:pos="4153"/>
        <w:tab w:val="right" w:pos="8306"/>
      </w:tabs>
      <w:snapToGrid w:val="0"/>
      <w:jc w:val="left"/>
    </w:pPr>
    <w:rPr>
      <w:sz w:val="18"/>
      <w:szCs w:val="18"/>
    </w:rPr>
  </w:style>
  <w:style w:type="paragraph" w:styleId="37">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6"/>
    <w:qFormat/>
    <w:uiPriority w:val="0"/>
    <w:rPr>
      <w:b/>
      <w:bCs/>
    </w:rPr>
  </w:style>
  <w:style w:type="paragraph" w:styleId="52">
    <w:name w:val="Body Text First Indent 2"/>
    <w:basedOn w:val="24"/>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6"/>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3"/>
    <w:qFormat/>
    <w:uiPriority w:val="0"/>
    <w:rPr>
      <w:rFonts w:eastAsia="宋体"/>
      <w:kern w:val="2"/>
      <w:sz w:val="21"/>
      <w:szCs w:val="24"/>
      <w:lang w:val="en-US" w:eastAsia="zh-CN" w:bidi="ar-SA"/>
    </w:rPr>
  </w:style>
  <w:style w:type="character" w:customStyle="1" w:styleId="134">
    <w:name w:val="副标题 Char"/>
    <w:link w:val="41"/>
    <w:qFormat/>
    <w:uiPriority w:val="0"/>
    <w:rPr>
      <w:rFonts w:ascii="Cambria" w:hAnsi="Cambria" w:eastAsia="宋体"/>
      <w:b/>
      <w:bCs/>
      <w:kern w:val="28"/>
      <w:sz w:val="32"/>
      <w:szCs w:val="32"/>
      <w:lang w:val="en-US" w:eastAsia="zh-CN" w:bidi="ar-SA"/>
    </w:rPr>
  </w:style>
  <w:style w:type="character" w:customStyle="1" w:styleId="135">
    <w:name w:val="页眉 Char"/>
    <w:link w:val="37"/>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4"/>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2"/>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5"/>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8"/>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4"/>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0"/>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346">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50</Pages>
  <Words>25013</Words>
  <Characters>26310</Characters>
  <Lines>322</Lines>
  <Paragraphs>90</Paragraphs>
  <TotalTime>0</TotalTime>
  <ScaleCrop>false</ScaleCrop>
  <LinksUpToDate>false</LinksUpToDate>
  <CharactersWithSpaces>28646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2023-01-12T03:00:00Z</cp:lastPrinted>
  <dcterms:modified xsi:type="dcterms:W3CDTF">2023-03-03T09:04:53Z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BC1BA64C697642BF92F420CC9F67FF35</vt:lpwstr>
  </property>
</Properties>
</file>