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宋体" w:hAnsi="宋体" w:cs="宋体"/>
          <w:b/>
          <w:bCs/>
          <w:color w:val="auto"/>
          <w:sz w:val="52"/>
          <w:szCs w:val="52"/>
          <w:highlight w:val="none"/>
        </w:rPr>
      </w:pPr>
      <w:r>
        <w:rPr>
          <w:rFonts w:hint="eastAsia" w:ascii="宋体" w:hAnsi="宋体" w:cs="宋体"/>
          <w:color w:val="auto"/>
          <w:spacing w:val="20"/>
          <w:sz w:val="84"/>
          <w:highlight w:val="none"/>
        </w:rPr>
        <w:t>温州市政府（分散）采购</w:t>
      </w:r>
    </w:p>
    <w:p>
      <w:pPr>
        <w:jc w:val="center"/>
        <w:rPr>
          <w:rFonts w:ascii="宋体" w:hAnsi="宋体" w:cs="宋体"/>
          <w:b/>
          <w:bCs/>
          <w:color w:val="auto"/>
          <w:spacing w:val="26"/>
          <w:sz w:val="52"/>
          <w:highlight w:val="none"/>
        </w:rPr>
      </w:pPr>
    </w:p>
    <w:p>
      <w:pPr>
        <w:ind w:firstLine="2357" w:firstLineChars="235"/>
        <w:rPr>
          <w:rFonts w:ascii="宋体" w:hAnsi="宋体" w:cs="宋体"/>
          <w:b/>
          <w:bCs/>
          <w:color w:val="auto"/>
          <w:spacing w:val="140"/>
          <w:sz w:val="72"/>
          <w:highlight w:val="none"/>
        </w:rPr>
      </w:pPr>
    </w:p>
    <w:p>
      <w:pPr>
        <w:adjustRightInd w:val="0"/>
        <w:snapToGrid w:val="0"/>
        <w:spacing w:line="480" w:lineRule="auto"/>
        <w:ind w:right="361"/>
        <w:jc w:val="center"/>
        <w:rPr>
          <w:rFonts w:ascii="宋体" w:hAnsi="宋体" w:cs="宋体"/>
          <w:color w:val="auto"/>
          <w:sz w:val="72"/>
          <w:szCs w:val="72"/>
          <w:highlight w:val="none"/>
        </w:rPr>
      </w:pPr>
      <w:r>
        <w:rPr>
          <w:rFonts w:hint="eastAsia" w:ascii="宋体" w:hAnsi="宋体" w:cs="宋体"/>
          <w:color w:val="auto"/>
          <w:sz w:val="72"/>
          <w:szCs w:val="72"/>
          <w:highlight w:val="none"/>
        </w:rPr>
        <w:t>招 标 文 件</w:t>
      </w:r>
    </w:p>
    <w:tbl>
      <w:tblPr>
        <w:tblStyle w:val="53"/>
        <w:tblW w:w="0" w:type="auto"/>
        <w:tblInd w:w="21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275"/>
        <w:gridCol w:w="59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27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项 目 编 号</w:t>
            </w:r>
            <w:r>
              <w:rPr>
                <w:rFonts w:hint="eastAsia" w:ascii="宋体" w:hAnsi="宋体" w:cs="宋体"/>
                <w:color w:val="auto"/>
                <w:spacing w:val="40"/>
                <w:sz w:val="28"/>
                <w:highlight w:val="none"/>
              </w:rPr>
              <w:t>：</w:t>
            </w:r>
          </w:p>
        </w:tc>
        <w:tc>
          <w:tcPr>
            <w:tcW w:w="5925" w:type="dxa"/>
            <w:vAlign w:val="center"/>
          </w:tcPr>
          <w:p>
            <w:pPr>
              <w:spacing w:line="700" w:lineRule="exact"/>
              <w:jc w:val="center"/>
              <w:rPr>
                <w:rFonts w:hint="eastAsia" w:ascii="宋体" w:hAnsi="宋体" w:eastAsia="宋体" w:cs="宋体"/>
                <w:color w:val="auto"/>
                <w:sz w:val="24"/>
                <w:highlight w:val="none"/>
                <w:lang w:eastAsia="zh-CN"/>
              </w:rPr>
            </w:pPr>
            <w:r>
              <w:rPr>
                <w:rFonts w:hint="eastAsia" w:ascii="宋体" w:hAnsi="宋体" w:cs="宋体"/>
                <w:color w:val="auto"/>
                <w:sz w:val="30"/>
                <w:szCs w:val="30"/>
                <w:highlight w:val="none"/>
                <w:lang w:eastAsia="zh-CN"/>
              </w:rPr>
              <w:t>WZLCZB（W）-2023-02043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27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项 目 名 称：</w:t>
            </w:r>
          </w:p>
        </w:tc>
        <w:tc>
          <w:tcPr>
            <w:tcW w:w="5925" w:type="dxa"/>
            <w:vAlign w:val="center"/>
          </w:tcPr>
          <w:p>
            <w:pPr>
              <w:spacing w:line="700" w:lineRule="exact"/>
              <w:jc w:val="center"/>
              <w:rPr>
                <w:rFonts w:hint="eastAsia" w:ascii="宋体" w:hAnsi="宋体" w:eastAsia="宋体" w:cs="宋体"/>
                <w:color w:val="auto"/>
                <w:sz w:val="24"/>
                <w:highlight w:val="none"/>
                <w:lang w:eastAsia="zh-CN"/>
              </w:rPr>
            </w:pPr>
            <w:r>
              <w:rPr>
                <w:rFonts w:hint="eastAsia" w:ascii="宋体" w:hAnsi="宋体" w:cs="宋体"/>
                <w:color w:val="auto"/>
                <w:sz w:val="30"/>
                <w:szCs w:val="30"/>
                <w:highlight w:val="none"/>
                <w:lang w:eastAsia="zh-CN"/>
              </w:rPr>
              <w:t>温州市自然资源和规划局档案库房建设（档案搬运服务）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27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采 购 方 式：</w:t>
            </w:r>
          </w:p>
        </w:tc>
        <w:tc>
          <w:tcPr>
            <w:tcW w:w="592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公开招标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27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评 审 方 式：</w:t>
            </w:r>
          </w:p>
        </w:tc>
        <w:tc>
          <w:tcPr>
            <w:tcW w:w="5925" w:type="dxa"/>
            <w:vAlign w:val="center"/>
          </w:tcPr>
          <w:p>
            <w:pPr>
              <w:spacing w:line="700" w:lineRule="exact"/>
              <w:jc w:val="center"/>
              <w:rPr>
                <w:rFonts w:ascii="宋体" w:hAnsi="宋体" w:cs="宋体"/>
                <w:color w:val="auto"/>
                <w:sz w:val="24"/>
                <w:highlight w:val="none"/>
              </w:rPr>
            </w:pPr>
            <w:r>
              <w:rPr>
                <w:rFonts w:hint="eastAsia" w:ascii="宋体" w:hAnsi="宋体" w:cs="宋体"/>
                <w:color w:val="auto"/>
                <w:spacing w:val="40"/>
                <w:sz w:val="30"/>
                <w:szCs w:val="30"/>
                <w:highlight w:val="none"/>
              </w:rPr>
              <w:t>线上电子招投标</w:t>
            </w:r>
          </w:p>
        </w:tc>
      </w:tr>
    </w:tbl>
    <w:p>
      <w:pPr>
        <w:spacing w:line="700" w:lineRule="exact"/>
        <w:ind w:firstLine="723" w:firstLineChars="300"/>
        <w:jc w:val="left"/>
        <w:rPr>
          <w:rFonts w:ascii="宋体" w:hAnsi="宋体" w:cs="宋体"/>
          <w:b/>
          <w:bCs/>
          <w:color w:val="auto"/>
          <w:sz w:val="24"/>
          <w:highlight w:val="none"/>
        </w:rPr>
      </w:pPr>
    </w:p>
    <w:p>
      <w:pPr>
        <w:spacing w:line="700" w:lineRule="exact"/>
        <w:ind w:firstLine="1144" w:firstLineChars="300"/>
        <w:jc w:val="left"/>
        <w:rPr>
          <w:rFonts w:ascii="宋体" w:hAnsi="宋体" w:cs="宋体"/>
          <w:b/>
          <w:color w:val="auto"/>
          <w:spacing w:val="40"/>
          <w:sz w:val="30"/>
          <w:szCs w:val="30"/>
          <w:highlight w:val="none"/>
        </w:rPr>
      </w:pPr>
    </w:p>
    <w:p>
      <w:pPr>
        <w:spacing w:line="700" w:lineRule="exact"/>
        <w:ind w:left="3802" w:leftChars="540" w:hanging="2668" w:hangingChars="700"/>
        <w:rPr>
          <w:rFonts w:ascii="宋体" w:hAnsi="宋体" w:cs="宋体"/>
          <w:b/>
          <w:color w:val="auto"/>
          <w:spacing w:val="40"/>
          <w:sz w:val="30"/>
          <w:szCs w:val="30"/>
          <w:highlight w:val="none"/>
        </w:rPr>
      </w:pPr>
    </w:p>
    <w:p>
      <w:pPr>
        <w:keepNext/>
        <w:spacing w:line="700" w:lineRule="exact"/>
        <w:rPr>
          <w:rFonts w:ascii="宋体" w:hAnsi="宋体" w:cs="宋体"/>
          <w:b/>
          <w:color w:val="auto"/>
          <w:spacing w:val="40"/>
          <w:sz w:val="30"/>
          <w:szCs w:val="30"/>
          <w:highlight w:val="none"/>
        </w:rPr>
      </w:pPr>
    </w:p>
    <w:p>
      <w:pPr>
        <w:pStyle w:val="4"/>
        <w:rPr>
          <w:color w:val="auto"/>
          <w:highlight w:val="none"/>
        </w:rPr>
      </w:pPr>
    </w:p>
    <w:p>
      <w:pPr>
        <w:rPr>
          <w:color w:val="auto"/>
          <w:highlight w:val="none"/>
        </w:rPr>
      </w:pPr>
    </w:p>
    <w:p>
      <w:pPr>
        <w:pStyle w:val="22"/>
        <w:rPr>
          <w:color w:val="auto"/>
          <w:highlight w:val="none"/>
        </w:rPr>
      </w:pPr>
    </w:p>
    <w:p>
      <w:pPr>
        <w:spacing w:line="600" w:lineRule="exact"/>
        <w:jc w:val="center"/>
        <w:rPr>
          <w:rFonts w:ascii="宋体" w:hAnsi="宋体" w:cs="宋体"/>
          <w:color w:val="auto"/>
          <w:spacing w:val="30"/>
          <w:sz w:val="30"/>
          <w:highlight w:val="none"/>
        </w:rPr>
      </w:pPr>
      <w:r>
        <w:rPr>
          <w:rFonts w:hint="eastAsia" w:ascii="宋体" w:hAnsi="宋体" w:cs="宋体"/>
          <w:color w:val="auto"/>
          <w:spacing w:val="30"/>
          <w:sz w:val="30"/>
          <w:highlight w:val="none"/>
        </w:rPr>
        <w:t>招 标 人:温州市城市建设档案馆</w:t>
      </w:r>
    </w:p>
    <w:p>
      <w:pPr>
        <w:spacing w:line="600" w:lineRule="exact"/>
        <w:jc w:val="center"/>
        <w:rPr>
          <w:rFonts w:ascii="宋体" w:hAnsi="宋体" w:cs="宋体"/>
          <w:color w:val="auto"/>
          <w:spacing w:val="30"/>
          <w:sz w:val="30"/>
          <w:highlight w:val="none"/>
        </w:rPr>
      </w:pPr>
      <w:r>
        <w:rPr>
          <w:rFonts w:hint="eastAsia" w:ascii="宋体" w:hAnsi="宋体" w:cs="宋体"/>
          <w:color w:val="auto"/>
          <w:spacing w:val="30"/>
          <w:sz w:val="30"/>
          <w:highlight w:val="none"/>
        </w:rPr>
        <w:t>招标代理机构：温州历程招标有限公司</w:t>
      </w:r>
    </w:p>
    <w:p>
      <w:pPr>
        <w:spacing w:line="600" w:lineRule="exact"/>
        <w:jc w:val="center"/>
        <w:rPr>
          <w:rFonts w:ascii="宋体" w:hAnsi="宋体" w:cs="宋体"/>
          <w:color w:val="auto"/>
          <w:spacing w:val="30"/>
          <w:sz w:val="30"/>
          <w:highlight w:val="none"/>
        </w:rPr>
      </w:pPr>
      <w:r>
        <w:rPr>
          <w:rFonts w:hint="eastAsia" w:ascii="宋体" w:hAnsi="宋体" w:cs="宋体"/>
          <w:color w:val="auto"/>
          <w:spacing w:val="30"/>
          <w:sz w:val="30"/>
          <w:highlight w:val="none"/>
        </w:rPr>
        <w:t>二0二三年</w:t>
      </w:r>
    </w:p>
    <w:p>
      <w:pPr>
        <w:rPr>
          <w:color w:val="auto"/>
          <w:highlight w:val="none"/>
        </w:rPr>
      </w:pPr>
      <w:r>
        <w:rPr>
          <w:rFonts w:hint="eastAsia" w:ascii="宋体" w:hAnsi="宋体" w:cs="宋体"/>
          <w:b/>
          <w:color w:val="auto"/>
          <w:sz w:val="36"/>
          <w:szCs w:val="36"/>
          <w:highlight w:val="none"/>
        </w:rPr>
        <w:br w:type="page"/>
      </w:r>
    </w:p>
    <w:sdt>
      <w:sdtPr>
        <w:rPr>
          <w:rFonts w:hint="eastAsia" w:ascii="宋体" w:hAnsi="宋体" w:cs="宋体"/>
          <w:color w:val="auto"/>
          <w:highlight w:val="none"/>
        </w:rPr>
        <w:id w:val="147459729"/>
        <w:docPartObj>
          <w:docPartGallery w:val="Table of Contents"/>
          <w:docPartUnique/>
        </w:docPartObj>
      </w:sdtPr>
      <w:sdtEndPr>
        <w:rPr>
          <w:rFonts w:hint="eastAsia" w:ascii="宋体" w:hAnsi="宋体" w:cs="宋体"/>
          <w:color w:val="auto"/>
          <w:szCs w:val="36"/>
          <w:highlight w:val="none"/>
        </w:rPr>
      </w:sdtEndPr>
      <w:sdtContent>
        <w:p>
          <w:pPr>
            <w:jc w:val="center"/>
            <w:rPr>
              <w:rFonts w:ascii="宋体" w:hAnsi="宋体" w:cs="宋体"/>
              <w:color w:val="auto"/>
              <w:highlight w:val="none"/>
            </w:rPr>
          </w:pPr>
        </w:p>
        <w:p>
          <w:pPr>
            <w:pStyle w:val="39"/>
            <w:tabs>
              <w:tab w:val="right" w:leader="dot" w:pos="9638"/>
            </w:tabs>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目  录</w:t>
          </w:r>
        </w:p>
        <w:p>
          <w:pPr>
            <w:pStyle w:val="39"/>
            <w:tabs>
              <w:tab w:val="right" w:leader="dot" w:pos="9638"/>
            </w:tabs>
            <w:spacing w:line="360" w:lineRule="auto"/>
            <w:rPr>
              <w:color w:val="auto"/>
              <w:sz w:val="22"/>
              <w:szCs w:val="28"/>
              <w:highlight w:val="none"/>
            </w:rPr>
          </w:pPr>
          <w:r>
            <w:rPr>
              <w:rFonts w:hint="eastAsia" w:ascii="宋体" w:hAnsi="宋体" w:cs="宋体"/>
              <w:b/>
              <w:color w:val="auto"/>
              <w:sz w:val="40"/>
              <w:szCs w:val="40"/>
              <w:highlight w:val="none"/>
            </w:rPr>
            <w:fldChar w:fldCharType="begin"/>
          </w:r>
          <w:r>
            <w:rPr>
              <w:rFonts w:hint="eastAsia" w:ascii="宋体" w:hAnsi="宋体" w:cs="宋体"/>
              <w:b/>
              <w:color w:val="auto"/>
              <w:sz w:val="40"/>
              <w:szCs w:val="40"/>
              <w:highlight w:val="none"/>
            </w:rPr>
            <w:instrText xml:space="preserve">TOC \o "1-3" \h \u </w:instrText>
          </w:r>
          <w:r>
            <w:rPr>
              <w:rFonts w:hint="eastAsia" w:ascii="宋体" w:hAnsi="宋体" w:cs="宋体"/>
              <w:b/>
              <w:color w:val="auto"/>
              <w:sz w:val="40"/>
              <w:szCs w:val="40"/>
              <w:highlight w:val="none"/>
            </w:rPr>
            <w:fldChar w:fldCharType="separate"/>
          </w:r>
          <w:r>
            <w:rPr>
              <w:color w:val="auto"/>
              <w:highlight w:val="none"/>
            </w:rPr>
            <w:fldChar w:fldCharType="begin"/>
          </w:r>
          <w:r>
            <w:rPr>
              <w:color w:val="auto"/>
              <w:highlight w:val="none"/>
            </w:rPr>
            <w:instrText xml:space="preserve"> HYPERLINK \l "_Toc6599" </w:instrText>
          </w:r>
          <w:r>
            <w:rPr>
              <w:color w:val="auto"/>
              <w:highlight w:val="none"/>
            </w:rPr>
            <w:fldChar w:fldCharType="separate"/>
          </w:r>
          <w:r>
            <w:rPr>
              <w:rFonts w:hint="eastAsia" w:ascii="宋体" w:hAnsi="宋体" w:cs="宋体"/>
              <w:color w:val="auto"/>
              <w:sz w:val="22"/>
              <w:szCs w:val="28"/>
              <w:highlight w:val="none"/>
            </w:rPr>
            <w:t>招标公告</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_Toc6599 \h </w:instrText>
          </w:r>
          <w:r>
            <w:rPr>
              <w:color w:val="auto"/>
              <w:sz w:val="22"/>
              <w:szCs w:val="28"/>
              <w:highlight w:val="none"/>
            </w:rPr>
            <w:fldChar w:fldCharType="separate"/>
          </w:r>
          <w:r>
            <w:rPr>
              <w:color w:val="auto"/>
              <w:sz w:val="22"/>
              <w:szCs w:val="28"/>
              <w:highlight w:val="none"/>
            </w:rPr>
            <w:t>3</w:t>
          </w:r>
          <w:r>
            <w:rPr>
              <w:color w:val="auto"/>
              <w:sz w:val="22"/>
              <w:szCs w:val="28"/>
              <w:highlight w:val="none"/>
            </w:rPr>
            <w:fldChar w:fldCharType="end"/>
          </w:r>
          <w:r>
            <w:rPr>
              <w:color w:val="auto"/>
              <w:sz w:val="22"/>
              <w:szCs w:val="28"/>
              <w:highlight w:val="none"/>
            </w:rPr>
            <w:fldChar w:fldCharType="end"/>
          </w:r>
        </w:p>
        <w:p>
          <w:pPr>
            <w:pStyle w:val="3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"_Toc10401" </w:instrText>
          </w:r>
          <w:r>
            <w:rPr>
              <w:color w:val="auto"/>
              <w:highlight w:val="none"/>
            </w:rPr>
            <w:fldChar w:fldCharType="separate"/>
          </w:r>
          <w:r>
            <w:rPr>
              <w:rFonts w:hint="eastAsia" w:ascii="宋体" w:hAnsi="宋体" w:cs="宋体"/>
              <w:color w:val="auto"/>
              <w:sz w:val="22"/>
              <w:szCs w:val="28"/>
              <w:highlight w:val="none"/>
            </w:rPr>
            <w:t>第一部分    投标人须知</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_Toc10401 \h </w:instrText>
          </w:r>
          <w:r>
            <w:rPr>
              <w:color w:val="auto"/>
              <w:sz w:val="22"/>
              <w:szCs w:val="28"/>
              <w:highlight w:val="none"/>
            </w:rPr>
            <w:fldChar w:fldCharType="separate"/>
          </w:r>
          <w:r>
            <w:rPr>
              <w:color w:val="auto"/>
              <w:sz w:val="22"/>
              <w:szCs w:val="28"/>
              <w:highlight w:val="none"/>
            </w:rPr>
            <w:t>6</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"_Toc6224" </w:instrText>
          </w:r>
          <w:r>
            <w:rPr>
              <w:color w:val="auto"/>
              <w:highlight w:val="none"/>
            </w:rPr>
            <w:fldChar w:fldCharType="separate"/>
          </w:r>
          <w:r>
            <w:rPr>
              <w:rFonts w:hint="eastAsia" w:ascii="宋体" w:hAnsi="宋体" w:cs="宋体"/>
              <w:bCs/>
              <w:color w:val="auto"/>
              <w:sz w:val="22"/>
              <w:szCs w:val="28"/>
              <w:highlight w:val="none"/>
            </w:rPr>
            <w:t>前 附 表</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_Toc6224 \h </w:instrText>
          </w:r>
          <w:r>
            <w:rPr>
              <w:color w:val="auto"/>
              <w:sz w:val="22"/>
              <w:szCs w:val="28"/>
              <w:highlight w:val="none"/>
            </w:rPr>
            <w:fldChar w:fldCharType="separate"/>
          </w:r>
          <w:r>
            <w:rPr>
              <w:color w:val="auto"/>
              <w:sz w:val="22"/>
              <w:szCs w:val="28"/>
              <w:highlight w:val="none"/>
            </w:rPr>
            <w:t>6</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"_Toc19070" </w:instrText>
          </w:r>
          <w:r>
            <w:rPr>
              <w:color w:val="auto"/>
              <w:highlight w:val="none"/>
            </w:rPr>
            <w:fldChar w:fldCharType="separate"/>
          </w:r>
          <w:r>
            <w:rPr>
              <w:rFonts w:hint="eastAsia" w:ascii="宋体" w:hAnsi="宋体" w:cs="宋体"/>
              <w:bCs/>
              <w:color w:val="auto"/>
              <w:sz w:val="22"/>
              <w:szCs w:val="28"/>
              <w:highlight w:val="none"/>
            </w:rPr>
            <w:t>一、 说   明</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_Toc19070 \h </w:instrText>
          </w:r>
          <w:r>
            <w:rPr>
              <w:color w:val="auto"/>
              <w:sz w:val="22"/>
              <w:szCs w:val="28"/>
              <w:highlight w:val="none"/>
            </w:rPr>
            <w:fldChar w:fldCharType="separate"/>
          </w:r>
          <w:r>
            <w:rPr>
              <w:color w:val="auto"/>
              <w:sz w:val="22"/>
              <w:szCs w:val="28"/>
              <w:highlight w:val="none"/>
            </w:rPr>
            <w:t>10</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"_Toc28278" </w:instrText>
          </w:r>
          <w:r>
            <w:rPr>
              <w:color w:val="auto"/>
              <w:highlight w:val="none"/>
            </w:rPr>
            <w:fldChar w:fldCharType="separate"/>
          </w:r>
          <w:r>
            <w:rPr>
              <w:rFonts w:hint="eastAsia" w:ascii="宋体" w:hAnsi="宋体" w:cs="宋体"/>
              <w:bCs/>
              <w:color w:val="auto"/>
              <w:sz w:val="22"/>
              <w:szCs w:val="28"/>
              <w:highlight w:val="none"/>
            </w:rPr>
            <w:t>二、 招标文件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_Toc28278 \h </w:instrText>
          </w:r>
          <w:r>
            <w:rPr>
              <w:color w:val="auto"/>
              <w:sz w:val="22"/>
              <w:szCs w:val="28"/>
              <w:highlight w:val="none"/>
            </w:rPr>
            <w:fldChar w:fldCharType="separate"/>
          </w:r>
          <w:r>
            <w:rPr>
              <w:color w:val="auto"/>
              <w:sz w:val="22"/>
              <w:szCs w:val="28"/>
              <w:highlight w:val="none"/>
            </w:rPr>
            <w:t>10</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"_Toc22646" </w:instrText>
          </w:r>
          <w:r>
            <w:rPr>
              <w:color w:val="auto"/>
              <w:highlight w:val="none"/>
            </w:rPr>
            <w:fldChar w:fldCharType="separate"/>
          </w:r>
          <w:r>
            <w:rPr>
              <w:rFonts w:hint="eastAsia" w:ascii="宋体" w:hAnsi="宋体" w:cs="宋体"/>
              <w:bCs/>
              <w:color w:val="auto"/>
              <w:sz w:val="22"/>
              <w:szCs w:val="28"/>
              <w:highlight w:val="none"/>
            </w:rPr>
            <w:t>三、 投标文件的编制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_Toc22646 \h </w:instrText>
          </w:r>
          <w:r>
            <w:rPr>
              <w:color w:val="auto"/>
              <w:sz w:val="22"/>
              <w:szCs w:val="28"/>
              <w:highlight w:val="none"/>
            </w:rPr>
            <w:fldChar w:fldCharType="separate"/>
          </w:r>
          <w:r>
            <w:rPr>
              <w:color w:val="auto"/>
              <w:sz w:val="22"/>
              <w:szCs w:val="28"/>
              <w:highlight w:val="none"/>
            </w:rPr>
            <w:t>11</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"_Toc18542" </w:instrText>
          </w:r>
          <w:r>
            <w:rPr>
              <w:color w:val="auto"/>
              <w:highlight w:val="none"/>
            </w:rPr>
            <w:fldChar w:fldCharType="separate"/>
          </w:r>
          <w:r>
            <w:rPr>
              <w:rFonts w:hint="eastAsia" w:ascii="宋体" w:hAnsi="宋体" w:cs="宋体"/>
              <w:bCs/>
              <w:color w:val="auto"/>
              <w:sz w:val="22"/>
              <w:highlight w:val="none"/>
            </w:rPr>
            <w:t>四、 投标文件的递交</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_Toc18542 \h </w:instrText>
          </w:r>
          <w:r>
            <w:rPr>
              <w:color w:val="auto"/>
              <w:sz w:val="22"/>
              <w:szCs w:val="28"/>
              <w:highlight w:val="none"/>
            </w:rPr>
            <w:fldChar w:fldCharType="separate"/>
          </w:r>
          <w:r>
            <w:rPr>
              <w:color w:val="auto"/>
              <w:sz w:val="22"/>
              <w:szCs w:val="28"/>
              <w:highlight w:val="none"/>
            </w:rPr>
            <w:t>14</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"_Toc8079" </w:instrText>
          </w:r>
          <w:r>
            <w:rPr>
              <w:color w:val="auto"/>
              <w:highlight w:val="none"/>
            </w:rPr>
            <w:fldChar w:fldCharType="separate"/>
          </w:r>
          <w:r>
            <w:rPr>
              <w:rFonts w:hint="eastAsia" w:ascii="宋体" w:hAnsi="宋体" w:cs="宋体"/>
              <w:bCs/>
              <w:color w:val="auto"/>
              <w:sz w:val="22"/>
              <w:highlight w:val="none"/>
            </w:rPr>
            <w:t>五、 开标和评标</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_Toc8079 \h </w:instrText>
          </w:r>
          <w:r>
            <w:rPr>
              <w:color w:val="auto"/>
              <w:sz w:val="22"/>
              <w:szCs w:val="28"/>
              <w:highlight w:val="none"/>
            </w:rPr>
            <w:fldChar w:fldCharType="separate"/>
          </w:r>
          <w:r>
            <w:rPr>
              <w:color w:val="auto"/>
              <w:sz w:val="22"/>
              <w:szCs w:val="28"/>
              <w:highlight w:val="none"/>
            </w:rPr>
            <w:t>15</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"_Toc21056" </w:instrText>
          </w:r>
          <w:r>
            <w:rPr>
              <w:color w:val="auto"/>
              <w:highlight w:val="none"/>
            </w:rPr>
            <w:fldChar w:fldCharType="separate"/>
          </w:r>
          <w:r>
            <w:rPr>
              <w:rFonts w:hint="eastAsia" w:ascii="宋体" w:hAnsi="宋体" w:cs="宋体"/>
              <w:bCs/>
              <w:color w:val="auto"/>
              <w:sz w:val="22"/>
              <w:szCs w:val="28"/>
              <w:highlight w:val="none"/>
            </w:rPr>
            <w:t>六、 授予合同</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_Toc21056 \h </w:instrText>
          </w:r>
          <w:r>
            <w:rPr>
              <w:color w:val="auto"/>
              <w:sz w:val="22"/>
              <w:szCs w:val="28"/>
              <w:highlight w:val="none"/>
            </w:rPr>
            <w:fldChar w:fldCharType="separate"/>
          </w:r>
          <w:r>
            <w:rPr>
              <w:color w:val="auto"/>
              <w:sz w:val="22"/>
              <w:szCs w:val="28"/>
              <w:highlight w:val="none"/>
            </w:rPr>
            <w:t>19</w:t>
          </w:r>
          <w:r>
            <w:rPr>
              <w:color w:val="auto"/>
              <w:sz w:val="22"/>
              <w:szCs w:val="28"/>
              <w:highlight w:val="none"/>
            </w:rPr>
            <w:fldChar w:fldCharType="end"/>
          </w:r>
          <w:r>
            <w:rPr>
              <w:color w:val="auto"/>
              <w:sz w:val="22"/>
              <w:szCs w:val="28"/>
              <w:highlight w:val="none"/>
            </w:rPr>
            <w:fldChar w:fldCharType="end"/>
          </w:r>
        </w:p>
        <w:p>
          <w:pPr>
            <w:pStyle w:val="3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"_Toc19043" </w:instrText>
          </w:r>
          <w:r>
            <w:rPr>
              <w:color w:val="auto"/>
              <w:highlight w:val="none"/>
            </w:rPr>
            <w:fldChar w:fldCharType="separate"/>
          </w:r>
          <w:r>
            <w:rPr>
              <w:rFonts w:hint="eastAsia" w:ascii="宋体" w:hAnsi="宋体" w:cs="宋体"/>
              <w:color w:val="auto"/>
              <w:sz w:val="22"/>
              <w:szCs w:val="28"/>
              <w:highlight w:val="none"/>
            </w:rPr>
            <w:t>第二部分    合同主要条款</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_Toc19043 \h </w:instrText>
          </w:r>
          <w:r>
            <w:rPr>
              <w:color w:val="auto"/>
              <w:sz w:val="22"/>
              <w:szCs w:val="28"/>
              <w:highlight w:val="none"/>
            </w:rPr>
            <w:fldChar w:fldCharType="separate"/>
          </w:r>
          <w:r>
            <w:rPr>
              <w:color w:val="auto"/>
              <w:sz w:val="22"/>
              <w:szCs w:val="28"/>
              <w:highlight w:val="none"/>
            </w:rPr>
            <w:t>20</w:t>
          </w:r>
          <w:r>
            <w:rPr>
              <w:color w:val="auto"/>
              <w:sz w:val="22"/>
              <w:szCs w:val="28"/>
              <w:highlight w:val="none"/>
            </w:rPr>
            <w:fldChar w:fldCharType="end"/>
          </w:r>
          <w:r>
            <w:rPr>
              <w:color w:val="auto"/>
              <w:sz w:val="22"/>
              <w:szCs w:val="28"/>
              <w:highlight w:val="none"/>
            </w:rPr>
            <w:fldChar w:fldCharType="end"/>
          </w:r>
        </w:p>
        <w:p>
          <w:pPr>
            <w:pStyle w:val="3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"_Toc18439" </w:instrText>
          </w:r>
          <w:r>
            <w:rPr>
              <w:color w:val="auto"/>
              <w:highlight w:val="none"/>
            </w:rPr>
            <w:fldChar w:fldCharType="separate"/>
          </w:r>
          <w:r>
            <w:rPr>
              <w:rFonts w:hint="eastAsia" w:ascii="宋体" w:hAnsi="宋体" w:cs="宋体"/>
              <w:color w:val="auto"/>
              <w:sz w:val="22"/>
              <w:szCs w:val="28"/>
              <w:highlight w:val="none"/>
            </w:rPr>
            <w:t>第三部分    附件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_Toc18439 \h </w:instrText>
          </w:r>
          <w:r>
            <w:rPr>
              <w:color w:val="auto"/>
              <w:sz w:val="22"/>
              <w:szCs w:val="28"/>
              <w:highlight w:val="none"/>
            </w:rPr>
            <w:fldChar w:fldCharType="separate"/>
          </w:r>
          <w:r>
            <w:rPr>
              <w:color w:val="auto"/>
              <w:sz w:val="22"/>
              <w:szCs w:val="28"/>
              <w:highlight w:val="none"/>
            </w:rPr>
            <w:t>29</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"_Toc6368" </w:instrText>
          </w:r>
          <w:r>
            <w:rPr>
              <w:color w:val="auto"/>
              <w:highlight w:val="none"/>
            </w:rPr>
            <w:fldChar w:fldCharType="separate"/>
          </w:r>
          <w:r>
            <w:rPr>
              <w:rFonts w:hint="eastAsia" w:ascii="宋体" w:hAnsi="宋体" w:cs="宋体"/>
              <w:color w:val="auto"/>
              <w:sz w:val="22"/>
              <w:szCs w:val="28"/>
              <w:highlight w:val="none"/>
            </w:rPr>
            <w:t>附件一</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_Toc6368 \h </w:instrText>
          </w:r>
          <w:r>
            <w:rPr>
              <w:color w:val="auto"/>
              <w:sz w:val="22"/>
              <w:szCs w:val="28"/>
              <w:highlight w:val="none"/>
            </w:rPr>
            <w:fldChar w:fldCharType="separate"/>
          </w:r>
          <w:r>
            <w:rPr>
              <w:color w:val="auto"/>
              <w:sz w:val="22"/>
              <w:szCs w:val="28"/>
              <w:highlight w:val="none"/>
            </w:rPr>
            <w:t>29</w:t>
          </w:r>
          <w:r>
            <w:rPr>
              <w:color w:val="auto"/>
              <w:sz w:val="22"/>
              <w:szCs w:val="28"/>
              <w:highlight w:val="none"/>
            </w:rPr>
            <w:fldChar w:fldCharType="end"/>
          </w:r>
          <w:r>
            <w:rPr>
              <w:color w:val="auto"/>
              <w:sz w:val="22"/>
              <w:szCs w:val="28"/>
              <w:highlight w:val="none"/>
            </w:rPr>
            <w:fldChar w:fldCharType="end"/>
          </w:r>
        </w:p>
        <w:p>
          <w:pPr>
            <w:pStyle w:val="2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"_Toc5430" </w:instrText>
          </w:r>
          <w:r>
            <w:rPr>
              <w:color w:val="auto"/>
              <w:highlight w:val="none"/>
            </w:rPr>
            <w:fldChar w:fldCharType="separate"/>
          </w:r>
          <w:r>
            <w:rPr>
              <w:rFonts w:hint="eastAsia" w:ascii="宋体" w:hAnsi="宋体" w:cs="宋体"/>
              <w:bCs/>
              <w:color w:val="auto"/>
              <w:sz w:val="22"/>
              <w:szCs w:val="32"/>
              <w:highlight w:val="none"/>
            </w:rPr>
            <w:t>报价文件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_Toc5430 \h </w:instrText>
          </w:r>
          <w:r>
            <w:rPr>
              <w:color w:val="auto"/>
              <w:sz w:val="22"/>
              <w:szCs w:val="28"/>
              <w:highlight w:val="none"/>
            </w:rPr>
            <w:fldChar w:fldCharType="separate"/>
          </w:r>
          <w:r>
            <w:rPr>
              <w:color w:val="auto"/>
              <w:sz w:val="22"/>
              <w:szCs w:val="28"/>
              <w:highlight w:val="none"/>
            </w:rPr>
            <w:t>29</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"_Toc12035" </w:instrText>
          </w:r>
          <w:r>
            <w:rPr>
              <w:color w:val="auto"/>
              <w:highlight w:val="none"/>
            </w:rPr>
            <w:fldChar w:fldCharType="separate"/>
          </w:r>
          <w:r>
            <w:rPr>
              <w:rFonts w:hint="eastAsia" w:ascii="宋体" w:hAnsi="宋体" w:cs="宋体"/>
              <w:color w:val="auto"/>
              <w:sz w:val="22"/>
              <w:highlight w:val="none"/>
            </w:rPr>
            <w:t>附件二</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_Toc12035 \h </w:instrText>
          </w:r>
          <w:r>
            <w:rPr>
              <w:color w:val="auto"/>
              <w:sz w:val="22"/>
              <w:szCs w:val="28"/>
              <w:highlight w:val="none"/>
            </w:rPr>
            <w:fldChar w:fldCharType="separate"/>
          </w:r>
          <w:r>
            <w:rPr>
              <w:color w:val="auto"/>
              <w:sz w:val="22"/>
              <w:szCs w:val="28"/>
              <w:highlight w:val="none"/>
            </w:rPr>
            <w:t>33</w:t>
          </w:r>
          <w:r>
            <w:rPr>
              <w:color w:val="auto"/>
              <w:sz w:val="22"/>
              <w:szCs w:val="28"/>
              <w:highlight w:val="none"/>
            </w:rPr>
            <w:fldChar w:fldCharType="end"/>
          </w:r>
          <w:r>
            <w:rPr>
              <w:color w:val="auto"/>
              <w:sz w:val="22"/>
              <w:szCs w:val="28"/>
              <w:highlight w:val="none"/>
            </w:rPr>
            <w:fldChar w:fldCharType="end"/>
          </w:r>
        </w:p>
        <w:p>
          <w:pPr>
            <w:pStyle w:val="2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"_Toc25309" </w:instrText>
          </w:r>
          <w:r>
            <w:rPr>
              <w:color w:val="auto"/>
              <w:highlight w:val="none"/>
            </w:rPr>
            <w:fldChar w:fldCharType="separate"/>
          </w:r>
          <w:r>
            <w:rPr>
              <w:rFonts w:hint="eastAsia" w:ascii="宋体" w:hAnsi="宋体" w:cs="宋体"/>
              <w:bCs/>
              <w:color w:val="auto"/>
              <w:sz w:val="22"/>
              <w:szCs w:val="32"/>
              <w:highlight w:val="none"/>
            </w:rPr>
            <w:t>资格证明文件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_Toc25309 \h </w:instrText>
          </w:r>
          <w:r>
            <w:rPr>
              <w:color w:val="auto"/>
              <w:sz w:val="22"/>
              <w:szCs w:val="28"/>
              <w:highlight w:val="none"/>
            </w:rPr>
            <w:fldChar w:fldCharType="separate"/>
          </w:r>
          <w:r>
            <w:rPr>
              <w:color w:val="auto"/>
              <w:sz w:val="22"/>
              <w:szCs w:val="28"/>
              <w:highlight w:val="none"/>
            </w:rPr>
            <w:t>33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"_Toc31356" </w:instrText>
          </w:r>
          <w:r>
            <w:rPr>
              <w:color w:val="auto"/>
              <w:highlight w:val="none"/>
            </w:rPr>
            <w:fldChar w:fldCharType="separate"/>
          </w:r>
          <w:r>
            <w:rPr>
              <w:rFonts w:hint="eastAsia" w:ascii="宋体" w:hAnsi="宋体" w:cs="宋体"/>
              <w:bCs/>
              <w:color w:val="auto"/>
              <w:sz w:val="22"/>
              <w:highlight w:val="none"/>
            </w:rPr>
            <w:t>附件三</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_Toc31356 \h </w:instrText>
          </w:r>
          <w:r>
            <w:rPr>
              <w:color w:val="auto"/>
              <w:sz w:val="22"/>
              <w:szCs w:val="28"/>
              <w:highlight w:val="none"/>
            </w:rPr>
            <w:fldChar w:fldCharType="separate"/>
          </w:r>
          <w:r>
            <w:rPr>
              <w:color w:val="auto"/>
              <w:sz w:val="22"/>
              <w:szCs w:val="28"/>
              <w:highlight w:val="none"/>
            </w:rPr>
            <w:t>37</w:t>
          </w:r>
          <w:r>
            <w:rPr>
              <w:color w:val="auto"/>
              <w:sz w:val="22"/>
              <w:szCs w:val="28"/>
              <w:highlight w:val="none"/>
            </w:rPr>
            <w:fldChar w:fldCharType="end"/>
          </w:r>
          <w:r>
            <w:rPr>
              <w:color w:val="auto"/>
              <w:sz w:val="22"/>
              <w:szCs w:val="28"/>
              <w:highlight w:val="none"/>
            </w:rPr>
            <w:fldChar w:fldCharType="end"/>
          </w:r>
        </w:p>
        <w:p>
          <w:pPr>
            <w:pStyle w:val="2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"_Toc13639" </w:instrText>
          </w:r>
          <w:r>
            <w:rPr>
              <w:color w:val="auto"/>
              <w:highlight w:val="none"/>
            </w:rPr>
            <w:fldChar w:fldCharType="separate"/>
          </w:r>
          <w:r>
            <w:rPr>
              <w:rFonts w:hint="eastAsia" w:ascii="宋体" w:hAnsi="宋体" w:cs="宋体"/>
              <w:bCs/>
              <w:color w:val="auto"/>
              <w:sz w:val="22"/>
              <w:szCs w:val="32"/>
              <w:highlight w:val="none"/>
              <w:lang w:val="zh-CN"/>
            </w:rPr>
            <w:t>商务技术文件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_Toc13639 \h </w:instrText>
          </w:r>
          <w:r>
            <w:rPr>
              <w:color w:val="auto"/>
              <w:sz w:val="22"/>
              <w:szCs w:val="28"/>
              <w:highlight w:val="none"/>
            </w:rPr>
            <w:fldChar w:fldCharType="separate"/>
          </w:r>
          <w:r>
            <w:rPr>
              <w:color w:val="auto"/>
              <w:sz w:val="22"/>
              <w:szCs w:val="28"/>
              <w:highlight w:val="none"/>
            </w:rPr>
            <w:t>38</w:t>
          </w:r>
          <w:r>
            <w:rPr>
              <w:color w:val="auto"/>
              <w:sz w:val="22"/>
              <w:szCs w:val="28"/>
              <w:highlight w:val="none"/>
            </w:rPr>
            <w:fldChar w:fldCharType="end"/>
          </w:r>
          <w:r>
            <w:rPr>
              <w:color w:val="auto"/>
              <w:sz w:val="22"/>
              <w:szCs w:val="28"/>
              <w:highlight w:val="none"/>
            </w:rPr>
            <w:fldChar w:fldCharType="end"/>
          </w:r>
        </w:p>
        <w:p>
          <w:pPr>
            <w:pStyle w:val="3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"_Toc3381" </w:instrText>
          </w:r>
          <w:r>
            <w:rPr>
              <w:color w:val="auto"/>
              <w:highlight w:val="none"/>
            </w:rPr>
            <w:fldChar w:fldCharType="separate"/>
          </w:r>
          <w:r>
            <w:rPr>
              <w:rFonts w:hint="eastAsia" w:ascii="宋体" w:hAnsi="宋体" w:cs="宋体"/>
              <w:color w:val="auto"/>
              <w:sz w:val="22"/>
              <w:szCs w:val="28"/>
              <w:highlight w:val="none"/>
            </w:rPr>
            <w:t xml:space="preserve">第四部分 </w:t>
          </w:r>
          <w:r>
            <w:rPr>
              <w:rFonts w:hint="eastAsia" w:ascii="宋体" w:hAnsi="宋体" w:cs="宋体"/>
              <w:color w:val="auto"/>
              <w:sz w:val="22"/>
              <w:szCs w:val="28"/>
              <w:highlight w:val="none"/>
              <w:lang w:val="en-US" w:eastAsia="zh-CN"/>
            </w:rPr>
            <w:t xml:space="preserve">  </w:t>
          </w:r>
          <w:r>
            <w:rPr>
              <w:rFonts w:hint="eastAsia" w:ascii="宋体" w:hAnsi="宋体" w:cs="宋体"/>
              <w:color w:val="auto"/>
              <w:sz w:val="22"/>
              <w:szCs w:val="28"/>
              <w:highlight w:val="none"/>
            </w:rPr>
            <w:t>项目技术规范和服务要求</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_Toc3381 \h </w:instrText>
          </w:r>
          <w:r>
            <w:rPr>
              <w:color w:val="auto"/>
              <w:sz w:val="22"/>
              <w:szCs w:val="28"/>
              <w:highlight w:val="none"/>
            </w:rPr>
            <w:fldChar w:fldCharType="separate"/>
          </w:r>
          <w:r>
            <w:rPr>
              <w:color w:val="auto"/>
              <w:sz w:val="22"/>
              <w:szCs w:val="28"/>
              <w:highlight w:val="none"/>
            </w:rPr>
            <w:t>50</w:t>
          </w:r>
          <w:r>
            <w:rPr>
              <w:color w:val="auto"/>
              <w:sz w:val="22"/>
              <w:szCs w:val="28"/>
              <w:highlight w:val="none"/>
            </w:rPr>
            <w:fldChar w:fldCharType="end"/>
          </w:r>
          <w:r>
            <w:rPr>
              <w:color w:val="auto"/>
              <w:sz w:val="22"/>
              <w:szCs w:val="28"/>
              <w:highlight w:val="none"/>
            </w:rPr>
            <w:fldChar w:fldCharType="end"/>
          </w:r>
        </w:p>
        <w:p>
          <w:pPr>
            <w:pStyle w:val="39"/>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"_Toc18194" </w:instrText>
          </w:r>
          <w:r>
            <w:rPr>
              <w:color w:val="auto"/>
              <w:highlight w:val="none"/>
            </w:rPr>
            <w:fldChar w:fldCharType="separate"/>
          </w:r>
          <w:r>
            <w:rPr>
              <w:rFonts w:hint="eastAsia" w:ascii="宋体" w:hAnsi="宋体" w:cs="宋体"/>
              <w:color w:val="auto"/>
              <w:sz w:val="22"/>
              <w:szCs w:val="28"/>
              <w:highlight w:val="none"/>
            </w:rPr>
            <w:t>第五部分   评标原则及方法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_Toc18194 \h </w:instrText>
          </w:r>
          <w:r>
            <w:rPr>
              <w:color w:val="auto"/>
              <w:sz w:val="22"/>
              <w:szCs w:val="28"/>
              <w:highlight w:val="none"/>
            </w:rPr>
            <w:fldChar w:fldCharType="separate"/>
          </w:r>
          <w:r>
            <w:rPr>
              <w:color w:val="auto"/>
              <w:sz w:val="22"/>
              <w:szCs w:val="28"/>
              <w:highlight w:val="none"/>
            </w:rPr>
            <w:t>50</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"_Toc15713" </w:instrText>
          </w:r>
          <w:r>
            <w:rPr>
              <w:color w:val="auto"/>
              <w:highlight w:val="none"/>
            </w:rPr>
            <w:fldChar w:fldCharType="separate"/>
          </w:r>
          <w:r>
            <w:rPr>
              <w:rFonts w:hint="eastAsia" w:ascii="宋体" w:hAnsi="宋体" w:cs="宋体"/>
              <w:color w:val="auto"/>
              <w:sz w:val="22"/>
              <w:highlight w:val="none"/>
            </w:rPr>
            <w:t>一、总 则</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_Toc15713 \h </w:instrText>
          </w:r>
          <w:r>
            <w:rPr>
              <w:color w:val="auto"/>
              <w:sz w:val="22"/>
              <w:szCs w:val="28"/>
              <w:highlight w:val="none"/>
            </w:rPr>
            <w:fldChar w:fldCharType="separate"/>
          </w:r>
          <w:r>
            <w:rPr>
              <w:color w:val="auto"/>
              <w:sz w:val="22"/>
              <w:szCs w:val="28"/>
              <w:highlight w:val="none"/>
            </w:rPr>
            <w:t>53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"_Toc23152" </w:instrText>
          </w:r>
          <w:r>
            <w:rPr>
              <w:color w:val="auto"/>
              <w:highlight w:val="none"/>
            </w:rPr>
            <w:fldChar w:fldCharType="separate"/>
          </w:r>
          <w:r>
            <w:rPr>
              <w:rFonts w:hint="eastAsia" w:ascii="宋体" w:hAnsi="宋体" w:cs="宋体"/>
              <w:color w:val="auto"/>
              <w:sz w:val="22"/>
              <w:highlight w:val="none"/>
            </w:rPr>
            <w:t>二、评标组织</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_Toc23152 \h </w:instrText>
          </w:r>
          <w:r>
            <w:rPr>
              <w:color w:val="auto"/>
              <w:sz w:val="22"/>
              <w:szCs w:val="28"/>
              <w:highlight w:val="none"/>
            </w:rPr>
            <w:fldChar w:fldCharType="separate"/>
          </w:r>
          <w:r>
            <w:rPr>
              <w:color w:val="auto"/>
              <w:sz w:val="22"/>
              <w:szCs w:val="28"/>
              <w:highlight w:val="none"/>
            </w:rPr>
            <w:t>53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"_Toc67" </w:instrText>
          </w:r>
          <w:r>
            <w:rPr>
              <w:color w:val="auto"/>
              <w:highlight w:val="none"/>
            </w:rPr>
            <w:fldChar w:fldCharType="separate"/>
          </w:r>
          <w:r>
            <w:rPr>
              <w:rFonts w:hint="eastAsia" w:ascii="宋体" w:hAnsi="宋体" w:cs="宋体"/>
              <w:color w:val="auto"/>
              <w:sz w:val="22"/>
              <w:highlight w:val="none"/>
            </w:rPr>
            <w:t>三、评标程序</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_Toc67 \h </w:instrText>
          </w:r>
          <w:r>
            <w:rPr>
              <w:color w:val="auto"/>
              <w:sz w:val="22"/>
              <w:szCs w:val="28"/>
              <w:highlight w:val="none"/>
            </w:rPr>
            <w:fldChar w:fldCharType="separate"/>
          </w:r>
          <w:r>
            <w:rPr>
              <w:color w:val="auto"/>
              <w:sz w:val="22"/>
              <w:szCs w:val="28"/>
              <w:highlight w:val="none"/>
            </w:rPr>
            <w:t>53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"_Toc24825" </w:instrText>
          </w:r>
          <w:r>
            <w:rPr>
              <w:color w:val="auto"/>
              <w:highlight w:val="none"/>
            </w:rPr>
            <w:fldChar w:fldCharType="separate"/>
          </w:r>
          <w:r>
            <w:rPr>
              <w:rFonts w:hint="eastAsia" w:ascii="宋体" w:hAnsi="宋体" w:cs="宋体"/>
              <w:color w:val="auto"/>
              <w:sz w:val="22"/>
              <w:highlight w:val="none"/>
            </w:rPr>
            <w:t>四、评标办法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_Toc24825 \h </w:instrText>
          </w:r>
          <w:r>
            <w:rPr>
              <w:color w:val="auto"/>
              <w:sz w:val="22"/>
              <w:szCs w:val="28"/>
              <w:highlight w:val="none"/>
            </w:rPr>
            <w:fldChar w:fldCharType="separate"/>
          </w:r>
          <w:r>
            <w:rPr>
              <w:color w:val="auto"/>
              <w:sz w:val="22"/>
              <w:szCs w:val="28"/>
              <w:highlight w:val="none"/>
            </w:rPr>
            <w:t>53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"_Toc11450" </w:instrText>
          </w:r>
          <w:r>
            <w:rPr>
              <w:color w:val="auto"/>
              <w:highlight w:val="none"/>
            </w:rPr>
            <w:fldChar w:fldCharType="separate"/>
          </w:r>
          <w:r>
            <w:rPr>
              <w:rFonts w:hint="eastAsia" w:ascii="宋体" w:hAnsi="宋体" w:cs="宋体"/>
              <w:color w:val="auto"/>
              <w:sz w:val="22"/>
              <w:highlight w:val="none"/>
            </w:rPr>
            <w:t>五、 评分细则</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_Toc11450 \h </w:instrText>
          </w:r>
          <w:r>
            <w:rPr>
              <w:color w:val="auto"/>
              <w:sz w:val="22"/>
              <w:szCs w:val="28"/>
              <w:highlight w:val="none"/>
            </w:rPr>
            <w:fldChar w:fldCharType="separate"/>
          </w:r>
          <w:r>
            <w:rPr>
              <w:color w:val="auto"/>
              <w:sz w:val="22"/>
              <w:szCs w:val="28"/>
              <w:highlight w:val="none"/>
            </w:rPr>
            <w:t>53</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"_Toc4727" </w:instrText>
          </w:r>
          <w:r>
            <w:rPr>
              <w:color w:val="auto"/>
              <w:highlight w:val="none"/>
            </w:rPr>
            <w:fldChar w:fldCharType="separate"/>
          </w:r>
          <w:r>
            <w:rPr>
              <w:rFonts w:hint="eastAsia" w:ascii="宋体" w:hAnsi="宋体" w:cs="宋体"/>
              <w:bCs/>
              <w:color w:val="auto"/>
              <w:sz w:val="22"/>
              <w:highlight w:val="none"/>
            </w:rPr>
            <w:t>六、定标办法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_Toc4727 \h </w:instrText>
          </w:r>
          <w:r>
            <w:rPr>
              <w:color w:val="auto"/>
              <w:sz w:val="22"/>
              <w:szCs w:val="28"/>
              <w:highlight w:val="none"/>
            </w:rPr>
            <w:fldChar w:fldCharType="separate"/>
          </w:r>
          <w:r>
            <w:rPr>
              <w:color w:val="auto"/>
              <w:sz w:val="22"/>
              <w:szCs w:val="28"/>
              <w:highlight w:val="none"/>
            </w:rPr>
            <w:t>56</w:t>
          </w:r>
          <w:r>
            <w:rPr>
              <w:color w:val="auto"/>
              <w:sz w:val="22"/>
              <w:szCs w:val="28"/>
              <w:highlight w:val="none"/>
            </w:rPr>
            <w:fldChar w:fldCharType="end"/>
          </w:r>
          <w:r>
            <w:rPr>
              <w:color w:val="auto"/>
              <w:sz w:val="22"/>
              <w:szCs w:val="28"/>
              <w:highlight w:val="none"/>
            </w:rPr>
            <w:fldChar w:fldCharType="end"/>
          </w:r>
        </w:p>
        <w:p>
          <w:pPr>
            <w:pStyle w:val="45"/>
            <w:tabs>
              <w:tab w:val="right" w:leader="dot" w:pos="9638"/>
            </w:tabs>
            <w:spacing w:line="360" w:lineRule="auto"/>
            <w:rPr>
              <w:color w:val="auto"/>
              <w:sz w:val="22"/>
              <w:szCs w:val="28"/>
              <w:highlight w:val="none"/>
            </w:rPr>
          </w:pPr>
          <w:r>
            <w:rPr>
              <w:color w:val="auto"/>
              <w:highlight w:val="none"/>
            </w:rPr>
            <w:fldChar w:fldCharType="begin"/>
          </w:r>
          <w:r>
            <w:rPr>
              <w:color w:val="auto"/>
              <w:highlight w:val="none"/>
            </w:rPr>
            <w:instrText xml:space="preserve"> HYPERLINK \l "_Toc3629" </w:instrText>
          </w:r>
          <w:r>
            <w:rPr>
              <w:color w:val="auto"/>
              <w:highlight w:val="none"/>
            </w:rPr>
            <w:fldChar w:fldCharType="separate"/>
          </w:r>
          <w:r>
            <w:rPr>
              <w:rFonts w:hint="eastAsia" w:ascii="宋体" w:hAnsi="宋体" w:cs="宋体"/>
              <w:color w:val="auto"/>
              <w:sz w:val="22"/>
              <w:highlight w:val="none"/>
            </w:rPr>
            <w:t>七、投标人义务</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_Toc3629 \h </w:instrText>
          </w:r>
          <w:r>
            <w:rPr>
              <w:color w:val="auto"/>
              <w:sz w:val="22"/>
              <w:szCs w:val="28"/>
              <w:highlight w:val="none"/>
            </w:rPr>
            <w:fldChar w:fldCharType="separate"/>
          </w:r>
          <w:r>
            <w:rPr>
              <w:color w:val="auto"/>
              <w:sz w:val="22"/>
              <w:szCs w:val="28"/>
              <w:highlight w:val="none"/>
            </w:rPr>
            <w:t>56</w:t>
          </w:r>
          <w:r>
            <w:rPr>
              <w:color w:val="auto"/>
              <w:sz w:val="22"/>
              <w:szCs w:val="28"/>
              <w:highlight w:val="none"/>
            </w:rPr>
            <w:fldChar w:fldCharType="end"/>
          </w:r>
          <w:r>
            <w:rPr>
              <w:color w:val="auto"/>
              <w:sz w:val="22"/>
              <w:szCs w:val="28"/>
              <w:highlight w:val="none"/>
            </w:rPr>
            <w:fldChar w:fldCharType="end"/>
          </w:r>
        </w:p>
        <w:p>
          <w:pPr>
            <w:spacing w:line="360" w:lineRule="auto"/>
            <w:ind w:firstLine="1870" w:firstLineChars="850"/>
            <w:rPr>
              <w:rFonts w:ascii="宋体" w:hAnsi="宋体" w:cs="宋体"/>
              <w:b/>
              <w:color w:val="auto"/>
              <w:sz w:val="22"/>
              <w:szCs w:val="22"/>
              <w:highlight w:val="none"/>
            </w:rPr>
          </w:pPr>
          <w:r>
            <w:rPr>
              <w:rFonts w:hint="eastAsia" w:ascii="宋体" w:hAnsi="宋体" w:cs="宋体"/>
              <w:color w:val="auto"/>
              <w:sz w:val="22"/>
              <w:szCs w:val="40"/>
              <w:highlight w:val="none"/>
            </w:rPr>
            <w:fldChar w:fldCharType="end"/>
          </w:r>
        </w:p>
      </w:sdtContent>
    </w:sdt>
    <w:p>
      <w:pPr>
        <w:pStyle w:val="4"/>
        <w:rPr>
          <w:rFonts w:ascii="宋体" w:hAnsi="宋体" w:eastAsia="宋体" w:cs="宋体"/>
          <w:color w:val="auto"/>
          <w:highlight w:val="none"/>
        </w:rPr>
      </w:pPr>
      <w:bookmarkStart w:id="0" w:name="_Toc6599"/>
      <w:bookmarkStart w:id="1" w:name="_Toc32649"/>
      <w:r>
        <w:rPr>
          <w:rFonts w:hint="eastAsia" w:ascii="宋体" w:hAnsi="宋体" w:eastAsia="宋体" w:cs="宋体"/>
          <w:color w:val="auto"/>
          <w:highlight w:val="none"/>
        </w:rPr>
        <w:t>招标公告</w:t>
      </w:r>
      <w:bookmarkEnd w:id="0"/>
      <w:bookmarkEnd w:id="1"/>
    </w:p>
    <w:p>
      <w:pPr>
        <w:tabs>
          <w:tab w:val="left" w:pos="360"/>
        </w:tabs>
        <w:spacing w:line="460" w:lineRule="exact"/>
        <w:ind w:firstLine="552" w:firstLineChars="250"/>
        <w:rPr>
          <w:rFonts w:ascii="宋体" w:hAnsi="宋体" w:cs="宋体"/>
          <w:b/>
          <w:bCs/>
          <w:color w:val="auto"/>
          <w:sz w:val="22"/>
          <w:highlight w:val="none"/>
        </w:rPr>
      </w:pPr>
      <w:r>
        <w:rPr>
          <w:b/>
          <w:bCs/>
          <w:color w:val="auto"/>
          <w:sz w:val="22"/>
          <w:highlight w:val="none"/>
        </w:rPr>
        <mc:AlternateContent>
          <mc:Choice Requires="wps">
            <w:drawing>
              <wp:anchor distT="0" distB="0" distL="114300" distR="114300" simplePos="0" relativeHeight="251661312" behindDoc="0" locked="0" layoutInCell="1" allowOverlap="1">
                <wp:simplePos x="0" y="0"/>
                <wp:positionH relativeFrom="column">
                  <wp:posOffset>-196850</wp:posOffset>
                </wp:positionH>
                <wp:positionV relativeFrom="paragraph">
                  <wp:posOffset>3810</wp:posOffset>
                </wp:positionV>
                <wp:extent cx="6499225" cy="1206500"/>
                <wp:effectExtent l="6350" t="6350" r="9525" b="6350"/>
                <wp:wrapNone/>
                <wp:docPr id="1" name="矩形 1"/>
                <wp:cNvGraphicFramePr/>
                <a:graphic xmlns:a="http://schemas.openxmlformats.org/drawingml/2006/main">
                  <a:graphicData uri="http://schemas.microsoft.com/office/word/2010/wordprocessingShape">
                    <wps:wsp>
                      <wps:cNvSpPr/>
                      <wps:spPr>
                        <a:xfrm>
                          <a:off x="0" y="0"/>
                          <a:ext cx="6499225" cy="1206500"/>
                        </a:xfrm>
                        <a:prstGeom prst="rect">
                          <a:avLst/>
                        </a:prstGeom>
                        <a:noFill/>
                        <a:ln w="12700" cap="flat" cmpd="sng">
                          <a:solidFill>
                            <a:srgbClr val="000000"/>
                          </a:solidFill>
                          <a:prstDash val="solid"/>
                          <a:round/>
                          <a:headEnd type="none" w="med" len="med"/>
                          <a:tailEnd type="none" w="med" len="med"/>
                        </a:ln>
                      </wps:spPr>
                      <wps:bodyPr anchor="ctr" anchorCtr="0" upright="1"/>
                    </wps:wsp>
                  </a:graphicData>
                </a:graphic>
              </wp:anchor>
            </w:drawing>
          </mc:Choice>
          <mc:Fallback>
            <w:pict>
              <v:rect id="_x0000_s1026" o:spid="_x0000_s1026" o:spt="1" style="position:absolute;left:0pt;margin-left:-15.5pt;margin-top:0.3pt;height:95pt;width:511.75pt;z-index:251661312;v-text-anchor:middle;mso-width-relative:page;mso-height-relative:page;" filled="f" stroked="t" coordsize="21600,21600" o:gfxdata="UEsDBAoAAAAAAIdO4kAAAAAAAAAAAAAAAAAEAAAAZHJzL1BLAwQUAAAACACHTuJAAmZHcNcAAAAI&#10;AQAADwAAAGRycy9kb3ducmV2LnhtbE2PQU+EMBSE7yb+h+aZeNttWYUIUvaA8WA0Ma5evL2FJ6D0&#10;lbQF1n9vPelxMpOZb8r9yYxiIecHyxqSrQJB3Nh24E7D2+v95gaED8gtjpZJwzd52FfnZyUWrV35&#10;hZZD6EQsYV+ghj6EqZDSNz0Z9Fs7EUfvwzqDIUrXydbhGsvNKHdKZdLgwHGhx4nqnpqvw2w0vKef&#10;8nmoV5yfHu4e08VZVV9brS8vEnULItAp/IXhFz+iQxWZjnbm1otRw+YqiV+ChgxEtPN8l4I4xlyu&#10;MpBVKf8fqH4AUEsDBBQAAAAIAIdO4kAD89OGAwIAABIEAAAOAAAAZHJzL2Uyb0RvYy54bWytU82O&#10;0zAQviPxDpbvNGnFFrZquoctywXBSrs8gGs7iSX/acZt2qdB4sZD8DiI12DshC4slx7IIRnH42/m&#10;++bz+uboLDtoQBN8w+ezmjPtZVDGdw3//Hj36i1nmIRXwgavG37SyG82L1+sh7jSi9AHqzQwAvG4&#10;GmLD+5TiqqpQ9toJnIWoPW22AZxItISuUiAGQne2WtT1shoCqAhBakT6ux03+YQIlwCGtjVSb4Pc&#10;O+3TiAraikSUsDcR+aZ027Zapk9tizox23BimsqbilC8y+9qsxarDkTsjZxaEJe08IyTE8ZT0TPU&#10;ViTB9mD+gXJGQsDQppkMrhqJFEWIxbx+ps1DL6IuXEhqjGfR8f/Byo+He2BGkRM488LRwH9++fbj&#10;+1c2z9oMEVeU8hDvYVohhZnosQWXv0SBHYuep7Oe+piYpJ/L19fXi8UVZ5L25ot6eVUXxaun4xEw&#10;vdfBsRw0HGhgRUdx+ICJSlLq75RczYc7Y20ZmvVsyKhvCJNJQU5syQEUukhs0HcFB4M1Kp/JpxG6&#10;3a0FdhDZDeXJJKnGX2m54FZgP+aVrdEnEPZeleK9FuqdVyydIinm6aLw3I3TijOr6V7lqGQmYewl&#10;mdSE9dRLVnzUOEe7oE40H+FlH8i1MgGfFrdpdPE+gul6kq7MqxwnqxRSk62zF/9clyJPV3nz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JmR3DXAAAACAEAAA8AAAAAAAAAAQAgAAAAIgAAAGRycy9k&#10;b3ducmV2LnhtbFBLAQIUABQAAAAIAIdO4kAD89OGAwIAABIEAAAOAAAAAAAAAAEAIAAAACYBAABk&#10;cnMvZTJvRG9jLnhtbFBLBQYAAAAABgAGAFkBAACbBQAAAAA=&#10;">
                <v:fill on="f" focussize="0,0"/>
                <v:stroke weight="1pt" color="#000000" joinstyle="round"/>
                <v:imagedata o:title=""/>
                <o:lock v:ext="edit" aspectratio="f"/>
              </v:rect>
            </w:pict>
          </mc:Fallback>
        </mc:AlternateContent>
      </w:r>
      <w:r>
        <w:rPr>
          <w:rFonts w:hint="eastAsia" w:ascii="宋体" w:hAnsi="宋体" w:cs="宋体"/>
          <w:b/>
          <w:bCs/>
          <w:color w:val="auto"/>
          <w:sz w:val="22"/>
          <w:highlight w:val="none"/>
        </w:rPr>
        <w:t>项目概况</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lang w:eastAsia="zh-CN"/>
        </w:rPr>
        <w:t>温州市自然资源和规划局档案库房建设（档案搬运服务）</w:t>
      </w:r>
      <w:r>
        <w:rPr>
          <w:rFonts w:hint="eastAsia" w:ascii="宋体" w:hAnsi="宋体" w:cs="宋体"/>
          <w:color w:val="auto"/>
          <w:sz w:val="22"/>
          <w:highlight w:val="none"/>
        </w:rPr>
        <w:t>招标项目的潜在投标人应在浙江政府采购网获取（下载）招标文件，并于202</w:t>
      </w:r>
      <w:r>
        <w:rPr>
          <w:rFonts w:hint="eastAsia" w:ascii="宋体" w:hAnsi="宋体" w:cs="宋体"/>
          <w:color w:val="auto"/>
          <w:sz w:val="22"/>
          <w:highlight w:val="none"/>
          <w:lang w:val="en-US" w:eastAsia="zh-CN"/>
        </w:rPr>
        <w:t>3</w:t>
      </w:r>
      <w:r>
        <w:rPr>
          <w:rFonts w:hint="eastAsia" w:ascii="宋体" w:hAnsi="宋体" w:cs="宋体"/>
          <w:color w:val="auto"/>
          <w:sz w:val="22"/>
          <w:highlight w:val="none"/>
        </w:rPr>
        <w:t>年</w:t>
      </w:r>
      <w:r>
        <w:rPr>
          <w:rFonts w:hint="eastAsia" w:ascii="宋体" w:hAnsi="宋体" w:cs="宋体"/>
          <w:color w:val="auto"/>
          <w:sz w:val="22"/>
          <w:highlight w:val="none"/>
          <w:lang w:val="en-US" w:eastAsia="zh-CN"/>
        </w:rPr>
        <w:t>03</w:t>
      </w:r>
      <w:r>
        <w:rPr>
          <w:rFonts w:hint="eastAsia" w:ascii="宋体" w:hAnsi="宋体" w:cs="宋体"/>
          <w:color w:val="auto"/>
          <w:sz w:val="22"/>
          <w:highlight w:val="none"/>
        </w:rPr>
        <w:t>月</w:t>
      </w:r>
      <w:r>
        <w:rPr>
          <w:rFonts w:hint="eastAsia" w:ascii="宋体" w:hAnsi="宋体" w:cs="宋体"/>
          <w:color w:val="auto"/>
          <w:sz w:val="22"/>
          <w:highlight w:val="none"/>
          <w:lang w:val="en-US" w:eastAsia="zh-CN"/>
        </w:rPr>
        <w:t>16</w:t>
      </w:r>
      <w:r>
        <w:rPr>
          <w:rFonts w:hint="eastAsia" w:ascii="宋体" w:hAnsi="宋体" w:cs="宋体"/>
          <w:color w:val="auto"/>
          <w:sz w:val="22"/>
          <w:highlight w:val="none"/>
        </w:rPr>
        <w:t>日</w:t>
      </w:r>
      <w:r>
        <w:rPr>
          <w:rFonts w:hint="eastAsia" w:ascii="宋体" w:hAnsi="宋体" w:cs="宋体"/>
          <w:color w:val="auto"/>
          <w:sz w:val="22"/>
          <w:highlight w:val="none"/>
          <w:lang w:val="en-US" w:eastAsia="zh-CN"/>
        </w:rPr>
        <w:t>09</w:t>
      </w:r>
      <w:r>
        <w:rPr>
          <w:rFonts w:hint="eastAsia" w:ascii="宋体" w:hAnsi="宋体" w:cs="宋体"/>
          <w:color w:val="auto"/>
          <w:sz w:val="22"/>
          <w:highlight w:val="none"/>
        </w:rPr>
        <w:t>点</w:t>
      </w:r>
      <w:r>
        <w:rPr>
          <w:rFonts w:hint="eastAsia" w:ascii="宋体" w:hAnsi="宋体" w:cs="宋体"/>
          <w:color w:val="auto"/>
          <w:sz w:val="22"/>
          <w:highlight w:val="none"/>
          <w:lang w:val="en-US" w:eastAsia="zh-CN"/>
        </w:rPr>
        <w:t>30</w:t>
      </w:r>
      <w:r>
        <w:rPr>
          <w:rFonts w:hint="eastAsia" w:ascii="宋体" w:hAnsi="宋体" w:cs="宋体"/>
          <w:color w:val="auto"/>
          <w:sz w:val="22"/>
          <w:highlight w:val="none"/>
        </w:rPr>
        <w:t>分（北京时间）前递交（上传）投标文件。</w:t>
      </w:r>
    </w:p>
    <w:p>
      <w:pPr>
        <w:pStyle w:val="48"/>
        <w:spacing w:before="0" w:beforeAutospacing="0" w:after="0" w:afterAutospacing="0" w:line="460" w:lineRule="exact"/>
        <w:rPr>
          <w:b/>
          <w:bCs/>
          <w:color w:val="auto"/>
          <w:sz w:val="22"/>
          <w:szCs w:val="22"/>
          <w:highlight w:val="none"/>
        </w:rPr>
      </w:pPr>
    </w:p>
    <w:p>
      <w:pPr>
        <w:pStyle w:val="48"/>
        <w:spacing w:before="0" w:beforeAutospacing="0" w:after="0" w:afterAutospacing="0" w:line="460" w:lineRule="exact"/>
        <w:rPr>
          <w:color w:val="auto"/>
          <w:sz w:val="22"/>
          <w:szCs w:val="22"/>
          <w:highlight w:val="none"/>
        </w:rPr>
      </w:pPr>
      <w:r>
        <w:rPr>
          <w:rFonts w:hint="eastAsia"/>
          <w:b/>
          <w:bCs/>
          <w:color w:val="auto"/>
          <w:sz w:val="22"/>
          <w:szCs w:val="22"/>
          <w:highlight w:val="none"/>
        </w:rPr>
        <w:t>一、项目基本情况</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项目编号：</w:t>
      </w:r>
      <w:r>
        <w:rPr>
          <w:rFonts w:hint="eastAsia"/>
          <w:color w:val="auto"/>
          <w:sz w:val="22"/>
          <w:szCs w:val="22"/>
          <w:highlight w:val="none"/>
          <w:lang w:eastAsia="zh-CN"/>
        </w:rPr>
        <w:t>WZLCZB（W）-2023-02043</w:t>
      </w:r>
      <w:r>
        <w:rPr>
          <w:rFonts w:hint="eastAsia"/>
          <w:color w:val="auto"/>
          <w:sz w:val="22"/>
          <w:szCs w:val="22"/>
          <w:highlight w:val="none"/>
        </w:rPr>
        <w:t> </w:t>
      </w:r>
    </w:p>
    <w:p>
      <w:pPr>
        <w:pStyle w:val="48"/>
        <w:spacing w:before="0" w:beforeAutospacing="0" w:after="0" w:afterAutospacing="0" w:line="460" w:lineRule="exact"/>
        <w:ind w:firstLine="440" w:firstLineChars="200"/>
        <w:rPr>
          <w:rFonts w:hint="eastAsia" w:eastAsia="宋体"/>
          <w:color w:val="auto"/>
          <w:sz w:val="22"/>
          <w:szCs w:val="22"/>
          <w:highlight w:val="none"/>
          <w:lang w:eastAsia="zh-CN"/>
        </w:rPr>
      </w:pPr>
      <w:r>
        <w:rPr>
          <w:rFonts w:hint="eastAsia"/>
          <w:color w:val="auto"/>
          <w:sz w:val="22"/>
          <w:szCs w:val="22"/>
          <w:highlight w:val="none"/>
        </w:rPr>
        <w:t>项目名称：</w:t>
      </w:r>
      <w:r>
        <w:rPr>
          <w:rFonts w:hint="eastAsia"/>
          <w:color w:val="auto"/>
          <w:sz w:val="22"/>
          <w:szCs w:val="22"/>
          <w:highlight w:val="none"/>
          <w:lang w:eastAsia="zh-CN"/>
        </w:rPr>
        <w:t>温州市自然资源和规划局档案库房建设（档案搬运服务）</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预算金额（元）：500000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最高限价（元）：500000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采购需求：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标项名称:</w:t>
      </w:r>
      <w:r>
        <w:rPr>
          <w:rFonts w:hint="eastAsia"/>
          <w:color w:val="auto"/>
          <w:sz w:val="22"/>
          <w:szCs w:val="22"/>
          <w:highlight w:val="none"/>
          <w:lang w:eastAsia="zh-CN"/>
        </w:rPr>
        <w:t>温州市自然资源和规划局档案库房建设（档案搬运服务）</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数量:1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预算金额（元）:500000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简要规格描述或项目基本概况介绍、用途：具体详见招标文件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备注：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合同履约期限：标项 1，具体详见招标文件</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本项目（否）接受联合体投标。</w:t>
      </w:r>
    </w:p>
    <w:p>
      <w:pPr>
        <w:pStyle w:val="48"/>
        <w:spacing w:before="0" w:beforeAutospacing="0" w:after="0" w:afterAutospacing="0" w:line="460" w:lineRule="exact"/>
        <w:rPr>
          <w:color w:val="auto"/>
          <w:sz w:val="22"/>
          <w:szCs w:val="22"/>
          <w:highlight w:val="none"/>
        </w:rPr>
      </w:pPr>
      <w:r>
        <w:rPr>
          <w:rFonts w:hint="eastAsia"/>
          <w:b/>
          <w:bCs/>
          <w:color w:val="auto"/>
          <w:sz w:val="22"/>
          <w:szCs w:val="22"/>
          <w:highlight w:val="none"/>
        </w:rPr>
        <w:t>二、申请人的资格要求：</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2.落实政府采购政策需满足的资格要求：标项1：供应商为中小企业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3.本项目的特定资格要求：无  </w:t>
      </w:r>
    </w:p>
    <w:p>
      <w:pPr>
        <w:pStyle w:val="48"/>
        <w:spacing w:before="0" w:beforeAutospacing="0" w:after="0" w:afterAutospacing="0" w:line="460" w:lineRule="exact"/>
        <w:rPr>
          <w:b/>
          <w:bCs/>
          <w:color w:val="auto"/>
          <w:sz w:val="22"/>
          <w:szCs w:val="22"/>
          <w:highlight w:val="none"/>
        </w:rPr>
      </w:pPr>
      <w:r>
        <w:rPr>
          <w:rFonts w:hint="eastAsia"/>
          <w:b/>
          <w:bCs/>
          <w:color w:val="auto"/>
          <w:sz w:val="22"/>
          <w:szCs w:val="22"/>
          <w:highlight w:val="none"/>
        </w:rPr>
        <w:t>三、获取招标文件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时间：</w:t>
      </w:r>
      <w:r>
        <w:rPr>
          <w:rFonts w:hint="eastAsia"/>
          <w:color w:val="auto"/>
          <w:sz w:val="22"/>
          <w:szCs w:val="22"/>
          <w:highlight w:val="none"/>
          <w:lang w:val="en-US" w:eastAsia="zh-CN"/>
        </w:rPr>
        <w:t>2023年02月23日</w:t>
      </w:r>
      <w:r>
        <w:rPr>
          <w:rFonts w:hint="eastAsia"/>
          <w:color w:val="auto"/>
          <w:sz w:val="22"/>
          <w:szCs w:val="22"/>
          <w:highlight w:val="none"/>
        </w:rPr>
        <w:t>至202</w:t>
      </w:r>
      <w:r>
        <w:rPr>
          <w:rFonts w:hint="eastAsia"/>
          <w:color w:val="auto"/>
          <w:sz w:val="22"/>
          <w:szCs w:val="22"/>
          <w:highlight w:val="none"/>
          <w:lang w:val="en-US" w:eastAsia="zh-CN"/>
        </w:rPr>
        <w:t>3</w:t>
      </w:r>
      <w:r>
        <w:rPr>
          <w:rFonts w:hint="eastAsia"/>
          <w:color w:val="auto"/>
          <w:sz w:val="22"/>
          <w:szCs w:val="22"/>
          <w:highlight w:val="none"/>
        </w:rPr>
        <w:t>年</w:t>
      </w:r>
      <w:r>
        <w:rPr>
          <w:rFonts w:hint="eastAsia"/>
          <w:color w:val="auto"/>
          <w:sz w:val="22"/>
          <w:szCs w:val="22"/>
          <w:highlight w:val="none"/>
          <w:lang w:val="en-US" w:eastAsia="zh-CN"/>
        </w:rPr>
        <w:t>03</w:t>
      </w:r>
      <w:r>
        <w:rPr>
          <w:rFonts w:hint="eastAsia"/>
          <w:color w:val="auto"/>
          <w:sz w:val="22"/>
          <w:szCs w:val="22"/>
          <w:highlight w:val="none"/>
        </w:rPr>
        <w:t>月</w:t>
      </w:r>
      <w:r>
        <w:rPr>
          <w:rFonts w:hint="eastAsia"/>
          <w:color w:val="auto"/>
          <w:sz w:val="22"/>
          <w:szCs w:val="22"/>
          <w:highlight w:val="none"/>
          <w:lang w:val="en-US" w:eastAsia="zh-CN"/>
        </w:rPr>
        <w:t>16</w:t>
      </w:r>
      <w:r>
        <w:rPr>
          <w:rFonts w:hint="eastAsia"/>
          <w:color w:val="auto"/>
          <w:sz w:val="22"/>
          <w:szCs w:val="22"/>
          <w:highlight w:val="none"/>
        </w:rPr>
        <w:t>日，每天上午00:00至12:00，下午12:00至23:59（北京时间，线上获取法定节假日均可，线下获取文件法定节假日除外）</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地点（网址）：浙江政府采购网（https://zfcg.czt.zj.gov.cn/）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方式：供应商登录政采云平台https://www.zcygov.cn/在线申请获取采购文件（进入“项目采购”应用，在获取采购文件菜单中选择项目，申请获取采购文件）</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售价（元）：0 </w:t>
      </w:r>
    </w:p>
    <w:p>
      <w:pPr>
        <w:pStyle w:val="48"/>
        <w:spacing w:before="0" w:beforeAutospacing="0" w:after="0" w:afterAutospacing="0" w:line="460" w:lineRule="exact"/>
        <w:rPr>
          <w:b/>
          <w:bCs/>
          <w:color w:val="auto"/>
          <w:sz w:val="22"/>
          <w:szCs w:val="22"/>
          <w:highlight w:val="none"/>
        </w:rPr>
      </w:pPr>
      <w:r>
        <w:rPr>
          <w:rFonts w:hint="eastAsia"/>
          <w:b/>
          <w:bCs/>
          <w:color w:val="auto"/>
          <w:sz w:val="22"/>
          <w:szCs w:val="22"/>
          <w:highlight w:val="none"/>
        </w:rPr>
        <w:t>四、提交投标文件截止时间、开标时间和地点</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提交投标文件截止时间：202</w:t>
      </w:r>
      <w:r>
        <w:rPr>
          <w:rFonts w:hint="eastAsia"/>
          <w:color w:val="auto"/>
          <w:sz w:val="22"/>
          <w:szCs w:val="22"/>
          <w:highlight w:val="none"/>
          <w:lang w:val="en-US" w:eastAsia="zh-CN"/>
        </w:rPr>
        <w:t>3</w:t>
      </w:r>
      <w:r>
        <w:rPr>
          <w:rFonts w:hint="eastAsia"/>
          <w:color w:val="auto"/>
          <w:sz w:val="22"/>
          <w:szCs w:val="22"/>
          <w:highlight w:val="none"/>
        </w:rPr>
        <w:t>年</w:t>
      </w:r>
      <w:r>
        <w:rPr>
          <w:rFonts w:hint="eastAsia"/>
          <w:color w:val="auto"/>
          <w:sz w:val="22"/>
          <w:szCs w:val="22"/>
          <w:highlight w:val="none"/>
          <w:lang w:val="en-US" w:eastAsia="zh-CN"/>
        </w:rPr>
        <w:t>03</w:t>
      </w:r>
      <w:r>
        <w:rPr>
          <w:rFonts w:hint="eastAsia"/>
          <w:color w:val="auto"/>
          <w:sz w:val="22"/>
          <w:szCs w:val="22"/>
          <w:highlight w:val="none"/>
        </w:rPr>
        <w:t>月</w:t>
      </w:r>
      <w:r>
        <w:rPr>
          <w:rFonts w:hint="eastAsia"/>
          <w:color w:val="auto"/>
          <w:sz w:val="22"/>
          <w:szCs w:val="22"/>
          <w:highlight w:val="none"/>
          <w:lang w:val="en-US" w:eastAsia="zh-CN"/>
        </w:rPr>
        <w:t>16</w:t>
      </w:r>
      <w:r>
        <w:rPr>
          <w:rFonts w:hint="eastAsia"/>
          <w:color w:val="auto"/>
          <w:sz w:val="22"/>
          <w:szCs w:val="22"/>
          <w:highlight w:val="none"/>
        </w:rPr>
        <w:t>日</w:t>
      </w:r>
      <w:r>
        <w:rPr>
          <w:rFonts w:hint="eastAsia"/>
          <w:color w:val="auto"/>
          <w:sz w:val="22"/>
          <w:szCs w:val="22"/>
          <w:highlight w:val="none"/>
          <w:lang w:val="en-US" w:eastAsia="zh-CN"/>
        </w:rPr>
        <w:t>09</w:t>
      </w:r>
      <w:r>
        <w:rPr>
          <w:rFonts w:hint="eastAsia"/>
          <w:color w:val="auto"/>
          <w:sz w:val="22"/>
          <w:szCs w:val="22"/>
          <w:highlight w:val="none"/>
        </w:rPr>
        <w:t>点</w:t>
      </w:r>
      <w:r>
        <w:rPr>
          <w:rFonts w:hint="eastAsia"/>
          <w:color w:val="auto"/>
          <w:sz w:val="22"/>
          <w:szCs w:val="22"/>
          <w:highlight w:val="none"/>
          <w:lang w:val="en-US" w:eastAsia="zh-CN"/>
        </w:rPr>
        <w:t>30</w:t>
      </w:r>
      <w:r>
        <w:rPr>
          <w:rFonts w:hint="eastAsia"/>
          <w:color w:val="auto"/>
          <w:sz w:val="22"/>
          <w:szCs w:val="22"/>
          <w:highlight w:val="none"/>
        </w:rPr>
        <w:t>分（北京时间）</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投标地点（网址）：</w:t>
      </w:r>
      <w:r>
        <w:rPr>
          <w:rFonts w:hint="eastAsia"/>
          <w:color w:val="auto"/>
          <w:sz w:val="22"/>
          <w:highlight w:val="none"/>
        </w:rPr>
        <w:t>温州市鹿城区学院中路229号三想集团5楼（政采云平台：http://zfcg.czt.zj.gov.cn）</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开标时间：202</w:t>
      </w:r>
      <w:r>
        <w:rPr>
          <w:rFonts w:hint="eastAsia"/>
          <w:color w:val="auto"/>
          <w:sz w:val="22"/>
          <w:szCs w:val="22"/>
          <w:highlight w:val="none"/>
          <w:lang w:val="en-US" w:eastAsia="zh-CN"/>
        </w:rPr>
        <w:t>3</w:t>
      </w:r>
      <w:r>
        <w:rPr>
          <w:rFonts w:hint="eastAsia"/>
          <w:color w:val="auto"/>
          <w:sz w:val="22"/>
          <w:szCs w:val="22"/>
          <w:highlight w:val="none"/>
        </w:rPr>
        <w:t>年</w:t>
      </w:r>
      <w:r>
        <w:rPr>
          <w:rFonts w:hint="eastAsia"/>
          <w:color w:val="auto"/>
          <w:sz w:val="22"/>
          <w:szCs w:val="22"/>
          <w:highlight w:val="none"/>
          <w:lang w:val="en-US" w:eastAsia="zh-CN"/>
        </w:rPr>
        <w:t>03</w:t>
      </w:r>
      <w:r>
        <w:rPr>
          <w:rFonts w:hint="eastAsia"/>
          <w:color w:val="auto"/>
          <w:sz w:val="22"/>
          <w:szCs w:val="22"/>
          <w:highlight w:val="none"/>
        </w:rPr>
        <w:t>月</w:t>
      </w:r>
      <w:r>
        <w:rPr>
          <w:rFonts w:hint="eastAsia"/>
          <w:color w:val="auto"/>
          <w:sz w:val="22"/>
          <w:szCs w:val="22"/>
          <w:highlight w:val="none"/>
          <w:lang w:val="en-US" w:eastAsia="zh-CN"/>
        </w:rPr>
        <w:t>16</w:t>
      </w:r>
      <w:r>
        <w:rPr>
          <w:rFonts w:hint="eastAsia"/>
          <w:color w:val="auto"/>
          <w:sz w:val="22"/>
          <w:szCs w:val="22"/>
          <w:highlight w:val="none"/>
        </w:rPr>
        <w:t>日</w:t>
      </w:r>
      <w:r>
        <w:rPr>
          <w:rFonts w:hint="eastAsia"/>
          <w:color w:val="auto"/>
          <w:sz w:val="22"/>
          <w:szCs w:val="22"/>
          <w:highlight w:val="none"/>
          <w:lang w:val="en-US" w:eastAsia="zh-CN"/>
        </w:rPr>
        <w:t>09</w:t>
      </w:r>
      <w:r>
        <w:rPr>
          <w:rFonts w:hint="eastAsia"/>
          <w:color w:val="auto"/>
          <w:sz w:val="22"/>
          <w:szCs w:val="22"/>
          <w:highlight w:val="none"/>
        </w:rPr>
        <w:t>点</w:t>
      </w:r>
      <w:r>
        <w:rPr>
          <w:rFonts w:hint="eastAsia"/>
          <w:color w:val="auto"/>
          <w:sz w:val="22"/>
          <w:szCs w:val="22"/>
          <w:highlight w:val="none"/>
          <w:lang w:val="en-US" w:eastAsia="zh-CN"/>
        </w:rPr>
        <w:t>30</w:t>
      </w:r>
      <w:r>
        <w:rPr>
          <w:rFonts w:hint="eastAsia"/>
          <w:color w:val="auto"/>
          <w:sz w:val="22"/>
          <w:szCs w:val="22"/>
          <w:highlight w:val="none"/>
        </w:rPr>
        <w:t>分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开标地点（网址）：</w:t>
      </w:r>
      <w:r>
        <w:rPr>
          <w:rFonts w:hint="eastAsia"/>
          <w:color w:val="auto"/>
          <w:sz w:val="22"/>
          <w:highlight w:val="none"/>
        </w:rPr>
        <w:t>温州市鹿城区学院中路229号三想集团5楼（政采云平台：http://zfcg.czt.zj.gov.cn）</w:t>
      </w:r>
      <w:r>
        <w:rPr>
          <w:rFonts w:hint="eastAsia"/>
          <w:color w:val="auto"/>
          <w:sz w:val="22"/>
          <w:szCs w:val="22"/>
          <w:highlight w:val="none"/>
        </w:rPr>
        <w:t>  </w:t>
      </w:r>
    </w:p>
    <w:p>
      <w:pPr>
        <w:pStyle w:val="48"/>
        <w:spacing w:before="0" w:beforeAutospacing="0" w:after="0" w:afterAutospacing="0" w:line="460" w:lineRule="exact"/>
        <w:rPr>
          <w:color w:val="auto"/>
          <w:sz w:val="22"/>
          <w:szCs w:val="22"/>
          <w:highlight w:val="none"/>
        </w:rPr>
      </w:pPr>
      <w:r>
        <w:rPr>
          <w:rFonts w:hint="eastAsia"/>
          <w:b/>
          <w:bCs/>
          <w:color w:val="auto"/>
          <w:sz w:val="22"/>
          <w:szCs w:val="22"/>
          <w:highlight w:val="none"/>
        </w:rPr>
        <w:t>五、公告期限</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自本公告发布之日起5个工作日。</w:t>
      </w:r>
    </w:p>
    <w:p>
      <w:pPr>
        <w:pStyle w:val="48"/>
        <w:spacing w:before="0" w:beforeAutospacing="0" w:after="0" w:afterAutospacing="0" w:line="460" w:lineRule="exact"/>
        <w:rPr>
          <w:b/>
          <w:bCs/>
          <w:color w:val="auto"/>
          <w:sz w:val="22"/>
          <w:szCs w:val="22"/>
          <w:highlight w:val="none"/>
        </w:rPr>
      </w:pPr>
      <w:r>
        <w:rPr>
          <w:rFonts w:hint="eastAsia"/>
          <w:b/>
          <w:bCs/>
          <w:color w:val="auto"/>
          <w:sz w:val="22"/>
          <w:szCs w:val="22"/>
          <w:highlight w:val="none"/>
        </w:rPr>
        <w:t>六、其他补充事宜</w:t>
      </w:r>
    </w:p>
    <w:p>
      <w:pPr>
        <w:pStyle w:val="48"/>
        <w:spacing w:before="0" w:beforeAutospacing="0" w:after="0" w:afterAutospacing="0" w:line="460" w:lineRule="exact"/>
        <w:ind w:firstLine="440" w:firstLineChars="200"/>
        <w:rPr>
          <w:color w:val="auto"/>
          <w:sz w:val="22"/>
          <w:highlight w:val="none"/>
        </w:rPr>
      </w:pPr>
      <w:r>
        <w:rPr>
          <w:rFonts w:hint="eastAsia"/>
          <w:color w:val="auto"/>
          <w:sz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48"/>
        <w:spacing w:before="0" w:beforeAutospacing="0" w:after="0" w:afterAutospacing="0" w:line="460" w:lineRule="exact"/>
        <w:ind w:firstLine="440" w:firstLineChars="200"/>
        <w:rPr>
          <w:color w:val="auto"/>
          <w:sz w:val="22"/>
          <w:highlight w:val="none"/>
        </w:rPr>
      </w:pPr>
      <w:r>
        <w:rPr>
          <w:rFonts w:hint="eastAsia"/>
          <w:color w:val="auto"/>
          <w:sz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highlight w:val="none"/>
        </w:rPr>
        <w:t>3.其他事项：（一）质疑投诉：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二）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 ⑥投标文件的解密：投标人按照平台提示和招标文件的规定在半小时内完成在线解密；⑦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  </w:t>
      </w:r>
    </w:p>
    <w:p>
      <w:pPr>
        <w:tabs>
          <w:tab w:val="left" w:pos="360"/>
        </w:tabs>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七、对本次招标提出询问，请按以下方式联系</w:t>
      </w:r>
      <w:r>
        <w:rPr>
          <w:rFonts w:hint="eastAsia" w:ascii="宋体" w:hAnsi="宋体" w:cs="宋体"/>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1.采购人信息</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名  称：温州市城市建设档案馆</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 xml:space="preserve">地  址：温州市雪山路75弄1号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传  真：</w:t>
      </w:r>
      <w:r>
        <w:rPr>
          <w:rFonts w:hint="eastAsia"/>
          <w:color w:val="auto"/>
          <w:sz w:val="22"/>
          <w:szCs w:val="22"/>
          <w:highlight w:val="none"/>
          <w:lang w:val="en-US" w:eastAsia="zh-CN"/>
        </w:rPr>
        <w:t>/</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项目联系人（询问）：</w:t>
      </w:r>
      <w:r>
        <w:rPr>
          <w:rFonts w:hint="eastAsia"/>
          <w:color w:val="auto"/>
          <w:sz w:val="22"/>
          <w:szCs w:val="22"/>
          <w:highlight w:val="none"/>
          <w:lang w:val="en-US" w:eastAsia="zh-CN"/>
        </w:rPr>
        <w:t>蔡先生</w:t>
      </w:r>
      <w:r>
        <w:rPr>
          <w:rFonts w:hint="eastAsia"/>
          <w:color w:val="auto"/>
          <w:sz w:val="22"/>
          <w:szCs w:val="22"/>
          <w:highlight w:val="none"/>
        </w:rPr>
        <w:t>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项目联系方式（询问）：</w:t>
      </w:r>
      <w:r>
        <w:rPr>
          <w:rFonts w:hint="eastAsia"/>
          <w:color w:val="auto"/>
          <w:sz w:val="22"/>
          <w:szCs w:val="22"/>
          <w:highlight w:val="none"/>
          <w:lang w:val="en-US" w:eastAsia="zh-CN"/>
        </w:rPr>
        <w:t>0577-</w:t>
      </w:r>
      <w:r>
        <w:rPr>
          <w:rFonts w:hint="eastAsia"/>
          <w:color w:val="auto"/>
          <w:sz w:val="22"/>
          <w:szCs w:val="22"/>
          <w:highlight w:val="none"/>
        </w:rPr>
        <w:t>88520002</w:t>
      </w:r>
    </w:p>
    <w:p>
      <w:pPr>
        <w:pStyle w:val="48"/>
        <w:spacing w:before="0" w:beforeAutospacing="0" w:after="0" w:afterAutospacing="0" w:line="460" w:lineRule="exact"/>
        <w:ind w:firstLine="440" w:firstLineChars="200"/>
        <w:rPr>
          <w:rFonts w:hint="default" w:eastAsia="宋体"/>
          <w:color w:val="auto"/>
          <w:sz w:val="22"/>
          <w:szCs w:val="22"/>
          <w:highlight w:val="none"/>
          <w:lang w:val="en-US" w:eastAsia="zh-CN"/>
        </w:rPr>
      </w:pPr>
      <w:r>
        <w:rPr>
          <w:rFonts w:hint="eastAsia"/>
          <w:color w:val="auto"/>
          <w:sz w:val="22"/>
          <w:szCs w:val="22"/>
          <w:highlight w:val="none"/>
        </w:rPr>
        <w:t>质疑联系人：</w:t>
      </w:r>
      <w:r>
        <w:rPr>
          <w:rFonts w:hint="eastAsia"/>
          <w:color w:val="auto"/>
          <w:sz w:val="22"/>
          <w:szCs w:val="22"/>
          <w:highlight w:val="none"/>
          <w:lang w:val="en-US" w:eastAsia="zh-CN"/>
        </w:rPr>
        <w:t>吴先生</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质疑联系方式：</w:t>
      </w:r>
      <w:r>
        <w:rPr>
          <w:rFonts w:hint="eastAsia"/>
          <w:color w:val="auto"/>
          <w:sz w:val="22"/>
          <w:szCs w:val="22"/>
          <w:highlight w:val="none"/>
          <w:lang w:val="en-US" w:eastAsia="zh-CN"/>
        </w:rPr>
        <w:t>0577-</w:t>
      </w:r>
      <w:r>
        <w:rPr>
          <w:rFonts w:hint="eastAsia"/>
          <w:color w:val="auto"/>
          <w:sz w:val="22"/>
          <w:szCs w:val="22"/>
          <w:highlight w:val="none"/>
        </w:rPr>
        <w:t>88520605　　　　　　　</w:t>
      </w:r>
    </w:p>
    <w:p>
      <w:pPr>
        <w:pStyle w:val="48"/>
        <w:spacing w:before="0" w:beforeAutospacing="0" w:after="0" w:afterAutospacing="0" w:line="460" w:lineRule="exact"/>
        <w:rPr>
          <w:color w:val="auto"/>
          <w:sz w:val="22"/>
          <w:szCs w:val="22"/>
          <w:highlight w:val="none"/>
        </w:rPr>
      </w:pPr>
      <w:r>
        <w:rPr>
          <w:rFonts w:hint="eastAsia"/>
          <w:color w:val="auto"/>
          <w:sz w:val="22"/>
          <w:szCs w:val="22"/>
          <w:highlight w:val="none"/>
        </w:rPr>
        <w:t>  2.采购代理机构信息</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名  称：温州历程招标有限公司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地  址：温州市鹿城区学院中路229号三想集团5楼</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 xml:space="preserve">传  真：0577-89887255   </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项目联系人（询问）：郑永强、温碧霞</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项目联系方式（询问）：0577-89887322、13757727199</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质疑联系人：肖忠文</w:t>
      </w:r>
    </w:p>
    <w:p>
      <w:pPr>
        <w:pStyle w:val="48"/>
        <w:spacing w:before="0" w:beforeAutospacing="0" w:after="0" w:afterAutospacing="0" w:line="460" w:lineRule="exact"/>
        <w:ind w:firstLine="440" w:firstLineChars="200"/>
        <w:rPr>
          <w:color w:val="auto"/>
          <w:sz w:val="22"/>
          <w:szCs w:val="22"/>
          <w:highlight w:val="none"/>
        </w:rPr>
      </w:pPr>
      <w:r>
        <w:rPr>
          <w:rFonts w:hint="eastAsia"/>
          <w:color w:val="auto"/>
          <w:sz w:val="22"/>
          <w:szCs w:val="22"/>
          <w:highlight w:val="none"/>
        </w:rPr>
        <w:t>质疑联系方式：13757727199 </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3.同级政府采购监督管理部门</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名    称：温州市财政局政府采购监管处 </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地    址：温州市鹿城区绣山路299号 </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传    真：/ </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联系人 ：项先生、蔡女士 </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监督投诉电话：0577-88532725、88521948</w:t>
      </w:r>
    </w:p>
    <w:p>
      <w:pPr>
        <w:pStyle w:val="48"/>
        <w:spacing w:before="0" w:beforeAutospacing="0" w:after="0" w:afterAutospacing="0" w:line="460" w:lineRule="exact"/>
        <w:rPr>
          <w:color w:val="auto"/>
          <w:sz w:val="22"/>
          <w:szCs w:val="22"/>
          <w:highlight w:val="none"/>
        </w:rPr>
      </w:pPr>
      <w:r>
        <w:rPr>
          <w:rFonts w:hint="eastAsia"/>
          <w:color w:val="auto"/>
          <w:sz w:val="22"/>
          <w:szCs w:val="22"/>
          <w:highlight w:val="none"/>
        </w:rPr>
        <w:t>　</w:t>
      </w:r>
    </w:p>
    <w:p>
      <w:pPr>
        <w:pStyle w:val="4"/>
        <w:rPr>
          <w:rFonts w:ascii="宋体" w:hAnsi="宋体" w:eastAsia="宋体" w:cs="宋体"/>
          <w:color w:val="auto"/>
          <w:highlight w:val="none"/>
        </w:rPr>
      </w:pPr>
      <w:bookmarkStart w:id="2" w:name="_Toc5772"/>
      <w:bookmarkStart w:id="3" w:name="_Toc10401"/>
      <w:r>
        <w:rPr>
          <w:rFonts w:hint="eastAsia" w:ascii="宋体" w:hAnsi="宋体" w:eastAsia="宋体" w:cs="宋体"/>
          <w:color w:val="auto"/>
          <w:highlight w:val="none"/>
        </w:rPr>
        <w:t>第一部分    投标人须知</w:t>
      </w:r>
      <w:bookmarkEnd w:id="2"/>
      <w:bookmarkEnd w:id="3"/>
    </w:p>
    <w:p>
      <w:pPr>
        <w:keepNext/>
        <w:keepLines/>
        <w:shd w:val="clear" w:color="auto" w:fill="FFFFFF"/>
        <w:tabs>
          <w:tab w:val="left" w:pos="706"/>
        </w:tabs>
        <w:snapToGrid w:val="0"/>
        <w:spacing w:line="360" w:lineRule="auto"/>
        <w:jc w:val="center"/>
        <w:outlineLvl w:val="1"/>
        <w:rPr>
          <w:rFonts w:ascii="宋体" w:hAnsi="宋体" w:cs="宋体"/>
          <w:b/>
          <w:bCs/>
          <w:color w:val="auto"/>
          <w:sz w:val="24"/>
          <w:highlight w:val="none"/>
        </w:rPr>
      </w:pPr>
      <w:bookmarkStart w:id="4" w:name="_Toc354996695"/>
      <w:bookmarkStart w:id="5" w:name="_Toc6224"/>
      <w:bookmarkStart w:id="6" w:name="_Toc33194387"/>
      <w:bookmarkStart w:id="7" w:name="_Toc1839"/>
      <w:bookmarkStart w:id="8" w:name="_Toc233618971"/>
      <w:r>
        <w:rPr>
          <w:rFonts w:hint="eastAsia" w:ascii="宋体" w:hAnsi="宋体" w:cs="宋体"/>
          <w:b/>
          <w:bCs/>
          <w:color w:val="auto"/>
          <w:sz w:val="24"/>
          <w:highlight w:val="none"/>
        </w:rPr>
        <w:t>前 附 表</w:t>
      </w:r>
      <w:bookmarkEnd w:id="4"/>
      <w:bookmarkEnd w:id="5"/>
      <w:bookmarkEnd w:id="6"/>
      <w:bookmarkEnd w:id="7"/>
      <w:bookmarkEnd w:id="8"/>
    </w:p>
    <w:tbl>
      <w:tblPr>
        <w:tblStyle w:val="52"/>
        <w:tblW w:w="10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5"/>
        <w:gridCol w:w="95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8"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color w:val="auto"/>
                <w:sz w:val="22"/>
                <w:szCs w:val="22"/>
                <w:highlight w:val="none"/>
              </w:rPr>
            </w:pPr>
            <w:r>
              <w:rPr>
                <w:rFonts w:hint="eastAsia" w:ascii="宋体" w:hAnsi="宋体" w:cs="宋体"/>
                <w:b/>
                <w:bCs/>
                <w:color w:val="auto"/>
                <w:sz w:val="22"/>
                <w:szCs w:val="22"/>
                <w:highlight w:val="none"/>
              </w:rPr>
              <w:t>条款</w:t>
            </w:r>
          </w:p>
        </w:tc>
        <w:tc>
          <w:tcPr>
            <w:tcW w:w="9590" w:type="dxa"/>
            <w:tcBorders>
              <w:top w:val="single" w:color="000000" w:sz="8" w:space="0"/>
              <w:left w:val="single" w:color="000000" w:sz="2" w:space="0"/>
              <w:bottom w:val="single" w:color="000000" w:sz="2" w:space="0"/>
              <w:right w:val="single" w:color="000000" w:sz="8"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内容规定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w:t>
            </w:r>
          </w:p>
        </w:tc>
        <w:tc>
          <w:tcPr>
            <w:tcW w:w="9590" w:type="dxa"/>
            <w:tcBorders>
              <w:top w:val="single" w:color="000000" w:sz="2" w:space="0"/>
              <w:left w:val="single" w:color="000000" w:sz="2" w:space="0"/>
              <w:bottom w:val="single" w:color="000000" w:sz="2" w:space="0"/>
              <w:right w:val="single" w:color="000000" w:sz="8" w:space="0"/>
            </w:tcBorders>
          </w:tcPr>
          <w:p>
            <w:pPr>
              <w:tabs>
                <w:tab w:val="left" w:pos="3780"/>
              </w:tabs>
              <w:snapToGrid w:val="0"/>
              <w:spacing w:line="460" w:lineRule="exact"/>
              <w:rPr>
                <w:rFonts w:hint="eastAsia" w:ascii="宋体" w:hAnsi="宋体" w:eastAsia="宋体" w:cs="宋体"/>
                <w:color w:val="auto"/>
                <w:sz w:val="22"/>
                <w:szCs w:val="22"/>
                <w:highlight w:val="none"/>
                <w:lang w:eastAsia="zh-CN"/>
              </w:rPr>
            </w:pPr>
            <w:r>
              <w:rPr>
                <w:rFonts w:hint="eastAsia" w:ascii="宋体" w:hAnsi="宋体" w:cs="宋体"/>
                <w:b/>
                <w:bCs/>
                <w:color w:val="auto"/>
                <w:sz w:val="22"/>
                <w:szCs w:val="22"/>
                <w:highlight w:val="none"/>
              </w:rPr>
              <w:t>一、项目名称</w:t>
            </w:r>
            <w:r>
              <w:rPr>
                <w:rFonts w:hint="eastAsia" w:ascii="宋体" w:hAnsi="宋体" w:cs="宋体"/>
                <w:color w:val="auto"/>
                <w:sz w:val="22"/>
                <w:szCs w:val="22"/>
                <w:highlight w:val="none"/>
              </w:rPr>
              <w:t>：</w:t>
            </w:r>
            <w:r>
              <w:rPr>
                <w:rFonts w:hint="eastAsia" w:ascii="宋体" w:hAnsi="宋体" w:cs="宋体"/>
                <w:color w:val="auto"/>
                <w:sz w:val="22"/>
                <w:szCs w:val="22"/>
                <w:highlight w:val="none"/>
                <w:lang w:eastAsia="zh-CN"/>
              </w:rPr>
              <w:t>温州市自然资源和规划局档案库房建设（档案搬运服务）</w:t>
            </w:r>
          </w:p>
          <w:p>
            <w:pPr>
              <w:spacing w:line="460" w:lineRule="exact"/>
              <w:rPr>
                <w:rFonts w:ascii="宋体" w:hAnsi="宋体" w:cs="宋体"/>
                <w:b/>
                <w:bCs/>
                <w:color w:val="auto"/>
                <w:sz w:val="22"/>
                <w:szCs w:val="22"/>
                <w:highlight w:val="none"/>
              </w:rPr>
            </w:pPr>
            <w:bookmarkStart w:id="9" w:name="_Hlt75139851"/>
            <w:bookmarkEnd w:id="9"/>
            <w:r>
              <w:rPr>
                <w:rFonts w:hint="eastAsia" w:ascii="宋体" w:hAnsi="宋体" w:cs="宋体"/>
                <w:b/>
                <w:bCs/>
                <w:color w:val="auto"/>
                <w:sz w:val="22"/>
                <w:szCs w:val="22"/>
                <w:highlight w:val="none"/>
              </w:rPr>
              <w:t>二、采购内容：</w:t>
            </w:r>
          </w:p>
          <w:tbl>
            <w:tblPr>
              <w:tblStyle w:val="52"/>
              <w:tblW w:w="920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6"/>
              <w:gridCol w:w="3325"/>
              <w:gridCol w:w="750"/>
              <w:gridCol w:w="1557"/>
              <w:gridCol w:w="28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color w:val="auto"/>
                      <w:sz w:val="22"/>
                      <w:szCs w:val="22"/>
                      <w:highlight w:val="none"/>
                      <w:shd w:val="clear" w:color="auto" w:fill="FFFFFF"/>
                    </w:rPr>
                  </w:pPr>
                  <w:r>
                    <w:rPr>
                      <w:rFonts w:hint="eastAsia" w:ascii="宋体" w:hAnsi="宋体" w:cs="宋体"/>
                      <w:color w:val="auto"/>
                      <w:sz w:val="22"/>
                      <w:szCs w:val="22"/>
                      <w:highlight w:val="none"/>
                    </w:rPr>
                    <w:t>序号</w:t>
                  </w:r>
                </w:p>
              </w:tc>
              <w:tc>
                <w:tcPr>
                  <w:tcW w:w="3325"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项目名称</w:t>
                  </w:r>
                </w:p>
              </w:tc>
              <w:tc>
                <w:tcPr>
                  <w:tcW w:w="750"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color w:val="auto"/>
                      <w:sz w:val="22"/>
                      <w:szCs w:val="22"/>
                      <w:highlight w:val="none"/>
                      <w:shd w:val="clear" w:color="auto" w:fill="FFFFFF"/>
                    </w:rPr>
                  </w:pPr>
                  <w:r>
                    <w:rPr>
                      <w:rFonts w:hint="eastAsia" w:ascii="宋体" w:hAnsi="宋体" w:cs="宋体"/>
                      <w:color w:val="auto"/>
                      <w:sz w:val="22"/>
                      <w:szCs w:val="22"/>
                      <w:highlight w:val="none"/>
                    </w:rPr>
                    <w:t>单位</w:t>
                  </w:r>
                </w:p>
              </w:tc>
              <w:tc>
                <w:tcPr>
                  <w:tcW w:w="1557" w:type="dxa"/>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360"/>
                    </w:tabs>
                    <w:spacing w:line="460" w:lineRule="exact"/>
                    <w:jc w:val="center"/>
                    <w:rPr>
                      <w:rFonts w:ascii="宋体" w:hAnsi="宋体" w:cs="宋体"/>
                      <w:color w:val="auto"/>
                      <w:sz w:val="22"/>
                      <w:szCs w:val="22"/>
                      <w:highlight w:val="none"/>
                    </w:rPr>
                  </w:pPr>
                  <w:r>
                    <w:rPr>
                      <w:rFonts w:hint="eastAsia" w:ascii="宋体" w:hAnsi="宋体" w:cs="宋体"/>
                      <w:color w:val="auto"/>
                      <w:sz w:val="22"/>
                      <w:highlight w:val="none"/>
                    </w:rPr>
                    <w:t>预算金额（元）</w:t>
                  </w:r>
                </w:p>
              </w:tc>
              <w:tc>
                <w:tcPr>
                  <w:tcW w:w="2873" w:type="dxa"/>
                  <w:tcBorders>
                    <w:top w:val="single" w:color="auto" w:sz="4" w:space="0"/>
                    <w:left w:val="single" w:color="auto" w:sz="4" w:space="0"/>
                    <w:bottom w:val="single" w:color="auto" w:sz="4" w:space="0"/>
                    <w:right w:val="single" w:color="auto" w:sz="4" w:space="0"/>
                  </w:tcBorders>
                  <w:vAlign w:val="center"/>
                </w:tcPr>
                <w:p>
                  <w:pPr>
                    <w:widowControl/>
                    <w:snapToGrid w:val="0"/>
                    <w:spacing w:line="460" w:lineRule="exact"/>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简要技术要求、用途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696" w:type="dxa"/>
                  <w:tcBorders>
                    <w:top w:val="single" w:color="auto" w:sz="4" w:space="0"/>
                    <w:left w:val="single" w:color="auto" w:sz="4" w:space="0"/>
                    <w:right w:val="single" w:color="auto" w:sz="4" w:space="0"/>
                  </w:tcBorders>
                  <w:vAlign w:val="center"/>
                </w:tcPr>
                <w:p>
                  <w:pPr>
                    <w:tabs>
                      <w:tab w:val="left" w:pos="360"/>
                    </w:tabs>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325" w:type="dxa"/>
                  <w:tcBorders>
                    <w:top w:val="single" w:color="auto" w:sz="4" w:space="0"/>
                    <w:left w:val="single" w:color="auto" w:sz="4" w:space="0"/>
                    <w:right w:val="single" w:color="auto" w:sz="4" w:space="0"/>
                  </w:tcBorders>
                  <w:vAlign w:val="center"/>
                </w:tcPr>
                <w:p>
                  <w:pPr>
                    <w:spacing w:line="460" w:lineRule="exact"/>
                    <w:jc w:val="center"/>
                    <w:rPr>
                      <w:rFonts w:hint="eastAsia" w:ascii="宋体" w:hAnsi="宋体" w:eastAsia="宋体" w:cs="宋体"/>
                      <w:color w:val="auto"/>
                      <w:sz w:val="22"/>
                      <w:highlight w:val="none"/>
                      <w:lang w:eastAsia="zh-CN"/>
                    </w:rPr>
                  </w:pPr>
                  <w:r>
                    <w:rPr>
                      <w:rFonts w:hint="eastAsia" w:ascii="宋体" w:hAnsi="宋体" w:cs="宋体"/>
                      <w:color w:val="auto"/>
                      <w:sz w:val="22"/>
                      <w:highlight w:val="none"/>
                      <w:lang w:eastAsia="zh-CN"/>
                    </w:rPr>
                    <w:t>温州市自然资源和规划局档案库房建设（档案搬运服务）</w:t>
                  </w:r>
                </w:p>
              </w:tc>
              <w:tc>
                <w:tcPr>
                  <w:tcW w:w="750"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color w:val="auto"/>
                      <w:sz w:val="22"/>
                      <w:szCs w:val="22"/>
                      <w:highlight w:val="none"/>
                      <w:shd w:val="clear" w:color="auto" w:fill="FFFFFF"/>
                    </w:rPr>
                  </w:pPr>
                  <w:r>
                    <w:rPr>
                      <w:rFonts w:hint="eastAsia" w:ascii="宋体" w:hAnsi="宋体" w:cs="宋体"/>
                      <w:color w:val="auto"/>
                      <w:sz w:val="22"/>
                      <w:szCs w:val="22"/>
                      <w:highlight w:val="none"/>
                      <w:shd w:val="clear" w:color="auto" w:fill="FFFFFF"/>
                    </w:rPr>
                    <w:t>1项</w:t>
                  </w:r>
                </w:p>
              </w:tc>
              <w:tc>
                <w:tcPr>
                  <w:tcW w:w="1557" w:type="dxa"/>
                  <w:tcBorders>
                    <w:top w:val="single" w:color="auto" w:sz="4" w:space="0"/>
                    <w:left w:val="single" w:color="auto" w:sz="4" w:space="0"/>
                    <w:right w:val="single" w:color="auto" w:sz="4" w:space="0"/>
                  </w:tcBorders>
                  <w:shd w:val="clear" w:color="auto" w:fill="auto"/>
                  <w:vAlign w:val="center"/>
                </w:tcPr>
                <w:p>
                  <w:pPr>
                    <w:tabs>
                      <w:tab w:val="left" w:pos="360"/>
                    </w:tabs>
                    <w:spacing w:line="460" w:lineRule="exact"/>
                    <w:jc w:val="center"/>
                    <w:rPr>
                      <w:rFonts w:ascii="宋体" w:hAnsi="宋体" w:cs="宋体"/>
                      <w:color w:val="auto"/>
                      <w:sz w:val="22"/>
                      <w:szCs w:val="22"/>
                      <w:highlight w:val="none"/>
                      <w:shd w:val="clear" w:color="auto" w:fill="FFFFFF"/>
                    </w:rPr>
                  </w:pPr>
                  <w:r>
                    <w:rPr>
                      <w:rFonts w:hint="eastAsia" w:ascii="宋体" w:hAnsi="宋体" w:cs="宋体"/>
                      <w:color w:val="auto"/>
                      <w:sz w:val="22"/>
                      <w:szCs w:val="22"/>
                      <w:highlight w:val="none"/>
                      <w:shd w:val="clear" w:color="auto" w:fill="FFFFFF"/>
                    </w:rPr>
                    <w:t>500000</w:t>
                  </w:r>
                </w:p>
              </w:tc>
              <w:tc>
                <w:tcPr>
                  <w:tcW w:w="2873" w:type="dxa"/>
                  <w:tcBorders>
                    <w:top w:val="single" w:color="auto" w:sz="4" w:space="0"/>
                    <w:left w:val="single" w:color="auto" w:sz="4" w:space="0"/>
                    <w:right w:val="single" w:color="auto" w:sz="4" w:space="0"/>
                  </w:tcBorders>
                  <w:vAlign w:val="center"/>
                </w:tcPr>
                <w:p>
                  <w:pPr>
                    <w:shd w:val="clear" w:color="auto" w:fill="FFFFFF"/>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详见招标文件第四部分“项目技术规范和服务要求”</w:t>
                  </w:r>
                </w:p>
              </w:tc>
            </w:tr>
          </w:tbl>
          <w:p>
            <w:pPr>
              <w:tabs>
                <w:tab w:val="left" w:pos="360"/>
              </w:tabs>
              <w:spacing w:line="460" w:lineRule="exact"/>
              <w:rPr>
                <w:rFonts w:ascii="宋体" w:hAnsi="宋体" w:cs="宋体"/>
                <w:color w:val="auto"/>
                <w:highlight w:val="none"/>
              </w:rPr>
            </w:pPr>
            <w:r>
              <w:rPr>
                <w:rFonts w:hint="eastAsia" w:ascii="宋体" w:hAnsi="宋体" w:cs="宋体"/>
                <w:b/>
                <w:color w:val="auto"/>
                <w:sz w:val="22"/>
                <w:szCs w:val="22"/>
                <w:highlight w:val="none"/>
              </w:rPr>
              <w:t>如投标人报价超过预算金额按无效标处理。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2</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lang w:val="zh-CN"/>
              </w:rPr>
              <w:t>投标</w:t>
            </w:r>
            <w:r>
              <w:rPr>
                <w:rFonts w:hint="eastAsia" w:ascii="宋体" w:hAnsi="宋体" w:cs="宋体"/>
                <w:b/>
                <w:bCs/>
                <w:color w:val="auto"/>
                <w:sz w:val="22"/>
                <w:szCs w:val="22"/>
                <w:highlight w:val="none"/>
              </w:rPr>
              <w:t>有效期：</w:t>
            </w:r>
            <w:r>
              <w:rPr>
                <w:rFonts w:hint="eastAsia" w:ascii="宋体" w:hAnsi="宋体" w:cs="宋体"/>
                <w:color w:val="auto"/>
                <w:sz w:val="22"/>
                <w:szCs w:val="22"/>
                <w:highlight w:val="none"/>
              </w:rPr>
              <w:t>自投标截止日起120天。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3</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投标保证金数额：</w:t>
            </w:r>
            <w:r>
              <w:rPr>
                <w:rFonts w:hint="eastAsia" w:ascii="宋体" w:hAnsi="宋体" w:cs="宋体"/>
                <w:b w:val="0"/>
                <w:bCs w:val="0"/>
                <w:color w:val="auto"/>
                <w:sz w:val="22"/>
                <w:szCs w:val="22"/>
                <w:highlight w:val="none"/>
              </w:rPr>
              <w:t>无</w:t>
            </w:r>
            <w:r>
              <w:rPr>
                <w:rFonts w:hint="eastAsia" w:ascii="宋体" w:hAnsi="宋体" w:cs="宋体"/>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4</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招标服务费：</w:t>
            </w:r>
            <w:r>
              <w:rPr>
                <w:rFonts w:hint="eastAsia" w:ascii="宋体" w:hAnsi="宋体" w:cs="宋体"/>
                <w:color w:val="auto"/>
                <w:sz w:val="22"/>
                <w:szCs w:val="22"/>
                <w:highlight w:val="none"/>
              </w:rPr>
              <w:t>根据国家计委计价格【2002】1980号《招标代理服务收费管理暂行办法》规定标准收取,由中标人在领取中标通知书时支付。</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户   名：温州历程招标有限公司</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账   号：33050162870409101001</w:t>
            </w:r>
          </w:p>
          <w:p>
            <w:pPr>
              <w:spacing w:line="460" w:lineRule="exact"/>
              <w:ind w:firstLine="539" w:firstLineChars="245"/>
              <w:rPr>
                <w:rFonts w:ascii="宋体" w:hAnsi="宋体" w:cs="宋体"/>
                <w:color w:val="auto"/>
                <w:highlight w:val="none"/>
              </w:rPr>
            </w:pPr>
            <w:r>
              <w:rPr>
                <w:rFonts w:hint="eastAsia" w:ascii="宋体" w:hAnsi="宋体" w:cs="宋体"/>
                <w:color w:val="auto"/>
                <w:sz w:val="22"/>
                <w:szCs w:val="22"/>
                <w:highlight w:val="none"/>
              </w:rPr>
              <w:t>开户行：中国建设银行温州黎明支行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5</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投标文件的组成：</w:t>
            </w:r>
            <w:r>
              <w:rPr>
                <w:rFonts w:hint="eastAsia" w:ascii="宋体" w:hAnsi="宋体" w:cs="宋体"/>
                <w:color w:val="auto"/>
                <w:sz w:val="22"/>
                <w:szCs w:val="22"/>
                <w:highlight w:val="none"/>
              </w:rPr>
              <w:t>完整的《投标文件》由“资格文件”、“报价文件”和“商务技术文件”三个部分组成。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6</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投标文件的编制：</w:t>
            </w:r>
            <w:r>
              <w:rPr>
                <w:rFonts w:hint="eastAsia" w:ascii="宋体" w:hAnsi="宋体" w:cs="宋体"/>
                <w:color w:val="auto"/>
                <w:sz w:val="22"/>
                <w:szCs w:val="22"/>
                <w:highlight w:val="none"/>
              </w:rPr>
              <w:t>供应商应先安装“政采云电子交易客户端”，并按照本招标文件和“政府采购云平台”的要求，通过“政采云电子交易客户端”编制并加密投标文件。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7</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投标文件的签章：</w:t>
            </w:r>
            <w:r>
              <w:rPr>
                <w:rFonts w:hint="eastAsia" w:ascii="宋体" w:hAnsi="宋体" w:cs="宋体"/>
                <w:color w:val="auto"/>
                <w:sz w:val="22"/>
                <w:szCs w:val="22"/>
                <w:highlight w:val="none"/>
              </w:rPr>
              <w:t>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8</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投标文件的形式：</w:t>
            </w:r>
            <w:r>
              <w:rPr>
                <w:rFonts w:hint="eastAsia" w:ascii="宋体" w:hAnsi="宋体" w:cs="宋体"/>
                <w:color w:val="auto"/>
                <w:sz w:val="22"/>
                <w:szCs w:val="22"/>
                <w:highlight w:val="none"/>
              </w:rPr>
              <w:t>☑电子投标文件（包括“电子加密投标文件”和“备份投标文件”，在投标文件编制完成后同时生成）；</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（1）“电子加密投标文件”是指通过“政采云电子交易客户端”完成投标文件编制后生成并加密的数据电文形式的投标文件。</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9</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color w:val="auto"/>
                <w:sz w:val="22"/>
                <w:szCs w:val="28"/>
                <w:highlight w:val="none"/>
              </w:rPr>
            </w:pPr>
            <w:r>
              <w:rPr>
                <w:rFonts w:hint="eastAsia"/>
                <w:color w:val="auto"/>
                <w:sz w:val="22"/>
                <w:szCs w:val="28"/>
                <w:highlight w:val="none"/>
              </w:rPr>
              <w:t>投标文件份数：</w:t>
            </w:r>
          </w:p>
          <w:p>
            <w:pPr>
              <w:numPr>
                <w:ilvl w:val="0"/>
                <w:numId w:val="1"/>
              </w:numPr>
              <w:spacing w:line="460" w:lineRule="exact"/>
              <w:rPr>
                <w:color w:val="auto"/>
                <w:sz w:val="22"/>
                <w:szCs w:val="28"/>
                <w:highlight w:val="none"/>
              </w:rPr>
            </w:pPr>
            <w:r>
              <w:rPr>
                <w:rFonts w:hint="eastAsia"/>
                <w:color w:val="auto"/>
                <w:sz w:val="22"/>
                <w:szCs w:val="28"/>
                <w:highlight w:val="none"/>
              </w:rPr>
              <w:t>“电子加密投标文件”：在线上传递交、一份。</w:t>
            </w:r>
          </w:p>
          <w:p>
            <w:pPr>
              <w:numPr>
                <w:ilvl w:val="0"/>
                <w:numId w:val="1"/>
              </w:numPr>
              <w:spacing w:line="460" w:lineRule="exact"/>
              <w:rPr>
                <w:color w:val="auto"/>
                <w:sz w:val="22"/>
                <w:szCs w:val="28"/>
                <w:highlight w:val="none"/>
              </w:rPr>
            </w:pPr>
            <w:r>
              <w:rPr>
                <w:rFonts w:hint="eastAsia"/>
                <w:color w:val="auto"/>
                <w:sz w:val="22"/>
                <w:szCs w:val="28"/>
                <w:highlight w:val="none"/>
              </w:rPr>
              <w:t>“备份投标文件”：密封包装后投标截止时间前递交、一份</w:t>
            </w:r>
          </w:p>
          <w:p>
            <w:pPr>
              <w:spacing w:line="460" w:lineRule="exact"/>
              <w:rPr>
                <w:color w:val="auto"/>
                <w:sz w:val="22"/>
                <w:szCs w:val="28"/>
                <w:highlight w:val="none"/>
              </w:rPr>
            </w:pPr>
            <w:r>
              <w:rPr>
                <w:rFonts w:hint="eastAsia"/>
                <w:color w:val="auto"/>
                <w:sz w:val="22"/>
                <w:szCs w:val="28"/>
                <w:highlight w:val="none"/>
              </w:rPr>
              <w:t>（若不提供备份投标文件，开标当天电子加密投标文件解密失败，投标人自行负责。）</w:t>
            </w:r>
          </w:p>
          <w:p>
            <w:pPr>
              <w:tabs>
                <w:tab w:val="left" w:pos="360"/>
              </w:tabs>
              <w:spacing w:line="460" w:lineRule="exact"/>
              <w:rPr>
                <w:color w:val="auto"/>
                <w:sz w:val="22"/>
                <w:szCs w:val="28"/>
                <w:highlight w:val="none"/>
              </w:rPr>
            </w:pPr>
            <w:r>
              <w:rPr>
                <w:rFonts w:hint="eastAsia"/>
                <w:color w:val="auto"/>
                <w:sz w:val="22"/>
                <w:szCs w:val="28"/>
                <w:highlight w:val="none"/>
              </w:rPr>
              <w:t>可以（邮寄形式，建议顺丰）在投标截止时间前递交，并需采购代理机构确认是否收到，</w:t>
            </w:r>
          </w:p>
          <w:p>
            <w:pPr>
              <w:spacing w:line="460" w:lineRule="exact"/>
              <w:rPr>
                <w:color w:val="auto"/>
                <w:sz w:val="22"/>
                <w:szCs w:val="28"/>
                <w:highlight w:val="none"/>
              </w:rPr>
            </w:pPr>
            <w:r>
              <w:rPr>
                <w:rFonts w:hint="eastAsia"/>
                <w:color w:val="auto"/>
                <w:sz w:val="22"/>
                <w:szCs w:val="28"/>
                <w:highlight w:val="none"/>
              </w:rPr>
              <w:t>邮寄地址：温州市鹿城区学院中路229号三想集团5楼</w:t>
            </w:r>
          </w:p>
          <w:p>
            <w:pPr>
              <w:spacing w:line="460" w:lineRule="exact"/>
              <w:rPr>
                <w:color w:val="auto"/>
                <w:highlight w:val="none"/>
              </w:rPr>
            </w:pPr>
            <w:r>
              <w:rPr>
                <w:rFonts w:hint="eastAsia"/>
                <w:color w:val="auto"/>
                <w:sz w:val="22"/>
                <w:szCs w:val="28"/>
                <w:highlight w:val="none"/>
              </w:rPr>
              <w:t>联系人：温端赏    联系电话：13868508737</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10</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投标文件的上传和递交：</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（1）“电子加密投标文件”的上传、递交：</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a.投标人应在投标截止时间前将“电子加密投标文件”成功上传递交至“政府采购云平台”，否则投标无效。</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b.“电子加密投标文件”成功上传递交后，供应商可自行打印投标文件接收回执。</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（2）“备份投标文件”的密封包装、递交：</w:t>
            </w:r>
          </w:p>
          <w:p>
            <w:pPr>
              <w:tabs>
                <w:tab w:val="left" w:pos="360"/>
              </w:tabs>
              <w:spacing w:line="460" w:lineRule="exact"/>
              <w:ind w:firstLine="550" w:firstLineChars="250"/>
              <w:rPr>
                <w:rFonts w:ascii="宋体" w:hAnsi="宋体" w:cs="宋体"/>
                <w:b/>
                <w:bCs/>
                <w:color w:val="auto"/>
                <w:sz w:val="22"/>
                <w:szCs w:val="22"/>
                <w:highlight w:val="none"/>
              </w:rPr>
            </w:pPr>
            <w:r>
              <w:rPr>
                <w:rFonts w:hint="eastAsia" w:ascii="宋体" w:hAnsi="宋体" w:cs="宋体"/>
                <w:color w:val="auto"/>
                <w:sz w:val="22"/>
                <w:szCs w:val="22"/>
                <w:highlight w:val="none"/>
              </w:rPr>
              <w:t>a.投标人在“政府采购云平台”完成“电子加密投标文件”的上传递交后，</w:t>
            </w:r>
            <w:r>
              <w:rPr>
                <w:rFonts w:hint="eastAsia" w:ascii="宋体" w:hAnsi="宋体" w:cs="宋体"/>
                <w:b/>
                <w:bCs/>
                <w:color w:val="auto"/>
                <w:sz w:val="22"/>
                <w:szCs w:val="22"/>
                <w:highlight w:val="none"/>
              </w:rPr>
              <w:t>还可以在投标截止时间前递交以介质（U盘）存储的数据电文形式的“备份投标文件”，（可以</w:t>
            </w:r>
            <w:r>
              <w:rPr>
                <w:rFonts w:hint="eastAsia" w:ascii="宋体" w:hAnsi="宋体" w:cs="宋体"/>
                <w:b/>
                <w:color w:val="auto"/>
                <w:sz w:val="22"/>
                <w:szCs w:val="22"/>
                <w:highlight w:val="none"/>
                <w:u w:val="single"/>
              </w:rPr>
              <w:t>（邮寄形式，建议顺丰）在投标截止时间前递交，并需采购代理机构确认是否收到</w:t>
            </w:r>
            <w:r>
              <w:rPr>
                <w:rFonts w:hint="eastAsia" w:ascii="宋体" w:hAnsi="宋体" w:cs="宋体"/>
                <w:b/>
                <w:bCs/>
                <w:color w:val="auto"/>
                <w:sz w:val="22"/>
                <w:szCs w:val="22"/>
                <w:highlight w:val="none"/>
              </w:rPr>
              <w:t>）</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11</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电子加密投标文件的解密和异常情况处理：</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（3）投标截止时间前，投标人仅递交了“备份投标文件”而未将电子加密投标文件上传至“政府采购云平台”的，投标无效。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12</w:t>
            </w:r>
          </w:p>
        </w:tc>
        <w:tc>
          <w:tcPr>
            <w:tcW w:w="9590" w:type="dxa"/>
            <w:tcBorders>
              <w:top w:val="single" w:color="000000" w:sz="2" w:space="0"/>
              <w:left w:val="single" w:color="000000" w:sz="2" w:space="0"/>
              <w:bottom w:val="single" w:color="000000" w:sz="2" w:space="0"/>
              <w:right w:val="single" w:color="000000" w:sz="8" w:space="0"/>
            </w:tcBorders>
            <w:vAlign w:val="center"/>
          </w:tcPr>
          <w:p>
            <w:pPr>
              <w:widowControl/>
              <w:snapToGrid w:val="0"/>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提交投标文件截止时间：</w:t>
            </w:r>
            <w:r>
              <w:rPr>
                <w:rFonts w:hint="eastAsia"/>
                <w:color w:val="auto"/>
                <w:sz w:val="22"/>
                <w:szCs w:val="22"/>
                <w:highlight w:val="none"/>
              </w:rPr>
              <w:t>202</w:t>
            </w:r>
            <w:r>
              <w:rPr>
                <w:rFonts w:hint="eastAsia"/>
                <w:color w:val="auto"/>
                <w:sz w:val="22"/>
                <w:szCs w:val="22"/>
                <w:highlight w:val="none"/>
                <w:lang w:val="en-US" w:eastAsia="zh-CN"/>
              </w:rPr>
              <w:t>3</w:t>
            </w:r>
            <w:r>
              <w:rPr>
                <w:rFonts w:hint="eastAsia"/>
                <w:color w:val="auto"/>
                <w:sz w:val="22"/>
                <w:szCs w:val="22"/>
                <w:highlight w:val="none"/>
              </w:rPr>
              <w:t>年</w:t>
            </w:r>
            <w:r>
              <w:rPr>
                <w:rFonts w:hint="eastAsia"/>
                <w:color w:val="auto"/>
                <w:sz w:val="22"/>
                <w:szCs w:val="22"/>
                <w:highlight w:val="none"/>
                <w:lang w:val="en-US" w:eastAsia="zh-CN"/>
              </w:rPr>
              <w:t>03</w:t>
            </w:r>
            <w:r>
              <w:rPr>
                <w:rFonts w:hint="eastAsia"/>
                <w:color w:val="auto"/>
                <w:sz w:val="22"/>
                <w:szCs w:val="22"/>
                <w:highlight w:val="none"/>
              </w:rPr>
              <w:t>月</w:t>
            </w:r>
            <w:r>
              <w:rPr>
                <w:rFonts w:hint="eastAsia"/>
                <w:color w:val="auto"/>
                <w:sz w:val="22"/>
                <w:szCs w:val="22"/>
                <w:highlight w:val="none"/>
                <w:lang w:val="en-US" w:eastAsia="zh-CN"/>
              </w:rPr>
              <w:t>16</w:t>
            </w:r>
            <w:r>
              <w:rPr>
                <w:rFonts w:hint="eastAsia"/>
                <w:color w:val="auto"/>
                <w:sz w:val="22"/>
                <w:szCs w:val="22"/>
                <w:highlight w:val="none"/>
              </w:rPr>
              <w:t>日</w:t>
            </w:r>
            <w:r>
              <w:rPr>
                <w:rFonts w:hint="eastAsia"/>
                <w:color w:val="auto"/>
                <w:sz w:val="22"/>
                <w:szCs w:val="22"/>
                <w:highlight w:val="none"/>
                <w:lang w:val="en-US" w:eastAsia="zh-CN"/>
              </w:rPr>
              <w:t>09</w:t>
            </w:r>
            <w:r>
              <w:rPr>
                <w:rFonts w:hint="eastAsia"/>
                <w:color w:val="auto"/>
                <w:sz w:val="22"/>
                <w:szCs w:val="22"/>
                <w:highlight w:val="none"/>
              </w:rPr>
              <w:t>点</w:t>
            </w:r>
            <w:r>
              <w:rPr>
                <w:rFonts w:hint="eastAsia"/>
                <w:color w:val="auto"/>
                <w:sz w:val="22"/>
                <w:szCs w:val="22"/>
                <w:highlight w:val="none"/>
                <w:lang w:val="en-US" w:eastAsia="zh-CN"/>
              </w:rPr>
              <w:t>30</w:t>
            </w:r>
            <w:r>
              <w:rPr>
                <w:rFonts w:hint="eastAsia"/>
                <w:color w:val="auto"/>
                <w:sz w:val="22"/>
                <w:szCs w:val="22"/>
                <w:highlight w:val="none"/>
              </w:rPr>
              <w:t>分</w:t>
            </w:r>
            <w:r>
              <w:rPr>
                <w:rFonts w:hint="eastAsia" w:ascii="宋体" w:hAnsi="宋体" w:cs="宋体"/>
                <w:color w:val="auto"/>
                <w:sz w:val="22"/>
                <w:szCs w:val="22"/>
                <w:highlight w:val="none"/>
              </w:rPr>
              <w:t>  </w:t>
            </w:r>
          </w:p>
          <w:p>
            <w:pPr>
              <w:widowControl/>
              <w:snapToGrid w:val="0"/>
              <w:spacing w:line="460" w:lineRule="exact"/>
              <w:jc w:val="left"/>
              <w:rPr>
                <w:color w:val="auto"/>
                <w:highlight w:val="none"/>
              </w:rPr>
            </w:pPr>
            <w:r>
              <w:rPr>
                <w:rFonts w:hint="eastAsia" w:ascii="宋体" w:hAnsi="宋体" w:cs="宋体"/>
                <w:color w:val="auto"/>
                <w:sz w:val="22"/>
                <w:szCs w:val="22"/>
                <w:highlight w:val="none"/>
              </w:rPr>
              <w:t>投标地点（网址）：温州市鹿城区学院中路229号三想集团5楼（政采云</w:t>
            </w:r>
            <w:r>
              <w:rPr>
                <w:rFonts w:hint="eastAsia" w:ascii="宋体" w:hAnsi="宋体" w:cs="宋体"/>
                <w:color w:val="auto"/>
                <w:szCs w:val="21"/>
                <w:highlight w:val="none"/>
              </w:rPr>
              <w:t>http://zfcg.czt.zj.gov.cn</w:t>
            </w:r>
            <w:r>
              <w:rPr>
                <w:rFonts w:hint="eastAsia" w:ascii="宋体" w:hAnsi="宋体" w:cs="宋体"/>
                <w:color w:val="auto"/>
                <w:sz w:val="22"/>
                <w:szCs w:val="22"/>
                <w:highlight w:val="none"/>
              </w:rPr>
              <w:t>）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auto" w:sz="4"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13</w:t>
            </w:r>
          </w:p>
        </w:tc>
        <w:tc>
          <w:tcPr>
            <w:tcW w:w="9590" w:type="dxa"/>
            <w:tcBorders>
              <w:top w:val="single" w:color="000000" w:sz="2" w:space="0"/>
              <w:left w:val="single" w:color="000000" w:sz="2" w:space="0"/>
              <w:bottom w:val="single" w:color="auto" w:sz="4" w:space="0"/>
              <w:right w:val="single" w:color="000000" w:sz="8" w:space="0"/>
            </w:tcBorders>
            <w:vAlign w:val="center"/>
          </w:tcPr>
          <w:p>
            <w:pPr>
              <w:widowControl/>
              <w:snapToGrid w:val="0"/>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开标时间：</w:t>
            </w:r>
            <w:r>
              <w:rPr>
                <w:rFonts w:hint="eastAsia"/>
                <w:color w:val="auto"/>
                <w:sz w:val="22"/>
                <w:szCs w:val="22"/>
                <w:highlight w:val="none"/>
              </w:rPr>
              <w:t>202</w:t>
            </w:r>
            <w:r>
              <w:rPr>
                <w:rFonts w:hint="eastAsia"/>
                <w:color w:val="auto"/>
                <w:sz w:val="22"/>
                <w:szCs w:val="22"/>
                <w:highlight w:val="none"/>
                <w:lang w:val="en-US" w:eastAsia="zh-CN"/>
              </w:rPr>
              <w:t>3</w:t>
            </w:r>
            <w:r>
              <w:rPr>
                <w:rFonts w:hint="eastAsia"/>
                <w:color w:val="auto"/>
                <w:sz w:val="22"/>
                <w:szCs w:val="22"/>
                <w:highlight w:val="none"/>
              </w:rPr>
              <w:t>年</w:t>
            </w:r>
            <w:r>
              <w:rPr>
                <w:rFonts w:hint="eastAsia"/>
                <w:color w:val="auto"/>
                <w:sz w:val="22"/>
                <w:szCs w:val="22"/>
                <w:highlight w:val="none"/>
                <w:lang w:val="en-US" w:eastAsia="zh-CN"/>
              </w:rPr>
              <w:t>03</w:t>
            </w:r>
            <w:r>
              <w:rPr>
                <w:rFonts w:hint="eastAsia"/>
                <w:color w:val="auto"/>
                <w:sz w:val="22"/>
                <w:szCs w:val="22"/>
                <w:highlight w:val="none"/>
              </w:rPr>
              <w:t>月</w:t>
            </w:r>
            <w:r>
              <w:rPr>
                <w:rFonts w:hint="eastAsia"/>
                <w:color w:val="auto"/>
                <w:sz w:val="22"/>
                <w:szCs w:val="22"/>
                <w:highlight w:val="none"/>
                <w:lang w:val="en-US" w:eastAsia="zh-CN"/>
              </w:rPr>
              <w:t>16</w:t>
            </w:r>
            <w:r>
              <w:rPr>
                <w:rFonts w:hint="eastAsia"/>
                <w:color w:val="auto"/>
                <w:sz w:val="22"/>
                <w:szCs w:val="22"/>
                <w:highlight w:val="none"/>
              </w:rPr>
              <w:t>日</w:t>
            </w:r>
            <w:r>
              <w:rPr>
                <w:rFonts w:hint="eastAsia"/>
                <w:color w:val="auto"/>
                <w:sz w:val="22"/>
                <w:szCs w:val="22"/>
                <w:highlight w:val="none"/>
                <w:lang w:val="en-US" w:eastAsia="zh-CN"/>
              </w:rPr>
              <w:t>09</w:t>
            </w:r>
            <w:r>
              <w:rPr>
                <w:rFonts w:hint="eastAsia"/>
                <w:color w:val="auto"/>
                <w:sz w:val="22"/>
                <w:szCs w:val="22"/>
                <w:highlight w:val="none"/>
              </w:rPr>
              <w:t>点</w:t>
            </w:r>
            <w:r>
              <w:rPr>
                <w:rFonts w:hint="eastAsia"/>
                <w:color w:val="auto"/>
                <w:sz w:val="22"/>
                <w:szCs w:val="22"/>
                <w:highlight w:val="none"/>
                <w:lang w:val="en-US" w:eastAsia="zh-CN"/>
              </w:rPr>
              <w:t>30</w:t>
            </w:r>
            <w:r>
              <w:rPr>
                <w:rFonts w:hint="eastAsia"/>
                <w:color w:val="auto"/>
                <w:sz w:val="22"/>
                <w:szCs w:val="22"/>
                <w:highlight w:val="none"/>
              </w:rPr>
              <w:t>分</w:t>
            </w:r>
            <w:bookmarkStart w:id="83" w:name="_GoBack"/>
            <w:bookmarkEnd w:id="83"/>
          </w:p>
          <w:p>
            <w:pPr>
              <w:widowControl/>
              <w:snapToGrid w:val="0"/>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开标地点（网址）：</w:t>
            </w:r>
            <w:r>
              <w:rPr>
                <w:rFonts w:hint="eastAsia" w:ascii="宋体" w:hAnsi="宋体" w:cs="宋体"/>
                <w:color w:val="auto"/>
                <w:sz w:val="22"/>
                <w:highlight w:val="none"/>
              </w:rPr>
              <w:t>温州市鹿城区学院中路229号三想集团5楼（政采云</w:t>
            </w:r>
            <w:r>
              <w:rPr>
                <w:rFonts w:hint="eastAsia" w:ascii="宋体" w:hAnsi="宋体" w:cs="宋体"/>
                <w:color w:val="auto"/>
                <w:szCs w:val="22"/>
                <w:highlight w:val="none"/>
              </w:rPr>
              <w:t>http://zfcg.czt.zj.gov.cn</w:t>
            </w:r>
            <w:r>
              <w:rPr>
                <w:rFonts w:hint="eastAsia" w:ascii="宋体" w:hAnsi="宋体" w:cs="宋体"/>
                <w:color w:val="auto"/>
                <w:sz w:val="22"/>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pPr>
              <w:snapToGrid w:val="0"/>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14</w:t>
            </w:r>
          </w:p>
        </w:tc>
        <w:tc>
          <w:tcPr>
            <w:tcW w:w="9590" w:type="dxa"/>
            <w:tcBorders>
              <w:top w:val="single" w:color="auto" w:sz="4" w:space="0"/>
              <w:left w:val="single" w:color="000000" w:sz="2" w:space="0"/>
              <w:bottom w:val="single" w:color="auto" w:sz="4" w:space="0"/>
              <w:right w:val="single" w:color="000000" w:sz="8" w:space="0"/>
            </w:tcBorders>
            <w:vAlign w:val="center"/>
          </w:tcPr>
          <w:p>
            <w:pPr>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带“▲”条款系指实质性要求条款。“★”是关键技术参数及要求。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pPr>
              <w:widowControl/>
              <w:snapToGrid w:val="0"/>
              <w:spacing w:line="460" w:lineRule="exact"/>
              <w:jc w:val="center"/>
              <w:textAlignment w:val="center"/>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15</w:t>
            </w:r>
          </w:p>
        </w:tc>
        <w:tc>
          <w:tcPr>
            <w:tcW w:w="9590" w:type="dxa"/>
            <w:tcBorders>
              <w:top w:val="single" w:color="auto" w:sz="4" w:space="0"/>
              <w:left w:val="single" w:color="000000" w:sz="2" w:space="0"/>
              <w:bottom w:val="single" w:color="auto" w:sz="4" w:space="0"/>
              <w:right w:val="single" w:color="000000" w:sz="8" w:space="0"/>
            </w:tcBorders>
            <w:vAlign w:val="center"/>
          </w:tcPr>
          <w:p>
            <w:pPr>
              <w:widowControl/>
              <w:snapToGrid w:val="0"/>
              <w:spacing w:line="460" w:lineRule="exact"/>
              <w:jc w:val="left"/>
              <w:rPr>
                <w:rFonts w:ascii="宋体" w:hAnsi="宋体" w:cs="宋体"/>
                <w:b/>
                <w:bCs/>
                <w:color w:val="auto"/>
                <w:sz w:val="22"/>
                <w:szCs w:val="22"/>
                <w:highlight w:val="none"/>
              </w:rPr>
            </w:pPr>
            <w:r>
              <w:rPr>
                <w:rFonts w:hint="eastAsia" w:ascii="宋体" w:hAnsi="宋体" w:cs="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16</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color w:val="auto"/>
                <w:sz w:val="22"/>
                <w:szCs w:val="22"/>
                <w:highlight w:val="none"/>
              </w:rPr>
            </w:pPr>
            <w:r>
              <w:rPr>
                <w:rFonts w:hint="eastAsia" w:ascii="宋体" w:hAnsi="宋体" w:cs="宋体"/>
                <w:b/>
                <w:color w:val="auto"/>
                <w:kern w:val="10"/>
                <w:sz w:val="22"/>
                <w:szCs w:val="22"/>
                <w:highlight w:val="none"/>
              </w:rPr>
              <w:t>潜在供应商需在浙江政府采购网http://http://zfcg.czt.zj.gov.cn/进行免费注册，具体详见浙江政府采购网供应商注册要求。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17</w:t>
            </w:r>
          </w:p>
        </w:tc>
        <w:tc>
          <w:tcPr>
            <w:tcW w:w="9590" w:type="dxa"/>
            <w:tcBorders>
              <w:top w:val="single" w:color="000000" w:sz="2" w:space="0"/>
              <w:left w:val="single" w:color="000000" w:sz="2" w:space="0"/>
              <w:bottom w:val="single" w:color="000000" w:sz="2" w:space="0"/>
              <w:right w:val="single" w:color="000000" w:sz="8" w:space="0"/>
            </w:tcBorders>
            <w:vAlign w:val="center"/>
          </w:tcPr>
          <w:p>
            <w:pPr>
              <w:adjustRightInd w:val="0"/>
              <w:snapToGrid w:val="0"/>
              <w:spacing w:line="460" w:lineRule="exact"/>
              <w:ind w:firstLine="442" w:firstLineChars="200"/>
              <w:rPr>
                <w:rFonts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1、扶持中小企业（监狱企业、残疾人福利性单位）：</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（1）项目预算：</w:t>
            </w:r>
            <w:r>
              <w:rPr>
                <w:rFonts w:hint="eastAsia" w:ascii="新宋体" w:hAnsi="新宋体" w:eastAsia="新宋体" w:cs="新宋体"/>
                <w:color w:val="auto"/>
                <w:sz w:val="22"/>
                <w:szCs w:val="28"/>
                <w:highlight w:val="none"/>
                <w:u w:val="single"/>
              </w:rPr>
              <w:t>50</w:t>
            </w:r>
            <w:r>
              <w:rPr>
                <w:rFonts w:hint="eastAsia" w:ascii="新宋体" w:hAnsi="新宋体" w:eastAsia="新宋体" w:cs="新宋体"/>
                <w:color w:val="auto"/>
                <w:sz w:val="22"/>
                <w:szCs w:val="28"/>
                <w:highlight w:val="none"/>
              </w:rPr>
              <w:t>万元</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（2）项目属性：</w:t>
            </w:r>
            <w:r>
              <w:rPr>
                <w:rFonts w:hint="eastAsia" w:ascii="新宋体" w:hAnsi="新宋体" w:eastAsia="新宋体" w:cs="新宋体"/>
                <w:color w:val="auto"/>
                <w:sz w:val="22"/>
                <w:szCs w:val="28"/>
                <w:highlight w:val="none"/>
                <w:u w:val="single"/>
              </w:rPr>
              <w:t xml:space="preserve"> ②服务类 </w:t>
            </w:r>
            <w:r>
              <w:rPr>
                <w:rFonts w:hint="eastAsia" w:ascii="新宋体" w:hAnsi="新宋体" w:eastAsia="新宋体" w:cs="新宋体"/>
                <w:color w:val="auto"/>
                <w:sz w:val="22"/>
                <w:szCs w:val="28"/>
                <w:highlight w:val="none"/>
              </w:rPr>
              <w:t xml:space="preserve"> （①货物类/②服务类/③工程类）</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（3）项目对应的中小企业划分标准所属行业：</w:t>
            </w:r>
            <w:r>
              <w:rPr>
                <w:rFonts w:hint="eastAsia" w:ascii="新宋体" w:hAnsi="新宋体" w:eastAsia="新宋体" w:cs="新宋体"/>
                <w:color w:val="auto"/>
                <w:sz w:val="22"/>
                <w:szCs w:val="28"/>
                <w:highlight w:val="none"/>
                <w:u w:val="single"/>
              </w:rPr>
              <w:t>其他</w:t>
            </w:r>
            <w:r>
              <w:rPr>
                <w:rFonts w:hint="eastAsia" w:ascii="新宋体" w:hAnsi="新宋体" w:eastAsia="新宋体" w:cs="新宋体"/>
                <w:color w:val="auto"/>
                <w:sz w:val="22"/>
                <w:szCs w:val="28"/>
                <w:highlight w:val="none"/>
              </w:rPr>
              <w:t>（具体根据《中小企业划型标准规定》执行）</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（4）本项目</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u w:val="single"/>
                <w:lang w:val="en-US" w:eastAsia="zh-CN"/>
              </w:rPr>
              <w:t>是</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rPr>
              <w:t>属于预留份额专门面向中小企业采购的项目。</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（5）上述第4项中确定为“是”的采购项目，预留份额通过（</w:t>
            </w:r>
            <w:r>
              <w:rPr>
                <w:rFonts w:hint="eastAsia" w:ascii="新宋体" w:hAnsi="新宋体" w:eastAsia="新宋体" w:cs="新宋体"/>
                <w:color w:val="auto"/>
                <w:sz w:val="22"/>
                <w:szCs w:val="28"/>
                <w:highlight w:val="none"/>
                <w:lang w:val="en-US" w:eastAsia="zh-CN"/>
              </w:rPr>
              <w:t>①</w:t>
            </w:r>
            <w:r>
              <w:rPr>
                <w:rFonts w:hint="eastAsia" w:ascii="新宋体" w:hAnsi="新宋体" w:eastAsia="新宋体" w:cs="新宋体"/>
                <w:color w:val="auto"/>
                <w:sz w:val="22"/>
                <w:szCs w:val="28"/>
                <w:highlight w:val="none"/>
              </w:rPr>
              <w:t>）措施进行：</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①将采购项目整体或者设置采购包专门面向中小企业采购； </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②要求供应商以联合体形式参加采购活动，且联合体中中小企业承担的部分达到 (比例)； </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③要求获得采购合同的供应商将采购项目中的 (比例)分包给一家或者多家中小企业。</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（6）对于经主管预算单位统筹后未预留份额专门面向中小企业采购的采购项目，以及预留份额项目中的非预留部分采购包，请贵单位明确对符合本办法规定的小微企业报价给予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8"/>
                <w:highlight w:val="none"/>
                <w:u w:val="single"/>
              </w:rPr>
              <w:t>20%</w:t>
            </w:r>
            <w:r>
              <w:rPr>
                <w:rFonts w:hint="eastAsia" w:ascii="新宋体" w:hAnsi="新宋体" w:eastAsia="新宋体" w:cs="新宋体"/>
                <w:color w:val="auto"/>
                <w:sz w:val="22"/>
                <w:szCs w:val="28"/>
                <w:highlight w:val="none"/>
              </w:rPr>
              <w:t xml:space="preserve">（工程项目为5%）的扣除，用扣除后的价格参加评审。 </w:t>
            </w:r>
          </w:p>
          <w:p>
            <w:pPr>
              <w:widowControl/>
              <w:snapToGrid w:val="0"/>
              <w:spacing w:line="460" w:lineRule="exact"/>
              <w:ind w:firstLine="440" w:firstLineChars="200"/>
              <w:rPr>
                <w:rFonts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sz w:val="22"/>
                <w:szCs w:val="28"/>
                <w:highlight w:val="none"/>
                <w:u w:val="single"/>
              </w:rPr>
              <w:t>6%</w:t>
            </w:r>
            <w:r>
              <w:rPr>
                <w:rFonts w:hint="eastAsia" w:ascii="新宋体" w:hAnsi="新宋体" w:eastAsia="新宋体" w:cs="新宋体"/>
                <w:color w:val="auto"/>
                <w:sz w:val="22"/>
                <w:szCs w:val="28"/>
                <w:highlight w:val="none"/>
              </w:rPr>
              <w:t>（工程项目为 2%）的扣除，用扣除后的价格参加评审。</w:t>
            </w:r>
          </w:p>
          <w:p>
            <w:pPr>
              <w:widowControl/>
              <w:snapToGrid w:val="0"/>
              <w:spacing w:line="460" w:lineRule="exact"/>
              <w:ind w:firstLine="442" w:firstLineChars="200"/>
              <w:rPr>
                <w:rFonts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专门面向中小企业采购的项目或者标项，不再执行价格评审优惠的扶持政策。</w:t>
            </w:r>
          </w:p>
          <w:p>
            <w:pPr>
              <w:widowControl/>
              <w:snapToGrid w:val="0"/>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2、节能产品、环境标志产品的强制采购政策</w:t>
            </w:r>
          </w:p>
          <w:p>
            <w:pPr>
              <w:widowControl/>
              <w:snapToGrid w:val="0"/>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pPr>
              <w:widowControl/>
              <w:snapToGrid w:val="0"/>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3、节能产品、环境标志产品的优先采购政策</w:t>
            </w:r>
          </w:p>
          <w:p>
            <w:pPr>
              <w:widowControl/>
              <w:snapToGrid w:val="0"/>
              <w:spacing w:line="460" w:lineRule="exact"/>
              <w:ind w:firstLine="440" w:firstLineChars="200"/>
              <w:jc w:val="left"/>
              <w:rPr>
                <w:rFonts w:ascii="宋体" w:hAnsi="宋体" w:cs="宋体"/>
                <w:b/>
                <w:color w:val="auto"/>
                <w:kern w:val="10"/>
                <w:sz w:val="22"/>
                <w:szCs w:val="22"/>
                <w:highlight w:val="none"/>
              </w:rPr>
            </w:pPr>
            <w:r>
              <w:rPr>
                <w:rFonts w:hint="eastAsia" w:ascii="宋体" w:hAnsi="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18</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ind w:left="105" w:leftChars="50"/>
              <w:rPr>
                <w:rFonts w:ascii="宋体" w:hAnsi="宋体" w:cs="宋体"/>
                <w:color w:val="auto"/>
                <w:sz w:val="22"/>
                <w:szCs w:val="22"/>
                <w:highlight w:val="none"/>
              </w:rPr>
            </w:pPr>
            <w:r>
              <w:rPr>
                <w:rFonts w:hint="eastAsia" w:ascii="宋体" w:hAnsi="宋体" w:cs="宋体"/>
                <w:color w:val="auto"/>
                <w:sz w:val="22"/>
                <w:szCs w:val="22"/>
                <w:highlight w:val="none"/>
              </w:rPr>
              <w:t>根据《关于在政府采购活动中查询及使用信用记录有关问题的通知》财库[2016]125号的规定：</w:t>
            </w:r>
          </w:p>
          <w:p>
            <w:pPr>
              <w:snapToGrid w:val="0"/>
              <w:spacing w:line="460" w:lineRule="exact"/>
              <w:ind w:left="105" w:leftChars="50"/>
              <w:rPr>
                <w:rFonts w:ascii="宋体" w:hAnsi="宋体" w:cs="宋体"/>
                <w:color w:val="auto"/>
                <w:sz w:val="22"/>
                <w:szCs w:val="22"/>
                <w:highlight w:val="none"/>
              </w:rPr>
            </w:pP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1）招标人或采购代理机构将对本项目供应商的信用记录进行查询。查询渠道为信用中国网站（www.creditchina.gov.cn）、中国政府采购网（www.ccgp.gov.cn）；</w:t>
            </w:r>
          </w:p>
          <w:p>
            <w:pPr>
              <w:snapToGrid w:val="0"/>
              <w:spacing w:line="460" w:lineRule="exact"/>
              <w:ind w:firstLine="110" w:firstLineChars="50"/>
              <w:rPr>
                <w:rFonts w:ascii="宋体" w:hAnsi="宋体" w:cs="宋体"/>
                <w:color w:val="auto"/>
                <w:sz w:val="22"/>
                <w:szCs w:val="22"/>
                <w:highlight w:val="none"/>
              </w:rPr>
            </w:pP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2）截止时点：提交投标文件（响应文件）截止时间前3年内；</w:t>
            </w:r>
          </w:p>
          <w:p>
            <w:pPr>
              <w:snapToGrid w:val="0"/>
              <w:spacing w:line="460" w:lineRule="exact"/>
              <w:ind w:left="105" w:leftChars="50"/>
              <w:rPr>
                <w:rFonts w:ascii="宋体" w:hAnsi="宋体" w:cs="宋体"/>
                <w:color w:val="auto"/>
                <w:sz w:val="22"/>
                <w:szCs w:val="22"/>
                <w:highlight w:val="none"/>
              </w:rPr>
            </w:pP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3）查询记录和证据的留存：信用信息查询记录和证据以网页截图等方式留存。</w:t>
            </w:r>
          </w:p>
          <w:p>
            <w:pPr>
              <w:snapToGrid w:val="0"/>
              <w:spacing w:line="460" w:lineRule="exact"/>
              <w:ind w:left="105" w:leftChars="50"/>
              <w:rPr>
                <w:rFonts w:ascii="宋体" w:hAnsi="宋体" w:cs="宋体"/>
                <w:color w:val="auto"/>
                <w:sz w:val="22"/>
                <w:szCs w:val="22"/>
                <w:highlight w:val="none"/>
              </w:rPr>
            </w:pP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pPr>
              <w:snapToGrid w:val="0"/>
              <w:spacing w:line="460" w:lineRule="exact"/>
              <w:rPr>
                <w:rFonts w:ascii="宋体" w:hAnsi="宋体" w:cs="宋体"/>
                <w:b/>
                <w:color w:val="auto"/>
                <w:kern w:val="10"/>
                <w:sz w:val="22"/>
                <w:szCs w:val="22"/>
                <w:highlight w:val="none"/>
              </w:rPr>
            </w:pP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5）联合体成员任意一方存在不良信用记录的，视同联合体存在不良信用记录。</w:t>
            </w:r>
          </w:p>
        </w:tc>
      </w:tr>
    </w:tbl>
    <w:p>
      <w:pPr>
        <w:rPr>
          <w:rFonts w:ascii="宋体" w:hAnsi="宋体" w:cs="宋体"/>
          <w:b/>
          <w:bCs/>
          <w:color w:val="auto"/>
          <w:sz w:val="26"/>
          <w:szCs w:val="26"/>
          <w:highlight w:val="none"/>
        </w:rPr>
      </w:pPr>
      <w:r>
        <w:rPr>
          <w:rFonts w:hint="eastAsia" w:ascii="宋体" w:hAnsi="宋体" w:cs="宋体"/>
          <w:b/>
          <w:bCs/>
          <w:color w:val="auto"/>
          <w:sz w:val="26"/>
          <w:szCs w:val="26"/>
          <w:highlight w:val="none"/>
        </w:rPr>
        <w:br w:type="page"/>
      </w:r>
    </w:p>
    <w:p>
      <w:pPr>
        <w:spacing w:before="100" w:beforeAutospacing="1" w:after="100" w:afterAutospacing="1" w:line="460" w:lineRule="exact"/>
        <w:jc w:val="center"/>
        <w:outlineLvl w:val="1"/>
        <w:rPr>
          <w:rFonts w:ascii="宋体" w:hAnsi="宋体" w:cs="宋体"/>
          <w:b/>
          <w:bCs/>
          <w:color w:val="auto"/>
          <w:sz w:val="32"/>
          <w:szCs w:val="32"/>
          <w:highlight w:val="none"/>
        </w:rPr>
      </w:pPr>
      <w:bookmarkStart w:id="10" w:name="_Toc19070"/>
      <w:bookmarkStart w:id="11" w:name="_Toc20846"/>
      <w:r>
        <w:rPr>
          <w:rFonts w:hint="eastAsia" w:ascii="宋体" w:hAnsi="宋体" w:cs="宋体"/>
          <w:b/>
          <w:bCs/>
          <w:color w:val="auto"/>
          <w:sz w:val="26"/>
          <w:szCs w:val="26"/>
          <w:highlight w:val="none"/>
        </w:rPr>
        <w:t>一、 说   明</w:t>
      </w:r>
      <w:bookmarkEnd w:id="10"/>
      <w:bookmarkEnd w:id="11"/>
    </w:p>
    <w:p>
      <w:pPr>
        <w:tabs>
          <w:tab w:val="left" w:pos="360"/>
        </w:tabs>
        <w:spacing w:line="460" w:lineRule="exact"/>
        <w:ind w:firstLine="550" w:firstLineChars="250"/>
        <w:rPr>
          <w:rFonts w:ascii="宋体" w:hAnsi="宋体" w:cs="宋体"/>
          <w:b/>
          <w:color w:val="auto"/>
          <w:sz w:val="22"/>
          <w:szCs w:val="22"/>
          <w:highlight w:val="none"/>
        </w:rPr>
      </w:pPr>
      <w:r>
        <w:rPr>
          <w:rFonts w:hint="eastAsia" w:ascii="宋体" w:hAnsi="宋体" w:cs="宋体"/>
          <w:color w:val="auto"/>
          <w:sz w:val="22"/>
          <w:szCs w:val="22"/>
          <w:highlight w:val="none"/>
        </w:rPr>
        <w:t>1、本次招标是按照《中华人民共和国政府采购法》、《政府采购货物和服务招标投标管理办法》、《中华人民共和国政府采购法实施条例》和《关于进一步规范政府采购活动的若干意见》等法律及有关法规组织和实施的。</w:t>
      </w:r>
    </w:p>
    <w:p>
      <w:pPr>
        <w:tabs>
          <w:tab w:val="left" w:pos="360"/>
        </w:tabs>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2、定义</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招标人：是指依法进行政府采购的国家机关、事业单位、团体组织</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招标代理机构：受招标人委托，在委托的范围内办理政府采购事宜的机构；</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投标人：是指参加本政府采购项目投标的供应商；</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投标人代表：是指参加本项目投标活动的供应商法定代表人或法定代表人授权代表；</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投标联合体：是指两个以上供应商组成联合体，以一个供应商的身份参加投标；</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甲方：是指合同签订的一方，一般与招标人、用户相同；</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乙方：是指合同签订的另一方，与中标人相同；</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制造商：是指拥有投标产品自主知识产权的单位；</w:t>
      </w:r>
    </w:p>
    <w:p>
      <w:pPr>
        <w:tabs>
          <w:tab w:val="left" w:pos="360"/>
        </w:tabs>
        <w:spacing w:line="460" w:lineRule="exact"/>
        <w:ind w:firstLine="550" w:firstLineChars="250"/>
        <w:rPr>
          <w:rFonts w:ascii="宋体" w:hAnsi="宋体" w:cs="宋体"/>
          <w:color w:val="auto"/>
          <w:sz w:val="22"/>
          <w:szCs w:val="22"/>
          <w:highlight w:val="none"/>
        </w:rPr>
      </w:pPr>
      <w:r>
        <w:rPr>
          <w:rFonts w:hint="eastAsia" w:ascii="宋体" w:hAnsi="宋体" w:cs="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 其不利的评定，一切后果由供应商自行承担。</w:t>
      </w:r>
    </w:p>
    <w:p>
      <w:pPr>
        <w:tabs>
          <w:tab w:val="left" w:pos="360"/>
        </w:tabs>
        <w:spacing w:line="460" w:lineRule="exact"/>
        <w:ind w:firstLine="552" w:firstLineChars="250"/>
        <w:rPr>
          <w:rFonts w:ascii="宋体" w:hAnsi="宋体" w:cs="宋体"/>
          <w:b/>
          <w:bCs/>
          <w:color w:val="auto"/>
          <w:sz w:val="22"/>
          <w:szCs w:val="22"/>
          <w:highlight w:val="none"/>
        </w:rPr>
      </w:pPr>
      <w:r>
        <w:rPr>
          <w:rFonts w:hint="eastAsia" w:ascii="宋体" w:hAnsi="宋体" w:cs="宋体"/>
          <w:b/>
          <w:bCs/>
          <w:color w:val="auto"/>
          <w:sz w:val="22"/>
          <w:szCs w:val="22"/>
          <w:highlight w:val="none"/>
        </w:rPr>
        <w:t>带“▲”条款系指实质性要求条款。“★”是关键技术参数及要求。</w:t>
      </w:r>
    </w:p>
    <w:p>
      <w:pPr>
        <w:tabs>
          <w:tab w:val="left" w:pos="360"/>
        </w:tabs>
        <w:spacing w:line="460" w:lineRule="exact"/>
        <w:ind w:firstLine="541" w:firstLineChars="245"/>
        <w:rPr>
          <w:rFonts w:ascii="宋体" w:hAnsi="宋体" w:cs="宋体"/>
          <w:color w:val="auto"/>
          <w:sz w:val="22"/>
          <w:szCs w:val="22"/>
          <w:highlight w:val="none"/>
        </w:rPr>
      </w:pPr>
      <w:r>
        <w:rPr>
          <w:rFonts w:hint="eastAsia" w:ascii="宋体" w:hAnsi="宋体" w:cs="宋体"/>
          <w:b/>
          <w:color w:val="auto"/>
          <w:sz w:val="22"/>
          <w:szCs w:val="22"/>
          <w:highlight w:val="none"/>
        </w:rPr>
        <w:t>3、投标人代表</w:t>
      </w:r>
    </w:p>
    <w:p>
      <w:pPr>
        <w:tabs>
          <w:tab w:val="left" w:pos="360"/>
        </w:tabs>
        <w:spacing w:line="460" w:lineRule="exact"/>
        <w:ind w:firstLine="541" w:firstLineChars="245"/>
        <w:rPr>
          <w:rFonts w:ascii="宋体" w:hAnsi="宋体" w:cs="宋体"/>
          <w:b/>
          <w:color w:val="auto"/>
          <w:sz w:val="22"/>
          <w:highlight w:val="none"/>
        </w:rPr>
      </w:pPr>
      <w:r>
        <w:rPr>
          <w:rFonts w:hint="eastAsia" w:ascii="宋体" w:hAnsi="宋体" w:cs="宋体"/>
          <w:b/>
          <w:color w:val="auto"/>
          <w:sz w:val="22"/>
          <w:szCs w:val="22"/>
          <w:highlight w:val="none"/>
        </w:rPr>
        <w:t>3.1</w:t>
      </w:r>
      <w:r>
        <w:rPr>
          <w:rFonts w:hint="eastAsia" w:ascii="宋体" w:hAnsi="宋体" w:cs="宋体"/>
          <w:b/>
          <w:color w:val="auto"/>
          <w:sz w:val="22"/>
          <w:highlight w:val="none"/>
        </w:rPr>
        <w:t>指全权代表投标人参加投标活动并签署投标文件的人。如果投标人代表不是法定代表人，须持有《法定代表人授权书》（见附件）</w:t>
      </w:r>
    </w:p>
    <w:p>
      <w:pPr>
        <w:tabs>
          <w:tab w:val="left" w:pos="360"/>
        </w:tabs>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r>
        <w:rPr>
          <w:rFonts w:hint="eastAsia" w:ascii="宋体" w:hAnsi="宋体" w:cs="宋体"/>
          <w:b/>
          <w:color w:val="auto"/>
          <w:sz w:val="22"/>
          <w:szCs w:val="22"/>
          <w:highlight w:val="none"/>
        </w:rPr>
        <w:t>。</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4、投标费用</w:t>
      </w:r>
    </w:p>
    <w:p>
      <w:pPr>
        <w:spacing w:line="460" w:lineRule="exact"/>
        <w:ind w:firstLine="541" w:firstLineChars="245"/>
        <w:rPr>
          <w:rFonts w:ascii="宋体" w:hAnsi="宋体" w:cs="宋体"/>
          <w:color w:val="auto"/>
          <w:sz w:val="22"/>
          <w:szCs w:val="22"/>
          <w:highlight w:val="none"/>
        </w:rPr>
      </w:pPr>
      <w:r>
        <w:rPr>
          <w:rFonts w:hint="eastAsia" w:ascii="宋体" w:hAnsi="宋体" w:cs="宋体"/>
          <w:b/>
          <w:color w:val="auto"/>
          <w:sz w:val="22"/>
          <w:szCs w:val="22"/>
          <w:highlight w:val="none"/>
        </w:rPr>
        <w:t>4.1</w:t>
      </w:r>
      <w:r>
        <w:rPr>
          <w:rFonts w:hint="eastAsia" w:ascii="宋体" w:hAnsi="宋体" w:cs="宋体"/>
          <w:color w:val="auto"/>
          <w:sz w:val="22"/>
          <w:szCs w:val="22"/>
          <w:highlight w:val="none"/>
        </w:rPr>
        <w:t>投标人应承担所有与准备和参加投标有关费用，不论投标的结果如何，招标人或招标代理机构均无义务和责任承担这些费用。</w:t>
      </w:r>
    </w:p>
    <w:p>
      <w:pPr>
        <w:spacing w:before="100" w:beforeAutospacing="1" w:after="100" w:afterAutospacing="1" w:line="460" w:lineRule="exact"/>
        <w:jc w:val="center"/>
        <w:outlineLvl w:val="1"/>
        <w:rPr>
          <w:rFonts w:ascii="宋体" w:hAnsi="宋体" w:cs="宋体"/>
          <w:b/>
          <w:bCs/>
          <w:color w:val="auto"/>
          <w:sz w:val="26"/>
          <w:szCs w:val="26"/>
          <w:highlight w:val="none"/>
        </w:rPr>
      </w:pPr>
      <w:bookmarkStart w:id="12" w:name="_Toc28278"/>
      <w:bookmarkStart w:id="13" w:name="_Toc9899"/>
      <w:r>
        <w:rPr>
          <w:rFonts w:hint="eastAsia" w:ascii="宋体" w:hAnsi="宋体" w:cs="宋体"/>
          <w:b/>
          <w:bCs/>
          <w:color w:val="auto"/>
          <w:sz w:val="26"/>
          <w:szCs w:val="26"/>
          <w:highlight w:val="none"/>
        </w:rPr>
        <w:t>二、 招标文件</w:t>
      </w:r>
      <w:bookmarkEnd w:id="12"/>
      <w:bookmarkEnd w:id="13"/>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1、招标文件由招标文件目录所列内容及相关资料组成。</w:t>
      </w:r>
    </w:p>
    <w:p>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2、招标文件的澄清</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2.1 任何要求对招标文件进行澄清的投标人，均应以书面形式（信函、传真，下同）通知，但该通知在知道或应知道其权益受到损害之日起七个工作日内以使招标人或招标代理机构收到，招标人或招标代理机构将以书面形式予以答复。如有必要，可将不说明问题来源的答复发给各投标文件收受人或召开答疑会。如果招标文件澄清期内未收到有关澄清要求，视为投标人完全同意招标文件所有条款，且对于招标文件有关表述以及未尽事宜如有异议，以招标人或招标代理机构解释为准。</w:t>
      </w:r>
    </w:p>
    <w:p>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3、招标文件的修改</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3.1招标人或招标代理机构对已发出的招标文件进行必要的澄清或者修改的，应当在招标文件要求递交投标文件截止时间十五日前，在财政部门指定的政府采购信息发布媒体上发布更正公告，并以书面形式通知所有招标文件收受人。该澄清或修改内容为招标文件的组成部分。招标文件收受人收到该书面通知后，应立即书面回复确认已收到该通知。</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3.2招标人、招标代理机构可以视采购的具体情况决定是否延长投标截止时间和开标时间，并在招标文件要求递交投标文件的截止时间前，将变更时间书面通知所有招标文件收受人，同时在财政部门指定的政府采购信息发布媒体上发布变更公告。招标文件收受人收到变更时间的书面通知后，应立即书面回复确认已收到该通知</w:t>
      </w:r>
      <w:r>
        <w:rPr>
          <w:rFonts w:hint="eastAsia" w:ascii="宋体" w:hAnsi="宋体" w:cs="宋体"/>
          <w:color w:val="auto"/>
          <w:sz w:val="22"/>
          <w:szCs w:val="22"/>
          <w:highlight w:val="none"/>
        </w:rPr>
        <w:t>。</w:t>
      </w:r>
    </w:p>
    <w:p>
      <w:pPr>
        <w:spacing w:before="100" w:beforeAutospacing="1" w:after="100" w:afterAutospacing="1" w:line="460" w:lineRule="exact"/>
        <w:jc w:val="center"/>
        <w:outlineLvl w:val="1"/>
        <w:rPr>
          <w:rFonts w:ascii="宋体" w:hAnsi="宋体" w:cs="宋体"/>
          <w:b/>
          <w:bCs/>
          <w:color w:val="auto"/>
          <w:sz w:val="26"/>
          <w:szCs w:val="26"/>
          <w:highlight w:val="none"/>
        </w:rPr>
      </w:pPr>
      <w:bookmarkStart w:id="14" w:name="_Toc12726"/>
      <w:bookmarkStart w:id="15" w:name="_Toc22646"/>
      <w:r>
        <w:rPr>
          <w:rFonts w:hint="eastAsia" w:ascii="宋体" w:hAnsi="宋体" w:cs="宋体"/>
          <w:b/>
          <w:bCs/>
          <w:color w:val="auto"/>
          <w:sz w:val="26"/>
          <w:szCs w:val="26"/>
          <w:highlight w:val="none"/>
        </w:rPr>
        <w:t>三、 投标文件的编制</w:t>
      </w:r>
      <w:bookmarkEnd w:id="14"/>
      <w:bookmarkEnd w:id="15"/>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1、投标人应认真阅读招标文件中所有事项、格式、条款和技术规范等。</w:t>
      </w:r>
      <w:r>
        <w:rPr>
          <w:rFonts w:hint="eastAsia" w:ascii="宋体" w:hAnsi="宋体" w:cs="宋体"/>
          <w:b/>
          <w:color w:val="auto"/>
          <w:sz w:val="22"/>
          <w:highlight w:val="none"/>
        </w:rPr>
        <w:t>投标人没有按照招标文件要求提交全部资料，或者没有对招标文件各个方面做出实质性响应，导致投标被否决的风险由投标人自行承担。</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highlight w:val="none"/>
        </w:rPr>
        <w:t>2、投标人应保证所提供文件资料的真实性，所有文件资料必须是针对本次投标的。如发现投标人提供了虚假文件资料，其投标将被否决，并自行承担相应的法律责任。</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3、</w:t>
      </w:r>
      <w:r>
        <w:rPr>
          <w:rFonts w:hint="eastAsia" w:ascii="宋体" w:hAnsi="宋体" w:cs="宋体"/>
          <w:b/>
          <w:bCs/>
          <w:color w:val="auto"/>
          <w:sz w:val="22"/>
          <w:szCs w:val="22"/>
          <w:highlight w:val="none"/>
        </w:rPr>
        <w:t>投标文件的构成：</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投标</w:t>
      </w:r>
      <w:r>
        <w:rPr>
          <w:rFonts w:hint="eastAsia" w:ascii="宋体" w:hAnsi="宋体" w:cs="宋体"/>
          <w:b/>
          <w:bCs/>
          <w:color w:val="auto"/>
          <w:kern w:val="0"/>
          <w:sz w:val="22"/>
          <w:szCs w:val="22"/>
          <w:highlight w:val="none"/>
          <w:lang w:val="zh-CN"/>
        </w:rPr>
        <w:t>文件应当包括以下主要内容：资格文件、报价文件、商务技术文件。</w:t>
      </w:r>
    </w:p>
    <w:p>
      <w:pPr>
        <w:spacing w:line="460" w:lineRule="exact"/>
        <w:ind w:firstLine="541" w:firstLineChars="245"/>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3.1</w:t>
      </w:r>
      <w:r>
        <w:rPr>
          <w:rFonts w:hint="eastAsia" w:ascii="宋体" w:hAnsi="宋体" w:cs="宋体"/>
          <w:b/>
          <w:bCs/>
          <w:color w:val="auto"/>
          <w:kern w:val="0"/>
          <w:sz w:val="22"/>
          <w:szCs w:val="22"/>
          <w:highlight w:val="none"/>
          <w:lang w:val="zh-CN"/>
        </w:rPr>
        <w:t xml:space="preserve">投标人的资格文件至少应包括以下内容： </w:t>
      </w:r>
    </w:p>
    <w:p>
      <w:pPr>
        <w:spacing w:line="460" w:lineRule="exact"/>
        <w:ind w:firstLine="539" w:firstLineChars="245"/>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基本资格条件审查材料：即证明其符合《中华人民共和国政府采购法》规定的供应商基本条件的有关资格证明文件。</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包括：</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w:t>
      </w:r>
      <w:r>
        <w:rPr>
          <w:rFonts w:hint="eastAsia" w:ascii="宋体" w:hAnsi="宋体" w:cs="宋体"/>
          <w:bCs/>
          <w:color w:val="auto"/>
          <w:sz w:val="22"/>
          <w:szCs w:val="22"/>
          <w:highlight w:val="none"/>
        </w:rPr>
        <w:t>营业执照</w:t>
      </w:r>
      <w:r>
        <w:rPr>
          <w:rFonts w:hint="eastAsia" w:ascii="宋体" w:hAnsi="宋体" w:cs="宋体"/>
          <w:color w:val="auto"/>
          <w:sz w:val="22"/>
          <w:szCs w:val="22"/>
          <w:highlight w:val="none"/>
        </w:rPr>
        <w:t xml:space="preserve">(或事业法人登记证书或其它工商等登记证明材料；自然人参与政府采购，提供身份证)复印件； </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（2）最近一年财务报表(复印件，新成立的公司提供情况说明)；</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（3）具有履行合同所必需的场地、设备和专业技术能力的承诺函；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（4）依法缴纳税收和社会保障资金的承诺函；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（5）参加政府采购活动前3年内在经营活动中没有重大违法记录的声明函；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（6）单位负责人为同一人或者存在直接控股、管理关系的不同供应商，不得参加同一合同项下的政府采购活动承诺函；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（7）供应商不属于公益一类事业单位承诺函。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（8）未被“信用中国”（www.creditchina.gov.cn）、中国政府采购网（www.ccgp.gov.cn）列入失信被执行人、重大税收违法案件当事人名单、政府采购严重违法失信行为记录名单.</w:t>
      </w:r>
    </w:p>
    <w:p>
      <w:pPr>
        <w:snapToGrid w:val="0"/>
        <w:spacing w:line="460" w:lineRule="exact"/>
        <w:ind w:left="525" w:leftChars="250"/>
        <w:rPr>
          <w:rFonts w:ascii="宋体" w:hAnsi="宋体" w:cs="宋体"/>
          <w:color w:val="auto"/>
          <w:sz w:val="22"/>
          <w:szCs w:val="22"/>
          <w:highlight w:val="none"/>
        </w:rPr>
      </w:pPr>
      <w:r>
        <w:rPr>
          <w:rFonts w:hint="eastAsia" w:ascii="宋体" w:hAnsi="宋体" w:cs="宋体"/>
          <w:color w:val="auto"/>
          <w:sz w:val="22"/>
          <w:szCs w:val="22"/>
          <w:highlight w:val="none"/>
        </w:rPr>
        <w:t>信用信息查询记录和证据以项目公告发出日期后的网页截图为准；</w:t>
      </w:r>
    </w:p>
    <w:p>
      <w:pPr>
        <w:snapToGrid w:val="0"/>
        <w:spacing w:line="460" w:lineRule="exact"/>
        <w:ind w:left="525" w:leftChars="250"/>
        <w:rPr>
          <w:rFonts w:hint="eastAsia" w:ascii="宋体" w:hAnsi="宋体" w:cs="宋体"/>
          <w:color w:val="auto"/>
          <w:sz w:val="22"/>
          <w:szCs w:val="22"/>
          <w:highlight w:val="none"/>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9</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政府采购活动确认声明书</w:t>
      </w:r>
    </w:p>
    <w:p>
      <w:pPr>
        <w:snapToGrid w:val="0"/>
        <w:spacing w:line="460" w:lineRule="exact"/>
        <w:ind w:left="525" w:leftChars="250"/>
        <w:rPr>
          <w:rFonts w:hint="eastAsia" w:ascii="宋体" w:hAnsi="宋体" w:cs="宋体"/>
          <w:color w:val="auto"/>
          <w:sz w:val="22"/>
          <w:szCs w:val="22"/>
          <w:highlight w:val="none"/>
        </w:rPr>
      </w:pPr>
      <w:r>
        <w:rPr>
          <w:rFonts w:hint="eastAsia" w:ascii="宋体" w:hAnsi="宋体" w:cs="宋体"/>
          <w:color w:val="auto"/>
          <w:sz w:val="22"/>
          <w:szCs w:val="22"/>
          <w:highlight w:val="none"/>
          <w:lang w:val="en-US" w:eastAsia="zh-CN"/>
        </w:rPr>
        <w:t>（10）中小企业声明函</w:t>
      </w:r>
    </w:p>
    <w:p>
      <w:pPr>
        <w:snapToGrid w:val="0"/>
        <w:spacing w:line="460" w:lineRule="exact"/>
        <w:ind w:left="525" w:leftChars="250"/>
        <w:rPr>
          <w:rFonts w:hint="eastAsia" w:ascii="宋体" w:hAnsi="宋体" w:cs="宋体"/>
          <w:color w:val="auto"/>
          <w:sz w:val="22"/>
          <w:szCs w:val="22"/>
          <w:highlight w:val="none"/>
        </w:rPr>
      </w:pPr>
      <w:r>
        <w:rPr>
          <w:rFonts w:hint="eastAsia" w:ascii="宋体" w:hAnsi="宋体" w:cs="宋体"/>
          <w:color w:val="auto"/>
          <w:sz w:val="22"/>
          <w:szCs w:val="22"/>
          <w:highlight w:val="none"/>
        </w:rPr>
        <w:t>上述资格条件审查材料有一项不提供的，视为资格审查不通过。</w:t>
      </w:r>
    </w:p>
    <w:p>
      <w:pPr>
        <w:snapToGrid w:val="0"/>
        <w:spacing w:line="460" w:lineRule="exact"/>
        <w:ind w:left="105" w:leftChars="50" w:firstLine="442" w:firstLineChars="200"/>
        <w:rPr>
          <w:rFonts w:ascii="宋体" w:hAnsi="宋体" w:cs="宋体"/>
          <w:color w:val="auto"/>
          <w:sz w:val="22"/>
          <w:szCs w:val="22"/>
          <w:highlight w:val="none"/>
          <w:u w:val="single"/>
          <w:lang w:val="zh-CN"/>
        </w:rPr>
      </w:pPr>
      <w:r>
        <w:rPr>
          <w:rFonts w:hint="eastAsia" w:ascii="宋体" w:hAnsi="宋体" w:cs="宋体"/>
          <w:b/>
          <w:bCs/>
          <w:color w:val="auto"/>
          <w:sz w:val="22"/>
          <w:szCs w:val="22"/>
          <w:highlight w:val="none"/>
        </w:rPr>
        <w:t xml:space="preserve">3.2投标人的报价文件至少应包括以下内容： </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（1）投标函；</w:t>
      </w:r>
    </w:p>
    <w:p>
      <w:pPr>
        <w:snapToGrid w:val="0"/>
        <w:spacing w:line="460" w:lineRule="exact"/>
        <w:ind w:left="105" w:leftChars="5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（2）投标报价一览表；</w:t>
      </w:r>
    </w:p>
    <w:p>
      <w:pPr>
        <w:snapToGrid w:val="0"/>
        <w:spacing w:line="460" w:lineRule="exact"/>
        <w:ind w:left="105" w:leftChars="50"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（3）投标分项报价表</w:t>
      </w:r>
      <w:r>
        <w:rPr>
          <w:rFonts w:hint="eastAsia" w:ascii="宋体" w:hAnsi="宋体" w:cs="宋体"/>
          <w:color w:val="auto"/>
          <w:sz w:val="22"/>
          <w:szCs w:val="22"/>
          <w:highlight w:val="none"/>
          <w:lang w:eastAsia="zh-CN"/>
        </w:rPr>
        <w:t>。</w:t>
      </w:r>
    </w:p>
    <w:p>
      <w:pPr>
        <w:snapToGrid w:val="0"/>
        <w:spacing w:line="460" w:lineRule="exact"/>
        <w:ind w:firstLine="440" w:firstLineChars="200"/>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3.3</w:t>
      </w:r>
      <w:r>
        <w:rPr>
          <w:rFonts w:hint="eastAsia" w:ascii="宋体" w:hAnsi="宋体" w:cs="宋体"/>
          <w:color w:val="auto"/>
          <w:kern w:val="0"/>
          <w:sz w:val="22"/>
          <w:szCs w:val="22"/>
          <w:highlight w:val="none"/>
          <w:lang w:val="zh-CN"/>
        </w:rPr>
        <w:t>投标人的</w:t>
      </w:r>
      <w:r>
        <w:rPr>
          <w:rFonts w:hint="eastAsia" w:ascii="宋体" w:hAnsi="宋体" w:cs="宋体"/>
          <w:b/>
          <w:bCs/>
          <w:color w:val="auto"/>
          <w:kern w:val="0"/>
          <w:sz w:val="22"/>
          <w:szCs w:val="22"/>
          <w:highlight w:val="none"/>
          <w:lang w:val="zh-CN"/>
        </w:rPr>
        <w:t>商务技术文件</w:t>
      </w:r>
      <w:r>
        <w:rPr>
          <w:rFonts w:hint="eastAsia" w:ascii="宋体" w:hAnsi="宋体" w:cs="宋体"/>
          <w:color w:val="auto"/>
          <w:kern w:val="0"/>
          <w:sz w:val="22"/>
          <w:szCs w:val="22"/>
          <w:highlight w:val="none"/>
          <w:lang w:val="zh-CN"/>
        </w:rPr>
        <w:t xml:space="preserve">应包括以下内容： </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（1）法定代表人授权委托书（需提供法定代表人及授权委托人的身份证复印件加盖公章）；</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（2）投标人情况表</w:t>
      </w:r>
    </w:p>
    <w:p>
      <w:pPr>
        <w:snapToGrid w:val="0"/>
        <w:spacing w:line="46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rPr>
        <w:t>（3）</w:t>
      </w:r>
      <w:r>
        <w:rPr>
          <w:rFonts w:hint="eastAsia" w:ascii="宋体" w:hAnsi="宋体" w:cs="宋体"/>
          <w:color w:val="auto"/>
          <w:sz w:val="22"/>
          <w:szCs w:val="22"/>
          <w:highlight w:val="none"/>
          <w:lang w:val="zh-CN"/>
        </w:rPr>
        <w:t>偏离表（</w:t>
      </w:r>
      <w:r>
        <w:rPr>
          <w:rFonts w:hint="eastAsia" w:ascii="宋体" w:hAnsi="宋体" w:cs="宋体"/>
          <w:color w:val="auto"/>
          <w:sz w:val="22"/>
          <w:szCs w:val="22"/>
          <w:highlight w:val="none"/>
        </w:rPr>
        <w:t>商务、技术偏离</w:t>
      </w:r>
      <w:r>
        <w:rPr>
          <w:rFonts w:hint="eastAsia" w:ascii="宋体" w:hAnsi="宋体" w:cs="宋体"/>
          <w:color w:val="auto"/>
          <w:sz w:val="22"/>
          <w:szCs w:val="22"/>
          <w:highlight w:val="none"/>
          <w:lang w:val="zh-CN"/>
        </w:rPr>
        <w:t>）</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（4）投标人综合情况</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（5）实施方案</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（6）配套设备</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（7）履约能力</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（8）项目理解及合理化建议</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（9）售后服务</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（10）业绩</w:t>
      </w:r>
    </w:p>
    <w:p>
      <w:pPr>
        <w:snapToGrid w:val="0"/>
        <w:spacing w:line="4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（11）其他必要提供的资料。</w:t>
      </w:r>
    </w:p>
    <w:p>
      <w:pPr>
        <w:spacing w:line="460" w:lineRule="exact"/>
        <w:ind w:firstLine="442" w:firstLineChars="200"/>
        <w:rPr>
          <w:rFonts w:ascii="宋体" w:hAnsi="宋体" w:cs="宋体"/>
          <w:b/>
          <w:color w:val="auto"/>
          <w:sz w:val="22"/>
          <w:szCs w:val="22"/>
          <w:highlight w:val="none"/>
          <w:lang w:val="zh-CN"/>
        </w:rPr>
      </w:pPr>
      <w:r>
        <w:rPr>
          <w:rFonts w:hint="eastAsia" w:ascii="宋体" w:hAnsi="宋体" w:cs="宋体"/>
          <w:b/>
          <w:color w:val="auto"/>
          <w:sz w:val="22"/>
          <w:szCs w:val="22"/>
          <w:highlight w:val="none"/>
          <w:lang w:val="zh-CN"/>
        </w:rPr>
        <w:t>投标文件中所需的各种证书、证件、证明资料如是复印件，须在复印件上加盖有效公章。</w:t>
      </w:r>
    </w:p>
    <w:p>
      <w:pPr>
        <w:pStyle w:val="30"/>
        <w:snapToGrid w:val="0"/>
        <w:spacing w:line="460" w:lineRule="exact"/>
        <w:ind w:firstLine="442" w:firstLineChars="200"/>
        <w:rPr>
          <w:rFonts w:hAnsi="宋体" w:cs="宋体"/>
          <w:bCs/>
          <w:color w:val="auto"/>
          <w:sz w:val="22"/>
          <w:szCs w:val="22"/>
          <w:highlight w:val="none"/>
        </w:rPr>
      </w:pPr>
      <w:r>
        <w:rPr>
          <w:rFonts w:hint="eastAsia" w:hAnsi="宋体" w:cs="宋体"/>
          <w:color w:val="auto"/>
          <w:sz w:val="22"/>
          <w:szCs w:val="22"/>
          <w:highlight w:val="none"/>
          <w:lang w:val="zh-CN"/>
        </w:rPr>
        <w:t>投标人的</w:t>
      </w:r>
      <w:r>
        <w:rPr>
          <w:rFonts w:hint="eastAsia" w:hAnsi="宋体" w:cs="宋体"/>
          <w:color w:val="auto"/>
          <w:sz w:val="22"/>
          <w:szCs w:val="22"/>
          <w:highlight w:val="none"/>
        </w:rPr>
        <w:t>投标文件必须按照招标文件要求制作</w:t>
      </w:r>
      <w:r>
        <w:rPr>
          <w:rFonts w:hint="eastAsia" w:hAnsi="宋体" w:cs="宋体"/>
          <w:bCs/>
          <w:color w:val="auto"/>
          <w:sz w:val="22"/>
          <w:szCs w:val="22"/>
          <w:highlight w:val="none"/>
        </w:rPr>
        <w:t>。</w:t>
      </w:r>
    </w:p>
    <w:p>
      <w:pPr>
        <w:pStyle w:val="30"/>
        <w:snapToGrid w:val="0"/>
        <w:spacing w:line="460" w:lineRule="exact"/>
        <w:ind w:firstLine="442" w:firstLineChars="200"/>
        <w:rPr>
          <w:rFonts w:hAnsi="宋体" w:cs="宋体"/>
          <w:bCs/>
          <w:color w:val="auto"/>
          <w:sz w:val="22"/>
          <w:szCs w:val="22"/>
          <w:highlight w:val="none"/>
        </w:rPr>
      </w:pPr>
      <w:r>
        <w:rPr>
          <w:rFonts w:hint="eastAsia" w:hAnsi="宋体" w:cs="宋体"/>
          <w:color w:val="auto"/>
          <w:sz w:val="22"/>
          <w:szCs w:val="22"/>
          <w:highlight w:val="none"/>
        </w:rPr>
        <w:t>投标人可在招标文件中对招标货物的技术规格和要求选用替代标准，但这些替代标准必须相当于或优于招标文件中提出的相应要求，并使招标人满意，同时在技术偏离表中作出详细说明。</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bCs/>
          <w:color w:val="auto"/>
          <w:sz w:val="22"/>
          <w:szCs w:val="22"/>
          <w:highlight w:val="none"/>
        </w:rPr>
        <w:t>4、投标报价</w:t>
      </w:r>
    </w:p>
    <w:p>
      <w:pPr>
        <w:spacing w:line="460" w:lineRule="exact"/>
        <w:ind w:firstLine="541" w:firstLineChars="245"/>
        <w:rPr>
          <w:rFonts w:ascii="宋体" w:hAnsi="宋体" w:cs="宋体"/>
          <w:color w:val="auto"/>
          <w:sz w:val="22"/>
          <w:szCs w:val="22"/>
          <w:highlight w:val="none"/>
        </w:rPr>
      </w:pPr>
      <w:r>
        <w:rPr>
          <w:rFonts w:hint="eastAsia" w:ascii="宋体" w:hAnsi="宋体" w:cs="宋体"/>
          <w:b/>
          <w:color w:val="auto"/>
          <w:sz w:val="22"/>
          <w:highlight w:val="none"/>
        </w:rPr>
        <w:t>4.1投标人应根据国家的有关规定和招标文件要求并结合企业的实际情况进行投标报价。投标报价以人民币为结算货币，承包报价必须包括完成本项目所提供相关服务所需的一切人员工资、奖金、各种加班费、高温补贴费、各种社会保险、食宿与交通、设备及工具、器材、消耗材料、管理费用、税费、利润、完成合同所需的一切本身和不可或缺的所有工作开支、政策性文件规定及合同包含的所有风险、责任等各项全部费用并承担一切风险责任。在合同服务期间内不得违反国家相关政策规定。</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4.2投标人必须按附件中的投标报价一览表、投标分项报价表内容填写价格，并由投标人代表签署。</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4.3</w:t>
      </w:r>
      <w:r>
        <w:rPr>
          <w:rFonts w:hint="eastAsia" w:ascii="宋体" w:hAnsi="宋体" w:cs="宋体"/>
          <w:color w:val="auto"/>
          <w:sz w:val="22"/>
          <w:highlight w:val="none"/>
        </w:rPr>
        <w:t>投标货币以人民币进行投标</w:t>
      </w:r>
      <w:r>
        <w:rPr>
          <w:rFonts w:hint="eastAsia" w:ascii="宋体" w:hAnsi="宋体" w:cs="宋体"/>
          <w:color w:val="auto"/>
          <w:sz w:val="22"/>
          <w:szCs w:val="22"/>
          <w:highlight w:val="none"/>
        </w:rPr>
        <w:t>。</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4.4</w:t>
      </w:r>
      <w:r>
        <w:rPr>
          <w:rFonts w:hint="eastAsia" w:ascii="宋体" w:hAnsi="宋体" w:cs="宋体"/>
          <w:color w:val="auto"/>
          <w:sz w:val="22"/>
          <w:highlight w:val="none"/>
        </w:rPr>
        <w:t>招标人和招标代理机构不接受任何选择投标，对任何服务只允许一个价格。</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4.5招标人和</w:t>
      </w:r>
      <w:r>
        <w:rPr>
          <w:rFonts w:hint="eastAsia" w:ascii="宋体" w:hAnsi="宋体" w:cs="宋体"/>
          <w:color w:val="auto"/>
          <w:sz w:val="22"/>
          <w:highlight w:val="none"/>
        </w:rPr>
        <w:t>招标代理机构</w:t>
      </w:r>
      <w:r>
        <w:rPr>
          <w:rFonts w:hint="eastAsia" w:ascii="宋体" w:hAnsi="宋体" w:cs="宋体"/>
          <w:color w:val="auto"/>
          <w:sz w:val="22"/>
          <w:szCs w:val="22"/>
          <w:highlight w:val="none"/>
        </w:rPr>
        <w:t>要求分类报价是为了方便评标，但在任何情况下不限制招标人以其认为最合适的条款、条件签订合同的权利。</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4.6投标报价报出后，投标人不得以任何理由予以变更。任何包含价格调整的要求，将被认为是非实质性响应投标而予以否决。</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4.7最低报价不能作为中标的保证。</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bCs/>
          <w:color w:val="auto"/>
          <w:sz w:val="22"/>
          <w:szCs w:val="22"/>
          <w:highlight w:val="none"/>
        </w:rPr>
        <w:t>5、投标有效期</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5.1自开标之日起</w:t>
      </w:r>
      <w:r>
        <w:rPr>
          <w:rFonts w:hint="eastAsia" w:ascii="宋体" w:hAnsi="宋体" w:cs="宋体"/>
          <w:b/>
          <w:bCs/>
          <w:color w:val="auto"/>
          <w:sz w:val="22"/>
          <w:szCs w:val="22"/>
          <w:highlight w:val="none"/>
        </w:rPr>
        <w:t xml:space="preserve"> 120 </w:t>
      </w:r>
      <w:r>
        <w:rPr>
          <w:rFonts w:hint="eastAsia" w:ascii="宋体" w:hAnsi="宋体" w:cs="宋体"/>
          <w:b/>
          <w:color w:val="auto"/>
          <w:sz w:val="22"/>
          <w:szCs w:val="22"/>
          <w:highlight w:val="none"/>
        </w:rPr>
        <w:t>天内投标应保持有效。</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5.2特殊情况下，在原投标有效期截止前，招标人、招标代理机构可与投标人协商延长投标有效期，这种要求和答复均以书面形式进行。投标人可拒绝接受延期要求。同意延长投标有效期的投标人不得修改投标文件。</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6、投标保证金</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无。</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7、投标文件编制</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7.1本项目通过“政府采购云平台（http://zfcg.czt.zj.gov.cn）”实行在线投标响应（电子投标）。供应商应通过“政采云电子交易客户端”，并按照本招标文件和“政府采购云平台”的要求编制并加密投标文件。</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7.2投标人应当按照本章节 “投标文件的构成”规定的内容及顺序在“政采云电子交易客户端”编制投标文件。其中《资格文件》和《商务技术文件》中不得出现本项目投标报价。</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7.3本文件《第三部分  附件》中有提供格式的，投标人须参照格式进行编制（格式中要求提供相关证明材料的还需后附相关证明材料），并按格式要求在指定位置根据要求进行签章，否则视为未提供；本文件《第三部分  附件》未提供格式的，请各投标人自行拟定格式，并加盖单位公章并由法定代表人或其授权代表签署（签字或盖章），否则视为未提供。</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7.4《投标文件》内容不完整、编排混乱导致《投标文件》被误读、漏读或者查找不到相关内容的，投标人自行负责。</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7.5《投标文件》因字迹潦草或表达不清所引起的后果由投标人负责。</w:t>
      </w:r>
    </w:p>
    <w:p>
      <w:pPr>
        <w:spacing w:line="460" w:lineRule="exact"/>
        <w:ind w:firstLine="539" w:firstLineChars="245"/>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7.6投标人没有按照本章节 “投标文件的构成”要求提供全部资料，或者没有仔细阅读招标文件，或者没有对招标文件在各方面的要求作出实质性响应是投标人的风险，由此造成的一切后果由投标人自行承担。</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8、投标文件的签章</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8.1《投标文件》的签章：见《前附表》；</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8.2《投标文件》应由投标人法定代表人或其授权代表签字（或盖章），并时加盖投标人公章。</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8.3电子签章操作指南详见采购公告附件《供应商项目采购-电子招投标操作指南》。</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9、投标文件的形式</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9.1投标文件的形式：见《前附表》；</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9.2“电子加密投标文件”：“电子加密投标文件”是指通过“政采云电子交易客户端”完成投标文件编制后生成并加密的数据电文形式的投标文件。</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10、投标文件的份数</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10.1投标文件的份数：见《前附表》。</w:t>
      </w:r>
    </w:p>
    <w:p>
      <w:pPr>
        <w:spacing w:before="100" w:beforeAutospacing="1" w:after="100" w:afterAutospacing="1" w:line="440" w:lineRule="exact"/>
        <w:jc w:val="center"/>
        <w:outlineLvl w:val="1"/>
        <w:rPr>
          <w:rFonts w:ascii="宋体" w:hAnsi="宋体" w:cs="宋体"/>
          <w:b/>
          <w:bCs/>
          <w:color w:val="auto"/>
          <w:sz w:val="22"/>
          <w:szCs w:val="22"/>
          <w:highlight w:val="none"/>
        </w:rPr>
      </w:pPr>
      <w:bookmarkStart w:id="16" w:name="_Toc15422"/>
      <w:bookmarkStart w:id="17" w:name="_Toc18542"/>
      <w:r>
        <w:rPr>
          <w:rFonts w:hint="eastAsia" w:ascii="宋体" w:hAnsi="宋体" w:cs="宋体"/>
          <w:b/>
          <w:bCs/>
          <w:color w:val="auto"/>
          <w:sz w:val="22"/>
          <w:szCs w:val="22"/>
          <w:highlight w:val="none"/>
        </w:rPr>
        <w:t>四、 投标文件的递交</w:t>
      </w:r>
      <w:bookmarkEnd w:id="16"/>
      <w:bookmarkEnd w:id="17"/>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1、投标文件的上传和递交</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1.1“投标文件”的上传、递交：见《前附表》。</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2、“电子加密投标文件”解密和异常情况处理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2.1“电子加密投标文件”解密：见《前附表》。</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3、投标文件的补充、修改或撤回</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3.2投标截止时间后，投标人不得撤回、修改《投标文件》。</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4、投标文件的备选方案</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4.1投标人不得递交任何的投标备选（替代）方案，否则其投标文件将作无效标处理。与“电子加密投标文件”同时生成的“备份投标文件”不是投标备选（替代）方案。</w:t>
      </w:r>
    </w:p>
    <w:p>
      <w:pPr>
        <w:spacing w:before="100" w:beforeAutospacing="1" w:after="100" w:afterAutospacing="1" w:line="460" w:lineRule="exact"/>
        <w:jc w:val="center"/>
        <w:outlineLvl w:val="1"/>
        <w:rPr>
          <w:rFonts w:ascii="宋体" w:hAnsi="宋体" w:cs="宋体"/>
          <w:b/>
          <w:bCs/>
          <w:color w:val="auto"/>
          <w:sz w:val="22"/>
          <w:szCs w:val="22"/>
          <w:highlight w:val="none"/>
        </w:rPr>
      </w:pPr>
      <w:bookmarkStart w:id="18" w:name="_Toc8079"/>
      <w:bookmarkStart w:id="19" w:name="_Toc30172"/>
      <w:r>
        <w:rPr>
          <w:rFonts w:hint="eastAsia" w:ascii="宋体" w:hAnsi="宋体" w:cs="宋体"/>
          <w:b/>
          <w:bCs/>
          <w:color w:val="auto"/>
          <w:sz w:val="22"/>
          <w:szCs w:val="22"/>
          <w:highlight w:val="none"/>
        </w:rPr>
        <w:t>五、 开标和评标</w:t>
      </w:r>
      <w:bookmarkEnd w:id="18"/>
      <w:bookmarkEnd w:id="19"/>
    </w:p>
    <w:p>
      <w:pPr>
        <w:spacing w:line="460" w:lineRule="exact"/>
        <w:ind w:firstLine="541" w:firstLineChars="245"/>
        <w:rPr>
          <w:rFonts w:ascii="宋体" w:hAnsi="宋体" w:cs="宋体"/>
          <w:b/>
          <w:color w:val="auto"/>
          <w:sz w:val="22"/>
          <w:szCs w:val="22"/>
          <w:highlight w:val="none"/>
        </w:rPr>
      </w:pPr>
      <w:r>
        <w:rPr>
          <w:rFonts w:hint="eastAsia" w:ascii="宋体" w:hAnsi="宋体" w:cs="宋体"/>
          <w:b/>
          <w:bCs/>
          <w:color w:val="auto"/>
          <w:sz w:val="22"/>
          <w:szCs w:val="22"/>
          <w:highlight w:val="none"/>
        </w:rPr>
        <w:t>1、评标委员会</w:t>
      </w:r>
    </w:p>
    <w:p>
      <w:pPr>
        <w:spacing w:line="460" w:lineRule="exact"/>
        <w:ind w:firstLine="539" w:firstLineChars="245"/>
        <w:rPr>
          <w:rFonts w:ascii="宋体" w:hAnsi="宋体" w:cs="宋体"/>
          <w:b/>
          <w:color w:val="auto"/>
          <w:sz w:val="22"/>
          <w:szCs w:val="22"/>
          <w:highlight w:val="none"/>
        </w:rPr>
      </w:pPr>
      <w:r>
        <w:rPr>
          <w:rFonts w:hint="eastAsia" w:ascii="宋体" w:hAnsi="宋体" w:cs="宋体"/>
          <w:bCs/>
          <w:color w:val="auto"/>
          <w:sz w:val="22"/>
          <w:szCs w:val="22"/>
          <w:highlight w:val="none"/>
        </w:rPr>
        <w:t>招标人和招标代理机构组建评标委员会。评标委员会的成员在评标过程中必须严格遵守《政府采购法》等有关法律、法规的规定。</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2、评标过程的保密性</w:t>
      </w:r>
    </w:p>
    <w:p>
      <w:pPr>
        <w:spacing w:line="460" w:lineRule="exact"/>
        <w:ind w:firstLine="539" w:firstLineChars="245"/>
        <w:rPr>
          <w:rFonts w:ascii="宋体" w:hAnsi="宋体" w:cs="宋体"/>
          <w:color w:val="auto"/>
          <w:sz w:val="22"/>
          <w:szCs w:val="22"/>
          <w:highlight w:val="none"/>
        </w:rPr>
      </w:pPr>
      <w:r>
        <w:rPr>
          <w:rFonts w:hint="eastAsia" w:ascii="宋体" w:hAnsi="宋体" w:cs="宋体"/>
          <w:bCs/>
          <w:color w:val="auto"/>
          <w:sz w:val="22"/>
          <w:szCs w:val="22"/>
          <w:highlight w:val="none"/>
        </w:rPr>
        <w:t>开标后直至向中标人授予合同时止，凡与评审有关的资料均不得向投标人及与评标无关人员透露。如果投标人在评标过程中试图向招标人和招标代理机构施加影响，其投标将被拒绝。</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3、开标形式</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 xml:space="preserve"> 采购组织机构将按照招标文件规定的时间通过“政府采购云平台”组织开标、开启投标文件，所有供应商均应当准时(在线)参加。</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4、开标准备</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4.1开标的准备工作由采购组织机构负责落实；</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4.2</w:t>
      </w:r>
      <w:r>
        <w:rPr>
          <w:rFonts w:hint="eastAsia" w:ascii="宋体" w:hAnsi="宋体" w:cs="宋体"/>
          <w:b/>
          <w:color w:val="auto"/>
          <w:sz w:val="22"/>
          <w:szCs w:val="22"/>
          <w:highlight w:val="none"/>
        </w:rPr>
        <w:t>采购组织机构将按照招标文件规定的时间通过“政府采购云平台”组织开标、开启投标文件，所有供应商均应当准时(在线)参加。</w:t>
      </w:r>
      <w:r>
        <w:rPr>
          <w:rFonts w:hint="eastAsia" w:ascii="宋体" w:hAnsi="宋体" w:cs="宋体"/>
          <w:b/>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5、开标流程</w:t>
      </w:r>
    </w:p>
    <w:p>
      <w:pPr>
        <w:spacing w:line="460" w:lineRule="exact"/>
        <w:ind w:firstLine="541" w:firstLineChars="245"/>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5.1开标、评标</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kern w:val="0"/>
          <w:sz w:val="22"/>
          <w:szCs w:val="22"/>
          <w:highlight w:val="none"/>
        </w:rPr>
        <w:t>（1）向各投标人发出电子加密投标文件【开始解密】通知，由供应商按招标文件规定的时间内自行进行投标文件解密。投标人在规定的时间内无法完成已递交的“电子加密投标文件”解密的，如已按规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pPr>
        <w:spacing w:line="460" w:lineRule="exact"/>
        <w:ind w:firstLine="539" w:firstLineChars="245"/>
        <w:rPr>
          <w:rFonts w:ascii="宋体" w:hAnsi="宋体" w:cs="宋体"/>
          <w:color w:val="auto"/>
          <w:highlight w:val="none"/>
        </w:rPr>
      </w:pPr>
      <w:r>
        <w:rPr>
          <w:rFonts w:hint="eastAsia" w:ascii="宋体" w:hAnsi="宋体" w:cs="宋体"/>
          <w:bCs/>
          <w:color w:val="auto"/>
          <w:sz w:val="22"/>
          <w:szCs w:val="22"/>
          <w:highlight w:val="none"/>
        </w:rPr>
        <w:t>投标人不足3家的，不得开标。</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（2）解密成功后，开启投标人的《报价文件》，由供应商对自己报价文件相关内容进行签字确认，（不予确认的应说明理由，否则视为无异议）。</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（3）开启《投标文件》，进入资格审查；</w:t>
      </w:r>
      <w:r>
        <w:rPr>
          <w:rFonts w:hint="eastAsia" w:ascii="宋体" w:hAnsi="宋体" w:cs="宋体"/>
          <w:bCs/>
          <w:color w:val="auto"/>
          <w:sz w:val="22"/>
          <w:szCs w:val="22"/>
          <w:highlight w:val="none"/>
        </w:rPr>
        <w:t>合格投标人不足3家的，不得评标。</w:t>
      </w:r>
    </w:p>
    <w:p>
      <w:pPr>
        <w:spacing w:line="460" w:lineRule="exact"/>
        <w:ind w:firstLine="541" w:firstLineChars="245"/>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备注：开标大会的结束后，招标人或采购代理机构将对依法对投标人的资格进行审查，资格审查结束后进入符合性审查和商务技术的评审工作，具体见本章节“投标人资格审查”相关规定。</w:t>
      </w:r>
    </w:p>
    <w:p>
      <w:pPr>
        <w:spacing w:line="460" w:lineRule="exact"/>
        <w:ind w:firstLine="539" w:firstLineChars="245"/>
        <w:rPr>
          <w:rFonts w:ascii="宋体" w:hAnsi="宋体" w:cs="宋体"/>
          <w:bCs/>
          <w:color w:val="auto"/>
          <w:sz w:val="22"/>
          <w:szCs w:val="22"/>
          <w:highlight w:val="none"/>
        </w:rPr>
      </w:pPr>
      <w:r>
        <w:rPr>
          <w:rFonts w:hint="eastAsia" w:ascii="宋体" w:hAnsi="宋体" w:cs="宋体"/>
          <w:color w:val="auto"/>
          <w:kern w:val="0"/>
          <w:sz w:val="22"/>
          <w:szCs w:val="22"/>
          <w:highlight w:val="none"/>
        </w:rPr>
        <w:t>（4）开启资格审查通过的投标人的商务技术文件进入符合性审查，</w:t>
      </w:r>
      <w:r>
        <w:rPr>
          <w:rFonts w:hint="eastAsia" w:ascii="宋体" w:hAnsi="宋体" w:cs="宋体"/>
          <w:bCs/>
          <w:color w:val="auto"/>
          <w:sz w:val="22"/>
          <w:szCs w:val="22"/>
          <w:highlight w:val="none"/>
        </w:rPr>
        <w:t>以确定其是否满足招标文件的实质性要求，合格投标人不足3家的，不得评标。</w:t>
      </w:r>
    </w:p>
    <w:p>
      <w:pPr>
        <w:spacing w:line="460" w:lineRule="exact"/>
        <w:ind w:firstLine="541" w:firstLineChars="245"/>
        <w:rPr>
          <w:rFonts w:ascii="宋体" w:hAnsi="宋体" w:cs="宋体"/>
          <w:bCs/>
          <w:color w:val="auto"/>
          <w:sz w:val="22"/>
          <w:szCs w:val="22"/>
          <w:highlight w:val="none"/>
        </w:rPr>
      </w:pPr>
      <w:r>
        <w:rPr>
          <w:rFonts w:hint="eastAsia" w:ascii="宋体" w:hAnsi="宋体" w:cs="宋体"/>
          <w:b/>
          <w:color w:val="auto"/>
          <w:sz w:val="22"/>
          <w:szCs w:val="22"/>
          <w:highlight w:val="none"/>
        </w:rPr>
        <w:t>没有满足招标文件的实质性要求的投标作无效标处理。</w:t>
      </w:r>
      <w:r>
        <w:rPr>
          <w:rFonts w:hint="eastAsia" w:ascii="宋体" w:hAnsi="宋体" w:cs="宋体"/>
          <w:bCs/>
          <w:color w:val="auto"/>
          <w:sz w:val="22"/>
          <w:szCs w:val="22"/>
          <w:highlight w:val="none"/>
        </w:rPr>
        <w:t>评标委员会决定投标的实质性要求只根据投标文件本身的内容，而不寻求外部的证据。投标人不得通过修正或撤消不合要求的偏离或保留从而使其投标成为实质上响应的投标。</w:t>
      </w:r>
    </w:p>
    <w:p>
      <w:pPr>
        <w:spacing w:line="460" w:lineRule="exact"/>
        <w:ind w:firstLine="539" w:firstLineChars="245"/>
        <w:rPr>
          <w:rFonts w:ascii="宋体" w:hAnsi="宋体" w:cs="宋体"/>
          <w:color w:val="auto"/>
          <w:highlight w:val="none"/>
        </w:rPr>
      </w:pPr>
      <w:r>
        <w:rPr>
          <w:rFonts w:hint="eastAsia" w:ascii="宋体" w:hAnsi="宋体" w:cs="宋体"/>
          <w:bCs/>
          <w:color w:val="auto"/>
          <w:sz w:val="22"/>
          <w:szCs w:val="22"/>
          <w:highlight w:val="none"/>
        </w:rPr>
        <w:t>（5）对通过资格审查、符合性审查的合格供应商进行商务技术部分的评审。</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（6）评标委员会对报价的合理性、准确性等进行审查核实。</w:t>
      </w:r>
    </w:p>
    <w:p>
      <w:pPr>
        <w:spacing w:line="460" w:lineRule="exact"/>
        <w:ind w:firstLine="539" w:firstLineChars="245"/>
        <w:rPr>
          <w:rFonts w:ascii="宋体" w:hAnsi="宋体" w:cs="宋体"/>
          <w:color w:val="auto"/>
          <w:kern w:val="0"/>
          <w:sz w:val="22"/>
          <w:szCs w:val="22"/>
          <w:highlight w:val="none"/>
        </w:rPr>
      </w:pPr>
      <w:r>
        <w:rPr>
          <w:rFonts w:hint="eastAsia" w:ascii="宋体" w:hAnsi="宋体" w:cs="宋体"/>
          <w:color w:val="auto"/>
          <w:kern w:val="0"/>
          <w:sz w:val="22"/>
          <w:szCs w:val="22"/>
          <w:highlight w:val="none"/>
        </w:rPr>
        <w:t>（7）评审结束后，公布中标（成交）候选供应商名单及招标人最终确定中标或成交供应商名单的时间和公告方式等，未在场的投标人通过发送邮件形式通知。</w:t>
      </w:r>
    </w:p>
    <w:p>
      <w:pPr>
        <w:spacing w:line="460" w:lineRule="exact"/>
        <w:ind w:firstLine="541" w:firstLineChars="245"/>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特别说明：如遇“政府采购云平台”电子化开标或评审程序调整的，按调整后程序执行。</w:t>
      </w:r>
    </w:p>
    <w:p>
      <w:pPr>
        <w:spacing w:line="460" w:lineRule="exact"/>
        <w:ind w:firstLine="539" w:firstLineChars="245"/>
        <w:rPr>
          <w:rFonts w:ascii="宋体" w:hAnsi="宋体" w:cs="宋体"/>
          <w:color w:val="auto"/>
          <w:sz w:val="22"/>
          <w:szCs w:val="22"/>
          <w:highlight w:val="none"/>
        </w:rPr>
      </w:pPr>
      <w:bookmarkStart w:id="20" w:name="_Toc24550037"/>
      <w:bookmarkStart w:id="21" w:name="_Toc33194393"/>
      <w:r>
        <w:rPr>
          <w:rFonts w:hint="eastAsia" w:ascii="宋体" w:hAnsi="宋体" w:cs="宋体"/>
          <w:color w:val="auto"/>
          <w:sz w:val="22"/>
          <w:szCs w:val="22"/>
          <w:highlight w:val="none"/>
        </w:rPr>
        <w:t>6、投标人资格审查</w:t>
      </w:r>
      <w:bookmarkEnd w:id="20"/>
      <w:bookmarkEnd w:id="21"/>
    </w:p>
    <w:p>
      <w:pPr>
        <w:spacing w:line="460" w:lineRule="exact"/>
        <w:ind w:firstLine="541" w:firstLineChars="245"/>
        <w:rPr>
          <w:rFonts w:ascii="宋体" w:hAnsi="宋体" w:cs="宋体"/>
          <w:color w:val="auto"/>
          <w:sz w:val="22"/>
          <w:szCs w:val="22"/>
          <w:highlight w:val="none"/>
        </w:rPr>
      </w:pPr>
      <w:r>
        <w:rPr>
          <w:rFonts w:hint="eastAsia" w:ascii="宋体" w:hAnsi="宋体" w:cs="宋体"/>
          <w:b/>
          <w:color w:val="auto"/>
          <w:sz w:val="22"/>
          <w:szCs w:val="22"/>
          <w:highlight w:val="none"/>
        </w:rPr>
        <w:t>6.1开标大会结束后，招标人或采购代理机构首先依法对各投标人的资格进行审查，审查各投标人的资格是否满足招标文件的要求。</w:t>
      </w:r>
      <w:r>
        <w:rPr>
          <w:rFonts w:hint="eastAsia" w:ascii="宋体" w:hAnsi="宋体" w:cs="宋体"/>
          <w:color w:val="auto"/>
          <w:sz w:val="22"/>
          <w:szCs w:val="22"/>
          <w:highlight w:val="none"/>
        </w:rPr>
        <w:t>招标人或采购代理机构对投标人所提交的资格证明材料仅负审核的责任。如发现投标人所提交的资格证明材料不合法或与事实不符，招标人可取消其中标资格并追究投标人的法律责任。</w:t>
      </w:r>
    </w:p>
    <w:p>
      <w:pPr>
        <w:spacing w:line="460" w:lineRule="exact"/>
        <w:ind w:firstLine="541" w:firstLineChars="245"/>
        <w:rPr>
          <w:rFonts w:ascii="宋体" w:hAnsi="宋体" w:cs="宋体"/>
          <w:b/>
          <w:color w:val="auto"/>
          <w:kern w:val="0"/>
          <w:sz w:val="22"/>
          <w:szCs w:val="22"/>
          <w:highlight w:val="none"/>
        </w:rPr>
      </w:pPr>
      <w:r>
        <w:rPr>
          <w:rFonts w:hint="eastAsia" w:ascii="宋体" w:hAnsi="宋体" w:cs="宋体"/>
          <w:b/>
          <w:color w:val="auto"/>
          <w:sz w:val="22"/>
          <w:szCs w:val="22"/>
          <w:highlight w:val="none"/>
        </w:rPr>
        <w:t>6.2投标人提交的资格证明材料无法证明其符合招标文件规定的“投标人资格要求”的，招标人或采购代理机构</w:t>
      </w:r>
      <w:r>
        <w:rPr>
          <w:rFonts w:hint="eastAsia" w:ascii="宋体" w:hAnsi="宋体" w:cs="宋体"/>
          <w:b/>
          <w:color w:val="auto"/>
          <w:kern w:val="0"/>
          <w:sz w:val="22"/>
          <w:szCs w:val="22"/>
          <w:highlight w:val="none"/>
        </w:rPr>
        <w:t>将对其作资格审查不通过处理（无效投标），并不再将其投标提交评标委员会进行后续评审。</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color w:val="auto"/>
          <w:sz w:val="22"/>
          <w:szCs w:val="22"/>
          <w:highlight w:val="none"/>
        </w:rPr>
        <w:t>6</w:t>
      </w:r>
      <w:r>
        <w:rPr>
          <w:rFonts w:hint="eastAsia" w:ascii="宋体" w:hAnsi="宋体" w:cs="宋体"/>
          <w:b/>
          <w:color w:val="auto"/>
          <w:kern w:val="0"/>
          <w:sz w:val="22"/>
          <w:szCs w:val="22"/>
          <w:highlight w:val="none"/>
        </w:rPr>
        <w:t>.3单位负责人为同一人或者存在直接控股、管理关系的不同供应商参加同一合同项下的政府采购活动的，相关投标人均作资格无效处理。</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7、评标委员按照招标文件中规定的评标方法和标准，对投标文件进行商务和技术评估，综合比较与评价。</w:t>
      </w:r>
    </w:p>
    <w:p>
      <w:pPr>
        <w:spacing w:line="460" w:lineRule="exact"/>
        <w:ind w:firstLine="541" w:firstLineChars="245"/>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8、投标人存在下列情况之一的，投标无效：</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（1）投标文件未按招标文件要求签署、盖章的；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 xml:space="preserve">（2）不具备招标文件中规定的资格要求的； </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（3）明显不符合招标文件中主要技术规格、技术标准的；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（4）投标文件内容不全或关键字迹模糊无法辨认的；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（5）报价超过招标文件中规定的预算金额的；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（6）投标人代表没有法定代表人合法、有效委托的；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（7）投标文件存在一个或一个以上备选（替代）投标方案的；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（8）仅提交“备份投标文件”的；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（9）投标文件含有招标人不能接受的附加条件的；</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（10）法律、法规和招标文件规定的其他无效情形。</w:t>
      </w:r>
    </w:p>
    <w:p>
      <w:pPr>
        <w:spacing w:line="460" w:lineRule="exact"/>
        <w:ind w:firstLine="541" w:firstLineChars="245"/>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9、有下列情形之一的，视为投标人串通投标，其投标无效</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（1）不同投标人的投标文件由同一单位或者个人编制；</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（2）不同投标人委托同一单位或者个人办理投标事宜；</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（3）不同投标人的投标文件载明的项目管理成员或者联系人员为同一人；</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（4）不同投标人的投标文件异常一致或者投标报价呈规律性差异；</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（5）不同投标人的投标文件相互混装。</w:t>
      </w:r>
    </w:p>
    <w:p>
      <w:pPr>
        <w:spacing w:line="460" w:lineRule="exact"/>
        <w:ind w:firstLine="541" w:firstLineChars="245"/>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10、投标文件报价出现前后不一致的，按照下列规定修正：</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（1）系统上传的投标文件中开标一览表（报价表）（加盖公章）内容与投标文件中相应内容不一致的，以系统上传的投标文件中开标一览表（报价表）（加盖公章）为准；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（2）大写金额和小写金额不一致的，以大写金额为准；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（3）单价金额小数点或者百分比有明显错位的，以开标一览表的总价为准，并修改单价；</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（4）总价金额与按单价汇总金额不一致的，以单价金额计算结果为准。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同时出现两种以上不一致的，按照前款规定的顺序修正。修正后的报价按照本小节第12条第12.2款的规定经投标人确认后产生约束力，投标人不确认的，其投标无效。</w:t>
      </w:r>
    </w:p>
    <w:p>
      <w:pPr>
        <w:spacing w:line="460" w:lineRule="exact"/>
        <w:ind w:firstLine="759" w:firstLineChars="345"/>
        <w:rPr>
          <w:rFonts w:ascii="宋体" w:hAnsi="宋体" w:cs="宋体"/>
          <w:bCs/>
          <w:color w:val="auto"/>
          <w:sz w:val="22"/>
          <w:szCs w:val="22"/>
          <w:highlight w:val="none"/>
        </w:rPr>
      </w:pPr>
      <w:r>
        <w:rPr>
          <w:rFonts w:hint="eastAsia" w:ascii="宋体" w:hAnsi="宋体" w:cs="宋体"/>
          <w:bCs/>
          <w:color w:val="auto"/>
          <w:sz w:val="22"/>
          <w:szCs w:val="22"/>
          <w:highlight w:val="none"/>
        </w:rPr>
        <w:t>11、标委员会成员对需要共同认定的事项存在争议的，应当按照少数服从多数的原则作出结论。持不同意见的评标委员会成员应当在评标报告上签署不同意见及理由，否则视为同意评标报告。</w:t>
      </w:r>
    </w:p>
    <w:p>
      <w:pPr>
        <w:spacing w:line="460" w:lineRule="exact"/>
        <w:ind w:firstLine="759" w:firstLineChars="345"/>
        <w:rPr>
          <w:rFonts w:ascii="宋体" w:hAnsi="宋体" w:cs="宋体"/>
          <w:bCs/>
          <w:color w:val="auto"/>
          <w:sz w:val="22"/>
          <w:szCs w:val="22"/>
          <w:highlight w:val="none"/>
        </w:rPr>
      </w:pPr>
      <w:r>
        <w:rPr>
          <w:rFonts w:hint="eastAsia" w:ascii="宋体" w:hAnsi="宋体" w:cs="宋体"/>
          <w:bCs/>
          <w:color w:val="auto"/>
          <w:sz w:val="22"/>
          <w:szCs w:val="22"/>
          <w:highlight w:val="none"/>
        </w:rPr>
        <w:t>12、投标文件的澄清</w:t>
      </w:r>
    </w:p>
    <w:p>
      <w:pPr>
        <w:spacing w:line="460" w:lineRule="exact"/>
        <w:ind w:firstLine="759" w:firstLineChars="345"/>
        <w:rPr>
          <w:rFonts w:ascii="宋体" w:hAnsi="宋体" w:cs="宋体"/>
          <w:bCs/>
          <w:color w:val="auto"/>
          <w:sz w:val="22"/>
          <w:szCs w:val="22"/>
          <w:highlight w:val="none"/>
        </w:rPr>
      </w:pPr>
      <w:r>
        <w:rPr>
          <w:rFonts w:hint="eastAsia" w:ascii="宋体" w:hAnsi="宋体" w:cs="宋体"/>
          <w:bCs/>
          <w:color w:val="auto"/>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pPr>
        <w:spacing w:line="460" w:lineRule="exact"/>
        <w:ind w:firstLine="759" w:firstLineChars="345"/>
        <w:rPr>
          <w:rFonts w:ascii="宋体" w:hAnsi="宋体" w:cs="宋体"/>
          <w:bCs/>
          <w:color w:val="auto"/>
          <w:sz w:val="22"/>
          <w:szCs w:val="22"/>
          <w:highlight w:val="none"/>
        </w:rPr>
      </w:pPr>
      <w:r>
        <w:rPr>
          <w:rFonts w:hint="eastAsia" w:ascii="宋体" w:hAnsi="宋体" w:cs="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pPr>
        <w:spacing w:line="460" w:lineRule="exact"/>
        <w:ind w:firstLine="759" w:firstLineChars="345"/>
        <w:rPr>
          <w:rFonts w:ascii="宋体" w:hAnsi="宋体" w:cs="宋体"/>
          <w:b/>
          <w:color w:val="auto"/>
          <w:sz w:val="22"/>
          <w:szCs w:val="22"/>
          <w:highlight w:val="none"/>
        </w:rPr>
      </w:pPr>
      <w:r>
        <w:rPr>
          <w:rFonts w:hint="eastAsia" w:ascii="宋体" w:hAnsi="宋体" w:cs="宋体"/>
          <w:color w:val="auto"/>
          <w:sz w:val="22"/>
          <w:szCs w:val="22"/>
          <w:highlight w:val="none"/>
        </w:rPr>
        <w:t>拒不按要求对其投标文件进行澄清，说明或补正的投标人，评标委员会可以否决其投标。</w:t>
      </w:r>
    </w:p>
    <w:p>
      <w:pPr>
        <w:spacing w:line="460" w:lineRule="exact"/>
        <w:ind w:firstLine="759" w:firstLineChars="345"/>
        <w:rPr>
          <w:rFonts w:ascii="宋体" w:hAnsi="宋体" w:cs="宋体"/>
          <w:b/>
          <w:color w:val="auto"/>
          <w:sz w:val="22"/>
          <w:szCs w:val="22"/>
          <w:highlight w:val="none"/>
        </w:rPr>
      </w:pPr>
      <w:r>
        <w:rPr>
          <w:rFonts w:hint="eastAsia" w:ascii="宋体" w:hAnsi="宋体" w:cs="宋体"/>
          <w:color w:val="auto"/>
          <w:sz w:val="22"/>
          <w:szCs w:val="22"/>
          <w:highlight w:val="none"/>
        </w:rPr>
        <w:t>12.2</w:t>
      </w:r>
      <w:r>
        <w:rPr>
          <w:rFonts w:hint="eastAsia" w:ascii="宋体" w:hAnsi="宋体" w:cs="宋体"/>
          <w:b/>
          <w:color w:val="auto"/>
          <w:sz w:val="22"/>
          <w:szCs w:val="22"/>
          <w:highlight w:val="none"/>
        </w:rPr>
        <w:t>经澄清后，若偏差仍存在，且不可接受，投标人则被认为是“没有实质性响应招标文件要求”，其投标将被拒绝。</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13、评审结果的修改</w:t>
      </w:r>
    </w:p>
    <w:p>
      <w:pPr>
        <w:spacing w:line="460" w:lineRule="exact"/>
        <w:ind w:firstLine="762" w:firstLineChars="345"/>
        <w:rPr>
          <w:rFonts w:ascii="宋体" w:hAnsi="宋体" w:cs="宋体"/>
          <w:b/>
          <w:color w:val="auto"/>
          <w:sz w:val="22"/>
          <w:szCs w:val="22"/>
          <w:highlight w:val="none"/>
        </w:rPr>
      </w:pPr>
      <w:r>
        <w:rPr>
          <w:rFonts w:hint="eastAsia" w:ascii="宋体" w:hAnsi="宋体" w:cs="宋体"/>
          <w:b/>
          <w:color w:val="auto"/>
          <w:sz w:val="22"/>
          <w:szCs w:val="22"/>
          <w:highlight w:val="none"/>
        </w:rPr>
        <w:t>13.1评标结果汇总完成后，除下列情形外，任何人不得修改评标结果：</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（1）分值汇总计算错误的；</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（2）分项评分超出评分标准范围的；</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（3）评标委员会成员对客观评审因素评分不一致的；</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（4）经评标委员会认定评分畸高、畸低的。</w:t>
      </w:r>
    </w:p>
    <w:p>
      <w:pPr>
        <w:spacing w:line="460" w:lineRule="exact"/>
        <w:ind w:firstLine="759" w:firstLineChars="345"/>
        <w:rPr>
          <w:rFonts w:ascii="宋体" w:hAnsi="宋体" w:cs="宋体"/>
          <w:color w:val="auto"/>
          <w:highlight w:val="none"/>
        </w:rPr>
      </w:pPr>
      <w:r>
        <w:rPr>
          <w:rFonts w:hint="eastAsia" w:ascii="宋体" w:hAnsi="宋体" w:cs="宋体"/>
          <w:bCs/>
          <w:color w:val="auto"/>
          <w:sz w:val="22"/>
          <w:szCs w:val="22"/>
          <w:highlight w:val="none"/>
        </w:rPr>
        <w:t>13.2书面评标报告签署前，经复核发现存在以上情形之一的，评标委员会将当场修改评标结果，并在</w:t>
      </w:r>
      <w:r>
        <w:rPr>
          <w:rFonts w:hint="eastAsia" w:ascii="宋体" w:hAnsi="宋体" w:cs="宋体"/>
          <w:b/>
          <w:color w:val="auto"/>
          <w:sz w:val="22"/>
          <w:szCs w:val="22"/>
          <w:highlight w:val="none"/>
        </w:rPr>
        <w:t>评标报告中记载。</w:t>
      </w:r>
    </w:p>
    <w:p>
      <w:pPr>
        <w:spacing w:line="460" w:lineRule="exact"/>
        <w:ind w:firstLine="759" w:firstLineChars="345"/>
        <w:rPr>
          <w:rFonts w:ascii="宋体" w:hAnsi="宋体" w:cs="宋体"/>
          <w:b/>
          <w:color w:val="auto"/>
          <w:sz w:val="22"/>
          <w:szCs w:val="22"/>
          <w:highlight w:val="none"/>
        </w:rPr>
      </w:pPr>
      <w:r>
        <w:rPr>
          <w:rFonts w:hint="eastAsia" w:ascii="宋体" w:hAnsi="宋体" w:cs="宋体"/>
          <w:color w:val="auto"/>
          <w:sz w:val="22"/>
          <w:szCs w:val="22"/>
          <w:highlight w:val="none"/>
        </w:rPr>
        <w:t>14</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确定中标候选人</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14.1由评标委员会确定中标候选人。</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14.2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762" w:firstLineChars="345"/>
        <w:rPr>
          <w:rFonts w:ascii="宋体" w:hAnsi="宋体" w:cs="宋体"/>
          <w:bCs/>
          <w:color w:val="auto"/>
          <w:sz w:val="22"/>
          <w:szCs w:val="22"/>
          <w:highlight w:val="none"/>
        </w:rPr>
      </w:pPr>
      <w:r>
        <w:rPr>
          <w:rFonts w:hint="eastAsia" w:ascii="宋体" w:hAnsi="宋体" w:cs="宋体"/>
          <w:b/>
          <w:bCs/>
          <w:color w:val="auto"/>
          <w:sz w:val="22"/>
          <w:szCs w:val="22"/>
          <w:highlight w:val="none"/>
        </w:rPr>
        <w:t>15、确定中标人</w:t>
      </w:r>
    </w:p>
    <w:p>
      <w:pPr>
        <w:spacing w:line="460" w:lineRule="exact"/>
        <w:ind w:firstLine="762" w:firstLineChars="345"/>
        <w:rPr>
          <w:rFonts w:ascii="宋体" w:hAnsi="宋体" w:cs="宋体"/>
          <w:b/>
          <w:bCs/>
          <w:color w:val="auto"/>
          <w:sz w:val="22"/>
          <w:szCs w:val="22"/>
          <w:highlight w:val="none"/>
        </w:rPr>
      </w:pPr>
      <w:r>
        <w:rPr>
          <w:rFonts w:hint="eastAsia" w:ascii="宋体" w:hAnsi="宋体" w:cs="宋体"/>
          <w:b/>
          <w:color w:val="auto"/>
          <w:sz w:val="22"/>
          <w:szCs w:val="22"/>
          <w:highlight w:val="none"/>
        </w:rPr>
        <w:t>15</w:t>
      </w:r>
      <w:r>
        <w:rPr>
          <w:rFonts w:hint="eastAsia" w:ascii="宋体" w:hAnsi="宋体" w:cs="宋体"/>
          <w:b/>
          <w:bCs/>
          <w:color w:val="auto"/>
          <w:sz w:val="22"/>
          <w:szCs w:val="22"/>
          <w:highlight w:val="none"/>
        </w:rPr>
        <w:t>.1招标人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15.2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16、起草、签署评审报告</w:t>
      </w:r>
    </w:p>
    <w:p>
      <w:pPr>
        <w:spacing w:line="460" w:lineRule="exact"/>
        <w:ind w:firstLine="759" w:firstLineChars="345"/>
        <w:rPr>
          <w:rFonts w:ascii="宋体" w:hAnsi="宋体" w:cs="宋体"/>
          <w:b/>
          <w:bCs/>
          <w:color w:val="auto"/>
          <w:sz w:val="22"/>
          <w:szCs w:val="22"/>
          <w:highlight w:val="none"/>
        </w:rPr>
      </w:pPr>
      <w:r>
        <w:rPr>
          <w:rFonts w:hint="eastAsia" w:ascii="宋体" w:hAnsi="宋体" w:cs="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spacing w:line="460" w:lineRule="exact"/>
        <w:ind w:firstLine="759" w:firstLineChars="345"/>
        <w:rPr>
          <w:rFonts w:ascii="宋体" w:hAnsi="宋体" w:cs="宋体"/>
          <w:color w:val="auto"/>
          <w:sz w:val="22"/>
          <w:szCs w:val="22"/>
          <w:highlight w:val="none"/>
        </w:rPr>
      </w:pPr>
      <w:r>
        <w:rPr>
          <w:rFonts w:hint="eastAsia" w:ascii="宋体" w:hAnsi="宋体" w:cs="宋体"/>
          <w:color w:val="auto"/>
          <w:sz w:val="22"/>
          <w:szCs w:val="22"/>
          <w:highlight w:val="none"/>
        </w:rPr>
        <w:t>17</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中标人确定后，招标人将在政府指定媒体公告中标结果，招标人向中标人发出中标通知书。</w:t>
      </w:r>
    </w:p>
    <w:p>
      <w:pPr>
        <w:spacing w:line="460" w:lineRule="exact"/>
        <w:ind w:firstLine="759" w:firstLineChars="345"/>
        <w:rPr>
          <w:rFonts w:ascii="宋体" w:hAnsi="宋体" w:cs="宋体"/>
          <w:b/>
          <w:color w:val="auto"/>
          <w:sz w:val="22"/>
          <w:szCs w:val="22"/>
          <w:highlight w:val="none"/>
        </w:rPr>
      </w:pPr>
      <w:r>
        <w:rPr>
          <w:rFonts w:hint="eastAsia" w:ascii="宋体" w:hAnsi="宋体" w:cs="宋体"/>
          <w:color w:val="auto"/>
          <w:sz w:val="22"/>
          <w:szCs w:val="22"/>
          <w:highlight w:val="none"/>
        </w:rPr>
        <w:t>18、</w:t>
      </w:r>
      <w:r>
        <w:rPr>
          <w:rFonts w:hint="eastAsia" w:ascii="宋体" w:hAnsi="宋体" w:cs="宋体"/>
          <w:b/>
          <w:color w:val="auto"/>
          <w:sz w:val="22"/>
          <w:szCs w:val="22"/>
          <w:highlight w:val="none"/>
        </w:rPr>
        <w:t>招标人对决标结果不做任何解释，也不保证最低价中标。</w:t>
      </w:r>
    </w:p>
    <w:p>
      <w:pPr>
        <w:spacing w:line="460" w:lineRule="exact"/>
        <w:ind w:firstLine="762" w:firstLineChars="345"/>
        <w:rPr>
          <w:rFonts w:ascii="宋体" w:hAnsi="宋体" w:cs="宋体"/>
          <w:b/>
          <w:color w:val="auto"/>
          <w:sz w:val="22"/>
          <w:szCs w:val="22"/>
          <w:highlight w:val="none"/>
        </w:rPr>
      </w:pPr>
      <w:r>
        <w:rPr>
          <w:rFonts w:hint="eastAsia" w:ascii="宋体" w:hAnsi="宋体" w:cs="宋体"/>
          <w:b/>
          <w:color w:val="auto"/>
          <w:sz w:val="22"/>
          <w:szCs w:val="22"/>
          <w:highlight w:val="none"/>
        </w:rPr>
        <w:t>19、评标细则详见“评标原则及方法”。</w:t>
      </w:r>
    </w:p>
    <w:p>
      <w:pPr>
        <w:spacing w:before="100" w:beforeAutospacing="1" w:after="100" w:afterAutospacing="1" w:line="440" w:lineRule="exact"/>
        <w:jc w:val="center"/>
        <w:outlineLvl w:val="1"/>
        <w:rPr>
          <w:rFonts w:ascii="宋体" w:hAnsi="宋体" w:cs="宋体"/>
          <w:b/>
          <w:bCs/>
          <w:color w:val="auto"/>
          <w:sz w:val="26"/>
          <w:szCs w:val="26"/>
          <w:highlight w:val="none"/>
        </w:rPr>
      </w:pPr>
      <w:bookmarkStart w:id="22" w:name="_Toc26836"/>
      <w:bookmarkStart w:id="23" w:name="_Toc21056"/>
      <w:r>
        <w:rPr>
          <w:rFonts w:hint="eastAsia" w:ascii="宋体" w:hAnsi="宋体" w:cs="宋体"/>
          <w:b/>
          <w:bCs/>
          <w:color w:val="auto"/>
          <w:sz w:val="26"/>
          <w:szCs w:val="26"/>
          <w:highlight w:val="none"/>
        </w:rPr>
        <w:t>六、 授予合同</w:t>
      </w:r>
      <w:bookmarkEnd w:id="22"/>
      <w:bookmarkEnd w:id="23"/>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highlight w:val="none"/>
        </w:rPr>
        <w:t>1、中标通知书</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bCs/>
          <w:color w:val="auto"/>
          <w:sz w:val="22"/>
          <w:szCs w:val="22"/>
          <w:highlight w:val="none"/>
        </w:rPr>
        <w:t>1.1</w:t>
      </w:r>
      <w:r>
        <w:rPr>
          <w:rFonts w:hint="eastAsia" w:ascii="宋体" w:hAnsi="宋体" w:cs="宋体"/>
          <w:color w:val="auto"/>
          <w:sz w:val="22"/>
          <w:szCs w:val="22"/>
          <w:highlight w:val="none"/>
        </w:rPr>
        <w:t xml:space="preserve">中标人确定后，招标人将向中标人发出中标通知书。 </w:t>
      </w:r>
    </w:p>
    <w:p>
      <w:pPr>
        <w:spacing w:line="460" w:lineRule="exact"/>
        <w:ind w:firstLine="541" w:firstLineChars="245"/>
        <w:rPr>
          <w:rFonts w:ascii="宋体" w:hAnsi="宋体" w:cs="宋体"/>
          <w:color w:val="auto"/>
          <w:sz w:val="22"/>
          <w:szCs w:val="22"/>
          <w:highlight w:val="none"/>
        </w:rPr>
      </w:pPr>
      <w:r>
        <w:rPr>
          <w:rFonts w:hint="eastAsia" w:ascii="宋体" w:hAnsi="宋体" w:cs="宋体"/>
          <w:b/>
          <w:bCs/>
          <w:color w:val="auto"/>
          <w:sz w:val="22"/>
          <w:szCs w:val="22"/>
          <w:highlight w:val="none"/>
        </w:rPr>
        <w:t>1.2</w:t>
      </w:r>
      <w:r>
        <w:rPr>
          <w:rFonts w:hint="eastAsia" w:ascii="宋体" w:hAnsi="宋体" w:cs="宋体"/>
          <w:color w:val="auto"/>
          <w:sz w:val="22"/>
          <w:szCs w:val="22"/>
          <w:highlight w:val="none"/>
        </w:rPr>
        <w:t>中标通知书是合同的一个组成部分,对招标人和中标人均具有同等法律效力。</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2、授标时更改采购货物数量的权力</w:t>
      </w:r>
    </w:p>
    <w:p>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2.1招标人在授予合同时有权对采购货物的数量和服务在一定幅度范围内予以增加或减少,但不得对单价和其他的条款和条件作任何改变。</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3、签订合同</w:t>
      </w:r>
    </w:p>
    <w:p>
      <w:pPr>
        <w:spacing w:line="460" w:lineRule="exact"/>
        <w:ind w:firstLine="539" w:firstLineChars="245"/>
        <w:rPr>
          <w:rFonts w:ascii="宋体" w:hAnsi="宋体" w:cs="宋体"/>
          <w:b/>
          <w:color w:val="auto"/>
          <w:sz w:val="22"/>
          <w:szCs w:val="22"/>
          <w:highlight w:val="none"/>
        </w:rPr>
      </w:pPr>
      <w:r>
        <w:rPr>
          <w:rFonts w:hint="eastAsia" w:ascii="宋体" w:hAnsi="宋体" w:cs="宋体"/>
          <w:bCs/>
          <w:color w:val="auto"/>
          <w:sz w:val="22"/>
          <w:szCs w:val="22"/>
          <w:highlight w:val="none"/>
        </w:rPr>
        <w:t>3.1中标人应按中标通知书规定的时间、地点与招标人签订合同。</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3.2</w:t>
      </w:r>
      <w:r>
        <w:rPr>
          <w:rFonts w:hint="eastAsia" w:ascii="宋体" w:hAnsi="宋体" w:cs="宋体"/>
          <w:b/>
          <w:color w:val="auto"/>
          <w:spacing w:val="6"/>
          <w:sz w:val="22"/>
          <w:szCs w:val="22"/>
          <w:highlight w:val="none"/>
        </w:rPr>
        <w:t>在签订合同前，招标人有权在中标总价不变的前提下要求中标人对商务报价中的不平衡报价和缺漏项进行调整，如果中标人无合理理由拒绝调整，其中投标资格将被取消，保证金将不予退还，且将导致其它进一步的赔偿和处罚。</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3.3招标文件、中标人的投标文件、投标修改文件、评标过程中有关澄清文件及经投标人和评委双方签字的询标纪要和中标通知书均作为合同附件。</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3.4拒签合同的违约责任</w:t>
      </w:r>
    </w:p>
    <w:p>
      <w:pPr>
        <w:spacing w:line="460" w:lineRule="exact"/>
        <w:ind w:firstLine="571" w:firstLineChars="245"/>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中标人接到中标通知书后，在规定时间内借故否认已经承诺的条件而拒签合同的，以违约处理。</w:t>
      </w:r>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highlight w:val="none"/>
        </w:rPr>
        <w:t>4、质疑与投诉</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4.1投标人认为招标文件、采购过程、中标和成交结果使自己的合法权益受到损害的，可以在知道或应知道其权益受到损害之日起七个工作日内以书面形式向招标人或招标代理机构提出质疑。</w:t>
      </w:r>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highlight w:val="none"/>
        </w:rPr>
        <w:t>4.2招标人或招标代理机构在收到投标人的书面质疑后七个工作日内作出答复，但答复的内容不得涉及商业秘密。质疑投标人对招标人或招标代理机构的答复不满意，可以在答复期满后十五个工作日内向同级政府采购监督管理部门投诉。</w:t>
      </w:r>
    </w:p>
    <w:p>
      <w:pPr>
        <w:spacing w:line="460" w:lineRule="exact"/>
        <w:ind w:firstLine="539" w:firstLineChars="245"/>
        <w:rPr>
          <w:rFonts w:ascii="宋体" w:hAnsi="宋体" w:cs="宋体"/>
          <w:color w:val="auto"/>
          <w:sz w:val="22"/>
          <w:highlight w:val="none"/>
        </w:rPr>
      </w:pPr>
      <w:r>
        <w:rPr>
          <w:rFonts w:hint="eastAsia" w:ascii="宋体" w:hAnsi="宋体" w:cs="宋体"/>
          <w:color w:val="auto"/>
          <w:sz w:val="22"/>
          <w:highlight w:val="none"/>
        </w:rPr>
        <w:t>4.3投诉人投诉时，应提交投诉书，投诉书应当由本人并由法定代表人签字盖公章，投诉书应说明具体的投诉事项及事实依据。投诉人对投诉书的真实性负责，恶意投诉将承当相应的法律和民事责任。</w:t>
      </w:r>
    </w:p>
    <w:p>
      <w:pPr>
        <w:rPr>
          <w:rFonts w:ascii="宋体" w:hAnsi="宋体" w:cs="宋体"/>
          <w:color w:val="auto"/>
          <w:highlight w:val="none"/>
        </w:rPr>
      </w:pPr>
      <w:bookmarkStart w:id="24" w:name="_Toc28194"/>
      <w:bookmarkStart w:id="25" w:name="_Toc19043"/>
    </w:p>
    <w:p>
      <w:pPr>
        <w:rPr>
          <w:rFonts w:ascii="宋体" w:hAnsi="宋体" w:cs="宋体"/>
          <w:color w:val="auto"/>
          <w:highlight w:val="none"/>
        </w:rPr>
      </w:pPr>
      <w:r>
        <w:rPr>
          <w:rFonts w:hint="eastAsia" w:ascii="宋体" w:hAnsi="宋体" w:cs="宋体"/>
          <w:color w:val="auto"/>
          <w:highlight w:val="none"/>
        </w:rPr>
        <w:br w:type="page"/>
      </w:r>
    </w:p>
    <w:p>
      <w:pPr>
        <w:pStyle w:val="4"/>
        <w:rPr>
          <w:rFonts w:ascii="宋体" w:hAnsi="宋体" w:eastAsia="宋体" w:cs="宋体"/>
          <w:color w:val="auto"/>
          <w:highlight w:val="none"/>
        </w:rPr>
      </w:pPr>
      <w:r>
        <w:rPr>
          <w:rFonts w:hint="eastAsia" w:ascii="宋体" w:hAnsi="宋体" w:eastAsia="宋体" w:cs="宋体"/>
          <w:color w:val="auto"/>
          <w:highlight w:val="none"/>
        </w:rPr>
        <w:t>第二部分    合同主要条款</w:t>
      </w:r>
      <w:bookmarkEnd w:id="24"/>
      <w:bookmarkEnd w:id="25"/>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注：如甲、乙双方同意，合同格式也可以按照其他形式, 具体条款以甲方为主协商确定。但合同条款的基本内容应与以下要求的内容相一致。</w:t>
      </w:r>
    </w:p>
    <w:p>
      <w:pPr>
        <w:spacing w:line="460" w:lineRule="exact"/>
        <w:ind w:firstLine="539" w:firstLineChars="245"/>
        <w:rPr>
          <w:rFonts w:ascii="宋体" w:hAnsi="宋体" w:cs="宋体"/>
          <w:color w:val="auto"/>
          <w:sz w:val="22"/>
          <w:szCs w:val="22"/>
          <w:highlight w:val="none"/>
        </w:rPr>
      </w:pPr>
    </w:p>
    <w:p>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甲方：</w:t>
      </w:r>
      <w:r>
        <w:rPr>
          <w:rFonts w:hint="eastAsia" w:ascii="宋体" w:hAnsi="宋体" w:cs="宋体"/>
          <w:bCs/>
          <w:color w:val="auto"/>
          <w:sz w:val="22"/>
          <w:szCs w:val="22"/>
          <w:highlight w:val="none"/>
          <w:u w:val="single"/>
        </w:rPr>
        <w:t>温州市城市建设档案馆</w:t>
      </w:r>
      <w:r>
        <w:rPr>
          <w:rFonts w:hint="eastAsia" w:ascii="宋体" w:hAnsi="宋体" w:cs="宋体"/>
          <w:bCs/>
          <w:color w:val="auto"/>
          <w:sz w:val="22"/>
          <w:szCs w:val="22"/>
          <w:highlight w:val="none"/>
        </w:rPr>
        <w:t>（以下简称甲方）</w:t>
      </w:r>
    </w:p>
    <w:p>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乙方：</w:t>
      </w:r>
      <w:r>
        <w:rPr>
          <w:rFonts w:hint="eastAsia" w:ascii="宋体" w:hAnsi="宋体" w:cs="宋体"/>
          <w:bCs/>
          <w:color w:val="auto"/>
          <w:sz w:val="22"/>
          <w:szCs w:val="22"/>
          <w:highlight w:val="none"/>
          <w:u w:val="single"/>
          <w:lang w:val="en-US" w:eastAsia="zh-CN"/>
        </w:rPr>
        <w:t xml:space="preserve">                    </w:t>
      </w:r>
      <w:r>
        <w:rPr>
          <w:rFonts w:hint="eastAsia" w:ascii="宋体" w:hAnsi="宋体" w:cs="宋体"/>
          <w:bCs/>
          <w:color w:val="auto"/>
          <w:sz w:val="22"/>
          <w:szCs w:val="22"/>
          <w:highlight w:val="none"/>
          <w:lang w:val="en-US" w:eastAsia="zh-CN"/>
        </w:rPr>
        <w:t xml:space="preserve"> </w:t>
      </w:r>
      <w:r>
        <w:rPr>
          <w:rFonts w:hint="eastAsia" w:ascii="宋体" w:hAnsi="宋体" w:cs="宋体"/>
          <w:bCs/>
          <w:color w:val="auto"/>
          <w:sz w:val="22"/>
          <w:szCs w:val="22"/>
          <w:highlight w:val="none"/>
        </w:rPr>
        <w:t>（以下简称乙方）</w:t>
      </w:r>
    </w:p>
    <w:p>
      <w:pPr>
        <w:spacing w:line="46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温州市城市建设档案馆的</w:t>
      </w:r>
      <w:r>
        <w:rPr>
          <w:rFonts w:hint="eastAsia" w:ascii="宋体" w:hAnsi="宋体" w:cs="宋体"/>
          <w:bCs/>
          <w:color w:val="auto"/>
          <w:sz w:val="22"/>
          <w:szCs w:val="22"/>
          <w:highlight w:val="none"/>
          <w:u w:val="single"/>
        </w:rPr>
        <w:t>（项目名称、编号）</w:t>
      </w:r>
      <w:r>
        <w:rPr>
          <w:rFonts w:hint="eastAsia" w:ascii="宋体" w:hAnsi="宋体" w:cs="宋体"/>
          <w:bCs/>
          <w:color w:val="auto"/>
          <w:sz w:val="22"/>
          <w:szCs w:val="22"/>
          <w:highlight w:val="none"/>
        </w:rPr>
        <w:t>在国内以公开招标方式进行采购，经评审小组评定</w:t>
      </w:r>
      <w:r>
        <w:rPr>
          <w:rFonts w:hint="eastAsia" w:ascii="宋体" w:hAnsi="宋体" w:cs="宋体"/>
          <w:bCs/>
          <w:color w:val="auto"/>
          <w:sz w:val="22"/>
          <w:szCs w:val="22"/>
          <w:highlight w:val="none"/>
          <w:u w:val="single"/>
        </w:rPr>
        <w:t>（中标供应商名称）</w:t>
      </w:r>
      <w:r>
        <w:rPr>
          <w:rFonts w:hint="eastAsia" w:ascii="宋体" w:hAnsi="宋体" w:cs="宋体"/>
          <w:bCs/>
          <w:color w:val="auto"/>
          <w:sz w:val="22"/>
          <w:szCs w:val="22"/>
          <w:highlight w:val="none"/>
        </w:rPr>
        <w:t>为中标人。甲、乙双方本着诚信及互利互惠的原则，依据</w:t>
      </w:r>
      <w:r>
        <w:rPr>
          <w:rFonts w:eastAsia="新宋体"/>
          <w:bCs/>
          <w:color w:val="auto"/>
          <w:sz w:val="22"/>
          <w:szCs w:val="22"/>
          <w:highlight w:val="none"/>
        </w:rPr>
        <w:t>《中华人民共和国民法典》</w:t>
      </w:r>
      <w:r>
        <w:rPr>
          <w:rFonts w:hint="eastAsia" w:ascii="宋体" w:hAnsi="宋体" w:cs="宋体"/>
          <w:bCs/>
          <w:color w:val="auto"/>
          <w:sz w:val="22"/>
          <w:szCs w:val="22"/>
          <w:highlight w:val="none"/>
        </w:rPr>
        <w:t>按照下面条款和条件，签署本合同。</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第一条  合同名称</w:t>
      </w:r>
    </w:p>
    <w:p>
      <w:pPr>
        <w:spacing w:line="460" w:lineRule="exact"/>
        <w:ind w:firstLine="539" w:firstLineChars="245"/>
        <w:rPr>
          <w:rFonts w:hint="eastAsia" w:ascii="宋体" w:hAnsi="宋体" w:eastAsia="宋体" w:cs="宋体"/>
          <w:color w:val="auto"/>
          <w:sz w:val="22"/>
          <w:highlight w:val="none"/>
          <w:lang w:eastAsia="zh-CN"/>
        </w:rPr>
      </w:pPr>
      <w:r>
        <w:rPr>
          <w:rFonts w:hint="eastAsia" w:ascii="宋体" w:hAnsi="宋体" w:cs="宋体"/>
          <w:color w:val="auto"/>
          <w:sz w:val="22"/>
          <w:highlight w:val="none"/>
          <w:lang w:eastAsia="zh-CN"/>
        </w:rPr>
        <w:t>温州市自然资源和规划局档案库房建设（档案搬运服务）</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第二条 合同文件的组成</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下列文件构成本合同的组成部分：</w:t>
      </w:r>
    </w:p>
    <w:p>
      <w:pPr>
        <w:spacing w:line="460" w:lineRule="exact"/>
        <w:ind w:firstLine="539" w:firstLineChars="245"/>
        <w:rPr>
          <w:rFonts w:hint="eastAsia" w:ascii="新宋体" w:hAnsi="新宋体" w:eastAsia="新宋体" w:cs="新宋体"/>
          <w:color w:val="auto"/>
          <w:sz w:val="22"/>
          <w:highlight w:val="none"/>
          <w:lang w:eastAsia="zh-CN"/>
        </w:rPr>
      </w:pPr>
      <w:r>
        <w:rPr>
          <w:rFonts w:hint="eastAsia" w:ascii="新宋体" w:hAnsi="新宋体" w:eastAsia="新宋体" w:cs="新宋体"/>
          <w:color w:val="auto"/>
          <w:sz w:val="22"/>
          <w:highlight w:val="none"/>
        </w:rPr>
        <w:t>1、合同主要条款</w:t>
      </w:r>
      <w:r>
        <w:rPr>
          <w:rFonts w:hint="eastAsia" w:ascii="新宋体" w:hAnsi="新宋体" w:eastAsia="新宋体" w:cs="新宋体"/>
          <w:color w:val="auto"/>
          <w:sz w:val="22"/>
          <w:highlight w:val="none"/>
          <w:lang w:eastAsia="zh-CN"/>
        </w:rPr>
        <w:t>、保密协议、</w:t>
      </w:r>
      <w:r>
        <w:rPr>
          <w:rFonts w:hint="eastAsia" w:ascii="新宋体" w:hAnsi="新宋体" w:eastAsia="新宋体" w:cs="新宋体"/>
          <w:b w:val="0"/>
          <w:bCs w:val="0"/>
          <w:color w:val="auto"/>
          <w:sz w:val="22"/>
          <w:szCs w:val="24"/>
          <w:highlight w:val="none"/>
        </w:rPr>
        <w:t>员工安全保密协议</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2、中标通知书</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3、</w:t>
      </w:r>
      <w:r>
        <w:rPr>
          <w:rFonts w:hint="eastAsia" w:ascii="新宋体" w:hAnsi="新宋体" w:eastAsia="新宋体"/>
          <w:color w:val="auto"/>
          <w:sz w:val="22"/>
          <w:szCs w:val="22"/>
          <w:highlight w:val="none"/>
        </w:rPr>
        <w:t>招标文件</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4、</w:t>
      </w:r>
      <w:r>
        <w:rPr>
          <w:rFonts w:hint="eastAsia" w:ascii="新宋体" w:hAnsi="新宋体" w:eastAsia="新宋体"/>
          <w:color w:val="auto"/>
          <w:sz w:val="22"/>
          <w:szCs w:val="22"/>
          <w:highlight w:val="none"/>
        </w:rPr>
        <w:t>投标</w:t>
      </w:r>
      <w:r>
        <w:rPr>
          <w:rFonts w:hint="eastAsia" w:ascii="新宋体" w:hAnsi="新宋体" w:eastAsia="新宋体" w:cs="新宋体"/>
          <w:color w:val="auto"/>
          <w:sz w:val="22"/>
          <w:highlight w:val="none"/>
        </w:rPr>
        <w:t xml:space="preserve">文件 </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5、承诺书（含询标时承诺和优惠条件）</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6、合同补充条款或说明（如有的话）</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第三条  服务内容</w:t>
      </w:r>
    </w:p>
    <w:p>
      <w:pPr>
        <w:spacing w:line="460" w:lineRule="exact"/>
        <w:ind w:firstLine="440" w:firstLineChars="200"/>
        <w:rPr>
          <w:color w:val="auto"/>
          <w:sz w:val="22"/>
          <w:szCs w:val="28"/>
          <w:highlight w:val="none"/>
        </w:rPr>
      </w:pPr>
      <w:r>
        <w:rPr>
          <w:rFonts w:hint="eastAsia"/>
          <w:color w:val="auto"/>
          <w:sz w:val="22"/>
          <w:szCs w:val="28"/>
          <w:highlight w:val="none"/>
        </w:rPr>
        <w:t xml:space="preserve">1、对现有库房档案进行细致的清点、标记、编号、核对、登记及卫生清理工作； </w:t>
      </w:r>
    </w:p>
    <w:p>
      <w:pPr>
        <w:spacing w:line="460" w:lineRule="exact"/>
        <w:ind w:firstLine="440" w:firstLineChars="200"/>
        <w:rPr>
          <w:color w:val="auto"/>
          <w:sz w:val="22"/>
          <w:szCs w:val="28"/>
          <w:highlight w:val="none"/>
        </w:rPr>
      </w:pPr>
      <w:r>
        <w:rPr>
          <w:rFonts w:hint="eastAsia"/>
          <w:color w:val="auto"/>
          <w:sz w:val="22"/>
          <w:szCs w:val="28"/>
          <w:highlight w:val="none"/>
        </w:rPr>
        <w:t xml:space="preserve">2、对库房档案进行安全移库，包括下架、装箱、贴封、核对、运输、搬运等； </w:t>
      </w:r>
    </w:p>
    <w:p>
      <w:pPr>
        <w:spacing w:line="460" w:lineRule="exact"/>
        <w:ind w:firstLine="440" w:firstLineChars="200"/>
        <w:rPr>
          <w:color w:val="auto"/>
          <w:sz w:val="22"/>
          <w:szCs w:val="28"/>
          <w:highlight w:val="none"/>
        </w:rPr>
      </w:pPr>
      <w:r>
        <w:rPr>
          <w:rFonts w:hint="eastAsia"/>
          <w:color w:val="auto"/>
          <w:sz w:val="22"/>
          <w:szCs w:val="28"/>
          <w:highlight w:val="none"/>
        </w:rPr>
        <w:t xml:space="preserve">3、对入库档案进行全面消毒； </w:t>
      </w:r>
    </w:p>
    <w:p>
      <w:pPr>
        <w:spacing w:line="460" w:lineRule="exact"/>
        <w:ind w:firstLine="440" w:firstLineChars="200"/>
        <w:rPr>
          <w:color w:val="auto"/>
          <w:sz w:val="22"/>
          <w:szCs w:val="28"/>
          <w:highlight w:val="none"/>
        </w:rPr>
      </w:pPr>
      <w:r>
        <w:rPr>
          <w:rFonts w:hint="eastAsia"/>
          <w:color w:val="auto"/>
          <w:sz w:val="22"/>
          <w:szCs w:val="28"/>
          <w:highlight w:val="none"/>
        </w:rPr>
        <w:t xml:space="preserve">4、对新库房档案排架进行科学规划； </w:t>
      </w:r>
    </w:p>
    <w:p>
      <w:pPr>
        <w:spacing w:line="460" w:lineRule="exact"/>
        <w:ind w:firstLine="440" w:firstLineChars="200"/>
        <w:rPr>
          <w:color w:val="auto"/>
          <w:sz w:val="22"/>
          <w:szCs w:val="28"/>
          <w:highlight w:val="none"/>
        </w:rPr>
      </w:pPr>
      <w:r>
        <w:rPr>
          <w:rFonts w:hint="eastAsia"/>
          <w:color w:val="auto"/>
          <w:sz w:val="22"/>
          <w:szCs w:val="28"/>
          <w:highlight w:val="none"/>
        </w:rPr>
        <w:t xml:space="preserve">5、对新库房所移库的档案进行上架、排列、核对、质检； </w:t>
      </w:r>
    </w:p>
    <w:p>
      <w:pPr>
        <w:spacing w:line="460" w:lineRule="exact"/>
        <w:ind w:firstLine="440" w:firstLineChars="200"/>
        <w:rPr>
          <w:rFonts w:ascii="新宋体" w:hAnsi="新宋体" w:eastAsia="新宋体" w:cs="新宋体"/>
          <w:color w:val="auto"/>
          <w:sz w:val="22"/>
          <w:highlight w:val="none"/>
        </w:rPr>
      </w:pPr>
      <w:r>
        <w:rPr>
          <w:rFonts w:hint="eastAsia"/>
          <w:color w:val="auto"/>
          <w:sz w:val="22"/>
          <w:szCs w:val="28"/>
          <w:highlight w:val="none"/>
        </w:rPr>
        <w:t>6、对新库房内的实体档案进行张贴规定标签。</w:t>
      </w:r>
    </w:p>
    <w:p>
      <w:pPr>
        <w:numPr>
          <w:ilvl w:val="0"/>
          <w:numId w:val="2"/>
        </w:num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合同价及付款方式</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1、合同价：人民币</w:t>
      </w:r>
      <w:r>
        <w:rPr>
          <w:rFonts w:hint="eastAsia" w:ascii="新宋体" w:hAnsi="新宋体" w:eastAsia="新宋体" w:cs="新宋体"/>
          <w:color w:val="auto"/>
          <w:sz w:val="22"/>
          <w:highlight w:val="none"/>
          <w:u w:val="single"/>
        </w:rPr>
        <w:t xml:space="preserve">     </w:t>
      </w:r>
      <w:r>
        <w:rPr>
          <w:rFonts w:hint="eastAsia" w:ascii="新宋体" w:hAnsi="新宋体" w:eastAsia="新宋体" w:cs="新宋体"/>
          <w:color w:val="auto"/>
          <w:sz w:val="22"/>
          <w:highlight w:val="none"/>
        </w:rPr>
        <w:t>元整（¥：.00）</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2、付款方式：</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在合同生效以及具备实施条件后7个工作日内支付至合同金额的40%作为预付款；项目验收合格后，甲方在收到乙方提供的全额发票7个工作日内，向乙方支付剩余合同款的60%。</w:t>
      </w:r>
    </w:p>
    <w:p>
      <w:pPr>
        <w:spacing w:line="460" w:lineRule="exact"/>
        <w:outlineLvl w:val="2"/>
        <w:rPr>
          <w:b/>
          <w:bCs/>
          <w:color w:val="auto"/>
          <w:sz w:val="22"/>
          <w:szCs w:val="28"/>
          <w:highlight w:val="none"/>
        </w:rPr>
      </w:pPr>
      <w:r>
        <w:rPr>
          <w:rFonts w:hint="eastAsia" w:ascii="新宋体" w:hAnsi="新宋体" w:eastAsia="新宋体" w:cs="新宋体"/>
          <w:b/>
          <w:bCs/>
          <w:color w:val="auto"/>
          <w:sz w:val="22"/>
          <w:highlight w:val="none"/>
        </w:rPr>
        <w:t xml:space="preserve">第五条 </w:t>
      </w:r>
      <w:r>
        <w:rPr>
          <w:rFonts w:hint="eastAsia"/>
          <w:b/>
          <w:bCs/>
          <w:color w:val="auto"/>
          <w:sz w:val="22"/>
          <w:szCs w:val="28"/>
          <w:highlight w:val="none"/>
        </w:rPr>
        <w:t>工期要求</w:t>
      </w:r>
    </w:p>
    <w:p>
      <w:pPr>
        <w:spacing w:line="460" w:lineRule="exact"/>
        <w:ind w:firstLine="440" w:firstLineChars="200"/>
        <w:rPr>
          <w:rFonts w:ascii="新宋体" w:hAnsi="新宋体" w:eastAsia="新宋体" w:cs="新宋体"/>
          <w:color w:val="auto"/>
          <w:sz w:val="22"/>
          <w:highlight w:val="none"/>
        </w:rPr>
      </w:pPr>
      <w:r>
        <w:rPr>
          <w:rFonts w:hint="eastAsia"/>
          <w:color w:val="auto"/>
          <w:sz w:val="22"/>
          <w:szCs w:val="22"/>
          <w:highlight w:val="none"/>
        </w:rPr>
        <w:t>合同签订</w:t>
      </w:r>
      <w:r>
        <w:rPr>
          <w:rFonts w:hint="eastAsia"/>
          <w:color w:val="auto"/>
          <w:sz w:val="22"/>
          <w:szCs w:val="22"/>
          <w:highlight w:val="none"/>
          <w:lang w:val="en-US" w:eastAsia="zh-CN"/>
        </w:rPr>
        <w:t>之日起</w:t>
      </w:r>
      <w:r>
        <w:rPr>
          <w:rFonts w:hint="eastAsia"/>
          <w:color w:val="auto"/>
          <w:sz w:val="22"/>
          <w:szCs w:val="22"/>
          <w:highlight w:val="none"/>
        </w:rPr>
        <w:t>至2023年4月底</w:t>
      </w:r>
      <w:r>
        <w:rPr>
          <w:rFonts w:hint="eastAsia"/>
          <w:color w:val="auto"/>
          <w:sz w:val="22"/>
          <w:szCs w:val="22"/>
          <w:highlight w:val="none"/>
          <w:lang w:val="en-US" w:eastAsia="zh-CN"/>
        </w:rPr>
        <w:t>前</w:t>
      </w:r>
      <w:r>
        <w:rPr>
          <w:rFonts w:hint="eastAsia"/>
          <w:color w:val="auto"/>
          <w:sz w:val="22"/>
          <w:szCs w:val="22"/>
          <w:highlight w:val="none"/>
        </w:rPr>
        <w:t>完成</w:t>
      </w:r>
      <w:r>
        <w:rPr>
          <w:rFonts w:hint="eastAsia"/>
          <w:color w:val="auto"/>
          <w:sz w:val="22"/>
          <w:szCs w:val="28"/>
          <w:highlight w:val="none"/>
        </w:rPr>
        <w:t xml:space="preserve">库房档案搬运入库工作任务。 </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第六条  权利和义务</w:t>
      </w:r>
    </w:p>
    <w:p>
      <w:pPr>
        <w:spacing w:line="460" w:lineRule="exact"/>
        <w:ind w:firstLine="541" w:firstLineChars="245"/>
        <w:rPr>
          <w:rFonts w:ascii="新宋体" w:hAnsi="新宋体" w:eastAsia="新宋体" w:cs="新宋体"/>
          <w:color w:val="auto"/>
          <w:sz w:val="22"/>
          <w:highlight w:val="none"/>
        </w:rPr>
      </w:pPr>
      <w:r>
        <w:rPr>
          <w:rFonts w:hint="eastAsia" w:ascii="新宋体" w:hAnsi="新宋体" w:eastAsia="新宋体" w:cs="新宋体"/>
          <w:b/>
          <w:bCs/>
          <w:color w:val="auto"/>
          <w:sz w:val="22"/>
          <w:highlight w:val="none"/>
        </w:rPr>
        <w:t>（一）甲方权利与义务</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甲方有权要求乙方全面、高效、优质的履行合同规定的要求（包括招标文件的要求及履约过程中甲方交待的事项）以及乙方承诺的义务（包括投标文件的承诺）。乙方未能如期达到本合同要求，甲方有权解除本合同，乙方应赔偿甲方相应的损失。</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2、甲方有权对乙方的合同履约和实施情况、质量、效果进行全面的技术指导、检查、管理和监督，对发现的问题及时向乙方提出书面或口头改进意见，并限期予以整改。</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3、甲方有权对乙方不履行合同义务及其投标承诺的行为进行合同款项扣罚及经济处罚。</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4、甲方应按时向乙方支付合同款项，如出现有合同款项扣罚或经济处罚的情况，将在扣罚相关金额后进行余额的支付。</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5、甲方需积极协助配合乙方开展相关工作，协助乙方解决问题、使之顺利开展工作。</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6、甲方可要求乙方调整不合格项目组成员及员工，并在要求的时间内及时调整到位。</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7、甲方有权根据政策的变动并结合实际情况对合同项目内容进行修改和补充。</w:t>
      </w:r>
    </w:p>
    <w:p>
      <w:pPr>
        <w:spacing w:line="460" w:lineRule="exact"/>
        <w:ind w:firstLine="541" w:firstLineChars="245"/>
        <w:rPr>
          <w:rFonts w:ascii="新宋体" w:hAnsi="新宋体" w:eastAsia="新宋体" w:cs="新宋体"/>
          <w:color w:val="auto"/>
          <w:sz w:val="22"/>
          <w:highlight w:val="none"/>
        </w:rPr>
      </w:pPr>
      <w:r>
        <w:rPr>
          <w:rFonts w:hint="eastAsia" w:ascii="新宋体" w:hAnsi="新宋体" w:eastAsia="新宋体" w:cs="新宋体"/>
          <w:b/>
          <w:bCs/>
          <w:color w:val="auto"/>
          <w:sz w:val="22"/>
          <w:highlight w:val="none"/>
        </w:rPr>
        <w:t>（二）乙方权利和义务</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1、乙方有权根据合同约定领取项目实施经费。</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2、乙方应在委托代理范围内全面、高效、优质的履行合同规定的各项要求（包括招标文件的要求及履约过程中甲方交待的事项）以及乙方承诺的义务（包括投标文件的承诺）。</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3、乙方应按甲方的要求开展工作，如在合同履约过程中出现计划或方案变更情况时，应及时向甲方提出，并在征得甲方的同意后方可实施。</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4、乙方应接受甲方的管理、监督、检查及指导，</w:t>
      </w:r>
      <w:r>
        <w:rPr>
          <w:rFonts w:hint="eastAsia" w:ascii="新宋体" w:hAnsi="新宋体" w:eastAsia="新宋体"/>
          <w:color w:val="auto"/>
          <w:sz w:val="22"/>
          <w:szCs w:val="22"/>
          <w:highlight w:val="none"/>
        </w:rPr>
        <w:t>根据甲方意见和要求调整完善项目方案，直至甲方满意。</w:t>
      </w:r>
      <w:r>
        <w:rPr>
          <w:rFonts w:hint="eastAsia" w:ascii="新宋体" w:hAnsi="新宋体" w:eastAsia="新宋体" w:cs="新宋体"/>
          <w:color w:val="auto"/>
          <w:sz w:val="22"/>
          <w:highlight w:val="none"/>
        </w:rPr>
        <w:t>在项目实施过程中出现问题应及时的纠正并向甲方进行通报。</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5、</w:t>
      </w:r>
      <w:r>
        <w:rPr>
          <w:rFonts w:hint="eastAsia" w:ascii="新宋体" w:hAnsi="新宋体" w:eastAsia="新宋体"/>
          <w:color w:val="auto"/>
          <w:sz w:val="22"/>
          <w:szCs w:val="22"/>
          <w:highlight w:val="none"/>
        </w:rPr>
        <w:t>乙方须主动做好与相关单位的沟通对接，同时满足甲方的相关要求。</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6、甲方不承担乙方在合同履行过程中因其责任引起的一切事故、法律纠纷和经济责任，乙方须自行负责并处理合同履行过程中与第三方发生的所有事故、法律纠纷及一切费用。</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7、乙方应严格遵守国家有关法律、法规，若有违反，由此造成的一切后果由乙方承担。乙方如因上述原因使合同性质发生改变，甲方不负赔偿责任。</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8、乙方不得将本项目进行分包服务，否则甲方有权否决或终止合同。</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9、乙方在服务过程中，应严格按照国家有关操作规程和施工规范进行作业。任何由乙方的原因造成的事故及赔偿均由乙方负责承担。</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10、本合同执行中相关的一切税费均由乙方负担。</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第七条  违约责任</w:t>
      </w:r>
    </w:p>
    <w:p>
      <w:pPr>
        <w:spacing w:line="460" w:lineRule="exact"/>
        <w:ind w:firstLine="539" w:firstLineChars="245"/>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1、</w:t>
      </w:r>
      <w:r>
        <w:rPr>
          <w:rFonts w:hint="eastAsia" w:ascii="新宋体" w:hAnsi="新宋体" w:eastAsia="新宋体" w:cs="新宋体"/>
          <w:color w:val="auto"/>
          <w:sz w:val="22"/>
          <w:highlight w:val="none"/>
        </w:rPr>
        <w:t>乙方未能履行合同义务，未遵守《招标文件》规定和《投标文件》中所承诺的服务内容及合同相关规定，均属违约行为。甲方根据上述规定条款，视乙方违约行为的情节轻重，做出批评教育、警告、情节严重者，甲方有权单方终止本合同而不承担任何违约责任，由乙方承担一切经济损失和法律责任。因乙方违约造成甲方损失的，甲方有权向乙方追加补偿。</w:t>
      </w:r>
    </w:p>
    <w:p>
      <w:pPr>
        <w:spacing w:line="460" w:lineRule="exact"/>
        <w:ind w:firstLine="539" w:firstLineChars="245"/>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2、</w:t>
      </w:r>
      <w:r>
        <w:rPr>
          <w:rFonts w:hint="eastAsia" w:ascii="新宋体" w:hAnsi="新宋体" w:eastAsia="新宋体" w:cs="新宋体"/>
          <w:color w:val="auto"/>
          <w:sz w:val="22"/>
          <w:highlight w:val="none"/>
        </w:rPr>
        <w:t>在履行合同的过程中，如果乙方遇到除不可抗力因素外的情形将不能按照合同规定的时间完成服务时，应当在情况发生时</w:t>
      </w:r>
      <w:r>
        <w:rPr>
          <w:rFonts w:hint="eastAsia" w:ascii="新宋体" w:hAnsi="新宋体" w:eastAsia="新宋体" w:cs="新宋体"/>
          <w:color w:val="auto"/>
          <w:sz w:val="22"/>
          <w:highlight w:val="none"/>
          <w:u w:val="single"/>
        </w:rPr>
        <w:t xml:space="preserve"> </w:t>
      </w:r>
      <w:r>
        <w:rPr>
          <w:rFonts w:hint="eastAsia" w:ascii="新宋体" w:hAnsi="新宋体" w:eastAsia="新宋体" w:cs="新宋体"/>
          <w:color w:val="auto"/>
          <w:sz w:val="22"/>
          <w:highlight w:val="none"/>
          <w:u w:val="single"/>
          <w:lang w:val="en-US" w:eastAsia="zh-CN"/>
        </w:rPr>
        <w:t>3</w:t>
      </w:r>
      <w:r>
        <w:rPr>
          <w:rFonts w:hint="eastAsia" w:ascii="新宋体" w:hAnsi="新宋体" w:eastAsia="新宋体" w:cs="新宋体"/>
          <w:color w:val="auto"/>
          <w:sz w:val="22"/>
          <w:highlight w:val="none"/>
          <w:u w:val="single"/>
        </w:rPr>
        <w:t xml:space="preserve"> </w:t>
      </w:r>
      <w:r>
        <w:rPr>
          <w:rFonts w:hint="eastAsia" w:ascii="新宋体" w:hAnsi="新宋体" w:eastAsia="新宋体" w:cs="新宋体"/>
          <w:color w:val="auto"/>
          <w:sz w:val="22"/>
          <w:highlight w:val="none"/>
        </w:rPr>
        <w:t>日内以书面形式将拖延的事实、可能拖延的时间和原因通知甲方。甲方在收到乙方通知后，应在</w:t>
      </w:r>
      <w:r>
        <w:rPr>
          <w:rFonts w:hint="eastAsia" w:ascii="新宋体" w:hAnsi="新宋体" w:eastAsia="新宋体" w:cs="新宋体"/>
          <w:color w:val="auto"/>
          <w:sz w:val="22"/>
          <w:highlight w:val="none"/>
          <w:u w:val="single"/>
        </w:rPr>
        <w:t xml:space="preserve"> 7 </w:t>
      </w:r>
      <w:r>
        <w:rPr>
          <w:rFonts w:hint="eastAsia" w:ascii="新宋体" w:hAnsi="新宋体" w:eastAsia="新宋体" w:cs="新宋体"/>
          <w:color w:val="auto"/>
          <w:sz w:val="22"/>
          <w:highlight w:val="none"/>
        </w:rPr>
        <w:t>日内对情况进行评价，并确定是否酌情延长服务以及是否收取误期赔偿费。延期应由双方书面确认；</w:t>
      </w:r>
    </w:p>
    <w:p>
      <w:pPr>
        <w:spacing w:line="460" w:lineRule="exact"/>
        <w:ind w:firstLine="539" w:firstLineChars="245"/>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3、</w:t>
      </w:r>
      <w:r>
        <w:rPr>
          <w:rFonts w:hint="eastAsia" w:ascii="新宋体" w:hAnsi="新宋体" w:eastAsia="新宋体" w:cs="新宋体"/>
          <w:color w:val="auto"/>
          <w:sz w:val="22"/>
          <w:highlight w:val="none"/>
        </w:rPr>
        <w:t>除</w:t>
      </w:r>
      <w:r>
        <w:rPr>
          <w:rFonts w:hint="eastAsia" w:ascii="新宋体" w:hAnsi="新宋体" w:eastAsia="新宋体" w:cs="新宋体"/>
          <w:color w:val="auto"/>
          <w:sz w:val="22"/>
          <w:highlight w:val="none"/>
          <w:lang w:val="en-US" w:eastAsia="zh-CN"/>
        </w:rPr>
        <w:t>不可抗力或</w:t>
      </w:r>
      <w:r>
        <w:rPr>
          <w:rFonts w:hint="eastAsia" w:ascii="新宋体" w:hAnsi="新宋体" w:eastAsia="新宋体" w:cs="新宋体"/>
          <w:color w:val="auto"/>
          <w:sz w:val="22"/>
          <w:highlight w:val="none"/>
        </w:rPr>
        <w:t>延期是取得甲方的同意而不收取误期赔偿费之外，若乙方违反本合同约定提供服务，甲方可要求乙方支付违约金，违约金按每迟延一日按合同总价的</w:t>
      </w:r>
      <w:r>
        <w:rPr>
          <w:rFonts w:hint="eastAsia" w:ascii="新宋体" w:hAnsi="新宋体" w:eastAsia="新宋体" w:cs="新宋体"/>
          <w:color w:val="auto"/>
          <w:sz w:val="22"/>
          <w:highlight w:val="none"/>
          <w:u w:val="single"/>
        </w:rPr>
        <w:t xml:space="preserve"> </w:t>
      </w:r>
      <w:r>
        <w:rPr>
          <w:rFonts w:hint="eastAsia" w:ascii="新宋体" w:hAnsi="新宋体" w:eastAsia="新宋体" w:cs="新宋体"/>
          <w:color w:val="auto"/>
          <w:sz w:val="22"/>
          <w:highlight w:val="none"/>
          <w:u w:val="single"/>
          <w:lang w:val="en-US" w:eastAsia="zh-CN"/>
        </w:rPr>
        <w:t>0.2</w:t>
      </w:r>
      <w:r>
        <w:rPr>
          <w:rFonts w:hint="eastAsia" w:ascii="新宋体" w:hAnsi="新宋体" w:eastAsia="新宋体" w:cs="新宋体"/>
          <w:color w:val="auto"/>
          <w:sz w:val="22"/>
          <w:highlight w:val="none"/>
          <w:u w:val="single"/>
        </w:rPr>
        <w:t xml:space="preserve"> </w:t>
      </w:r>
      <w:r>
        <w:rPr>
          <w:rFonts w:hint="eastAsia" w:ascii="新宋体" w:hAnsi="新宋体" w:eastAsia="新宋体" w:cs="新宋体"/>
          <w:color w:val="auto"/>
          <w:sz w:val="22"/>
          <w:highlight w:val="none"/>
        </w:rPr>
        <w:t>%计算，最高限额为本合同总价的</w:t>
      </w:r>
      <w:r>
        <w:rPr>
          <w:rFonts w:hint="eastAsia" w:ascii="新宋体" w:hAnsi="新宋体" w:eastAsia="新宋体" w:cs="新宋体"/>
          <w:color w:val="auto"/>
          <w:sz w:val="22"/>
          <w:highlight w:val="none"/>
          <w:u w:val="single"/>
        </w:rPr>
        <w:t xml:space="preserve"> 20 </w:t>
      </w:r>
      <w:r>
        <w:rPr>
          <w:rFonts w:hint="eastAsia" w:ascii="新宋体" w:hAnsi="新宋体" w:eastAsia="新宋体" w:cs="新宋体"/>
          <w:color w:val="auto"/>
          <w:sz w:val="22"/>
          <w:highlight w:val="none"/>
        </w:rPr>
        <w:t>%；延期的违约金计算数额达到前述最高限额之日起，甲方有权在要求乙方支付违约金的同时，书面通知乙方解除本合同；</w:t>
      </w:r>
    </w:p>
    <w:p>
      <w:pPr>
        <w:spacing w:line="460" w:lineRule="exact"/>
        <w:ind w:firstLine="539" w:firstLineChars="245"/>
        <w:rPr>
          <w:color w:val="auto"/>
          <w:highlight w:val="none"/>
        </w:rPr>
      </w:pPr>
      <w:r>
        <w:rPr>
          <w:rFonts w:hint="eastAsia" w:ascii="新宋体" w:hAnsi="新宋体" w:eastAsia="新宋体" w:cs="新宋体"/>
          <w:color w:val="auto"/>
          <w:sz w:val="22"/>
          <w:highlight w:val="none"/>
          <w:lang w:val="en-US" w:eastAsia="zh-CN"/>
        </w:rPr>
        <w:t>4、</w:t>
      </w:r>
      <w:r>
        <w:rPr>
          <w:rFonts w:hint="eastAsia" w:ascii="新宋体" w:hAnsi="新宋体" w:eastAsia="新宋体" w:cs="新宋体"/>
          <w:color w:val="auto"/>
          <w:sz w:val="22"/>
          <w:highlight w:val="none"/>
        </w:rPr>
        <w:t>除</w:t>
      </w:r>
      <w:r>
        <w:rPr>
          <w:rFonts w:hint="eastAsia" w:ascii="新宋体" w:hAnsi="新宋体" w:eastAsia="新宋体" w:cs="新宋体"/>
          <w:color w:val="auto"/>
          <w:sz w:val="22"/>
          <w:highlight w:val="none"/>
          <w:lang w:val="en-US" w:eastAsia="zh-CN"/>
        </w:rPr>
        <w:t>不可抗力</w:t>
      </w:r>
      <w:r>
        <w:rPr>
          <w:rFonts w:hint="eastAsia" w:ascii="新宋体" w:hAnsi="新宋体" w:eastAsia="新宋体" w:cs="新宋体"/>
          <w:color w:val="auto"/>
          <w:sz w:val="22"/>
          <w:highlight w:val="none"/>
        </w:rPr>
        <w:t>外</w:t>
      </w:r>
      <w:r>
        <w:rPr>
          <w:rFonts w:hint="eastAsia" w:ascii="新宋体" w:hAnsi="新宋体" w:eastAsia="新宋体" w:cs="新宋体"/>
          <w:color w:val="auto"/>
          <w:sz w:val="22"/>
          <w:highlight w:val="none"/>
          <w:lang w:eastAsia="zh-CN"/>
        </w:rPr>
        <w:t>，</w:t>
      </w:r>
      <w:r>
        <w:rPr>
          <w:rFonts w:hint="eastAsia" w:ascii="新宋体" w:hAnsi="新宋体" w:eastAsia="新宋体" w:cs="新宋体"/>
          <w:color w:val="auto"/>
          <w:sz w:val="22"/>
          <w:highlight w:val="none"/>
          <w:lang w:val="en-US" w:eastAsia="zh-CN"/>
        </w:rPr>
        <w:t>如履约过程中发现丢件、损件、不符合工作要求等情况，甲方可要求违约方按照实际损失进行赔偿。</w:t>
      </w:r>
    </w:p>
    <w:p>
      <w:pPr>
        <w:spacing w:line="460" w:lineRule="exact"/>
        <w:outlineLvl w:val="2"/>
        <w:rPr>
          <w:rFonts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第八条  不可抗力</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1、不可抗力事件发生后，应立即通知对方，并寄送有关权威机构出具的证明。</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2、在合同有效期间发生不可抗力，导致合同不能或不能全部履行。双方可以按以下各项执行：</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（1）因不可抗力导致合同终止，并不影响任何一方对不可抗力先前发生的违约行为合法追偿。</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（2）甲方不承担因不可抗力造成合同不能正常履行的责任。</w:t>
      </w:r>
    </w:p>
    <w:p>
      <w:pPr>
        <w:spacing w:line="460" w:lineRule="exact"/>
        <w:ind w:firstLine="539" w:firstLineChars="245"/>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3、遇国家政策性调整，影响合同履行，双方协商解决。</w:t>
      </w:r>
    </w:p>
    <w:p>
      <w:pPr>
        <w:spacing w:line="460" w:lineRule="exact"/>
        <w:outlineLvl w:val="2"/>
        <w:rPr>
          <w:rFonts w:ascii="新宋体" w:hAnsi="新宋体" w:eastAsia="新宋体" w:cs="宋体"/>
          <w:b/>
          <w:bCs/>
          <w:color w:val="auto"/>
          <w:kern w:val="0"/>
          <w:sz w:val="22"/>
          <w:szCs w:val="22"/>
          <w:highlight w:val="none"/>
        </w:rPr>
      </w:pPr>
      <w:r>
        <w:rPr>
          <w:rFonts w:hint="eastAsia" w:ascii="新宋体" w:hAnsi="新宋体" w:eastAsia="新宋体" w:cs="新宋体"/>
          <w:b/>
          <w:bCs/>
          <w:color w:val="auto"/>
          <w:sz w:val="22"/>
          <w:highlight w:val="none"/>
        </w:rPr>
        <w:t xml:space="preserve">第九条 </w:t>
      </w:r>
      <w:r>
        <w:rPr>
          <w:rFonts w:hint="eastAsia" w:ascii="新宋体" w:hAnsi="新宋体" w:eastAsia="新宋体" w:cs="宋体"/>
          <w:b/>
          <w:bCs/>
          <w:color w:val="auto"/>
          <w:kern w:val="0"/>
          <w:sz w:val="22"/>
          <w:szCs w:val="22"/>
          <w:highlight w:val="none"/>
        </w:rPr>
        <w:t>争议及未尽事宜</w:t>
      </w:r>
    </w:p>
    <w:p>
      <w:pPr>
        <w:spacing w:line="460" w:lineRule="exact"/>
        <w:ind w:left="109" w:leftChars="52" w:firstLine="330" w:firstLineChars="150"/>
        <w:rPr>
          <w:rFonts w:ascii="仿宋_GB2312" w:hAnsi="新宋体" w:eastAsia="仿宋_GB2312" w:cs="宋体"/>
          <w:color w:val="auto"/>
          <w:highlight w:val="none"/>
        </w:rPr>
      </w:pPr>
      <w:r>
        <w:rPr>
          <w:rFonts w:hint="eastAsia" w:ascii="新宋体" w:hAnsi="新宋体" w:eastAsia="新宋体" w:cs="宋体"/>
          <w:color w:val="auto"/>
          <w:kern w:val="0"/>
          <w:sz w:val="22"/>
          <w:szCs w:val="22"/>
          <w:highlight w:val="none"/>
        </w:rPr>
        <w:t>1、有关本合同和签署本合同的争议应通过友好协商解决。如果协商不成</w:t>
      </w:r>
      <w:r>
        <w:rPr>
          <w:rFonts w:hint="eastAsia" w:ascii="新宋体" w:hAnsi="新宋体" w:eastAsia="新宋体" w:cs="新宋体"/>
          <w:color w:val="auto"/>
          <w:sz w:val="22"/>
          <w:szCs w:val="22"/>
          <w:highlight w:val="none"/>
        </w:rPr>
        <w:t>向甲方所在地人民法院起诉。</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2、本协议未尽事宜或与国家有关法律、法规相悖的，均按国家有关法律、规定执行。</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3、任何一方就对方针对本合同项下任何条款的违约行为的自动弃权或重复性弃权不应被视为是对下一次针对同一条款的违约行为、或针对其他条款的违约行为的弃权。</w:t>
      </w:r>
    </w:p>
    <w:p>
      <w:pPr>
        <w:spacing w:line="460" w:lineRule="exact"/>
        <w:outlineLvl w:val="2"/>
        <w:rPr>
          <w:rFonts w:ascii="新宋体" w:hAnsi="新宋体" w:eastAsia="新宋体" w:cs="宋体"/>
          <w:b/>
          <w:bCs/>
          <w:color w:val="auto"/>
          <w:kern w:val="0"/>
          <w:sz w:val="22"/>
          <w:szCs w:val="22"/>
          <w:highlight w:val="none"/>
        </w:rPr>
      </w:pPr>
      <w:r>
        <w:rPr>
          <w:rFonts w:hint="eastAsia" w:ascii="新宋体" w:hAnsi="新宋体" w:eastAsia="新宋体" w:cs="新宋体"/>
          <w:b/>
          <w:bCs/>
          <w:color w:val="auto"/>
          <w:sz w:val="22"/>
          <w:highlight w:val="none"/>
        </w:rPr>
        <w:t xml:space="preserve">第十条 </w:t>
      </w:r>
      <w:r>
        <w:rPr>
          <w:rFonts w:hint="eastAsia" w:ascii="新宋体" w:hAnsi="新宋体" w:eastAsia="新宋体" w:cs="宋体"/>
          <w:b/>
          <w:bCs/>
          <w:color w:val="auto"/>
          <w:kern w:val="0"/>
          <w:sz w:val="22"/>
          <w:szCs w:val="22"/>
          <w:highlight w:val="none"/>
        </w:rPr>
        <w:t>合同生效及其它</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1、本合同一式伍份，甲乙双各执两份，送招标代理公司备案一份。每份具有同等法律效力，自双方授权代表人签字/盖章之日起生效。</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2、双方履行完合同规定的义务后，本合同即行终止。</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3、双方来往传真、电报、会议纪要等，经双方认可后均为合同的组成部分，与本合同具有同等法律效力。</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4、未尽事宜，经双方协商一致，签订补充协议，补充协议与本合同具有同等效力。</w:t>
      </w:r>
    </w:p>
    <w:p>
      <w:pPr>
        <w:spacing w:line="460" w:lineRule="exact"/>
        <w:ind w:firstLine="539" w:firstLineChars="245"/>
        <w:rPr>
          <w:rFonts w:ascii="新宋体" w:hAnsi="新宋体" w:eastAsia="新宋体"/>
          <w:color w:val="auto"/>
          <w:sz w:val="22"/>
          <w:highlight w:val="none"/>
        </w:rPr>
      </w:pP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甲方名称：（盖章）                  乙方名称：（盖章）</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授权代表：（签字）                 授权代表：（签字）</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 xml:space="preserve">地址：                             地址： </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 xml:space="preserve">邮政编码：                         邮政编码： </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 xml:space="preserve">电话：                             电话： </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传真：                             传真：</w:t>
      </w:r>
    </w:p>
    <w:p>
      <w:pPr>
        <w:spacing w:line="460" w:lineRule="exact"/>
        <w:ind w:firstLine="539" w:firstLineChars="245"/>
        <w:rPr>
          <w:rFonts w:ascii="新宋体" w:hAnsi="新宋体" w:eastAsia="新宋体"/>
          <w:color w:val="auto"/>
          <w:sz w:val="22"/>
          <w:highlight w:val="none"/>
        </w:rPr>
      </w:pPr>
      <w:r>
        <w:rPr>
          <w:rFonts w:hint="eastAsia" w:ascii="新宋体" w:hAnsi="新宋体" w:eastAsia="新宋体"/>
          <w:color w:val="auto"/>
          <w:sz w:val="22"/>
          <w:highlight w:val="none"/>
        </w:rPr>
        <w:t>日期：                             日期：</w:t>
      </w:r>
    </w:p>
    <w:p>
      <w:pPr>
        <w:rPr>
          <w:rFonts w:ascii="宋体" w:hAnsi="宋体" w:cs="宋体"/>
          <w:b/>
          <w:color w:val="auto"/>
          <w:sz w:val="30"/>
          <w:highlight w:val="none"/>
        </w:rPr>
      </w:pPr>
      <w:r>
        <w:rPr>
          <w:rFonts w:hint="eastAsia" w:ascii="宋体" w:hAnsi="宋体" w:cs="宋体"/>
          <w:b/>
          <w:color w:val="auto"/>
          <w:sz w:val="30"/>
          <w:highlight w:val="none"/>
        </w:rPr>
        <w:br w:type="page"/>
      </w:r>
    </w:p>
    <w:p>
      <w:pPr>
        <w:spacing w:line="460" w:lineRule="exact"/>
        <w:ind w:firstLine="643" w:firstLineChars="200"/>
        <w:jc w:val="center"/>
        <w:outlineLvl w:val="1"/>
        <w:rPr>
          <w:rFonts w:ascii="新宋体" w:hAnsi="新宋体" w:eastAsia="新宋体" w:cs="新宋体"/>
          <w:color w:val="auto"/>
          <w:sz w:val="28"/>
          <w:szCs w:val="28"/>
          <w:highlight w:val="none"/>
        </w:rPr>
      </w:pPr>
      <w:r>
        <w:rPr>
          <w:rFonts w:hint="eastAsia" w:ascii="新宋体" w:hAnsi="新宋体" w:eastAsia="新宋体" w:cs="新宋体"/>
          <w:b/>
          <w:bCs/>
          <w:color w:val="auto"/>
          <w:sz w:val="32"/>
          <w:szCs w:val="32"/>
          <w:highlight w:val="none"/>
        </w:rPr>
        <w:t>保密协议</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由于</w:t>
      </w:r>
      <w:r>
        <w:rPr>
          <w:rFonts w:hint="eastAsia" w:ascii="新宋体" w:hAnsi="新宋体" w:eastAsia="新宋体" w:cs="新宋体"/>
          <w:color w:val="auto"/>
          <w:sz w:val="22"/>
          <w:szCs w:val="22"/>
          <w:highlight w:val="none"/>
          <w:lang w:eastAsia="zh-CN"/>
        </w:rPr>
        <w:t>温州市自然资源和规划局档案库房建设（档案搬运服务）</w:t>
      </w:r>
      <w:r>
        <w:rPr>
          <w:rFonts w:hint="eastAsia" w:ascii="新宋体" w:hAnsi="新宋体" w:eastAsia="新宋体" w:cs="新宋体"/>
          <w:color w:val="auto"/>
          <w:sz w:val="22"/>
          <w:szCs w:val="22"/>
          <w:highlight w:val="none"/>
        </w:rPr>
        <w:t>所涉及到大量的档案材料，这些材料大多具有一定的保密性，在本项目实施过程中应采取严格的安全保密措施。作为本项目的乙方特针对本项目的安全保密工作承诺如下:</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一、乙方在项目实施期间，因工作需要接触到甲方的案件材料、目录、声像档案以及电子文件等，</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乙方必须保守秘密，不得以任何方式带出工作场所或向外泄露。乙方同时提供一切必要的方式，协助</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甲方保证案件材料的安全和保守甲方材料信息的秘密。</w:t>
      </w:r>
    </w:p>
    <w:p>
      <w:pPr>
        <w:numPr>
          <w:ilvl w:val="-1"/>
          <w:numId w:val="0"/>
        </w:numPr>
        <w:spacing w:line="460" w:lineRule="exact"/>
        <w:ind w:firstLine="440" w:firstLineChars="200"/>
        <w:jc w:val="lef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二、</w:t>
      </w:r>
      <w:r>
        <w:rPr>
          <w:rFonts w:hint="eastAsia" w:ascii="新宋体" w:hAnsi="新宋体" w:eastAsia="新宋体" w:cs="新宋体"/>
          <w:color w:val="auto"/>
          <w:sz w:val="22"/>
          <w:szCs w:val="22"/>
          <w:highlight w:val="none"/>
        </w:rPr>
        <w:t>项目实施期间，乙方必须遵守甲方</w:t>
      </w:r>
      <w:r>
        <w:rPr>
          <w:rFonts w:hint="eastAsia" w:ascii="新宋体" w:hAnsi="新宋体" w:eastAsia="新宋体" w:cs="新宋体"/>
          <w:color w:val="auto"/>
          <w:sz w:val="22"/>
          <w:szCs w:val="22"/>
          <w:highlight w:val="none"/>
          <w:lang w:val="en-US" w:eastAsia="zh-CN"/>
        </w:rPr>
        <w:t>的</w:t>
      </w:r>
      <w:r>
        <w:rPr>
          <w:rFonts w:hint="eastAsia" w:ascii="新宋体" w:hAnsi="新宋体" w:eastAsia="新宋体" w:cs="新宋体"/>
          <w:color w:val="auto"/>
          <w:sz w:val="22"/>
          <w:szCs w:val="22"/>
          <w:highlight w:val="none"/>
        </w:rPr>
        <w:t>规定，履行相应的保密职责</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1.乙方必须遵守甲方规定的任何成文或不成文的保密规章、制度，履行与其工作岗位相应的保密职责</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2.甲方的保密规章、制度没有规定或规定不明确之外，乙方亦应本着谨慎，诚实的态度，采取任何必要、合理的措施，维护其于</w:t>
      </w:r>
      <w:r>
        <w:rPr>
          <w:rFonts w:hint="eastAsia" w:ascii="新宋体" w:hAnsi="新宋体" w:eastAsia="新宋体" w:cs="新宋体"/>
          <w:color w:val="auto"/>
          <w:sz w:val="22"/>
          <w:szCs w:val="22"/>
          <w:highlight w:val="none"/>
          <w:lang w:val="en-US" w:eastAsia="zh-CN"/>
        </w:rPr>
        <w:t>合同</w:t>
      </w:r>
      <w:r>
        <w:rPr>
          <w:rFonts w:hint="eastAsia" w:ascii="新宋体" w:hAnsi="新宋体" w:eastAsia="新宋体" w:cs="新宋体"/>
          <w:color w:val="auto"/>
          <w:sz w:val="22"/>
          <w:szCs w:val="22"/>
          <w:highlight w:val="none"/>
        </w:rPr>
        <w:t>期间获悉的保密信息</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3.乙方承诺，未经甲方和用户单位同意，不得故意或过失泄露、告知、公布、发布、传授、转</w:t>
      </w:r>
    </w:p>
    <w:p>
      <w:pPr>
        <w:keepNext w:val="0"/>
        <w:keepLines w:val="0"/>
        <w:pageBreakBefore w:val="0"/>
        <w:widowControl w:val="0"/>
        <w:kinsoku/>
        <w:wordWrap/>
        <w:overflowPunct/>
        <w:topLinePunct w:val="0"/>
        <w:bidi w:val="0"/>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让或其他任何方式使任何第三方知悉</w:t>
      </w:r>
      <w:r>
        <w:rPr>
          <w:rFonts w:hint="eastAsia" w:ascii="新宋体" w:hAnsi="新宋体" w:eastAsia="新宋体" w:cs="新宋体"/>
          <w:color w:val="auto"/>
          <w:sz w:val="22"/>
          <w:szCs w:val="22"/>
          <w:highlight w:val="none"/>
          <w:lang w:val="en-US" w:eastAsia="zh-CN"/>
        </w:rPr>
        <w:t>约定的</w:t>
      </w:r>
      <w:r>
        <w:rPr>
          <w:rFonts w:hint="eastAsia" w:ascii="新宋体" w:hAnsi="新宋体" w:eastAsia="新宋体" w:cs="新宋体"/>
          <w:color w:val="auto"/>
          <w:sz w:val="22"/>
          <w:szCs w:val="22"/>
          <w:highlight w:val="none"/>
        </w:rPr>
        <w:t>保密信息，也不得在履行职务之外使用这些保密信息，即使这些信息甚至可能是全部由乙方因工作取得的</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4.若乙方发现用户单位的保密信息被泄露或者因自己的过失泄露了用户单位的保密信息，应当</w:t>
      </w:r>
    </w:p>
    <w:p>
      <w:pPr>
        <w:keepNext w:val="0"/>
        <w:keepLines w:val="0"/>
        <w:pageBreakBefore w:val="0"/>
        <w:widowControl w:val="0"/>
        <w:kinsoku/>
        <w:wordWrap/>
        <w:overflowPunct/>
        <w:topLinePunct w:val="0"/>
        <w:bidi w:val="0"/>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采取有效措施防止泄露进一步扩大，并及时书面报告甲方负责人</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numPr>
          <w:ilvl w:val="0"/>
          <w:numId w:val="0"/>
        </w:numPr>
        <w:kinsoku/>
        <w:wordWrap/>
        <w:overflowPunct/>
        <w:topLinePunct w:val="0"/>
        <w:bidi w:val="0"/>
        <w:snapToGrid/>
        <w:spacing w:line="460" w:lineRule="exact"/>
        <w:ind w:firstLine="440" w:firstLineChars="200"/>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乙方必须严格遵守用户单位的规章管理制度</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numPr>
          <w:ilvl w:val="0"/>
          <w:numId w:val="0"/>
        </w:numPr>
        <w:kinsoku/>
        <w:wordWrap/>
        <w:overflowPunct/>
        <w:topLinePunct w:val="0"/>
        <w:bidi w:val="0"/>
        <w:snapToGrid/>
        <w:spacing w:line="460" w:lineRule="exact"/>
        <w:ind w:firstLine="440" w:firstLineChars="200"/>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6.乙方未经用户允许，不得复制、摘抄、携带、传播工作过程中所接触到的相关文件、资料和</w:t>
      </w:r>
    </w:p>
    <w:p>
      <w:pPr>
        <w:keepNext w:val="0"/>
        <w:keepLines w:val="0"/>
        <w:pageBreakBefore w:val="0"/>
        <w:widowControl w:val="0"/>
        <w:kinsoku/>
        <w:wordWrap/>
        <w:overflowPunct/>
        <w:topLinePunct w:val="0"/>
        <w:bidi w:val="0"/>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数据，不得随意丢弃或带走相关文件资料，必须在办公场所使用碎纸机销毁</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7.乙方未经用户单位允许不得在办公场所内使用手机拍照，并不得将照片公布</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8.乙方未经用户单位允许不得擅自出入用户现场非办公区域</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9.乙方有义务保管好自己所有的资料，任何人不得携带私人U盘将其任何保密资料复制后携带</w:t>
      </w:r>
    </w:p>
    <w:p>
      <w:pPr>
        <w:keepNext w:val="0"/>
        <w:keepLines w:val="0"/>
        <w:pageBreakBefore w:val="0"/>
        <w:widowControl w:val="0"/>
        <w:kinsoku/>
        <w:wordWrap/>
        <w:overflowPunct/>
        <w:topLinePunct w:val="0"/>
        <w:bidi w:val="0"/>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外出，并不得私自传借、披露，更不得利用所掌握的商秘密牟取私利</w:t>
      </w:r>
      <w:r>
        <w:rPr>
          <w:rFonts w:hint="eastAsia" w:ascii="新宋体" w:hAnsi="新宋体" w:eastAsia="新宋体" w:cs="新宋体"/>
          <w:color w:val="auto"/>
          <w:sz w:val="22"/>
          <w:szCs w:val="22"/>
          <w:highlight w:val="none"/>
          <w:lang w:eastAsia="zh-CN"/>
        </w:rPr>
        <w:t>；</w:t>
      </w:r>
    </w:p>
    <w:p>
      <w:pPr>
        <w:keepNext w:val="0"/>
        <w:keepLines w:val="0"/>
        <w:pageBreakBefore w:val="0"/>
        <w:widowControl w:val="0"/>
        <w:kinsoku/>
        <w:wordWrap/>
        <w:overflowPunct/>
        <w:topLinePunct w:val="0"/>
        <w:bidi w:val="0"/>
        <w:snapToGrid/>
        <w:spacing w:line="460" w:lineRule="exact"/>
        <w:ind w:firstLine="440" w:firstLineChars="200"/>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10.乙方在用户现场工作期间，须严格遵守内外网络、IP地址、终端计算机设备、中心机房设备、网络设备、安全设备使用规定;不得私自更改账号、参数配置、程序和数据;不得私自变更网络连接、</w:t>
      </w:r>
    </w:p>
    <w:p>
      <w:pPr>
        <w:keepNext w:val="0"/>
        <w:keepLines w:val="0"/>
        <w:pageBreakBefore w:val="0"/>
        <w:widowControl w:val="0"/>
        <w:kinsoku/>
        <w:wordWrap/>
        <w:overflowPunct/>
        <w:topLinePunct w:val="0"/>
        <w:bidi w:val="0"/>
        <w:snapToGrid/>
        <w:spacing w:line="460" w:lineRule="exact"/>
        <w:jc w:val="left"/>
        <w:textAlignment w:val="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配置;不得私自配备或安装麦克风、摄像头等音视频设备;不得私自安装与工作无关的软件，只能使</w:t>
      </w:r>
    </w:p>
    <w:p>
      <w:pPr>
        <w:keepNext w:val="0"/>
        <w:keepLines w:val="0"/>
        <w:pageBreakBefore w:val="0"/>
        <w:widowControl w:val="0"/>
        <w:kinsoku/>
        <w:wordWrap/>
        <w:overflowPunct/>
        <w:topLinePunct w:val="0"/>
        <w:bidi w:val="0"/>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用本人的工作电脑</w:t>
      </w:r>
      <w:r>
        <w:rPr>
          <w:rFonts w:hint="eastAsia" w:ascii="新宋体" w:hAnsi="新宋体" w:eastAsia="新宋体" w:cs="新宋体"/>
          <w:color w:val="auto"/>
          <w:sz w:val="22"/>
          <w:szCs w:val="22"/>
          <w:highlight w:val="none"/>
          <w:lang w:eastAsia="zh-CN"/>
        </w:rPr>
        <w:t>；</w:t>
      </w:r>
    </w:p>
    <w:p>
      <w:pPr>
        <w:pStyle w:val="22"/>
        <w:keepNext w:val="0"/>
        <w:keepLines w:val="0"/>
        <w:pageBreakBefore w:val="0"/>
        <w:widowControl w:val="0"/>
        <w:numPr>
          <w:ilvl w:val="0"/>
          <w:numId w:val="0"/>
        </w:numPr>
        <w:kinsoku/>
        <w:wordWrap/>
        <w:overflowPunct/>
        <w:topLinePunct w:val="0"/>
        <w:bidi w:val="0"/>
        <w:snapToGrid/>
        <w:spacing w:line="460" w:lineRule="exact"/>
        <w:ind w:firstLine="440" w:firstLineChars="200"/>
        <w:textAlignment w:val="auto"/>
        <w:rPr>
          <w:color w:val="auto"/>
          <w:highlight w:val="none"/>
        </w:rPr>
      </w:pPr>
      <w:r>
        <w:rPr>
          <w:rFonts w:hint="eastAsia" w:ascii="新宋体" w:hAnsi="新宋体" w:eastAsia="新宋体" w:cs="新宋体"/>
          <w:color w:val="auto"/>
          <w:sz w:val="22"/>
          <w:szCs w:val="22"/>
          <w:highlight w:val="none"/>
        </w:rPr>
        <w:t>11</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rPr>
        <w:t>乙方不得在公共平台上私自发布未经允许的任何内容</w:t>
      </w:r>
      <w:r>
        <w:rPr>
          <w:rFonts w:hint="eastAsia" w:ascii="新宋体" w:hAnsi="新宋体" w:eastAsia="新宋体" w:cs="新宋体"/>
          <w:color w:val="auto"/>
          <w:sz w:val="22"/>
          <w:szCs w:val="22"/>
          <w:highlight w:val="none"/>
          <w:lang w:eastAsia="zh-CN"/>
        </w:rPr>
        <w:t>；</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color w:val="auto"/>
          <w:sz w:val="22"/>
          <w:szCs w:val="22"/>
          <w:highlight w:val="none"/>
        </w:rPr>
        <w:t>、双方同意，乙方在项目完成后，对其在为甲方服务期间接触或因接触而知悉的服务加工相关的信息仍具有保密义务，接受脱密期管理。</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四</w:t>
      </w:r>
      <w:r>
        <w:rPr>
          <w:rFonts w:hint="eastAsia" w:ascii="新宋体" w:hAnsi="新宋体" w:eastAsia="新宋体" w:cs="新宋体"/>
          <w:color w:val="auto"/>
          <w:sz w:val="22"/>
          <w:szCs w:val="22"/>
          <w:highlight w:val="none"/>
        </w:rPr>
        <w:t>、乙方承诺，在为甲方服务期间，不得擅自使用任何属于他人的全部秘密信息，亦不得擅自实施可能侵犯他人知识产权的行为。</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五</w:t>
      </w:r>
      <w:r>
        <w:rPr>
          <w:rFonts w:hint="eastAsia" w:ascii="新宋体" w:hAnsi="新宋体" w:eastAsia="新宋体" w:cs="新宋体"/>
          <w:color w:val="auto"/>
          <w:sz w:val="22"/>
          <w:szCs w:val="22"/>
          <w:highlight w:val="none"/>
        </w:rPr>
        <w:t>、乙方在项目实施项目过程中不得携带任何物品离开工作场所。</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六</w:t>
      </w:r>
      <w:r>
        <w:rPr>
          <w:rFonts w:hint="eastAsia" w:ascii="新宋体" w:hAnsi="新宋体" w:eastAsia="新宋体" w:cs="新宋体"/>
          <w:color w:val="auto"/>
          <w:sz w:val="22"/>
          <w:szCs w:val="22"/>
          <w:highlight w:val="none"/>
        </w:rPr>
        <w:t>、乙方项目验收合格后，必须将所有用于本项目的存储介质移交给甲方保管(监控数据)，方可撤离工作现场。</w:t>
      </w:r>
    </w:p>
    <w:p>
      <w:pPr>
        <w:spacing w:line="460" w:lineRule="exact"/>
        <w:ind w:firstLine="440" w:firstLineChars="200"/>
        <w:jc w:val="left"/>
        <w:rPr>
          <w:color w:val="auto"/>
          <w:highlight w:val="none"/>
        </w:rPr>
      </w:pPr>
      <w:r>
        <w:rPr>
          <w:rFonts w:hint="eastAsia" w:ascii="新宋体" w:hAnsi="新宋体" w:eastAsia="新宋体" w:cs="新宋体"/>
          <w:color w:val="auto"/>
          <w:sz w:val="22"/>
          <w:szCs w:val="22"/>
          <w:highlight w:val="none"/>
          <w:lang w:val="en-US" w:eastAsia="zh-CN"/>
        </w:rPr>
        <w:t>七</w:t>
      </w:r>
      <w:r>
        <w:rPr>
          <w:rFonts w:hint="eastAsia" w:ascii="新宋体" w:hAnsi="新宋体" w:eastAsia="新宋体" w:cs="新宋体"/>
          <w:color w:val="auto"/>
          <w:sz w:val="22"/>
          <w:szCs w:val="22"/>
          <w:highlight w:val="none"/>
        </w:rPr>
        <w:t>、乙方在项目完成后承担保密义务的期限为无限期保密，直至甲方宣布档案公开或者档案信息实际上已经公开。</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八</w:t>
      </w:r>
      <w:r>
        <w:rPr>
          <w:rFonts w:hint="eastAsia" w:ascii="新宋体" w:hAnsi="新宋体" w:eastAsia="新宋体" w:cs="新宋体"/>
          <w:color w:val="auto"/>
          <w:sz w:val="22"/>
          <w:szCs w:val="22"/>
          <w:highlight w:val="none"/>
        </w:rPr>
        <w:t>、本合同如与双方以前的口头或书面协议有抵触，以本协议为准，本协议的修改必须采用双方</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同意的书面形式。</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九</w:t>
      </w:r>
      <w:r>
        <w:rPr>
          <w:rFonts w:hint="eastAsia" w:ascii="新宋体" w:hAnsi="新宋体" w:eastAsia="新宋体" w:cs="新宋体"/>
          <w:color w:val="auto"/>
          <w:sz w:val="22"/>
          <w:szCs w:val="22"/>
          <w:highlight w:val="none"/>
        </w:rPr>
        <w:t xml:space="preserve">、本协议一式     份，自双方签字盖章之日起生效。 </w:t>
      </w:r>
    </w:p>
    <w:p>
      <w:pPr>
        <w:spacing w:line="460" w:lineRule="exact"/>
        <w:ind w:firstLine="440" w:firstLineChars="200"/>
        <w:jc w:val="left"/>
        <w:rPr>
          <w:rFonts w:hint="eastAsia" w:ascii="新宋体" w:hAnsi="新宋体" w:eastAsia="新宋体" w:cs="新宋体"/>
          <w:color w:val="auto"/>
          <w:sz w:val="22"/>
          <w:szCs w:val="22"/>
          <w:highlight w:val="none"/>
        </w:rPr>
      </w:pP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甲方(公章):                   乙方(公章) </w:t>
      </w:r>
    </w:p>
    <w:p>
      <w:pPr>
        <w:spacing w:line="460" w:lineRule="exact"/>
        <w:ind w:firstLine="440" w:firstLineChars="200"/>
        <w:jc w:val="left"/>
        <w:rPr>
          <w:rFonts w:ascii="新宋体" w:hAnsi="新宋体" w:eastAsia="新宋体" w:cs="新宋体"/>
          <w:color w:val="auto"/>
          <w:sz w:val="22"/>
          <w:szCs w:val="22"/>
          <w:highlight w:val="none"/>
        </w:rPr>
      </w:pP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签署日期:          年  月   日</w:t>
      </w:r>
    </w:p>
    <w:p>
      <w:pPr>
        <w:spacing w:line="460" w:lineRule="exact"/>
        <w:ind w:firstLine="440" w:firstLineChars="200"/>
        <w:jc w:val="center"/>
        <w:outlineLvl w:val="1"/>
        <w:rPr>
          <w:rFonts w:ascii="新宋体" w:hAnsi="新宋体" w:eastAsia="新宋体" w:cs="新宋体"/>
          <w:color w:val="auto"/>
          <w:sz w:val="28"/>
          <w:szCs w:val="28"/>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b/>
          <w:bCs/>
          <w:color w:val="auto"/>
          <w:sz w:val="32"/>
          <w:szCs w:val="32"/>
          <w:highlight w:val="none"/>
        </w:rPr>
        <w:t>员工安全保密协议</w:t>
      </w:r>
    </w:p>
    <w:p>
      <w:pPr>
        <w:spacing w:line="460" w:lineRule="exact"/>
        <w:ind w:firstLine="440" w:firstLineChars="200"/>
        <w:jc w:val="left"/>
        <w:rPr>
          <w:rFonts w:ascii="新宋体" w:hAnsi="新宋体" w:eastAsia="新宋体" w:cs="新宋体"/>
          <w:color w:val="auto"/>
          <w:sz w:val="22"/>
          <w:szCs w:val="22"/>
          <w:highlight w:val="none"/>
        </w:rPr>
      </w:pPr>
    </w:p>
    <w:p>
      <w:pPr>
        <w:spacing w:line="460" w:lineRule="exact"/>
        <w:ind w:firstLine="440" w:firstLineChars="200"/>
        <w:jc w:val="left"/>
        <w:rPr>
          <w:rFonts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甲方:</w:t>
      </w:r>
      <w:r>
        <w:rPr>
          <w:rFonts w:hint="eastAsia" w:ascii="新宋体" w:hAnsi="新宋体" w:eastAsia="新宋体" w:cs="新宋体"/>
          <w:color w:val="auto"/>
          <w:sz w:val="22"/>
          <w:szCs w:val="22"/>
          <w:highlight w:val="none"/>
          <w:u w:val="single"/>
        </w:rPr>
        <w:t xml:space="preserve">                              </w:t>
      </w:r>
    </w:p>
    <w:p>
      <w:pPr>
        <w:spacing w:line="460" w:lineRule="exact"/>
        <w:ind w:firstLine="440" w:firstLineChars="200"/>
        <w:jc w:val="left"/>
        <w:rPr>
          <w:rFonts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乙方:</w:t>
      </w:r>
      <w:r>
        <w:rPr>
          <w:rFonts w:hint="eastAsia" w:ascii="新宋体" w:hAnsi="新宋体" w:eastAsia="新宋体" w:cs="新宋体"/>
          <w:color w:val="auto"/>
          <w:sz w:val="22"/>
          <w:szCs w:val="22"/>
          <w:highlight w:val="none"/>
          <w:u w:val="single"/>
        </w:rPr>
        <w:t xml:space="preserve">                              </w:t>
      </w:r>
    </w:p>
    <w:p>
      <w:pPr>
        <w:spacing w:line="460" w:lineRule="exact"/>
        <w:ind w:firstLine="440" w:firstLineChars="200"/>
        <w:jc w:val="left"/>
        <w:rPr>
          <w:rFonts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身份证号:</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        </w:t>
      </w:r>
    </w:p>
    <w:p>
      <w:pPr>
        <w:spacing w:line="460" w:lineRule="exact"/>
        <w:ind w:firstLine="440" w:firstLineChars="200"/>
        <w:jc w:val="left"/>
        <w:rPr>
          <w:rFonts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紧急联络人/联系方式：</w:t>
      </w:r>
      <w:r>
        <w:rPr>
          <w:rFonts w:hint="eastAsia" w:ascii="新宋体" w:hAnsi="新宋体" w:eastAsia="新宋体" w:cs="新宋体"/>
          <w:color w:val="auto"/>
          <w:sz w:val="22"/>
          <w:szCs w:val="22"/>
          <w:highlight w:val="none"/>
          <w:u w:val="single"/>
        </w:rPr>
        <w:t xml:space="preserve">              </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现住址：</w:t>
      </w:r>
      <w:r>
        <w:rPr>
          <w:rFonts w:hint="eastAsia" w:ascii="新宋体" w:hAnsi="新宋体" w:eastAsia="新宋体" w:cs="新宋体"/>
          <w:color w:val="auto"/>
          <w:sz w:val="22"/>
          <w:szCs w:val="22"/>
          <w:highlight w:val="none"/>
          <w:u w:val="single"/>
        </w:rPr>
        <w:t xml:space="preserve">                            </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鉴于乙方在甲方任职，并将获得甲方支付的相应报酬，且乙方作为甲方的工作人员在用户现场工</w:t>
      </w:r>
    </w:p>
    <w:p>
      <w:pPr>
        <w:spacing w:line="460" w:lineRule="exact"/>
        <w:ind w:firstLine="440" w:firstLineChars="2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作期间，需要完成</w:t>
      </w:r>
      <w:r>
        <w:rPr>
          <w:rFonts w:hint="eastAsia" w:ascii="宋体" w:hAnsi="宋体" w:cs="宋体"/>
          <w:color w:val="auto"/>
          <w:sz w:val="22"/>
          <w:highlight w:val="none"/>
        </w:rPr>
        <w:t>档案搬运服务</w:t>
      </w:r>
      <w:r>
        <w:rPr>
          <w:rFonts w:hint="eastAsia" w:ascii="新宋体" w:hAnsi="新宋体" w:eastAsia="新宋体" w:cs="新宋体"/>
          <w:color w:val="auto"/>
          <w:sz w:val="22"/>
          <w:szCs w:val="22"/>
          <w:highlight w:val="none"/>
        </w:rPr>
        <w:t>等方面的任务，并会获悉用户单位的档案资料和商业秘密，为有效保护甲方及用户单位的合法权益，根据</w:t>
      </w:r>
      <w:r>
        <w:rPr>
          <w:rFonts w:eastAsia="新宋体"/>
          <w:bCs/>
          <w:color w:val="auto"/>
          <w:sz w:val="22"/>
          <w:szCs w:val="22"/>
          <w:highlight w:val="none"/>
        </w:rPr>
        <w:t>《中华人民共和国民法典》</w:t>
      </w:r>
      <w:r>
        <w:rPr>
          <w:rFonts w:hint="eastAsia" w:ascii="新宋体" w:hAnsi="新宋体" w:eastAsia="新宋体" w:cs="新宋体"/>
          <w:color w:val="auto"/>
          <w:sz w:val="22"/>
          <w:szCs w:val="22"/>
          <w:highlight w:val="none"/>
        </w:rPr>
        <w:t>及相关法律法规和有关部委的规定，双方当事人就乙方在任职期间及离职以后应当履行的保密义务，本着平等、自愿、公平和诚实守信的原则签订本协议。</w:t>
      </w:r>
    </w:p>
    <w:p>
      <w:pPr>
        <w:spacing w:line="460" w:lineRule="exact"/>
        <w:ind w:firstLine="442" w:firstLineChars="200"/>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第一条  保密信息的定义</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1、本协议所指“保密信息”包括所有甲方和用户单位的专利技术、案卷信息、客户数据和商业秘密，以及与前述信息、秘密相关的数据库、报表等所有资料。</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2、本协议第一条第1款的“商业秘密”系指甲方和用户单位所有的其他不为公众所知悉，能为</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甲方带来经济利益，具有实用性的技术信息和经营信息以及一切与之相关的数据、资料等。</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甲方依照法律规定(如在缔结过程中知悉其他相对人的商业秘密)和在有关协议的约定(如技术合同)中对外承担保密义务的事项，也属本保密协议所称的商业秘密。乙方对上述专利技术、案卷信息、客户数据和商业秘密承担保密义务。</w:t>
      </w:r>
    </w:p>
    <w:p>
      <w:pPr>
        <w:spacing w:line="460" w:lineRule="exact"/>
        <w:ind w:firstLine="442" w:firstLineChars="200"/>
        <w:jc w:val="left"/>
        <w:rPr>
          <w:rFonts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第二条  乙方的保密义务</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1.乙方在甲方任职期间，必须遵守甲方规定的任何成文或不成文的保密规章、制度，履行与其工作岗位相应的保密职责;</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2.甲方的保密规章、制度没有规定或规定不明确之外，乙方亦应本着谨慎，诚实的态度，采取任何必要、合理的措施，维护其于任职期间获悉的本协议第一条约定的保密信息;</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 乙方承诺，未经甲方和用户单位同意，不得故意或过失泄露、告知、公布、发布、传授、转</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让或其他任何方式使任何第三方知悉本协议第一条约定的保密信息，也不得在履行职务之外使用这些</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保密信息，即使这些信息甚至可能是全部由乙方本人因工作取得的;</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4.若乙方发现用户单位的保密信息被泄露或者因自己的过失泄露了用户单位的保密信息，应当</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采取有效措施防止泄露进一步扩大，并及时书面报告甲方负责人:</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5.乙方必须严格遵守用户单位的规章管理制度;</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6.乙方未经用户允许，不得复制、摘抄、携带、传播工作过程中所接触到的相关文件、资料和</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数据，不得随意丢弃或带走相关文件资料，必须在办公场所使用碎纸机销毁;</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7.乙方未经用户单位允许不得在办公场所内使用手机拍照，并不得将照片公布;</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8.乙方未经用户单位允许不得擅自出入用户现场非办公区域;</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9.乙方有义务保管好自己所有的资料，任何人不得携带私人U盘将其任何保密资料复制后携带</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外出，并不得私自传借、披露，更不得利用所掌握的商秘密牟取私利:</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10.乙方在用户现场工作期间，须严格遵守内外网络、IP地址、终端计算机设备、中心机房设备、网络设备、安全设备使用规定;不得私自更改账号、参数配置、程序和数据;不得私自变更网络连接、</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配置;不得私自配备或安装麦克风、摄像头等音视频设备;不得私自安装与工作无关的软件，只能使</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用本人的工作电脑;</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11乙方不得在公共平台上私自发布未经允许的任何内容;</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12.在劳动合同关系终止后，乙方仍应遵守本协议约定的保密义务，并在离职手续办理期间将保</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管的所有有关甲方和用户单位的保密信息和资料交还给甲方，不得复制、保留任何文件或文件副本。</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13.本协议未约定但依据诚实守信的原则和有关法律法规的规定，乙方应当遵守甲方的其他保密</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义务。</w:t>
      </w:r>
    </w:p>
    <w:p>
      <w:pPr>
        <w:spacing w:line="460" w:lineRule="exact"/>
        <w:ind w:firstLine="442" w:firstLineChars="200"/>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第三条  保密期限</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1.本协议自签订之日起生效。</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2.乙方离职后无限期承担本协议约定的保密义务，直至甲方和用户单位宣布解密或保密信息合法进入公有领域。</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3.乙方认可，甲方在支付乙方的工资报酬时，已考虑了乙方在职和离职后需要承担的保密义务，故甲方无需在乙方离职时另行支付保密费。</w:t>
      </w:r>
    </w:p>
    <w:p>
      <w:pPr>
        <w:spacing w:line="460" w:lineRule="exact"/>
        <w:ind w:firstLine="442" w:firstLineChars="200"/>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第四条  违约责任</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1.乙方违反协议中的保密义务，给甲方和用户单位造成损失的，应承担违约责任，包括但不限</w:t>
      </w:r>
    </w:p>
    <w:p>
      <w:pPr>
        <w:spacing w:line="460" w:lineRule="exact"/>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于经济赔偿和承担相应的法律制裁。</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经济赔偿:为甲方和用户单位因乙方的违约或侵权行为所受到的实际经济损失;</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(1)经济赔偿金标准;乙方不论任何原因的泄密行为(包括损害第三方客户利益)实际造成甲方或第三方客户追究甲方和用户单位责任所导致的经济损失，由乙方全部承担。</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(2)甲方因调查乙方的违约或侵权行为而支付的合理费用，如律师费 公证费、取证费等，应当包含在损失赔偿额之内。</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(3)因乙方的违约或侵权行为侵犯了甲方和用户单位得商业秘密权利的，甲方可以选择根据本协议要求乙方承担违约责任，或者根据国家有关法律法规要求乙方承担侵权责任。</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若乙方违反本协议而导致甲方和用户单位遭受第三方的侵权指控时，乙方应当承担甲方和用户单位为应诉而支付的一切费用;甲方和用户单位因此而承担赔偿责任的，有权向乙方追偿。上述应诉费用和侵权赔偿甲方可以从乙方的工资报酬中直接支付。</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3.甲方保留一切通过法律手段追究乙方违约或侵权责任权利，包括追究其刑事责任。</w:t>
      </w:r>
    </w:p>
    <w:p>
      <w:pPr>
        <w:spacing w:line="460" w:lineRule="exact"/>
        <w:ind w:firstLine="442" w:firstLineChars="200"/>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第五条  争议的解决方式</w:t>
      </w:r>
    </w:p>
    <w:p>
      <w:pPr>
        <w:spacing w:line="460" w:lineRule="exact"/>
        <w:ind w:left="109" w:leftChars="52" w:firstLine="330" w:firstLineChars="150"/>
        <w:rPr>
          <w:rFonts w:ascii="仿宋_GB2312" w:hAnsi="新宋体" w:eastAsia="仿宋_GB2312" w:cs="宋体"/>
          <w:color w:val="auto"/>
          <w:highlight w:val="none"/>
        </w:rPr>
      </w:pPr>
      <w:r>
        <w:rPr>
          <w:rFonts w:hint="eastAsia" w:ascii="新宋体" w:hAnsi="新宋体" w:eastAsia="新宋体" w:cs="宋体"/>
          <w:color w:val="auto"/>
          <w:kern w:val="0"/>
          <w:sz w:val="22"/>
          <w:szCs w:val="22"/>
          <w:highlight w:val="none"/>
        </w:rPr>
        <w:t>1、有关本</w:t>
      </w:r>
      <w:r>
        <w:rPr>
          <w:rFonts w:hint="eastAsia" w:ascii="新宋体" w:hAnsi="新宋体" w:eastAsia="新宋体" w:cs="宋体"/>
          <w:color w:val="auto"/>
          <w:kern w:val="0"/>
          <w:sz w:val="22"/>
          <w:szCs w:val="22"/>
          <w:highlight w:val="none"/>
          <w:lang w:val="en-US" w:eastAsia="zh-CN"/>
        </w:rPr>
        <w:t>协议</w:t>
      </w:r>
      <w:r>
        <w:rPr>
          <w:rFonts w:hint="eastAsia" w:ascii="新宋体" w:hAnsi="新宋体" w:eastAsia="新宋体" w:cs="宋体"/>
          <w:color w:val="auto"/>
          <w:kern w:val="0"/>
          <w:sz w:val="22"/>
          <w:szCs w:val="22"/>
          <w:highlight w:val="none"/>
        </w:rPr>
        <w:t>和签署本</w:t>
      </w:r>
      <w:r>
        <w:rPr>
          <w:rFonts w:hint="eastAsia" w:ascii="新宋体" w:hAnsi="新宋体" w:eastAsia="新宋体" w:cs="宋体"/>
          <w:color w:val="auto"/>
          <w:kern w:val="0"/>
          <w:sz w:val="22"/>
          <w:szCs w:val="22"/>
          <w:highlight w:val="none"/>
          <w:lang w:val="en-US" w:eastAsia="zh-CN"/>
        </w:rPr>
        <w:t>协议</w:t>
      </w:r>
      <w:r>
        <w:rPr>
          <w:rFonts w:hint="eastAsia" w:ascii="新宋体" w:hAnsi="新宋体" w:eastAsia="新宋体" w:cs="宋体"/>
          <w:color w:val="auto"/>
          <w:kern w:val="0"/>
          <w:sz w:val="22"/>
          <w:szCs w:val="22"/>
          <w:highlight w:val="none"/>
        </w:rPr>
        <w:t>的争议应通过友好协商解决。如果协商不成</w:t>
      </w:r>
      <w:r>
        <w:rPr>
          <w:rFonts w:hint="eastAsia" w:ascii="新宋体" w:hAnsi="新宋体" w:eastAsia="新宋体" w:cs="新宋体"/>
          <w:color w:val="auto"/>
          <w:sz w:val="22"/>
          <w:szCs w:val="22"/>
          <w:highlight w:val="none"/>
        </w:rPr>
        <w:t>向甲方所在地人民法院起诉。</w:t>
      </w:r>
    </w:p>
    <w:p>
      <w:pPr>
        <w:spacing w:line="460" w:lineRule="exact"/>
        <w:ind w:firstLine="440" w:firstLineChars="200"/>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2、本协议未尽事宜或与国家有关法律、法规相悖的，均按国家有关法律、规定执行。</w:t>
      </w:r>
    </w:p>
    <w:p>
      <w:pPr>
        <w:spacing w:line="460" w:lineRule="exact"/>
        <w:ind w:firstLine="440" w:firstLineChars="200"/>
        <w:jc w:val="left"/>
        <w:rPr>
          <w:rFonts w:hint="eastAsia" w:ascii="新宋体" w:hAnsi="新宋体" w:eastAsia="新宋体" w:cs="新宋体"/>
          <w:b/>
          <w:bCs/>
          <w:color w:val="auto"/>
          <w:sz w:val="22"/>
          <w:szCs w:val="22"/>
          <w:highlight w:val="none"/>
        </w:rPr>
      </w:pPr>
      <w:r>
        <w:rPr>
          <w:rFonts w:hint="eastAsia" w:ascii="新宋体" w:hAnsi="新宋体" w:eastAsia="新宋体" w:cs="宋体"/>
          <w:color w:val="auto"/>
          <w:kern w:val="0"/>
          <w:sz w:val="22"/>
          <w:szCs w:val="22"/>
          <w:highlight w:val="none"/>
        </w:rPr>
        <w:t>3、任何一方就对方针对本合同项下任何条款的违约行为的自动弃权或重复性弃权不应被视为是对下一次针对同一条款的违约行为、或针对其他条款的违约行为的弃权。</w:t>
      </w:r>
    </w:p>
    <w:p>
      <w:pPr>
        <w:spacing w:line="460" w:lineRule="exact"/>
        <w:ind w:firstLine="442" w:firstLineChars="200"/>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第六条  双方确认在签署本协议前，双方已经详细审阅了协议的内容，并完全了解协议各项条款</w:t>
      </w:r>
    </w:p>
    <w:p>
      <w:pPr>
        <w:spacing w:line="460" w:lineRule="exact"/>
        <w:jc w:val="left"/>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的法律含义。</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本协议一式叁份，甲乙双方各执一份。用户单位备案一份。</w:t>
      </w: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本协议复印件有效。(以下无正文)</w:t>
      </w:r>
    </w:p>
    <w:p>
      <w:pPr>
        <w:spacing w:line="460" w:lineRule="exact"/>
        <w:ind w:firstLine="440" w:firstLineChars="200"/>
        <w:jc w:val="left"/>
        <w:rPr>
          <w:rFonts w:ascii="新宋体" w:hAnsi="新宋体" w:eastAsia="新宋体" w:cs="新宋体"/>
          <w:color w:val="auto"/>
          <w:sz w:val="22"/>
          <w:szCs w:val="22"/>
          <w:highlight w:val="none"/>
        </w:rPr>
      </w:pP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甲方: (盖章)                                 乙方: (签字) </w:t>
      </w:r>
    </w:p>
    <w:p>
      <w:pPr>
        <w:spacing w:line="460" w:lineRule="exact"/>
        <w:ind w:firstLine="440" w:firstLineChars="200"/>
        <w:jc w:val="left"/>
        <w:rPr>
          <w:rFonts w:ascii="新宋体" w:hAnsi="新宋体" w:eastAsia="新宋体" w:cs="新宋体"/>
          <w:color w:val="auto"/>
          <w:sz w:val="22"/>
          <w:szCs w:val="22"/>
          <w:highlight w:val="none"/>
        </w:rPr>
      </w:pPr>
    </w:p>
    <w:p>
      <w:pPr>
        <w:spacing w:line="460" w:lineRule="exact"/>
        <w:ind w:firstLine="440" w:firstLineChars="200"/>
        <w:jc w:val="lef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年  日  月                                   年  日  月 </w:t>
      </w:r>
    </w:p>
    <w:p>
      <w:pPr>
        <w:rPr>
          <w:rFonts w:ascii="宋体" w:hAnsi="宋体" w:cs="宋体"/>
          <w:b/>
          <w:color w:val="auto"/>
          <w:sz w:val="30"/>
          <w:highlight w:val="none"/>
        </w:rPr>
      </w:pPr>
      <w:r>
        <w:rPr>
          <w:rFonts w:hint="eastAsia" w:ascii="宋体" w:hAnsi="宋体" w:cs="宋体"/>
          <w:b/>
          <w:color w:val="auto"/>
          <w:sz w:val="30"/>
          <w:highlight w:val="none"/>
        </w:rPr>
        <w:br w:type="page"/>
      </w:r>
    </w:p>
    <w:p>
      <w:pPr>
        <w:pStyle w:val="4"/>
        <w:rPr>
          <w:rFonts w:ascii="宋体" w:hAnsi="宋体" w:eastAsia="宋体" w:cs="宋体"/>
          <w:color w:val="auto"/>
          <w:highlight w:val="none"/>
        </w:rPr>
      </w:pPr>
      <w:bookmarkStart w:id="26" w:name="_Toc19081"/>
      <w:bookmarkStart w:id="27" w:name="_Toc18439"/>
      <w:r>
        <w:rPr>
          <w:rFonts w:hint="eastAsia" w:ascii="宋体" w:hAnsi="宋体" w:eastAsia="宋体" w:cs="宋体"/>
          <w:color w:val="auto"/>
          <w:highlight w:val="none"/>
        </w:rPr>
        <w:t>第三部分    附件</w:t>
      </w:r>
      <w:bookmarkEnd w:id="26"/>
      <w:bookmarkEnd w:id="27"/>
    </w:p>
    <w:p>
      <w:pPr>
        <w:pStyle w:val="24"/>
        <w:spacing w:line="460" w:lineRule="exact"/>
        <w:ind w:left="433" w:hanging="433" w:hangingChars="196"/>
        <w:outlineLvl w:val="1"/>
        <w:rPr>
          <w:rFonts w:ascii="宋体" w:hAnsi="宋体" w:cs="宋体"/>
          <w:b/>
          <w:color w:val="auto"/>
          <w:sz w:val="22"/>
          <w:highlight w:val="none"/>
        </w:rPr>
      </w:pPr>
      <w:bookmarkStart w:id="28" w:name="_Toc7056"/>
      <w:bookmarkStart w:id="29" w:name="_Toc6368"/>
      <w:r>
        <w:rPr>
          <w:rFonts w:hint="eastAsia" w:ascii="宋体" w:hAnsi="宋体" w:cs="宋体"/>
          <w:b/>
          <w:color w:val="auto"/>
          <w:sz w:val="22"/>
          <w:highlight w:val="none"/>
        </w:rPr>
        <w:t>附件一</w:t>
      </w:r>
      <w:bookmarkEnd w:id="28"/>
      <w:bookmarkEnd w:id="29"/>
    </w:p>
    <w:p>
      <w:pPr>
        <w:spacing w:line="400" w:lineRule="exact"/>
        <w:jc w:val="center"/>
        <w:outlineLvl w:val="2"/>
        <w:rPr>
          <w:rFonts w:ascii="宋体" w:hAnsi="宋体" w:cs="宋体"/>
          <w:b/>
          <w:bCs/>
          <w:color w:val="auto"/>
          <w:sz w:val="28"/>
          <w:szCs w:val="28"/>
          <w:highlight w:val="none"/>
        </w:rPr>
      </w:pPr>
      <w:bookmarkStart w:id="30" w:name="_Toc13365"/>
      <w:bookmarkStart w:id="31" w:name="_Toc5430"/>
      <w:r>
        <w:rPr>
          <w:rFonts w:hint="eastAsia" w:ascii="宋体" w:hAnsi="宋体" w:cs="宋体"/>
          <w:b/>
          <w:bCs/>
          <w:color w:val="auto"/>
          <w:sz w:val="28"/>
          <w:szCs w:val="28"/>
          <w:highlight w:val="none"/>
        </w:rPr>
        <w:t>报价文件</w:t>
      </w:r>
      <w:bookmarkEnd w:id="30"/>
      <w:bookmarkEnd w:id="31"/>
    </w:p>
    <w:p>
      <w:pPr>
        <w:spacing w:line="400" w:lineRule="exact"/>
        <w:jc w:val="center"/>
        <w:outlineLvl w:val="3"/>
        <w:rPr>
          <w:rFonts w:ascii="宋体" w:hAnsi="宋体" w:cs="宋体"/>
          <w:b/>
          <w:color w:val="auto"/>
          <w:sz w:val="22"/>
          <w:szCs w:val="22"/>
          <w:highlight w:val="none"/>
          <w:lang w:val="zh-CN"/>
        </w:rPr>
      </w:pPr>
      <w:r>
        <w:rPr>
          <w:rFonts w:hint="eastAsia" w:ascii="宋体" w:hAnsi="宋体" w:cs="宋体"/>
          <w:b/>
          <w:color w:val="auto"/>
          <w:sz w:val="22"/>
          <w:szCs w:val="22"/>
          <w:highlight w:val="none"/>
        </w:rPr>
        <w:t>1、</w:t>
      </w:r>
      <w:r>
        <w:rPr>
          <w:rFonts w:hint="eastAsia" w:ascii="宋体" w:hAnsi="宋体" w:cs="宋体"/>
          <w:b/>
          <w:color w:val="auto"/>
          <w:sz w:val="22"/>
          <w:szCs w:val="22"/>
          <w:highlight w:val="none"/>
          <w:lang w:val="zh-CN"/>
        </w:rPr>
        <w:t>投标函</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致：温州市城市建设档案馆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根据贵方为</w:t>
      </w:r>
      <w:r>
        <w:rPr>
          <w:rFonts w:hint="eastAsia" w:ascii="宋体" w:hAnsi="宋体" w:cs="宋体"/>
          <w:color w:val="auto"/>
          <w:sz w:val="22"/>
          <w:szCs w:val="22"/>
          <w:highlight w:val="none"/>
          <w:u w:val="single"/>
          <w:lang w:val="en-US" w:eastAsia="zh-CN"/>
        </w:rPr>
        <w:t xml:space="preserve">        </w:t>
      </w:r>
      <w:r>
        <w:rPr>
          <w:rFonts w:hint="eastAsia" w:ascii="宋体" w:hAnsi="宋体" w:cs="宋体"/>
          <w:color w:val="auto"/>
          <w:sz w:val="22"/>
          <w:szCs w:val="22"/>
          <w:highlight w:val="none"/>
        </w:rPr>
        <w:t>项目（招标编号：</w:t>
      </w:r>
      <w:r>
        <w:rPr>
          <w:rFonts w:hint="eastAsia" w:ascii="宋体" w:hAnsi="宋体" w:cs="宋体"/>
          <w:color w:val="auto"/>
          <w:sz w:val="22"/>
          <w:szCs w:val="22"/>
          <w:highlight w:val="none"/>
          <w:u w:val="single"/>
          <w:lang w:val="en-US" w:eastAsia="zh-CN"/>
        </w:rPr>
        <w:t xml:space="preserve">         </w:t>
      </w:r>
      <w:r>
        <w:rPr>
          <w:rFonts w:hint="eastAsia" w:ascii="宋体" w:hAnsi="宋体" w:cs="宋体"/>
          <w:color w:val="auto"/>
          <w:sz w:val="22"/>
          <w:szCs w:val="22"/>
          <w:highlight w:val="none"/>
        </w:rPr>
        <w:t>）的投标邀请，我方</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（投标人名称）作为投标人正式授权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（授权代表全名，职务）代表我方处理有关本投标的一切事宜。为此：</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1、我方同意在投标人</w:t>
      </w:r>
      <w:r>
        <w:rPr>
          <w:rFonts w:hint="eastAsia" w:ascii="宋体" w:hAnsi="宋体" w:cs="宋体"/>
          <w:color w:val="auto"/>
          <w:kern w:val="44"/>
          <w:sz w:val="22"/>
          <w:szCs w:val="22"/>
          <w:highlight w:val="none"/>
        </w:rPr>
        <w:t>编制和提交投标文件须知</w:t>
      </w:r>
      <w:r>
        <w:rPr>
          <w:rFonts w:hint="eastAsia" w:ascii="宋体" w:hAnsi="宋体" w:cs="宋体"/>
          <w:color w:val="auto"/>
          <w:sz w:val="22"/>
          <w:szCs w:val="22"/>
          <w:highlight w:val="none"/>
        </w:rPr>
        <w:t>规定的开标日期起遵守本投标书中的承诺且在投标有效期满之前均具有约束力。</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2、我方承诺已经具备《中华人民共和国政府采购法》中规定的参加政府采购活动的供应商应当具备的条件：</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(1)具有独立承担民事责任的能力；</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(2)遵守国家法律、行政法规，具有良好的信誉和商业道德；</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(3)具有履行合同的能力和良好的履行合同记录；</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(4)良好的资金、财务状况；</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(5)提供的产品和服务符合中国政府规定的相应标准和环保标准；</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(6)没有违反政府采购法规、政策的记录；</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(7)没有发生重大经济纠纷和走私犯罪记录。</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3、提供</w:t>
      </w:r>
      <w:r>
        <w:rPr>
          <w:rFonts w:hint="eastAsia" w:ascii="宋体" w:hAnsi="宋体" w:cs="宋体"/>
          <w:color w:val="auto"/>
          <w:kern w:val="44"/>
          <w:sz w:val="22"/>
          <w:szCs w:val="22"/>
          <w:highlight w:val="none"/>
        </w:rPr>
        <w:t>编制和提交投标文件须知</w:t>
      </w:r>
      <w:r>
        <w:rPr>
          <w:rFonts w:hint="eastAsia" w:ascii="宋体" w:hAnsi="宋体" w:cs="宋体"/>
          <w:color w:val="auto"/>
          <w:sz w:val="22"/>
          <w:szCs w:val="22"/>
          <w:highlight w:val="none"/>
        </w:rPr>
        <w:t>规定的全部投标文件，包括资格文件、报价文件、商务技术文件。具体内容为：</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(1)资格文件</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(2)报价文件；</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w:t>
      </w:r>
      <w:r>
        <w:rPr>
          <w:rFonts w:hint="eastAsia" w:ascii="宋体" w:hAnsi="宋体" w:cs="宋体"/>
          <w:color w:val="auto"/>
          <w:sz w:val="22"/>
          <w:szCs w:val="22"/>
          <w:highlight w:val="none"/>
          <w:lang w:val="zh-CN"/>
        </w:rPr>
        <w:t>商务</w:t>
      </w:r>
      <w:r>
        <w:rPr>
          <w:rFonts w:hint="eastAsia" w:ascii="宋体" w:hAnsi="宋体" w:cs="宋体"/>
          <w:color w:val="auto"/>
          <w:kern w:val="0"/>
          <w:sz w:val="22"/>
          <w:szCs w:val="22"/>
          <w:highlight w:val="none"/>
          <w:lang w:val="zh-CN"/>
        </w:rPr>
        <w:t>技术文件</w:t>
      </w:r>
      <w:r>
        <w:rPr>
          <w:rFonts w:hint="eastAsia" w:ascii="宋体" w:hAnsi="宋体" w:cs="宋体"/>
          <w:color w:val="auto"/>
          <w:sz w:val="22"/>
          <w:szCs w:val="22"/>
          <w:highlight w:val="none"/>
        </w:rPr>
        <w:t>；</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w:t>
      </w:r>
      <w:r>
        <w:rPr>
          <w:rFonts w:hint="eastAsia" w:ascii="宋体" w:hAnsi="宋体" w:cs="宋体"/>
          <w:color w:val="auto"/>
          <w:kern w:val="44"/>
          <w:sz w:val="22"/>
          <w:szCs w:val="22"/>
          <w:highlight w:val="none"/>
        </w:rPr>
        <w:t>编制和提交投标文件须知</w:t>
      </w:r>
      <w:r>
        <w:rPr>
          <w:rFonts w:hint="eastAsia" w:ascii="宋体" w:hAnsi="宋体" w:cs="宋体"/>
          <w:color w:val="auto"/>
          <w:sz w:val="22"/>
          <w:szCs w:val="22"/>
          <w:highlight w:val="none"/>
        </w:rPr>
        <w:t>要求投标人提交的全部文件；</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(5)按招标文件要求提供和交付的货物和服务的投标报价详见开标一览表；</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(6)保证忠实地执行双方所签订的合同，并承担合同规定的责任和义务；</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(7)保证遵守招标文件中的其他有关规定。</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4、投标有效期内不撤销投标文件，如中标，有效期将延至合同终止日为止。</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5、我方完全理解贵方不一定要接受最低价的投标。</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7、如中标，按招标文件规定的招标代理服务费标准，在领取中标通知书时向招标代理机构支付招标代理服务费。</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8、我方愿意向贵方提供任何与该项投标有关的数据、情况和服务资料。若贵方需要，我方愿意提供我方作出的一切承诺的证明材料。</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(1)提供虚假材料谋取中标、成交的；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(2)采取不正当手段诋毁、排挤其他供应商的；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(3)与招标人、其它供应商或者招标代理机构恶意串通的；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(4)向招标人、招标代理机构行贿或者提供其他不正当利益的；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(5)在招标采购过程中与招标人进行协商谈判的；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(6)拒绝有关部门监督检查或提供虚假情况的。</w:t>
      </w:r>
    </w:p>
    <w:p>
      <w:pPr>
        <w:shd w:val="clear" w:color="auto" w:fill="FFFFFF"/>
        <w:snapToGrid w:val="0"/>
        <w:spacing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供应商有前款第(1)至(5)项情形之一的，中标、成交无效。</w:t>
      </w:r>
    </w:p>
    <w:p>
      <w:pPr>
        <w:shd w:val="clear" w:color="auto" w:fill="FFFFFF"/>
        <w:snapToGrid w:val="0"/>
        <w:spacing w:line="360" w:lineRule="auto"/>
        <w:rPr>
          <w:rFonts w:ascii="宋体" w:hAnsi="宋体" w:cs="宋体"/>
          <w:color w:val="auto"/>
          <w:kern w:val="0"/>
          <w:sz w:val="22"/>
          <w:szCs w:val="22"/>
          <w:highlight w:val="none"/>
          <w:lang w:val="zh-CN"/>
        </w:rPr>
      </w:pPr>
    </w:p>
    <w:p>
      <w:pPr>
        <w:shd w:val="clear" w:color="auto" w:fill="FFFFFF"/>
        <w:snapToGrid w:val="0"/>
        <w:spacing w:line="360" w:lineRule="auto"/>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法定（授权）代表人（签字）：</w:t>
      </w:r>
      <w:r>
        <w:rPr>
          <w:rFonts w:hint="eastAsia" w:ascii="宋体" w:hAnsi="宋体" w:cs="宋体"/>
          <w:color w:val="auto"/>
          <w:kern w:val="0"/>
          <w:sz w:val="22"/>
          <w:szCs w:val="22"/>
          <w:highlight w:val="none"/>
        </w:rPr>
        <w:tab/>
      </w:r>
    </w:p>
    <w:p>
      <w:pPr>
        <w:shd w:val="clear" w:color="auto" w:fill="FFFFFF"/>
        <w:snapToGrid w:val="0"/>
        <w:spacing w:line="360" w:lineRule="auto"/>
        <w:ind w:firstLine="440" w:firstLineChars="200"/>
        <w:rPr>
          <w:rFonts w:ascii="宋体" w:hAnsi="宋体" w:cs="宋体"/>
          <w:color w:val="auto"/>
          <w:kern w:val="0"/>
          <w:sz w:val="22"/>
          <w:szCs w:val="22"/>
          <w:highlight w:val="none"/>
          <w:u w:val="single"/>
          <w:lang w:val="zh-CN"/>
        </w:rPr>
      </w:pPr>
      <w:r>
        <w:rPr>
          <w:rFonts w:hint="eastAsia" w:ascii="宋体" w:hAnsi="宋体" w:cs="宋体"/>
          <w:color w:val="auto"/>
          <w:kern w:val="0"/>
          <w:sz w:val="22"/>
          <w:szCs w:val="22"/>
          <w:highlight w:val="none"/>
          <w:lang w:val="zh-CN"/>
        </w:rPr>
        <w:t>投标人盖 章：</w:t>
      </w:r>
      <w:r>
        <w:rPr>
          <w:rFonts w:hint="eastAsia" w:ascii="宋体" w:hAnsi="宋体" w:cs="宋体"/>
          <w:color w:val="auto"/>
          <w:kern w:val="0"/>
          <w:sz w:val="22"/>
          <w:szCs w:val="22"/>
          <w:highlight w:val="none"/>
        </w:rPr>
        <w:tab/>
      </w:r>
    </w:p>
    <w:p>
      <w:pPr>
        <w:shd w:val="clear" w:color="auto" w:fill="FFFFFF"/>
        <w:snapToGrid w:val="0"/>
        <w:spacing w:line="360" w:lineRule="auto"/>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 xml:space="preserve">联系电话： 传真：  电子邮件：  </w:t>
      </w:r>
    </w:p>
    <w:p>
      <w:pPr>
        <w:shd w:val="clear" w:color="auto" w:fill="FFFFFF"/>
        <w:snapToGrid w:val="0"/>
        <w:spacing w:line="360" w:lineRule="auto"/>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联系地址：</w:t>
      </w:r>
      <w:r>
        <w:rPr>
          <w:rFonts w:hint="eastAsia" w:ascii="宋体" w:hAnsi="宋体" w:cs="宋体"/>
          <w:color w:val="auto"/>
          <w:kern w:val="0"/>
          <w:sz w:val="22"/>
          <w:szCs w:val="22"/>
          <w:highlight w:val="none"/>
        </w:rPr>
        <w:tab/>
      </w:r>
    </w:p>
    <w:p>
      <w:pPr>
        <w:shd w:val="clear" w:color="auto" w:fill="FFFFFF"/>
        <w:snapToGrid w:val="0"/>
        <w:spacing w:line="360" w:lineRule="auto"/>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邮政编码：传真号码：</w:t>
      </w:r>
    </w:p>
    <w:p>
      <w:pPr>
        <w:shd w:val="clear" w:color="auto" w:fill="FFFFFF"/>
        <w:snapToGrid w:val="0"/>
        <w:spacing w:line="360" w:lineRule="auto"/>
        <w:ind w:firstLine="440" w:firstLineChars="20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lang w:val="zh-CN"/>
        </w:rPr>
        <w:t>日期</w:t>
      </w:r>
      <w:r>
        <w:rPr>
          <w:rFonts w:hint="eastAsia" w:ascii="宋体" w:hAnsi="宋体" w:cs="宋体"/>
          <w:color w:val="auto"/>
          <w:kern w:val="0"/>
          <w:sz w:val="22"/>
          <w:szCs w:val="22"/>
          <w:highlight w:val="none"/>
        </w:rPr>
        <w:t xml:space="preserve">： </w:t>
      </w:r>
      <w:r>
        <w:rPr>
          <w:rFonts w:hint="eastAsia" w:ascii="宋体" w:hAnsi="宋体" w:cs="宋体"/>
          <w:color w:val="auto"/>
          <w:kern w:val="0"/>
          <w:sz w:val="22"/>
          <w:szCs w:val="22"/>
          <w:highlight w:val="none"/>
          <w:lang w:val="zh-CN"/>
        </w:rPr>
        <w:t>年</w:t>
      </w:r>
      <w:r>
        <w:rPr>
          <w:rFonts w:hint="eastAsia" w:ascii="宋体" w:hAnsi="宋体" w:cs="宋体"/>
          <w:color w:val="auto"/>
          <w:kern w:val="0"/>
          <w:sz w:val="22"/>
          <w:szCs w:val="22"/>
          <w:highlight w:val="none"/>
          <w:u w:val="single"/>
        </w:rPr>
        <w:tab/>
      </w:r>
      <w:r>
        <w:rPr>
          <w:rFonts w:hint="eastAsia" w:ascii="宋体" w:hAnsi="宋体" w:cs="宋体"/>
          <w:color w:val="auto"/>
          <w:kern w:val="0"/>
          <w:sz w:val="22"/>
          <w:szCs w:val="22"/>
          <w:highlight w:val="none"/>
          <w:lang w:val="zh-CN"/>
        </w:rPr>
        <w:t>月日</w:t>
      </w:r>
    </w:p>
    <w:p>
      <w:pPr>
        <w:spacing w:line="440" w:lineRule="exact"/>
        <w:rPr>
          <w:rFonts w:ascii="宋体" w:hAnsi="宋体" w:cs="宋体"/>
          <w:b/>
          <w:bCs/>
          <w:color w:val="auto"/>
          <w:sz w:val="22"/>
          <w:szCs w:val="22"/>
          <w:highlight w:val="none"/>
        </w:rPr>
      </w:pPr>
      <w:r>
        <w:rPr>
          <w:rFonts w:hint="eastAsia" w:ascii="宋体" w:hAnsi="宋体" w:cs="宋体"/>
          <w:b/>
          <w:bCs/>
          <w:color w:val="auto"/>
          <w:kern w:val="0"/>
          <w:sz w:val="22"/>
          <w:szCs w:val="22"/>
          <w:highlight w:val="none"/>
          <w:lang w:val="zh-CN"/>
        </w:rPr>
        <w:t>注：未按照本投标响应函要求填报的将被视为非实质性响应，从而可能导致该投标文件被拒绝。</w:t>
      </w: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pStyle w:val="24"/>
        <w:ind w:left="442" w:hanging="442"/>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pStyle w:val="24"/>
        <w:ind w:left="0" w:firstLine="0" w:firstLineChars="0"/>
        <w:rPr>
          <w:rFonts w:ascii="宋体" w:hAnsi="宋体" w:cs="宋体"/>
          <w:b/>
          <w:bCs/>
          <w:color w:val="auto"/>
          <w:sz w:val="22"/>
          <w:szCs w:val="22"/>
          <w:highlight w:val="none"/>
        </w:rPr>
      </w:pPr>
    </w:p>
    <w:p>
      <w:pPr>
        <w:pStyle w:val="24"/>
        <w:ind w:left="0" w:firstLine="0" w:firstLineChars="0"/>
        <w:rPr>
          <w:rFonts w:ascii="宋体" w:hAnsi="宋体" w:cs="宋体"/>
          <w:b/>
          <w:bCs/>
          <w:color w:val="auto"/>
          <w:sz w:val="22"/>
          <w:szCs w:val="22"/>
          <w:highlight w:val="none"/>
        </w:rPr>
      </w:pPr>
    </w:p>
    <w:p>
      <w:pPr>
        <w:spacing w:line="400" w:lineRule="exact"/>
        <w:jc w:val="center"/>
        <w:outlineLvl w:val="3"/>
        <w:rPr>
          <w:rFonts w:ascii="宋体" w:hAnsi="宋体" w:cs="宋体"/>
          <w:b/>
          <w:color w:val="auto"/>
          <w:sz w:val="22"/>
          <w:szCs w:val="22"/>
          <w:highlight w:val="none"/>
          <w:lang w:val="zh-CN"/>
        </w:rPr>
      </w:pPr>
      <w:r>
        <w:rPr>
          <w:rFonts w:hint="eastAsia" w:ascii="宋体" w:hAnsi="宋体" w:cs="宋体"/>
          <w:b/>
          <w:color w:val="auto"/>
          <w:sz w:val="22"/>
          <w:szCs w:val="22"/>
          <w:highlight w:val="none"/>
        </w:rPr>
        <w:t>2、</w:t>
      </w:r>
      <w:r>
        <w:rPr>
          <w:rFonts w:hint="eastAsia" w:ascii="宋体" w:hAnsi="宋体" w:cs="宋体"/>
          <w:b/>
          <w:color w:val="auto"/>
          <w:sz w:val="22"/>
          <w:szCs w:val="22"/>
          <w:highlight w:val="none"/>
          <w:lang w:val="zh-CN"/>
        </w:rPr>
        <w:t>投标报价一览表</w:t>
      </w:r>
    </w:p>
    <w:p>
      <w:pPr>
        <w:spacing w:line="380" w:lineRule="exact"/>
        <w:rPr>
          <w:rFonts w:ascii="宋体" w:hAnsi="宋体" w:cs="宋体"/>
          <w:b/>
          <w:bCs/>
          <w:color w:val="auto"/>
          <w:sz w:val="22"/>
          <w:szCs w:val="22"/>
          <w:highlight w:val="none"/>
        </w:rPr>
      </w:pPr>
    </w:p>
    <w:p>
      <w:pPr>
        <w:spacing w:line="380" w:lineRule="exact"/>
        <w:rPr>
          <w:rFonts w:ascii="宋体" w:hAnsi="宋体" w:cs="宋体"/>
          <w:color w:val="auto"/>
          <w:sz w:val="22"/>
          <w:szCs w:val="22"/>
          <w:highlight w:val="none"/>
        </w:rPr>
      </w:pP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eastAsia="宋体"/>
          <w:color w:val="auto"/>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2522"/>
        <w:gridCol w:w="5413"/>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15" w:type="dxa"/>
            <w:vAlign w:val="center"/>
          </w:tcPr>
          <w:p>
            <w:pPr>
              <w:spacing w:line="380" w:lineRule="exact"/>
              <w:jc w:val="center"/>
              <w:rPr>
                <w:rFonts w:ascii="宋体" w:hAnsi="宋体" w:cs="宋体"/>
                <w:color w:val="auto"/>
                <w:sz w:val="22"/>
                <w:highlight w:val="none"/>
              </w:rPr>
            </w:pPr>
            <w:r>
              <w:rPr>
                <w:rFonts w:hint="eastAsia" w:ascii="宋体" w:hAnsi="宋体" w:cs="宋体"/>
                <w:color w:val="auto"/>
                <w:sz w:val="22"/>
                <w:highlight w:val="none"/>
              </w:rPr>
              <w:t>序号</w:t>
            </w:r>
          </w:p>
        </w:tc>
        <w:tc>
          <w:tcPr>
            <w:tcW w:w="2522" w:type="dxa"/>
            <w:vAlign w:val="center"/>
          </w:tcPr>
          <w:p>
            <w:pPr>
              <w:spacing w:line="380" w:lineRule="exact"/>
              <w:jc w:val="center"/>
              <w:rPr>
                <w:rFonts w:ascii="宋体" w:hAnsi="宋体" w:cs="宋体"/>
                <w:color w:val="auto"/>
                <w:sz w:val="22"/>
                <w:highlight w:val="none"/>
              </w:rPr>
            </w:pPr>
            <w:r>
              <w:rPr>
                <w:rFonts w:hint="eastAsia" w:ascii="宋体" w:hAnsi="宋体" w:cs="宋体"/>
                <w:bCs/>
                <w:color w:val="auto"/>
                <w:sz w:val="22"/>
                <w:szCs w:val="22"/>
                <w:highlight w:val="none"/>
              </w:rPr>
              <w:t>项目名称</w:t>
            </w:r>
          </w:p>
        </w:tc>
        <w:tc>
          <w:tcPr>
            <w:tcW w:w="5413" w:type="dxa"/>
            <w:vAlign w:val="center"/>
          </w:tcPr>
          <w:p>
            <w:pPr>
              <w:spacing w:line="380" w:lineRule="exact"/>
              <w:jc w:val="center"/>
              <w:rPr>
                <w:rFonts w:ascii="宋体" w:hAnsi="宋体" w:cs="宋体"/>
                <w:color w:val="auto"/>
                <w:sz w:val="22"/>
                <w:highlight w:val="none"/>
              </w:rPr>
            </w:pPr>
            <w:r>
              <w:rPr>
                <w:rFonts w:hint="eastAsia" w:ascii="宋体" w:hAnsi="宋体" w:cs="宋体"/>
                <w:color w:val="auto"/>
                <w:sz w:val="22"/>
                <w:highlight w:val="none"/>
              </w:rPr>
              <w:t>报价（人民币）</w:t>
            </w:r>
          </w:p>
        </w:tc>
        <w:tc>
          <w:tcPr>
            <w:tcW w:w="868" w:type="dxa"/>
            <w:vAlign w:val="center"/>
          </w:tcPr>
          <w:p>
            <w:pPr>
              <w:spacing w:line="380" w:lineRule="exact"/>
              <w:jc w:val="center"/>
              <w:rPr>
                <w:rFonts w:ascii="宋体" w:hAnsi="宋体" w:cs="宋体"/>
                <w:color w:val="auto"/>
                <w:sz w:val="22"/>
                <w:highlight w:val="none"/>
              </w:rPr>
            </w:pPr>
            <w:r>
              <w:rPr>
                <w:rFonts w:hint="eastAsia" w:ascii="宋体" w:hAnsi="宋体" w:cs="宋体"/>
                <w:color w:val="auto"/>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815" w:type="dxa"/>
            <w:vMerge w:val="restart"/>
            <w:vAlign w:val="center"/>
          </w:tcPr>
          <w:p>
            <w:pPr>
              <w:spacing w:line="380" w:lineRule="exact"/>
              <w:jc w:val="center"/>
              <w:rPr>
                <w:rFonts w:ascii="宋体" w:hAnsi="宋体" w:cs="宋体"/>
                <w:color w:val="auto"/>
                <w:sz w:val="22"/>
                <w:highlight w:val="none"/>
              </w:rPr>
            </w:pPr>
          </w:p>
        </w:tc>
        <w:tc>
          <w:tcPr>
            <w:tcW w:w="2522" w:type="dxa"/>
            <w:vMerge w:val="restart"/>
            <w:vAlign w:val="center"/>
          </w:tcPr>
          <w:p>
            <w:pPr>
              <w:spacing w:line="380" w:lineRule="exact"/>
              <w:jc w:val="center"/>
              <w:rPr>
                <w:rFonts w:ascii="宋体" w:hAnsi="宋体" w:cs="宋体"/>
                <w:color w:val="auto"/>
                <w:sz w:val="22"/>
                <w:highlight w:val="none"/>
              </w:rPr>
            </w:pPr>
          </w:p>
        </w:tc>
        <w:tc>
          <w:tcPr>
            <w:tcW w:w="5413" w:type="dxa"/>
            <w:vAlign w:val="center"/>
          </w:tcPr>
          <w:p>
            <w:pPr>
              <w:spacing w:line="380" w:lineRule="exact"/>
              <w:rPr>
                <w:rFonts w:ascii="宋体" w:hAnsi="宋体" w:cs="宋体"/>
                <w:color w:val="auto"/>
                <w:sz w:val="22"/>
                <w:highlight w:val="none"/>
              </w:rPr>
            </w:pPr>
            <w:r>
              <w:rPr>
                <w:rFonts w:hint="eastAsia" w:ascii="宋体" w:hAnsi="宋体" w:cs="宋体"/>
                <w:color w:val="auto"/>
                <w:sz w:val="22"/>
                <w:highlight w:val="none"/>
              </w:rPr>
              <w:t>大写：</w:t>
            </w:r>
          </w:p>
        </w:tc>
        <w:tc>
          <w:tcPr>
            <w:tcW w:w="868" w:type="dxa"/>
            <w:vMerge w:val="restart"/>
            <w:vAlign w:val="center"/>
          </w:tcPr>
          <w:p>
            <w:pPr>
              <w:spacing w:line="380" w:lineRule="exact"/>
              <w:jc w:val="center"/>
              <w:rPr>
                <w:rFonts w:ascii="宋体" w:hAnsi="宋体" w:cs="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815" w:type="dxa"/>
            <w:vMerge w:val="continue"/>
            <w:vAlign w:val="center"/>
          </w:tcPr>
          <w:p>
            <w:pPr>
              <w:spacing w:line="380" w:lineRule="exact"/>
              <w:jc w:val="center"/>
              <w:rPr>
                <w:rFonts w:ascii="宋体" w:hAnsi="宋体" w:cs="宋体"/>
                <w:color w:val="auto"/>
                <w:sz w:val="22"/>
                <w:highlight w:val="none"/>
              </w:rPr>
            </w:pPr>
          </w:p>
        </w:tc>
        <w:tc>
          <w:tcPr>
            <w:tcW w:w="2522" w:type="dxa"/>
            <w:vMerge w:val="continue"/>
            <w:vAlign w:val="center"/>
          </w:tcPr>
          <w:p>
            <w:pPr>
              <w:spacing w:line="380" w:lineRule="exact"/>
              <w:jc w:val="center"/>
              <w:rPr>
                <w:rFonts w:ascii="宋体" w:hAnsi="宋体" w:cs="宋体"/>
                <w:color w:val="auto"/>
                <w:sz w:val="22"/>
                <w:highlight w:val="none"/>
              </w:rPr>
            </w:pPr>
          </w:p>
        </w:tc>
        <w:tc>
          <w:tcPr>
            <w:tcW w:w="5413" w:type="dxa"/>
            <w:vAlign w:val="center"/>
          </w:tcPr>
          <w:p>
            <w:pPr>
              <w:spacing w:line="380" w:lineRule="exact"/>
              <w:rPr>
                <w:rFonts w:ascii="宋体" w:hAnsi="宋体" w:cs="宋体"/>
                <w:color w:val="auto"/>
                <w:sz w:val="22"/>
                <w:highlight w:val="none"/>
              </w:rPr>
            </w:pPr>
            <w:r>
              <w:rPr>
                <w:rFonts w:hint="eastAsia" w:ascii="宋体" w:hAnsi="宋体" w:cs="宋体"/>
                <w:color w:val="auto"/>
                <w:sz w:val="22"/>
                <w:highlight w:val="none"/>
              </w:rPr>
              <w:t>小写：</w:t>
            </w:r>
          </w:p>
        </w:tc>
        <w:tc>
          <w:tcPr>
            <w:tcW w:w="868" w:type="dxa"/>
            <w:vMerge w:val="continue"/>
            <w:vAlign w:val="center"/>
          </w:tcPr>
          <w:p>
            <w:pPr>
              <w:spacing w:line="380" w:lineRule="exact"/>
              <w:jc w:val="center"/>
              <w:rPr>
                <w:rFonts w:ascii="宋体" w:hAnsi="宋体" w:cs="宋体"/>
                <w:color w:val="auto"/>
                <w:sz w:val="22"/>
                <w:highlight w:val="none"/>
              </w:rPr>
            </w:pPr>
          </w:p>
        </w:tc>
      </w:tr>
    </w:tbl>
    <w:p>
      <w:pPr>
        <w:spacing w:line="400" w:lineRule="exact"/>
        <w:ind w:firstLine="541" w:firstLineChars="245"/>
        <w:rPr>
          <w:rFonts w:ascii="宋体" w:hAnsi="宋体" w:cs="宋体"/>
          <w:b/>
          <w:color w:val="auto"/>
          <w:sz w:val="22"/>
          <w:highlight w:val="none"/>
        </w:rPr>
      </w:pPr>
      <w:r>
        <w:rPr>
          <w:rFonts w:hint="eastAsia" w:ascii="宋体" w:hAnsi="宋体" w:cs="宋体"/>
          <w:b/>
          <w:color w:val="auto"/>
          <w:sz w:val="22"/>
          <w:highlight w:val="none"/>
        </w:rPr>
        <w:t>说明：</w:t>
      </w:r>
    </w:p>
    <w:p>
      <w:pPr>
        <w:numPr>
          <w:ilvl w:val="0"/>
          <w:numId w:val="3"/>
        </w:numPr>
        <w:spacing w:line="450" w:lineRule="exact"/>
        <w:ind w:firstLine="541" w:firstLineChars="245"/>
        <w:rPr>
          <w:rFonts w:ascii="宋体" w:hAnsi="宋体" w:cs="宋体"/>
          <w:b/>
          <w:color w:val="auto"/>
          <w:sz w:val="22"/>
          <w:highlight w:val="none"/>
        </w:rPr>
      </w:pPr>
      <w:r>
        <w:rPr>
          <w:rFonts w:hint="eastAsia" w:ascii="宋体" w:hAnsi="宋体" w:cs="宋体"/>
          <w:b/>
          <w:color w:val="auto"/>
          <w:sz w:val="22"/>
          <w:highlight w:val="none"/>
        </w:rPr>
        <w:t>此栏投标报价应与“3、投标分项报价表”中的总计价相一致。</w:t>
      </w:r>
    </w:p>
    <w:p>
      <w:pPr>
        <w:numPr>
          <w:ilvl w:val="0"/>
          <w:numId w:val="3"/>
        </w:numPr>
        <w:spacing w:line="450" w:lineRule="exact"/>
        <w:ind w:firstLine="541" w:firstLineChars="245"/>
        <w:rPr>
          <w:rFonts w:ascii="宋体" w:hAnsi="宋体" w:cs="宋体"/>
          <w:b/>
          <w:color w:val="auto"/>
          <w:sz w:val="22"/>
          <w:highlight w:val="none"/>
        </w:rPr>
      </w:pPr>
      <w:r>
        <w:rPr>
          <w:rFonts w:hint="eastAsia" w:ascii="宋体" w:hAnsi="宋体" w:cs="宋体"/>
          <w:b/>
          <w:color w:val="auto"/>
          <w:sz w:val="22"/>
          <w:highlight w:val="none"/>
        </w:rPr>
        <w:t>不提供此表格将被视为没有实质性响应招标文件</w:t>
      </w:r>
    </w:p>
    <w:p>
      <w:pPr>
        <w:spacing w:line="360" w:lineRule="auto"/>
        <w:jc w:val="center"/>
        <w:rPr>
          <w:rFonts w:ascii="宋体" w:hAnsi="宋体" w:cs="宋体"/>
          <w:color w:val="auto"/>
          <w:sz w:val="22"/>
          <w:szCs w:val="22"/>
          <w:highlight w:val="none"/>
        </w:rPr>
      </w:pPr>
    </w:p>
    <w:p>
      <w:pPr>
        <w:spacing w:line="360" w:lineRule="auto"/>
        <w:jc w:val="center"/>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360" w:lineRule="auto"/>
        <w:jc w:val="center"/>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360" w:lineRule="auto"/>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 xml:space="preserve">                                日    期：</w:t>
      </w: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pStyle w:val="51"/>
        <w:ind w:left="860" w:hanging="440"/>
        <w:rPr>
          <w:rFonts w:ascii="宋体" w:hAnsi="宋体"/>
          <w:color w:val="auto"/>
          <w:sz w:val="22"/>
          <w:szCs w:val="22"/>
          <w:highlight w:val="none"/>
        </w:rPr>
      </w:pPr>
    </w:p>
    <w:p>
      <w:pPr>
        <w:rPr>
          <w:rFonts w:ascii="宋体" w:hAnsi="宋体" w:cs="宋体"/>
          <w:b/>
          <w:color w:val="auto"/>
          <w:sz w:val="22"/>
          <w:szCs w:val="22"/>
          <w:highlight w:val="none"/>
          <w:lang w:val="zh-CN"/>
        </w:rPr>
      </w:pPr>
      <w:r>
        <w:rPr>
          <w:rFonts w:hint="eastAsia" w:ascii="宋体" w:hAnsi="宋体" w:cs="宋体"/>
          <w:b/>
          <w:color w:val="auto"/>
          <w:sz w:val="22"/>
          <w:szCs w:val="22"/>
          <w:highlight w:val="none"/>
          <w:lang w:val="zh-CN"/>
        </w:rPr>
        <w:br w:type="page"/>
      </w:r>
    </w:p>
    <w:p>
      <w:pPr>
        <w:spacing w:line="400" w:lineRule="exact"/>
        <w:jc w:val="center"/>
        <w:outlineLvl w:val="3"/>
        <w:rPr>
          <w:rFonts w:ascii="宋体" w:hAnsi="宋体" w:cs="宋体"/>
          <w:b/>
          <w:color w:val="auto"/>
          <w:sz w:val="22"/>
          <w:szCs w:val="22"/>
          <w:highlight w:val="none"/>
          <w:lang w:val="zh-CN"/>
        </w:rPr>
      </w:pPr>
      <w:r>
        <w:rPr>
          <w:rFonts w:hint="eastAsia" w:ascii="宋体" w:hAnsi="宋体" w:cs="宋体"/>
          <w:b/>
          <w:color w:val="auto"/>
          <w:sz w:val="22"/>
          <w:szCs w:val="22"/>
          <w:highlight w:val="none"/>
          <w:lang w:val="zh-CN"/>
        </w:rPr>
        <w:t>3、分项报价表</w:t>
      </w:r>
    </w:p>
    <w:p>
      <w:pPr>
        <w:spacing w:line="360" w:lineRule="auto"/>
        <w:rPr>
          <w:rFonts w:ascii="宋体" w:hAnsi="宋体" w:cs="宋体"/>
          <w:color w:val="auto"/>
          <w:sz w:val="22"/>
          <w:szCs w:val="22"/>
          <w:highlight w:val="none"/>
        </w:rPr>
      </w:pP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宋体" w:hAnsi="宋体" w:eastAsia="宋体" w:cs="宋体"/>
          <w:b/>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7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25"/>
        <w:gridCol w:w="2875"/>
        <w:gridCol w:w="1112"/>
        <w:gridCol w:w="1463"/>
        <w:gridCol w:w="1312"/>
        <w:gridCol w:w="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675" w:type="dxa"/>
            <w:noWrap/>
            <w:vAlign w:val="center"/>
          </w:tcPr>
          <w:p>
            <w:pPr>
              <w:jc w:val="center"/>
              <w:rPr>
                <w:color w:val="auto"/>
                <w:sz w:val="22"/>
                <w:szCs w:val="28"/>
                <w:highlight w:val="none"/>
              </w:rPr>
            </w:pPr>
            <w:r>
              <w:rPr>
                <w:rFonts w:hint="eastAsia"/>
                <w:color w:val="auto"/>
                <w:sz w:val="22"/>
                <w:szCs w:val="28"/>
                <w:highlight w:val="none"/>
              </w:rPr>
              <w:t>序号</w:t>
            </w:r>
          </w:p>
        </w:tc>
        <w:tc>
          <w:tcPr>
            <w:tcW w:w="1525" w:type="dxa"/>
            <w:noWrap/>
            <w:vAlign w:val="center"/>
          </w:tcPr>
          <w:p>
            <w:pPr>
              <w:jc w:val="center"/>
              <w:rPr>
                <w:color w:val="auto"/>
                <w:sz w:val="22"/>
                <w:szCs w:val="28"/>
                <w:highlight w:val="none"/>
              </w:rPr>
            </w:pPr>
            <w:r>
              <w:rPr>
                <w:rFonts w:hint="eastAsia"/>
                <w:color w:val="auto"/>
                <w:sz w:val="22"/>
                <w:szCs w:val="28"/>
                <w:highlight w:val="none"/>
              </w:rPr>
              <w:t>名称</w:t>
            </w:r>
          </w:p>
        </w:tc>
        <w:tc>
          <w:tcPr>
            <w:tcW w:w="2875" w:type="dxa"/>
            <w:noWrap/>
            <w:vAlign w:val="center"/>
          </w:tcPr>
          <w:p>
            <w:pPr>
              <w:jc w:val="center"/>
              <w:rPr>
                <w:color w:val="auto"/>
                <w:sz w:val="22"/>
                <w:szCs w:val="28"/>
                <w:highlight w:val="none"/>
              </w:rPr>
            </w:pPr>
            <w:r>
              <w:rPr>
                <w:rFonts w:hint="eastAsia"/>
                <w:color w:val="auto"/>
                <w:sz w:val="22"/>
                <w:szCs w:val="28"/>
                <w:highlight w:val="none"/>
              </w:rPr>
              <w:t>具体服务</w:t>
            </w:r>
          </w:p>
        </w:tc>
        <w:tc>
          <w:tcPr>
            <w:tcW w:w="1112" w:type="dxa"/>
            <w:noWrap/>
            <w:vAlign w:val="center"/>
          </w:tcPr>
          <w:p>
            <w:pPr>
              <w:jc w:val="center"/>
              <w:rPr>
                <w:color w:val="auto"/>
                <w:sz w:val="22"/>
                <w:szCs w:val="28"/>
                <w:highlight w:val="none"/>
              </w:rPr>
            </w:pPr>
            <w:r>
              <w:rPr>
                <w:rFonts w:hint="eastAsia"/>
                <w:color w:val="auto"/>
                <w:sz w:val="22"/>
                <w:szCs w:val="28"/>
                <w:highlight w:val="none"/>
              </w:rPr>
              <w:t>数量</w:t>
            </w:r>
          </w:p>
        </w:tc>
        <w:tc>
          <w:tcPr>
            <w:tcW w:w="1463" w:type="dxa"/>
            <w:noWrap/>
            <w:vAlign w:val="center"/>
          </w:tcPr>
          <w:p>
            <w:pPr>
              <w:jc w:val="center"/>
              <w:rPr>
                <w:color w:val="auto"/>
                <w:sz w:val="22"/>
                <w:szCs w:val="28"/>
                <w:highlight w:val="none"/>
              </w:rPr>
            </w:pPr>
            <w:r>
              <w:rPr>
                <w:rFonts w:hint="eastAsia"/>
                <w:color w:val="auto"/>
                <w:sz w:val="22"/>
                <w:szCs w:val="28"/>
                <w:highlight w:val="none"/>
              </w:rPr>
              <w:t>单价（元）</w:t>
            </w:r>
          </w:p>
        </w:tc>
        <w:tc>
          <w:tcPr>
            <w:tcW w:w="1312" w:type="dxa"/>
            <w:noWrap/>
            <w:vAlign w:val="center"/>
          </w:tcPr>
          <w:p>
            <w:pPr>
              <w:jc w:val="center"/>
              <w:rPr>
                <w:color w:val="auto"/>
                <w:sz w:val="22"/>
                <w:szCs w:val="28"/>
                <w:highlight w:val="none"/>
              </w:rPr>
            </w:pPr>
            <w:r>
              <w:rPr>
                <w:rFonts w:hint="eastAsia"/>
                <w:color w:val="auto"/>
                <w:sz w:val="22"/>
                <w:szCs w:val="28"/>
                <w:highlight w:val="none"/>
              </w:rPr>
              <w:t>总价（元）</w:t>
            </w:r>
          </w:p>
        </w:tc>
        <w:tc>
          <w:tcPr>
            <w:tcW w:w="800" w:type="dxa"/>
            <w:noWrap/>
            <w:vAlign w:val="center"/>
          </w:tcPr>
          <w:p>
            <w:pPr>
              <w:jc w:val="center"/>
              <w:rPr>
                <w:color w:val="auto"/>
                <w:sz w:val="22"/>
                <w:szCs w:val="28"/>
                <w:highlight w:val="none"/>
              </w:rPr>
            </w:pPr>
          </w:p>
          <w:p>
            <w:pPr>
              <w:jc w:val="center"/>
              <w:rPr>
                <w:color w:val="auto"/>
                <w:sz w:val="22"/>
                <w:szCs w:val="28"/>
                <w:highlight w:val="none"/>
              </w:rPr>
            </w:pPr>
            <w:r>
              <w:rPr>
                <w:rFonts w:hint="eastAsia"/>
                <w:color w:val="auto"/>
                <w:sz w:val="22"/>
                <w:szCs w:val="28"/>
                <w:highlight w:val="none"/>
              </w:rPr>
              <w:t>备注</w:t>
            </w:r>
          </w:p>
          <w:p>
            <w:pPr>
              <w:jc w:val="center"/>
              <w:rPr>
                <w:color w:val="auto"/>
                <w:sz w:val="22"/>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1</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2</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3</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4</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5</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6</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w:t>
            </w:r>
          </w:p>
        </w:tc>
        <w:tc>
          <w:tcPr>
            <w:tcW w:w="1525" w:type="dxa"/>
            <w:noWrap/>
            <w:vAlign w:val="center"/>
          </w:tcPr>
          <w:p>
            <w:pPr>
              <w:snapToGrid w:val="0"/>
              <w:spacing w:line="460" w:lineRule="exact"/>
              <w:jc w:val="center"/>
              <w:rPr>
                <w:rFonts w:ascii="宋体" w:hAnsi="宋体" w:cs="宋体"/>
                <w:bCs/>
                <w:color w:val="auto"/>
                <w:sz w:val="22"/>
                <w:szCs w:val="22"/>
                <w:highlight w:val="none"/>
              </w:rPr>
            </w:pPr>
          </w:p>
        </w:tc>
        <w:tc>
          <w:tcPr>
            <w:tcW w:w="2875" w:type="dxa"/>
            <w:noWrap/>
            <w:vAlign w:val="center"/>
          </w:tcPr>
          <w:p>
            <w:pPr>
              <w:snapToGrid w:val="0"/>
              <w:spacing w:line="460" w:lineRule="exact"/>
              <w:jc w:val="center"/>
              <w:rPr>
                <w:rFonts w:ascii="宋体" w:hAnsi="宋体" w:cs="宋体"/>
                <w:bCs/>
                <w:color w:val="auto"/>
                <w:sz w:val="22"/>
                <w:szCs w:val="22"/>
                <w:highlight w:val="none"/>
              </w:rPr>
            </w:pPr>
          </w:p>
        </w:tc>
        <w:tc>
          <w:tcPr>
            <w:tcW w:w="1112" w:type="dxa"/>
            <w:noWrap/>
            <w:vAlign w:val="center"/>
          </w:tcPr>
          <w:p>
            <w:pPr>
              <w:snapToGrid w:val="0"/>
              <w:spacing w:line="460" w:lineRule="exact"/>
              <w:jc w:val="center"/>
              <w:rPr>
                <w:rFonts w:ascii="宋体" w:hAnsi="宋体" w:cs="宋体"/>
                <w:bCs/>
                <w:color w:val="auto"/>
                <w:sz w:val="22"/>
                <w:szCs w:val="22"/>
                <w:highlight w:val="none"/>
              </w:rPr>
            </w:pPr>
          </w:p>
        </w:tc>
        <w:tc>
          <w:tcPr>
            <w:tcW w:w="1463" w:type="dxa"/>
            <w:noWrap/>
            <w:vAlign w:val="center"/>
          </w:tcPr>
          <w:p>
            <w:pPr>
              <w:spacing w:line="460" w:lineRule="exact"/>
              <w:jc w:val="center"/>
              <w:rPr>
                <w:rFonts w:ascii="宋体" w:hAnsi="宋体" w:cs="宋体"/>
                <w:bCs/>
                <w:color w:val="auto"/>
                <w:sz w:val="22"/>
                <w:szCs w:val="22"/>
                <w:highlight w:val="none"/>
              </w:rPr>
            </w:pPr>
          </w:p>
        </w:tc>
        <w:tc>
          <w:tcPr>
            <w:tcW w:w="1312" w:type="dxa"/>
            <w:noWrap/>
            <w:vAlign w:val="center"/>
          </w:tcPr>
          <w:p>
            <w:pPr>
              <w:spacing w:line="460" w:lineRule="exact"/>
              <w:jc w:val="center"/>
              <w:rPr>
                <w:rFonts w:ascii="宋体" w:hAnsi="宋体" w:cs="宋体"/>
                <w:bCs/>
                <w:color w:val="auto"/>
                <w:sz w:val="22"/>
                <w:szCs w:val="22"/>
                <w:highlight w:val="none"/>
              </w:rPr>
            </w:pPr>
          </w:p>
        </w:tc>
        <w:tc>
          <w:tcPr>
            <w:tcW w:w="800" w:type="dxa"/>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7</w:t>
            </w:r>
          </w:p>
        </w:tc>
        <w:tc>
          <w:tcPr>
            <w:tcW w:w="4400" w:type="dxa"/>
            <w:gridSpan w:val="2"/>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color w:val="auto"/>
                <w:sz w:val="22"/>
                <w:szCs w:val="22"/>
                <w:highlight w:val="none"/>
              </w:rPr>
              <w:t>税金</w:t>
            </w:r>
          </w:p>
        </w:tc>
        <w:tc>
          <w:tcPr>
            <w:tcW w:w="4687" w:type="dxa"/>
            <w:gridSpan w:val="4"/>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8</w:t>
            </w:r>
          </w:p>
        </w:tc>
        <w:tc>
          <w:tcPr>
            <w:tcW w:w="4400" w:type="dxa"/>
            <w:gridSpan w:val="2"/>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color w:val="auto"/>
                <w:sz w:val="22"/>
                <w:szCs w:val="22"/>
                <w:highlight w:val="none"/>
              </w:rPr>
              <w:t>其他</w:t>
            </w:r>
          </w:p>
        </w:tc>
        <w:tc>
          <w:tcPr>
            <w:tcW w:w="4687" w:type="dxa"/>
            <w:gridSpan w:val="4"/>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9</w:t>
            </w:r>
          </w:p>
        </w:tc>
        <w:tc>
          <w:tcPr>
            <w:tcW w:w="4400" w:type="dxa"/>
            <w:gridSpan w:val="2"/>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color w:val="auto"/>
                <w:sz w:val="22"/>
                <w:szCs w:val="22"/>
                <w:highlight w:val="none"/>
              </w:rPr>
              <w:t>采购代理服务费</w:t>
            </w:r>
          </w:p>
        </w:tc>
        <w:tc>
          <w:tcPr>
            <w:tcW w:w="4687" w:type="dxa"/>
            <w:gridSpan w:val="4"/>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075" w:type="dxa"/>
            <w:gridSpan w:val="3"/>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投标报价（小写）</w:t>
            </w:r>
          </w:p>
        </w:tc>
        <w:tc>
          <w:tcPr>
            <w:tcW w:w="4687" w:type="dxa"/>
            <w:gridSpan w:val="4"/>
            <w:noWrap/>
            <w:vAlign w:val="center"/>
          </w:tcPr>
          <w:p>
            <w:pPr>
              <w:spacing w:line="460" w:lineRule="exact"/>
              <w:jc w:val="center"/>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5075" w:type="dxa"/>
            <w:gridSpan w:val="3"/>
            <w:noWrap/>
            <w:vAlign w:val="center"/>
          </w:tcPr>
          <w:p>
            <w:pPr>
              <w:spacing w:line="46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投标报价（大写）</w:t>
            </w:r>
          </w:p>
        </w:tc>
        <w:tc>
          <w:tcPr>
            <w:tcW w:w="4687" w:type="dxa"/>
            <w:gridSpan w:val="4"/>
            <w:noWrap/>
            <w:vAlign w:val="center"/>
          </w:tcPr>
          <w:p>
            <w:pPr>
              <w:spacing w:line="460" w:lineRule="exact"/>
              <w:jc w:val="center"/>
              <w:rPr>
                <w:rFonts w:ascii="宋体" w:hAnsi="宋体" w:cs="宋体"/>
                <w:bCs/>
                <w:color w:val="auto"/>
                <w:sz w:val="22"/>
                <w:szCs w:val="22"/>
                <w:highlight w:val="none"/>
              </w:rPr>
            </w:pPr>
          </w:p>
        </w:tc>
      </w:tr>
    </w:tbl>
    <w:p>
      <w:pPr>
        <w:spacing w:line="380" w:lineRule="exact"/>
        <w:rPr>
          <w:rFonts w:ascii="宋体" w:hAnsi="宋体" w:cs="宋体"/>
          <w:b/>
          <w:color w:val="auto"/>
          <w:sz w:val="22"/>
          <w:szCs w:val="22"/>
          <w:highlight w:val="none"/>
        </w:rPr>
      </w:pPr>
    </w:p>
    <w:p>
      <w:pPr>
        <w:spacing w:line="380" w:lineRule="exact"/>
        <w:rPr>
          <w:rFonts w:ascii="宋体" w:hAnsi="宋体" w:cs="宋体"/>
          <w:b/>
          <w:bCs/>
          <w:color w:val="auto"/>
          <w:sz w:val="22"/>
          <w:szCs w:val="22"/>
          <w:highlight w:val="none"/>
        </w:rPr>
      </w:pPr>
      <w:r>
        <w:rPr>
          <w:rFonts w:hint="eastAsia" w:ascii="宋体" w:hAnsi="宋体" w:cs="宋体"/>
          <w:b/>
          <w:color w:val="auto"/>
          <w:sz w:val="22"/>
          <w:szCs w:val="22"/>
          <w:highlight w:val="none"/>
        </w:rPr>
        <w:t xml:space="preserve">说明： </w:t>
      </w:r>
      <w:r>
        <w:rPr>
          <w:rFonts w:hint="eastAsia" w:ascii="宋体" w:hAnsi="宋体" w:cs="宋体"/>
          <w:b/>
          <w:bCs/>
          <w:color w:val="auto"/>
          <w:sz w:val="22"/>
          <w:szCs w:val="22"/>
          <w:highlight w:val="none"/>
        </w:rPr>
        <w:t>1、此表总计价应与“2、报价一览表”中报价相一致。</w:t>
      </w:r>
    </w:p>
    <w:p>
      <w:pPr>
        <w:spacing w:line="380" w:lineRule="exact"/>
        <w:ind w:firstLine="755" w:firstLineChars="342"/>
        <w:rPr>
          <w:rFonts w:ascii="宋体" w:hAnsi="宋体" w:cs="宋体"/>
          <w:b/>
          <w:bCs/>
          <w:color w:val="auto"/>
          <w:sz w:val="22"/>
          <w:szCs w:val="22"/>
          <w:highlight w:val="none"/>
        </w:rPr>
      </w:pPr>
      <w:r>
        <w:rPr>
          <w:rFonts w:hint="eastAsia" w:ascii="宋体" w:hAnsi="宋体" w:cs="宋体"/>
          <w:b/>
          <w:bCs/>
          <w:color w:val="auto"/>
          <w:sz w:val="22"/>
          <w:szCs w:val="22"/>
          <w:highlight w:val="none"/>
        </w:rPr>
        <w:t>2、不提供详细分项报价将视为没有实质性响应招标文件。</w:t>
      </w:r>
    </w:p>
    <w:p>
      <w:pPr>
        <w:spacing w:line="380" w:lineRule="exact"/>
        <w:ind w:firstLine="720"/>
        <w:rPr>
          <w:rFonts w:ascii="宋体" w:hAnsi="宋体" w:cs="宋体"/>
          <w:color w:val="auto"/>
          <w:sz w:val="20"/>
          <w:szCs w:val="22"/>
          <w:highlight w:val="none"/>
        </w:rPr>
      </w:pPr>
      <w:r>
        <w:rPr>
          <w:rFonts w:hint="eastAsia" w:ascii="宋体" w:hAnsi="宋体" w:cs="宋体"/>
          <w:b/>
          <w:bCs/>
          <w:color w:val="auto"/>
          <w:sz w:val="22"/>
          <w:szCs w:val="22"/>
          <w:highlight w:val="none"/>
        </w:rPr>
        <w:t>3、如果免费请在该项内容栏内注明“免”，如果含在产品价格中则填“含”，如无此项内容则填“无”。</w:t>
      </w:r>
    </w:p>
    <w:p>
      <w:pPr>
        <w:spacing w:line="400" w:lineRule="exact"/>
        <w:ind w:firstLine="5500" w:firstLineChars="2500"/>
        <w:jc w:val="left"/>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00" w:lineRule="exact"/>
        <w:ind w:firstLine="5500" w:firstLineChars="2500"/>
        <w:jc w:val="left"/>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380" w:lineRule="exact"/>
        <w:ind w:firstLine="5500" w:firstLineChars="2500"/>
        <w:jc w:val="left"/>
        <w:rPr>
          <w:rFonts w:ascii="宋体" w:hAnsi="宋体" w:cs="宋体"/>
          <w:color w:val="auto"/>
          <w:sz w:val="22"/>
          <w:szCs w:val="22"/>
          <w:highlight w:val="none"/>
        </w:rPr>
      </w:pPr>
      <w:r>
        <w:rPr>
          <w:rFonts w:hint="eastAsia" w:ascii="宋体" w:hAnsi="宋体" w:cs="宋体"/>
          <w:color w:val="auto"/>
          <w:sz w:val="22"/>
          <w:szCs w:val="22"/>
          <w:highlight w:val="none"/>
        </w:rPr>
        <w:t>日    期：</w:t>
      </w:r>
    </w:p>
    <w:p>
      <w:pPr>
        <w:rPr>
          <w:rFonts w:ascii="宋体" w:hAnsi="宋体" w:cs="宋体"/>
          <w:color w:val="auto"/>
          <w:sz w:val="22"/>
          <w:szCs w:val="22"/>
          <w:highlight w:val="none"/>
        </w:rPr>
      </w:pPr>
    </w:p>
    <w:p>
      <w:pPr>
        <w:rPr>
          <w:rFonts w:ascii="宋体" w:hAnsi="宋体" w:cs="宋体"/>
          <w:b/>
          <w:bCs/>
          <w:color w:val="auto"/>
          <w:sz w:val="28"/>
          <w:szCs w:val="28"/>
          <w:highlight w:val="none"/>
        </w:rPr>
      </w:pPr>
    </w:p>
    <w:p>
      <w:pPr>
        <w:pStyle w:val="24"/>
        <w:ind w:left="440" w:hanging="440"/>
        <w:rPr>
          <w:rFonts w:ascii="宋体" w:hAnsi="宋体" w:cs="宋体"/>
          <w:color w:val="auto"/>
          <w:kern w:val="0"/>
          <w:sz w:val="22"/>
          <w:szCs w:val="22"/>
          <w:highlight w:val="none"/>
        </w:rPr>
      </w:pPr>
    </w:p>
    <w:p>
      <w:pPr>
        <w:rPr>
          <w:rFonts w:ascii="宋体" w:hAnsi="宋体" w:cs="宋体"/>
          <w:b/>
          <w:color w:val="auto"/>
          <w:sz w:val="22"/>
          <w:szCs w:val="22"/>
          <w:highlight w:val="none"/>
        </w:rPr>
      </w:pPr>
      <w:r>
        <w:rPr>
          <w:rFonts w:hint="eastAsia" w:ascii="宋体" w:hAnsi="宋体" w:cs="宋体"/>
          <w:b/>
          <w:color w:val="auto"/>
          <w:sz w:val="22"/>
          <w:szCs w:val="22"/>
          <w:highlight w:val="none"/>
        </w:rPr>
        <w:br w:type="page"/>
      </w:r>
    </w:p>
    <w:p>
      <w:pPr>
        <w:pStyle w:val="24"/>
        <w:spacing w:line="460" w:lineRule="exact"/>
        <w:ind w:left="433" w:hanging="433" w:hangingChars="196"/>
        <w:outlineLvl w:val="1"/>
        <w:rPr>
          <w:rFonts w:ascii="宋体" w:hAnsi="宋体" w:cs="宋体"/>
          <w:b/>
          <w:color w:val="auto"/>
          <w:sz w:val="22"/>
          <w:szCs w:val="22"/>
          <w:highlight w:val="none"/>
        </w:rPr>
      </w:pPr>
      <w:bookmarkStart w:id="32" w:name="_Toc19402"/>
      <w:bookmarkStart w:id="33" w:name="_Toc12035"/>
      <w:r>
        <w:rPr>
          <w:rFonts w:hint="eastAsia" w:ascii="宋体" w:hAnsi="宋体" w:cs="宋体"/>
          <w:b/>
          <w:color w:val="auto"/>
          <w:sz w:val="22"/>
          <w:szCs w:val="22"/>
          <w:highlight w:val="none"/>
        </w:rPr>
        <w:t>附件二</w:t>
      </w:r>
      <w:bookmarkEnd w:id="32"/>
      <w:bookmarkEnd w:id="33"/>
    </w:p>
    <w:p>
      <w:pPr>
        <w:spacing w:line="460" w:lineRule="exact"/>
        <w:jc w:val="center"/>
        <w:outlineLvl w:val="2"/>
        <w:rPr>
          <w:rFonts w:ascii="宋体" w:hAnsi="宋体" w:cs="宋体"/>
          <w:color w:val="auto"/>
          <w:sz w:val="28"/>
          <w:szCs w:val="28"/>
          <w:highlight w:val="none"/>
        </w:rPr>
      </w:pPr>
      <w:bookmarkStart w:id="34" w:name="_Toc25309"/>
      <w:bookmarkStart w:id="35" w:name="_Toc4718"/>
      <w:r>
        <w:rPr>
          <w:rFonts w:hint="eastAsia" w:ascii="宋体" w:hAnsi="宋体" w:cs="宋体"/>
          <w:b/>
          <w:bCs/>
          <w:color w:val="auto"/>
          <w:sz w:val="28"/>
          <w:szCs w:val="28"/>
          <w:highlight w:val="none"/>
        </w:rPr>
        <w:t>资格证明文件</w:t>
      </w:r>
      <w:bookmarkEnd w:id="34"/>
      <w:bookmarkEnd w:id="35"/>
    </w:p>
    <w:p>
      <w:pPr>
        <w:spacing w:line="400" w:lineRule="exact"/>
        <w:outlineLvl w:val="3"/>
        <w:rPr>
          <w:rFonts w:ascii="宋体" w:hAnsi="宋体" w:cs="宋体"/>
          <w:b/>
          <w:bCs/>
          <w:color w:val="auto"/>
          <w:sz w:val="24"/>
          <w:highlight w:val="none"/>
        </w:rPr>
      </w:pPr>
      <w:r>
        <w:rPr>
          <w:rFonts w:hint="eastAsia" w:ascii="宋体" w:hAnsi="宋体" w:cs="宋体"/>
          <w:b/>
          <w:bCs/>
          <w:color w:val="auto"/>
          <w:sz w:val="24"/>
          <w:highlight w:val="none"/>
        </w:rPr>
        <w:t>1、有效营业执照（复印件盖单位公章）</w:t>
      </w:r>
    </w:p>
    <w:p>
      <w:pPr>
        <w:spacing w:line="400" w:lineRule="exact"/>
        <w:outlineLvl w:val="3"/>
        <w:rPr>
          <w:rFonts w:ascii="宋体" w:hAnsi="宋体" w:cs="宋体"/>
          <w:b/>
          <w:bCs/>
          <w:color w:val="auto"/>
          <w:sz w:val="24"/>
          <w:highlight w:val="none"/>
        </w:rPr>
      </w:pPr>
      <w:r>
        <w:rPr>
          <w:rFonts w:hint="eastAsia" w:ascii="宋体" w:hAnsi="宋体" w:cs="宋体"/>
          <w:b/>
          <w:bCs/>
          <w:color w:val="auto"/>
          <w:sz w:val="24"/>
          <w:highlight w:val="none"/>
        </w:rPr>
        <w:t>2、最近一年财务报表(复印件，新成立的公司提供情况说明)；</w:t>
      </w:r>
    </w:p>
    <w:p>
      <w:pPr>
        <w:spacing w:line="460" w:lineRule="exact"/>
        <w:ind w:left="514" w:leftChars="245"/>
        <w:jc w:val="left"/>
        <w:rPr>
          <w:rFonts w:ascii="宋体" w:hAnsi="宋体" w:cs="宋体"/>
          <w:b/>
          <w:bCs/>
          <w:color w:val="auto"/>
          <w:szCs w:val="21"/>
          <w:highlight w:val="none"/>
        </w:rPr>
      </w:pPr>
    </w:p>
    <w:p>
      <w:pPr>
        <w:spacing w:line="460" w:lineRule="exact"/>
        <w:jc w:val="left"/>
        <w:outlineLvl w:val="3"/>
        <w:rPr>
          <w:rFonts w:ascii="宋体" w:hAnsi="宋体" w:cs="宋体"/>
          <w:color w:val="auto"/>
          <w:szCs w:val="21"/>
          <w:highlight w:val="none"/>
        </w:rPr>
      </w:pPr>
      <w:r>
        <w:rPr>
          <w:rFonts w:hint="eastAsia" w:ascii="宋体" w:hAnsi="宋体" w:cs="宋体"/>
          <w:b/>
          <w:bCs/>
          <w:color w:val="auto"/>
          <w:sz w:val="24"/>
          <w:highlight w:val="none"/>
        </w:rPr>
        <w:t>3、具有履行合同所必需的场地、设备和专业技术能力的承诺函；</w:t>
      </w:r>
    </w:p>
    <w:p>
      <w:pPr>
        <w:shd w:val="clear" w:color="auto" w:fill="FFFFFF"/>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温州市城市建设档案馆、温州历程招标有限公司</w:t>
      </w:r>
      <w:r>
        <w:rPr>
          <w:rFonts w:hint="eastAsia" w:ascii="宋体" w:hAnsi="宋体" w:cs="宋体"/>
          <w:color w:val="auto"/>
          <w:kern w:val="0"/>
          <w:sz w:val="22"/>
          <w:szCs w:val="22"/>
          <w:highlight w:val="none"/>
        </w:rPr>
        <w:t>：</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我方</w:t>
      </w:r>
      <w:r>
        <w:rPr>
          <w:rFonts w:hint="eastAsia" w:ascii="宋体" w:hAnsi="宋体" w:cs="宋体"/>
          <w:color w:val="auto"/>
          <w:kern w:val="0"/>
          <w:sz w:val="22"/>
          <w:szCs w:val="22"/>
          <w:highlight w:val="none"/>
          <w:u w:val="single"/>
        </w:rPr>
        <w:t xml:space="preserve"> （投标人）</w:t>
      </w:r>
      <w:r>
        <w:rPr>
          <w:rFonts w:hint="eastAsia" w:ascii="宋体" w:hAnsi="宋体" w:cs="宋体"/>
          <w:color w:val="auto"/>
          <w:kern w:val="0"/>
          <w:sz w:val="22"/>
          <w:szCs w:val="22"/>
          <w:highlight w:val="none"/>
        </w:rPr>
        <w:t>承诺具有履行合同所必需的场地、设备和专业技术能力。如有虚假，招标人可取消我方任何资格（投标/中标/签订合同），我方对此无任何异议。</w:t>
      </w:r>
    </w:p>
    <w:p>
      <w:pPr>
        <w:widowControl/>
        <w:snapToGrid w:val="0"/>
        <w:spacing w:line="460" w:lineRule="exact"/>
        <w:ind w:firstLine="440" w:firstLineChars="200"/>
        <w:jc w:val="left"/>
        <w:rPr>
          <w:rFonts w:ascii="宋体" w:hAnsi="宋体" w:cs="宋体"/>
          <w:color w:val="auto"/>
          <w:kern w:val="0"/>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pPr>
        <w:widowControl/>
        <w:snapToGrid w:val="0"/>
        <w:spacing w:line="460" w:lineRule="exact"/>
        <w:ind w:firstLine="440" w:firstLineChars="200"/>
        <w:jc w:val="left"/>
        <w:rPr>
          <w:rFonts w:ascii="宋体" w:hAnsi="宋体" w:cs="宋体"/>
          <w:color w:val="auto"/>
          <w:kern w:val="0"/>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sz w:val="22"/>
          <w:szCs w:val="22"/>
          <w:highlight w:val="none"/>
        </w:rPr>
        <w:t>投标人全称（盖章）</w:t>
      </w:r>
      <w:r>
        <w:rPr>
          <w:rFonts w:hint="eastAsia" w:ascii="宋体" w:hAnsi="宋体" w:cs="宋体"/>
          <w:color w:val="auto"/>
          <w:kern w:val="0"/>
          <w:sz w:val="22"/>
          <w:szCs w:val="22"/>
          <w:highlight w:val="none"/>
        </w:rPr>
        <w:t xml:space="preserve"> ：</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color w:val="auto"/>
          <w:kern w:val="0"/>
          <w:sz w:val="22"/>
          <w:szCs w:val="22"/>
          <w:highlight w:val="none"/>
        </w:rPr>
      </w:pPr>
    </w:p>
    <w:p>
      <w:pPr>
        <w:pStyle w:val="24"/>
        <w:spacing w:line="460" w:lineRule="exact"/>
        <w:ind w:left="479" w:leftChars="228" w:firstLine="5280" w:firstLineChars="24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pPr>
        <w:pStyle w:val="24"/>
        <w:spacing w:line="460" w:lineRule="exact"/>
        <w:ind w:left="0" w:firstLine="0" w:firstLineChars="0"/>
        <w:rPr>
          <w:rFonts w:ascii="宋体" w:hAnsi="宋体" w:cs="宋体"/>
          <w:color w:val="auto"/>
          <w:kern w:val="0"/>
          <w:highlight w:val="none"/>
        </w:rPr>
      </w:pPr>
    </w:p>
    <w:p>
      <w:pPr>
        <w:spacing w:line="460" w:lineRule="exact"/>
        <w:jc w:val="left"/>
        <w:outlineLvl w:val="3"/>
        <w:rPr>
          <w:rFonts w:ascii="宋体" w:hAnsi="宋体" w:cs="宋体"/>
          <w:color w:val="auto"/>
          <w:sz w:val="20"/>
          <w:szCs w:val="22"/>
          <w:highlight w:val="none"/>
        </w:rPr>
      </w:pPr>
      <w:r>
        <w:rPr>
          <w:rFonts w:hint="eastAsia" w:ascii="宋体" w:hAnsi="宋体" w:cs="宋体"/>
          <w:b/>
          <w:bCs/>
          <w:color w:val="auto"/>
          <w:sz w:val="24"/>
          <w:highlight w:val="none"/>
        </w:rPr>
        <w:t>4、依法缴纳税收和社会保障资金的承诺函；</w:t>
      </w:r>
    </w:p>
    <w:p>
      <w:pPr>
        <w:shd w:val="clear" w:color="auto" w:fill="FFFFFF"/>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温州市城市建设档案馆、温州历程招标有限公司</w:t>
      </w:r>
      <w:r>
        <w:rPr>
          <w:rFonts w:hint="eastAsia" w:ascii="宋体" w:hAnsi="宋体" w:cs="宋体"/>
          <w:color w:val="auto"/>
          <w:kern w:val="0"/>
          <w:sz w:val="22"/>
          <w:szCs w:val="22"/>
          <w:highlight w:val="none"/>
        </w:rPr>
        <w:t>：</w:t>
      </w:r>
    </w:p>
    <w:p>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我公司郑重声明，我公司严格依法缴纳税收和社会保障资金，本文件中所提供的相关材料均真实有效，不存在虚假、造假行为。如有违反，愿承担一切责任。</w:t>
      </w:r>
    </w:p>
    <w:p>
      <w:pPr>
        <w:spacing w:line="460" w:lineRule="exact"/>
        <w:ind w:firstLine="440" w:firstLineChars="200"/>
        <w:rPr>
          <w:rFonts w:ascii="宋体" w:hAnsi="宋体" w:cs="宋体"/>
          <w:color w:val="auto"/>
          <w:kern w:val="0"/>
          <w:sz w:val="22"/>
          <w:szCs w:val="22"/>
          <w:highlight w:val="none"/>
        </w:rPr>
      </w:pPr>
    </w:p>
    <w:p>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pPr>
        <w:widowControl/>
        <w:snapToGrid w:val="0"/>
        <w:spacing w:line="460" w:lineRule="exact"/>
        <w:ind w:firstLine="440" w:firstLineChars="200"/>
        <w:jc w:val="left"/>
        <w:rPr>
          <w:rFonts w:ascii="宋体" w:hAnsi="宋体" w:cs="宋体"/>
          <w:color w:val="auto"/>
          <w:kern w:val="0"/>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sz w:val="22"/>
          <w:szCs w:val="22"/>
          <w:highlight w:val="none"/>
        </w:rPr>
        <w:t>投标人全称（盖章）</w:t>
      </w:r>
      <w:r>
        <w:rPr>
          <w:rFonts w:hint="eastAsia" w:ascii="宋体" w:hAnsi="宋体" w:cs="宋体"/>
          <w:color w:val="auto"/>
          <w:kern w:val="0"/>
          <w:sz w:val="22"/>
          <w:szCs w:val="22"/>
          <w:highlight w:val="none"/>
        </w:rPr>
        <w:t xml:space="preserve"> ：</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color w:val="auto"/>
          <w:kern w:val="0"/>
          <w:sz w:val="22"/>
          <w:szCs w:val="22"/>
          <w:highlight w:val="none"/>
        </w:rPr>
      </w:pPr>
    </w:p>
    <w:p>
      <w:pPr>
        <w:pStyle w:val="24"/>
        <w:spacing w:line="460" w:lineRule="exact"/>
        <w:ind w:left="-420" w:leftChars="-200" w:firstLine="6160" w:firstLineChars="28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pPr>
        <w:pStyle w:val="24"/>
        <w:spacing w:line="460" w:lineRule="exact"/>
        <w:ind w:left="0" w:firstLine="0" w:firstLineChars="0"/>
        <w:rPr>
          <w:rFonts w:ascii="宋体" w:hAnsi="宋体" w:cs="宋体"/>
          <w:color w:val="auto"/>
          <w:kern w:val="0"/>
          <w:highlight w:val="none"/>
        </w:rPr>
      </w:pPr>
    </w:p>
    <w:p>
      <w:pPr>
        <w:pStyle w:val="24"/>
        <w:spacing w:line="460" w:lineRule="exact"/>
        <w:ind w:left="0" w:firstLine="0" w:firstLineChars="0"/>
        <w:rPr>
          <w:rFonts w:ascii="宋体" w:hAnsi="宋体" w:cs="宋体"/>
          <w:color w:val="auto"/>
          <w:kern w:val="0"/>
          <w:highlight w:val="none"/>
        </w:rPr>
      </w:pPr>
    </w:p>
    <w:p>
      <w:pPr>
        <w:pStyle w:val="24"/>
        <w:spacing w:line="460" w:lineRule="exact"/>
        <w:ind w:left="0" w:firstLine="0" w:firstLineChars="0"/>
        <w:rPr>
          <w:rFonts w:ascii="宋体" w:hAnsi="宋体" w:cs="宋体"/>
          <w:color w:val="auto"/>
          <w:kern w:val="0"/>
          <w:highlight w:val="none"/>
        </w:rPr>
      </w:pPr>
    </w:p>
    <w:p>
      <w:pPr>
        <w:pStyle w:val="24"/>
        <w:spacing w:line="460" w:lineRule="exact"/>
        <w:ind w:left="0" w:firstLine="0" w:firstLineChars="0"/>
        <w:rPr>
          <w:rFonts w:ascii="宋体" w:hAnsi="宋体" w:cs="宋体"/>
          <w:color w:val="auto"/>
          <w:kern w:val="0"/>
          <w:highlight w:val="none"/>
        </w:rPr>
      </w:pPr>
    </w:p>
    <w:p>
      <w:pPr>
        <w:spacing w:line="460" w:lineRule="exact"/>
        <w:outlineLvl w:val="3"/>
        <w:rPr>
          <w:rFonts w:ascii="宋体" w:hAnsi="宋体" w:cs="宋体"/>
          <w:b/>
          <w:bCs/>
          <w:color w:val="auto"/>
          <w:sz w:val="22"/>
          <w:szCs w:val="22"/>
          <w:highlight w:val="none"/>
        </w:rPr>
      </w:pPr>
      <w:r>
        <w:rPr>
          <w:rFonts w:hint="eastAsia" w:ascii="宋体" w:hAnsi="宋体" w:cs="宋体"/>
          <w:b/>
          <w:bCs/>
          <w:color w:val="auto"/>
          <w:sz w:val="24"/>
          <w:highlight w:val="none"/>
        </w:rPr>
        <w:t>5、参加政府采购活动前3年内在经营活动中没有重大违法记录的声明函</w:t>
      </w:r>
      <w:r>
        <w:rPr>
          <w:rFonts w:hint="eastAsia" w:ascii="宋体" w:hAnsi="宋体" w:cs="宋体"/>
          <w:b/>
          <w:bCs/>
          <w:color w:val="auto"/>
          <w:sz w:val="22"/>
          <w:szCs w:val="22"/>
          <w:highlight w:val="none"/>
        </w:rPr>
        <w:t>；</w:t>
      </w:r>
    </w:p>
    <w:p>
      <w:pPr>
        <w:shd w:val="clear" w:color="auto" w:fill="FFFFFF"/>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温州市城市建设档案馆、温州历程招标有限公司</w:t>
      </w:r>
      <w:r>
        <w:rPr>
          <w:rFonts w:hint="eastAsia" w:ascii="宋体" w:hAnsi="宋体" w:cs="宋体"/>
          <w:color w:val="auto"/>
          <w:kern w:val="0"/>
          <w:sz w:val="22"/>
          <w:szCs w:val="22"/>
          <w:highlight w:val="none"/>
        </w:rPr>
        <w:t>：</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我方</w:t>
      </w:r>
      <w:r>
        <w:rPr>
          <w:rFonts w:hint="eastAsia" w:ascii="宋体" w:hAnsi="宋体" w:cs="宋体"/>
          <w:color w:val="auto"/>
          <w:kern w:val="0"/>
          <w:sz w:val="22"/>
          <w:szCs w:val="22"/>
          <w:highlight w:val="none"/>
          <w:u w:val="single"/>
        </w:rPr>
        <w:t xml:space="preserve"> （投标人）</w:t>
      </w:r>
      <w:r>
        <w:rPr>
          <w:rFonts w:hint="eastAsia" w:ascii="宋体" w:hAnsi="宋体" w:cs="宋体"/>
          <w:color w:val="auto"/>
          <w:kern w:val="0"/>
          <w:sz w:val="22"/>
          <w:szCs w:val="22"/>
          <w:highlight w:val="none"/>
        </w:rPr>
        <w:t>具有良好的商业信誉，依法缴纳税收和社会保障资金，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如有虚假，招标人可取消我方任何资格（投标/中标/签订合同），我方对此无任何异议。</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sz w:val="22"/>
          <w:szCs w:val="22"/>
          <w:highlight w:val="none"/>
        </w:rPr>
        <w:t>投标人全称（盖章）</w:t>
      </w:r>
      <w:r>
        <w:rPr>
          <w:rFonts w:hint="eastAsia" w:ascii="宋体" w:hAnsi="宋体" w:cs="宋体"/>
          <w:color w:val="auto"/>
          <w:kern w:val="0"/>
          <w:sz w:val="22"/>
          <w:szCs w:val="22"/>
          <w:highlight w:val="none"/>
        </w:rPr>
        <w:t xml:space="preserve"> ：</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color w:val="auto"/>
          <w:kern w:val="0"/>
          <w:sz w:val="22"/>
          <w:szCs w:val="22"/>
          <w:highlight w:val="none"/>
        </w:rPr>
      </w:pPr>
    </w:p>
    <w:p>
      <w:pPr>
        <w:pStyle w:val="24"/>
        <w:spacing w:line="460" w:lineRule="exact"/>
        <w:ind w:left="514" w:leftChars="245" w:firstLine="5720" w:firstLineChars="2600"/>
        <w:rPr>
          <w:rFonts w:ascii="宋体" w:hAnsi="宋体" w:cs="宋体"/>
          <w:color w:val="auto"/>
          <w:highlight w:val="none"/>
        </w:rPr>
      </w:pPr>
      <w:r>
        <w:rPr>
          <w:rFonts w:hint="eastAsia" w:ascii="宋体" w:hAnsi="宋体" w:cs="宋体"/>
          <w:color w:val="auto"/>
          <w:kern w:val="0"/>
          <w:sz w:val="22"/>
          <w:szCs w:val="22"/>
          <w:highlight w:val="none"/>
        </w:rPr>
        <w:t>日期：     年  月  日</w:t>
      </w:r>
    </w:p>
    <w:p>
      <w:pPr>
        <w:spacing w:line="460" w:lineRule="exact"/>
        <w:ind w:left="514" w:leftChars="245"/>
        <w:rPr>
          <w:rFonts w:ascii="宋体" w:hAnsi="宋体" w:cs="宋体"/>
          <w:b/>
          <w:bCs/>
          <w:color w:val="auto"/>
          <w:sz w:val="22"/>
          <w:szCs w:val="22"/>
          <w:highlight w:val="none"/>
        </w:rPr>
      </w:pPr>
    </w:p>
    <w:p>
      <w:pPr>
        <w:pStyle w:val="24"/>
        <w:ind w:left="0" w:firstLine="0" w:firstLineChars="0"/>
        <w:rPr>
          <w:rFonts w:ascii="宋体" w:hAnsi="宋体" w:cs="宋体"/>
          <w:color w:val="auto"/>
          <w:highlight w:val="none"/>
        </w:rPr>
      </w:pPr>
    </w:p>
    <w:p>
      <w:pPr>
        <w:spacing w:line="460" w:lineRule="exact"/>
        <w:outlineLvl w:val="3"/>
        <w:rPr>
          <w:rFonts w:ascii="宋体" w:hAnsi="宋体" w:cs="宋体"/>
          <w:b/>
          <w:bCs/>
          <w:color w:val="auto"/>
          <w:szCs w:val="21"/>
          <w:highlight w:val="none"/>
        </w:rPr>
      </w:pPr>
      <w:r>
        <w:rPr>
          <w:rFonts w:hint="eastAsia" w:ascii="宋体" w:hAnsi="宋体" w:cs="宋体"/>
          <w:b/>
          <w:bCs/>
          <w:color w:val="auto"/>
          <w:sz w:val="24"/>
          <w:highlight w:val="none"/>
        </w:rPr>
        <w:t>6、单位负责人为同一人或者存在直接控股、管理关系的不同供应商，不得参加同一合同项下的政府采购活动承诺函；</w:t>
      </w:r>
    </w:p>
    <w:p>
      <w:pPr>
        <w:shd w:val="clear" w:color="auto" w:fill="FFFFFF"/>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温州市城市建设档案馆、温州历程招标有限公司</w:t>
      </w:r>
      <w:r>
        <w:rPr>
          <w:rFonts w:hint="eastAsia" w:ascii="宋体" w:hAnsi="宋体" w:cs="宋体"/>
          <w:color w:val="auto"/>
          <w:kern w:val="0"/>
          <w:sz w:val="22"/>
          <w:szCs w:val="22"/>
          <w:highlight w:val="none"/>
        </w:rPr>
        <w:t>：</w:t>
      </w:r>
    </w:p>
    <w:p>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我方郑重承诺，我方此次参加</w:t>
      </w:r>
      <w:r>
        <w:rPr>
          <w:rFonts w:hint="eastAsia" w:ascii="宋体" w:hAnsi="宋体" w:cs="宋体"/>
          <w:color w:val="auto"/>
          <w:kern w:val="0"/>
          <w:sz w:val="22"/>
          <w:szCs w:val="22"/>
          <w:highlight w:val="none"/>
          <w:u w:val="single"/>
          <w:lang w:eastAsia="zh-CN"/>
        </w:rPr>
        <w:t>温州市自然资源和规划局档案库房建设（档案搬运服务）</w:t>
      </w:r>
      <w:r>
        <w:rPr>
          <w:rFonts w:hint="eastAsia" w:ascii="宋体" w:hAnsi="宋体" w:cs="宋体"/>
          <w:color w:val="auto"/>
          <w:kern w:val="0"/>
          <w:sz w:val="22"/>
          <w:szCs w:val="22"/>
          <w:highlight w:val="none"/>
          <w:u w:val="single"/>
        </w:rPr>
        <w:t>项目</w:t>
      </w:r>
      <w:r>
        <w:rPr>
          <w:rFonts w:hint="eastAsia" w:ascii="宋体" w:hAnsi="宋体" w:cs="宋体"/>
          <w:color w:val="auto"/>
          <w:kern w:val="0"/>
          <w:sz w:val="22"/>
          <w:szCs w:val="22"/>
          <w:highlight w:val="none"/>
        </w:rPr>
        <w:t>的投标，与参加本次项目同一合同项下政府采购活动的其他供应商不存在单位负责人为同一人或者直接控股、管理关系。如有虚假或隐瞒，愿意承担一切后果。</w:t>
      </w:r>
    </w:p>
    <w:p>
      <w:pPr>
        <w:shd w:val="clear" w:color="auto" w:fill="FFFFFF"/>
        <w:snapToGrid w:val="0"/>
        <w:spacing w:line="460" w:lineRule="exact"/>
        <w:jc w:val="center"/>
        <w:rPr>
          <w:rFonts w:ascii="宋体" w:hAnsi="宋体" w:cs="宋体"/>
          <w:b/>
          <w:color w:val="auto"/>
          <w:kern w:val="36"/>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pPr>
        <w:widowControl/>
        <w:snapToGrid w:val="0"/>
        <w:spacing w:line="460" w:lineRule="exact"/>
        <w:ind w:firstLine="440" w:firstLineChars="200"/>
        <w:jc w:val="left"/>
        <w:rPr>
          <w:rFonts w:ascii="宋体" w:hAnsi="宋体" w:cs="宋体"/>
          <w:color w:val="auto"/>
          <w:kern w:val="0"/>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sz w:val="22"/>
          <w:szCs w:val="22"/>
          <w:highlight w:val="none"/>
        </w:rPr>
        <w:t>投标人全称（盖章）</w:t>
      </w:r>
      <w:r>
        <w:rPr>
          <w:rFonts w:hint="eastAsia" w:ascii="宋体" w:hAnsi="宋体" w:cs="宋体"/>
          <w:color w:val="auto"/>
          <w:kern w:val="0"/>
          <w:sz w:val="22"/>
          <w:szCs w:val="22"/>
          <w:highlight w:val="none"/>
        </w:rPr>
        <w:t>：</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法定代表人或其授权代表（签字或盖章）：</w:t>
      </w:r>
    </w:p>
    <w:p>
      <w:pPr>
        <w:widowControl/>
        <w:adjustRightInd w:val="0"/>
        <w:snapToGrid w:val="0"/>
        <w:spacing w:line="460" w:lineRule="exact"/>
        <w:ind w:firstLine="440" w:firstLineChars="200"/>
        <w:jc w:val="left"/>
        <w:rPr>
          <w:rFonts w:ascii="宋体" w:hAnsi="宋体" w:cs="宋体"/>
          <w:color w:val="auto"/>
          <w:kern w:val="0"/>
          <w:sz w:val="22"/>
          <w:szCs w:val="22"/>
          <w:highlight w:val="none"/>
        </w:rPr>
      </w:pPr>
    </w:p>
    <w:p>
      <w:pPr>
        <w:pStyle w:val="24"/>
        <w:spacing w:line="460" w:lineRule="exact"/>
        <w:ind w:left="514" w:leftChars="245" w:firstLine="5720" w:firstLineChars="2600"/>
        <w:rPr>
          <w:rFonts w:ascii="宋体" w:hAnsi="宋体" w:cs="宋体"/>
          <w:color w:val="auto"/>
          <w:kern w:val="0"/>
          <w:highlight w:val="none"/>
        </w:rPr>
      </w:pPr>
      <w:r>
        <w:rPr>
          <w:rFonts w:hint="eastAsia" w:ascii="宋体" w:hAnsi="宋体" w:cs="宋体"/>
          <w:color w:val="auto"/>
          <w:kern w:val="0"/>
          <w:sz w:val="22"/>
          <w:szCs w:val="22"/>
          <w:highlight w:val="none"/>
        </w:rPr>
        <w:t>日期：     年  月  日</w:t>
      </w:r>
    </w:p>
    <w:p>
      <w:pPr>
        <w:pStyle w:val="24"/>
        <w:spacing w:line="460" w:lineRule="exact"/>
        <w:ind w:left="0" w:firstLine="0" w:firstLineChars="0"/>
        <w:rPr>
          <w:rFonts w:ascii="宋体" w:hAnsi="宋体" w:cs="宋体"/>
          <w:color w:val="auto"/>
          <w:kern w:val="0"/>
          <w:highlight w:val="none"/>
        </w:rPr>
      </w:pPr>
    </w:p>
    <w:p>
      <w:pPr>
        <w:pStyle w:val="24"/>
        <w:spacing w:line="460" w:lineRule="exact"/>
        <w:ind w:left="0" w:firstLine="0" w:firstLineChars="0"/>
        <w:rPr>
          <w:rFonts w:ascii="宋体" w:hAnsi="宋体" w:cs="宋体"/>
          <w:color w:val="auto"/>
          <w:kern w:val="0"/>
          <w:highlight w:val="none"/>
        </w:rPr>
      </w:pPr>
    </w:p>
    <w:p>
      <w:pPr>
        <w:spacing w:line="400" w:lineRule="exact"/>
        <w:outlineLvl w:val="3"/>
        <w:rPr>
          <w:rFonts w:ascii="宋体" w:hAnsi="宋体" w:cs="宋体"/>
          <w:b/>
          <w:bCs/>
          <w:color w:val="auto"/>
          <w:sz w:val="24"/>
          <w:highlight w:val="none"/>
        </w:rPr>
      </w:pPr>
      <w:r>
        <w:rPr>
          <w:rFonts w:hint="eastAsia" w:ascii="宋体" w:hAnsi="宋体" w:cs="宋体"/>
          <w:b/>
          <w:bCs/>
          <w:color w:val="auto"/>
          <w:sz w:val="24"/>
          <w:highlight w:val="none"/>
        </w:rPr>
        <w:t>7、投标人不属于公益一类事业单位承诺函；</w:t>
      </w:r>
    </w:p>
    <w:p>
      <w:pPr>
        <w:shd w:val="clear" w:color="auto" w:fill="FFFFFF"/>
        <w:snapToGrid w:val="0"/>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温州市城市建设档案馆、温州历程招标有限公司</w:t>
      </w:r>
      <w:r>
        <w:rPr>
          <w:rFonts w:hint="eastAsia" w:ascii="宋体" w:hAnsi="宋体" w:cs="宋体"/>
          <w:color w:val="auto"/>
          <w:kern w:val="0"/>
          <w:sz w:val="22"/>
          <w:szCs w:val="22"/>
          <w:highlight w:val="none"/>
        </w:rPr>
        <w:t>：</w:t>
      </w:r>
    </w:p>
    <w:p>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我方郑重承诺，我单位不属于公益一类事业单位，可承接</w:t>
      </w:r>
      <w:r>
        <w:rPr>
          <w:rFonts w:hint="eastAsia" w:ascii="宋体" w:hAnsi="宋体" w:cs="宋体"/>
          <w:color w:val="auto"/>
          <w:kern w:val="0"/>
          <w:sz w:val="22"/>
          <w:szCs w:val="22"/>
          <w:highlight w:val="none"/>
          <w:u w:val="single"/>
          <w:lang w:eastAsia="zh-CN"/>
        </w:rPr>
        <w:t>温州市自然资源和规划局档案库房建设（档案搬运服务）</w:t>
      </w:r>
      <w:r>
        <w:rPr>
          <w:rFonts w:hint="eastAsia" w:ascii="宋体" w:hAnsi="宋体" w:cs="宋体"/>
          <w:color w:val="auto"/>
          <w:kern w:val="0"/>
          <w:sz w:val="22"/>
          <w:szCs w:val="22"/>
          <w:highlight w:val="none"/>
          <w:u w:val="single"/>
        </w:rPr>
        <w:t>项目</w:t>
      </w:r>
      <w:r>
        <w:rPr>
          <w:rFonts w:hint="eastAsia" w:ascii="宋体" w:hAnsi="宋体" w:cs="宋体"/>
          <w:color w:val="auto"/>
          <w:kern w:val="0"/>
          <w:sz w:val="22"/>
          <w:szCs w:val="22"/>
          <w:highlight w:val="none"/>
        </w:rPr>
        <w:t>的相关服务内容。如有虚假或隐瞒，愿意承担一切后果。</w:t>
      </w:r>
    </w:p>
    <w:p>
      <w:pPr>
        <w:shd w:val="clear" w:color="auto" w:fill="FFFFFF"/>
        <w:snapToGrid w:val="0"/>
        <w:spacing w:line="460" w:lineRule="exact"/>
        <w:jc w:val="center"/>
        <w:rPr>
          <w:rFonts w:ascii="宋体" w:hAnsi="宋体" w:cs="宋体"/>
          <w:b/>
          <w:color w:val="auto"/>
          <w:kern w:val="36"/>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pPr>
        <w:widowControl/>
        <w:snapToGrid w:val="0"/>
        <w:spacing w:line="460" w:lineRule="exact"/>
        <w:ind w:firstLine="440" w:firstLineChars="200"/>
        <w:jc w:val="left"/>
        <w:rPr>
          <w:rFonts w:ascii="宋体" w:hAnsi="宋体" w:cs="宋体"/>
          <w:color w:val="auto"/>
          <w:kern w:val="0"/>
          <w:sz w:val="22"/>
          <w:szCs w:val="22"/>
          <w:highlight w:val="none"/>
        </w:rPr>
      </w:pP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sz w:val="22"/>
          <w:szCs w:val="22"/>
          <w:highlight w:val="none"/>
        </w:rPr>
        <w:t>投标人全称（盖章）</w:t>
      </w:r>
      <w:r>
        <w:rPr>
          <w:rFonts w:hint="eastAsia" w:ascii="宋体" w:hAnsi="宋体" w:cs="宋体"/>
          <w:color w:val="auto"/>
          <w:kern w:val="0"/>
          <w:sz w:val="22"/>
          <w:szCs w:val="22"/>
          <w:highlight w:val="none"/>
        </w:rPr>
        <w:t xml:space="preserve"> ：</w:t>
      </w:r>
    </w:p>
    <w:p>
      <w:pPr>
        <w:widowControl/>
        <w:snapToGrid w:val="0"/>
        <w:spacing w:line="46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法定代表人或其授权代表（签字或盖章）：</w:t>
      </w:r>
    </w:p>
    <w:p>
      <w:pPr>
        <w:widowControl/>
        <w:adjustRightInd w:val="0"/>
        <w:snapToGrid w:val="0"/>
        <w:spacing w:line="460" w:lineRule="exact"/>
        <w:ind w:firstLine="440" w:firstLineChars="200"/>
        <w:jc w:val="left"/>
        <w:rPr>
          <w:rFonts w:ascii="宋体" w:hAnsi="宋体" w:cs="宋体"/>
          <w:color w:val="auto"/>
          <w:kern w:val="0"/>
          <w:sz w:val="22"/>
          <w:szCs w:val="22"/>
          <w:highlight w:val="none"/>
        </w:rPr>
      </w:pPr>
    </w:p>
    <w:p>
      <w:pPr>
        <w:widowControl/>
        <w:adjustRightInd w:val="0"/>
        <w:snapToGrid w:val="0"/>
        <w:spacing w:line="460" w:lineRule="exact"/>
        <w:ind w:firstLine="6160" w:firstLineChars="2800"/>
        <w:jc w:val="left"/>
        <w:rPr>
          <w:rFonts w:ascii="宋体" w:hAnsi="宋体" w:cs="宋体"/>
          <w:color w:val="auto"/>
          <w:kern w:val="0"/>
          <w:sz w:val="24"/>
          <w:highlight w:val="none"/>
        </w:rPr>
      </w:pPr>
      <w:r>
        <w:rPr>
          <w:rFonts w:hint="eastAsia" w:ascii="宋体" w:hAnsi="宋体" w:cs="宋体"/>
          <w:color w:val="auto"/>
          <w:kern w:val="0"/>
          <w:sz w:val="22"/>
          <w:szCs w:val="22"/>
          <w:highlight w:val="none"/>
        </w:rPr>
        <w:t>日期：     年  月  日</w:t>
      </w:r>
    </w:p>
    <w:p>
      <w:pPr>
        <w:pStyle w:val="24"/>
        <w:spacing w:line="460" w:lineRule="exact"/>
        <w:ind w:left="514" w:leftChars="245" w:firstLine="0" w:firstLineChars="0"/>
        <w:rPr>
          <w:rFonts w:ascii="宋体" w:hAnsi="宋体" w:cs="宋体"/>
          <w:color w:val="auto"/>
          <w:highlight w:val="none"/>
        </w:rPr>
      </w:pPr>
    </w:p>
    <w:p>
      <w:pPr>
        <w:pStyle w:val="24"/>
        <w:spacing w:line="460" w:lineRule="exact"/>
        <w:ind w:left="514" w:leftChars="245" w:firstLine="0" w:firstLineChars="0"/>
        <w:rPr>
          <w:rFonts w:ascii="宋体" w:hAnsi="宋体" w:cs="宋体"/>
          <w:color w:val="auto"/>
          <w:highlight w:val="none"/>
        </w:rPr>
      </w:pPr>
    </w:p>
    <w:p>
      <w:pPr>
        <w:pStyle w:val="24"/>
        <w:spacing w:line="460" w:lineRule="exact"/>
        <w:ind w:left="514" w:leftChars="245" w:firstLine="0" w:firstLineChars="0"/>
        <w:rPr>
          <w:rFonts w:ascii="宋体" w:hAnsi="宋体" w:cs="宋体"/>
          <w:color w:val="auto"/>
          <w:highlight w:val="none"/>
        </w:rPr>
      </w:pPr>
    </w:p>
    <w:p>
      <w:pPr>
        <w:pStyle w:val="24"/>
        <w:spacing w:line="460" w:lineRule="exact"/>
        <w:ind w:left="514" w:leftChars="245" w:firstLine="0" w:firstLineChars="0"/>
        <w:rPr>
          <w:rFonts w:ascii="宋体" w:hAnsi="宋体" w:cs="宋体"/>
          <w:color w:val="auto"/>
          <w:highlight w:val="none"/>
        </w:rPr>
      </w:pPr>
    </w:p>
    <w:p>
      <w:pPr>
        <w:spacing w:line="400" w:lineRule="exact"/>
        <w:outlineLvl w:val="3"/>
        <w:rPr>
          <w:rFonts w:ascii="宋体" w:hAnsi="宋体" w:cs="宋体"/>
          <w:b/>
          <w:bCs/>
          <w:color w:val="auto"/>
          <w:sz w:val="24"/>
          <w:highlight w:val="none"/>
        </w:rPr>
      </w:pPr>
      <w:r>
        <w:rPr>
          <w:rFonts w:hint="eastAsia" w:ascii="宋体" w:hAnsi="宋体" w:cs="宋体"/>
          <w:b/>
          <w:bCs/>
          <w:color w:val="auto"/>
          <w:sz w:val="24"/>
          <w:highlight w:val="none"/>
        </w:rPr>
        <w:t>8、投标人信用查询：</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1、投标人信用信息查询的查询渠道：“信用中国”(www.creditchina.gov.cn)；“中国政府采购网”（http://www.ccgp.gov.cn/）；</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2、投标人信用信息查询截止时点：招标公告发布之日至投标截止时间前。</w:t>
      </w:r>
    </w:p>
    <w:p>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3、投标人信用信息查询记录和证据留存的具体方式：网页截图；</w:t>
      </w:r>
    </w:p>
    <w:p>
      <w:pPr>
        <w:tabs>
          <w:tab w:val="left" w:pos="360"/>
        </w:tabs>
        <w:spacing w:line="460" w:lineRule="exact"/>
        <w:ind w:firstLine="552" w:firstLineChars="250"/>
        <w:rPr>
          <w:rFonts w:ascii="宋体" w:hAnsi="宋体" w:cs="宋体"/>
          <w:b/>
          <w:bCs/>
          <w:color w:val="auto"/>
          <w:sz w:val="22"/>
          <w:szCs w:val="22"/>
          <w:highlight w:val="none"/>
          <w:u w:val="single"/>
        </w:rPr>
      </w:pPr>
      <w:r>
        <w:rPr>
          <w:rFonts w:hint="eastAsia" w:ascii="宋体" w:hAnsi="宋体" w:cs="宋体"/>
          <w:b/>
          <w:bCs/>
          <w:color w:val="auto"/>
          <w:sz w:val="22"/>
          <w:highlight w:val="none"/>
          <w:u w:val="single"/>
        </w:rPr>
        <w:t>4、信用信息的使用规则：对列入失信被执行人、重大税收违法案件当事人名单、政府采购严重违法失信行为记录名单及其他不符合《中华人民共和国政府采购法》第二十二条规定条件的供应商，其投标做无效投标处理。</w:t>
      </w: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p>
    <w:p>
      <w:pPr>
        <w:pStyle w:val="9"/>
        <w:rPr>
          <w:rFonts w:ascii="宋体" w:hAnsi="宋体" w:cs="宋体"/>
          <w:bCs/>
          <w:color w:val="auto"/>
          <w:sz w:val="22"/>
          <w:szCs w:val="22"/>
          <w:highlight w:val="none"/>
        </w:rPr>
      </w:pPr>
    </w:p>
    <w:p>
      <w:pPr>
        <w:rPr>
          <w:rFonts w:ascii="宋体" w:hAnsi="宋体" w:cs="宋体"/>
          <w:color w:val="auto"/>
          <w:highlight w:val="none"/>
        </w:rPr>
      </w:pPr>
    </w:p>
    <w:p>
      <w:pPr>
        <w:rPr>
          <w:rFonts w:ascii="宋体" w:hAnsi="宋体" w:cs="宋体"/>
          <w:color w:val="auto"/>
          <w:highlight w:val="none"/>
        </w:rPr>
      </w:pPr>
    </w:p>
    <w:p>
      <w:pPr>
        <w:spacing w:line="460" w:lineRule="exact"/>
        <w:jc w:val="center"/>
        <w:outlineLvl w:val="3"/>
        <w:rPr>
          <w:rFonts w:ascii="宋体" w:hAnsi="宋体" w:cs="宋体"/>
          <w:b/>
          <w:bCs/>
          <w:color w:val="auto"/>
          <w:sz w:val="22"/>
          <w:szCs w:val="22"/>
          <w:highlight w:val="none"/>
        </w:rPr>
      </w:pPr>
      <w:r>
        <w:rPr>
          <w:rFonts w:hint="eastAsia" w:ascii="宋体" w:hAnsi="宋体" w:cs="宋体"/>
          <w:b/>
          <w:bCs/>
          <w:color w:val="auto"/>
          <w:sz w:val="28"/>
          <w:szCs w:val="28"/>
          <w:highlight w:val="none"/>
        </w:rPr>
        <w:t>9、政府采购活动现场确认声明书</w:t>
      </w:r>
    </w:p>
    <w:p>
      <w:pPr>
        <w:spacing w:line="460" w:lineRule="exact"/>
        <w:rPr>
          <w:rFonts w:ascii="宋体" w:hAnsi="宋体" w:cs="宋体"/>
          <w:b/>
          <w:bCs/>
          <w:color w:val="auto"/>
          <w:sz w:val="22"/>
          <w:szCs w:val="22"/>
          <w:highlight w:val="none"/>
        </w:rPr>
      </w:pPr>
    </w:p>
    <w:p>
      <w:pPr>
        <w:spacing w:line="460" w:lineRule="exact"/>
        <w:rPr>
          <w:rFonts w:ascii="宋体" w:hAnsi="宋体" w:cs="宋体"/>
          <w:b/>
          <w:bCs/>
          <w:color w:val="auto"/>
          <w:sz w:val="22"/>
          <w:szCs w:val="22"/>
          <w:highlight w:val="none"/>
        </w:rPr>
      </w:pPr>
      <w:r>
        <w:rPr>
          <w:rFonts w:hint="eastAsia" w:ascii="宋体" w:hAnsi="宋体" w:cs="宋体"/>
          <w:color w:val="auto"/>
          <w:kern w:val="0"/>
          <w:sz w:val="22"/>
          <w:szCs w:val="22"/>
          <w:highlight w:val="none"/>
        </w:rPr>
        <w:t>温州历程招标有限公司：</w:t>
      </w:r>
    </w:p>
    <w:p>
      <w:pPr>
        <w:spacing w:line="460" w:lineRule="exact"/>
        <w:ind w:firstLine="440" w:firstLineChars="200"/>
        <w:rPr>
          <w:rFonts w:ascii="宋体" w:hAnsi="宋体" w:cs="宋体"/>
          <w:color w:val="auto"/>
          <w:highlight w:val="none"/>
        </w:rPr>
      </w:pPr>
      <w:r>
        <w:rPr>
          <w:rFonts w:hint="eastAsia" w:ascii="宋体" w:hAnsi="宋体" w:cs="宋体"/>
          <w:color w:val="auto"/>
          <w:kern w:val="0"/>
          <w:sz w:val="22"/>
          <w:szCs w:val="22"/>
          <w:highlight w:val="none"/>
        </w:rPr>
        <w:t>本人经由</w:t>
      </w:r>
      <w:r>
        <w:rPr>
          <w:rFonts w:hint="eastAsia" w:ascii="宋体" w:hAnsi="宋体" w:cs="宋体"/>
          <w:color w:val="auto"/>
          <w:kern w:val="0"/>
          <w:sz w:val="22"/>
          <w:szCs w:val="22"/>
          <w:highlight w:val="none"/>
          <w:u w:val="single"/>
        </w:rPr>
        <w:t>（供应商名称）</w:t>
      </w:r>
      <w:r>
        <w:rPr>
          <w:rFonts w:hint="eastAsia" w:ascii="宋体" w:hAnsi="宋体" w:cs="宋体"/>
          <w:color w:val="auto"/>
          <w:kern w:val="0"/>
          <w:sz w:val="22"/>
          <w:szCs w:val="22"/>
          <w:highlight w:val="none"/>
        </w:rPr>
        <w:t>负责人</w:t>
      </w:r>
      <w:r>
        <w:rPr>
          <w:rFonts w:hint="eastAsia" w:ascii="宋体" w:hAnsi="宋体" w:cs="宋体"/>
          <w:color w:val="auto"/>
          <w:kern w:val="0"/>
          <w:sz w:val="22"/>
          <w:szCs w:val="22"/>
          <w:highlight w:val="none"/>
          <w:u w:val="single"/>
        </w:rPr>
        <w:t>（姓名）</w:t>
      </w:r>
      <w:r>
        <w:rPr>
          <w:rFonts w:hint="eastAsia" w:ascii="宋体" w:hAnsi="宋体" w:cs="宋体"/>
          <w:color w:val="auto"/>
          <w:kern w:val="0"/>
          <w:sz w:val="22"/>
          <w:szCs w:val="22"/>
          <w:highlight w:val="none"/>
        </w:rPr>
        <w:t>合法授权参加</w:t>
      </w:r>
      <w:r>
        <w:rPr>
          <w:rFonts w:hint="eastAsia" w:ascii="宋体" w:hAnsi="宋体" w:cs="宋体"/>
          <w:color w:val="auto"/>
          <w:kern w:val="0"/>
          <w:sz w:val="22"/>
          <w:szCs w:val="22"/>
          <w:highlight w:val="none"/>
          <w:u w:val="single"/>
          <w:lang w:val="en-US" w:eastAsia="zh-CN"/>
        </w:rPr>
        <w:t xml:space="preserve">         </w:t>
      </w:r>
      <w:r>
        <w:rPr>
          <w:rFonts w:hint="eastAsia" w:ascii="宋体" w:hAnsi="宋体" w:cs="宋体"/>
          <w:color w:val="auto"/>
          <w:kern w:val="0"/>
          <w:sz w:val="22"/>
          <w:szCs w:val="22"/>
          <w:highlight w:val="none"/>
        </w:rPr>
        <w:t>项目（编号：</w:t>
      </w:r>
      <w:r>
        <w:rPr>
          <w:rFonts w:hint="eastAsia" w:ascii="宋体" w:hAnsi="宋体" w:cs="宋体"/>
          <w:color w:val="auto"/>
          <w:kern w:val="0"/>
          <w:sz w:val="22"/>
          <w:szCs w:val="22"/>
          <w:highlight w:val="none"/>
          <w:u w:val="single"/>
          <w:lang w:val="en-US" w:eastAsia="zh-CN"/>
        </w:rPr>
        <w:t xml:space="preserve">           </w:t>
      </w:r>
      <w:r>
        <w:rPr>
          <w:rFonts w:hint="eastAsia" w:ascii="宋体" w:hAnsi="宋体" w:cs="宋体"/>
          <w:color w:val="auto"/>
          <w:kern w:val="0"/>
          <w:sz w:val="22"/>
          <w:szCs w:val="22"/>
          <w:highlight w:val="none"/>
        </w:rPr>
        <w:t>）采购活动，经与本单位法人代表（负责人）联系确认，现就有关公平竞争事项郑重声明如下：</w:t>
      </w:r>
    </w:p>
    <w:p>
      <w:pPr>
        <w:numPr>
          <w:ilvl w:val="0"/>
          <w:numId w:val="4"/>
        </w:numPr>
        <w:spacing w:line="46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本单位与招标人之间 □不存在利害关系 □存在下列利害关系：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A.投资关系    </w:t>
      </w:r>
    </w:p>
    <w:p>
      <w:pPr>
        <w:spacing w:line="460" w:lineRule="exact"/>
        <w:ind w:firstLine="660" w:firstLineChars="300"/>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B.行政隶属关系    </w:t>
      </w:r>
    </w:p>
    <w:p>
      <w:pPr>
        <w:spacing w:line="460" w:lineRule="exact"/>
        <w:ind w:firstLine="660" w:firstLineChars="300"/>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C.业务指导关系  </w:t>
      </w:r>
    </w:p>
    <w:p>
      <w:pPr>
        <w:spacing w:line="460" w:lineRule="exact"/>
        <w:ind w:firstLine="660" w:firstLineChars="300"/>
        <w:rPr>
          <w:rFonts w:ascii="宋体" w:hAnsi="宋体" w:cs="宋体"/>
          <w:color w:val="auto"/>
          <w:sz w:val="22"/>
          <w:szCs w:val="22"/>
          <w:highlight w:val="none"/>
        </w:rPr>
      </w:pPr>
      <w:r>
        <w:rPr>
          <w:rFonts w:hint="eastAsia" w:ascii="宋体" w:hAnsi="宋体" w:cs="宋体"/>
          <w:color w:val="auto"/>
          <w:kern w:val="0"/>
          <w:sz w:val="22"/>
          <w:szCs w:val="22"/>
          <w:highlight w:val="none"/>
        </w:rPr>
        <w:t>D.其他可能影响采购公正的利害关系</w:t>
      </w:r>
      <w:r>
        <w:rPr>
          <w:rStyle w:val="332"/>
          <w:rFonts w:hint="default"/>
          <w:color w:val="auto"/>
          <w:sz w:val="22"/>
          <w:szCs w:val="22"/>
          <w:highlight w:val="none"/>
        </w:rPr>
        <w:t xml:space="preserve">（如有，请如实说明）                 </w:t>
      </w:r>
      <w:r>
        <w:rPr>
          <w:rFonts w:hint="eastAsia" w:ascii="宋体" w:hAnsi="宋体" w:cs="宋体"/>
          <w:color w:val="auto"/>
          <w:kern w:val="0"/>
          <w:sz w:val="22"/>
          <w:szCs w:val="22"/>
          <w:highlight w:val="none"/>
        </w:rPr>
        <w:t>。</w:t>
      </w:r>
    </w:p>
    <w:p>
      <w:pPr>
        <w:numPr>
          <w:ilvl w:val="0"/>
          <w:numId w:val="4"/>
        </w:numPr>
        <w:spacing w:line="46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现已清楚知道参加本项目采购活动的其他所有供应商名称，本单位 </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□与其他所有供应商之间均不存在利害关系 </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□与</w:t>
      </w:r>
      <w:r>
        <w:rPr>
          <w:rFonts w:hint="eastAsia" w:ascii="宋体" w:hAnsi="宋体" w:cs="宋体"/>
          <w:color w:val="auto"/>
          <w:kern w:val="0"/>
          <w:sz w:val="22"/>
          <w:szCs w:val="22"/>
          <w:highlight w:val="none"/>
          <w:u w:val="single"/>
        </w:rPr>
        <w:t xml:space="preserve">           （</w:t>
      </w:r>
      <w:r>
        <w:rPr>
          <w:rFonts w:hint="eastAsia" w:ascii="宋体" w:hAnsi="宋体" w:cs="宋体"/>
          <w:color w:val="auto"/>
          <w:kern w:val="0"/>
          <w:sz w:val="22"/>
          <w:szCs w:val="22"/>
          <w:highlight w:val="none"/>
        </w:rPr>
        <w:t>供应商名称）之间存在下列利害关系：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A.法定代表人或负责人或实际控制人是同一人</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B.法定代表人或负责人或实际控制人是夫妻关系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C.法定代表人或负责人或实际控制人是直系血亲关系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D.法定代表人或负责人或实际控制人存在三代以内旁系血亲关系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E.法定代表人或负责人或实际控制人存在近姻亲关系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F.法定代表人或负责人或实际控制人存在股份控制或实际控制关系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G.存在共同直接或间接投资设立子公司、联营企业和合营企业情况</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H.存在分级代理或代销关系、同一生产制造商关系、管理关系、重要业务（占主营业务收入50%以上）或重要财务往来关系（如融资）等其他实质性控制关系</w:t>
      </w:r>
      <w:r>
        <w:rPr>
          <w:rFonts w:hint="eastAsia" w:ascii="宋体" w:hAnsi="宋体" w:cs="宋体"/>
          <w:color w:val="auto"/>
          <w:kern w:val="0"/>
          <w:sz w:val="22"/>
          <w:szCs w:val="22"/>
          <w:highlight w:val="none"/>
        </w:rPr>
        <w:br w:type="textWrapping"/>
      </w:r>
      <w:r>
        <w:rPr>
          <w:rFonts w:hint="eastAsia" w:ascii="宋体" w:hAnsi="宋体" w:cs="宋体"/>
          <w:color w:val="auto"/>
          <w:kern w:val="0"/>
          <w:sz w:val="22"/>
          <w:szCs w:val="22"/>
          <w:highlight w:val="none"/>
        </w:rPr>
        <w:t xml:space="preserve">      I.其他利害关系情况</w:t>
      </w:r>
      <w:r>
        <w:rPr>
          <w:rFonts w:hint="eastAsia" w:ascii="宋体" w:hAnsi="宋体" w:cs="宋体"/>
          <w:color w:val="auto"/>
          <w:kern w:val="0"/>
          <w:sz w:val="22"/>
          <w:szCs w:val="22"/>
          <w:highlight w:val="none"/>
          <w:u w:val="single"/>
        </w:rPr>
        <w:t xml:space="preserve">                              。</w:t>
      </w:r>
    </w:p>
    <w:p>
      <w:pPr>
        <w:pStyle w:val="24"/>
        <w:spacing w:line="460" w:lineRule="exact"/>
        <w:ind w:left="0" w:firstLine="0" w:firstLineChars="0"/>
        <w:rPr>
          <w:rFonts w:ascii="宋体" w:hAnsi="宋体" w:cs="宋体"/>
          <w:color w:val="auto"/>
          <w:kern w:val="0"/>
          <w:sz w:val="22"/>
          <w:szCs w:val="22"/>
          <w:highlight w:val="none"/>
        </w:rPr>
      </w:pPr>
      <w:r>
        <w:rPr>
          <w:rFonts w:hint="eastAsia" w:ascii="宋体" w:hAnsi="宋体" w:cs="宋体"/>
          <w:color w:val="auto"/>
          <w:kern w:val="0"/>
          <w:sz w:val="22"/>
          <w:szCs w:val="22"/>
          <w:highlight w:val="none"/>
        </w:rPr>
        <w:t>（三）现已清楚知道并严格遵守政府采购法律法规和现场纪律</w:t>
      </w:r>
    </w:p>
    <w:p>
      <w:pPr>
        <w:pStyle w:val="24"/>
        <w:spacing w:line="460" w:lineRule="exact"/>
        <w:ind w:left="0" w:firstLine="0" w:firstLineChars="0"/>
        <w:rPr>
          <w:rFonts w:ascii="宋体" w:hAnsi="宋体" w:cs="宋体"/>
          <w:color w:val="auto"/>
          <w:kern w:val="0"/>
          <w:sz w:val="22"/>
          <w:szCs w:val="22"/>
          <w:highlight w:val="none"/>
        </w:rPr>
      </w:pPr>
      <w:r>
        <w:rPr>
          <w:rFonts w:hint="eastAsia" w:ascii="宋体" w:hAnsi="宋体" w:cs="宋体"/>
          <w:color w:val="auto"/>
          <w:kern w:val="0"/>
          <w:sz w:val="22"/>
          <w:szCs w:val="22"/>
          <w:highlight w:val="none"/>
        </w:rPr>
        <w:t>（四）我发现</w:t>
      </w:r>
      <w:r>
        <w:rPr>
          <w:rStyle w:val="332"/>
          <w:rFonts w:hint="default"/>
          <w:color w:val="auto"/>
          <w:sz w:val="22"/>
          <w:szCs w:val="22"/>
          <w:highlight w:val="none"/>
        </w:rPr>
        <w:t xml:space="preserve">                  与                  （供应商名称）</w:t>
      </w:r>
      <w:r>
        <w:rPr>
          <w:rFonts w:hint="eastAsia" w:ascii="宋体" w:hAnsi="宋体" w:cs="宋体"/>
          <w:color w:val="auto"/>
          <w:kern w:val="0"/>
          <w:sz w:val="22"/>
          <w:szCs w:val="22"/>
          <w:highlight w:val="none"/>
        </w:rPr>
        <w:t>之间存在或可能存在上述第二条第项利害关系。</w:t>
      </w:r>
    </w:p>
    <w:p>
      <w:pPr>
        <w:pStyle w:val="24"/>
        <w:spacing w:line="460" w:lineRule="exact"/>
        <w:ind w:left="0" w:firstLine="0" w:firstLineChars="0"/>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供应商代表签名:</w:t>
      </w:r>
    </w:p>
    <w:p>
      <w:pPr>
        <w:pStyle w:val="24"/>
        <w:spacing w:line="460" w:lineRule="exact"/>
        <w:ind w:left="0" w:firstLine="0" w:firstLineChars="0"/>
        <w:jc w:val="right"/>
        <w:rPr>
          <w:rFonts w:ascii="宋体" w:hAnsi="宋体" w:cs="宋体"/>
          <w:b/>
          <w:color w:val="auto"/>
          <w:kern w:val="0"/>
          <w:sz w:val="22"/>
          <w:szCs w:val="22"/>
          <w:highlight w:val="none"/>
        </w:rPr>
      </w:pPr>
    </w:p>
    <w:p>
      <w:pPr>
        <w:pStyle w:val="24"/>
        <w:spacing w:line="460" w:lineRule="exact"/>
        <w:ind w:left="0" w:firstLine="0" w:firstLineChars="0"/>
        <w:jc w:val="right"/>
        <w:rPr>
          <w:rFonts w:ascii="宋体" w:hAnsi="宋体" w:cs="宋体"/>
          <w:b/>
          <w:color w:val="auto"/>
          <w:kern w:val="0"/>
          <w:sz w:val="22"/>
          <w:szCs w:val="22"/>
          <w:highlight w:val="none"/>
        </w:rPr>
      </w:pPr>
    </w:p>
    <w:p>
      <w:pPr>
        <w:pStyle w:val="24"/>
        <w:spacing w:line="460" w:lineRule="exact"/>
        <w:ind w:left="0" w:firstLine="0" w:firstLineChars="0"/>
        <w:jc w:val="right"/>
        <w:rPr>
          <w:rFonts w:ascii="宋体" w:hAnsi="宋体" w:cs="宋体"/>
          <w:b/>
          <w:bCs/>
          <w:color w:val="auto"/>
          <w:sz w:val="22"/>
          <w:szCs w:val="22"/>
          <w:highlight w:val="none"/>
        </w:rPr>
      </w:pPr>
      <w:r>
        <w:rPr>
          <w:rFonts w:hint="eastAsia" w:ascii="宋体" w:hAnsi="宋体" w:cs="宋体"/>
          <w:b/>
          <w:color w:val="auto"/>
          <w:kern w:val="0"/>
          <w:sz w:val="22"/>
          <w:szCs w:val="22"/>
          <w:highlight w:val="none"/>
        </w:rPr>
        <w:t>日期:202  年    月    日</w:t>
      </w:r>
    </w:p>
    <w:p>
      <w:pPr>
        <w:rPr>
          <w:rFonts w:hint="eastAsia" w:ascii="宋体" w:hAnsi="宋体" w:cs="宋体"/>
          <w:b/>
          <w:bCs/>
          <w:color w:val="auto"/>
          <w:sz w:val="22"/>
          <w:szCs w:val="22"/>
          <w:highlight w:val="none"/>
        </w:rPr>
      </w:pPr>
      <w:bookmarkStart w:id="36" w:name="_Toc31356"/>
      <w:bookmarkStart w:id="37" w:name="_Toc16516"/>
      <w:r>
        <w:rPr>
          <w:rFonts w:hint="eastAsia" w:ascii="宋体" w:hAnsi="宋体" w:cs="宋体"/>
          <w:b/>
          <w:bCs/>
          <w:color w:val="auto"/>
          <w:sz w:val="22"/>
          <w:szCs w:val="22"/>
          <w:highlight w:val="none"/>
        </w:rPr>
        <w:br w:type="page"/>
      </w:r>
    </w:p>
    <w:p>
      <w:pPr>
        <w:tabs>
          <w:tab w:val="left" w:pos="1620"/>
        </w:tabs>
        <w:spacing w:line="460" w:lineRule="exact"/>
        <w:outlineLvl w:val="3"/>
        <w:rPr>
          <w:rFonts w:hint="eastAsia" w:ascii="宋体" w:hAnsi="宋体" w:eastAsia="宋体" w:cs="宋体"/>
          <w:b/>
          <w:bCs/>
          <w:color w:val="auto"/>
          <w:sz w:val="22"/>
          <w:szCs w:val="22"/>
          <w:highlight w:val="none"/>
          <w:lang w:eastAsia="zh-CN"/>
        </w:rPr>
      </w:pPr>
      <w:r>
        <w:rPr>
          <w:rFonts w:hint="eastAsia" w:ascii="宋体" w:hAnsi="宋体" w:cs="宋体"/>
          <w:b/>
          <w:bCs/>
          <w:color w:val="auto"/>
          <w:sz w:val="28"/>
          <w:szCs w:val="28"/>
          <w:highlight w:val="none"/>
          <w:lang w:val="en-US" w:eastAsia="zh-CN"/>
        </w:rPr>
        <w:t>10</w:t>
      </w:r>
      <w:r>
        <w:rPr>
          <w:rFonts w:hint="eastAsia" w:ascii="宋体" w:hAnsi="宋体" w:cs="宋体"/>
          <w:b/>
          <w:bCs/>
          <w:color w:val="auto"/>
          <w:sz w:val="28"/>
          <w:szCs w:val="28"/>
          <w:highlight w:val="none"/>
        </w:rPr>
        <w:t>、中小企业</w:t>
      </w:r>
      <w:r>
        <w:rPr>
          <w:rFonts w:hint="eastAsia" w:ascii="宋体" w:hAnsi="宋体" w:cs="宋体"/>
          <w:b/>
          <w:bCs/>
          <w:color w:val="auto"/>
          <w:sz w:val="28"/>
          <w:szCs w:val="28"/>
          <w:highlight w:val="none"/>
          <w:lang w:val="en-US" w:eastAsia="zh-CN"/>
        </w:rPr>
        <w:t>声明函</w:t>
      </w:r>
    </w:p>
    <w:p>
      <w:pPr>
        <w:pStyle w:val="9"/>
        <w:rPr>
          <w:rFonts w:ascii="宋体" w:hAnsi="宋体" w:cs="宋体"/>
          <w:color w:val="auto"/>
          <w:spacing w:val="20"/>
          <w:sz w:val="22"/>
          <w:szCs w:val="22"/>
          <w:highlight w:val="none"/>
        </w:rPr>
      </w:pPr>
    </w:p>
    <w:p>
      <w:pPr>
        <w:rPr>
          <w:rFonts w:ascii="宋体" w:hAnsi="宋体" w:cs="宋体"/>
          <w:color w:val="auto"/>
          <w:spacing w:val="20"/>
          <w:sz w:val="22"/>
          <w:szCs w:val="22"/>
          <w:highlight w:val="none"/>
        </w:rPr>
      </w:pPr>
    </w:p>
    <w:p>
      <w:pPr>
        <w:rPr>
          <w:rFonts w:ascii="宋体" w:hAnsi="宋体" w:cs="宋体"/>
          <w:color w:val="auto"/>
          <w:spacing w:val="20"/>
          <w:sz w:val="22"/>
          <w:szCs w:val="22"/>
          <w:highlight w:val="none"/>
        </w:rPr>
      </w:pPr>
    </w:p>
    <w:p>
      <w:pPr>
        <w:spacing w:line="460" w:lineRule="exact"/>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pPr>
        <w:snapToGrid w:val="0"/>
        <w:spacing w:line="460" w:lineRule="exact"/>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【不属于中小企业单位的无需填写、递交】</w:t>
      </w:r>
    </w:p>
    <w:p>
      <w:pPr>
        <w:spacing w:line="460" w:lineRule="exact"/>
        <w:ind w:firstLine="637" w:firstLineChars="245"/>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本公司（联合体）郑重声明，根据《政府采购促进中小企业发展管理办法》（财库﹝2020﹞46 号）的规定，本公司（联合体）参加</w:t>
      </w:r>
      <w:r>
        <w:rPr>
          <w:rFonts w:hint="eastAsia" w:ascii="宋体" w:hAnsi="宋体" w:cs="宋体"/>
          <w:color w:val="auto"/>
          <w:spacing w:val="20"/>
          <w:sz w:val="22"/>
          <w:szCs w:val="22"/>
          <w:highlight w:val="none"/>
          <w:u w:val="single"/>
        </w:rPr>
        <w:t>（单位名称）</w:t>
      </w:r>
      <w:r>
        <w:rPr>
          <w:rFonts w:hint="eastAsia" w:ascii="宋体" w:hAnsi="宋体" w:cs="宋体"/>
          <w:color w:val="auto"/>
          <w:spacing w:val="20"/>
          <w:sz w:val="22"/>
          <w:szCs w:val="22"/>
          <w:highlight w:val="none"/>
        </w:rPr>
        <w:t>的</w:t>
      </w:r>
      <w:r>
        <w:rPr>
          <w:rFonts w:hint="eastAsia" w:ascii="宋体" w:hAnsi="宋体" w:cs="宋体"/>
          <w:color w:val="auto"/>
          <w:spacing w:val="20"/>
          <w:sz w:val="22"/>
          <w:szCs w:val="22"/>
          <w:highlight w:val="none"/>
          <w:u w:val="single"/>
        </w:rPr>
        <w:t>（项目名称）</w:t>
      </w:r>
      <w:r>
        <w:rPr>
          <w:rFonts w:hint="eastAsia" w:ascii="宋体" w:hAnsi="宋体" w:cs="宋体"/>
          <w:color w:val="auto"/>
          <w:spacing w:val="20"/>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460" w:lineRule="exact"/>
        <w:ind w:firstLine="637" w:firstLineChars="245"/>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1.</w:t>
      </w:r>
      <w:r>
        <w:rPr>
          <w:rFonts w:hint="eastAsia" w:ascii="宋体" w:hAnsi="宋体" w:cs="宋体"/>
          <w:color w:val="auto"/>
          <w:spacing w:val="20"/>
          <w:sz w:val="22"/>
          <w:szCs w:val="22"/>
          <w:highlight w:val="none"/>
          <w:u w:val="single"/>
        </w:rPr>
        <w:t>（标的名称）</w:t>
      </w:r>
      <w:r>
        <w:rPr>
          <w:rFonts w:hint="eastAsia" w:ascii="宋体" w:hAnsi="宋体" w:cs="宋体"/>
          <w:color w:val="auto"/>
          <w:spacing w:val="20"/>
          <w:sz w:val="22"/>
          <w:szCs w:val="22"/>
          <w:highlight w:val="none"/>
        </w:rPr>
        <w:t>，属于行业； 承建（承接）企业为</w:t>
      </w:r>
      <w:r>
        <w:rPr>
          <w:rFonts w:hint="eastAsia" w:ascii="宋体" w:hAnsi="宋体" w:cs="宋体"/>
          <w:color w:val="auto"/>
          <w:spacing w:val="20"/>
          <w:sz w:val="22"/>
          <w:szCs w:val="22"/>
          <w:highlight w:val="none"/>
          <w:u w:val="single"/>
        </w:rPr>
        <w:t>（企业名称）</w:t>
      </w:r>
      <w:r>
        <w:rPr>
          <w:rFonts w:hint="eastAsia" w:ascii="宋体" w:hAnsi="宋体" w:cs="宋体"/>
          <w:color w:val="auto"/>
          <w:spacing w:val="20"/>
          <w:sz w:val="22"/>
          <w:szCs w:val="22"/>
          <w:highlight w:val="none"/>
        </w:rPr>
        <w:t>，从业人员人，营业收入为万元，资产总额为万元，属于</w:t>
      </w:r>
      <w:r>
        <w:rPr>
          <w:rFonts w:hint="eastAsia" w:ascii="宋体" w:hAnsi="宋体" w:cs="宋体"/>
          <w:color w:val="auto"/>
          <w:spacing w:val="20"/>
          <w:sz w:val="22"/>
          <w:szCs w:val="22"/>
          <w:highlight w:val="none"/>
          <w:u w:val="single"/>
          <w:lang w:val="en-US" w:eastAsia="zh-CN"/>
        </w:rPr>
        <w:t xml:space="preserve">        </w:t>
      </w:r>
      <w:r>
        <w:rPr>
          <w:rFonts w:hint="eastAsia" w:ascii="宋体" w:hAnsi="宋体" w:cs="宋体"/>
          <w:color w:val="auto"/>
          <w:spacing w:val="20"/>
          <w:sz w:val="22"/>
          <w:szCs w:val="22"/>
          <w:highlight w:val="none"/>
          <w:u w:val="single"/>
        </w:rPr>
        <w:t>（中型企业、小型企业、微型企业）</w:t>
      </w:r>
      <w:r>
        <w:rPr>
          <w:rFonts w:hint="eastAsia" w:ascii="宋体" w:hAnsi="宋体" w:cs="宋体"/>
          <w:color w:val="auto"/>
          <w:spacing w:val="20"/>
          <w:sz w:val="22"/>
          <w:szCs w:val="22"/>
          <w:highlight w:val="none"/>
        </w:rPr>
        <w:t xml:space="preserve">； </w:t>
      </w:r>
    </w:p>
    <w:p>
      <w:pPr>
        <w:spacing w:line="460" w:lineRule="exact"/>
        <w:ind w:firstLine="637" w:firstLineChars="245"/>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2.</w:t>
      </w:r>
      <w:r>
        <w:rPr>
          <w:rFonts w:hint="eastAsia" w:ascii="宋体" w:hAnsi="宋体" w:cs="宋体"/>
          <w:color w:val="auto"/>
          <w:spacing w:val="20"/>
          <w:sz w:val="22"/>
          <w:szCs w:val="22"/>
          <w:highlight w:val="none"/>
          <w:u w:val="single"/>
        </w:rPr>
        <w:t>（标的名称）</w:t>
      </w:r>
      <w:r>
        <w:rPr>
          <w:rFonts w:hint="eastAsia" w:ascii="宋体" w:hAnsi="宋体" w:cs="宋体"/>
          <w:color w:val="auto"/>
          <w:spacing w:val="20"/>
          <w:sz w:val="22"/>
          <w:szCs w:val="22"/>
          <w:highlight w:val="none"/>
        </w:rPr>
        <w:t>，属于行业；承建（承接）企业为</w:t>
      </w:r>
      <w:r>
        <w:rPr>
          <w:rFonts w:hint="eastAsia" w:ascii="宋体" w:hAnsi="宋体" w:cs="宋体"/>
          <w:color w:val="auto"/>
          <w:spacing w:val="20"/>
          <w:sz w:val="22"/>
          <w:szCs w:val="22"/>
          <w:highlight w:val="none"/>
          <w:u w:val="single"/>
        </w:rPr>
        <w:t>（企业名称）</w:t>
      </w:r>
      <w:r>
        <w:rPr>
          <w:rFonts w:hint="eastAsia" w:ascii="宋体" w:hAnsi="宋体" w:cs="宋体"/>
          <w:color w:val="auto"/>
          <w:spacing w:val="20"/>
          <w:sz w:val="22"/>
          <w:szCs w:val="22"/>
          <w:highlight w:val="none"/>
        </w:rPr>
        <w:t>，从业人员人，营业收入为万元，资产总额为万元，属于</w:t>
      </w:r>
      <w:r>
        <w:rPr>
          <w:rFonts w:hint="eastAsia" w:ascii="宋体" w:hAnsi="宋体" w:cs="宋体"/>
          <w:color w:val="auto"/>
          <w:spacing w:val="20"/>
          <w:sz w:val="22"/>
          <w:szCs w:val="22"/>
          <w:highlight w:val="none"/>
          <w:u w:val="single"/>
          <w:lang w:val="en-US" w:eastAsia="zh-CN"/>
        </w:rPr>
        <w:t xml:space="preserve">        </w:t>
      </w:r>
      <w:r>
        <w:rPr>
          <w:rFonts w:hint="eastAsia" w:ascii="宋体" w:hAnsi="宋体" w:cs="宋体"/>
          <w:color w:val="auto"/>
          <w:spacing w:val="20"/>
          <w:sz w:val="22"/>
          <w:szCs w:val="22"/>
          <w:highlight w:val="none"/>
          <w:u w:val="single"/>
        </w:rPr>
        <w:t>（中型企业、小型企业、微型企业）</w:t>
      </w:r>
      <w:r>
        <w:rPr>
          <w:rFonts w:hint="eastAsia" w:ascii="宋体" w:hAnsi="宋体" w:cs="宋体"/>
          <w:color w:val="auto"/>
          <w:spacing w:val="20"/>
          <w:sz w:val="22"/>
          <w:szCs w:val="22"/>
          <w:highlight w:val="none"/>
        </w:rPr>
        <w:t xml:space="preserve">； </w:t>
      </w:r>
    </w:p>
    <w:p>
      <w:pPr>
        <w:spacing w:line="460" w:lineRule="exact"/>
        <w:ind w:firstLine="639" w:firstLineChars="245"/>
        <w:rPr>
          <w:rFonts w:ascii="宋体" w:hAnsi="宋体" w:cs="宋体"/>
          <w:b/>
          <w:bCs/>
          <w:color w:val="auto"/>
          <w:spacing w:val="20"/>
          <w:sz w:val="22"/>
          <w:szCs w:val="22"/>
          <w:highlight w:val="none"/>
        </w:rPr>
      </w:pPr>
      <w:r>
        <w:rPr>
          <w:rFonts w:hint="eastAsia" w:ascii="宋体" w:hAnsi="宋体" w:cs="宋体"/>
          <w:b/>
          <w:bCs/>
          <w:color w:val="auto"/>
          <w:spacing w:val="20"/>
          <w:sz w:val="22"/>
          <w:szCs w:val="22"/>
          <w:highlight w:val="none"/>
        </w:rPr>
        <w:t>……</w:t>
      </w:r>
    </w:p>
    <w:p>
      <w:pPr>
        <w:spacing w:line="460" w:lineRule="exact"/>
        <w:ind w:firstLine="637" w:firstLineChars="245"/>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 xml:space="preserve">以上企业，不属于大企业的分支机构，不存在控股股东为大企业的情形，也不存在与大企业的负责人为同一人的情形。本企业对上述声明内容的真实性负责。如有虚假，将依法承担相应责任。 </w:t>
      </w:r>
    </w:p>
    <w:p>
      <w:pPr>
        <w:spacing w:line="460" w:lineRule="exact"/>
        <w:jc w:val="center"/>
        <w:rPr>
          <w:rFonts w:hint="eastAsia" w:ascii="宋体" w:hAnsi="宋体" w:cs="宋体"/>
          <w:color w:val="auto"/>
          <w:spacing w:val="20"/>
          <w:sz w:val="22"/>
          <w:szCs w:val="22"/>
          <w:highlight w:val="none"/>
        </w:rPr>
      </w:pPr>
      <w:r>
        <w:rPr>
          <w:rFonts w:hint="eastAsia" w:ascii="宋体" w:hAnsi="宋体" w:cs="宋体"/>
          <w:color w:val="auto"/>
          <w:spacing w:val="20"/>
          <w:sz w:val="22"/>
          <w:szCs w:val="22"/>
          <w:highlight w:val="none"/>
        </w:rPr>
        <w:t xml:space="preserve">           </w:t>
      </w:r>
    </w:p>
    <w:p>
      <w:pPr>
        <w:spacing w:line="460" w:lineRule="exact"/>
        <w:jc w:val="center"/>
        <w:rPr>
          <w:rFonts w:hint="eastAsia" w:ascii="宋体" w:hAnsi="宋体" w:cs="宋体"/>
          <w:color w:val="auto"/>
          <w:spacing w:val="20"/>
          <w:sz w:val="22"/>
          <w:szCs w:val="22"/>
          <w:highlight w:val="none"/>
        </w:rPr>
      </w:pPr>
    </w:p>
    <w:p>
      <w:pPr>
        <w:spacing w:line="460" w:lineRule="exact"/>
        <w:jc w:val="center"/>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企业名称（盖章）：</w:t>
      </w:r>
    </w:p>
    <w:p>
      <w:pPr>
        <w:spacing w:line="460" w:lineRule="exact"/>
        <w:ind w:firstLine="3640" w:firstLineChars="1400"/>
        <w:jc w:val="both"/>
        <w:rPr>
          <w:rFonts w:ascii="宋体" w:hAnsi="宋体" w:cs="宋体"/>
          <w:color w:val="auto"/>
          <w:spacing w:val="20"/>
          <w:sz w:val="22"/>
          <w:szCs w:val="22"/>
          <w:highlight w:val="none"/>
        </w:rPr>
      </w:pPr>
      <w:r>
        <w:rPr>
          <w:rFonts w:hint="eastAsia" w:ascii="宋体" w:hAnsi="宋体" w:cs="宋体"/>
          <w:color w:val="auto"/>
          <w:spacing w:val="20"/>
          <w:sz w:val="22"/>
          <w:szCs w:val="22"/>
          <w:highlight w:val="none"/>
        </w:rPr>
        <w:t>日 期：</w:t>
      </w:r>
    </w:p>
    <w:p>
      <w:pP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br w:type="page"/>
      </w:r>
    </w:p>
    <w:p>
      <w:pPr>
        <w:outlineLvl w:val="1"/>
        <w:rPr>
          <w:rFonts w:ascii="宋体" w:hAnsi="宋体" w:cs="宋体"/>
          <w:b/>
          <w:bCs/>
          <w:color w:val="auto"/>
          <w:sz w:val="22"/>
          <w:szCs w:val="22"/>
          <w:highlight w:val="none"/>
        </w:rPr>
      </w:pPr>
      <w:r>
        <w:rPr>
          <w:rFonts w:hint="eastAsia" w:ascii="宋体" w:hAnsi="宋体" w:cs="宋体"/>
          <w:b/>
          <w:bCs/>
          <w:color w:val="auto"/>
          <w:sz w:val="22"/>
          <w:szCs w:val="22"/>
          <w:highlight w:val="none"/>
        </w:rPr>
        <w:t>附件三</w:t>
      </w:r>
      <w:bookmarkEnd w:id="36"/>
      <w:bookmarkEnd w:id="37"/>
    </w:p>
    <w:p>
      <w:pPr>
        <w:spacing w:line="460" w:lineRule="exact"/>
        <w:jc w:val="center"/>
        <w:outlineLvl w:val="2"/>
        <w:rPr>
          <w:rFonts w:ascii="宋体" w:hAnsi="宋体" w:cs="宋体"/>
          <w:b/>
          <w:bCs/>
          <w:color w:val="auto"/>
          <w:sz w:val="28"/>
          <w:szCs w:val="28"/>
          <w:highlight w:val="none"/>
          <w:lang w:val="zh-CN"/>
        </w:rPr>
      </w:pPr>
      <w:bookmarkStart w:id="38" w:name="_Toc29102"/>
      <w:bookmarkStart w:id="39" w:name="_Toc13639"/>
      <w:r>
        <w:rPr>
          <w:rFonts w:hint="eastAsia" w:ascii="宋体" w:hAnsi="宋体" w:cs="宋体"/>
          <w:b/>
          <w:bCs/>
          <w:color w:val="auto"/>
          <w:sz w:val="28"/>
          <w:szCs w:val="28"/>
          <w:highlight w:val="none"/>
          <w:lang w:val="zh-CN"/>
        </w:rPr>
        <w:t>商务技术文件</w:t>
      </w:r>
      <w:bookmarkEnd w:id="38"/>
      <w:bookmarkEnd w:id="39"/>
    </w:p>
    <w:p>
      <w:pPr>
        <w:spacing w:line="400" w:lineRule="exact"/>
        <w:jc w:val="center"/>
        <w:rPr>
          <w:rFonts w:ascii="宋体" w:hAnsi="宋体" w:cs="宋体"/>
          <w:b/>
          <w:bCs/>
          <w:color w:val="auto"/>
          <w:sz w:val="28"/>
          <w:szCs w:val="28"/>
          <w:highlight w:val="none"/>
        </w:rPr>
      </w:pPr>
    </w:p>
    <w:p>
      <w:pPr>
        <w:spacing w:line="400" w:lineRule="exact"/>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1、法定代表人授权书</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温州市城市建设档案馆：</w:t>
      </w:r>
    </w:p>
    <w:p>
      <w:pPr>
        <w:spacing w:line="460" w:lineRule="exact"/>
        <w:rPr>
          <w:rFonts w:ascii="宋体" w:hAnsi="宋体" w:cs="宋体"/>
          <w:color w:val="auto"/>
          <w:sz w:val="22"/>
          <w:szCs w:val="22"/>
          <w:highlight w:val="none"/>
          <w:u w:val="single"/>
        </w:rPr>
      </w:pPr>
    </w:p>
    <w:p>
      <w:pPr>
        <w:spacing w:line="460" w:lineRule="exact"/>
        <w:ind w:firstLine="550" w:firstLineChars="250"/>
        <w:rPr>
          <w:rFonts w:ascii="宋体" w:hAnsi="宋体" w:cs="宋体"/>
          <w:color w:val="auto"/>
          <w:sz w:val="22"/>
          <w:szCs w:val="22"/>
          <w:highlight w:val="none"/>
        </w:rPr>
      </w:pPr>
      <w:r>
        <w:rPr>
          <w:rFonts w:hint="eastAsia" w:ascii="宋体" w:hAnsi="宋体" w:cs="宋体"/>
          <w:color w:val="auto"/>
          <w:sz w:val="22"/>
          <w:szCs w:val="22"/>
          <w:highlight w:val="none"/>
          <w:u w:val="single"/>
        </w:rPr>
        <w:t>（投标人全称）</w:t>
      </w:r>
      <w:r>
        <w:rPr>
          <w:rFonts w:hint="eastAsia" w:ascii="宋体" w:hAnsi="宋体" w:cs="宋体"/>
          <w:color w:val="auto"/>
          <w:sz w:val="22"/>
          <w:szCs w:val="22"/>
          <w:highlight w:val="none"/>
        </w:rPr>
        <w:t>法定代表人授权</w:t>
      </w:r>
      <w:r>
        <w:rPr>
          <w:rFonts w:hint="eastAsia" w:ascii="宋体" w:hAnsi="宋体" w:cs="宋体"/>
          <w:color w:val="auto"/>
          <w:sz w:val="22"/>
          <w:szCs w:val="22"/>
          <w:highlight w:val="none"/>
          <w:u w:val="single"/>
        </w:rPr>
        <w:t>（全权代表姓名）</w:t>
      </w:r>
      <w:r>
        <w:rPr>
          <w:rFonts w:hint="eastAsia" w:ascii="宋体" w:hAnsi="宋体" w:cs="宋体"/>
          <w:color w:val="auto"/>
          <w:sz w:val="22"/>
          <w:szCs w:val="22"/>
          <w:highlight w:val="none"/>
        </w:rPr>
        <w:t>为全权代表，参加贵处组织的</w:t>
      </w:r>
      <w:r>
        <w:rPr>
          <w:rFonts w:hint="eastAsia" w:ascii="宋体" w:hAnsi="宋体" w:cs="宋体"/>
          <w:color w:val="auto"/>
          <w:sz w:val="22"/>
          <w:szCs w:val="22"/>
          <w:highlight w:val="none"/>
          <w:u w:val="single"/>
        </w:rPr>
        <w:t>（项目名称、编号）</w:t>
      </w:r>
      <w:r>
        <w:rPr>
          <w:rFonts w:hint="eastAsia" w:ascii="宋体" w:hAnsi="宋体" w:cs="宋体"/>
          <w:color w:val="auto"/>
          <w:sz w:val="22"/>
          <w:szCs w:val="22"/>
          <w:highlight w:val="none"/>
        </w:rPr>
        <w:t>的招标活动，全权代表我方处理招标活动中的一切事宜。</w:t>
      </w:r>
    </w:p>
    <w:p>
      <w:pPr>
        <w:spacing w:line="460" w:lineRule="exact"/>
        <w:ind w:firstLine="2955"/>
        <w:rPr>
          <w:rFonts w:ascii="宋体" w:hAnsi="宋体" w:cs="宋体"/>
          <w:color w:val="auto"/>
          <w:sz w:val="22"/>
          <w:szCs w:val="22"/>
          <w:highlight w:val="none"/>
        </w:rPr>
      </w:pPr>
    </w:p>
    <w:p>
      <w:pPr>
        <w:spacing w:line="460" w:lineRule="exact"/>
        <w:ind w:firstLine="2955"/>
        <w:rPr>
          <w:rFonts w:ascii="宋体" w:hAnsi="宋体" w:cs="宋体"/>
          <w:color w:val="auto"/>
          <w:sz w:val="22"/>
          <w:szCs w:val="22"/>
          <w:highlight w:val="none"/>
        </w:rPr>
      </w:pPr>
    </w:p>
    <w:p>
      <w:pPr>
        <w:spacing w:line="460" w:lineRule="exact"/>
        <w:ind w:firstLine="4081" w:firstLineChars="1855"/>
        <w:rPr>
          <w:rFonts w:ascii="宋体" w:hAnsi="宋体" w:cs="宋体"/>
          <w:color w:val="auto"/>
          <w:sz w:val="22"/>
          <w:szCs w:val="22"/>
          <w:highlight w:val="none"/>
        </w:rPr>
      </w:pPr>
      <w:r>
        <w:rPr>
          <w:rFonts w:hint="eastAsia" w:ascii="宋体" w:hAnsi="宋体" w:cs="宋体"/>
          <w:color w:val="auto"/>
          <w:sz w:val="22"/>
          <w:szCs w:val="22"/>
          <w:highlight w:val="none"/>
        </w:rPr>
        <w:t>法定代表人  (签字或盖章)：</w:t>
      </w:r>
    </w:p>
    <w:p>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投标人全称（公章）：</w:t>
      </w:r>
    </w:p>
    <w:p>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日   期：  </w:t>
      </w:r>
    </w:p>
    <w:p>
      <w:pPr>
        <w:spacing w:line="380" w:lineRule="exact"/>
        <w:rPr>
          <w:rFonts w:ascii="宋体" w:hAnsi="宋体" w:cs="宋体"/>
          <w:color w:val="auto"/>
          <w:sz w:val="22"/>
          <w:szCs w:val="22"/>
          <w:highlight w:val="none"/>
        </w:rPr>
      </w:pPr>
    </w:p>
    <w:p>
      <w:pPr>
        <w:spacing w:line="380" w:lineRule="exact"/>
        <w:rPr>
          <w:rFonts w:ascii="宋体" w:hAnsi="宋体" w:cs="宋体"/>
          <w:color w:val="auto"/>
          <w:sz w:val="22"/>
          <w:szCs w:val="22"/>
          <w:highlight w:val="none"/>
        </w:rPr>
      </w:pPr>
    </w:p>
    <w:p>
      <w:pPr>
        <w:spacing w:line="380" w:lineRule="exact"/>
        <w:rPr>
          <w:rFonts w:ascii="宋体" w:hAnsi="宋体" w:cs="宋体"/>
          <w:color w:val="auto"/>
          <w:sz w:val="22"/>
          <w:szCs w:val="22"/>
          <w:highlight w:val="none"/>
        </w:rPr>
      </w:pP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附：</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 xml:space="preserve">授权代表姓名：                               </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职务：</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详细通讯地址：</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电话：</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传真：</w:t>
      </w:r>
    </w:p>
    <w:p>
      <w:pPr>
        <w:spacing w:line="460" w:lineRule="exact"/>
        <w:ind w:firstLine="539" w:firstLineChars="245"/>
        <w:rPr>
          <w:rFonts w:ascii="宋体" w:hAnsi="宋体" w:cs="宋体"/>
          <w:b/>
          <w:bCs/>
          <w:color w:val="auto"/>
          <w:sz w:val="22"/>
          <w:szCs w:val="22"/>
          <w:highlight w:val="none"/>
        </w:rPr>
      </w:pPr>
      <w:r>
        <w:rPr>
          <w:rFonts w:hint="eastAsia" w:ascii="宋体" w:hAnsi="宋体" w:cs="宋体"/>
          <w:color w:val="auto"/>
          <w:sz w:val="22"/>
          <w:szCs w:val="22"/>
          <w:highlight w:val="none"/>
        </w:rPr>
        <w:t>邮政编码:</w:t>
      </w:r>
    </w:p>
    <w:p>
      <w:pPr>
        <w:spacing w:line="380" w:lineRule="exact"/>
        <w:rPr>
          <w:rFonts w:ascii="宋体" w:hAnsi="宋体" w:cs="宋体"/>
          <w:color w:val="auto"/>
          <w:sz w:val="22"/>
          <w:szCs w:val="22"/>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r>
        <w:rPr>
          <w:rFonts w:ascii="宋体" w:hAnsi="宋体" w:cs="宋体"/>
          <w:color w:val="auto"/>
          <w:sz w:val="22"/>
          <w:szCs w:val="22"/>
          <w:highlight w:val="none"/>
          <w:lang w:val="zh-CN"/>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254115" cy="3004185"/>
                <wp:effectExtent l="0" t="0" r="0" b="5715"/>
                <wp:wrapNone/>
                <wp:docPr id="6" name="Text Box 2"/>
                <wp:cNvGraphicFramePr/>
                <a:graphic xmlns:a="http://schemas.openxmlformats.org/drawingml/2006/main">
                  <a:graphicData uri="http://schemas.microsoft.com/office/word/2010/wordprocessingShape">
                    <wps:wsp>
                      <wps:cNvSpPr txBox="1"/>
                      <wps:spPr>
                        <a:xfrm>
                          <a:off x="0" y="0"/>
                          <a:ext cx="6254115"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92.45pt;z-index:251659264;mso-width-relative:page;mso-height-relative:page;" fillcolor="#FFFFFF" filled="t" stroked="t" coordsize="21600,21600" o:gfxdata="UEsDBAoAAAAAAIdO4kAAAAAAAAAAAAAAAAAEAAAAZHJzL1BLAwQUAAAACACHTuJAl9wjaNgAAAAK&#10;AQAADwAAAGRycy9kb3ducmV2LnhtbE2PwU7DMBBE70j8g7VIXBC1m9K0DXF6QALBrRQEVzfeJhH2&#10;OsRuWv6e7QmOszOafVOuT96JEYfYBdIwnSgQSHWwHTUa3t8eb5cgYjJkjQuEGn4wwrq6vChNYcOR&#10;XnHcpkZwCcXCaGhT6gspY92iN3ESeiT29mHwJrEcGmkHc+Ry72SmVC696Yg/tKbHhxbrr+3Ba1je&#10;PY+f8WW2+ajzvVulm8X49D1ofX01VfcgEp7SXxjO+IwOFTPtwoFsFI71YsVJDXM1B3H2lcp4y44v&#10;2SwHWZXy/4TqF1BLAwQUAAAACACHTuJAJqVlfQECAABEBAAADgAAAGRycy9lMm9Eb2MueG1srVPN&#10;btswDL4P2DsIui92sibojDgFtiy7DNuAdg+gyLQtQH8Qldh5+1FymqbdDjnMB5kiqY/kR3L9MBrN&#10;jhBQOVvz+azkDKx0jbJdzX8/7T7cc4ZR2EZoZ6HmJ0D+sHn/bj34Chaud7qBwAjEYjX4mvcx+qoo&#10;UPZgBM6cB0vG1gUjIl1DVzRBDIRudLEoy1UxuND44CQgknY7GfkZMdwC6NpWSdg6eTBg44QaQItI&#10;JWGvPPJNzrZtQcafbYsQma45VRrzSUFI3qez2KxF1QXheyXPKYhbUnhTkxHKUtAL1FZEwQ5B/QVl&#10;lAwOXRtn0pliKiQzQlXMyzfcPPbCQ66FqEZ/IR3/H6z8cfwVmGpqvuLMCkMNf4Ixss9uZIvEzuCx&#10;IqdHT25xJDXNzLMeSZmKHttg0p/KYWQnbk8XbhOYJOVqsbybz5ecSbJ9LMu7+f0y4RQvz33A+A2c&#10;YUmoeaDmZU7F8TvGyfXZJUVDp1WzU1rnS+j2X3RgR0GN3uXvjP7KTVs21PzTcpESETS9LU0NicYT&#10;A2i7HO/VC7wGLvP3L+CU2FZgPyWQEZKbqIyKELLUg2i+2obFkyeWLS0XT8kYaDjTQLuYpOwZhdK3&#10;eBJ32qYgkCf9zFLq2NSZJMVxPxJoEveuOVEXDz6orieCcx+LZKHhyp04L0Ka3us7ydfL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9wjaNgAAAAKAQAADwAAAAAAAAABACAAAAAiAAAAZHJzL2Rv&#10;d25yZXYueG1sUEsBAhQAFAAAAAgAh07iQCalZX0BAgAARAQAAA4AAAAAAAAAAQAgAAAAJwEAAGRy&#10;cy9lMm9Eb2MueG1sUEsFBgAAAAAGAAYAWQEAAJoFAAAAAA==&#10;">
                <v:fill on="t" focussize="0,0"/>
                <v:stroke color="#000000" joinstyle="miter"/>
                <v:imagedata o:title=""/>
                <o:lock v:ext="edit" aspectratio="f"/>
                <v:textbox>
                  <w:txbxContent>
                    <w:p>
                      <w:r>
                        <w:rPr>
                          <w:rFonts w:hint="eastAsia" w:ascii="新宋体" w:hAnsi="新宋体" w:eastAsia="新宋体"/>
                          <w:sz w:val="22"/>
                          <w:szCs w:val="22"/>
                        </w:rPr>
                        <w:t xml:space="preserve">  法定代表人身份证（正反面）：</w:t>
                      </w:r>
                    </w:p>
                  </w:txbxContent>
                </v:textbox>
              </v:shape>
            </w:pict>
          </mc:Fallback>
        </mc:AlternateContent>
      </w: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r>
        <w:rPr>
          <w:rFonts w:ascii="宋体" w:hAnsi="宋体" w:cs="宋体"/>
          <w:color w:val="auto"/>
          <w:sz w:val="22"/>
          <w:szCs w:val="22"/>
          <w:highlight w:val="none"/>
          <w:lang w:val="zh-CN"/>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303645" cy="3875405"/>
                <wp:effectExtent l="0" t="0" r="1905" b="0"/>
                <wp:wrapNone/>
                <wp:docPr id="7" name="文本框 26"/>
                <wp:cNvGraphicFramePr/>
                <a:graphic xmlns:a="http://schemas.openxmlformats.org/drawingml/2006/main">
                  <a:graphicData uri="http://schemas.microsoft.com/office/word/2010/wordprocessingShape">
                    <wps:wsp>
                      <wps:cNvSpPr txBox="1"/>
                      <wps:spPr>
                        <a:xfrm>
                          <a:off x="0" y="0"/>
                          <a:ext cx="63036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96.35pt;z-index:251660288;mso-width-relative:page;mso-height-relative:page;" fillcolor="#FFFFFF" filled="t" stroked="t" coordsize="21600,21600" o:gfxdata="UEsDBAoAAAAAAIdO4kAAAAAAAAAAAAAAAAAEAAAAZHJzL1BLAwQUAAAACACHTuJAmGqLXdgAAAAK&#10;AQAADwAAAGRycy9kb3ducmV2LnhtbE2PwU7DMBBE70j8g7VIXFBrh0JIQ5wekEBwKwXB1Y23SYS9&#10;DrGblr9ne4LjaEYzb6rV0Tsx4Rj7QBqyuQKB1ATbU6vh/e1xVoCIyZA1LhBq+MEIq/r8rDKlDQd6&#10;xWmTWsElFEujoUtpKKWMTYfexHkYkNjbhdGbxHJspR3Ngcu9k9dK5dKbnnihMwM+dNh8bfZeQ3Hz&#10;PH3Gl8X6o8l3bpmu7qan71Hry4tM3YNIeEx/YTjhMzrUzLQNe7JRONaLJSc1zIpbECef13IQWw25&#10;ygqQdSX/X6h/AVBLAwQUAAAACACHTuJAQtxrnBMCAABGBAAADgAAAGRycy9lMm9Eb2MueG1srVPN&#10;jtMwEL4j8Q6W7zTZdttdoqYrQSkXBEgLD+A6TmLJf/K4TfoC8AacuHDnufocO3aypbtw6IEcnPHM&#10;+JuZb2aWd71WZC88SGtKejXJKRGG20qapqRfv2xe3VICgZmKKWtESQ8C6N3q5Ytl5woxta1VlfAE&#10;QQwUnStpG4Irsgx4KzSDiXXCoLG2XrOAV99klWcdomuVTfN8kXXWV85bLgBQux6MdET0lwDaupZc&#10;rC3faWHCgOqFYgFLglY6oKuUbV0LHj7VNYhAVEmx0pBODILyNp7ZasmKxjPXSj6mwC5J4VlNmkmD&#10;QU9QaxYY2Xn5F5SW3FuwdZhwq7OhkMQIVnGVP+PmvmVOpFqQanAn0uH/wfKP+8+eyKqkN5QYprHh&#10;xx/fjz9/H399I9NF5KdzUKDbvUPH0L+xPU7Nox5QGcvua6/jHwsiaEd2Dyd2RR8IR+Vils8W13NK&#10;ONpmtzfz63wecbI/z52H8F5YTaJQUo/tS6yy/QcIg+ujS4wGVslqI5VKF99s3ypP9gxbvUnfiP7E&#10;TRnSlfT1fBoTYTi/Nc4NitohB2CaFO/JCzgHztP3L+CY2JpBOySQEKIbK7QMwiepFax6ZyoSDg55&#10;NrheNCajRUWJEriNUUqegUl1iSdyp0wMItKsjyzFjg2diVLotz2CRnFrqwN2cee8bFokOPUxixYc&#10;r9SJcRXi/J7fUT5f/9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mGqLXdgAAAAKAQAADwAAAAAA&#10;AAABACAAAAAiAAAAZHJzL2Rvd25yZXYueG1sUEsBAhQAFAAAAAgAh07iQELca5wTAgAARgQAAA4A&#10;AAAAAAAAAQAgAAAAJwEAAGRycy9lMm9Eb2MueG1sUEsFBgAAAAAGAAYAWQEAAKwFAAAAAA==&#10;">
                <v:fill on="t" focussize="0,0"/>
                <v:stroke color="#000000" joinstyle="miter"/>
                <v:imagedata o:title=""/>
                <o:lock v:ext="edit" aspectratio="f"/>
                <v:textbox>
                  <w:txbxContent>
                    <w:p>
                      <w:r>
                        <w:rPr>
                          <w:rFonts w:hint="eastAsia" w:ascii="新宋体" w:hAnsi="新宋体" w:eastAsia="新宋体"/>
                          <w:sz w:val="22"/>
                          <w:szCs w:val="22"/>
                        </w:rPr>
                        <w:t xml:space="preserve">  授权代表身份证（正反面）：</w:t>
                      </w:r>
                    </w:p>
                  </w:txbxContent>
                </v:textbox>
              </v:shape>
            </w:pict>
          </mc:Fallback>
        </mc:AlternateContent>
      </w: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rPr>
          <w:rFonts w:ascii="宋体" w:hAnsi="宋体" w:cs="宋体"/>
          <w:b/>
          <w:bCs/>
          <w:color w:val="auto"/>
          <w:sz w:val="28"/>
          <w:szCs w:val="28"/>
          <w:highlight w:val="none"/>
        </w:rPr>
      </w:pPr>
    </w:p>
    <w:p>
      <w:pPr>
        <w:spacing w:line="460" w:lineRule="exact"/>
        <w:jc w:val="center"/>
        <w:outlineLvl w:val="3"/>
        <w:rPr>
          <w:rFonts w:ascii="宋体" w:hAnsi="宋体" w:cs="宋体"/>
          <w:b/>
          <w:bCs/>
          <w:color w:val="auto"/>
          <w:sz w:val="22"/>
          <w:szCs w:val="22"/>
          <w:highlight w:val="none"/>
        </w:rPr>
        <w:sectPr>
          <w:headerReference r:id="rId3" w:type="default"/>
          <w:footerReference r:id="rId4" w:type="default"/>
          <w:pgSz w:w="11906" w:h="16838"/>
          <w:pgMar w:top="1134" w:right="1134" w:bottom="1134" w:left="1134" w:header="850" w:footer="992" w:gutter="0"/>
          <w:cols w:space="720" w:num="1"/>
          <w:titlePg/>
          <w:docGrid w:type="lines" w:linePitch="312" w:charSpace="0"/>
        </w:sectPr>
      </w:pPr>
    </w:p>
    <w:p>
      <w:pPr>
        <w:spacing w:line="400" w:lineRule="exact"/>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2、投标人情况表</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eastAsia="宋体"/>
          <w:color w:val="auto"/>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115"/>
        <w:gridCol w:w="1689"/>
        <w:gridCol w:w="728"/>
        <w:gridCol w:w="387"/>
        <w:gridCol w:w="1100"/>
        <w:gridCol w:w="1488"/>
        <w:gridCol w:w="1488"/>
        <w:gridCol w:w="1502"/>
        <w:gridCol w:w="1488"/>
        <w:gridCol w:w="1115"/>
        <w:gridCol w:w="355"/>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单位名称（盖章）</w:t>
            </w:r>
          </w:p>
        </w:tc>
        <w:tc>
          <w:tcPr>
            <w:tcW w:w="2804" w:type="dxa"/>
            <w:gridSpan w:val="2"/>
          </w:tcPr>
          <w:p>
            <w:pPr>
              <w:spacing w:line="480" w:lineRule="exact"/>
              <w:rPr>
                <w:rFonts w:ascii="宋体" w:hAnsi="宋体" w:cs="宋体"/>
                <w:color w:val="auto"/>
                <w:sz w:val="22"/>
                <w:szCs w:val="22"/>
                <w:highlight w:val="none"/>
              </w:rPr>
            </w:pPr>
          </w:p>
        </w:tc>
        <w:tc>
          <w:tcPr>
            <w:tcW w:w="1115"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电 话</w:t>
            </w:r>
          </w:p>
        </w:tc>
        <w:tc>
          <w:tcPr>
            <w:tcW w:w="2588" w:type="dxa"/>
            <w:gridSpan w:val="2"/>
          </w:tcPr>
          <w:p>
            <w:pPr>
              <w:spacing w:line="480" w:lineRule="exact"/>
              <w:rPr>
                <w:rFonts w:ascii="宋体" w:hAnsi="宋体" w:cs="宋体"/>
                <w:color w:val="auto"/>
                <w:sz w:val="22"/>
                <w:szCs w:val="22"/>
                <w:highlight w:val="none"/>
              </w:rPr>
            </w:pPr>
          </w:p>
        </w:tc>
        <w:tc>
          <w:tcPr>
            <w:tcW w:w="1488"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主管部门</w:t>
            </w:r>
          </w:p>
        </w:tc>
        <w:tc>
          <w:tcPr>
            <w:tcW w:w="1502" w:type="dxa"/>
          </w:tcPr>
          <w:p>
            <w:pPr>
              <w:spacing w:line="480" w:lineRule="exact"/>
              <w:rPr>
                <w:rFonts w:ascii="宋体" w:hAnsi="宋体" w:cs="宋体"/>
                <w:color w:val="auto"/>
                <w:sz w:val="22"/>
                <w:szCs w:val="22"/>
                <w:highlight w:val="none"/>
              </w:rPr>
            </w:pPr>
          </w:p>
        </w:tc>
        <w:tc>
          <w:tcPr>
            <w:tcW w:w="1488"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企业负责人</w:t>
            </w:r>
          </w:p>
        </w:tc>
        <w:tc>
          <w:tcPr>
            <w:tcW w:w="1115" w:type="dxa"/>
          </w:tcPr>
          <w:p>
            <w:pPr>
              <w:spacing w:line="480" w:lineRule="exact"/>
              <w:rPr>
                <w:rFonts w:ascii="宋体" w:hAnsi="宋体" w:cs="宋体"/>
                <w:color w:val="auto"/>
                <w:sz w:val="22"/>
                <w:szCs w:val="22"/>
                <w:highlight w:val="none"/>
              </w:rPr>
            </w:pPr>
          </w:p>
        </w:tc>
        <w:tc>
          <w:tcPr>
            <w:tcW w:w="1461"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地    址</w:t>
            </w:r>
          </w:p>
        </w:tc>
        <w:tc>
          <w:tcPr>
            <w:tcW w:w="2804" w:type="dxa"/>
            <w:gridSpan w:val="2"/>
          </w:tcPr>
          <w:p>
            <w:pPr>
              <w:spacing w:line="480" w:lineRule="exact"/>
              <w:rPr>
                <w:rFonts w:ascii="宋体" w:hAnsi="宋体" w:cs="宋体"/>
                <w:color w:val="auto"/>
                <w:sz w:val="22"/>
                <w:szCs w:val="22"/>
                <w:highlight w:val="none"/>
              </w:rPr>
            </w:pPr>
          </w:p>
        </w:tc>
        <w:tc>
          <w:tcPr>
            <w:tcW w:w="1115"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传 真</w:t>
            </w:r>
          </w:p>
        </w:tc>
        <w:tc>
          <w:tcPr>
            <w:tcW w:w="2588" w:type="dxa"/>
            <w:gridSpan w:val="2"/>
          </w:tcPr>
          <w:p>
            <w:pPr>
              <w:spacing w:line="480" w:lineRule="exact"/>
              <w:rPr>
                <w:rFonts w:ascii="宋体" w:hAnsi="宋体" w:cs="宋体"/>
                <w:color w:val="auto"/>
                <w:sz w:val="22"/>
                <w:szCs w:val="22"/>
                <w:highlight w:val="none"/>
              </w:rPr>
            </w:pPr>
          </w:p>
        </w:tc>
        <w:tc>
          <w:tcPr>
            <w:tcW w:w="1488"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企业性质</w:t>
            </w:r>
          </w:p>
        </w:tc>
        <w:tc>
          <w:tcPr>
            <w:tcW w:w="1502" w:type="dxa"/>
          </w:tcPr>
          <w:p>
            <w:pPr>
              <w:spacing w:line="480" w:lineRule="exact"/>
              <w:rPr>
                <w:rFonts w:ascii="宋体" w:hAnsi="宋体" w:cs="宋体"/>
                <w:color w:val="auto"/>
                <w:sz w:val="22"/>
                <w:szCs w:val="22"/>
                <w:highlight w:val="none"/>
              </w:rPr>
            </w:pPr>
          </w:p>
        </w:tc>
        <w:tc>
          <w:tcPr>
            <w:tcW w:w="1488" w:type="dxa"/>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授权代表</w:t>
            </w:r>
          </w:p>
        </w:tc>
        <w:tc>
          <w:tcPr>
            <w:tcW w:w="1115" w:type="dxa"/>
          </w:tcPr>
          <w:p>
            <w:pPr>
              <w:spacing w:line="480" w:lineRule="exact"/>
              <w:rPr>
                <w:rFonts w:ascii="宋体" w:hAnsi="宋体" w:cs="宋体"/>
                <w:color w:val="auto"/>
                <w:sz w:val="22"/>
                <w:szCs w:val="22"/>
                <w:highlight w:val="none"/>
              </w:rPr>
            </w:pPr>
          </w:p>
        </w:tc>
        <w:tc>
          <w:tcPr>
            <w:tcW w:w="1461"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1227"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单位简介</w:t>
            </w:r>
          </w:p>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及机构</w:t>
            </w:r>
          </w:p>
        </w:tc>
        <w:tc>
          <w:tcPr>
            <w:tcW w:w="6507" w:type="dxa"/>
            <w:gridSpan w:val="6"/>
            <w:vAlign w:val="center"/>
          </w:tcPr>
          <w:p>
            <w:pPr>
              <w:spacing w:line="480" w:lineRule="exact"/>
              <w:jc w:val="center"/>
              <w:rPr>
                <w:rFonts w:ascii="宋体" w:hAnsi="宋体" w:cs="宋体"/>
                <w:color w:val="auto"/>
                <w:sz w:val="22"/>
                <w:szCs w:val="22"/>
                <w:highlight w:val="none"/>
              </w:rPr>
            </w:pPr>
          </w:p>
        </w:tc>
        <w:tc>
          <w:tcPr>
            <w:tcW w:w="1488"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单位优势</w:t>
            </w:r>
          </w:p>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及特长</w:t>
            </w:r>
          </w:p>
        </w:tc>
        <w:tc>
          <w:tcPr>
            <w:tcW w:w="5566" w:type="dxa"/>
            <w:gridSpan w:val="5"/>
          </w:tcPr>
          <w:p>
            <w:pPr>
              <w:spacing w:line="480" w:lineRule="exact"/>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227" w:type="dxa"/>
            <w:vMerge w:val="restart"/>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单位概况</w:t>
            </w:r>
          </w:p>
        </w:tc>
        <w:tc>
          <w:tcPr>
            <w:tcW w:w="1115" w:type="dxa"/>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职工总数</w:t>
            </w:r>
          </w:p>
        </w:tc>
        <w:tc>
          <w:tcPr>
            <w:tcW w:w="1689" w:type="dxa"/>
            <w:vMerge w:val="restart"/>
          </w:tcPr>
          <w:p>
            <w:pPr>
              <w:spacing w:line="480" w:lineRule="exact"/>
              <w:ind w:firstLine="1540" w:firstLineChars="700"/>
              <w:rPr>
                <w:rFonts w:ascii="宋体" w:hAnsi="宋体" w:cs="宋体"/>
                <w:color w:val="auto"/>
                <w:sz w:val="22"/>
                <w:szCs w:val="22"/>
                <w:highlight w:val="none"/>
              </w:rPr>
            </w:pPr>
          </w:p>
        </w:tc>
        <w:tc>
          <w:tcPr>
            <w:tcW w:w="3703" w:type="dxa"/>
            <w:gridSpan w:val="4"/>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各人员构成情况</w:t>
            </w:r>
          </w:p>
        </w:tc>
        <w:tc>
          <w:tcPr>
            <w:tcW w:w="1488" w:type="dxa"/>
            <w:vMerge w:val="restart"/>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上一年主要  经济指标</w:t>
            </w:r>
          </w:p>
        </w:tc>
        <w:tc>
          <w:tcPr>
            <w:tcW w:w="1502"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指标名称</w:t>
            </w:r>
          </w:p>
        </w:tc>
        <w:tc>
          <w:tcPr>
            <w:tcW w:w="1488" w:type="dxa"/>
            <w:tcBorders>
              <w:tr2bl w:val="single" w:color="auto" w:sz="4" w:space="0"/>
            </w:tcBorders>
            <w:vAlign w:val="center"/>
          </w:tcPr>
          <w:p>
            <w:pPr>
              <w:spacing w:line="480" w:lineRule="exact"/>
              <w:jc w:val="center"/>
              <w:rPr>
                <w:rFonts w:ascii="宋体" w:hAnsi="宋体" w:cs="宋体"/>
                <w:color w:val="auto"/>
                <w:sz w:val="22"/>
                <w:szCs w:val="22"/>
                <w:highlight w:val="none"/>
              </w:rPr>
            </w:pPr>
          </w:p>
        </w:tc>
        <w:tc>
          <w:tcPr>
            <w:tcW w:w="1470" w:type="dxa"/>
            <w:gridSpan w:val="2"/>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实际完成</w:t>
            </w:r>
          </w:p>
        </w:tc>
        <w:tc>
          <w:tcPr>
            <w:tcW w:w="1106" w:type="dxa"/>
            <w:tcBorders>
              <w:tr2bl w:val="single" w:color="auto" w:sz="4" w:space="0"/>
            </w:tcBorders>
            <w:vAlign w:val="center"/>
          </w:tcPr>
          <w:p>
            <w:pPr>
              <w:spacing w:line="48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vMerge w:val="continue"/>
          </w:tcPr>
          <w:p>
            <w:pPr>
              <w:spacing w:line="480" w:lineRule="exact"/>
              <w:rPr>
                <w:rFonts w:ascii="宋体" w:hAnsi="宋体" w:cs="宋体"/>
                <w:color w:val="auto"/>
                <w:sz w:val="22"/>
                <w:szCs w:val="22"/>
                <w:highlight w:val="none"/>
              </w:rPr>
            </w:pPr>
          </w:p>
        </w:tc>
        <w:tc>
          <w:tcPr>
            <w:tcW w:w="1115" w:type="dxa"/>
            <w:vMerge w:val="continue"/>
          </w:tcPr>
          <w:p>
            <w:pPr>
              <w:spacing w:line="480" w:lineRule="exact"/>
              <w:rPr>
                <w:rFonts w:ascii="宋体" w:hAnsi="宋体" w:cs="宋体"/>
                <w:color w:val="auto"/>
                <w:sz w:val="22"/>
                <w:szCs w:val="22"/>
                <w:highlight w:val="none"/>
              </w:rPr>
            </w:pPr>
          </w:p>
        </w:tc>
        <w:tc>
          <w:tcPr>
            <w:tcW w:w="1689" w:type="dxa"/>
            <w:vMerge w:val="continue"/>
          </w:tcPr>
          <w:p>
            <w:pPr>
              <w:spacing w:line="480" w:lineRule="exact"/>
              <w:rPr>
                <w:rFonts w:ascii="宋体" w:hAnsi="宋体" w:cs="宋体"/>
                <w:color w:val="auto"/>
                <w:sz w:val="22"/>
                <w:szCs w:val="22"/>
                <w:highlight w:val="none"/>
              </w:rPr>
            </w:pPr>
          </w:p>
        </w:tc>
        <w:tc>
          <w:tcPr>
            <w:tcW w:w="3703" w:type="dxa"/>
            <w:gridSpan w:val="4"/>
            <w:vMerge w:val="continue"/>
          </w:tcPr>
          <w:p>
            <w:pPr>
              <w:spacing w:line="480" w:lineRule="exact"/>
              <w:rPr>
                <w:rFonts w:ascii="宋体" w:hAnsi="宋体" w:cs="宋体"/>
                <w:color w:val="auto"/>
                <w:sz w:val="22"/>
                <w:szCs w:val="22"/>
                <w:highlight w:val="none"/>
              </w:rPr>
            </w:pPr>
          </w:p>
        </w:tc>
        <w:tc>
          <w:tcPr>
            <w:tcW w:w="1488" w:type="dxa"/>
            <w:vMerge w:val="continue"/>
          </w:tcPr>
          <w:p>
            <w:pPr>
              <w:spacing w:line="480" w:lineRule="exact"/>
              <w:rPr>
                <w:rFonts w:ascii="宋体" w:hAnsi="宋体" w:cs="宋体"/>
                <w:color w:val="auto"/>
                <w:sz w:val="22"/>
                <w:szCs w:val="22"/>
                <w:highlight w:val="none"/>
              </w:rPr>
            </w:pPr>
          </w:p>
        </w:tc>
        <w:tc>
          <w:tcPr>
            <w:tcW w:w="1502"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总产值</w:t>
            </w:r>
          </w:p>
        </w:tc>
        <w:tc>
          <w:tcPr>
            <w:tcW w:w="1488" w:type="dxa"/>
            <w:vAlign w:val="center"/>
          </w:tcPr>
          <w:p>
            <w:pPr>
              <w:spacing w:line="480" w:lineRule="exact"/>
              <w:ind w:firstLine="660" w:firstLineChars="300"/>
              <w:jc w:val="right"/>
              <w:rPr>
                <w:rFonts w:ascii="宋体" w:hAnsi="宋体" w:cs="宋体"/>
                <w:color w:val="auto"/>
                <w:sz w:val="22"/>
                <w:szCs w:val="22"/>
                <w:highlight w:val="none"/>
              </w:rPr>
            </w:pPr>
            <w:r>
              <w:rPr>
                <w:rFonts w:hint="eastAsia" w:ascii="宋体" w:hAnsi="宋体" w:cs="宋体"/>
                <w:color w:val="auto"/>
                <w:sz w:val="22"/>
                <w:szCs w:val="22"/>
                <w:highlight w:val="none"/>
              </w:rPr>
              <w:t>万元</w:t>
            </w:r>
          </w:p>
        </w:tc>
        <w:tc>
          <w:tcPr>
            <w:tcW w:w="1470" w:type="dxa"/>
            <w:gridSpan w:val="2"/>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总产值</w:t>
            </w:r>
          </w:p>
        </w:tc>
        <w:tc>
          <w:tcPr>
            <w:tcW w:w="1106"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vMerge w:val="continue"/>
          </w:tcPr>
          <w:p>
            <w:pPr>
              <w:spacing w:line="480" w:lineRule="exact"/>
              <w:rPr>
                <w:rFonts w:ascii="宋体" w:hAnsi="宋体" w:cs="宋体"/>
                <w:color w:val="auto"/>
                <w:sz w:val="22"/>
                <w:szCs w:val="22"/>
                <w:highlight w:val="none"/>
              </w:rPr>
            </w:pPr>
          </w:p>
        </w:tc>
        <w:tc>
          <w:tcPr>
            <w:tcW w:w="1115" w:type="dxa"/>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流动资金</w:t>
            </w:r>
          </w:p>
        </w:tc>
        <w:tc>
          <w:tcPr>
            <w:tcW w:w="1689" w:type="dxa"/>
            <w:vMerge w:val="restart"/>
          </w:tcPr>
          <w:p>
            <w:pPr>
              <w:spacing w:line="480" w:lineRule="exact"/>
              <w:jc w:val="right"/>
              <w:rPr>
                <w:rFonts w:ascii="宋体" w:hAnsi="宋体" w:cs="宋体"/>
                <w:color w:val="auto"/>
                <w:sz w:val="22"/>
                <w:szCs w:val="22"/>
                <w:highlight w:val="none"/>
              </w:rPr>
            </w:pPr>
          </w:p>
          <w:p>
            <w:pPr>
              <w:spacing w:line="480" w:lineRule="exact"/>
              <w:ind w:firstLine="660" w:firstLineChars="300"/>
              <w:jc w:val="right"/>
              <w:rPr>
                <w:rFonts w:ascii="宋体" w:hAnsi="宋体" w:cs="宋体"/>
                <w:color w:val="auto"/>
                <w:sz w:val="22"/>
                <w:szCs w:val="22"/>
                <w:highlight w:val="none"/>
              </w:rPr>
            </w:pPr>
            <w:r>
              <w:rPr>
                <w:rFonts w:hint="eastAsia" w:ascii="宋体" w:hAnsi="宋体" w:cs="宋体"/>
                <w:color w:val="auto"/>
                <w:sz w:val="22"/>
                <w:szCs w:val="22"/>
                <w:highlight w:val="none"/>
              </w:rPr>
              <w:t xml:space="preserve">万元 </w:t>
            </w:r>
          </w:p>
        </w:tc>
        <w:tc>
          <w:tcPr>
            <w:tcW w:w="728" w:type="dxa"/>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资金来源</w:t>
            </w:r>
          </w:p>
        </w:tc>
        <w:tc>
          <w:tcPr>
            <w:tcW w:w="1487" w:type="dxa"/>
            <w:gridSpan w:val="2"/>
            <w:vAlign w:val="center"/>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自有资金</w:t>
            </w:r>
          </w:p>
        </w:tc>
        <w:tc>
          <w:tcPr>
            <w:tcW w:w="1488"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 xml:space="preserve">  万元</w:t>
            </w:r>
          </w:p>
        </w:tc>
        <w:tc>
          <w:tcPr>
            <w:tcW w:w="1488" w:type="dxa"/>
            <w:vMerge w:val="continue"/>
          </w:tcPr>
          <w:p>
            <w:pPr>
              <w:spacing w:line="480" w:lineRule="exact"/>
              <w:rPr>
                <w:rFonts w:ascii="宋体" w:hAnsi="宋体" w:cs="宋体"/>
                <w:color w:val="auto"/>
                <w:sz w:val="22"/>
                <w:szCs w:val="22"/>
                <w:highlight w:val="none"/>
              </w:rPr>
            </w:pPr>
          </w:p>
        </w:tc>
        <w:tc>
          <w:tcPr>
            <w:tcW w:w="1502"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实现利润</w:t>
            </w:r>
          </w:p>
        </w:tc>
        <w:tc>
          <w:tcPr>
            <w:tcW w:w="1488" w:type="dxa"/>
            <w:vAlign w:val="center"/>
          </w:tcPr>
          <w:p>
            <w:pPr>
              <w:spacing w:line="480" w:lineRule="exact"/>
              <w:ind w:firstLine="660" w:firstLineChars="300"/>
              <w:jc w:val="right"/>
              <w:rPr>
                <w:rFonts w:ascii="宋体" w:hAnsi="宋体" w:cs="宋体"/>
                <w:color w:val="auto"/>
                <w:sz w:val="22"/>
                <w:szCs w:val="22"/>
                <w:highlight w:val="none"/>
              </w:rPr>
            </w:pPr>
            <w:r>
              <w:rPr>
                <w:rFonts w:hint="eastAsia" w:ascii="宋体" w:hAnsi="宋体" w:cs="宋体"/>
                <w:color w:val="auto"/>
                <w:sz w:val="22"/>
                <w:szCs w:val="22"/>
                <w:highlight w:val="none"/>
              </w:rPr>
              <w:t>万元</w:t>
            </w:r>
          </w:p>
        </w:tc>
        <w:tc>
          <w:tcPr>
            <w:tcW w:w="1470" w:type="dxa"/>
            <w:gridSpan w:val="2"/>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实现利润</w:t>
            </w:r>
          </w:p>
        </w:tc>
        <w:tc>
          <w:tcPr>
            <w:tcW w:w="1106" w:type="dxa"/>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227" w:type="dxa"/>
            <w:vMerge w:val="continue"/>
            <w:tcBorders>
              <w:bottom w:val="single" w:color="auto" w:sz="4" w:space="0"/>
            </w:tcBorders>
          </w:tcPr>
          <w:p>
            <w:pPr>
              <w:spacing w:line="480" w:lineRule="exact"/>
              <w:rPr>
                <w:rFonts w:ascii="宋体" w:hAnsi="宋体" w:cs="宋体"/>
                <w:color w:val="auto"/>
                <w:sz w:val="22"/>
                <w:szCs w:val="22"/>
                <w:highlight w:val="none"/>
              </w:rPr>
            </w:pPr>
          </w:p>
        </w:tc>
        <w:tc>
          <w:tcPr>
            <w:tcW w:w="1115" w:type="dxa"/>
            <w:vMerge w:val="continue"/>
            <w:tcBorders>
              <w:bottom w:val="single" w:color="auto" w:sz="4" w:space="0"/>
            </w:tcBorders>
          </w:tcPr>
          <w:p>
            <w:pPr>
              <w:spacing w:line="480" w:lineRule="exact"/>
              <w:rPr>
                <w:rFonts w:ascii="宋体" w:hAnsi="宋体" w:cs="宋体"/>
                <w:color w:val="auto"/>
                <w:sz w:val="22"/>
                <w:szCs w:val="22"/>
                <w:highlight w:val="none"/>
              </w:rPr>
            </w:pPr>
          </w:p>
        </w:tc>
        <w:tc>
          <w:tcPr>
            <w:tcW w:w="1689" w:type="dxa"/>
            <w:vMerge w:val="continue"/>
            <w:tcBorders>
              <w:bottom w:val="single" w:color="auto" w:sz="4" w:space="0"/>
            </w:tcBorders>
          </w:tcPr>
          <w:p>
            <w:pPr>
              <w:spacing w:line="480" w:lineRule="exact"/>
              <w:rPr>
                <w:rFonts w:ascii="宋体" w:hAnsi="宋体" w:cs="宋体"/>
                <w:color w:val="auto"/>
                <w:sz w:val="22"/>
                <w:szCs w:val="22"/>
                <w:highlight w:val="none"/>
              </w:rPr>
            </w:pPr>
          </w:p>
        </w:tc>
        <w:tc>
          <w:tcPr>
            <w:tcW w:w="728" w:type="dxa"/>
            <w:vMerge w:val="continue"/>
            <w:tcBorders>
              <w:bottom w:val="single" w:color="auto" w:sz="4" w:space="0"/>
            </w:tcBorders>
          </w:tcPr>
          <w:p>
            <w:pPr>
              <w:spacing w:line="480" w:lineRule="exact"/>
              <w:rPr>
                <w:rFonts w:ascii="宋体" w:hAnsi="宋体" w:cs="宋体"/>
                <w:color w:val="auto"/>
                <w:sz w:val="22"/>
                <w:szCs w:val="22"/>
                <w:highlight w:val="none"/>
              </w:rPr>
            </w:pPr>
          </w:p>
        </w:tc>
        <w:tc>
          <w:tcPr>
            <w:tcW w:w="1487" w:type="dxa"/>
            <w:gridSpan w:val="2"/>
            <w:tcBorders>
              <w:bottom w:val="single" w:color="auto" w:sz="4" w:space="0"/>
            </w:tcBorders>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银行贷款</w:t>
            </w:r>
          </w:p>
        </w:tc>
        <w:tc>
          <w:tcPr>
            <w:tcW w:w="1488" w:type="dxa"/>
            <w:tcBorders>
              <w:bottom w:val="single" w:color="auto" w:sz="4" w:space="0"/>
            </w:tcBorders>
          </w:tcPr>
          <w:p>
            <w:pPr>
              <w:spacing w:line="480" w:lineRule="exact"/>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万元</w:t>
            </w:r>
          </w:p>
        </w:tc>
        <w:tc>
          <w:tcPr>
            <w:tcW w:w="1488" w:type="dxa"/>
            <w:vMerge w:val="continue"/>
            <w:tcBorders>
              <w:bottom w:val="single" w:color="auto" w:sz="4" w:space="0"/>
            </w:tcBorders>
          </w:tcPr>
          <w:p>
            <w:pPr>
              <w:spacing w:line="480" w:lineRule="exact"/>
              <w:rPr>
                <w:rFonts w:ascii="宋体" w:hAnsi="宋体" w:cs="宋体"/>
                <w:color w:val="auto"/>
                <w:sz w:val="22"/>
                <w:szCs w:val="22"/>
                <w:highlight w:val="none"/>
              </w:rPr>
            </w:pPr>
          </w:p>
        </w:tc>
        <w:tc>
          <w:tcPr>
            <w:tcW w:w="1502" w:type="dxa"/>
            <w:vMerge w:val="restart"/>
            <w:tcBorders>
              <w:bottom w:val="single" w:color="auto" w:sz="4" w:space="0"/>
            </w:tcBorders>
            <w:vAlign w:val="center"/>
          </w:tcPr>
          <w:p>
            <w:pPr>
              <w:spacing w:line="4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主要业绩</w:t>
            </w:r>
          </w:p>
        </w:tc>
        <w:tc>
          <w:tcPr>
            <w:tcW w:w="4064" w:type="dxa"/>
            <w:gridSpan w:val="4"/>
            <w:vMerge w:val="restart"/>
            <w:tcBorders>
              <w:bottom w:val="single" w:color="auto" w:sz="4" w:space="0"/>
            </w:tcBorders>
            <w:vAlign w:val="center"/>
          </w:tcPr>
          <w:p>
            <w:pPr>
              <w:spacing w:line="48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27" w:type="dxa"/>
            <w:vMerge w:val="continue"/>
          </w:tcPr>
          <w:p>
            <w:pPr>
              <w:spacing w:line="480" w:lineRule="exact"/>
              <w:rPr>
                <w:rFonts w:ascii="宋体" w:hAnsi="宋体" w:cs="宋体"/>
                <w:color w:val="auto"/>
                <w:sz w:val="22"/>
                <w:szCs w:val="22"/>
                <w:highlight w:val="none"/>
              </w:rPr>
            </w:pPr>
          </w:p>
        </w:tc>
        <w:tc>
          <w:tcPr>
            <w:tcW w:w="1115" w:type="dxa"/>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固定资产</w:t>
            </w:r>
          </w:p>
        </w:tc>
        <w:tc>
          <w:tcPr>
            <w:tcW w:w="1689" w:type="dxa"/>
            <w:vMerge w:val="restart"/>
          </w:tcPr>
          <w:p>
            <w:pPr>
              <w:spacing w:line="480" w:lineRule="exact"/>
              <w:jc w:val="right"/>
              <w:rPr>
                <w:rFonts w:ascii="宋体" w:hAnsi="宋体" w:cs="宋体"/>
                <w:color w:val="auto"/>
                <w:sz w:val="22"/>
                <w:szCs w:val="22"/>
                <w:highlight w:val="none"/>
              </w:rPr>
            </w:pPr>
            <w:r>
              <w:rPr>
                <w:rFonts w:hint="eastAsia" w:ascii="宋体" w:hAnsi="宋体" w:cs="宋体"/>
                <w:color w:val="auto"/>
                <w:sz w:val="22"/>
                <w:szCs w:val="22"/>
                <w:highlight w:val="none"/>
              </w:rPr>
              <w:t>原值   万元</w:t>
            </w:r>
          </w:p>
          <w:p>
            <w:pPr>
              <w:spacing w:line="480" w:lineRule="exact"/>
              <w:jc w:val="right"/>
              <w:rPr>
                <w:rFonts w:ascii="宋体" w:hAnsi="宋体" w:cs="宋体"/>
                <w:color w:val="auto"/>
                <w:sz w:val="22"/>
                <w:szCs w:val="22"/>
                <w:highlight w:val="none"/>
              </w:rPr>
            </w:pPr>
            <w:r>
              <w:rPr>
                <w:rFonts w:hint="eastAsia" w:ascii="宋体" w:hAnsi="宋体" w:cs="宋体"/>
                <w:color w:val="auto"/>
                <w:sz w:val="22"/>
                <w:szCs w:val="22"/>
                <w:highlight w:val="none"/>
              </w:rPr>
              <w:t>净值   万元</w:t>
            </w:r>
          </w:p>
        </w:tc>
        <w:tc>
          <w:tcPr>
            <w:tcW w:w="728" w:type="dxa"/>
            <w:vMerge w:val="restart"/>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资金性质</w:t>
            </w:r>
          </w:p>
        </w:tc>
        <w:tc>
          <w:tcPr>
            <w:tcW w:w="1487"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生产性</w:t>
            </w:r>
          </w:p>
        </w:tc>
        <w:tc>
          <w:tcPr>
            <w:tcW w:w="1488" w:type="dxa"/>
          </w:tcPr>
          <w:p>
            <w:pPr>
              <w:spacing w:line="480" w:lineRule="exact"/>
              <w:ind w:left="220" w:hanging="220" w:hangingChars="100"/>
              <w:rPr>
                <w:rFonts w:ascii="宋体" w:hAnsi="宋体" w:cs="宋体"/>
                <w:color w:val="auto"/>
                <w:sz w:val="22"/>
                <w:szCs w:val="22"/>
                <w:highlight w:val="none"/>
              </w:rPr>
            </w:pPr>
            <w:r>
              <w:rPr>
                <w:rFonts w:hint="eastAsia" w:ascii="宋体" w:hAnsi="宋体" w:cs="宋体"/>
                <w:color w:val="auto"/>
                <w:sz w:val="22"/>
                <w:szCs w:val="22"/>
                <w:highlight w:val="none"/>
              </w:rPr>
              <w:t xml:space="preserve">      万元</w:t>
            </w:r>
          </w:p>
        </w:tc>
        <w:tc>
          <w:tcPr>
            <w:tcW w:w="1488" w:type="dxa"/>
            <w:vMerge w:val="continue"/>
          </w:tcPr>
          <w:p>
            <w:pPr>
              <w:spacing w:line="480" w:lineRule="exact"/>
              <w:rPr>
                <w:rFonts w:ascii="宋体" w:hAnsi="宋体" w:cs="宋体"/>
                <w:color w:val="auto"/>
                <w:sz w:val="22"/>
                <w:szCs w:val="22"/>
                <w:highlight w:val="none"/>
              </w:rPr>
            </w:pPr>
          </w:p>
        </w:tc>
        <w:tc>
          <w:tcPr>
            <w:tcW w:w="1502" w:type="dxa"/>
            <w:vMerge w:val="continue"/>
          </w:tcPr>
          <w:p>
            <w:pPr>
              <w:spacing w:line="480" w:lineRule="exact"/>
              <w:rPr>
                <w:rFonts w:ascii="宋体" w:hAnsi="宋体" w:cs="宋体"/>
                <w:color w:val="auto"/>
                <w:sz w:val="22"/>
                <w:szCs w:val="22"/>
                <w:highlight w:val="none"/>
              </w:rPr>
            </w:pPr>
          </w:p>
        </w:tc>
        <w:tc>
          <w:tcPr>
            <w:tcW w:w="4064" w:type="dxa"/>
            <w:gridSpan w:val="4"/>
            <w:vMerge w:val="continue"/>
          </w:tcPr>
          <w:p>
            <w:pPr>
              <w:spacing w:line="480" w:lineRule="exact"/>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1227" w:type="dxa"/>
            <w:vMerge w:val="continue"/>
          </w:tcPr>
          <w:p>
            <w:pPr>
              <w:spacing w:line="480" w:lineRule="exact"/>
              <w:rPr>
                <w:rFonts w:ascii="宋体" w:hAnsi="宋体" w:cs="宋体"/>
                <w:color w:val="auto"/>
                <w:sz w:val="22"/>
                <w:szCs w:val="22"/>
                <w:highlight w:val="none"/>
              </w:rPr>
            </w:pPr>
          </w:p>
        </w:tc>
        <w:tc>
          <w:tcPr>
            <w:tcW w:w="1115" w:type="dxa"/>
            <w:vMerge w:val="continue"/>
          </w:tcPr>
          <w:p>
            <w:pPr>
              <w:spacing w:line="480" w:lineRule="exact"/>
              <w:rPr>
                <w:rFonts w:ascii="宋体" w:hAnsi="宋体" w:cs="宋体"/>
                <w:color w:val="auto"/>
                <w:sz w:val="22"/>
                <w:szCs w:val="22"/>
                <w:highlight w:val="none"/>
              </w:rPr>
            </w:pPr>
          </w:p>
        </w:tc>
        <w:tc>
          <w:tcPr>
            <w:tcW w:w="1689" w:type="dxa"/>
            <w:vMerge w:val="continue"/>
          </w:tcPr>
          <w:p>
            <w:pPr>
              <w:spacing w:line="480" w:lineRule="exact"/>
              <w:rPr>
                <w:rFonts w:ascii="宋体" w:hAnsi="宋体" w:cs="宋体"/>
                <w:color w:val="auto"/>
                <w:sz w:val="22"/>
                <w:szCs w:val="22"/>
                <w:highlight w:val="none"/>
              </w:rPr>
            </w:pPr>
          </w:p>
        </w:tc>
        <w:tc>
          <w:tcPr>
            <w:tcW w:w="728" w:type="dxa"/>
            <w:vMerge w:val="continue"/>
          </w:tcPr>
          <w:p>
            <w:pPr>
              <w:spacing w:line="480" w:lineRule="exact"/>
              <w:rPr>
                <w:rFonts w:ascii="宋体" w:hAnsi="宋体" w:cs="宋体"/>
                <w:color w:val="auto"/>
                <w:sz w:val="22"/>
                <w:szCs w:val="22"/>
                <w:highlight w:val="none"/>
              </w:rPr>
            </w:pPr>
          </w:p>
        </w:tc>
        <w:tc>
          <w:tcPr>
            <w:tcW w:w="1487" w:type="dxa"/>
            <w:gridSpan w:val="2"/>
          </w:tcPr>
          <w:p>
            <w:pPr>
              <w:spacing w:line="480" w:lineRule="exact"/>
              <w:rPr>
                <w:rFonts w:ascii="宋体" w:hAnsi="宋体" w:cs="宋体"/>
                <w:color w:val="auto"/>
                <w:sz w:val="22"/>
                <w:szCs w:val="22"/>
                <w:highlight w:val="none"/>
              </w:rPr>
            </w:pPr>
            <w:r>
              <w:rPr>
                <w:rFonts w:hint="eastAsia" w:ascii="宋体" w:hAnsi="宋体" w:cs="宋体"/>
                <w:color w:val="auto"/>
                <w:sz w:val="22"/>
                <w:szCs w:val="22"/>
                <w:highlight w:val="none"/>
              </w:rPr>
              <w:t>非生产性</w:t>
            </w:r>
          </w:p>
        </w:tc>
        <w:tc>
          <w:tcPr>
            <w:tcW w:w="1488" w:type="dxa"/>
          </w:tcPr>
          <w:p>
            <w:pPr>
              <w:spacing w:line="480" w:lineRule="exact"/>
              <w:ind w:left="220" w:hanging="220" w:hangingChars="100"/>
              <w:rPr>
                <w:rFonts w:ascii="宋体" w:hAnsi="宋体" w:cs="宋体"/>
                <w:color w:val="auto"/>
                <w:sz w:val="22"/>
                <w:szCs w:val="22"/>
                <w:highlight w:val="none"/>
              </w:rPr>
            </w:pPr>
            <w:r>
              <w:rPr>
                <w:rFonts w:hint="eastAsia" w:ascii="宋体" w:hAnsi="宋体" w:cs="宋体"/>
                <w:color w:val="auto"/>
                <w:sz w:val="22"/>
                <w:szCs w:val="22"/>
                <w:highlight w:val="none"/>
              </w:rPr>
              <w:t xml:space="preserve">      万元</w:t>
            </w:r>
          </w:p>
        </w:tc>
        <w:tc>
          <w:tcPr>
            <w:tcW w:w="1488" w:type="dxa"/>
            <w:vMerge w:val="continue"/>
          </w:tcPr>
          <w:p>
            <w:pPr>
              <w:spacing w:line="480" w:lineRule="exact"/>
              <w:rPr>
                <w:rFonts w:ascii="宋体" w:hAnsi="宋体" w:cs="宋体"/>
                <w:color w:val="auto"/>
                <w:sz w:val="22"/>
                <w:szCs w:val="22"/>
                <w:highlight w:val="none"/>
              </w:rPr>
            </w:pPr>
          </w:p>
        </w:tc>
        <w:tc>
          <w:tcPr>
            <w:tcW w:w="1502" w:type="dxa"/>
            <w:vMerge w:val="continue"/>
          </w:tcPr>
          <w:p>
            <w:pPr>
              <w:spacing w:line="480" w:lineRule="exact"/>
              <w:rPr>
                <w:rFonts w:ascii="宋体" w:hAnsi="宋体" w:cs="宋体"/>
                <w:color w:val="auto"/>
                <w:sz w:val="22"/>
                <w:szCs w:val="22"/>
                <w:highlight w:val="none"/>
              </w:rPr>
            </w:pPr>
          </w:p>
        </w:tc>
        <w:tc>
          <w:tcPr>
            <w:tcW w:w="4064" w:type="dxa"/>
            <w:gridSpan w:val="4"/>
            <w:vMerge w:val="continue"/>
          </w:tcPr>
          <w:p>
            <w:pPr>
              <w:spacing w:line="480" w:lineRule="exact"/>
              <w:rPr>
                <w:rFonts w:ascii="宋体" w:hAnsi="宋体" w:cs="宋体"/>
                <w:color w:val="auto"/>
                <w:sz w:val="22"/>
                <w:szCs w:val="22"/>
                <w:highlight w:val="none"/>
              </w:rPr>
            </w:pPr>
          </w:p>
        </w:tc>
      </w:tr>
    </w:tbl>
    <w:p>
      <w:pPr>
        <w:spacing w:line="460" w:lineRule="exact"/>
        <w:rPr>
          <w:rFonts w:ascii="宋体" w:hAnsi="宋体" w:cs="宋体"/>
          <w:color w:val="auto"/>
          <w:sz w:val="22"/>
          <w:szCs w:val="22"/>
          <w:highlight w:val="none"/>
        </w:rPr>
        <w:sectPr>
          <w:pgSz w:w="16838" w:h="11906" w:orient="landscape"/>
          <w:pgMar w:top="1134" w:right="1134" w:bottom="1134" w:left="1134" w:header="850" w:footer="992" w:gutter="0"/>
          <w:cols w:space="720" w:num="1"/>
          <w:docGrid w:type="lines" w:linePitch="321" w:charSpace="0"/>
        </w:sectPr>
      </w:pPr>
    </w:p>
    <w:p>
      <w:pPr>
        <w:spacing w:line="400" w:lineRule="exact"/>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3、</w:t>
      </w:r>
      <w:r>
        <w:rPr>
          <w:rFonts w:hint="eastAsia" w:ascii="宋体" w:hAnsi="宋体" w:cs="宋体"/>
          <w:b/>
          <w:bCs/>
          <w:color w:val="auto"/>
          <w:sz w:val="28"/>
          <w:szCs w:val="28"/>
          <w:highlight w:val="none"/>
          <w:lang w:val="zh-CN"/>
        </w:rPr>
        <w:t>偏离表（</w:t>
      </w:r>
      <w:r>
        <w:rPr>
          <w:rFonts w:hint="eastAsia" w:ascii="宋体" w:hAnsi="宋体" w:cs="宋体"/>
          <w:b/>
          <w:bCs/>
          <w:color w:val="auto"/>
          <w:sz w:val="28"/>
          <w:szCs w:val="28"/>
          <w:highlight w:val="none"/>
        </w:rPr>
        <w:t>商务、技术偏离</w:t>
      </w:r>
      <w:r>
        <w:rPr>
          <w:rFonts w:hint="eastAsia" w:ascii="宋体" w:hAnsi="宋体" w:cs="宋体"/>
          <w:b/>
          <w:bCs/>
          <w:color w:val="auto"/>
          <w:sz w:val="28"/>
          <w:szCs w:val="28"/>
          <w:highlight w:val="none"/>
          <w:lang w:val="zh-CN"/>
        </w:rPr>
        <w:t>）</w:t>
      </w:r>
    </w:p>
    <w:p>
      <w:pPr>
        <w:spacing w:line="360" w:lineRule="auto"/>
        <w:rPr>
          <w:rFonts w:ascii="宋体" w:hAnsi="宋体" w:cs="宋体"/>
          <w:color w:val="auto"/>
          <w:sz w:val="22"/>
          <w:szCs w:val="22"/>
          <w:highlight w:val="none"/>
        </w:rPr>
      </w:pP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宋体" w:hAnsi="宋体" w:eastAsia="宋体" w:cs="宋体"/>
          <w:b/>
          <w:bCs/>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序  号</w:t>
            </w:r>
          </w:p>
        </w:tc>
        <w:tc>
          <w:tcPr>
            <w:tcW w:w="3687" w:type="dxa"/>
            <w:shd w:val="clear" w:color="auto" w:fill="FFFFFF"/>
            <w:vAlign w:val="center"/>
          </w:tcPr>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招标文件</w:t>
            </w:r>
          </w:p>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规格要求</w:t>
            </w:r>
          </w:p>
        </w:tc>
        <w:tc>
          <w:tcPr>
            <w:tcW w:w="3402" w:type="dxa"/>
            <w:shd w:val="clear" w:color="auto" w:fill="FFFFFF"/>
            <w:vAlign w:val="center"/>
          </w:tcPr>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投标文件</w:t>
            </w:r>
          </w:p>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对应规格</w:t>
            </w:r>
          </w:p>
        </w:tc>
        <w:tc>
          <w:tcPr>
            <w:tcW w:w="1580" w:type="dxa"/>
            <w:shd w:val="clear" w:color="auto" w:fill="FFFFFF"/>
            <w:vAlign w:val="center"/>
          </w:tcPr>
          <w:p>
            <w:pPr>
              <w:jc w:val="center"/>
              <w:rPr>
                <w:rFonts w:ascii="宋体" w:hAnsi="宋体" w:cs="宋体"/>
                <w:b/>
                <w:color w:val="auto"/>
                <w:sz w:val="22"/>
                <w:szCs w:val="22"/>
                <w:highlight w:val="none"/>
              </w:rPr>
            </w:pPr>
            <w:r>
              <w:rPr>
                <w:rFonts w:hint="eastAsia" w:ascii="宋体" w:hAnsi="宋体" w:cs="宋体"/>
                <w:b/>
                <w:color w:val="auto"/>
                <w:sz w:val="22"/>
                <w:szCs w:val="22"/>
                <w:highlight w:val="none"/>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pPr>
              <w:ind w:firstLine="220" w:firstLineChars="100"/>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ind w:firstLine="220" w:firstLineChars="100"/>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jc w:val="center"/>
              <w:rPr>
                <w:rFonts w:ascii="宋体" w:hAnsi="宋体" w:cs="宋体"/>
                <w:color w:val="auto"/>
                <w:sz w:val="22"/>
                <w:szCs w:val="22"/>
                <w:highlight w:val="none"/>
              </w:rPr>
            </w:pPr>
          </w:p>
        </w:tc>
        <w:tc>
          <w:tcPr>
            <w:tcW w:w="3687" w:type="dxa"/>
            <w:vAlign w:val="center"/>
          </w:tcPr>
          <w:p>
            <w:pPr>
              <w:jc w:val="center"/>
              <w:rPr>
                <w:rFonts w:ascii="宋体" w:hAnsi="宋体" w:cs="宋体"/>
                <w:color w:val="auto"/>
                <w:sz w:val="22"/>
                <w:szCs w:val="22"/>
                <w:highlight w:val="none"/>
              </w:rPr>
            </w:pPr>
          </w:p>
        </w:tc>
        <w:tc>
          <w:tcPr>
            <w:tcW w:w="3402" w:type="dxa"/>
            <w:vAlign w:val="center"/>
          </w:tcPr>
          <w:p>
            <w:pPr>
              <w:jc w:val="center"/>
              <w:rPr>
                <w:rFonts w:ascii="宋体" w:hAnsi="宋体" w:cs="宋体"/>
                <w:color w:val="auto"/>
                <w:sz w:val="22"/>
                <w:szCs w:val="22"/>
                <w:highlight w:val="none"/>
              </w:rPr>
            </w:pPr>
          </w:p>
        </w:tc>
        <w:tc>
          <w:tcPr>
            <w:tcW w:w="1580" w:type="dxa"/>
            <w:vAlign w:val="center"/>
          </w:tcPr>
          <w:p>
            <w:pPr>
              <w:jc w:val="center"/>
              <w:rPr>
                <w:rFonts w:ascii="宋体" w:hAnsi="宋体" w:cs="宋体"/>
                <w:color w:val="auto"/>
                <w:sz w:val="22"/>
                <w:szCs w:val="22"/>
                <w:highlight w:val="none"/>
              </w:rPr>
            </w:pPr>
          </w:p>
        </w:tc>
      </w:tr>
    </w:tbl>
    <w:p>
      <w:pPr>
        <w:rPr>
          <w:rFonts w:ascii="宋体" w:hAnsi="宋体" w:cs="宋体"/>
          <w:color w:val="auto"/>
          <w:sz w:val="22"/>
          <w:szCs w:val="22"/>
          <w:highlight w:val="none"/>
        </w:rPr>
      </w:pPr>
      <w:r>
        <w:rPr>
          <w:rFonts w:hint="eastAsia" w:ascii="宋体" w:hAnsi="宋体" w:cs="宋体"/>
          <w:b/>
          <w:bCs/>
          <w:color w:val="auto"/>
          <w:sz w:val="22"/>
          <w:szCs w:val="22"/>
          <w:highlight w:val="none"/>
        </w:rPr>
        <w:t>注： 如有偏离，必须在偏离表中进行详细对比说明并注明正偏离和负偏离，如不说明偏离情况，视为完全响应采购文件要求无偏离</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日   期：</w:t>
      </w:r>
    </w:p>
    <w:p>
      <w:pPr>
        <w:rPr>
          <w:rFonts w:ascii="宋体" w:hAnsi="宋体" w:cs="宋体"/>
          <w:b/>
          <w:color w:val="auto"/>
          <w:sz w:val="24"/>
          <w:highlight w:val="none"/>
        </w:rPr>
      </w:pPr>
      <w:bookmarkStart w:id="40" w:name="_Toc415152386"/>
      <w:r>
        <w:rPr>
          <w:rFonts w:hint="eastAsia" w:ascii="宋体" w:hAnsi="宋体" w:cs="宋体"/>
          <w:b/>
          <w:color w:val="auto"/>
          <w:sz w:val="24"/>
          <w:highlight w:val="none"/>
        </w:rPr>
        <w:br w:type="page"/>
      </w:r>
    </w:p>
    <w:p>
      <w:pPr>
        <w:spacing w:line="400" w:lineRule="exact"/>
        <w:jc w:val="center"/>
        <w:outlineLvl w:val="3"/>
        <w:rPr>
          <w:rFonts w:ascii="宋体" w:hAnsi="宋体" w:cs="宋体"/>
          <w:b/>
          <w:bCs/>
          <w:color w:val="auto"/>
          <w:sz w:val="28"/>
          <w:szCs w:val="28"/>
          <w:highlight w:val="none"/>
          <w:lang w:val="zh-CN"/>
        </w:rPr>
      </w:pPr>
      <w:r>
        <w:rPr>
          <w:rFonts w:hint="eastAsia" w:ascii="宋体" w:hAnsi="宋体" w:cs="宋体"/>
          <w:b/>
          <w:bCs/>
          <w:color w:val="auto"/>
          <w:sz w:val="28"/>
          <w:szCs w:val="28"/>
          <w:highlight w:val="none"/>
          <w:lang w:val="zh-CN"/>
        </w:rPr>
        <w:t>4、投标人综合情况</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新宋体" w:hAnsi="新宋体" w:eastAsia="宋体"/>
          <w:b/>
          <w:bCs/>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7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3" w:hRule="atLeast"/>
          <w:jc w:val="center"/>
        </w:trPr>
        <w:tc>
          <w:tcPr>
            <w:tcW w:w="9713" w:type="dxa"/>
            <w:vAlign w:val="center"/>
          </w:tcPr>
          <w:p>
            <w:pPr>
              <w:spacing w:line="360" w:lineRule="auto"/>
              <w:rPr>
                <w:rFonts w:ascii="宋体" w:hAnsi="宋体" w:cs="宋体"/>
                <w:color w:val="auto"/>
                <w:sz w:val="22"/>
                <w:szCs w:val="22"/>
                <w:highlight w:val="none"/>
              </w:rPr>
            </w:pPr>
          </w:p>
        </w:tc>
      </w:tr>
    </w:tbl>
    <w:p>
      <w:pPr>
        <w:pStyle w:val="30"/>
        <w:spacing w:line="400" w:lineRule="atLeast"/>
        <w:rPr>
          <w:rFonts w:ascii="新宋体" w:hAnsi="新宋体" w:eastAsia="新宋体"/>
          <w:color w:val="auto"/>
          <w:sz w:val="22"/>
          <w:szCs w:val="22"/>
          <w:highlight w:val="none"/>
        </w:rPr>
      </w:pPr>
    </w:p>
    <w:p>
      <w:pPr>
        <w:spacing w:line="460" w:lineRule="exact"/>
        <w:ind w:firstLine="5060" w:firstLineChars="23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投标人全称（盖章）：</w:t>
      </w:r>
    </w:p>
    <w:p>
      <w:pPr>
        <w:spacing w:line="460" w:lineRule="exact"/>
        <w:ind w:firstLine="5060" w:firstLineChars="23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投标人代表（签字）：</w:t>
      </w:r>
    </w:p>
    <w:p>
      <w:pPr>
        <w:spacing w:line="460" w:lineRule="exact"/>
        <w:ind w:firstLine="5060" w:firstLineChars="23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日  期：</w:t>
      </w:r>
    </w:p>
    <w:p>
      <w:pPr>
        <w:spacing w:line="460" w:lineRule="exact"/>
        <w:ind w:firstLine="5060" w:firstLineChars="2300"/>
        <w:rPr>
          <w:rFonts w:ascii="新宋体" w:hAnsi="新宋体" w:eastAsia="新宋体"/>
          <w:color w:val="auto"/>
          <w:sz w:val="22"/>
          <w:szCs w:val="22"/>
          <w:highlight w:val="none"/>
        </w:rPr>
      </w:pPr>
    </w:p>
    <w:p>
      <w:pPr>
        <w:spacing w:line="400" w:lineRule="exact"/>
        <w:jc w:val="center"/>
        <w:outlineLvl w:val="3"/>
        <w:rPr>
          <w:rFonts w:ascii="宋体" w:hAnsi="宋体" w:cs="宋体"/>
          <w:b/>
          <w:bCs/>
          <w:color w:val="auto"/>
          <w:sz w:val="28"/>
          <w:szCs w:val="28"/>
          <w:highlight w:val="none"/>
          <w:lang w:val="zh-CN"/>
        </w:rPr>
      </w:pPr>
      <w:r>
        <w:rPr>
          <w:rFonts w:hint="eastAsia" w:ascii="宋体" w:hAnsi="宋体" w:cs="宋体"/>
          <w:b/>
          <w:bCs/>
          <w:color w:val="auto"/>
          <w:sz w:val="28"/>
          <w:szCs w:val="28"/>
          <w:highlight w:val="none"/>
          <w:lang w:val="zh-CN"/>
        </w:rPr>
        <w:t>5、实施方案</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新宋体" w:hAnsi="新宋体" w:eastAsia="宋体" w:cs="新宋体"/>
          <w:b/>
          <w:bCs/>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color w:val="auto"/>
                <w:sz w:val="22"/>
                <w:szCs w:val="22"/>
                <w:highlight w:val="none"/>
              </w:rPr>
            </w:pPr>
          </w:p>
        </w:tc>
      </w:tr>
    </w:tbl>
    <w:p>
      <w:pPr>
        <w:spacing w:line="400" w:lineRule="exact"/>
        <w:ind w:firstLine="4620" w:firstLineChars="2100"/>
        <w:rPr>
          <w:rFonts w:ascii="新宋体" w:hAnsi="新宋体" w:eastAsia="新宋体" w:cs="新宋体"/>
          <w:color w:val="auto"/>
          <w:sz w:val="22"/>
          <w:szCs w:val="22"/>
          <w:highlight w:val="none"/>
        </w:rPr>
      </w:pPr>
    </w:p>
    <w:p>
      <w:pPr>
        <w:spacing w:line="360" w:lineRule="auto"/>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pPr>
        <w:spacing w:line="360" w:lineRule="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投标人代表（签字）：</w:t>
      </w:r>
    </w:p>
    <w:p>
      <w:pPr>
        <w:spacing w:line="360" w:lineRule="auto"/>
        <w:rPr>
          <w:rFonts w:ascii="宋体" w:hAnsi="宋体" w:cs="宋体"/>
          <w:b/>
          <w:bCs/>
          <w:color w:val="auto"/>
          <w:sz w:val="28"/>
          <w:szCs w:val="28"/>
          <w:highlight w:val="none"/>
        </w:rPr>
      </w:pPr>
      <w:r>
        <w:rPr>
          <w:rFonts w:hint="eastAsia" w:ascii="新宋体" w:hAnsi="新宋体" w:eastAsia="新宋体" w:cs="新宋体"/>
          <w:color w:val="auto"/>
          <w:sz w:val="22"/>
          <w:szCs w:val="22"/>
          <w:highlight w:val="none"/>
        </w:rPr>
        <w:t xml:space="preserve">                                                日    期：</w:t>
      </w:r>
    </w:p>
    <w:p>
      <w:pPr>
        <w:rPr>
          <w:rFonts w:ascii="宋体" w:hAnsi="宋体" w:cs="宋体"/>
          <w:b/>
          <w:bCs/>
          <w:color w:val="auto"/>
          <w:sz w:val="28"/>
          <w:szCs w:val="28"/>
          <w:highlight w:val="none"/>
        </w:rPr>
      </w:pPr>
      <w:r>
        <w:rPr>
          <w:rFonts w:hint="eastAsia" w:ascii="宋体" w:hAnsi="宋体" w:cs="宋体"/>
          <w:b/>
          <w:bCs/>
          <w:color w:val="auto"/>
          <w:sz w:val="28"/>
          <w:szCs w:val="28"/>
          <w:highlight w:val="none"/>
        </w:rPr>
        <w:br w:type="page"/>
      </w:r>
    </w:p>
    <w:p>
      <w:pPr>
        <w:spacing w:line="400" w:lineRule="exact"/>
        <w:jc w:val="center"/>
        <w:outlineLvl w:val="3"/>
        <w:rPr>
          <w:rFonts w:ascii="宋体" w:hAnsi="宋体" w:cs="宋体"/>
          <w:b/>
          <w:bCs/>
          <w:color w:val="auto"/>
          <w:sz w:val="28"/>
          <w:szCs w:val="28"/>
          <w:highlight w:val="none"/>
          <w:lang w:val="zh-CN"/>
        </w:rPr>
      </w:pPr>
      <w:r>
        <w:rPr>
          <w:rFonts w:hint="eastAsia" w:ascii="宋体" w:hAnsi="宋体" w:cs="宋体"/>
          <w:b/>
          <w:bCs/>
          <w:color w:val="auto"/>
          <w:sz w:val="28"/>
          <w:szCs w:val="28"/>
          <w:highlight w:val="none"/>
        </w:rPr>
        <w:t>6、</w:t>
      </w:r>
      <w:bookmarkEnd w:id="40"/>
      <w:r>
        <w:rPr>
          <w:rFonts w:hint="eastAsia" w:ascii="宋体" w:hAnsi="宋体" w:cs="宋体"/>
          <w:b/>
          <w:bCs/>
          <w:color w:val="auto"/>
          <w:sz w:val="28"/>
          <w:szCs w:val="28"/>
          <w:highlight w:val="none"/>
        </w:rPr>
        <w:t>配套设备</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eastAsia="宋体"/>
          <w:color w:val="auto"/>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color w:val="auto"/>
                <w:sz w:val="22"/>
                <w:szCs w:val="22"/>
                <w:highlight w:val="none"/>
              </w:rPr>
            </w:pPr>
          </w:p>
        </w:tc>
      </w:tr>
    </w:tbl>
    <w:p>
      <w:pPr>
        <w:pStyle w:val="30"/>
        <w:spacing w:line="400" w:lineRule="atLeast"/>
        <w:rPr>
          <w:rFonts w:hAnsi="宋体" w:cs="宋体"/>
          <w:color w:val="auto"/>
          <w:sz w:val="22"/>
          <w:szCs w:val="22"/>
          <w:highlight w:val="none"/>
        </w:rPr>
      </w:pPr>
    </w:p>
    <w:p>
      <w:pPr>
        <w:spacing w:line="460" w:lineRule="exact"/>
        <w:ind w:firstLine="5060" w:firstLineChars="23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5060" w:firstLineChars="23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5060" w:firstLineChars="2300"/>
        <w:rPr>
          <w:rFonts w:ascii="宋体" w:hAnsi="宋体" w:cs="宋体"/>
          <w:color w:val="auto"/>
          <w:sz w:val="22"/>
          <w:szCs w:val="22"/>
          <w:highlight w:val="none"/>
        </w:rPr>
      </w:pPr>
      <w:r>
        <w:rPr>
          <w:rFonts w:hint="eastAsia" w:ascii="宋体" w:hAnsi="宋体" w:cs="宋体"/>
          <w:color w:val="auto"/>
          <w:sz w:val="22"/>
          <w:szCs w:val="22"/>
          <w:highlight w:val="none"/>
        </w:rPr>
        <w:t>日  期：</w:t>
      </w:r>
    </w:p>
    <w:p>
      <w:pPr>
        <w:spacing w:line="460" w:lineRule="exact"/>
        <w:ind w:firstLine="5060" w:firstLineChars="2300"/>
        <w:rPr>
          <w:rFonts w:ascii="宋体" w:hAnsi="宋体" w:cs="宋体"/>
          <w:color w:val="auto"/>
          <w:sz w:val="22"/>
          <w:szCs w:val="22"/>
          <w:highlight w:val="none"/>
        </w:rPr>
      </w:pPr>
    </w:p>
    <w:p>
      <w:pPr>
        <w:spacing w:line="460" w:lineRule="exact"/>
        <w:rPr>
          <w:rFonts w:ascii="宋体" w:hAnsi="宋体" w:cs="宋体"/>
          <w:color w:val="auto"/>
          <w:sz w:val="22"/>
          <w:szCs w:val="22"/>
          <w:highlight w:val="none"/>
        </w:rPr>
      </w:pPr>
    </w:p>
    <w:p>
      <w:pPr>
        <w:rPr>
          <w:rFonts w:ascii="宋体" w:hAnsi="宋体" w:cs="宋体"/>
          <w:b/>
          <w:color w:val="auto"/>
          <w:sz w:val="24"/>
          <w:highlight w:val="none"/>
        </w:rPr>
      </w:pPr>
      <w:r>
        <w:rPr>
          <w:rFonts w:hint="eastAsia" w:ascii="宋体" w:hAnsi="宋体" w:cs="宋体"/>
          <w:b/>
          <w:color w:val="auto"/>
          <w:sz w:val="24"/>
          <w:highlight w:val="none"/>
        </w:rPr>
        <w:br w:type="page"/>
      </w:r>
    </w:p>
    <w:p>
      <w:pPr>
        <w:jc w:val="center"/>
        <w:outlineLvl w:val="3"/>
        <w:rPr>
          <w:rFonts w:ascii="宋体" w:hAnsi="宋体" w:cs="宋体"/>
          <w:b/>
          <w:bCs/>
          <w:color w:val="auto"/>
          <w:sz w:val="28"/>
          <w:szCs w:val="28"/>
          <w:highlight w:val="none"/>
          <w:lang w:val="zh-CN"/>
        </w:rPr>
      </w:pPr>
      <w:r>
        <w:rPr>
          <w:rFonts w:hint="eastAsia" w:ascii="宋体" w:hAnsi="宋体" w:cs="宋体"/>
          <w:b/>
          <w:bCs/>
          <w:color w:val="auto"/>
          <w:sz w:val="28"/>
          <w:szCs w:val="28"/>
          <w:highlight w:val="none"/>
        </w:rPr>
        <w:t>7、履约能力</w:t>
      </w:r>
    </w:p>
    <w:p>
      <w:pPr>
        <w:spacing w:line="460" w:lineRule="exact"/>
        <w:jc w:val="center"/>
        <w:outlineLvl w:val="4"/>
        <w:rPr>
          <w:rFonts w:ascii="宋体" w:hAnsi="宋体" w:cs="宋体"/>
          <w:b/>
          <w:bCs/>
          <w:color w:val="auto"/>
          <w:sz w:val="24"/>
          <w:highlight w:val="none"/>
        </w:rPr>
      </w:pPr>
      <w:r>
        <w:rPr>
          <w:rFonts w:hint="eastAsia" w:ascii="宋体" w:hAnsi="宋体" w:cs="宋体"/>
          <w:b/>
          <w:bCs/>
          <w:color w:val="auto"/>
          <w:sz w:val="24"/>
          <w:highlight w:val="none"/>
        </w:rPr>
        <w:t>（1）项目负责人情况表</w:t>
      </w:r>
    </w:p>
    <w:p>
      <w:pPr>
        <w:spacing w:line="360" w:lineRule="auto"/>
        <w:jc w:val="left"/>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项 目 编 号：</w:t>
      </w:r>
      <w:r>
        <w:rPr>
          <w:rFonts w:hint="eastAsia" w:ascii="宋体" w:hAnsi="宋体" w:cs="宋体"/>
          <w:bCs/>
          <w:color w:val="auto"/>
          <w:sz w:val="22"/>
          <w:szCs w:val="22"/>
          <w:highlight w:val="none"/>
          <w:lang w:eastAsia="zh-CN"/>
        </w:rPr>
        <w:t>WZLCZB（W）-2023-02043</w:t>
      </w:r>
    </w:p>
    <w:p>
      <w:pPr>
        <w:spacing w:line="360" w:lineRule="auto"/>
        <w:rPr>
          <w:rFonts w:hint="eastAsia" w:ascii="宋体" w:hAnsi="宋体" w:eastAsia="宋体" w:cs="宋体"/>
          <w:b/>
          <w:bCs/>
          <w:color w:val="auto"/>
          <w:sz w:val="32"/>
          <w:highlight w:val="none"/>
          <w:lang w:eastAsia="zh-CN"/>
        </w:rPr>
      </w:pPr>
      <w:r>
        <w:rPr>
          <w:rFonts w:hint="eastAsia" w:ascii="宋体" w:hAnsi="宋体" w:cs="宋体"/>
          <w:bCs/>
          <w:color w:val="auto"/>
          <w:sz w:val="22"/>
          <w:szCs w:val="22"/>
          <w:highlight w:val="none"/>
        </w:rPr>
        <w:t>项 目 名 称：</w:t>
      </w:r>
      <w:r>
        <w:rPr>
          <w:rFonts w:hint="eastAsia" w:ascii="宋体" w:hAnsi="宋体" w:cs="宋体"/>
          <w:bCs/>
          <w:color w:val="auto"/>
          <w:sz w:val="22"/>
          <w:szCs w:val="22"/>
          <w:highlight w:val="none"/>
          <w:lang w:eastAsia="zh-CN"/>
        </w:rPr>
        <w:t>温州市自然资源和规划局档案库房建设（档案搬运服务）</w:t>
      </w:r>
    </w:p>
    <w:tbl>
      <w:tblPr>
        <w:tblStyle w:val="52"/>
        <w:tblW w:w="0" w:type="auto"/>
        <w:tblInd w:w="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7"/>
        <w:gridCol w:w="1833"/>
        <w:gridCol w:w="5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2027" w:type="dxa"/>
            <w:noWrap/>
            <w:vAlign w:val="center"/>
          </w:tcPr>
          <w:p>
            <w:pPr>
              <w:pStyle w:val="200"/>
              <w:autoSpaceDE w:val="0"/>
              <w:autoSpaceDN w:val="0"/>
              <w:adjustRightInd w:val="0"/>
              <w:spacing w:line="240" w:lineRule="auto"/>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姓名</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noWrap/>
            <w:vAlign w:val="center"/>
          </w:tcPr>
          <w:p>
            <w:pPr>
              <w:pStyle w:val="200"/>
              <w:autoSpaceDE w:val="0"/>
              <w:autoSpaceDN w:val="0"/>
              <w:adjustRightInd w:val="0"/>
              <w:spacing w:line="360" w:lineRule="auto"/>
              <w:rPr>
                <w:rFonts w:ascii="宋体" w:hAnsi="宋体" w:cs="宋体"/>
                <w:color w:val="auto"/>
                <w:sz w:val="22"/>
                <w:szCs w:val="22"/>
                <w:highlight w:val="none"/>
                <w:lang w:val="zh-CN"/>
              </w:rPr>
            </w:pPr>
            <w:r>
              <w:rPr>
                <w:rFonts w:hint="eastAsia" w:ascii="宋体" w:hAnsi="宋体" w:cs="宋体"/>
                <w:color w:val="auto"/>
                <w:kern w:val="0"/>
                <w:sz w:val="22"/>
                <w:szCs w:val="22"/>
                <w:highlight w:val="none"/>
              </w:rPr>
              <w:t>自年月日以来负责的相关项目经验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trPr>
        <w:tc>
          <w:tcPr>
            <w:tcW w:w="2027" w:type="dxa"/>
            <w:noWrap/>
            <w:vAlign w:val="center"/>
          </w:tcPr>
          <w:p>
            <w:pPr>
              <w:pStyle w:val="200"/>
              <w:autoSpaceDE w:val="0"/>
              <w:autoSpaceDN w:val="0"/>
              <w:adjustRightInd w:val="0"/>
              <w:spacing w:line="240" w:lineRule="auto"/>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1寸免冠照片</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restart"/>
            <w:noWrap/>
            <w:vAlign w:val="center"/>
          </w:tcPr>
          <w:p>
            <w:pPr>
              <w:pStyle w:val="267"/>
              <w:widowControl w:val="0"/>
              <w:autoSpaceDE w:val="0"/>
              <w:autoSpaceDN w:val="0"/>
              <w:adjustRightInd w:val="0"/>
              <w:spacing w:before="0" w:beforeAutospacing="0" w:after="0" w:afterAutospacing="0" w:line="360" w:lineRule="auto"/>
              <w:textAlignment w:val="auto"/>
              <w:rPr>
                <w:rFonts w:ascii="宋体" w:hAnsi="宋体" w:cs="宋体"/>
                <w:color w:val="auto"/>
                <w:sz w:val="22"/>
                <w:szCs w:val="22"/>
                <w:highlight w:val="none"/>
              </w:rPr>
            </w:pPr>
            <w:r>
              <w:rPr>
                <w:rFonts w:hint="eastAsia" w:ascii="宋体" w:hAnsi="宋体" w:cs="宋体"/>
                <w:color w:val="auto"/>
                <w:kern w:val="2"/>
                <w:sz w:val="22"/>
                <w:szCs w:val="22"/>
                <w:highlight w:val="none"/>
              </w:rPr>
              <w:t>注：相关项目经验应提供旁证材料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性别</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年龄</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职称</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毕业院校系及专业</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毕业时间</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最高学历</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联系电话</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rPr>
              <w:t>最近一年工作单位</w:t>
            </w:r>
          </w:p>
        </w:tc>
        <w:tc>
          <w:tcPr>
            <w:tcW w:w="1833" w:type="dxa"/>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c>
          <w:tcPr>
            <w:tcW w:w="5880" w:type="dxa"/>
            <w:vMerge w:val="continue"/>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27" w:type="dxa"/>
            <w:noWrap/>
            <w:vAlign w:val="center"/>
          </w:tcPr>
          <w:p>
            <w:pPr>
              <w:autoSpaceDE w:val="0"/>
              <w:autoSpaceDN w:val="0"/>
              <w:adjustRightInd w:val="0"/>
              <w:jc w:val="center"/>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拟在本项目中担任主要工作</w:t>
            </w:r>
          </w:p>
        </w:tc>
        <w:tc>
          <w:tcPr>
            <w:tcW w:w="7713" w:type="dxa"/>
            <w:gridSpan w:val="2"/>
            <w:noWrap/>
            <w:vAlign w:val="center"/>
          </w:tcPr>
          <w:p>
            <w:pPr>
              <w:autoSpaceDE w:val="0"/>
              <w:autoSpaceDN w:val="0"/>
              <w:adjustRightInd w:val="0"/>
              <w:spacing w:line="360" w:lineRule="auto"/>
              <w:jc w:val="center"/>
              <w:rPr>
                <w:rFonts w:ascii="宋体" w:hAnsi="宋体" w:cs="宋体"/>
                <w:color w:val="auto"/>
                <w:sz w:val="22"/>
                <w:szCs w:val="22"/>
                <w:highlight w:val="none"/>
                <w:lang w:val="zh-CN"/>
              </w:rPr>
            </w:pPr>
          </w:p>
        </w:tc>
      </w:tr>
    </w:tbl>
    <w:p>
      <w:pPr>
        <w:spacing w:line="460" w:lineRule="exact"/>
        <w:rPr>
          <w:rFonts w:ascii="宋体" w:hAnsi="宋体" w:cs="宋体"/>
          <w:color w:val="auto"/>
          <w:sz w:val="22"/>
          <w:szCs w:val="22"/>
          <w:highlight w:val="none"/>
        </w:rPr>
      </w:pPr>
    </w:p>
    <w:p>
      <w:pPr>
        <w:spacing w:line="460" w:lineRule="exact"/>
        <w:rPr>
          <w:rFonts w:ascii="宋体" w:hAnsi="宋体" w:cs="宋体"/>
          <w:b/>
          <w:bCs/>
          <w:color w:val="auto"/>
          <w:sz w:val="22"/>
          <w:szCs w:val="22"/>
          <w:highlight w:val="none"/>
        </w:rPr>
      </w:pPr>
    </w:p>
    <w:p>
      <w:pPr>
        <w:rPr>
          <w:rFonts w:ascii="宋体" w:hAnsi="宋体" w:cs="宋体"/>
          <w:b/>
          <w:bCs/>
          <w:color w:val="auto"/>
          <w:sz w:val="22"/>
          <w:szCs w:val="22"/>
          <w:highlight w:val="none"/>
        </w:rPr>
      </w:pPr>
      <w:r>
        <w:rPr>
          <w:rFonts w:hint="eastAsia" w:ascii="宋体" w:hAnsi="宋体" w:cs="宋体"/>
          <w:b/>
          <w:bCs/>
          <w:color w:val="auto"/>
          <w:sz w:val="22"/>
          <w:szCs w:val="22"/>
          <w:highlight w:val="none"/>
        </w:rPr>
        <w:br w:type="page"/>
      </w:r>
    </w:p>
    <w:p>
      <w:pPr>
        <w:spacing w:line="460" w:lineRule="exact"/>
        <w:jc w:val="center"/>
        <w:outlineLvl w:val="4"/>
        <w:rPr>
          <w:rFonts w:ascii="宋体" w:hAnsi="宋体" w:cs="宋体"/>
          <w:b/>
          <w:bCs/>
          <w:color w:val="auto"/>
          <w:sz w:val="24"/>
          <w:highlight w:val="none"/>
        </w:rPr>
      </w:pPr>
      <w:r>
        <w:rPr>
          <w:rFonts w:hint="eastAsia" w:ascii="宋体" w:hAnsi="宋体" w:cs="宋体"/>
          <w:b/>
          <w:bCs/>
          <w:color w:val="auto"/>
          <w:sz w:val="24"/>
          <w:highlight w:val="none"/>
        </w:rPr>
        <w:t>（2）项目服务人员汇总表</w:t>
      </w:r>
    </w:p>
    <w:p>
      <w:pPr>
        <w:spacing w:line="360" w:lineRule="auto"/>
        <w:rPr>
          <w:rFonts w:ascii="宋体" w:hAnsi="宋体" w:cs="宋体"/>
          <w:bCs/>
          <w:color w:val="auto"/>
          <w:highlight w:val="none"/>
        </w:rPr>
      </w:pPr>
    </w:p>
    <w:tbl>
      <w:tblPr>
        <w:tblStyle w:val="52"/>
        <w:tblW w:w="0" w:type="auto"/>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2351"/>
        <w:gridCol w:w="720"/>
        <w:gridCol w:w="720"/>
        <w:gridCol w:w="720"/>
        <w:gridCol w:w="1080"/>
        <w:gridCol w:w="1458"/>
        <w:gridCol w:w="1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姓名</w:t>
            </w:r>
          </w:p>
        </w:tc>
        <w:tc>
          <w:tcPr>
            <w:tcW w:w="2351"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本项目主要工作</w:t>
            </w:r>
          </w:p>
        </w:tc>
        <w:tc>
          <w:tcPr>
            <w:tcW w:w="720"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年龄</w:t>
            </w:r>
          </w:p>
        </w:tc>
        <w:tc>
          <w:tcPr>
            <w:tcW w:w="720"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性别</w:t>
            </w:r>
          </w:p>
        </w:tc>
        <w:tc>
          <w:tcPr>
            <w:tcW w:w="720"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专业</w:t>
            </w:r>
          </w:p>
        </w:tc>
        <w:tc>
          <w:tcPr>
            <w:tcW w:w="1080"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专业</w:t>
            </w:r>
          </w:p>
          <w:p>
            <w:pPr>
              <w:jc w:val="center"/>
              <w:rPr>
                <w:rFonts w:ascii="宋体" w:hAnsi="宋体" w:cs="宋体"/>
                <w:color w:val="auto"/>
                <w:sz w:val="22"/>
                <w:szCs w:val="22"/>
                <w:highlight w:val="none"/>
              </w:rPr>
            </w:pPr>
            <w:r>
              <w:rPr>
                <w:rFonts w:hint="eastAsia" w:ascii="宋体" w:hAnsi="宋体" w:cs="宋体"/>
                <w:color w:val="auto"/>
                <w:sz w:val="22"/>
                <w:szCs w:val="22"/>
                <w:highlight w:val="none"/>
              </w:rPr>
              <w:t>年限</w:t>
            </w:r>
          </w:p>
        </w:tc>
        <w:tc>
          <w:tcPr>
            <w:tcW w:w="1458"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职务</w:t>
            </w:r>
          </w:p>
          <w:p>
            <w:pPr>
              <w:jc w:val="center"/>
              <w:rPr>
                <w:rFonts w:ascii="宋体" w:hAnsi="宋体" w:cs="宋体"/>
                <w:color w:val="auto"/>
                <w:sz w:val="22"/>
                <w:szCs w:val="22"/>
                <w:highlight w:val="none"/>
              </w:rPr>
            </w:pPr>
            <w:r>
              <w:rPr>
                <w:rFonts w:hint="eastAsia" w:ascii="宋体" w:hAnsi="宋体" w:cs="宋体"/>
                <w:color w:val="auto"/>
                <w:sz w:val="22"/>
                <w:szCs w:val="22"/>
                <w:highlight w:val="none"/>
              </w:rPr>
              <w:t>和职称/认证</w:t>
            </w:r>
          </w:p>
        </w:tc>
        <w:tc>
          <w:tcPr>
            <w:tcW w:w="1422" w:type="dxa"/>
            <w:noWrap/>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到现场服务</w:t>
            </w:r>
          </w:p>
          <w:p>
            <w:pPr>
              <w:jc w:val="center"/>
              <w:rPr>
                <w:rFonts w:ascii="宋体" w:hAnsi="宋体" w:cs="宋体"/>
                <w:color w:val="auto"/>
                <w:sz w:val="22"/>
                <w:szCs w:val="22"/>
                <w:highlight w:val="none"/>
              </w:rPr>
            </w:pPr>
            <w:r>
              <w:rPr>
                <w:rFonts w:hint="eastAsia" w:ascii="宋体" w:hAnsi="宋体" w:cs="宋体"/>
                <w:color w:val="auto"/>
                <w:sz w:val="22"/>
                <w:szCs w:val="22"/>
                <w:highlight w:val="none"/>
              </w:rPr>
              <w:t>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ind w:left="5250"/>
              <w:rPr>
                <w:rFonts w:ascii="宋体" w:hAnsi="宋体" w:cs="宋体"/>
                <w:color w:val="auto"/>
                <w:spacing w:val="12"/>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ind w:left="5250"/>
              <w:rPr>
                <w:rFonts w:ascii="宋体" w:hAnsi="宋体" w:cs="宋体"/>
                <w:color w:val="auto"/>
                <w:spacing w:val="12"/>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ign w:val="center"/>
          </w:tcPr>
          <w:p>
            <w:pPr>
              <w:spacing w:line="360" w:lineRule="auto"/>
              <w:rPr>
                <w:rFonts w:ascii="宋体" w:hAnsi="宋体" w:cs="宋体"/>
                <w:color w:val="auto"/>
                <w:sz w:val="22"/>
                <w:szCs w:val="22"/>
                <w:highlight w:val="none"/>
              </w:rPr>
            </w:pPr>
          </w:p>
        </w:tc>
        <w:tc>
          <w:tcPr>
            <w:tcW w:w="2351"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720" w:type="dxa"/>
            <w:noWrap/>
            <w:vAlign w:val="center"/>
          </w:tcPr>
          <w:p>
            <w:pPr>
              <w:spacing w:line="360" w:lineRule="auto"/>
              <w:rPr>
                <w:rFonts w:ascii="宋体" w:hAnsi="宋体" w:cs="宋体"/>
                <w:color w:val="auto"/>
                <w:sz w:val="22"/>
                <w:szCs w:val="22"/>
                <w:highlight w:val="none"/>
              </w:rPr>
            </w:pPr>
          </w:p>
        </w:tc>
        <w:tc>
          <w:tcPr>
            <w:tcW w:w="1080" w:type="dxa"/>
            <w:noWrap/>
            <w:vAlign w:val="center"/>
          </w:tcPr>
          <w:p>
            <w:pPr>
              <w:spacing w:line="360" w:lineRule="auto"/>
              <w:rPr>
                <w:rFonts w:ascii="宋体" w:hAnsi="宋体" w:cs="宋体"/>
                <w:color w:val="auto"/>
                <w:sz w:val="22"/>
                <w:szCs w:val="22"/>
                <w:highlight w:val="none"/>
              </w:rPr>
            </w:pPr>
          </w:p>
        </w:tc>
        <w:tc>
          <w:tcPr>
            <w:tcW w:w="1458" w:type="dxa"/>
            <w:noWrap/>
            <w:vAlign w:val="center"/>
          </w:tcPr>
          <w:p>
            <w:pPr>
              <w:spacing w:line="360" w:lineRule="auto"/>
              <w:rPr>
                <w:rFonts w:ascii="宋体" w:hAnsi="宋体" w:cs="宋体"/>
                <w:color w:val="auto"/>
                <w:sz w:val="22"/>
                <w:szCs w:val="22"/>
                <w:highlight w:val="none"/>
              </w:rPr>
            </w:pPr>
          </w:p>
        </w:tc>
        <w:tc>
          <w:tcPr>
            <w:tcW w:w="1422" w:type="dxa"/>
            <w:noWrap/>
            <w:vAlign w:val="center"/>
          </w:tcPr>
          <w:p>
            <w:pPr>
              <w:spacing w:line="360" w:lineRule="auto"/>
              <w:rPr>
                <w:rFonts w:ascii="宋体" w:hAnsi="宋体" w:cs="宋体"/>
                <w:color w:val="auto"/>
                <w:sz w:val="22"/>
                <w:szCs w:val="22"/>
                <w:highlight w:val="none"/>
              </w:rPr>
            </w:pPr>
          </w:p>
        </w:tc>
      </w:tr>
    </w:tbl>
    <w:p>
      <w:pPr>
        <w:spacing w:line="360" w:lineRule="exact"/>
        <w:ind w:left="968" w:hanging="968" w:hangingChars="440"/>
        <w:rPr>
          <w:rFonts w:ascii="宋体" w:hAnsi="宋体" w:cs="宋体"/>
          <w:color w:val="auto"/>
          <w:sz w:val="22"/>
          <w:szCs w:val="22"/>
          <w:highlight w:val="none"/>
        </w:rPr>
      </w:pPr>
      <w:r>
        <w:rPr>
          <w:rFonts w:hint="eastAsia" w:ascii="宋体" w:hAnsi="宋体" w:cs="宋体"/>
          <w:color w:val="auto"/>
          <w:sz w:val="22"/>
          <w:szCs w:val="22"/>
          <w:highlight w:val="none"/>
        </w:rPr>
        <w:t>附注：1、列入本表人员如要更换，需经采购人同意，擅自更换或不到位属违约行为；</w:t>
      </w:r>
    </w:p>
    <w:p>
      <w:pPr>
        <w:spacing w:line="360" w:lineRule="exact"/>
        <w:ind w:left="718" w:leftChars="321" w:hanging="44" w:hangingChars="20"/>
        <w:rPr>
          <w:rFonts w:ascii="宋体" w:hAnsi="宋体" w:cs="宋体"/>
          <w:color w:val="auto"/>
          <w:sz w:val="22"/>
          <w:szCs w:val="22"/>
          <w:highlight w:val="none"/>
        </w:rPr>
      </w:pPr>
      <w:r>
        <w:rPr>
          <w:rFonts w:hint="eastAsia" w:ascii="宋体" w:hAnsi="宋体" w:cs="宋体"/>
          <w:color w:val="auto"/>
          <w:sz w:val="22"/>
          <w:szCs w:val="22"/>
          <w:highlight w:val="none"/>
        </w:rPr>
        <w:t>2、职称/认证证书复印件附后。</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日  期：</w:t>
      </w:r>
    </w:p>
    <w:p>
      <w:pPr>
        <w:spacing w:line="460" w:lineRule="exact"/>
        <w:ind w:firstLine="7228" w:firstLineChars="2000"/>
        <w:rPr>
          <w:rFonts w:ascii="宋体" w:hAnsi="宋体" w:cs="宋体"/>
          <w:b/>
          <w:color w:val="auto"/>
          <w:sz w:val="36"/>
          <w:szCs w:val="36"/>
          <w:highlight w:val="none"/>
        </w:rPr>
      </w:pPr>
    </w:p>
    <w:p>
      <w:pPr>
        <w:spacing w:line="380" w:lineRule="exact"/>
        <w:rPr>
          <w:rFonts w:ascii="宋体" w:hAnsi="宋体" w:cs="宋体"/>
          <w:b/>
          <w:color w:val="auto"/>
          <w:sz w:val="36"/>
          <w:szCs w:val="36"/>
          <w:highlight w:val="none"/>
        </w:rPr>
      </w:pPr>
    </w:p>
    <w:p>
      <w:pPr>
        <w:spacing w:line="380" w:lineRule="exact"/>
        <w:rPr>
          <w:rFonts w:ascii="宋体" w:hAnsi="宋体" w:cs="宋体"/>
          <w:b/>
          <w:color w:val="auto"/>
          <w:sz w:val="36"/>
          <w:szCs w:val="36"/>
          <w:highlight w:val="none"/>
        </w:rPr>
      </w:pPr>
    </w:p>
    <w:p>
      <w:pPr>
        <w:spacing w:line="380" w:lineRule="exact"/>
        <w:rPr>
          <w:rFonts w:ascii="宋体" w:hAnsi="宋体" w:cs="宋体"/>
          <w:b/>
          <w:color w:val="auto"/>
          <w:sz w:val="36"/>
          <w:szCs w:val="36"/>
          <w:highlight w:val="none"/>
        </w:rPr>
      </w:pPr>
    </w:p>
    <w:p>
      <w:pPr>
        <w:jc w:val="center"/>
        <w:outlineLvl w:val="3"/>
        <w:rPr>
          <w:rFonts w:ascii="宋体" w:hAnsi="宋体" w:cs="宋体"/>
          <w:b/>
          <w:color w:val="auto"/>
          <w:sz w:val="28"/>
          <w:szCs w:val="28"/>
          <w:highlight w:val="none"/>
          <w:lang w:val="zh-CN"/>
        </w:rPr>
      </w:pPr>
      <w:r>
        <w:rPr>
          <w:rFonts w:hint="eastAsia" w:ascii="宋体" w:hAnsi="宋体" w:cs="宋体"/>
          <w:b/>
          <w:bCs/>
          <w:color w:val="auto"/>
          <w:sz w:val="28"/>
          <w:szCs w:val="28"/>
          <w:highlight w:val="none"/>
        </w:rPr>
        <w:t>8、项目理解及合理化建议</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宋体" w:hAnsi="宋体" w:eastAsia="宋体" w:cs="宋体"/>
          <w:b/>
          <w:bCs/>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spacing w:line="360" w:lineRule="auto"/>
              <w:rPr>
                <w:rFonts w:ascii="宋体" w:hAnsi="宋体" w:cs="宋体"/>
                <w:color w:val="auto"/>
                <w:sz w:val="22"/>
                <w:szCs w:val="22"/>
                <w:highlight w:val="none"/>
              </w:rPr>
            </w:pPr>
          </w:p>
        </w:tc>
      </w:tr>
    </w:tbl>
    <w:p>
      <w:pPr>
        <w:spacing w:line="380" w:lineRule="exact"/>
        <w:rPr>
          <w:rFonts w:ascii="宋体" w:hAnsi="宋体" w:cs="宋体"/>
          <w:color w:val="auto"/>
          <w:sz w:val="36"/>
          <w:szCs w:val="36"/>
          <w:highlight w:val="none"/>
        </w:rPr>
      </w:pP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4400" w:firstLineChars="2000"/>
        <w:rPr>
          <w:rFonts w:ascii="宋体" w:hAnsi="宋体" w:cs="宋体"/>
          <w:color w:val="auto"/>
          <w:highlight w:val="none"/>
        </w:rPr>
      </w:pPr>
      <w:r>
        <w:rPr>
          <w:rFonts w:hint="eastAsia" w:ascii="宋体" w:hAnsi="宋体" w:cs="宋体"/>
          <w:color w:val="auto"/>
          <w:sz w:val="22"/>
          <w:szCs w:val="22"/>
          <w:highlight w:val="none"/>
        </w:rPr>
        <w:t>日  期：</w:t>
      </w:r>
    </w:p>
    <w:p>
      <w:pPr>
        <w:rPr>
          <w:rFonts w:ascii="宋体" w:hAnsi="宋体" w:cs="宋体"/>
          <w:b/>
          <w:color w:val="auto"/>
          <w:sz w:val="24"/>
          <w:highlight w:val="none"/>
        </w:rPr>
      </w:pPr>
      <w:r>
        <w:rPr>
          <w:rFonts w:hint="eastAsia" w:ascii="宋体" w:hAnsi="宋体" w:cs="宋体"/>
          <w:b/>
          <w:color w:val="auto"/>
          <w:sz w:val="24"/>
          <w:highlight w:val="none"/>
        </w:rPr>
        <w:br w:type="page"/>
      </w:r>
    </w:p>
    <w:p>
      <w:pPr>
        <w:spacing w:line="400" w:lineRule="exact"/>
        <w:jc w:val="center"/>
        <w:outlineLvl w:val="3"/>
        <w:rPr>
          <w:rFonts w:ascii="宋体" w:hAnsi="宋体" w:cs="宋体"/>
          <w:b/>
          <w:bCs/>
          <w:color w:val="auto"/>
          <w:sz w:val="28"/>
          <w:szCs w:val="28"/>
          <w:highlight w:val="none"/>
          <w:lang w:val="zh-CN"/>
        </w:rPr>
      </w:pPr>
      <w:r>
        <w:rPr>
          <w:rFonts w:hint="eastAsia" w:ascii="宋体" w:hAnsi="宋体" w:cs="宋体"/>
          <w:b/>
          <w:bCs/>
          <w:color w:val="auto"/>
          <w:sz w:val="28"/>
          <w:szCs w:val="28"/>
          <w:highlight w:val="none"/>
        </w:rPr>
        <w:t>9、售后服务</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宋体" w:hAnsi="宋体" w:eastAsia="宋体" w:cs="宋体"/>
          <w:b/>
          <w:bCs/>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spacing w:line="360" w:lineRule="auto"/>
              <w:rPr>
                <w:rFonts w:ascii="宋体" w:hAnsi="宋体" w:cs="宋体"/>
                <w:color w:val="auto"/>
                <w:sz w:val="22"/>
                <w:szCs w:val="22"/>
                <w:highlight w:val="none"/>
              </w:rPr>
            </w:pPr>
          </w:p>
        </w:tc>
      </w:tr>
    </w:tbl>
    <w:p>
      <w:pPr>
        <w:spacing w:line="460" w:lineRule="exact"/>
        <w:rPr>
          <w:rFonts w:ascii="宋体" w:hAnsi="宋体" w:cs="宋体"/>
          <w:color w:val="auto"/>
          <w:sz w:val="22"/>
          <w:szCs w:val="22"/>
          <w:highlight w:val="none"/>
        </w:rPr>
      </w:pP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4400" w:firstLineChars="2000"/>
        <w:rPr>
          <w:rFonts w:ascii="宋体" w:hAnsi="宋体" w:cs="宋体"/>
          <w:color w:val="auto"/>
          <w:highlight w:val="none"/>
        </w:rPr>
      </w:pPr>
      <w:r>
        <w:rPr>
          <w:rFonts w:hint="eastAsia" w:ascii="宋体" w:hAnsi="宋体" w:cs="宋体"/>
          <w:color w:val="auto"/>
          <w:sz w:val="22"/>
          <w:szCs w:val="22"/>
          <w:highlight w:val="none"/>
        </w:rPr>
        <w:t>日  期：</w:t>
      </w:r>
    </w:p>
    <w:p>
      <w:pPr>
        <w:pStyle w:val="30"/>
        <w:spacing w:line="400" w:lineRule="atLeast"/>
        <w:ind w:left="663" w:hanging="663" w:hangingChars="300"/>
        <w:rPr>
          <w:rFonts w:hAnsi="宋体" w:cs="宋体"/>
          <w:color w:val="auto"/>
          <w:sz w:val="22"/>
          <w:highlight w:val="none"/>
        </w:rPr>
      </w:pPr>
    </w:p>
    <w:p>
      <w:pPr>
        <w:pStyle w:val="30"/>
        <w:spacing w:line="400" w:lineRule="atLeast"/>
        <w:rPr>
          <w:rFonts w:hAnsi="宋体" w:cs="宋体"/>
          <w:color w:val="auto"/>
          <w:sz w:val="22"/>
          <w:highlight w:val="none"/>
        </w:rPr>
      </w:pPr>
    </w:p>
    <w:p>
      <w:pP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br w:type="page"/>
      </w:r>
    </w:p>
    <w:p>
      <w:pPr>
        <w:spacing w:line="400" w:lineRule="exact"/>
        <w:jc w:val="center"/>
        <w:outlineLvl w:val="3"/>
        <w:rPr>
          <w:rFonts w:ascii="宋体" w:hAnsi="宋体" w:cs="宋体"/>
          <w:b/>
          <w:bCs/>
          <w:color w:val="auto"/>
          <w:sz w:val="28"/>
          <w:szCs w:val="28"/>
          <w:highlight w:val="none"/>
        </w:rPr>
      </w:pPr>
      <w:r>
        <w:rPr>
          <w:rFonts w:hint="eastAsia" w:ascii="宋体" w:hAnsi="宋体" w:cs="宋体"/>
          <w:b/>
          <w:bCs/>
          <w:color w:val="auto"/>
          <w:sz w:val="28"/>
          <w:szCs w:val="28"/>
          <w:highlight w:val="none"/>
        </w:rPr>
        <w:t>10、业绩</w:t>
      </w:r>
    </w:p>
    <w:p>
      <w:pPr>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项目编号：</w:t>
      </w:r>
      <w:r>
        <w:rPr>
          <w:rFonts w:hint="eastAsia" w:ascii="宋体" w:hAnsi="宋体" w:cs="宋体"/>
          <w:color w:val="auto"/>
          <w:sz w:val="22"/>
          <w:szCs w:val="22"/>
          <w:highlight w:val="none"/>
          <w:lang w:eastAsia="zh-CN"/>
        </w:rPr>
        <w:t>WZLCZB（W）-2023-02043</w:t>
      </w:r>
    </w:p>
    <w:p>
      <w:pPr>
        <w:keepNext/>
        <w:spacing w:line="360" w:lineRule="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温州市自然资源和规划局档案库房建设（档案搬运服务）</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069"/>
        <w:gridCol w:w="2437"/>
        <w:gridCol w:w="1737"/>
        <w:gridCol w:w="1737"/>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用户名称</w:t>
            </w: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项目名称</w:t>
            </w: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合同金额</w:t>
            </w: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联系方式</w:t>
            </w: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ign w:val="center"/>
          </w:tcPr>
          <w:p>
            <w:pPr>
              <w:spacing w:line="380" w:lineRule="exact"/>
              <w:ind w:left="442" w:hanging="442" w:hangingChars="200"/>
              <w:jc w:val="center"/>
              <w:rPr>
                <w:rFonts w:ascii="宋体" w:hAnsi="宋体" w:cs="宋体"/>
                <w:b/>
                <w:bCs/>
                <w:color w:val="auto"/>
                <w:sz w:val="22"/>
                <w:szCs w:val="22"/>
                <w:highlight w:val="none"/>
              </w:rPr>
            </w:pPr>
          </w:p>
        </w:tc>
      </w:tr>
    </w:tbl>
    <w:p>
      <w:pPr>
        <w:spacing w:line="460" w:lineRule="exact"/>
        <w:rPr>
          <w:rFonts w:ascii="宋体" w:hAnsi="宋体" w:cs="宋体"/>
          <w:color w:val="auto"/>
          <w:sz w:val="22"/>
          <w:szCs w:val="22"/>
          <w:highlight w:val="none"/>
        </w:rPr>
      </w:pP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pPr>
        <w:spacing w:line="46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投标人代表（签字）：</w:t>
      </w:r>
    </w:p>
    <w:p>
      <w:pPr>
        <w:spacing w:line="460" w:lineRule="exact"/>
        <w:ind w:firstLine="4400" w:firstLineChars="2000"/>
        <w:rPr>
          <w:rFonts w:ascii="宋体" w:hAnsi="宋体" w:cs="宋体"/>
          <w:color w:val="auto"/>
          <w:highlight w:val="none"/>
        </w:rPr>
      </w:pPr>
      <w:r>
        <w:rPr>
          <w:rFonts w:hint="eastAsia" w:ascii="宋体" w:hAnsi="宋体" w:cs="宋体"/>
          <w:color w:val="auto"/>
          <w:sz w:val="22"/>
          <w:szCs w:val="22"/>
          <w:highlight w:val="none"/>
        </w:rPr>
        <w:t>日  期：</w:t>
      </w:r>
    </w:p>
    <w:p>
      <w:pPr>
        <w:pStyle w:val="21"/>
        <w:rPr>
          <w:rFonts w:ascii="宋体" w:hAnsi="宋体" w:cs="宋体"/>
          <w:color w:val="auto"/>
          <w:highlight w:val="none"/>
        </w:rPr>
      </w:pP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rPr>
          <w:rFonts w:ascii="新宋体" w:hAnsi="新宋体" w:eastAsia="新宋体"/>
          <w:color w:val="auto"/>
          <w:sz w:val="22"/>
          <w:szCs w:val="22"/>
          <w:highlight w:val="none"/>
        </w:rPr>
        <w:sectPr>
          <w:pgSz w:w="11906" w:h="16838"/>
          <w:pgMar w:top="1134" w:right="1134" w:bottom="1134" w:left="1134" w:header="850" w:footer="992" w:gutter="0"/>
          <w:cols w:space="720" w:num="1"/>
          <w:docGrid w:type="lines" w:linePitch="321" w:charSpace="0"/>
        </w:sectPr>
      </w:pPr>
    </w:p>
    <w:p>
      <w:pPr>
        <w:pStyle w:val="4"/>
        <w:numPr>
          <w:ilvl w:val="0"/>
          <w:numId w:val="5"/>
        </w:numPr>
        <w:rPr>
          <w:rFonts w:ascii="宋体" w:hAnsi="宋体" w:eastAsia="宋体" w:cs="宋体"/>
          <w:color w:val="auto"/>
          <w:highlight w:val="none"/>
        </w:rPr>
      </w:pPr>
      <w:bookmarkStart w:id="41" w:name="_Toc10142"/>
      <w:bookmarkStart w:id="42" w:name="_Toc3381"/>
      <w:bookmarkStart w:id="43" w:name="_Toc221356958"/>
      <w:bookmarkStart w:id="44" w:name="_Toc221356895"/>
      <w:r>
        <w:rPr>
          <w:rFonts w:hint="eastAsia" w:ascii="宋体" w:hAnsi="宋体" w:eastAsia="宋体" w:cs="宋体"/>
          <w:color w:val="auto"/>
          <w:highlight w:val="none"/>
        </w:rPr>
        <w:t xml:space="preserve">  项目技术规范和服务要求</w:t>
      </w:r>
      <w:bookmarkEnd w:id="41"/>
      <w:bookmarkEnd w:id="42"/>
    </w:p>
    <w:bookmarkEnd w:id="43"/>
    <w:bookmarkEnd w:id="44"/>
    <w:p>
      <w:pPr>
        <w:spacing w:line="460" w:lineRule="exact"/>
        <w:rPr>
          <w:rFonts w:ascii="宋体" w:hAnsi="宋体" w:cs="宋体"/>
          <w:b/>
          <w:color w:val="auto"/>
          <w:sz w:val="22"/>
          <w:highlight w:val="none"/>
        </w:rPr>
      </w:pPr>
      <w:bookmarkStart w:id="45" w:name="_Toc495660084"/>
      <w:bookmarkStart w:id="46" w:name="_Toc498186719"/>
      <w:bookmarkStart w:id="47" w:name="_Toc498186820"/>
      <w:bookmarkStart w:id="48" w:name="_Toc498199476"/>
      <w:bookmarkStart w:id="49" w:name="_Toc23050833"/>
      <w:bookmarkStart w:id="50" w:name="_Toc40594931"/>
      <w:bookmarkStart w:id="51" w:name="_Toc496257825"/>
      <w:bookmarkStart w:id="52" w:name="_Toc497300733"/>
      <w:bookmarkStart w:id="53" w:name="_Toc201920298"/>
      <w:bookmarkStart w:id="54" w:name="_Toc496101575"/>
      <w:bookmarkStart w:id="55" w:name="_Toc51996430"/>
      <w:bookmarkStart w:id="56" w:name="_Toc496256263"/>
      <w:bookmarkStart w:id="57" w:name="_Toc23050562"/>
      <w:bookmarkStart w:id="58" w:name="_Toc497300664"/>
      <w:bookmarkStart w:id="59" w:name="_Toc23050625"/>
      <w:bookmarkStart w:id="60" w:name="_Toc495651839"/>
      <w:bookmarkStart w:id="61" w:name="_Toc40266002"/>
      <w:bookmarkStart w:id="62" w:name="_Toc282690445"/>
      <w:bookmarkStart w:id="63" w:name="_Toc23050423"/>
      <w:bookmarkStart w:id="64" w:name="_Toc497307615"/>
      <w:bookmarkStart w:id="65" w:name="_Toc496101312"/>
      <w:bookmarkStart w:id="66" w:name="_Toc441051461"/>
    </w:p>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p>
      <w:pPr>
        <w:spacing w:line="460" w:lineRule="exact"/>
        <w:outlineLvl w:val="1"/>
        <w:rPr>
          <w:b/>
          <w:bCs/>
          <w:color w:val="auto"/>
          <w:sz w:val="22"/>
          <w:szCs w:val="28"/>
          <w:highlight w:val="none"/>
        </w:rPr>
      </w:pPr>
      <w:bookmarkStart w:id="67" w:name="_Toc30323"/>
      <w:bookmarkStart w:id="68" w:name="_Toc18194"/>
      <w:r>
        <w:rPr>
          <w:rFonts w:hint="eastAsia"/>
          <w:b/>
          <w:bCs/>
          <w:color w:val="auto"/>
          <w:sz w:val="22"/>
          <w:szCs w:val="28"/>
          <w:highlight w:val="none"/>
        </w:rPr>
        <w:t>一、项目背景</w:t>
      </w:r>
    </w:p>
    <w:p>
      <w:pPr>
        <w:spacing w:line="460" w:lineRule="exact"/>
        <w:ind w:firstLine="440" w:firstLineChars="200"/>
        <w:rPr>
          <w:color w:val="auto"/>
          <w:sz w:val="22"/>
          <w:szCs w:val="28"/>
          <w:highlight w:val="none"/>
        </w:rPr>
      </w:pPr>
      <w:r>
        <w:rPr>
          <w:color w:val="auto"/>
          <w:sz w:val="22"/>
          <w:szCs w:val="28"/>
          <w:highlight w:val="none"/>
        </w:rPr>
        <w:t>温州市</w:t>
      </w:r>
      <w:r>
        <w:rPr>
          <w:rFonts w:hint="eastAsia"/>
          <w:color w:val="auto"/>
          <w:sz w:val="22"/>
          <w:szCs w:val="28"/>
          <w:highlight w:val="none"/>
        </w:rPr>
        <w:t>自然资源和规划局</w:t>
      </w:r>
      <w:r>
        <w:rPr>
          <w:color w:val="auto"/>
          <w:sz w:val="22"/>
          <w:szCs w:val="28"/>
          <w:highlight w:val="none"/>
        </w:rPr>
        <w:t>由于</w:t>
      </w:r>
      <w:r>
        <w:rPr>
          <w:rFonts w:hint="eastAsia"/>
          <w:color w:val="auto"/>
          <w:sz w:val="22"/>
          <w:szCs w:val="28"/>
          <w:highlight w:val="none"/>
        </w:rPr>
        <w:t>档案管理需要</w:t>
      </w:r>
      <w:r>
        <w:rPr>
          <w:color w:val="auto"/>
          <w:sz w:val="22"/>
          <w:szCs w:val="28"/>
          <w:highlight w:val="none"/>
        </w:rPr>
        <w:t>，现计划</w:t>
      </w:r>
      <w:r>
        <w:rPr>
          <w:rFonts w:hint="eastAsia"/>
          <w:color w:val="auto"/>
          <w:sz w:val="22"/>
          <w:szCs w:val="28"/>
          <w:highlight w:val="none"/>
        </w:rPr>
        <w:t>将</w:t>
      </w:r>
      <w:r>
        <w:rPr>
          <w:color w:val="auto"/>
          <w:sz w:val="22"/>
          <w:szCs w:val="28"/>
          <w:highlight w:val="none"/>
        </w:rPr>
        <w:t>温州市</w:t>
      </w:r>
      <w:r>
        <w:rPr>
          <w:rFonts w:hint="eastAsia"/>
          <w:color w:val="auto"/>
          <w:sz w:val="22"/>
          <w:szCs w:val="28"/>
          <w:highlight w:val="none"/>
        </w:rPr>
        <w:t>自然资源和规划局档案（含城建档案、业务档案、不动产档案）搬运至新建成的鹿城区档案馆，地址位于温州市鹿城区奇伟路与三开路交叉口温金路136弄4号。温州市自然资源和规划局以档案搬运新档案库房为契机，对现有档案库房所有档案进行必要清点、标记和编号的基础上，对档案保管过程中存在的问题进行排查，并及时解决，对档案库房的档案进行安全、有序地移库至新库，并对新档案库房的档案排列进行科学规划。</w:t>
      </w:r>
    </w:p>
    <w:p>
      <w:pPr>
        <w:spacing w:line="460" w:lineRule="exact"/>
        <w:outlineLvl w:val="1"/>
        <w:rPr>
          <w:color w:val="auto"/>
          <w:highlight w:val="none"/>
        </w:rPr>
      </w:pPr>
      <w:r>
        <w:rPr>
          <w:rFonts w:hint="eastAsia"/>
          <w:b/>
          <w:bCs/>
          <w:color w:val="auto"/>
          <w:sz w:val="22"/>
          <w:szCs w:val="28"/>
          <w:highlight w:val="none"/>
        </w:rPr>
        <w:t>二、项目基本情况</w:t>
      </w:r>
    </w:p>
    <w:tbl>
      <w:tblPr>
        <w:tblStyle w:val="53"/>
        <w:tblW w:w="10065" w:type="dxa"/>
        <w:tblInd w:w="-1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0"/>
        <w:gridCol w:w="4362"/>
        <w:gridCol w:w="1500"/>
        <w:gridCol w:w="3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Merge w:val="restart"/>
            <w:vAlign w:val="center"/>
          </w:tcPr>
          <w:p>
            <w:pPr>
              <w:pStyle w:val="39"/>
              <w:spacing w:line="460" w:lineRule="exact"/>
              <w:jc w:val="center"/>
              <w:rPr>
                <w:b/>
                <w:bCs/>
                <w:color w:val="auto"/>
                <w:sz w:val="22"/>
                <w:szCs w:val="22"/>
                <w:highlight w:val="none"/>
              </w:rPr>
            </w:pPr>
            <w:r>
              <w:rPr>
                <w:rFonts w:hint="eastAsia"/>
                <w:b/>
                <w:bCs/>
                <w:color w:val="auto"/>
                <w:sz w:val="22"/>
                <w:szCs w:val="22"/>
                <w:highlight w:val="none"/>
              </w:rPr>
              <w:t>1</w:t>
            </w:r>
          </w:p>
        </w:tc>
        <w:tc>
          <w:tcPr>
            <w:tcW w:w="9475" w:type="dxa"/>
            <w:gridSpan w:val="3"/>
          </w:tcPr>
          <w:p>
            <w:pPr>
              <w:pStyle w:val="39"/>
              <w:spacing w:line="460" w:lineRule="exact"/>
              <w:jc w:val="center"/>
              <w:rPr>
                <w:b/>
                <w:bCs/>
                <w:color w:val="auto"/>
                <w:sz w:val="22"/>
                <w:szCs w:val="22"/>
                <w:highlight w:val="none"/>
              </w:rPr>
            </w:pPr>
            <w:r>
              <w:rPr>
                <w:rFonts w:hint="eastAsia"/>
                <w:b/>
                <w:bCs/>
                <w:color w:val="auto"/>
                <w:sz w:val="22"/>
                <w:szCs w:val="22"/>
                <w:highlight w:val="none"/>
              </w:rPr>
              <w:t>搬运档案基本情况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Merge w:val="continue"/>
            <w:vAlign w:val="center"/>
          </w:tcPr>
          <w:p>
            <w:pPr>
              <w:pStyle w:val="39"/>
              <w:spacing w:line="460" w:lineRule="exact"/>
              <w:jc w:val="center"/>
              <w:rPr>
                <w:color w:val="auto"/>
                <w:sz w:val="22"/>
                <w:szCs w:val="22"/>
                <w:highlight w:val="none"/>
              </w:rPr>
            </w:pPr>
          </w:p>
        </w:tc>
        <w:tc>
          <w:tcPr>
            <w:tcW w:w="4362" w:type="dxa"/>
          </w:tcPr>
          <w:p>
            <w:pPr>
              <w:pStyle w:val="39"/>
              <w:spacing w:line="460" w:lineRule="exact"/>
              <w:jc w:val="center"/>
              <w:rPr>
                <w:color w:val="auto"/>
                <w:sz w:val="22"/>
                <w:szCs w:val="22"/>
                <w:highlight w:val="none"/>
              </w:rPr>
            </w:pPr>
            <w:r>
              <w:rPr>
                <w:rFonts w:hint="eastAsia"/>
                <w:color w:val="auto"/>
                <w:sz w:val="22"/>
                <w:szCs w:val="22"/>
                <w:highlight w:val="none"/>
              </w:rPr>
              <w:t>搬运地址</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卷数</w:t>
            </w:r>
          </w:p>
        </w:tc>
        <w:tc>
          <w:tcPr>
            <w:tcW w:w="3613"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1.1</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1号楼（原市规划局办公楼）档案库房</w:t>
            </w:r>
          </w:p>
          <w:p>
            <w:pPr>
              <w:jc w:val="center"/>
              <w:rPr>
                <w:color w:val="auto"/>
                <w:sz w:val="22"/>
                <w:szCs w:val="22"/>
                <w:highlight w:val="none"/>
              </w:rPr>
            </w:pPr>
            <w:r>
              <w:rPr>
                <w:rFonts w:hint="eastAsia"/>
                <w:color w:val="auto"/>
                <w:sz w:val="22"/>
                <w:szCs w:val="22"/>
                <w:highlight w:val="none"/>
              </w:rPr>
              <w:t>地址：温州市惠民路856号</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约10000卷</w:t>
            </w:r>
          </w:p>
        </w:tc>
        <w:tc>
          <w:tcPr>
            <w:tcW w:w="3613"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温州市自然资源和规划局档案卷数厚度不一，搬运拟以年度为单位，规划许可证号为顺序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1.2</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2号楼（原市国土资源局办公楼）档案库房</w:t>
            </w:r>
          </w:p>
          <w:p>
            <w:pPr>
              <w:jc w:val="center"/>
              <w:rPr>
                <w:color w:val="auto"/>
                <w:sz w:val="22"/>
                <w:szCs w:val="22"/>
                <w:highlight w:val="none"/>
              </w:rPr>
            </w:pPr>
            <w:r>
              <w:rPr>
                <w:rFonts w:hint="eastAsia"/>
                <w:color w:val="auto"/>
                <w:sz w:val="22"/>
                <w:szCs w:val="22"/>
                <w:highlight w:val="none"/>
              </w:rPr>
              <w:t>地址：学院西路5号</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约100000卷</w:t>
            </w:r>
          </w:p>
        </w:tc>
        <w:tc>
          <w:tcPr>
            <w:tcW w:w="3613"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温州市自然资源和规划局档案卷数厚度不一，搬运拟以年度为单位， 为顺序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1.3</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市不动产登记服务中心档案库房</w:t>
            </w:r>
          </w:p>
          <w:p>
            <w:pPr>
              <w:pStyle w:val="39"/>
              <w:spacing w:line="460" w:lineRule="exact"/>
              <w:jc w:val="center"/>
              <w:rPr>
                <w:color w:val="auto"/>
                <w:sz w:val="22"/>
                <w:szCs w:val="22"/>
                <w:highlight w:val="none"/>
              </w:rPr>
            </w:pPr>
            <w:r>
              <w:rPr>
                <w:rFonts w:hint="eastAsia"/>
                <w:color w:val="auto"/>
                <w:sz w:val="22"/>
                <w:szCs w:val="22"/>
                <w:highlight w:val="none"/>
              </w:rPr>
              <w:t>地址：城发集团上堡公寓一层办公楼</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约1510000卷</w:t>
            </w:r>
          </w:p>
        </w:tc>
        <w:tc>
          <w:tcPr>
            <w:tcW w:w="3613"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不动产档案卷数厚度不一，搬运以不动产库房序号为顺序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1.4</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市城市建设档案馆档案库房</w:t>
            </w:r>
          </w:p>
          <w:p>
            <w:pPr>
              <w:pStyle w:val="39"/>
              <w:spacing w:line="460" w:lineRule="exact"/>
              <w:jc w:val="center"/>
              <w:rPr>
                <w:color w:val="auto"/>
                <w:sz w:val="22"/>
                <w:szCs w:val="22"/>
                <w:highlight w:val="none"/>
              </w:rPr>
            </w:pPr>
            <w:r>
              <w:rPr>
                <w:rFonts w:hint="eastAsia"/>
                <w:color w:val="auto"/>
                <w:sz w:val="22"/>
                <w:szCs w:val="22"/>
                <w:highlight w:val="none"/>
              </w:rPr>
              <w:t>地址：雪山路75弄1号</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约260000卷</w:t>
            </w:r>
          </w:p>
        </w:tc>
        <w:tc>
          <w:tcPr>
            <w:tcW w:w="3613"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以总登记号顺序为依据搬运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trPr>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1.5</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过境路库房</w:t>
            </w:r>
          </w:p>
          <w:p>
            <w:pPr>
              <w:pStyle w:val="39"/>
              <w:spacing w:line="460" w:lineRule="exact"/>
              <w:jc w:val="center"/>
              <w:rPr>
                <w:color w:val="auto"/>
                <w:sz w:val="22"/>
                <w:szCs w:val="22"/>
                <w:highlight w:val="none"/>
              </w:rPr>
            </w:pPr>
            <w:r>
              <w:rPr>
                <w:rFonts w:hint="eastAsia"/>
                <w:color w:val="auto"/>
                <w:sz w:val="22"/>
                <w:szCs w:val="22"/>
                <w:highlight w:val="none"/>
              </w:rPr>
              <w:t>地址：过境路与里垟路交汇</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约880000卷</w:t>
            </w:r>
          </w:p>
        </w:tc>
        <w:tc>
          <w:tcPr>
            <w:tcW w:w="3613" w:type="dxa"/>
            <w:vAlign w:val="center"/>
          </w:tcPr>
          <w:p>
            <w:pPr>
              <w:pStyle w:val="39"/>
              <w:spacing w:line="460" w:lineRule="exact"/>
              <w:jc w:val="left"/>
              <w:rPr>
                <w:color w:val="auto"/>
                <w:sz w:val="22"/>
                <w:szCs w:val="22"/>
                <w:highlight w:val="none"/>
              </w:rPr>
            </w:pPr>
            <w:r>
              <w:rPr>
                <w:rFonts w:hint="eastAsia"/>
                <w:color w:val="auto"/>
                <w:sz w:val="22"/>
                <w:szCs w:val="22"/>
                <w:highlight w:val="none"/>
              </w:rPr>
              <w:t>1、城建档案：183902 卷，国土：47123卷；</w:t>
            </w:r>
          </w:p>
          <w:p>
            <w:pPr>
              <w:pStyle w:val="39"/>
              <w:spacing w:line="460" w:lineRule="exact"/>
              <w:jc w:val="left"/>
              <w:rPr>
                <w:rFonts w:ascii="宋体" w:hAnsi="宋体" w:cs="宋体"/>
                <w:color w:val="auto"/>
                <w:sz w:val="22"/>
                <w:szCs w:val="22"/>
                <w:highlight w:val="none"/>
              </w:rPr>
            </w:pPr>
            <w:r>
              <w:rPr>
                <w:rFonts w:hint="eastAsia"/>
                <w:color w:val="auto"/>
                <w:sz w:val="22"/>
                <w:szCs w:val="22"/>
                <w:highlight w:val="none"/>
              </w:rPr>
              <w:t>2、不动产登记档案：</w:t>
            </w:r>
            <w:r>
              <w:rPr>
                <w:rFonts w:hint="eastAsia" w:ascii="宋体" w:hAnsi="宋体" w:cs="宋体"/>
                <w:color w:val="auto"/>
                <w:sz w:val="22"/>
                <w:szCs w:val="22"/>
                <w:highlight w:val="none"/>
              </w:rPr>
              <w:t>353042卷；</w:t>
            </w:r>
          </w:p>
          <w:p>
            <w:pPr>
              <w:pStyle w:val="39"/>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w:t>
            </w:r>
            <w:r>
              <w:rPr>
                <w:rFonts w:hint="eastAsia"/>
                <w:color w:val="auto"/>
                <w:sz w:val="22"/>
                <w:szCs w:val="22"/>
                <w:highlight w:val="none"/>
              </w:rPr>
              <w:t>原楠溪江路档案：</w:t>
            </w:r>
            <w:r>
              <w:rPr>
                <w:rFonts w:hint="eastAsia" w:ascii="宋体" w:hAnsi="宋体" w:cs="宋体"/>
                <w:color w:val="auto"/>
                <w:sz w:val="22"/>
                <w:szCs w:val="22"/>
                <w:highlight w:val="none"/>
              </w:rPr>
              <w:t>251848卷、二调：15000册、图纸：75抽。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590" w:type="dxa"/>
            <w:vAlign w:val="center"/>
          </w:tcPr>
          <w:p>
            <w:pPr>
              <w:pStyle w:val="39"/>
              <w:spacing w:line="460" w:lineRule="exact"/>
              <w:jc w:val="center"/>
              <w:rPr>
                <w:color w:val="auto"/>
                <w:sz w:val="22"/>
                <w:szCs w:val="22"/>
                <w:highlight w:val="none"/>
              </w:rPr>
            </w:pPr>
            <w:r>
              <w:rPr>
                <w:rFonts w:hint="eastAsia"/>
                <w:color w:val="auto"/>
                <w:sz w:val="22"/>
                <w:szCs w:val="22"/>
                <w:highlight w:val="none"/>
              </w:rPr>
              <w:t>1.6</w:t>
            </w:r>
          </w:p>
        </w:tc>
        <w:tc>
          <w:tcPr>
            <w:tcW w:w="4362" w:type="dxa"/>
            <w:vAlign w:val="center"/>
          </w:tcPr>
          <w:p>
            <w:pPr>
              <w:pStyle w:val="39"/>
              <w:spacing w:line="460" w:lineRule="exact"/>
              <w:jc w:val="center"/>
              <w:rPr>
                <w:color w:val="auto"/>
                <w:sz w:val="22"/>
                <w:szCs w:val="22"/>
                <w:highlight w:val="none"/>
              </w:rPr>
            </w:pPr>
            <w:r>
              <w:rPr>
                <w:rFonts w:hint="eastAsia"/>
                <w:color w:val="auto"/>
                <w:sz w:val="22"/>
                <w:szCs w:val="22"/>
                <w:highlight w:val="none"/>
              </w:rPr>
              <w:t>其他物料（各档案室）</w:t>
            </w:r>
          </w:p>
        </w:tc>
        <w:tc>
          <w:tcPr>
            <w:tcW w:w="1500" w:type="dxa"/>
            <w:vAlign w:val="center"/>
          </w:tcPr>
          <w:p>
            <w:pPr>
              <w:pStyle w:val="39"/>
              <w:spacing w:line="460" w:lineRule="exact"/>
              <w:jc w:val="center"/>
              <w:rPr>
                <w:rFonts w:ascii="宋体" w:hAnsi="宋体" w:cs="宋体"/>
                <w:color w:val="auto"/>
                <w:sz w:val="22"/>
                <w:szCs w:val="22"/>
                <w:highlight w:val="none"/>
              </w:rPr>
            </w:pPr>
            <w:r>
              <w:rPr>
                <w:rFonts w:hint="eastAsia"/>
                <w:color w:val="auto"/>
                <w:sz w:val="22"/>
                <w:szCs w:val="22"/>
                <w:highlight w:val="none"/>
              </w:rPr>
              <w:t>底图柜、防磁柜若干</w:t>
            </w:r>
          </w:p>
        </w:tc>
        <w:tc>
          <w:tcPr>
            <w:tcW w:w="3613" w:type="dxa"/>
            <w:vAlign w:val="center"/>
          </w:tcPr>
          <w:p>
            <w:pPr>
              <w:pStyle w:val="39"/>
              <w:spacing w:line="460" w:lineRule="exact"/>
              <w:jc w:val="center"/>
              <w:rPr>
                <w:color w:val="auto"/>
                <w:sz w:val="22"/>
                <w:szCs w:val="22"/>
                <w:highlight w:val="none"/>
              </w:rPr>
            </w:pPr>
            <w:r>
              <w:rPr>
                <w:rFonts w:hint="eastAsia"/>
                <w:color w:val="auto"/>
                <w:sz w:val="22"/>
                <w:szCs w:val="22"/>
                <w:highlight w:val="none"/>
              </w:rPr>
              <w:t>以现场勘察为准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065" w:type="dxa"/>
            <w:gridSpan w:val="4"/>
            <w:vAlign w:val="center"/>
          </w:tcPr>
          <w:p>
            <w:pPr>
              <w:pStyle w:val="39"/>
              <w:spacing w:line="460" w:lineRule="exact"/>
              <w:jc w:val="left"/>
              <w:rPr>
                <w:color w:val="auto"/>
                <w:sz w:val="22"/>
                <w:szCs w:val="22"/>
                <w:highlight w:val="none"/>
              </w:rPr>
            </w:pPr>
            <w:r>
              <w:rPr>
                <w:rFonts w:hint="eastAsia"/>
                <w:b/>
                <w:bCs/>
                <w:color w:val="auto"/>
                <w:sz w:val="22"/>
                <w:szCs w:val="28"/>
                <w:highlight w:val="none"/>
                <w:lang w:val="en-US" w:eastAsia="zh-CN"/>
              </w:rPr>
              <w:t>说明：</w:t>
            </w:r>
            <w:r>
              <w:rPr>
                <w:rFonts w:hint="eastAsia"/>
                <w:b/>
                <w:bCs/>
                <w:color w:val="auto"/>
                <w:sz w:val="22"/>
                <w:szCs w:val="28"/>
                <w:highlight w:val="none"/>
              </w:rPr>
              <w:t>以上卷数均为招标人预估数据，并非准确数据。如果实际数据与以上数据不一致，以各自对应地点的档案实际数据为准，中标后不能因此增减合同总价款。由此引起的工作量风险已经包含在合同总价款中，请投标人在现场勘查时自行评价并做出是否参与的决定，如参与投标视为接收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tcPr>
          <w:p>
            <w:pPr>
              <w:pStyle w:val="39"/>
              <w:spacing w:line="460" w:lineRule="exact"/>
              <w:jc w:val="center"/>
              <w:rPr>
                <w:b/>
                <w:bCs/>
                <w:color w:val="auto"/>
                <w:sz w:val="22"/>
                <w:szCs w:val="22"/>
                <w:highlight w:val="none"/>
              </w:rPr>
            </w:pPr>
            <w:r>
              <w:rPr>
                <w:rFonts w:hint="eastAsia"/>
                <w:b/>
                <w:bCs/>
                <w:color w:val="auto"/>
                <w:sz w:val="22"/>
                <w:szCs w:val="22"/>
                <w:highlight w:val="none"/>
              </w:rPr>
              <w:t>2</w:t>
            </w:r>
          </w:p>
        </w:tc>
        <w:tc>
          <w:tcPr>
            <w:tcW w:w="9475" w:type="dxa"/>
            <w:gridSpan w:val="3"/>
          </w:tcPr>
          <w:p>
            <w:pPr>
              <w:pStyle w:val="39"/>
              <w:spacing w:line="460" w:lineRule="exact"/>
              <w:jc w:val="center"/>
              <w:rPr>
                <w:b/>
                <w:bCs/>
                <w:color w:val="auto"/>
                <w:sz w:val="22"/>
                <w:szCs w:val="22"/>
                <w:highlight w:val="none"/>
              </w:rPr>
            </w:pPr>
            <w:r>
              <w:rPr>
                <w:rFonts w:hint="eastAsia"/>
                <w:b/>
                <w:bCs/>
                <w:color w:val="auto"/>
                <w:sz w:val="22"/>
                <w:szCs w:val="22"/>
                <w:highlight w:val="none"/>
              </w:rPr>
              <w:t>新库房地点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0" w:type="dxa"/>
            <w:vAlign w:val="center"/>
          </w:tcPr>
          <w:p>
            <w:pPr>
              <w:pStyle w:val="39"/>
              <w:spacing w:line="460" w:lineRule="exact"/>
              <w:jc w:val="center"/>
              <w:rPr>
                <w:bCs/>
                <w:color w:val="auto"/>
                <w:sz w:val="22"/>
                <w:szCs w:val="22"/>
                <w:highlight w:val="none"/>
              </w:rPr>
            </w:pPr>
            <w:r>
              <w:rPr>
                <w:rFonts w:hint="eastAsia"/>
                <w:bCs/>
                <w:color w:val="auto"/>
                <w:sz w:val="22"/>
                <w:szCs w:val="22"/>
                <w:highlight w:val="none"/>
              </w:rPr>
              <w:t>2.1</w:t>
            </w:r>
          </w:p>
        </w:tc>
        <w:tc>
          <w:tcPr>
            <w:tcW w:w="9475" w:type="dxa"/>
            <w:gridSpan w:val="3"/>
          </w:tcPr>
          <w:p>
            <w:pPr>
              <w:pStyle w:val="39"/>
              <w:spacing w:line="460" w:lineRule="exact"/>
              <w:jc w:val="center"/>
              <w:rPr>
                <w:color w:val="auto"/>
                <w:sz w:val="22"/>
                <w:szCs w:val="22"/>
                <w:highlight w:val="none"/>
              </w:rPr>
            </w:pPr>
            <w:r>
              <w:rPr>
                <w:rFonts w:hint="eastAsia"/>
                <w:color w:val="auto"/>
                <w:sz w:val="22"/>
                <w:szCs w:val="22"/>
                <w:highlight w:val="none"/>
              </w:rPr>
              <w:t>鹿城档案馆（奇伟路与三开路交叉口温金路136弄4号）十层往上4层库房。</w:t>
            </w:r>
          </w:p>
        </w:tc>
      </w:tr>
    </w:tbl>
    <w:p>
      <w:pPr>
        <w:spacing w:line="460" w:lineRule="exact"/>
        <w:ind w:firstLine="442" w:firstLineChars="200"/>
        <w:rPr>
          <w:rFonts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现场踏勘：各投标人于投标截止时间前自行前往现场勘察获取本次招标相关的资料及数据，投标人若未到现场踏勘，引起的一切后果均由其自行负责，由此造成投标价的偏差均不予调整。所产生的相关费用均包含在本次投标报价中。</w:t>
      </w:r>
    </w:p>
    <w:p>
      <w:pPr>
        <w:spacing w:line="460" w:lineRule="exact"/>
        <w:rPr>
          <w:b/>
          <w:bCs/>
          <w:color w:val="auto"/>
          <w:sz w:val="22"/>
          <w:szCs w:val="28"/>
          <w:highlight w:val="none"/>
        </w:rPr>
      </w:pPr>
    </w:p>
    <w:p>
      <w:pPr>
        <w:spacing w:line="460" w:lineRule="exact"/>
        <w:outlineLvl w:val="1"/>
        <w:rPr>
          <w:b/>
          <w:bCs/>
          <w:color w:val="auto"/>
          <w:sz w:val="22"/>
          <w:szCs w:val="28"/>
          <w:highlight w:val="none"/>
        </w:rPr>
      </w:pPr>
      <w:r>
        <w:rPr>
          <w:rFonts w:hint="eastAsia"/>
          <w:b/>
          <w:bCs/>
          <w:color w:val="auto"/>
          <w:sz w:val="22"/>
          <w:szCs w:val="28"/>
          <w:highlight w:val="none"/>
        </w:rPr>
        <w:t>三、采购内容</w:t>
      </w:r>
    </w:p>
    <w:p>
      <w:pPr>
        <w:spacing w:line="460" w:lineRule="exact"/>
        <w:ind w:firstLine="440" w:firstLineChars="200"/>
        <w:rPr>
          <w:color w:val="auto"/>
          <w:sz w:val="22"/>
          <w:szCs w:val="28"/>
          <w:highlight w:val="none"/>
        </w:rPr>
      </w:pPr>
      <w:r>
        <w:rPr>
          <w:rFonts w:hint="eastAsia"/>
          <w:color w:val="auto"/>
          <w:sz w:val="22"/>
          <w:szCs w:val="28"/>
          <w:highlight w:val="none"/>
        </w:rPr>
        <w:t xml:space="preserve">1、对现有库房档案进行细致的清点、标记、编号、核对、登记及卫生清理工作； </w:t>
      </w:r>
    </w:p>
    <w:p>
      <w:pPr>
        <w:spacing w:line="460" w:lineRule="exact"/>
        <w:ind w:firstLine="440" w:firstLineChars="200"/>
        <w:rPr>
          <w:color w:val="auto"/>
          <w:sz w:val="22"/>
          <w:szCs w:val="28"/>
          <w:highlight w:val="none"/>
        </w:rPr>
      </w:pPr>
      <w:r>
        <w:rPr>
          <w:rFonts w:hint="eastAsia"/>
          <w:color w:val="auto"/>
          <w:sz w:val="22"/>
          <w:szCs w:val="28"/>
          <w:highlight w:val="none"/>
        </w:rPr>
        <w:t xml:space="preserve">2、对库房档案进行安全移库，包括下架、装箱、贴封、核对、运输、搬运等； </w:t>
      </w:r>
    </w:p>
    <w:p>
      <w:pPr>
        <w:spacing w:line="460" w:lineRule="exact"/>
        <w:ind w:firstLine="440" w:firstLineChars="200"/>
        <w:rPr>
          <w:color w:val="auto"/>
          <w:sz w:val="22"/>
          <w:szCs w:val="28"/>
          <w:highlight w:val="none"/>
        </w:rPr>
      </w:pPr>
      <w:r>
        <w:rPr>
          <w:rFonts w:hint="eastAsia"/>
          <w:color w:val="auto"/>
          <w:sz w:val="22"/>
          <w:szCs w:val="28"/>
          <w:highlight w:val="none"/>
        </w:rPr>
        <w:t xml:space="preserve">3、对入库档案进行全面消毒； </w:t>
      </w:r>
    </w:p>
    <w:p>
      <w:pPr>
        <w:spacing w:line="460" w:lineRule="exact"/>
        <w:ind w:firstLine="440" w:firstLineChars="200"/>
        <w:rPr>
          <w:color w:val="auto"/>
          <w:sz w:val="22"/>
          <w:szCs w:val="28"/>
          <w:highlight w:val="none"/>
        </w:rPr>
      </w:pPr>
      <w:r>
        <w:rPr>
          <w:rFonts w:hint="eastAsia"/>
          <w:color w:val="auto"/>
          <w:sz w:val="22"/>
          <w:szCs w:val="28"/>
          <w:highlight w:val="none"/>
        </w:rPr>
        <w:t xml:space="preserve">4、对新库房档案排架进行科学规划； </w:t>
      </w:r>
    </w:p>
    <w:p>
      <w:pPr>
        <w:spacing w:line="460" w:lineRule="exact"/>
        <w:ind w:firstLine="440" w:firstLineChars="200"/>
        <w:rPr>
          <w:color w:val="auto"/>
          <w:sz w:val="22"/>
          <w:szCs w:val="28"/>
          <w:highlight w:val="none"/>
        </w:rPr>
      </w:pPr>
      <w:r>
        <w:rPr>
          <w:rFonts w:hint="eastAsia"/>
          <w:color w:val="auto"/>
          <w:sz w:val="22"/>
          <w:szCs w:val="28"/>
          <w:highlight w:val="none"/>
        </w:rPr>
        <w:t xml:space="preserve">5、对新库房所移库的档案进行上架、排列、核对、质检； </w:t>
      </w:r>
    </w:p>
    <w:p>
      <w:pPr>
        <w:spacing w:line="460" w:lineRule="exact"/>
        <w:ind w:firstLine="440" w:firstLineChars="200"/>
        <w:rPr>
          <w:color w:val="auto"/>
          <w:sz w:val="22"/>
          <w:szCs w:val="28"/>
          <w:highlight w:val="none"/>
        </w:rPr>
      </w:pPr>
      <w:r>
        <w:rPr>
          <w:rFonts w:hint="eastAsia"/>
          <w:color w:val="auto"/>
          <w:sz w:val="22"/>
          <w:szCs w:val="28"/>
          <w:highlight w:val="none"/>
        </w:rPr>
        <w:t>6、对新库房内的实体档案进行张贴规定标签。</w:t>
      </w:r>
    </w:p>
    <w:p>
      <w:pPr>
        <w:spacing w:line="460" w:lineRule="exact"/>
        <w:outlineLvl w:val="1"/>
        <w:rPr>
          <w:b/>
          <w:bCs/>
          <w:color w:val="auto"/>
          <w:sz w:val="22"/>
          <w:szCs w:val="28"/>
          <w:highlight w:val="none"/>
        </w:rPr>
      </w:pPr>
      <w:r>
        <w:rPr>
          <w:rFonts w:hint="eastAsia"/>
          <w:b/>
          <w:bCs/>
          <w:color w:val="auto"/>
          <w:sz w:val="22"/>
          <w:szCs w:val="28"/>
          <w:highlight w:val="none"/>
        </w:rPr>
        <w:t>四、工作要求</w:t>
      </w:r>
    </w:p>
    <w:p>
      <w:pPr>
        <w:spacing w:line="460" w:lineRule="exact"/>
        <w:ind w:firstLine="440" w:firstLineChars="200"/>
        <w:rPr>
          <w:color w:val="auto"/>
          <w:sz w:val="22"/>
          <w:szCs w:val="28"/>
          <w:highlight w:val="none"/>
        </w:rPr>
      </w:pPr>
      <w:r>
        <w:rPr>
          <w:rFonts w:hint="eastAsia"/>
          <w:color w:val="auto"/>
          <w:sz w:val="22"/>
          <w:szCs w:val="28"/>
          <w:highlight w:val="none"/>
        </w:rPr>
        <w:t xml:space="preserve">1、档案清点细致，做到统计数据客观、准确、全面； </w:t>
      </w:r>
    </w:p>
    <w:p>
      <w:pPr>
        <w:spacing w:line="460" w:lineRule="exact"/>
        <w:ind w:firstLine="440" w:firstLineChars="200"/>
        <w:rPr>
          <w:color w:val="auto"/>
          <w:sz w:val="22"/>
          <w:szCs w:val="28"/>
          <w:highlight w:val="none"/>
        </w:rPr>
      </w:pPr>
      <w:r>
        <w:rPr>
          <w:rFonts w:hint="eastAsia"/>
          <w:color w:val="auto"/>
          <w:sz w:val="22"/>
          <w:szCs w:val="28"/>
          <w:highlight w:val="none"/>
        </w:rPr>
        <w:t xml:space="preserve">2、档案移库安全，做到档案不丢失、不损坏、不泄密； </w:t>
      </w:r>
    </w:p>
    <w:p>
      <w:pPr>
        <w:spacing w:line="460" w:lineRule="exact"/>
        <w:ind w:firstLine="440" w:firstLineChars="200"/>
        <w:rPr>
          <w:color w:val="auto"/>
          <w:sz w:val="22"/>
          <w:szCs w:val="28"/>
          <w:highlight w:val="none"/>
        </w:rPr>
      </w:pPr>
      <w:r>
        <w:rPr>
          <w:rFonts w:hint="eastAsia"/>
          <w:color w:val="auto"/>
          <w:sz w:val="22"/>
          <w:szCs w:val="28"/>
          <w:highlight w:val="none"/>
        </w:rPr>
        <w:t xml:space="preserve">3、档案消毒过程中必须确保档案的安全完整，严格遵守《中华人民共和国行业标准 ( DA/T 35—2007) 档案虫霉防治一般规则》及约定的标准，不得对档案原件造成二次损伤。 </w:t>
      </w:r>
    </w:p>
    <w:p>
      <w:pPr>
        <w:spacing w:line="460" w:lineRule="exact"/>
        <w:ind w:firstLine="440" w:firstLineChars="200"/>
        <w:rPr>
          <w:color w:val="auto"/>
          <w:sz w:val="22"/>
          <w:szCs w:val="28"/>
          <w:highlight w:val="none"/>
        </w:rPr>
      </w:pPr>
      <w:r>
        <w:rPr>
          <w:rFonts w:hint="eastAsia"/>
          <w:color w:val="auto"/>
          <w:sz w:val="22"/>
          <w:szCs w:val="28"/>
          <w:highlight w:val="none"/>
        </w:rPr>
        <w:t>4、档案排架科学，做到全宗有序、排列合理、空间充裕。</w:t>
      </w:r>
    </w:p>
    <w:p>
      <w:pPr>
        <w:spacing w:line="460" w:lineRule="exact"/>
        <w:outlineLvl w:val="1"/>
        <w:rPr>
          <w:b/>
          <w:bCs/>
          <w:color w:val="auto"/>
          <w:sz w:val="22"/>
          <w:szCs w:val="28"/>
          <w:highlight w:val="none"/>
        </w:rPr>
      </w:pPr>
      <w:r>
        <w:rPr>
          <w:rFonts w:hint="eastAsia"/>
          <w:b/>
          <w:bCs/>
          <w:color w:val="auto"/>
          <w:sz w:val="22"/>
          <w:szCs w:val="28"/>
          <w:highlight w:val="none"/>
        </w:rPr>
        <w:t>五、工作任务阶段划分</w:t>
      </w:r>
    </w:p>
    <w:p>
      <w:pPr>
        <w:spacing w:line="460" w:lineRule="exact"/>
        <w:ind w:firstLine="440" w:firstLineChars="200"/>
        <w:rPr>
          <w:color w:val="auto"/>
          <w:sz w:val="22"/>
          <w:szCs w:val="28"/>
          <w:highlight w:val="none"/>
        </w:rPr>
      </w:pPr>
      <w:r>
        <w:rPr>
          <w:rFonts w:hint="eastAsia"/>
          <w:color w:val="auto"/>
          <w:sz w:val="22"/>
          <w:szCs w:val="28"/>
          <w:highlight w:val="none"/>
        </w:rPr>
        <w:t xml:space="preserve">整个档案整体移库分为三个阶段： </w:t>
      </w:r>
    </w:p>
    <w:p>
      <w:pPr>
        <w:spacing w:line="460" w:lineRule="exact"/>
        <w:ind w:firstLine="440" w:firstLineChars="200"/>
        <w:rPr>
          <w:color w:val="auto"/>
          <w:sz w:val="22"/>
          <w:szCs w:val="28"/>
          <w:highlight w:val="none"/>
        </w:rPr>
      </w:pPr>
      <w:r>
        <w:rPr>
          <w:rFonts w:hint="eastAsia"/>
          <w:color w:val="auto"/>
          <w:sz w:val="22"/>
          <w:szCs w:val="28"/>
          <w:highlight w:val="none"/>
        </w:rPr>
        <w:t xml:space="preserve">1、第一阶段是移库前的准备阶段，包括对现有档案的必要清点、标记、编号、统计、核对及档案搬运的相关基础性工作。 </w:t>
      </w:r>
    </w:p>
    <w:p>
      <w:pPr>
        <w:spacing w:line="460" w:lineRule="exact"/>
        <w:ind w:firstLine="440" w:firstLineChars="200"/>
        <w:rPr>
          <w:color w:val="auto"/>
          <w:sz w:val="22"/>
          <w:szCs w:val="28"/>
          <w:highlight w:val="none"/>
        </w:rPr>
      </w:pPr>
      <w:r>
        <w:rPr>
          <w:rFonts w:hint="eastAsia"/>
          <w:color w:val="auto"/>
          <w:sz w:val="22"/>
          <w:szCs w:val="28"/>
          <w:highlight w:val="none"/>
        </w:rPr>
        <w:t>2、第二阶段是档案出库阶段，也是档案移库的核心阶段，包括档案的下架、装箱、贴封、标志、核对、运输、搬运及场地清理等工作。</w:t>
      </w:r>
    </w:p>
    <w:p>
      <w:pPr>
        <w:spacing w:line="460" w:lineRule="exact"/>
        <w:ind w:firstLine="440" w:firstLineChars="200"/>
        <w:rPr>
          <w:color w:val="auto"/>
          <w:sz w:val="22"/>
          <w:szCs w:val="28"/>
          <w:highlight w:val="none"/>
        </w:rPr>
      </w:pPr>
      <w:r>
        <w:rPr>
          <w:rFonts w:hint="eastAsia"/>
          <w:color w:val="auto"/>
          <w:sz w:val="22"/>
          <w:szCs w:val="28"/>
          <w:highlight w:val="none"/>
        </w:rPr>
        <w:t>3、第三阶段是档案的入库阶段，包括档案搬运、档案消毒、档案馆排架规划、档案上架、排列、移交等工作。</w:t>
      </w:r>
    </w:p>
    <w:p>
      <w:pPr>
        <w:spacing w:line="460" w:lineRule="exact"/>
        <w:ind w:firstLine="440" w:firstLineChars="200"/>
        <w:rPr>
          <w:color w:val="auto"/>
          <w:sz w:val="22"/>
          <w:szCs w:val="28"/>
          <w:highlight w:val="none"/>
        </w:rPr>
      </w:pPr>
      <w:r>
        <w:rPr>
          <w:rFonts w:hint="eastAsia"/>
          <w:color w:val="auto"/>
          <w:sz w:val="22"/>
          <w:szCs w:val="28"/>
          <w:highlight w:val="none"/>
        </w:rPr>
        <w:t>注：相关工作根据采购人指定的先后顺序及要求进行。</w:t>
      </w:r>
    </w:p>
    <w:p>
      <w:pPr>
        <w:spacing w:line="460" w:lineRule="exact"/>
        <w:outlineLvl w:val="1"/>
        <w:rPr>
          <w:b/>
          <w:bCs/>
          <w:color w:val="auto"/>
          <w:sz w:val="22"/>
          <w:szCs w:val="28"/>
          <w:highlight w:val="none"/>
        </w:rPr>
      </w:pPr>
      <w:r>
        <w:rPr>
          <w:rFonts w:hint="eastAsia"/>
          <w:b/>
          <w:bCs/>
          <w:color w:val="auto"/>
          <w:sz w:val="22"/>
          <w:szCs w:val="28"/>
          <w:highlight w:val="none"/>
        </w:rPr>
        <w:t>六、库房管理</w:t>
      </w:r>
    </w:p>
    <w:p>
      <w:pPr>
        <w:spacing w:line="460" w:lineRule="exact"/>
        <w:ind w:firstLine="440" w:firstLineChars="200"/>
        <w:rPr>
          <w:color w:val="auto"/>
          <w:sz w:val="22"/>
          <w:szCs w:val="28"/>
          <w:highlight w:val="none"/>
        </w:rPr>
      </w:pPr>
      <w:r>
        <w:rPr>
          <w:rFonts w:hint="eastAsia"/>
          <w:color w:val="auto"/>
          <w:sz w:val="22"/>
          <w:szCs w:val="28"/>
          <w:highlight w:val="none"/>
        </w:rPr>
        <w:t>投标人应做好库房的卫生安全管理，对搬运人员进行消防安全知识培训，定点配备手提式灭火器定期检查，确保有效。严禁在仓库内吸烟，养成人走断电的习惯，确保库房安全。严格做好“四防”工作，即：防火、防盗、防潮湿、防鼠。注意清洁卫生，做好通风透气，每天安排专人进行检查。</w:t>
      </w:r>
    </w:p>
    <w:p>
      <w:pPr>
        <w:spacing w:line="460" w:lineRule="exact"/>
        <w:outlineLvl w:val="1"/>
        <w:rPr>
          <w:b/>
          <w:bCs/>
          <w:color w:val="auto"/>
          <w:sz w:val="22"/>
          <w:szCs w:val="28"/>
          <w:highlight w:val="none"/>
        </w:rPr>
      </w:pPr>
      <w:r>
        <w:rPr>
          <w:rFonts w:hint="eastAsia"/>
          <w:b/>
          <w:bCs/>
          <w:color w:val="auto"/>
          <w:sz w:val="22"/>
          <w:szCs w:val="28"/>
          <w:highlight w:val="none"/>
        </w:rPr>
        <w:t>七、人员要求</w:t>
      </w:r>
    </w:p>
    <w:p>
      <w:pPr>
        <w:pStyle w:val="39"/>
        <w:spacing w:line="460" w:lineRule="exact"/>
        <w:ind w:firstLine="440" w:firstLineChars="200"/>
        <w:rPr>
          <w:color w:val="auto"/>
          <w:sz w:val="22"/>
          <w:szCs w:val="28"/>
          <w:highlight w:val="none"/>
        </w:rPr>
      </w:pPr>
      <w:r>
        <w:rPr>
          <w:rFonts w:hint="eastAsia"/>
          <w:color w:val="auto"/>
          <w:sz w:val="22"/>
          <w:szCs w:val="28"/>
          <w:highlight w:val="none"/>
        </w:rPr>
        <w:t>1、</w:t>
      </w:r>
      <w:r>
        <w:rPr>
          <w:color w:val="auto"/>
          <w:sz w:val="22"/>
          <w:szCs w:val="28"/>
          <w:highlight w:val="none"/>
        </w:rPr>
        <w:t>项目经理</w:t>
      </w:r>
      <w:r>
        <w:rPr>
          <w:rFonts w:hint="eastAsia"/>
          <w:color w:val="auto"/>
          <w:sz w:val="22"/>
          <w:szCs w:val="28"/>
          <w:highlight w:val="none"/>
        </w:rPr>
        <w:t>须</w:t>
      </w:r>
      <w:r>
        <w:rPr>
          <w:color w:val="auto"/>
          <w:sz w:val="22"/>
          <w:szCs w:val="28"/>
          <w:highlight w:val="none"/>
        </w:rPr>
        <w:t>具备档案专业职称，搬运人员</w:t>
      </w:r>
      <w:r>
        <w:rPr>
          <w:rFonts w:hint="eastAsia"/>
          <w:color w:val="auto"/>
          <w:sz w:val="22"/>
          <w:szCs w:val="28"/>
          <w:highlight w:val="none"/>
        </w:rPr>
        <w:t>上岗前需参加</w:t>
      </w:r>
      <w:r>
        <w:rPr>
          <w:color w:val="auto"/>
          <w:sz w:val="22"/>
          <w:szCs w:val="28"/>
          <w:highlight w:val="none"/>
        </w:rPr>
        <w:t>档案岗位培训和保密培训。</w:t>
      </w:r>
    </w:p>
    <w:p>
      <w:pPr>
        <w:pStyle w:val="39"/>
        <w:spacing w:line="460" w:lineRule="exact"/>
        <w:ind w:firstLine="440" w:firstLineChars="200"/>
        <w:rPr>
          <w:color w:val="auto"/>
          <w:sz w:val="22"/>
          <w:szCs w:val="28"/>
          <w:highlight w:val="none"/>
        </w:rPr>
      </w:pPr>
      <w:r>
        <w:rPr>
          <w:rFonts w:hint="eastAsia"/>
          <w:color w:val="auto"/>
          <w:sz w:val="22"/>
          <w:szCs w:val="28"/>
          <w:highlight w:val="none"/>
        </w:rPr>
        <w:t>2、为保证档案实体和档案信息的安全及质量，投标人有必要保证一支相对稳定的档案搬运服务队伍，必须具备一定的从业经验。服务人员要严格遵守采购人的保密、安全各项要求，不得截留或向第三方泄露所涉及的档案、资料的内容、信息及最终形成的各类数据，</w:t>
      </w:r>
      <w:r>
        <w:rPr>
          <w:rFonts w:hint="eastAsia" w:ascii="宋体" w:hAnsi="宋体" w:cs="宋体"/>
          <w:color w:val="auto"/>
          <w:sz w:val="22"/>
          <w:szCs w:val="22"/>
          <w:highlight w:val="none"/>
        </w:rPr>
        <w:t>严格遵守《中华人民共和国档案法》、《保密法》等</w:t>
      </w:r>
      <w:r>
        <w:rPr>
          <w:rFonts w:hint="eastAsia"/>
          <w:color w:val="auto"/>
          <w:sz w:val="22"/>
          <w:szCs w:val="28"/>
          <w:highlight w:val="none"/>
        </w:rPr>
        <w:t>。</w:t>
      </w:r>
    </w:p>
    <w:p>
      <w:pPr>
        <w:spacing w:line="460" w:lineRule="exact"/>
        <w:outlineLvl w:val="1"/>
        <w:rPr>
          <w:b/>
          <w:bCs/>
          <w:color w:val="auto"/>
          <w:sz w:val="22"/>
          <w:szCs w:val="28"/>
          <w:highlight w:val="none"/>
        </w:rPr>
      </w:pPr>
      <w:r>
        <w:rPr>
          <w:rFonts w:hint="eastAsia"/>
          <w:b/>
          <w:bCs/>
          <w:color w:val="auto"/>
          <w:sz w:val="22"/>
          <w:szCs w:val="28"/>
          <w:highlight w:val="none"/>
        </w:rPr>
        <w:t>八、工期要求</w:t>
      </w:r>
    </w:p>
    <w:p>
      <w:pPr>
        <w:spacing w:line="460" w:lineRule="exact"/>
        <w:ind w:firstLine="440" w:firstLineChars="200"/>
        <w:outlineLvl w:val="1"/>
        <w:rPr>
          <w:rFonts w:hint="eastAsia"/>
          <w:b/>
          <w:bCs/>
          <w:color w:val="auto"/>
          <w:sz w:val="22"/>
          <w:szCs w:val="28"/>
          <w:highlight w:val="none"/>
        </w:rPr>
      </w:pPr>
      <w:r>
        <w:rPr>
          <w:rFonts w:hint="eastAsia" w:ascii="Times New Roman" w:hAnsi="Times New Roman" w:eastAsia="宋体" w:cs="Times New Roman"/>
          <w:color w:val="auto"/>
          <w:kern w:val="2"/>
          <w:sz w:val="22"/>
          <w:szCs w:val="28"/>
          <w:highlight w:val="none"/>
          <w:lang w:val="en-US" w:eastAsia="zh-CN" w:bidi="ar-SA"/>
        </w:rPr>
        <w:t>合同签订之日起至2023年4月底前完成库房档案搬运入库工作任务。</w:t>
      </w:r>
    </w:p>
    <w:p>
      <w:pPr>
        <w:spacing w:line="460" w:lineRule="exact"/>
        <w:outlineLvl w:val="1"/>
        <w:rPr>
          <w:b/>
          <w:bCs/>
          <w:color w:val="auto"/>
          <w:sz w:val="22"/>
          <w:szCs w:val="28"/>
          <w:highlight w:val="none"/>
        </w:rPr>
      </w:pPr>
      <w:r>
        <w:rPr>
          <w:rFonts w:hint="eastAsia"/>
          <w:b/>
          <w:bCs/>
          <w:color w:val="auto"/>
          <w:sz w:val="22"/>
          <w:szCs w:val="28"/>
          <w:highlight w:val="none"/>
        </w:rPr>
        <w:t>九、其他要求</w:t>
      </w:r>
    </w:p>
    <w:p>
      <w:pPr>
        <w:spacing w:line="460" w:lineRule="exact"/>
        <w:ind w:firstLine="440" w:firstLineChars="200"/>
        <w:rPr>
          <w:color w:val="auto"/>
          <w:sz w:val="22"/>
          <w:szCs w:val="28"/>
          <w:highlight w:val="none"/>
        </w:rPr>
      </w:pPr>
      <w:r>
        <w:rPr>
          <w:rFonts w:hint="eastAsia"/>
          <w:color w:val="auto"/>
          <w:sz w:val="22"/>
          <w:szCs w:val="28"/>
          <w:highlight w:val="none"/>
        </w:rPr>
        <w:t>1、投标人应接受采购人的专人质量检查或不定期不定量的质量抽查，一旦发现质量问题，应无条件执行采购整改要求；如采购人需要，投标人应派熟练的技术专家协助采购人进行服务过程中迁移等工作。</w:t>
      </w:r>
    </w:p>
    <w:p>
      <w:pPr>
        <w:spacing w:line="460" w:lineRule="exact"/>
        <w:ind w:firstLine="440" w:firstLineChars="200"/>
        <w:rPr>
          <w:color w:val="auto"/>
          <w:sz w:val="22"/>
          <w:szCs w:val="28"/>
          <w:highlight w:val="none"/>
        </w:rPr>
      </w:pPr>
      <w:r>
        <w:rPr>
          <w:rFonts w:hint="eastAsia"/>
          <w:color w:val="auto"/>
          <w:sz w:val="22"/>
          <w:szCs w:val="28"/>
          <w:highlight w:val="none"/>
        </w:rPr>
        <w:t>2、项目由温州市自然资源和规划局及档案接收单位温州市鹿城区档案馆，根据国家规的准及双方约定的标准验收。</w:t>
      </w:r>
    </w:p>
    <w:p>
      <w:pPr>
        <w:spacing w:line="460" w:lineRule="exact"/>
        <w:ind w:firstLine="440" w:firstLineChars="200"/>
        <w:rPr>
          <w:rFonts w:ascii="宋体" w:hAnsi="宋体" w:cs="宋体"/>
          <w:color w:val="auto"/>
          <w:highlight w:val="none"/>
        </w:rPr>
      </w:pPr>
      <w:r>
        <w:rPr>
          <w:rFonts w:hint="eastAsia"/>
          <w:color w:val="auto"/>
          <w:sz w:val="22"/>
          <w:szCs w:val="28"/>
          <w:highlight w:val="none"/>
        </w:rPr>
        <w:t>3、除招标文件另有规定外，若出现有关法律、法规和规章有强制性规定但招标文件未列明的情形，则投标人应按照有关法律、法规和规章强制性规定执行。</w:t>
      </w:r>
      <w:r>
        <w:rPr>
          <w:rFonts w:hint="eastAsia" w:ascii="宋体" w:hAnsi="宋体" w:cs="宋体"/>
          <w:color w:val="auto"/>
          <w:highlight w:val="none"/>
        </w:rPr>
        <w:br w:type="page"/>
      </w:r>
    </w:p>
    <w:p>
      <w:pPr>
        <w:pStyle w:val="4"/>
        <w:rPr>
          <w:rFonts w:ascii="宋体" w:hAnsi="宋体" w:eastAsia="宋体" w:cs="宋体"/>
          <w:color w:val="auto"/>
          <w:highlight w:val="none"/>
        </w:rPr>
      </w:pPr>
      <w:r>
        <w:rPr>
          <w:rFonts w:hint="eastAsia" w:ascii="宋体" w:hAnsi="宋体" w:eastAsia="宋体" w:cs="宋体"/>
          <w:color w:val="auto"/>
          <w:highlight w:val="none"/>
        </w:rPr>
        <w:t>第五部分   评标原则及方法</w:t>
      </w:r>
      <w:bookmarkEnd w:id="67"/>
      <w:bookmarkEnd w:id="68"/>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pPr>
        <w:spacing w:line="460" w:lineRule="exact"/>
        <w:ind w:firstLine="541" w:firstLineChars="245"/>
        <w:outlineLvl w:val="1"/>
        <w:rPr>
          <w:rFonts w:ascii="宋体" w:hAnsi="宋体" w:cs="宋体"/>
          <w:b/>
          <w:color w:val="auto"/>
          <w:sz w:val="22"/>
          <w:szCs w:val="22"/>
          <w:highlight w:val="none"/>
        </w:rPr>
      </w:pPr>
      <w:bookmarkStart w:id="69" w:name="_Toc4407"/>
      <w:bookmarkStart w:id="70" w:name="_Toc15713"/>
      <w:r>
        <w:rPr>
          <w:rFonts w:hint="eastAsia" w:ascii="宋体" w:hAnsi="宋体" w:cs="宋体"/>
          <w:b/>
          <w:color w:val="auto"/>
          <w:sz w:val="22"/>
          <w:szCs w:val="22"/>
          <w:highlight w:val="none"/>
        </w:rPr>
        <w:t>一、总 则</w:t>
      </w:r>
      <w:bookmarkEnd w:id="69"/>
      <w:bookmarkEnd w:id="70"/>
    </w:p>
    <w:p>
      <w:pPr>
        <w:spacing w:line="460" w:lineRule="exact"/>
        <w:ind w:firstLine="539" w:firstLineChars="245"/>
        <w:rPr>
          <w:rFonts w:ascii="宋体" w:hAnsi="宋体" w:cs="宋体"/>
          <w:b/>
          <w:color w:val="auto"/>
          <w:sz w:val="22"/>
          <w:highlight w:val="none"/>
        </w:rPr>
      </w:pPr>
      <w:r>
        <w:rPr>
          <w:rFonts w:hint="eastAsia" w:ascii="宋体" w:hAnsi="宋体" w:cs="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pPr>
        <w:spacing w:line="460" w:lineRule="exact"/>
        <w:ind w:firstLine="541" w:firstLineChars="245"/>
        <w:outlineLvl w:val="1"/>
        <w:rPr>
          <w:rFonts w:ascii="宋体" w:hAnsi="宋体" w:cs="宋体"/>
          <w:b/>
          <w:color w:val="auto"/>
          <w:sz w:val="22"/>
          <w:szCs w:val="22"/>
          <w:highlight w:val="none"/>
        </w:rPr>
      </w:pPr>
      <w:bookmarkStart w:id="71" w:name="_Toc23152"/>
      <w:bookmarkStart w:id="72" w:name="_Toc24468"/>
      <w:r>
        <w:rPr>
          <w:rFonts w:hint="eastAsia" w:ascii="宋体" w:hAnsi="宋体" w:cs="宋体"/>
          <w:b/>
          <w:color w:val="auto"/>
          <w:sz w:val="22"/>
          <w:szCs w:val="22"/>
          <w:highlight w:val="none"/>
        </w:rPr>
        <w:t>二、评标组织</w:t>
      </w:r>
      <w:bookmarkEnd w:id="71"/>
      <w:bookmarkEnd w:id="72"/>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评标工作由招标人组建的评标委员会负责，评标全过程由有关部门指导监督。</w:t>
      </w:r>
    </w:p>
    <w:p>
      <w:pPr>
        <w:spacing w:line="460" w:lineRule="exact"/>
        <w:ind w:firstLine="541" w:firstLineChars="245"/>
        <w:outlineLvl w:val="1"/>
        <w:rPr>
          <w:rFonts w:ascii="宋体" w:hAnsi="宋体" w:cs="宋体"/>
          <w:b/>
          <w:color w:val="auto"/>
          <w:sz w:val="22"/>
          <w:szCs w:val="22"/>
          <w:highlight w:val="none"/>
        </w:rPr>
      </w:pPr>
      <w:bookmarkStart w:id="73" w:name="_Toc67"/>
      <w:bookmarkStart w:id="74" w:name="_Toc15153"/>
      <w:r>
        <w:rPr>
          <w:rFonts w:hint="eastAsia" w:ascii="宋体" w:hAnsi="宋体" w:cs="宋体"/>
          <w:b/>
          <w:color w:val="auto"/>
          <w:sz w:val="22"/>
          <w:szCs w:val="22"/>
          <w:highlight w:val="none"/>
        </w:rPr>
        <w:t>三、评标程序</w:t>
      </w:r>
      <w:bookmarkEnd w:id="73"/>
      <w:bookmarkEnd w:id="74"/>
    </w:p>
    <w:p>
      <w:pPr>
        <w:spacing w:line="460" w:lineRule="exact"/>
        <w:ind w:firstLine="539" w:firstLineChars="245"/>
        <w:rPr>
          <w:rFonts w:ascii="宋体" w:hAnsi="宋体" w:cs="宋体"/>
          <w:color w:val="auto"/>
          <w:sz w:val="22"/>
          <w:szCs w:val="22"/>
          <w:highlight w:val="none"/>
        </w:rPr>
      </w:pPr>
      <w:r>
        <w:rPr>
          <w:rFonts w:hint="eastAsia" w:ascii="宋体" w:hAnsi="宋体" w:cs="宋体"/>
          <w:bCs/>
          <w:color w:val="auto"/>
          <w:sz w:val="22"/>
          <w:szCs w:val="22"/>
          <w:highlight w:val="none"/>
        </w:rPr>
        <w:t>评标委员按照招标文件中规定的评标方法和标准，对投标文件进行商务和技术评估，综合比较与评价</w:t>
      </w:r>
      <w:r>
        <w:rPr>
          <w:rFonts w:hint="eastAsia" w:ascii="宋体" w:hAnsi="宋体" w:cs="宋体"/>
          <w:color w:val="auto"/>
          <w:sz w:val="22"/>
          <w:szCs w:val="22"/>
          <w:highlight w:val="none"/>
        </w:rPr>
        <w:t>，根据综合评审结果，提交评审报告。</w:t>
      </w:r>
    </w:p>
    <w:p>
      <w:pPr>
        <w:spacing w:line="460" w:lineRule="exact"/>
        <w:ind w:firstLine="541" w:firstLineChars="245"/>
        <w:outlineLvl w:val="1"/>
        <w:rPr>
          <w:rFonts w:ascii="宋体" w:hAnsi="宋体" w:cs="宋体"/>
          <w:b/>
          <w:color w:val="auto"/>
          <w:sz w:val="22"/>
          <w:szCs w:val="22"/>
          <w:highlight w:val="none"/>
        </w:rPr>
      </w:pPr>
      <w:bookmarkStart w:id="75" w:name="_Toc24825"/>
      <w:bookmarkStart w:id="76" w:name="_Toc11306"/>
      <w:r>
        <w:rPr>
          <w:rFonts w:hint="eastAsia" w:ascii="宋体" w:hAnsi="宋体" w:cs="宋体"/>
          <w:b/>
          <w:color w:val="auto"/>
          <w:sz w:val="22"/>
          <w:szCs w:val="22"/>
          <w:highlight w:val="none"/>
        </w:rPr>
        <w:t>四、评标办法</w:t>
      </w:r>
      <w:bookmarkEnd w:id="75"/>
      <w:bookmarkEnd w:id="76"/>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本次采购采用百分制综合评分法，即投标人最大限度地满足招标文件实质性要求的基础上，按照招标文件的各项因素进行综合评审后，以评标总得分最高的投标人和次高的投标人作为第一和第二排序的中标候选人的评标方法。根据采购要求，总分设定为100分：技术标90分（权值90%），商务标（报价）10分（权值10%）。</w:t>
      </w:r>
    </w:p>
    <w:p>
      <w:pPr>
        <w:numPr>
          <w:ilvl w:val="0"/>
          <w:numId w:val="6"/>
        </w:numPr>
        <w:spacing w:line="460" w:lineRule="exact"/>
        <w:ind w:firstLine="541" w:firstLineChars="245"/>
        <w:outlineLvl w:val="1"/>
        <w:rPr>
          <w:rFonts w:ascii="宋体" w:hAnsi="宋体" w:cs="宋体"/>
          <w:b/>
          <w:color w:val="auto"/>
          <w:sz w:val="22"/>
          <w:szCs w:val="22"/>
          <w:highlight w:val="none"/>
        </w:rPr>
      </w:pPr>
      <w:bookmarkStart w:id="77" w:name="_Toc1535"/>
      <w:bookmarkStart w:id="78" w:name="_Toc11450"/>
      <w:r>
        <w:rPr>
          <w:rFonts w:hint="eastAsia" w:ascii="宋体" w:hAnsi="宋体" w:cs="宋体"/>
          <w:b/>
          <w:color w:val="auto"/>
          <w:sz w:val="22"/>
          <w:szCs w:val="22"/>
          <w:highlight w:val="none"/>
        </w:rPr>
        <w:t>评分细则</w:t>
      </w:r>
      <w:bookmarkEnd w:id="77"/>
      <w:bookmarkEnd w:id="78"/>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1、技术分的评定：技术标90分（权值90%）</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w:t>
      </w:r>
      <w:r>
        <w:rPr>
          <w:rFonts w:hint="eastAsia" w:ascii="宋体" w:hAnsi="宋体" w:cs="宋体"/>
          <w:color w:val="auto"/>
          <w:sz w:val="22"/>
          <w:highlight w:val="none"/>
        </w:rPr>
        <w:t>各评标委员会成员对各投标人的各项评分内容评分的算术平均值为各投标人技术分得分</w:t>
      </w:r>
      <w:r>
        <w:rPr>
          <w:rFonts w:hint="eastAsia" w:ascii="宋体" w:hAnsi="宋体" w:cs="宋体"/>
          <w:color w:val="auto"/>
          <w:sz w:val="22"/>
          <w:szCs w:val="22"/>
          <w:highlight w:val="none"/>
        </w:rPr>
        <w:t>（小数点后按四舍五入保留2位）。</w:t>
      </w:r>
    </w:p>
    <w:tbl>
      <w:tblPr>
        <w:tblStyle w:val="52"/>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3"/>
        <w:gridCol w:w="1198"/>
        <w:gridCol w:w="7188"/>
        <w:gridCol w:w="7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2" w:hRule="atLeast"/>
          <w:jc w:val="center"/>
        </w:trPr>
        <w:tc>
          <w:tcPr>
            <w:tcW w:w="356" w:type="pct"/>
            <w:noWrap/>
            <w:vAlign w:val="center"/>
          </w:tcPr>
          <w:p>
            <w:pPr>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608" w:type="pct"/>
            <w:noWrap/>
            <w:vAlign w:val="center"/>
          </w:tcPr>
          <w:p>
            <w:pPr>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评分内容</w:t>
            </w:r>
          </w:p>
        </w:tc>
        <w:tc>
          <w:tcPr>
            <w:tcW w:w="3646" w:type="pct"/>
            <w:noWrap/>
            <w:vAlign w:val="center"/>
          </w:tcPr>
          <w:p>
            <w:pPr>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评分细则</w:t>
            </w:r>
          </w:p>
        </w:tc>
        <w:tc>
          <w:tcPr>
            <w:tcW w:w="388" w:type="pct"/>
            <w:noWrap/>
            <w:vAlign w:val="center"/>
          </w:tcPr>
          <w:p>
            <w:pPr>
              <w:spacing w:line="46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分数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9" w:hRule="atLeast"/>
          <w:jc w:val="center"/>
        </w:trPr>
        <w:tc>
          <w:tcPr>
            <w:tcW w:w="356"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608" w:type="pct"/>
            <w:noWrap/>
            <w:vAlign w:val="center"/>
          </w:tcPr>
          <w:p>
            <w:pPr>
              <w:spacing w:line="460" w:lineRule="exact"/>
              <w:jc w:val="center"/>
              <w:rPr>
                <w:rFonts w:ascii="宋体" w:hAnsi="宋体" w:cs="宋体"/>
                <w:color w:val="auto"/>
                <w:sz w:val="22"/>
                <w:szCs w:val="22"/>
                <w:highlight w:val="none"/>
              </w:rPr>
            </w:pPr>
            <w:r>
              <w:rPr>
                <w:rFonts w:ascii="宋体" w:hAnsi="宋体" w:cs="宋体"/>
                <w:color w:val="auto"/>
                <w:sz w:val="22"/>
                <w:szCs w:val="22"/>
                <w:highlight w:val="none"/>
              </w:rPr>
              <w:t>投标人综合情况</w:t>
            </w:r>
          </w:p>
        </w:tc>
        <w:tc>
          <w:tcPr>
            <w:tcW w:w="3646" w:type="pct"/>
            <w:noWrap/>
            <w:vAlign w:val="center"/>
          </w:tcPr>
          <w:p>
            <w:pPr>
              <w:spacing w:line="460" w:lineRule="exac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具有有效的质量管理体系认证证书、环境管理体系认证证书、职业健康安全管理体系认证证书、《商品售后服务评价体系》GB/T27922-2011服务认证证书，每具备一项得1分，最多得4分。注：须提供证书复印件并加盖公章。</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0" w:hRule="atLeast"/>
          <w:jc w:val="center"/>
        </w:trPr>
        <w:tc>
          <w:tcPr>
            <w:tcW w:w="356" w:type="pct"/>
            <w:vMerge w:val="restart"/>
            <w:tcBorders>
              <w:top w:val="single" w:color="auto" w:sz="4" w:space="0"/>
            </w:tcBorders>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608" w:type="pct"/>
            <w:vMerge w:val="restar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实施方案</w:t>
            </w: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档案盘库整体方案（0-10分）：</w:t>
            </w:r>
          </w:p>
          <w:p>
            <w:pPr>
              <w:spacing w:line="460" w:lineRule="exact"/>
              <w:rPr>
                <w:color w:val="auto"/>
                <w:sz w:val="22"/>
                <w:szCs w:val="28"/>
                <w:highlight w:val="none"/>
              </w:rPr>
            </w:pPr>
            <w:r>
              <w:rPr>
                <w:rFonts w:hint="eastAsia"/>
                <w:color w:val="auto"/>
                <w:sz w:val="22"/>
                <w:szCs w:val="28"/>
                <w:highlight w:val="none"/>
              </w:rPr>
              <w:t>包括但不限于对库房档案的清点、标记、编号、核对、登记及卫生清理等工作流程设计。科学性（0-5分）；合理性（0-5分）；未提供不得分。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0"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 xml:space="preserve">档案搬运上架的整体方案（0-8分）: </w:t>
            </w:r>
          </w:p>
          <w:p>
            <w:pPr>
              <w:spacing w:line="460" w:lineRule="exact"/>
              <w:rPr>
                <w:color w:val="auto"/>
                <w:sz w:val="22"/>
                <w:szCs w:val="28"/>
                <w:highlight w:val="none"/>
              </w:rPr>
            </w:pPr>
            <w:r>
              <w:rPr>
                <w:rFonts w:hint="eastAsia"/>
                <w:color w:val="auto"/>
                <w:sz w:val="22"/>
                <w:szCs w:val="28"/>
                <w:highlight w:val="none"/>
              </w:rPr>
              <w:t>包括但不限于对库房档案进行安全移库、消杀、档案排架规划、上架、排列及对新上架档案张贴规定标签等工作流程设计。科学性（0-4分）；合理性（0-4分）；未提供不得分。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进度控制（0-8分）：</w:t>
            </w:r>
          </w:p>
          <w:p>
            <w:pPr>
              <w:spacing w:line="460" w:lineRule="exact"/>
              <w:rPr>
                <w:color w:val="auto"/>
                <w:sz w:val="22"/>
                <w:szCs w:val="28"/>
                <w:highlight w:val="none"/>
              </w:rPr>
            </w:pPr>
            <w:r>
              <w:rPr>
                <w:rFonts w:hint="eastAsia"/>
                <w:color w:val="auto"/>
                <w:sz w:val="22"/>
                <w:szCs w:val="28"/>
                <w:highlight w:val="none"/>
              </w:rPr>
              <w:t>进度控制方案包括但不限于工期进度总体安排、工作时限管理计划、加急和超期应对措施等内容。科学性（0-4分）；合理性（0-4分）；未提供不得分。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质量管理（0-8分）：</w:t>
            </w:r>
          </w:p>
          <w:p>
            <w:pPr>
              <w:spacing w:line="460" w:lineRule="exact"/>
              <w:rPr>
                <w:color w:val="auto"/>
                <w:sz w:val="22"/>
                <w:szCs w:val="28"/>
                <w:highlight w:val="none"/>
              </w:rPr>
            </w:pPr>
            <w:r>
              <w:rPr>
                <w:rFonts w:hint="eastAsia"/>
                <w:color w:val="auto"/>
                <w:sz w:val="22"/>
                <w:szCs w:val="28"/>
                <w:highlight w:val="none"/>
              </w:rPr>
              <w:t>质量管理方案包括但不限于保障体系建设、培训管理、过程与成果质量控制措施等内容。科学性（0-4分）；合理性（0-4分）；未提供不得分。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安全保密（0-8分）：</w:t>
            </w:r>
          </w:p>
          <w:p>
            <w:pPr>
              <w:spacing w:line="460" w:lineRule="exact"/>
              <w:rPr>
                <w:color w:val="auto"/>
                <w:sz w:val="22"/>
                <w:szCs w:val="28"/>
                <w:highlight w:val="none"/>
              </w:rPr>
            </w:pPr>
            <w:r>
              <w:rPr>
                <w:rFonts w:hint="eastAsia"/>
                <w:color w:val="auto"/>
                <w:sz w:val="22"/>
                <w:szCs w:val="28"/>
                <w:highlight w:val="none"/>
              </w:rPr>
              <w:t>安全保密方案包括但不限于档案原件保护、信息安全、员工保密、设备安全、现场管理等内容。科学性（0-4分）；合理性（0-4分）；未提供不得分。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rPr>
                <w:color w:val="auto"/>
                <w:sz w:val="22"/>
                <w:szCs w:val="28"/>
                <w:highlight w:val="none"/>
              </w:rPr>
            </w:pPr>
            <w:r>
              <w:rPr>
                <w:rFonts w:hint="eastAsia"/>
                <w:color w:val="auto"/>
                <w:sz w:val="22"/>
                <w:szCs w:val="28"/>
                <w:highlight w:val="none"/>
              </w:rPr>
              <w:t>成果验收（0-8分）：</w:t>
            </w:r>
          </w:p>
          <w:p>
            <w:pPr>
              <w:spacing w:line="460" w:lineRule="exact"/>
              <w:rPr>
                <w:color w:val="auto"/>
                <w:sz w:val="22"/>
                <w:szCs w:val="28"/>
                <w:highlight w:val="none"/>
              </w:rPr>
            </w:pPr>
            <w:r>
              <w:rPr>
                <w:rFonts w:hint="eastAsia"/>
                <w:color w:val="auto"/>
                <w:sz w:val="22"/>
                <w:szCs w:val="28"/>
                <w:highlight w:val="none"/>
              </w:rPr>
              <w:t>成果验收方案包括但不限于对成果的自检、质检、阶段预验收、综合验收、成果数据移交等内容。科学性（0-4分）；合理性（0-4分）；未提供不得分。</w:t>
            </w:r>
          </w:p>
        </w:tc>
        <w:tc>
          <w:tcPr>
            <w:tcW w:w="388"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jc w:val="center"/>
        </w:trPr>
        <w:tc>
          <w:tcPr>
            <w:tcW w:w="356"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60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配套设备</w:t>
            </w:r>
          </w:p>
        </w:tc>
        <w:tc>
          <w:tcPr>
            <w:tcW w:w="3646" w:type="pct"/>
            <w:noWrap/>
            <w:vAlign w:val="center"/>
          </w:tcPr>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1、软件配备（0-4分）：根据拟投入本项目对档案搬运过程中起档案保护、档案安全、信息安全、全程跟踪等软件的功能性和适应性进行综合评分。</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2、硬件配备（0-4分）：根据投标人承诺拟投入本项目设备的数量、合理性、先进性进行综合评分，包括档案打包盒、记录仪、手推车、运输车辆等设备。</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9" w:hRule="atLeast"/>
          <w:jc w:val="center"/>
        </w:trPr>
        <w:tc>
          <w:tcPr>
            <w:tcW w:w="356" w:type="pct"/>
            <w:vMerge w:val="restar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608" w:type="pct"/>
            <w:vMerge w:val="restar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履约能力</w:t>
            </w:r>
          </w:p>
        </w:tc>
        <w:tc>
          <w:tcPr>
            <w:tcW w:w="3646" w:type="pct"/>
            <w:noWrap/>
          </w:tcPr>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拟担任本项目负责人具有档案馆员或档案中级及以上职称、保密培训证书、档案岗位管理培训证书、具有相关项目管理经验（出具有项目经理签字的验收报告及优秀或满意以上评价的客户评价表，以往其他公司履历均认可）的，每提供一个得1分，最多得4分。</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注：须</w:t>
            </w:r>
            <w:r>
              <w:rPr>
                <w:rFonts w:hint="eastAsia" w:ascii="宋体" w:hAnsi="宋体" w:cs="宋体"/>
                <w:color w:val="auto"/>
                <w:sz w:val="22"/>
                <w:szCs w:val="22"/>
                <w:highlight w:val="none"/>
                <w:lang w:val="zh-CN"/>
              </w:rPr>
              <w:t>提供相关</w:t>
            </w:r>
            <w:r>
              <w:rPr>
                <w:rFonts w:hint="eastAsia" w:ascii="宋体" w:hAnsi="宋体" w:cs="宋体"/>
                <w:color w:val="auto"/>
                <w:sz w:val="22"/>
                <w:szCs w:val="22"/>
                <w:highlight w:val="none"/>
              </w:rPr>
              <w:t>人员</w:t>
            </w:r>
            <w:r>
              <w:rPr>
                <w:rFonts w:hint="eastAsia" w:ascii="宋体" w:hAnsi="宋体" w:cs="宋体"/>
                <w:color w:val="auto"/>
                <w:sz w:val="22"/>
                <w:szCs w:val="22"/>
                <w:highlight w:val="none"/>
                <w:lang w:val="zh-CN"/>
              </w:rPr>
              <w:t>证书等证明材料</w:t>
            </w:r>
            <w:r>
              <w:rPr>
                <w:rFonts w:hint="eastAsia" w:ascii="宋体" w:hAnsi="宋体" w:cs="宋体"/>
                <w:color w:val="auto"/>
                <w:sz w:val="22"/>
                <w:szCs w:val="22"/>
                <w:highlight w:val="none"/>
              </w:rPr>
              <w:t>及在本单位的</w:t>
            </w:r>
            <w:r>
              <w:rPr>
                <w:rFonts w:hint="eastAsia" w:ascii="宋体" w:hAnsi="宋体" w:cs="宋体"/>
                <w:color w:val="auto"/>
                <w:sz w:val="22"/>
                <w:szCs w:val="22"/>
                <w:highlight w:val="none"/>
                <w:lang w:val="zh-CN"/>
              </w:rPr>
              <w:t>社保缴纳证明，并加盖公章，</w:t>
            </w:r>
            <w:r>
              <w:rPr>
                <w:rFonts w:hint="eastAsia" w:ascii="宋体" w:hAnsi="宋体" w:cs="宋体"/>
                <w:color w:val="auto"/>
                <w:sz w:val="22"/>
                <w:szCs w:val="22"/>
                <w:highlight w:val="none"/>
              </w:rPr>
              <w:t>否则不得分。</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7" w:hRule="atLeast"/>
          <w:jc w:val="center"/>
        </w:trPr>
        <w:tc>
          <w:tcPr>
            <w:tcW w:w="356" w:type="pct"/>
            <w:vMerge w:val="continue"/>
            <w:noWrap/>
            <w:vAlign w:val="center"/>
          </w:tcPr>
          <w:p>
            <w:pPr>
              <w:adjustRightInd w:val="0"/>
              <w:snapToGrid w:val="0"/>
              <w:spacing w:line="460" w:lineRule="exact"/>
              <w:jc w:val="center"/>
              <w:rPr>
                <w:rFonts w:ascii="宋体" w:hAnsi="宋体" w:cs="宋体"/>
                <w:color w:val="auto"/>
                <w:sz w:val="22"/>
                <w:szCs w:val="22"/>
                <w:highlight w:val="none"/>
              </w:rPr>
            </w:pPr>
          </w:p>
        </w:tc>
        <w:tc>
          <w:tcPr>
            <w:tcW w:w="608" w:type="pct"/>
            <w:vMerge w:val="continue"/>
            <w:noWrap/>
            <w:vAlign w:val="center"/>
          </w:tcPr>
          <w:p>
            <w:pPr>
              <w:spacing w:line="460" w:lineRule="exact"/>
              <w:jc w:val="center"/>
              <w:rPr>
                <w:rFonts w:ascii="宋体" w:hAnsi="宋体" w:cs="宋体"/>
                <w:color w:val="auto"/>
                <w:sz w:val="22"/>
                <w:szCs w:val="22"/>
                <w:highlight w:val="none"/>
              </w:rPr>
            </w:pPr>
          </w:p>
        </w:tc>
        <w:tc>
          <w:tcPr>
            <w:tcW w:w="3646" w:type="pct"/>
            <w:noWrap/>
            <w:vAlign w:val="center"/>
          </w:tcPr>
          <w:p>
            <w:pPr>
              <w:spacing w:line="460" w:lineRule="exact"/>
              <w:jc w:val="lef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其他拟派项目人员（除项目负责人）（0-10分）：</w:t>
            </w:r>
          </w:p>
          <w:p>
            <w:pPr>
              <w:numPr>
                <w:ilvl w:val="0"/>
                <w:numId w:val="7"/>
              </w:num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拟派项目人员同时具有档案保密培训证书和档案岗位培训证书的，每人得1分，最高得5分；</w:t>
            </w:r>
          </w:p>
          <w:p>
            <w:pPr>
              <w:spacing w:line="460" w:lineRule="exact"/>
              <w:jc w:val="left"/>
              <w:rPr>
                <w:rFonts w:ascii="宋体" w:hAnsi="宋体" w:cs="宋体"/>
                <w:color w:val="auto"/>
                <w:sz w:val="22"/>
                <w:szCs w:val="22"/>
                <w:highlight w:val="none"/>
                <w:lang w:val="zh-CN"/>
              </w:rPr>
            </w:pPr>
            <w:r>
              <w:rPr>
                <w:rFonts w:hint="eastAsia" w:ascii="宋体" w:hAnsi="宋体" w:cs="宋体"/>
                <w:color w:val="auto"/>
                <w:sz w:val="22"/>
                <w:szCs w:val="22"/>
                <w:highlight w:val="none"/>
              </w:rPr>
              <w:t>2、</w:t>
            </w:r>
            <w:r>
              <w:rPr>
                <w:rFonts w:hint="eastAsia" w:ascii="宋体" w:hAnsi="宋体" w:cs="宋体"/>
                <w:color w:val="auto"/>
                <w:sz w:val="22"/>
                <w:szCs w:val="22"/>
                <w:highlight w:val="none"/>
                <w:lang w:val="zh-TW"/>
              </w:rPr>
              <w:t>根据投标人</w:t>
            </w:r>
            <w:r>
              <w:rPr>
                <w:rFonts w:hint="eastAsia" w:ascii="宋体" w:hAnsi="宋体" w:cs="宋体"/>
                <w:color w:val="auto"/>
                <w:sz w:val="22"/>
                <w:szCs w:val="22"/>
                <w:highlight w:val="none"/>
              </w:rPr>
              <w:t>拟投入项目组成员</w:t>
            </w:r>
            <w:r>
              <w:rPr>
                <w:rFonts w:hint="eastAsia" w:ascii="宋体" w:hAnsi="宋体" w:cs="宋体"/>
                <w:color w:val="auto"/>
                <w:sz w:val="22"/>
                <w:szCs w:val="22"/>
                <w:highlight w:val="none"/>
                <w:lang w:val="zh-CN"/>
              </w:rPr>
              <w:t>的专业素质、技术能力、经验等情况</w:t>
            </w:r>
            <w:r>
              <w:rPr>
                <w:rFonts w:hint="eastAsia" w:ascii="宋体" w:hAnsi="宋体" w:cs="宋体"/>
                <w:color w:val="auto"/>
                <w:sz w:val="22"/>
                <w:szCs w:val="22"/>
                <w:highlight w:val="none"/>
              </w:rPr>
              <w:t>进行比较打分</w:t>
            </w:r>
            <w:r>
              <w:rPr>
                <w:rFonts w:hint="eastAsia" w:ascii="宋体" w:hAnsi="宋体" w:cs="宋体"/>
                <w:color w:val="auto"/>
                <w:sz w:val="22"/>
                <w:szCs w:val="22"/>
                <w:highlight w:val="none"/>
                <w:lang w:val="zh-CN"/>
              </w:rPr>
              <w:t>，</w:t>
            </w:r>
            <w:r>
              <w:rPr>
                <w:rFonts w:hint="eastAsia" w:ascii="宋体" w:hAnsi="宋体" w:cs="宋体"/>
                <w:color w:val="auto"/>
                <w:sz w:val="22"/>
                <w:szCs w:val="22"/>
                <w:highlight w:val="none"/>
              </w:rPr>
              <w:t>包括</w:t>
            </w:r>
            <w:r>
              <w:rPr>
                <w:rFonts w:hint="eastAsia" w:ascii="宋体" w:hAnsi="宋体" w:cs="宋体"/>
                <w:color w:val="auto"/>
                <w:sz w:val="22"/>
                <w:szCs w:val="22"/>
                <w:highlight w:val="none"/>
                <w:lang w:val="zh-CN"/>
              </w:rPr>
              <w:t>人员投入情况是否满足采购需求，相关人员配备是否科学合理</w:t>
            </w:r>
            <w:r>
              <w:rPr>
                <w:rFonts w:hint="eastAsia" w:ascii="宋体" w:hAnsi="宋体" w:cs="宋体"/>
                <w:color w:val="auto"/>
                <w:sz w:val="22"/>
                <w:szCs w:val="22"/>
                <w:highlight w:val="none"/>
              </w:rPr>
              <w:t>等</w:t>
            </w:r>
            <w:r>
              <w:rPr>
                <w:rFonts w:ascii="新宋体" w:hAnsi="新宋体" w:eastAsia="新宋体" w:cs="新宋体"/>
                <w:color w:val="auto"/>
                <w:sz w:val="22"/>
                <w:szCs w:val="22"/>
                <w:highlight w:val="none"/>
              </w:rPr>
              <w:t>进行综合比较打分</w:t>
            </w:r>
            <w:r>
              <w:rPr>
                <w:rFonts w:hint="eastAsia" w:ascii="新宋体" w:hAnsi="新宋体" w:eastAsia="新宋体" w:cs="新宋体"/>
                <w:color w:val="auto"/>
                <w:sz w:val="22"/>
                <w:szCs w:val="22"/>
                <w:highlight w:val="none"/>
              </w:rPr>
              <w:t>（0-5分）</w:t>
            </w:r>
            <w:r>
              <w:rPr>
                <w:rFonts w:hint="eastAsia" w:ascii="宋体" w:hAnsi="宋体" w:cs="宋体"/>
                <w:color w:val="auto"/>
                <w:sz w:val="22"/>
                <w:szCs w:val="22"/>
                <w:highlight w:val="none"/>
              </w:rPr>
              <w:t>。</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注：须</w:t>
            </w:r>
            <w:r>
              <w:rPr>
                <w:rFonts w:hint="eastAsia" w:ascii="宋体" w:hAnsi="宋体" w:cs="宋体"/>
                <w:color w:val="auto"/>
                <w:sz w:val="22"/>
                <w:szCs w:val="22"/>
                <w:highlight w:val="none"/>
                <w:lang w:val="zh-CN"/>
              </w:rPr>
              <w:t>提供相关</w:t>
            </w:r>
            <w:r>
              <w:rPr>
                <w:rFonts w:hint="eastAsia" w:ascii="宋体" w:hAnsi="宋体" w:cs="宋体"/>
                <w:color w:val="auto"/>
                <w:sz w:val="22"/>
                <w:szCs w:val="22"/>
                <w:highlight w:val="none"/>
              </w:rPr>
              <w:t>人员</w:t>
            </w:r>
            <w:r>
              <w:rPr>
                <w:rFonts w:hint="eastAsia" w:ascii="宋体" w:hAnsi="宋体" w:cs="宋体"/>
                <w:color w:val="auto"/>
                <w:sz w:val="22"/>
                <w:szCs w:val="22"/>
                <w:highlight w:val="none"/>
                <w:lang w:val="zh-CN"/>
              </w:rPr>
              <w:t>证书等证明材料</w:t>
            </w:r>
            <w:r>
              <w:rPr>
                <w:rFonts w:hint="eastAsia" w:ascii="宋体" w:hAnsi="宋体" w:cs="宋体"/>
                <w:color w:val="auto"/>
                <w:sz w:val="22"/>
                <w:szCs w:val="22"/>
                <w:highlight w:val="none"/>
              </w:rPr>
              <w:t>及在本单位的</w:t>
            </w:r>
            <w:r>
              <w:rPr>
                <w:rFonts w:hint="eastAsia" w:ascii="宋体" w:hAnsi="宋体" w:cs="宋体"/>
                <w:color w:val="auto"/>
                <w:sz w:val="22"/>
                <w:szCs w:val="22"/>
                <w:highlight w:val="none"/>
                <w:lang w:val="zh-CN"/>
              </w:rPr>
              <w:t>社保缴纳证明，并加盖公章，</w:t>
            </w:r>
            <w:r>
              <w:rPr>
                <w:rFonts w:hint="eastAsia" w:ascii="宋体" w:hAnsi="宋体" w:cs="宋体"/>
                <w:color w:val="auto"/>
                <w:sz w:val="22"/>
                <w:szCs w:val="22"/>
                <w:highlight w:val="none"/>
              </w:rPr>
              <w:t>否则不得分。</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6"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60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项目理解及合理化建议</w:t>
            </w:r>
          </w:p>
        </w:tc>
        <w:tc>
          <w:tcPr>
            <w:tcW w:w="3646" w:type="pct"/>
            <w:noWrap/>
            <w:vAlign w:val="center"/>
          </w:tcPr>
          <w:p>
            <w:pPr>
              <w:spacing w:line="460" w:lineRule="exact"/>
              <w:jc w:val="left"/>
              <w:rPr>
                <w:rFonts w:ascii="宋体" w:hAnsi="宋体" w:cs="宋体"/>
                <w:color w:val="auto"/>
                <w:sz w:val="22"/>
                <w:szCs w:val="22"/>
                <w:highlight w:val="none"/>
                <w:lang w:val="zh-TW"/>
              </w:rPr>
            </w:pPr>
            <w:r>
              <w:rPr>
                <w:rFonts w:hint="eastAsia" w:ascii="宋体" w:hAnsi="宋体" w:cs="宋体"/>
                <w:color w:val="auto"/>
                <w:sz w:val="22"/>
                <w:szCs w:val="22"/>
                <w:highlight w:val="none"/>
              </w:rPr>
              <w:t>根据投标人对本项目工作要点的理解和认识程度、对本项目实施所列的合理化建议及配合措施进行综合打分:</w:t>
            </w:r>
            <w:r>
              <w:rPr>
                <w:rFonts w:hint="eastAsia"/>
                <w:color w:val="auto"/>
                <w:sz w:val="22"/>
                <w:szCs w:val="28"/>
                <w:highlight w:val="none"/>
              </w:rPr>
              <w:t>科学性（0-2分）；合理性（0-3分）；未提供不得分。</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4" w:hRule="atLeast"/>
          <w:jc w:val="center"/>
        </w:trPr>
        <w:tc>
          <w:tcPr>
            <w:tcW w:w="356"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60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售后服务</w:t>
            </w:r>
          </w:p>
        </w:tc>
        <w:tc>
          <w:tcPr>
            <w:tcW w:w="3646" w:type="pct"/>
            <w:noWrap/>
            <w:vAlign w:val="center"/>
          </w:tcPr>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根据投标人售后服务机构距离（0-2分）</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售后服务人员完整性及专业性（0-2分）</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售后服务承诺及优惠条件：包括档案搬运复核方案、反馈记录及相关维护服务计划进行比较打分（0-4分）；</w:t>
            </w:r>
          </w:p>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注：提供有效的营业执照及产权（或使用权）证明材料；服务人员需体现其岗位及专业职称。 </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4" w:hRule="atLeast"/>
          <w:jc w:val="center"/>
        </w:trPr>
        <w:tc>
          <w:tcPr>
            <w:tcW w:w="356" w:type="pct"/>
            <w:noWrap/>
            <w:vAlign w:val="center"/>
          </w:tcPr>
          <w:p>
            <w:pPr>
              <w:adjustRightInd w:val="0"/>
              <w:snapToGrid w:val="0"/>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60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业绩</w:t>
            </w:r>
          </w:p>
        </w:tc>
        <w:tc>
          <w:tcPr>
            <w:tcW w:w="3646" w:type="pct"/>
            <w:noWrap/>
            <w:vAlign w:val="center"/>
          </w:tcPr>
          <w:p>
            <w:pPr>
              <w:spacing w:line="4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根据投标人提供的2020年1月1日以来（以合同签订日期为准）的同类项目业绩，每提供1个得0.5分，最多得1分。 注：须提供合同复印件并加盖公章，否则不得分。</w:t>
            </w:r>
          </w:p>
        </w:tc>
        <w:tc>
          <w:tcPr>
            <w:tcW w:w="388" w:type="pct"/>
            <w:noWrap/>
            <w:vAlign w:val="center"/>
          </w:tcPr>
          <w:p>
            <w:pPr>
              <w:spacing w:line="4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1分</w:t>
            </w:r>
          </w:p>
        </w:tc>
      </w:tr>
    </w:tbl>
    <w:p>
      <w:pPr>
        <w:pStyle w:val="24"/>
        <w:spacing w:line="460" w:lineRule="exact"/>
        <w:ind w:left="0"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2、报价评分（10分）（权值10%）：</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满足招标文件要求且投标报价最低的投标报价为评标基准价，其余投标人投标报价与该基准价对比，计算出商务报价评分值（保留小数2位）：</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1）有效投标人的投标报价等于评标基准价时其报价分为满分；</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2）其他投标人的价格分按以下公式计算：</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投标报价得分=（评分基准价/投标人投标报价）× 价格权值 ×100（保留小数2位）</w:t>
      </w:r>
    </w:p>
    <w:p>
      <w:pPr>
        <w:spacing w:line="460" w:lineRule="exact"/>
        <w:ind w:firstLine="539" w:firstLineChars="245"/>
        <w:rPr>
          <w:rFonts w:ascii="宋体" w:hAnsi="宋体" w:cs="宋体"/>
          <w:color w:val="auto"/>
          <w:sz w:val="22"/>
          <w:szCs w:val="22"/>
          <w:highlight w:val="none"/>
          <w:lang w:val="zh-CN"/>
        </w:rPr>
      </w:pPr>
      <w:r>
        <w:rPr>
          <w:rFonts w:hint="eastAsia" w:ascii="宋体" w:hAnsi="宋体" w:cs="宋体"/>
          <w:color w:val="auto"/>
          <w:sz w:val="22"/>
          <w:szCs w:val="22"/>
          <w:highlight w:val="none"/>
        </w:rPr>
        <w:t>3、有效投标人的综合得分为技术分和商务（报价）分的总和。</w:t>
      </w:r>
    </w:p>
    <w:p>
      <w:pPr>
        <w:spacing w:line="460" w:lineRule="exact"/>
        <w:ind w:firstLine="539" w:firstLineChars="245"/>
        <w:rPr>
          <w:rFonts w:ascii="宋体" w:hAnsi="宋体" w:cs="宋体"/>
          <w:b/>
          <w:bCs/>
          <w:color w:val="auto"/>
          <w:sz w:val="22"/>
          <w:szCs w:val="22"/>
          <w:highlight w:val="none"/>
          <w:u w:val="single"/>
        </w:rPr>
      </w:pPr>
      <w:r>
        <w:rPr>
          <w:rFonts w:hint="eastAsia" w:ascii="宋体" w:hAnsi="宋体" w:cs="宋体"/>
          <w:color w:val="auto"/>
          <w:sz w:val="22"/>
          <w:szCs w:val="22"/>
          <w:highlight w:val="none"/>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460" w:lineRule="exact"/>
        <w:ind w:firstLine="541" w:firstLineChars="245"/>
        <w:outlineLvl w:val="1"/>
        <w:rPr>
          <w:rFonts w:ascii="宋体" w:hAnsi="宋体" w:cs="宋体"/>
          <w:b/>
          <w:bCs/>
          <w:color w:val="auto"/>
          <w:sz w:val="22"/>
          <w:szCs w:val="22"/>
          <w:highlight w:val="none"/>
        </w:rPr>
      </w:pPr>
      <w:bookmarkStart w:id="79" w:name="_Toc4727"/>
      <w:bookmarkStart w:id="80" w:name="_Toc2482"/>
      <w:r>
        <w:rPr>
          <w:rFonts w:hint="eastAsia" w:ascii="宋体" w:hAnsi="宋体" w:cs="宋体"/>
          <w:b/>
          <w:bCs/>
          <w:color w:val="auto"/>
          <w:sz w:val="22"/>
          <w:szCs w:val="22"/>
          <w:highlight w:val="none"/>
        </w:rPr>
        <w:t>六、定标办法</w:t>
      </w:r>
      <w:bookmarkEnd w:id="79"/>
      <w:bookmarkEnd w:id="80"/>
    </w:p>
    <w:p>
      <w:pPr>
        <w:spacing w:line="460" w:lineRule="exact"/>
        <w:ind w:firstLine="539" w:firstLineChars="245"/>
        <w:rPr>
          <w:rFonts w:ascii="宋体" w:hAnsi="宋体" w:cs="宋体"/>
          <w:b/>
          <w:color w:val="auto"/>
          <w:sz w:val="22"/>
          <w:szCs w:val="22"/>
          <w:highlight w:val="none"/>
        </w:rPr>
      </w:pPr>
      <w:r>
        <w:rPr>
          <w:rFonts w:hint="eastAsia" w:ascii="宋体" w:hAnsi="宋体" w:cs="宋体"/>
          <w:color w:val="auto"/>
          <w:sz w:val="22"/>
          <w:szCs w:val="22"/>
          <w:highlight w:val="none"/>
        </w:rPr>
        <w:t>1</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确定中标候选人</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1.1由评标委员会确定中标候选人。</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2、确定中标人</w:t>
      </w:r>
    </w:p>
    <w:p>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 xml:space="preserve"> 2.1招标人按照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3</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中标人确定后，招标人将在指定媒体公告中标结果，招标人向中标人发出中标通知书。</w:t>
      </w:r>
    </w:p>
    <w:p>
      <w:pPr>
        <w:spacing w:line="460" w:lineRule="exact"/>
        <w:ind w:firstLine="541" w:firstLineChars="245"/>
        <w:outlineLvl w:val="1"/>
        <w:rPr>
          <w:rFonts w:ascii="宋体" w:hAnsi="宋体" w:cs="宋体"/>
          <w:b/>
          <w:color w:val="auto"/>
          <w:sz w:val="22"/>
          <w:szCs w:val="22"/>
          <w:highlight w:val="none"/>
        </w:rPr>
      </w:pPr>
      <w:bookmarkStart w:id="81" w:name="_Toc17587"/>
      <w:bookmarkStart w:id="82" w:name="_Toc3629"/>
      <w:r>
        <w:rPr>
          <w:rFonts w:hint="eastAsia" w:ascii="宋体" w:hAnsi="宋体" w:cs="宋体"/>
          <w:b/>
          <w:color w:val="auto"/>
          <w:sz w:val="22"/>
          <w:szCs w:val="22"/>
          <w:highlight w:val="none"/>
        </w:rPr>
        <w:t>七、投标人义务</w:t>
      </w:r>
      <w:bookmarkEnd w:id="81"/>
      <w:bookmarkEnd w:id="82"/>
    </w:p>
    <w:p>
      <w:pPr>
        <w:spacing w:line="460" w:lineRule="exact"/>
        <w:ind w:firstLine="539" w:firstLineChars="245"/>
        <w:rPr>
          <w:rFonts w:ascii="宋体" w:hAnsi="宋体" w:cs="宋体"/>
          <w:color w:val="auto"/>
          <w:highlight w:val="none"/>
        </w:rPr>
      </w:pPr>
      <w:r>
        <w:rPr>
          <w:rFonts w:hint="eastAsia" w:ascii="宋体" w:hAnsi="宋体" w:cs="宋体"/>
          <w:color w:val="auto"/>
          <w:sz w:val="22"/>
          <w:szCs w:val="22"/>
          <w:highlight w:val="none"/>
        </w:rPr>
        <w:t>投标人应随时接受评标委员会的询标，解答包括有关的商务、技术问题等。评标结束，所有评标资料存招标机构备查。</w:t>
      </w:r>
    </w:p>
    <w:p>
      <w:pPr>
        <w:spacing w:line="460" w:lineRule="exact"/>
        <w:jc w:val="center"/>
        <w:rPr>
          <w:rFonts w:ascii="宋体" w:hAnsi="宋体" w:cs="宋体"/>
          <w:b/>
          <w:color w:val="auto"/>
          <w:sz w:val="32"/>
          <w:szCs w:val="32"/>
          <w:highlight w:val="none"/>
        </w:rPr>
      </w:pPr>
    </w:p>
    <w:p>
      <w:pPr>
        <w:pStyle w:val="24"/>
        <w:ind w:left="440" w:hanging="440"/>
        <w:rPr>
          <w:rFonts w:ascii="宋体" w:hAnsi="宋体" w:cs="宋体"/>
          <w:color w:val="auto"/>
          <w:kern w:val="0"/>
          <w:sz w:val="22"/>
          <w:szCs w:val="22"/>
          <w:highlight w:val="none"/>
        </w:rPr>
      </w:pPr>
    </w:p>
    <w:sectPr>
      <w:headerReference r:id="rId5" w:type="default"/>
      <w:footerReference r:id="rId6" w:type="default"/>
      <w:pgSz w:w="11906" w:h="16838"/>
      <w:pgMar w:top="1134" w:right="1134" w:bottom="1134" w:left="1134" w:header="850"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panose1 w:val="020B0604020202020204"/>
    <w:charset w:val="86"/>
    <w:family w:val="swiss"/>
    <w:pitch w:val="default"/>
    <w:sig w:usb0="FFFFFFFF" w:usb1="E9FFFFFF"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Microsoft JhengHei UI"/>
    <w:panose1 w:val="02010601000101010101"/>
    <w:charset w:val="88"/>
    <w:family w:val="roman"/>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icrosoft JhengHei U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56"/>
      </w:rPr>
    </w:pPr>
    <w:r>
      <w:fldChar w:fldCharType="begin"/>
    </w:r>
    <w:r>
      <w:rPr>
        <w:rStyle w:val="56"/>
      </w:rPr>
      <w:instrText xml:space="preserve">PAGE  </w:instrText>
    </w:r>
    <w:r>
      <w:fldChar w:fldCharType="separate"/>
    </w:r>
    <w:r>
      <w:rPr>
        <w:rStyle w:val="56"/>
      </w:rPr>
      <w:t>48</w:t>
    </w:r>
    <w:r>
      <w:fldChar w:fldCharType="end"/>
    </w:r>
  </w:p>
  <w:p>
    <w:pPr>
      <w:pStyle w:val="36"/>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56"/>
      </w:rPr>
    </w:pPr>
    <w:r>
      <w:fldChar w:fldCharType="begin"/>
    </w:r>
    <w:r>
      <w:rPr>
        <w:rStyle w:val="56"/>
      </w:rPr>
      <w:instrText xml:space="preserve">PAGE  </w:instrText>
    </w:r>
    <w:r>
      <w:fldChar w:fldCharType="separate"/>
    </w:r>
    <w:r>
      <w:rPr>
        <w:rStyle w:val="56"/>
      </w:rPr>
      <w:t>54</w:t>
    </w:r>
    <w:r>
      <w:fldChar w:fldCharType="end"/>
    </w:r>
  </w:p>
  <w:p>
    <w:pPr>
      <w:pStyle w:val="36"/>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single" w:color="auto" w:sz="6" w:space="0"/>
      </w:pBdr>
      <w:jc w:val="both"/>
    </w:pPr>
    <w:r>
      <w:rPr>
        <w:rFonts w:hint="eastAsia"/>
      </w:rPr>
      <w:t>温州市政府（分散）采购招标文件                                          项目编号：WZLCZB（W）-2023-02043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single" w:color="auto" w:sz="6" w:space="0"/>
      </w:pBdr>
      <w:jc w:val="both"/>
    </w:pPr>
    <w:r>
      <w:rPr>
        <w:rFonts w:hint="eastAsia"/>
      </w:rPr>
      <w:t xml:space="preserve">温州市政府（分散）采购招标文件                                             项目编号：WZLCZB（W）-2023-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95B910"/>
    <w:multiLevelType w:val="singleLevel"/>
    <w:tmpl w:val="9A95B910"/>
    <w:lvl w:ilvl="0" w:tentative="0">
      <w:start w:val="1"/>
      <w:numFmt w:val="decimal"/>
      <w:suff w:val="nothing"/>
      <w:lvlText w:val="%1、"/>
      <w:lvlJc w:val="left"/>
    </w:lvl>
  </w:abstractNum>
  <w:abstractNum w:abstractNumId="1">
    <w:nsid w:val="9DED2AFC"/>
    <w:multiLevelType w:val="singleLevel"/>
    <w:tmpl w:val="9DED2AFC"/>
    <w:lvl w:ilvl="0" w:tentative="0">
      <w:start w:val="4"/>
      <w:numFmt w:val="chineseCounting"/>
      <w:suff w:val="space"/>
      <w:lvlText w:val="第%1部分"/>
      <w:lvlJc w:val="left"/>
      <w:rPr>
        <w:rFonts w:hint="eastAsia"/>
      </w:rPr>
    </w:lvl>
  </w:abstractNum>
  <w:abstractNum w:abstractNumId="2">
    <w:nsid w:val="B1C0EE6B"/>
    <w:multiLevelType w:val="singleLevel"/>
    <w:tmpl w:val="B1C0EE6B"/>
    <w:lvl w:ilvl="0" w:tentative="0">
      <w:start w:val="5"/>
      <w:numFmt w:val="chineseCounting"/>
      <w:suff w:val="nothing"/>
      <w:lvlText w:val="%1、"/>
      <w:lvlJc w:val="left"/>
      <w:rPr>
        <w:rFonts w:hint="eastAsia"/>
      </w:rPr>
    </w:lvl>
  </w:abstractNum>
  <w:abstractNum w:abstractNumId="3">
    <w:nsid w:val="B8A1DC20"/>
    <w:multiLevelType w:val="singleLevel"/>
    <w:tmpl w:val="B8A1DC20"/>
    <w:lvl w:ilvl="0" w:tentative="0">
      <w:start w:val="4"/>
      <w:numFmt w:val="chineseCounting"/>
      <w:suff w:val="space"/>
      <w:lvlText w:val="第%1条"/>
      <w:lvlJc w:val="left"/>
      <w:rPr>
        <w:rFonts w:hint="eastAsia"/>
      </w:rPr>
    </w:lvl>
  </w:abstractNum>
  <w:abstractNum w:abstractNumId="4">
    <w:nsid w:val="BAF9EC89"/>
    <w:multiLevelType w:val="singleLevel"/>
    <w:tmpl w:val="BAF9EC89"/>
    <w:lvl w:ilvl="0" w:tentative="0">
      <w:start w:val="1"/>
      <w:numFmt w:val="chineseCounting"/>
      <w:suff w:val="nothing"/>
      <w:lvlText w:val="（%1）"/>
      <w:lvlJc w:val="left"/>
      <w:rPr>
        <w:rFonts w:hint="eastAsia"/>
      </w:rPr>
    </w:lvl>
  </w:abstractNum>
  <w:abstractNum w:abstractNumId="5">
    <w:nsid w:val="CD31F181"/>
    <w:multiLevelType w:val="singleLevel"/>
    <w:tmpl w:val="CD31F181"/>
    <w:lvl w:ilvl="0" w:tentative="0">
      <w:start w:val="1"/>
      <w:numFmt w:val="decimal"/>
      <w:suff w:val="nothing"/>
      <w:lvlText w:val="%1、"/>
      <w:lvlJc w:val="left"/>
    </w:lvl>
  </w:abstractNum>
  <w:abstractNum w:abstractNumId="6">
    <w:nsid w:val="52D7A3B6"/>
    <w:multiLevelType w:val="singleLevel"/>
    <w:tmpl w:val="52D7A3B6"/>
    <w:lvl w:ilvl="0" w:tentative="0">
      <w:start w:val="1"/>
      <w:numFmt w:val="decimal"/>
      <w:suff w:val="nothing"/>
      <w:lvlText w:val="（%1）"/>
      <w:lvlJc w:val="left"/>
    </w:lvl>
  </w:abstractNum>
  <w:num w:numId="1">
    <w:abstractNumId w:val="6"/>
  </w:num>
  <w:num w:numId="2">
    <w:abstractNumId w:val="3"/>
  </w:num>
  <w:num w:numId="3">
    <w:abstractNumId w:val="5"/>
  </w:num>
  <w:num w:numId="4">
    <w:abstractNumId w:val="4"/>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M0NWM0YjQ0NTJjNDY5ZjBmYTIzZWIyMWExMGIxOWEifQ=="/>
  </w:docVars>
  <w:rsids>
    <w:rsidRoot w:val="00172A27"/>
    <w:rsid w:val="000149E3"/>
    <w:rsid w:val="00020693"/>
    <w:rsid w:val="000217C7"/>
    <w:rsid w:val="00026A46"/>
    <w:rsid w:val="00027D0D"/>
    <w:rsid w:val="00031F49"/>
    <w:rsid w:val="00037B6F"/>
    <w:rsid w:val="000474B4"/>
    <w:rsid w:val="00063600"/>
    <w:rsid w:val="000A2B42"/>
    <w:rsid w:val="000A6326"/>
    <w:rsid w:val="000B2878"/>
    <w:rsid w:val="0010260A"/>
    <w:rsid w:val="0013451B"/>
    <w:rsid w:val="00146E35"/>
    <w:rsid w:val="00172A27"/>
    <w:rsid w:val="00176791"/>
    <w:rsid w:val="0019644F"/>
    <w:rsid w:val="00196580"/>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405F28"/>
    <w:rsid w:val="0041137E"/>
    <w:rsid w:val="00430AB9"/>
    <w:rsid w:val="00441256"/>
    <w:rsid w:val="0045663E"/>
    <w:rsid w:val="00460C5F"/>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2DB7"/>
    <w:rsid w:val="00586839"/>
    <w:rsid w:val="00587A14"/>
    <w:rsid w:val="00587D9F"/>
    <w:rsid w:val="005A1DD3"/>
    <w:rsid w:val="005A3AA2"/>
    <w:rsid w:val="005A65DF"/>
    <w:rsid w:val="005B3595"/>
    <w:rsid w:val="005C388F"/>
    <w:rsid w:val="00607A59"/>
    <w:rsid w:val="00631E7A"/>
    <w:rsid w:val="0064398C"/>
    <w:rsid w:val="00644CD7"/>
    <w:rsid w:val="00647AB1"/>
    <w:rsid w:val="00654A9F"/>
    <w:rsid w:val="00692D32"/>
    <w:rsid w:val="00696C82"/>
    <w:rsid w:val="006A1CF7"/>
    <w:rsid w:val="006B3E1C"/>
    <w:rsid w:val="006D6C7C"/>
    <w:rsid w:val="006E2672"/>
    <w:rsid w:val="007006DE"/>
    <w:rsid w:val="007068AC"/>
    <w:rsid w:val="00722BB3"/>
    <w:rsid w:val="00733B63"/>
    <w:rsid w:val="00740E65"/>
    <w:rsid w:val="00753072"/>
    <w:rsid w:val="007546B0"/>
    <w:rsid w:val="007671B7"/>
    <w:rsid w:val="00767AFF"/>
    <w:rsid w:val="00774E3F"/>
    <w:rsid w:val="00776F48"/>
    <w:rsid w:val="00780CBF"/>
    <w:rsid w:val="00781B95"/>
    <w:rsid w:val="007A21E8"/>
    <w:rsid w:val="007A62BD"/>
    <w:rsid w:val="007B564B"/>
    <w:rsid w:val="007B769B"/>
    <w:rsid w:val="007E29D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2AA2"/>
    <w:rsid w:val="00910F7A"/>
    <w:rsid w:val="009254A6"/>
    <w:rsid w:val="0093089E"/>
    <w:rsid w:val="00933974"/>
    <w:rsid w:val="00936127"/>
    <w:rsid w:val="00945DCB"/>
    <w:rsid w:val="00955E4C"/>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66E6"/>
    <w:rsid w:val="00AE4B39"/>
    <w:rsid w:val="00AF7BEB"/>
    <w:rsid w:val="00B06E43"/>
    <w:rsid w:val="00B2584A"/>
    <w:rsid w:val="00B41362"/>
    <w:rsid w:val="00B43A9E"/>
    <w:rsid w:val="00B44537"/>
    <w:rsid w:val="00B5466C"/>
    <w:rsid w:val="00B65D5D"/>
    <w:rsid w:val="00B74039"/>
    <w:rsid w:val="00B87E26"/>
    <w:rsid w:val="00B9767A"/>
    <w:rsid w:val="00BA78D1"/>
    <w:rsid w:val="00BC0A13"/>
    <w:rsid w:val="00BC2B54"/>
    <w:rsid w:val="00BC4AC5"/>
    <w:rsid w:val="00BC66D1"/>
    <w:rsid w:val="00BF1399"/>
    <w:rsid w:val="00BF32BD"/>
    <w:rsid w:val="00C12358"/>
    <w:rsid w:val="00C232C8"/>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C44CE"/>
    <w:rsid w:val="00FD52B1"/>
    <w:rsid w:val="00FF3A66"/>
    <w:rsid w:val="00FF6977"/>
    <w:rsid w:val="0116709E"/>
    <w:rsid w:val="01606883"/>
    <w:rsid w:val="01661B19"/>
    <w:rsid w:val="01C62A5D"/>
    <w:rsid w:val="020D29B1"/>
    <w:rsid w:val="021F7DAD"/>
    <w:rsid w:val="0224444B"/>
    <w:rsid w:val="022D7429"/>
    <w:rsid w:val="02451328"/>
    <w:rsid w:val="02583E9E"/>
    <w:rsid w:val="027D25C0"/>
    <w:rsid w:val="02841565"/>
    <w:rsid w:val="02B3222E"/>
    <w:rsid w:val="02F63BA4"/>
    <w:rsid w:val="031D0871"/>
    <w:rsid w:val="03283281"/>
    <w:rsid w:val="03331487"/>
    <w:rsid w:val="033727DC"/>
    <w:rsid w:val="034A64CB"/>
    <w:rsid w:val="039714E5"/>
    <w:rsid w:val="03BE392F"/>
    <w:rsid w:val="03E13A1E"/>
    <w:rsid w:val="04156ACE"/>
    <w:rsid w:val="042A5AFC"/>
    <w:rsid w:val="043D6DF1"/>
    <w:rsid w:val="043F2279"/>
    <w:rsid w:val="044865A2"/>
    <w:rsid w:val="04651CD8"/>
    <w:rsid w:val="048D46D7"/>
    <w:rsid w:val="04A01243"/>
    <w:rsid w:val="04C27070"/>
    <w:rsid w:val="04E23C80"/>
    <w:rsid w:val="04FD6D0A"/>
    <w:rsid w:val="050751FC"/>
    <w:rsid w:val="05166806"/>
    <w:rsid w:val="05171104"/>
    <w:rsid w:val="0529508C"/>
    <w:rsid w:val="053A30CA"/>
    <w:rsid w:val="057D25F0"/>
    <w:rsid w:val="05884957"/>
    <w:rsid w:val="05936339"/>
    <w:rsid w:val="05D76F02"/>
    <w:rsid w:val="062F7E7F"/>
    <w:rsid w:val="0650016B"/>
    <w:rsid w:val="06695ADA"/>
    <w:rsid w:val="067F52AB"/>
    <w:rsid w:val="06E17425"/>
    <w:rsid w:val="06E81491"/>
    <w:rsid w:val="07081502"/>
    <w:rsid w:val="072046E3"/>
    <w:rsid w:val="07373C8C"/>
    <w:rsid w:val="074234A9"/>
    <w:rsid w:val="0747552D"/>
    <w:rsid w:val="07592C30"/>
    <w:rsid w:val="07791E20"/>
    <w:rsid w:val="078177D5"/>
    <w:rsid w:val="07924879"/>
    <w:rsid w:val="079C0E64"/>
    <w:rsid w:val="07D37D83"/>
    <w:rsid w:val="07D60F62"/>
    <w:rsid w:val="08621901"/>
    <w:rsid w:val="08911C02"/>
    <w:rsid w:val="08913549"/>
    <w:rsid w:val="08A302D0"/>
    <w:rsid w:val="08B53A61"/>
    <w:rsid w:val="08DB6A0C"/>
    <w:rsid w:val="08E76FD5"/>
    <w:rsid w:val="08FD20E7"/>
    <w:rsid w:val="09101BCD"/>
    <w:rsid w:val="09315C91"/>
    <w:rsid w:val="09496983"/>
    <w:rsid w:val="09510BFE"/>
    <w:rsid w:val="097E368B"/>
    <w:rsid w:val="09816EE6"/>
    <w:rsid w:val="099757EE"/>
    <w:rsid w:val="09A34824"/>
    <w:rsid w:val="09B85302"/>
    <w:rsid w:val="09B94936"/>
    <w:rsid w:val="09C24D51"/>
    <w:rsid w:val="09D26DBF"/>
    <w:rsid w:val="09F65854"/>
    <w:rsid w:val="0A07422F"/>
    <w:rsid w:val="0A113F31"/>
    <w:rsid w:val="0A1B49C1"/>
    <w:rsid w:val="0A3D0590"/>
    <w:rsid w:val="0A66358B"/>
    <w:rsid w:val="0A70287A"/>
    <w:rsid w:val="0A7416D8"/>
    <w:rsid w:val="0A8945EB"/>
    <w:rsid w:val="0BAC1F4C"/>
    <w:rsid w:val="0BBE4F63"/>
    <w:rsid w:val="0BDA530A"/>
    <w:rsid w:val="0C0247C0"/>
    <w:rsid w:val="0C353302"/>
    <w:rsid w:val="0C496297"/>
    <w:rsid w:val="0C660E5E"/>
    <w:rsid w:val="0C9A109E"/>
    <w:rsid w:val="0CA74D09"/>
    <w:rsid w:val="0CA9483B"/>
    <w:rsid w:val="0CC51217"/>
    <w:rsid w:val="0D0A01F7"/>
    <w:rsid w:val="0D1F1C9D"/>
    <w:rsid w:val="0D335069"/>
    <w:rsid w:val="0D735BCC"/>
    <w:rsid w:val="0D7C2119"/>
    <w:rsid w:val="0D920730"/>
    <w:rsid w:val="0DE33D9A"/>
    <w:rsid w:val="0E022677"/>
    <w:rsid w:val="0E064CB1"/>
    <w:rsid w:val="0E3D312E"/>
    <w:rsid w:val="0E4706D1"/>
    <w:rsid w:val="0E4B6575"/>
    <w:rsid w:val="0E5C2643"/>
    <w:rsid w:val="0E6537C4"/>
    <w:rsid w:val="0E701E1B"/>
    <w:rsid w:val="0E750CB0"/>
    <w:rsid w:val="0E8E6882"/>
    <w:rsid w:val="0EE50D43"/>
    <w:rsid w:val="0F0377AE"/>
    <w:rsid w:val="0F0C257F"/>
    <w:rsid w:val="0F0E6EE3"/>
    <w:rsid w:val="0F706416"/>
    <w:rsid w:val="0FCD5779"/>
    <w:rsid w:val="0FD03A0D"/>
    <w:rsid w:val="10034646"/>
    <w:rsid w:val="1033603C"/>
    <w:rsid w:val="10381F40"/>
    <w:rsid w:val="104869BA"/>
    <w:rsid w:val="10575CC4"/>
    <w:rsid w:val="10F47168"/>
    <w:rsid w:val="110264F1"/>
    <w:rsid w:val="1104198D"/>
    <w:rsid w:val="1105049E"/>
    <w:rsid w:val="115434FF"/>
    <w:rsid w:val="115D3896"/>
    <w:rsid w:val="119F5E0F"/>
    <w:rsid w:val="11B62E53"/>
    <w:rsid w:val="12103D4D"/>
    <w:rsid w:val="12345EA5"/>
    <w:rsid w:val="124027F2"/>
    <w:rsid w:val="125A673E"/>
    <w:rsid w:val="12775E6D"/>
    <w:rsid w:val="12A01322"/>
    <w:rsid w:val="12AB0828"/>
    <w:rsid w:val="12E05DF5"/>
    <w:rsid w:val="133616DD"/>
    <w:rsid w:val="13582BF6"/>
    <w:rsid w:val="13583E3E"/>
    <w:rsid w:val="138356B4"/>
    <w:rsid w:val="13884680"/>
    <w:rsid w:val="13996DA4"/>
    <w:rsid w:val="13A56966"/>
    <w:rsid w:val="13B56A40"/>
    <w:rsid w:val="13D309B3"/>
    <w:rsid w:val="13EC3F05"/>
    <w:rsid w:val="13FF0438"/>
    <w:rsid w:val="14077D57"/>
    <w:rsid w:val="14342819"/>
    <w:rsid w:val="14956ECE"/>
    <w:rsid w:val="14965811"/>
    <w:rsid w:val="14D92610"/>
    <w:rsid w:val="15001500"/>
    <w:rsid w:val="154A25D7"/>
    <w:rsid w:val="15525604"/>
    <w:rsid w:val="156E5828"/>
    <w:rsid w:val="15B36E57"/>
    <w:rsid w:val="15B43A33"/>
    <w:rsid w:val="15C02CFA"/>
    <w:rsid w:val="15D02588"/>
    <w:rsid w:val="162D552A"/>
    <w:rsid w:val="163004AD"/>
    <w:rsid w:val="164356BB"/>
    <w:rsid w:val="166F777C"/>
    <w:rsid w:val="169C21B8"/>
    <w:rsid w:val="169C6B59"/>
    <w:rsid w:val="16BB60A4"/>
    <w:rsid w:val="16D604C4"/>
    <w:rsid w:val="173A5387"/>
    <w:rsid w:val="17725C57"/>
    <w:rsid w:val="17755246"/>
    <w:rsid w:val="17800AEC"/>
    <w:rsid w:val="17AF7483"/>
    <w:rsid w:val="17E55363"/>
    <w:rsid w:val="18245E40"/>
    <w:rsid w:val="186B461D"/>
    <w:rsid w:val="186F3DEF"/>
    <w:rsid w:val="188B4950"/>
    <w:rsid w:val="18C7387D"/>
    <w:rsid w:val="18C76564"/>
    <w:rsid w:val="18D43B9B"/>
    <w:rsid w:val="19087A11"/>
    <w:rsid w:val="191B7534"/>
    <w:rsid w:val="196C6250"/>
    <w:rsid w:val="196E2C37"/>
    <w:rsid w:val="1974690A"/>
    <w:rsid w:val="19C072D3"/>
    <w:rsid w:val="1A18361C"/>
    <w:rsid w:val="1A25720B"/>
    <w:rsid w:val="1A415FEF"/>
    <w:rsid w:val="1A510684"/>
    <w:rsid w:val="1A6171B2"/>
    <w:rsid w:val="1AA65F2A"/>
    <w:rsid w:val="1AA666F2"/>
    <w:rsid w:val="1ADC340E"/>
    <w:rsid w:val="1AED2C78"/>
    <w:rsid w:val="1AEF15D5"/>
    <w:rsid w:val="1B1F6B22"/>
    <w:rsid w:val="1B343FD0"/>
    <w:rsid w:val="1B356551"/>
    <w:rsid w:val="1B377F92"/>
    <w:rsid w:val="1B3E4ABA"/>
    <w:rsid w:val="1B547B6E"/>
    <w:rsid w:val="1B9D2D2C"/>
    <w:rsid w:val="1BAB13EA"/>
    <w:rsid w:val="1BE02644"/>
    <w:rsid w:val="1BF27CE6"/>
    <w:rsid w:val="1BF57F17"/>
    <w:rsid w:val="1C13053F"/>
    <w:rsid w:val="1C133496"/>
    <w:rsid w:val="1C162BF5"/>
    <w:rsid w:val="1C212DFA"/>
    <w:rsid w:val="1C3065A1"/>
    <w:rsid w:val="1C32514E"/>
    <w:rsid w:val="1C8449C2"/>
    <w:rsid w:val="1C8676F7"/>
    <w:rsid w:val="1C8B5EF5"/>
    <w:rsid w:val="1C9B7764"/>
    <w:rsid w:val="1C9C37E6"/>
    <w:rsid w:val="1CA3081A"/>
    <w:rsid w:val="1CB81673"/>
    <w:rsid w:val="1CEB7EC5"/>
    <w:rsid w:val="1D0A50BD"/>
    <w:rsid w:val="1D2A3DAB"/>
    <w:rsid w:val="1D46542E"/>
    <w:rsid w:val="1D6359BB"/>
    <w:rsid w:val="1D664936"/>
    <w:rsid w:val="1D71729C"/>
    <w:rsid w:val="1D981331"/>
    <w:rsid w:val="1DAB3C89"/>
    <w:rsid w:val="1DC06E93"/>
    <w:rsid w:val="1DCC77C2"/>
    <w:rsid w:val="1DCF4890"/>
    <w:rsid w:val="1DFB57EB"/>
    <w:rsid w:val="1E0062C5"/>
    <w:rsid w:val="1E323306"/>
    <w:rsid w:val="1E4F15C4"/>
    <w:rsid w:val="1E665E93"/>
    <w:rsid w:val="1E6D0B8E"/>
    <w:rsid w:val="1E740910"/>
    <w:rsid w:val="1E8A1B7B"/>
    <w:rsid w:val="1ECC2070"/>
    <w:rsid w:val="1ED05FDD"/>
    <w:rsid w:val="1EDA4565"/>
    <w:rsid w:val="1F0115E6"/>
    <w:rsid w:val="1F8B73B9"/>
    <w:rsid w:val="1FC0508F"/>
    <w:rsid w:val="1FD17519"/>
    <w:rsid w:val="1FD83AF5"/>
    <w:rsid w:val="1FDE37FF"/>
    <w:rsid w:val="1FE87CF6"/>
    <w:rsid w:val="20142293"/>
    <w:rsid w:val="202875D1"/>
    <w:rsid w:val="203B6405"/>
    <w:rsid w:val="204042C4"/>
    <w:rsid w:val="204434A6"/>
    <w:rsid w:val="208E2CB0"/>
    <w:rsid w:val="20C7192F"/>
    <w:rsid w:val="20C94ACB"/>
    <w:rsid w:val="20F3606E"/>
    <w:rsid w:val="2117534C"/>
    <w:rsid w:val="213009EF"/>
    <w:rsid w:val="213D75BE"/>
    <w:rsid w:val="213F7AB1"/>
    <w:rsid w:val="217A33A1"/>
    <w:rsid w:val="21872636"/>
    <w:rsid w:val="218F2648"/>
    <w:rsid w:val="21AB5C9B"/>
    <w:rsid w:val="21B427AB"/>
    <w:rsid w:val="21BD46E0"/>
    <w:rsid w:val="227C0C68"/>
    <w:rsid w:val="227D1F07"/>
    <w:rsid w:val="22AE5DFE"/>
    <w:rsid w:val="22C667F9"/>
    <w:rsid w:val="22E57920"/>
    <w:rsid w:val="23025E80"/>
    <w:rsid w:val="232F7577"/>
    <w:rsid w:val="235C31B0"/>
    <w:rsid w:val="23C16FD2"/>
    <w:rsid w:val="242C445B"/>
    <w:rsid w:val="247E04BE"/>
    <w:rsid w:val="248B6BF0"/>
    <w:rsid w:val="24975A35"/>
    <w:rsid w:val="24A451C8"/>
    <w:rsid w:val="24B0777F"/>
    <w:rsid w:val="24B80E3D"/>
    <w:rsid w:val="24BA3A6C"/>
    <w:rsid w:val="24C14262"/>
    <w:rsid w:val="24DB11B1"/>
    <w:rsid w:val="24DB1DC1"/>
    <w:rsid w:val="25213E74"/>
    <w:rsid w:val="254579AD"/>
    <w:rsid w:val="25550995"/>
    <w:rsid w:val="25916749"/>
    <w:rsid w:val="25B15AD3"/>
    <w:rsid w:val="25E5097B"/>
    <w:rsid w:val="25ED1CE2"/>
    <w:rsid w:val="260366CA"/>
    <w:rsid w:val="26190B1E"/>
    <w:rsid w:val="261954E5"/>
    <w:rsid w:val="26B25A04"/>
    <w:rsid w:val="26E86A48"/>
    <w:rsid w:val="27101EDB"/>
    <w:rsid w:val="271764CE"/>
    <w:rsid w:val="27450F96"/>
    <w:rsid w:val="27A03254"/>
    <w:rsid w:val="27A230C5"/>
    <w:rsid w:val="27A851CF"/>
    <w:rsid w:val="27F6755B"/>
    <w:rsid w:val="2835156C"/>
    <w:rsid w:val="28496CD9"/>
    <w:rsid w:val="285E7742"/>
    <w:rsid w:val="285F589C"/>
    <w:rsid w:val="2860075F"/>
    <w:rsid w:val="288E7537"/>
    <w:rsid w:val="28D51CE9"/>
    <w:rsid w:val="28E0382C"/>
    <w:rsid w:val="28FB2940"/>
    <w:rsid w:val="2935387C"/>
    <w:rsid w:val="295642C7"/>
    <w:rsid w:val="29923BE6"/>
    <w:rsid w:val="29D70027"/>
    <w:rsid w:val="29E4565C"/>
    <w:rsid w:val="2A217644"/>
    <w:rsid w:val="2A5522DC"/>
    <w:rsid w:val="2A6D7AE4"/>
    <w:rsid w:val="2A81126C"/>
    <w:rsid w:val="2A9A509F"/>
    <w:rsid w:val="2ABE75C5"/>
    <w:rsid w:val="2AC54EDF"/>
    <w:rsid w:val="2ADE1592"/>
    <w:rsid w:val="2AE72478"/>
    <w:rsid w:val="2AF054B9"/>
    <w:rsid w:val="2AFE6BB2"/>
    <w:rsid w:val="2AFF547A"/>
    <w:rsid w:val="2B0F5BE3"/>
    <w:rsid w:val="2B194010"/>
    <w:rsid w:val="2B1A0A86"/>
    <w:rsid w:val="2B766889"/>
    <w:rsid w:val="2B8F7412"/>
    <w:rsid w:val="2BB62C14"/>
    <w:rsid w:val="2BB82208"/>
    <w:rsid w:val="2BC1544C"/>
    <w:rsid w:val="2BF25A55"/>
    <w:rsid w:val="2BF83122"/>
    <w:rsid w:val="2C4D4422"/>
    <w:rsid w:val="2C61592A"/>
    <w:rsid w:val="2C640943"/>
    <w:rsid w:val="2CF23348"/>
    <w:rsid w:val="2D0212AF"/>
    <w:rsid w:val="2D0721CE"/>
    <w:rsid w:val="2D2D0FB8"/>
    <w:rsid w:val="2D5369A4"/>
    <w:rsid w:val="2D553E12"/>
    <w:rsid w:val="2D563294"/>
    <w:rsid w:val="2D572DE8"/>
    <w:rsid w:val="2D7657B0"/>
    <w:rsid w:val="2DA92533"/>
    <w:rsid w:val="2DAD4DA2"/>
    <w:rsid w:val="2DC542FD"/>
    <w:rsid w:val="2E0125C5"/>
    <w:rsid w:val="2E027319"/>
    <w:rsid w:val="2E740C9C"/>
    <w:rsid w:val="2E912614"/>
    <w:rsid w:val="2EB82B9B"/>
    <w:rsid w:val="2EDB211E"/>
    <w:rsid w:val="2F5803E5"/>
    <w:rsid w:val="2FAF734F"/>
    <w:rsid w:val="2FB74538"/>
    <w:rsid w:val="2FC85BC4"/>
    <w:rsid w:val="2FF16930"/>
    <w:rsid w:val="30255652"/>
    <w:rsid w:val="302A5959"/>
    <w:rsid w:val="302D6129"/>
    <w:rsid w:val="305B0C4B"/>
    <w:rsid w:val="306F34C7"/>
    <w:rsid w:val="31024AE6"/>
    <w:rsid w:val="31232744"/>
    <w:rsid w:val="313F60CD"/>
    <w:rsid w:val="316C164E"/>
    <w:rsid w:val="31AC33EA"/>
    <w:rsid w:val="31B469D0"/>
    <w:rsid w:val="31D64F96"/>
    <w:rsid w:val="32017181"/>
    <w:rsid w:val="3202578C"/>
    <w:rsid w:val="326D3B31"/>
    <w:rsid w:val="327021FA"/>
    <w:rsid w:val="329C1DF0"/>
    <w:rsid w:val="329E2BA3"/>
    <w:rsid w:val="32AE2918"/>
    <w:rsid w:val="32AE7A75"/>
    <w:rsid w:val="32E032B1"/>
    <w:rsid w:val="32EF11A3"/>
    <w:rsid w:val="32EF2028"/>
    <w:rsid w:val="33011C41"/>
    <w:rsid w:val="333C6A3D"/>
    <w:rsid w:val="33644CFD"/>
    <w:rsid w:val="33774568"/>
    <w:rsid w:val="33A0028D"/>
    <w:rsid w:val="33A570FA"/>
    <w:rsid w:val="33C1666D"/>
    <w:rsid w:val="33D32C1C"/>
    <w:rsid w:val="33D92429"/>
    <w:rsid w:val="343B3818"/>
    <w:rsid w:val="343C1893"/>
    <w:rsid w:val="357F5F46"/>
    <w:rsid w:val="358526AE"/>
    <w:rsid w:val="35B43FF1"/>
    <w:rsid w:val="35B54B22"/>
    <w:rsid w:val="35C44201"/>
    <w:rsid w:val="35DF0F8E"/>
    <w:rsid w:val="35E83CBD"/>
    <w:rsid w:val="35EF293B"/>
    <w:rsid w:val="35F13A2A"/>
    <w:rsid w:val="360453EB"/>
    <w:rsid w:val="361633A9"/>
    <w:rsid w:val="362C0965"/>
    <w:rsid w:val="36495F37"/>
    <w:rsid w:val="364B4655"/>
    <w:rsid w:val="36523501"/>
    <w:rsid w:val="366A6E58"/>
    <w:rsid w:val="36BB1F22"/>
    <w:rsid w:val="37366041"/>
    <w:rsid w:val="373D0F4E"/>
    <w:rsid w:val="3746396D"/>
    <w:rsid w:val="374F7DD4"/>
    <w:rsid w:val="37625DAE"/>
    <w:rsid w:val="377717B0"/>
    <w:rsid w:val="379D7A74"/>
    <w:rsid w:val="37A03DDA"/>
    <w:rsid w:val="37DC389E"/>
    <w:rsid w:val="37E41DF1"/>
    <w:rsid w:val="37FC364E"/>
    <w:rsid w:val="38463090"/>
    <w:rsid w:val="3850049E"/>
    <w:rsid w:val="3882116E"/>
    <w:rsid w:val="388234B9"/>
    <w:rsid w:val="38880C47"/>
    <w:rsid w:val="388A1731"/>
    <w:rsid w:val="38973473"/>
    <w:rsid w:val="38A56CC9"/>
    <w:rsid w:val="38C05F24"/>
    <w:rsid w:val="38D750B8"/>
    <w:rsid w:val="38F2240C"/>
    <w:rsid w:val="39171CC0"/>
    <w:rsid w:val="393F39C1"/>
    <w:rsid w:val="3941283A"/>
    <w:rsid w:val="394D63A5"/>
    <w:rsid w:val="395212E1"/>
    <w:rsid w:val="39976574"/>
    <w:rsid w:val="39A165F9"/>
    <w:rsid w:val="39B72706"/>
    <w:rsid w:val="39C84E5A"/>
    <w:rsid w:val="39FA0921"/>
    <w:rsid w:val="3A0235C2"/>
    <w:rsid w:val="3A3457E8"/>
    <w:rsid w:val="3A3F0320"/>
    <w:rsid w:val="3A536E24"/>
    <w:rsid w:val="3A565A98"/>
    <w:rsid w:val="3A810ECA"/>
    <w:rsid w:val="3A871F8A"/>
    <w:rsid w:val="3AA31206"/>
    <w:rsid w:val="3AB57780"/>
    <w:rsid w:val="3AC65AD2"/>
    <w:rsid w:val="3ACF5A26"/>
    <w:rsid w:val="3AE47F1E"/>
    <w:rsid w:val="3B0A2336"/>
    <w:rsid w:val="3B1B509F"/>
    <w:rsid w:val="3B3575B2"/>
    <w:rsid w:val="3B4764C1"/>
    <w:rsid w:val="3B54731C"/>
    <w:rsid w:val="3B67428D"/>
    <w:rsid w:val="3B713350"/>
    <w:rsid w:val="3B7A26BE"/>
    <w:rsid w:val="3BE767A5"/>
    <w:rsid w:val="3C1701DB"/>
    <w:rsid w:val="3C2E25AC"/>
    <w:rsid w:val="3C33699A"/>
    <w:rsid w:val="3C41291B"/>
    <w:rsid w:val="3C447C27"/>
    <w:rsid w:val="3C4E3440"/>
    <w:rsid w:val="3D29776B"/>
    <w:rsid w:val="3E225ED0"/>
    <w:rsid w:val="3E29108F"/>
    <w:rsid w:val="3E763568"/>
    <w:rsid w:val="3EB341AB"/>
    <w:rsid w:val="3EC20226"/>
    <w:rsid w:val="3EC451E1"/>
    <w:rsid w:val="3EC47F80"/>
    <w:rsid w:val="3F1E63B0"/>
    <w:rsid w:val="3F2226EC"/>
    <w:rsid w:val="3F601C75"/>
    <w:rsid w:val="3FAC6CE4"/>
    <w:rsid w:val="3FB04B06"/>
    <w:rsid w:val="3FDA48AC"/>
    <w:rsid w:val="402A3DD6"/>
    <w:rsid w:val="402E363B"/>
    <w:rsid w:val="403A7A13"/>
    <w:rsid w:val="40883F9A"/>
    <w:rsid w:val="40A6403B"/>
    <w:rsid w:val="40C31767"/>
    <w:rsid w:val="40D11C13"/>
    <w:rsid w:val="40D14228"/>
    <w:rsid w:val="40E32648"/>
    <w:rsid w:val="40F32B2E"/>
    <w:rsid w:val="413F338F"/>
    <w:rsid w:val="415D3A83"/>
    <w:rsid w:val="41A50FA5"/>
    <w:rsid w:val="41B34A9C"/>
    <w:rsid w:val="41CC07BC"/>
    <w:rsid w:val="41DD5AAF"/>
    <w:rsid w:val="420569A4"/>
    <w:rsid w:val="423B2EC0"/>
    <w:rsid w:val="4246080B"/>
    <w:rsid w:val="42CE24FD"/>
    <w:rsid w:val="42F302DD"/>
    <w:rsid w:val="43260C43"/>
    <w:rsid w:val="438034F8"/>
    <w:rsid w:val="4388321A"/>
    <w:rsid w:val="44131078"/>
    <w:rsid w:val="441A31FF"/>
    <w:rsid w:val="446A3759"/>
    <w:rsid w:val="446B4961"/>
    <w:rsid w:val="44866D4B"/>
    <w:rsid w:val="449428DA"/>
    <w:rsid w:val="4495137C"/>
    <w:rsid w:val="44C15F60"/>
    <w:rsid w:val="45132E7E"/>
    <w:rsid w:val="452516DB"/>
    <w:rsid w:val="45A046DF"/>
    <w:rsid w:val="45B725A0"/>
    <w:rsid w:val="462C738C"/>
    <w:rsid w:val="462E25CA"/>
    <w:rsid w:val="46303A17"/>
    <w:rsid w:val="4659233E"/>
    <w:rsid w:val="465A58CC"/>
    <w:rsid w:val="46931FE6"/>
    <w:rsid w:val="46B633A2"/>
    <w:rsid w:val="46D637ED"/>
    <w:rsid w:val="46DD3F38"/>
    <w:rsid w:val="46F16F1D"/>
    <w:rsid w:val="46FD0BD4"/>
    <w:rsid w:val="46FD2CBF"/>
    <w:rsid w:val="472910BD"/>
    <w:rsid w:val="47553E8E"/>
    <w:rsid w:val="477C293C"/>
    <w:rsid w:val="47CA2F97"/>
    <w:rsid w:val="47D84675"/>
    <w:rsid w:val="47E17B3A"/>
    <w:rsid w:val="47E6157B"/>
    <w:rsid w:val="481379C4"/>
    <w:rsid w:val="481947FE"/>
    <w:rsid w:val="483B043E"/>
    <w:rsid w:val="48687159"/>
    <w:rsid w:val="486B0826"/>
    <w:rsid w:val="486B1D8E"/>
    <w:rsid w:val="48A93D74"/>
    <w:rsid w:val="48D139F6"/>
    <w:rsid w:val="48F56DD6"/>
    <w:rsid w:val="491916C6"/>
    <w:rsid w:val="49573AC8"/>
    <w:rsid w:val="49AA7971"/>
    <w:rsid w:val="49FE240E"/>
    <w:rsid w:val="4A037596"/>
    <w:rsid w:val="4A141151"/>
    <w:rsid w:val="4A316318"/>
    <w:rsid w:val="4A5950C6"/>
    <w:rsid w:val="4A643B84"/>
    <w:rsid w:val="4A777A6A"/>
    <w:rsid w:val="4AC9062D"/>
    <w:rsid w:val="4AE52C42"/>
    <w:rsid w:val="4AF2187D"/>
    <w:rsid w:val="4AFC3953"/>
    <w:rsid w:val="4B15272F"/>
    <w:rsid w:val="4B1E385E"/>
    <w:rsid w:val="4B296B88"/>
    <w:rsid w:val="4B6870F9"/>
    <w:rsid w:val="4B6C2969"/>
    <w:rsid w:val="4BCF6DCB"/>
    <w:rsid w:val="4BD06B38"/>
    <w:rsid w:val="4BDF321A"/>
    <w:rsid w:val="4C0065CE"/>
    <w:rsid w:val="4C18241E"/>
    <w:rsid w:val="4C227943"/>
    <w:rsid w:val="4C3E07E7"/>
    <w:rsid w:val="4C4373DD"/>
    <w:rsid w:val="4C472142"/>
    <w:rsid w:val="4C5F22C4"/>
    <w:rsid w:val="4CA40211"/>
    <w:rsid w:val="4DC86CD0"/>
    <w:rsid w:val="4DD62C1F"/>
    <w:rsid w:val="4DF46D27"/>
    <w:rsid w:val="4E367509"/>
    <w:rsid w:val="4E5211BA"/>
    <w:rsid w:val="4E90713C"/>
    <w:rsid w:val="4E983256"/>
    <w:rsid w:val="4E9D1D1E"/>
    <w:rsid w:val="4ECE756F"/>
    <w:rsid w:val="4EE5336B"/>
    <w:rsid w:val="4F09582A"/>
    <w:rsid w:val="4F0E0B1D"/>
    <w:rsid w:val="4F115803"/>
    <w:rsid w:val="4F563CC4"/>
    <w:rsid w:val="4FBD41CA"/>
    <w:rsid w:val="4FD246D2"/>
    <w:rsid w:val="50077D56"/>
    <w:rsid w:val="501047BA"/>
    <w:rsid w:val="50131451"/>
    <w:rsid w:val="50831BFE"/>
    <w:rsid w:val="50B52FE4"/>
    <w:rsid w:val="50BF2E54"/>
    <w:rsid w:val="50E52FBD"/>
    <w:rsid w:val="51390BE4"/>
    <w:rsid w:val="51710E16"/>
    <w:rsid w:val="517D19DC"/>
    <w:rsid w:val="51C804DE"/>
    <w:rsid w:val="51CF0D4C"/>
    <w:rsid w:val="51E12FF8"/>
    <w:rsid w:val="51E33826"/>
    <w:rsid w:val="51E71C22"/>
    <w:rsid w:val="520C6B50"/>
    <w:rsid w:val="52177DA8"/>
    <w:rsid w:val="522E62F3"/>
    <w:rsid w:val="52A33960"/>
    <w:rsid w:val="52B476CE"/>
    <w:rsid w:val="52F47A95"/>
    <w:rsid w:val="531645CA"/>
    <w:rsid w:val="531F2A96"/>
    <w:rsid w:val="53262EC9"/>
    <w:rsid w:val="53734149"/>
    <w:rsid w:val="53932760"/>
    <w:rsid w:val="539873E7"/>
    <w:rsid w:val="53B46D0C"/>
    <w:rsid w:val="53C54E69"/>
    <w:rsid w:val="53FB2F26"/>
    <w:rsid w:val="54087353"/>
    <w:rsid w:val="54375044"/>
    <w:rsid w:val="544232E7"/>
    <w:rsid w:val="54557110"/>
    <w:rsid w:val="549661B6"/>
    <w:rsid w:val="54D24E79"/>
    <w:rsid w:val="5503429F"/>
    <w:rsid w:val="551027C6"/>
    <w:rsid w:val="552F7315"/>
    <w:rsid w:val="554B0FDD"/>
    <w:rsid w:val="55631D2D"/>
    <w:rsid w:val="55BB1E97"/>
    <w:rsid w:val="55C8709D"/>
    <w:rsid w:val="560509A3"/>
    <w:rsid w:val="56050C0A"/>
    <w:rsid w:val="56250237"/>
    <w:rsid w:val="562B4FB5"/>
    <w:rsid w:val="564569EB"/>
    <w:rsid w:val="56AB5944"/>
    <w:rsid w:val="56E147BB"/>
    <w:rsid w:val="56F645A2"/>
    <w:rsid w:val="57214861"/>
    <w:rsid w:val="572B4616"/>
    <w:rsid w:val="57541EAD"/>
    <w:rsid w:val="576D2C98"/>
    <w:rsid w:val="577465D8"/>
    <w:rsid w:val="57AE5029"/>
    <w:rsid w:val="57C23486"/>
    <w:rsid w:val="57D123D3"/>
    <w:rsid w:val="5807247D"/>
    <w:rsid w:val="58117CC1"/>
    <w:rsid w:val="582C3384"/>
    <w:rsid w:val="58624A55"/>
    <w:rsid w:val="59216A89"/>
    <w:rsid w:val="59422E54"/>
    <w:rsid w:val="59996A6E"/>
    <w:rsid w:val="59A175DF"/>
    <w:rsid w:val="59B819C2"/>
    <w:rsid w:val="59C7668D"/>
    <w:rsid w:val="59FC4729"/>
    <w:rsid w:val="59FF697B"/>
    <w:rsid w:val="5A0B75E4"/>
    <w:rsid w:val="5A575BFF"/>
    <w:rsid w:val="5A77586F"/>
    <w:rsid w:val="5A903DEF"/>
    <w:rsid w:val="5AA12CBD"/>
    <w:rsid w:val="5ACA65CD"/>
    <w:rsid w:val="5ACC7A53"/>
    <w:rsid w:val="5AE51758"/>
    <w:rsid w:val="5B581F93"/>
    <w:rsid w:val="5B6B529B"/>
    <w:rsid w:val="5BB250E2"/>
    <w:rsid w:val="5BB3320D"/>
    <w:rsid w:val="5BC31A45"/>
    <w:rsid w:val="5BC772C9"/>
    <w:rsid w:val="5BF50377"/>
    <w:rsid w:val="5C2C1A19"/>
    <w:rsid w:val="5C465FA2"/>
    <w:rsid w:val="5C544090"/>
    <w:rsid w:val="5C726BB6"/>
    <w:rsid w:val="5C7322D1"/>
    <w:rsid w:val="5C914D46"/>
    <w:rsid w:val="5C957B18"/>
    <w:rsid w:val="5CE24DE9"/>
    <w:rsid w:val="5CEF4070"/>
    <w:rsid w:val="5CFC28A8"/>
    <w:rsid w:val="5D246FFC"/>
    <w:rsid w:val="5D36426B"/>
    <w:rsid w:val="5D5F46C8"/>
    <w:rsid w:val="5DDA696A"/>
    <w:rsid w:val="5E410FFD"/>
    <w:rsid w:val="5E544606"/>
    <w:rsid w:val="5E8E05EA"/>
    <w:rsid w:val="5ED706FA"/>
    <w:rsid w:val="5EDB1920"/>
    <w:rsid w:val="5EFB61FA"/>
    <w:rsid w:val="5F2C7D02"/>
    <w:rsid w:val="5F31206E"/>
    <w:rsid w:val="5F553A42"/>
    <w:rsid w:val="5F724EA3"/>
    <w:rsid w:val="5F7663E9"/>
    <w:rsid w:val="5FB656F9"/>
    <w:rsid w:val="5FBC2CFA"/>
    <w:rsid w:val="5FC53466"/>
    <w:rsid w:val="5FD13015"/>
    <w:rsid w:val="5FF56DB4"/>
    <w:rsid w:val="60190EE3"/>
    <w:rsid w:val="601D48F2"/>
    <w:rsid w:val="601E31F8"/>
    <w:rsid w:val="602832C7"/>
    <w:rsid w:val="603D1F50"/>
    <w:rsid w:val="603F673E"/>
    <w:rsid w:val="605467C6"/>
    <w:rsid w:val="60D605A1"/>
    <w:rsid w:val="60F53FEB"/>
    <w:rsid w:val="612C537D"/>
    <w:rsid w:val="61464F6C"/>
    <w:rsid w:val="61515A7F"/>
    <w:rsid w:val="61633E93"/>
    <w:rsid w:val="61A4558D"/>
    <w:rsid w:val="61C32B70"/>
    <w:rsid w:val="61D54EA8"/>
    <w:rsid w:val="61E045CD"/>
    <w:rsid w:val="61E23930"/>
    <w:rsid w:val="62016875"/>
    <w:rsid w:val="62313832"/>
    <w:rsid w:val="623E052A"/>
    <w:rsid w:val="628B7263"/>
    <w:rsid w:val="62902D58"/>
    <w:rsid w:val="629616EA"/>
    <w:rsid w:val="62AE4BDA"/>
    <w:rsid w:val="62C97640"/>
    <w:rsid w:val="62D27C48"/>
    <w:rsid w:val="6307315E"/>
    <w:rsid w:val="63184211"/>
    <w:rsid w:val="631B5AD9"/>
    <w:rsid w:val="635514AC"/>
    <w:rsid w:val="635C575B"/>
    <w:rsid w:val="63672302"/>
    <w:rsid w:val="636863CF"/>
    <w:rsid w:val="63715219"/>
    <w:rsid w:val="63752C12"/>
    <w:rsid w:val="638C1080"/>
    <w:rsid w:val="63B413CF"/>
    <w:rsid w:val="63D4721A"/>
    <w:rsid w:val="63FF6C27"/>
    <w:rsid w:val="6405263C"/>
    <w:rsid w:val="642454D9"/>
    <w:rsid w:val="6464336B"/>
    <w:rsid w:val="653C5193"/>
    <w:rsid w:val="655C7828"/>
    <w:rsid w:val="65CB1350"/>
    <w:rsid w:val="66330E7B"/>
    <w:rsid w:val="66351622"/>
    <w:rsid w:val="665A2304"/>
    <w:rsid w:val="669C6349"/>
    <w:rsid w:val="66A80AC6"/>
    <w:rsid w:val="66EE67F2"/>
    <w:rsid w:val="67144976"/>
    <w:rsid w:val="67202357"/>
    <w:rsid w:val="67401089"/>
    <w:rsid w:val="67406A5C"/>
    <w:rsid w:val="67603F26"/>
    <w:rsid w:val="67D3264E"/>
    <w:rsid w:val="67EC027D"/>
    <w:rsid w:val="68024DD3"/>
    <w:rsid w:val="680F332B"/>
    <w:rsid w:val="6832253F"/>
    <w:rsid w:val="685C3C4D"/>
    <w:rsid w:val="687102AD"/>
    <w:rsid w:val="68724B40"/>
    <w:rsid w:val="68902798"/>
    <w:rsid w:val="690C7142"/>
    <w:rsid w:val="69412846"/>
    <w:rsid w:val="695907E9"/>
    <w:rsid w:val="6964290E"/>
    <w:rsid w:val="698304CD"/>
    <w:rsid w:val="69932BAE"/>
    <w:rsid w:val="69A16FDB"/>
    <w:rsid w:val="69BA6060"/>
    <w:rsid w:val="69ED5B2B"/>
    <w:rsid w:val="69F063AC"/>
    <w:rsid w:val="6A121A17"/>
    <w:rsid w:val="6A223F21"/>
    <w:rsid w:val="6A4771F0"/>
    <w:rsid w:val="6A641277"/>
    <w:rsid w:val="6A8165E0"/>
    <w:rsid w:val="6A985E45"/>
    <w:rsid w:val="6AAD0001"/>
    <w:rsid w:val="6ACC3B62"/>
    <w:rsid w:val="6AE30427"/>
    <w:rsid w:val="6B1B05C6"/>
    <w:rsid w:val="6B35684E"/>
    <w:rsid w:val="6B6C1D6A"/>
    <w:rsid w:val="6B706DFD"/>
    <w:rsid w:val="6B735145"/>
    <w:rsid w:val="6B76701F"/>
    <w:rsid w:val="6BB64940"/>
    <w:rsid w:val="6BBA5ABD"/>
    <w:rsid w:val="6BC04151"/>
    <w:rsid w:val="6BFF6B53"/>
    <w:rsid w:val="6C161EDD"/>
    <w:rsid w:val="6C17534B"/>
    <w:rsid w:val="6C52384A"/>
    <w:rsid w:val="6C5F577B"/>
    <w:rsid w:val="6C5F6B13"/>
    <w:rsid w:val="6C831486"/>
    <w:rsid w:val="6C8C7141"/>
    <w:rsid w:val="6C903E5F"/>
    <w:rsid w:val="6C92595F"/>
    <w:rsid w:val="6CA31D11"/>
    <w:rsid w:val="6CD12CB7"/>
    <w:rsid w:val="6CE0326A"/>
    <w:rsid w:val="6CE513BE"/>
    <w:rsid w:val="6CE766E5"/>
    <w:rsid w:val="6CEE595E"/>
    <w:rsid w:val="6CF82160"/>
    <w:rsid w:val="6D094BFA"/>
    <w:rsid w:val="6D1D7324"/>
    <w:rsid w:val="6D283EB3"/>
    <w:rsid w:val="6D476F5C"/>
    <w:rsid w:val="6D524D35"/>
    <w:rsid w:val="6D631E8B"/>
    <w:rsid w:val="6DA45721"/>
    <w:rsid w:val="6DD8201C"/>
    <w:rsid w:val="6DEF5724"/>
    <w:rsid w:val="6E2D7396"/>
    <w:rsid w:val="6E977E1E"/>
    <w:rsid w:val="6E9A083E"/>
    <w:rsid w:val="6EF86B24"/>
    <w:rsid w:val="6F1013D6"/>
    <w:rsid w:val="6F1830F3"/>
    <w:rsid w:val="6F2C4E6B"/>
    <w:rsid w:val="6F7502BE"/>
    <w:rsid w:val="6F8E346E"/>
    <w:rsid w:val="6F922D77"/>
    <w:rsid w:val="6F9B22FF"/>
    <w:rsid w:val="6FA85985"/>
    <w:rsid w:val="6FD7718C"/>
    <w:rsid w:val="6FEA2DEF"/>
    <w:rsid w:val="70231C9D"/>
    <w:rsid w:val="70411BFE"/>
    <w:rsid w:val="707B5C7D"/>
    <w:rsid w:val="708C386D"/>
    <w:rsid w:val="708E25E0"/>
    <w:rsid w:val="7093353E"/>
    <w:rsid w:val="70A25D2A"/>
    <w:rsid w:val="70D90C7D"/>
    <w:rsid w:val="70EC15F1"/>
    <w:rsid w:val="70F606D1"/>
    <w:rsid w:val="710C3141"/>
    <w:rsid w:val="71104E62"/>
    <w:rsid w:val="713927A1"/>
    <w:rsid w:val="71426CAF"/>
    <w:rsid w:val="719525E5"/>
    <w:rsid w:val="71AA5DA3"/>
    <w:rsid w:val="71AF5525"/>
    <w:rsid w:val="71C43EDF"/>
    <w:rsid w:val="71D12B7B"/>
    <w:rsid w:val="72047D57"/>
    <w:rsid w:val="721D4619"/>
    <w:rsid w:val="7254510E"/>
    <w:rsid w:val="72563FB1"/>
    <w:rsid w:val="726E28BC"/>
    <w:rsid w:val="729701F7"/>
    <w:rsid w:val="72C13435"/>
    <w:rsid w:val="7332304C"/>
    <w:rsid w:val="733813DB"/>
    <w:rsid w:val="73460DCF"/>
    <w:rsid w:val="736F51CC"/>
    <w:rsid w:val="73765DF7"/>
    <w:rsid w:val="73863E1C"/>
    <w:rsid w:val="739C093C"/>
    <w:rsid w:val="739D0315"/>
    <w:rsid w:val="73CE4F10"/>
    <w:rsid w:val="73DE0BF4"/>
    <w:rsid w:val="73EF72A5"/>
    <w:rsid w:val="740166CA"/>
    <w:rsid w:val="741606DE"/>
    <w:rsid w:val="74354644"/>
    <w:rsid w:val="74393BD5"/>
    <w:rsid w:val="746B4618"/>
    <w:rsid w:val="746F2FAE"/>
    <w:rsid w:val="748E187D"/>
    <w:rsid w:val="74BB1903"/>
    <w:rsid w:val="74F727ED"/>
    <w:rsid w:val="75395A4F"/>
    <w:rsid w:val="75A62599"/>
    <w:rsid w:val="75C718AC"/>
    <w:rsid w:val="75E5168E"/>
    <w:rsid w:val="75E65018"/>
    <w:rsid w:val="75FD7923"/>
    <w:rsid w:val="76292C01"/>
    <w:rsid w:val="764536B8"/>
    <w:rsid w:val="764C1E95"/>
    <w:rsid w:val="765340BE"/>
    <w:rsid w:val="76600B0B"/>
    <w:rsid w:val="76EC025F"/>
    <w:rsid w:val="77001CE1"/>
    <w:rsid w:val="77104195"/>
    <w:rsid w:val="77202EB1"/>
    <w:rsid w:val="772938E8"/>
    <w:rsid w:val="774404F3"/>
    <w:rsid w:val="77532B5B"/>
    <w:rsid w:val="77A72B49"/>
    <w:rsid w:val="77BA48A1"/>
    <w:rsid w:val="77EA45C3"/>
    <w:rsid w:val="77F3515D"/>
    <w:rsid w:val="77F537AF"/>
    <w:rsid w:val="78427D95"/>
    <w:rsid w:val="78CE3373"/>
    <w:rsid w:val="78EA06B1"/>
    <w:rsid w:val="78EE72D2"/>
    <w:rsid w:val="790F2064"/>
    <w:rsid w:val="79303653"/>
    <w:rsid w:val="79332894"/>
    <w:rsid w:val="79432FDA"/>
    <w:rsid w:val="794E031B"/>
    <w:rsid w:val="796340FE"/>
    <w:rsid w:val="79982FA7"/>
    <w:rsid w:val="79F651E3"/>
    <w:rsid w:val="7A4A0DFD"/>
    <w:rsid w:val="7A552236"/>
    <w:rsid w:val="7A735659"/>
    <w:rsid w:val="7A7E0068"/>
    <w:rsid w:val="7AB60141"/>
    <w:rsid w:val="7AB7745D"/>
    <w:rsid w:val="7ABD0FEA"/>
    <w:rsid w:val="7AC17447"/>
    <w:rsid w:val="7AD70C9B"/>
    <w:rsid w:val="7ADA5B3C"/>
    <w:rsid w:val="7B4531F1"/>
    <w:rsid w:val="7B4D07FD"/>
    <w:rsid w:val="7BA75723"/>
    <w:rsid w:val="7BAB3DF5"/>
    <w:rsid w:val="7BB95092"/>
    <w:rsid w:val="7BD26364"/>
    <w:rsid w:val="7BDB29F1"/>
    <w:rsid w:val="7BE23CB9"/>
    <w:rsid w:val="7C2F53CB"/>
    <w:rsid w:val="7C3A3603"/>
    <w:rsid w:val="7C3A6D94"/>
    <w:rsid w:val="7C461D0D"/>
    <w:rsid w:val="7C485C63"/>
    <w:rsid w:val="7CA834CE"/>
    <w:rsid w:val="7CB9036C"/>
    <w:rsid w:val="7D047631"/>
    <w:rsid w:val="7D3475DB"/>
    <w:rsid w:val="7D771F95"/>
    <w:rsid w:val="7D942460"/>
    <w:rsid w:val="7DDD5D1F"/>
    <w:rsid w:val="7E0B3754"/>
    <w:rsid w:val="7E3C4D54"/>
    <w:rsid w:val="7E563F68"/>
    <w:rsid w:val="7EC40A24"/>
    <w:rsid w:val="7F5F072D"/>
    <w:rsid w:val="7F711C2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28"/>
    <w:qFormat/>
    <w:uiPriority w:val="0"/>
    <w:pPr>
      <w:keepNext/>
      <w:jc w:val="center"/>
      <w:outlineLvl w:val="0"/>
    </w:pPr>
    <w:rPr>
      <w:rFonts w:eastAsia="黑体"/>
      <w:b/>
      <w:sz w:val="32"/>
      <w:szCs w:val="20"/>
    </w:rPr>
  </w:style>
  <w:style w:type="paragraph" w:styleId="5">
    <w:name w:val="heading 2"/>
    <w:basedOn w:val="1"/>
    <w:next w:val="1"/>
    <w:link w:val="66"/>
    <w:qFormat/>
    <w:uiPriority w:val="0"/>
    <w:pPr>
      <w:keepNext/>
      <w:outlineLvl w:val="1"/>
    </w:pPr>
    <w:rPr>
      <w:rFonts w:ascii="仿宋_GB2312"/>
      <w:b/>
      <w:sz w:val="28"/>
      <w:szCs w:val="32"/>
    </w:rPr>
  </w:style>
  <w:style w:type="paragraph" w:styleId="6">
    <w:name w:val="heading 3"/>
    <w:basedOn w:val="1"/>
    <w:next w:val="1"/>
    <w:link w:val="151"/>
    <w:qFormat/>
    <w:uiPriority w:val="0"/>
    <w:pPr>
      <w:keepNext/>
      <w:keepLines/>
      <w:spacing w:line="540" w:lineRule="atLeast"/>
      <w:outlineLvl w:val="2"/>
    </w:pPr>
    <w:rPr>
      <w:rFonts w:eastAsia="黑体"/>
      <w:b/>
      <w:sz w:val="28"/>
      <w:szCs w:val="20"/>
    </w:rPr>
  </w:style>
  <w:style w:type="paragraph" w:styleId="2">
    <w:name w:val="heading 4"/>
    <w:basedOn w:val="1"/>
    <w:next w:val="1"/>
    <w:link w:val="148"/>
    <w:qFormat/>
    <w:uiPriority w:val="0"/>
    <w:pPr>
      <w:keepNext/>
      <w:keepLines/>
      <w:spacing w:line="540" w:lineRule="atLeast"/>
      <w:outlineLvl w:val="3"/>
    </w:pPr>
    <w:rPr>
      <w:sz w:val="28"/>
      <w:szCs w:val="28"/>
    </w:rPr>
  </w:style>
  <w:style w:type="paragraph" w:styleId="7">
    <w:name w:val="heading 5"/>
    <w:basedOn w:val="1"/>
    <w:next w:val="1"/>
    <w:link w:val="131"/>
    <w:qFormat/>
    <w:uiPriority w:val="0"/>
    <w:pPr>
      <w:keepNext/>
      <w:keepLines/>
      <w:spacing w:before="280" w:after="290" w:line="372" w:lineRule="auto"/>
      <w:outlineLvl w:val="4"/>
    </w:pPr>
    <w:rPr>
      <w:b/>
      <w:bCs/>
      <w:kern w:val="0"/>
      <w:sz w:val="28"/>
      <w:szCs w:val="28"/>
    </w:rPr>
  </w:style>
  <w:style w:type="paragraph" w:styleId="8">
    <w:name w:val="heading 6"/>
    <w:basedOn w:val="1"/>
    <w:next w:val="9"/>
    <w:link w:val="172"/>
    <w:qFormat/>
    <w:uiPriority w:val="0"/>
    <w:pPr>
      <w:keepNext/>
      <w:keepLines/>
      <w:spacing w:before="240" w:after="64" w:line="317" w:lineRule="auto"/>
      <w:outlineLvl w:val="5"/>
    </w:pPr>
    <w:rPr>
      <w:rFonts w:ascii="Arial" w:hAnsi="Arial" w:eastAsia="黑体"/>
      <w:b/>
      <w:sz w:val="24"/>
      <w:szCs w:val="20"/>
    </w:rPr>
  </w:style>
  <w:style w:type="paragraph" w:styleId="10">
    <w:name w:val="heading 7"/>
    <w:basedOn w:val="1"/>
    <w:next w:val="9"/>
    <w:link w:val="69"/>
    <w:qFormat/>
    <w:uiPriority w:val="0"/>
    <w:pPr>
      <w:keepNext/>
      <w:keepLines/>
      <w:spacing w:before="240" w:after="64" w:line="317" w:lineRule="auto"/>
      <w:outlineLvl w:val="6"/>
    </w:pPr>
    <w:rPr>
      <w:b/>
      <w:sz w:val="24"/>
      <w:szCs w:val="20"/>
    </w:rPr>
  </w:style>
  <w:style w:type="paragraph" w:styleId="11">
    <w:name w:val="heading 8"/>
    <w:basedOn w:val="1"/>
    <w:next w:val="9"/>
    <w:link w:val="175"/>
    <w:qFormat/>
    <w:uiPriority w:val="0"/>
    <w:pPr>
      <w:keepNext/>
      <w:keepLines/>
      <w:spacing w:before="240" w:after="64" w:line="317" w:lineRule="auto"/>
      <w:outlineLvl w:val="7"/>
    </w:pPr>
    <w:rPr>
      <w:rFonts w:ascii="Arial" w:hAnsi="Arial" w:eastAsia="黑体"/>
      <w:sz w:val="24"/>
      <w:szCs w:val="20"/>
    </w:rPr>
  </w:style>
  <w:style w:type="paragraph" w:styleId="12">
    <w:name w:val="heading 9"/>
    <w:basedOn w:val="1"/>
    <w:next w:val="9"/>
    <w:link w:val="162"/>
    <w:qFormat/>
    <w:uiPriority w:val="0"/>
    <w:pPr>
      <w:keepNext/>
      <w:keepLines/>
      <w:spacing w:before="240" w:after="64" w:line="317" w:lineRule="auto"/>
      <w:outlineLvl w:val="8"/>
    </w:pPr>
    <w:rPr>
      <w:rFonts w:ascii="Arial" w:hAnsi="Arial" w:eastAsia="黑体"/>
      <w:szCs w:val="20"/>
    </w:rPr>
  </w:style>
  <w:style w:type="character" w:default="1" w:styleId="54">
    <w:name w:val="Default Paragraph Font"/>
    <w:semiHidden/>
    <w:unhideWhenUsed/>
    <w:qFormat/>
    <w:uiPriority w:val="1"/>
  </w:style>
  <w:style w:type="table" w:default="1" w:styleId="52">
    <w:name w:val="Normal Table"/>
    <w:semiHidden/>
    <w:unhideWhenUsed/>
    <w:qFormat/>
    <w:uiPriority w:val="99"/>
    <w:tblPr>
      <w:tblCellMar>
        <w:top w:w="0" w:type="dxa"/>
        <w:left w:w="108" w:type="dxa"/>
        <w:bottom w:w="0" w:type="dxa"/>
        <w:right w:w="108" w:type="dxa"/>
      </w:tblCellMar>
    </w:tblPr>
  </w:style>
  <w:style w:type="paragraph" w:styleId="3">
    <w:name w:val="macro"/>
    <w:link w:val="11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9">
    <w:name w:val="Normal Indent"/>
    <w:basedOn w:val="1"/>
    <w:next w:val="1"/>
    <w:link w:val="104"/>
    <w:qFormat/>
    <w:uiPriority w:val="0"/>
    <w:pPr>
      <w:adjustRightInd w:val="0"/>
      <w:spacing w:line="312" w:lineRule="atLeast"/>
      <w:ind w:firstLine="420"/>
      <w:textAlignment w:val="baseline"/>
    </w:pPr>
    <w:rPr>
      <w:rFonts w:ascii="仿宋_GB2312"/>
      <w:b/>
      <w:kern w:val="0"/>
      <w:szCs w:val="32"/>
    </w:rPr>
  </w:style>
  <w:style w:type="paragraph" w:styleId="13">
    <w:name w:val="toc 7"/>
    <w:basedOn w:val="1"/>
    <w:next w:val="1"/>
    <w:qFormat/>
    <w:uiPriority w:val="0"/>
    <w:pPr>
      <w:autoSpaceDE w:val="0"/>
      <w:autoSpaceDN w:val="0"/>
      <w:adjustRightInd w:val="0"/>
      <w:ind w:left="2520" w:leftChars="1200"/>
      <w:jc w:val="left"/>
    </w:pPr>
    <w:rPr>
      <w:kern w:val="0"/>
      <w:sz w:val="20"/>
      <w:szCs w:val="20"/>
    </w:rPr>
  </w:style>
  <w:style w:type="paragraph" w:styleId="14">
    <w:name w:val="List Number"/>
    <w:basedOn w:val="1"/>
    <w:qFormat/>
    <w:uiPriority w:val="0"/>
    <w:pPr>
      <w:tabs>
        <w:tab w:val="left" w:pos="360"/>
      </w:tabs>
      <w:ind w:left="360" w:hanging="360" w:hangingChars="200"/>
    </w:pPr>
  </w:style>
  <w:style w:type="paragraph" w:styleId="15">
    <w:name w:val="caption"/>
    <w:basedOn w:val="1"/>
    <w:next w:val="1"/>
    <w:qFormat/>
    <w:uiPriority w:val="0"/>
    <w:pPr>
      <w:autoSpaceDE w:val="0"/>
      <w:autoSpaceDN w:val="0"/>
      <w:adjustRightInd w:val="0"/>
      <w:jc w:val="left"/>
    </w:pPr>
    <w:rPr>
      <w:rFonts w:ascii="Arial" w:hAnsi="Arial" w:eastAsia="黑体" w:cs="Arial"/>
      <w:kern w:val="0"/>
      <w:sz w:val="20"/>
      <w:szCs w:val="20"/>
    </w:rPr>
  </w:style>
  <w:style w:type="paragraph" w:styleId="16">
    <w:name w:val="List Bullet"/>
    <w:basedOn w:val="1"/>
    <w:qFormat/>
    <w:uiPriority w:val="0"/>
    <w:pPr>
      <w:tabs>
        <w:tab w:val="left" w:pos="360"/>
      </w:tabs>
    </w:pPr>
    <w:rPr>
      <w:rFonts w:ascii="Calibri" w:hAnsi="Calibri"/>
      <w:szCs w:val="22"/>
    </w:rPr>
  </w:style>
  <w:style w:type="paragraph" w:styleId="17">
    <w:name w:val="Document Map"/>
    <w:basedOn w:val="1"/>
    <w:link w:val="130"/>
    <w:qFormat/>
    <w:uiPriority w:val="0"/>
    <w:pPr>
      <w:shd w:val="clear" w:color="auto" w:fill="000080"/>
    </w:pPr>
  </w:style>
  <w:style w:type="paragraph" w:styleId="18">
    <w:name w:val="annotation text"/>
    <w:basedOn w:val="1"/>
    <w:link w:val="90"/>
    <w:qFormat/>
    <w:uiPriority w:val="0"/>
    <w:pPr>
      <w:jc w:val="left"/>
    </w:pPr>
  </w:style>
  <w:style w:type="paragraph" w:styleId="19">
    <w:name w:val="Salutation"/>
    <w:basedOn w:val="1"/>
    <w:next w:val="1"/>
    <w:link w:val="78"/>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0">
    <w:name w:val="Body Text 3"/>
    <w:basedOn w:val="1"/>
    <w:link w:val="94"/>
    <w:qFormat/>
    <w:uiPriority w:val="0"/>
    <w:pPr>
      <w:autoSpaceDE w:val="0"/>
      <w:autoSpaceDN w:val="0"/>
      <w:adjustRightInd w:val="0"/>
      <w:jc w:val="center"/>
    </w:pPr>
  </w:style>
  <w:style w:type="paragraph" w:styleId="21">
    <w:name w:val="Body Text"/>
    <w:basedOn w:val="1"/>
    <w:next w:val="22"/>
    <w:link w:val="163"/>
    <w:qFormat/>
    <w:uiPriority w:val="0"/>
    <w:pPr>
      <w:spacing w:after="120"/>
    </w:pPr>
    <w:rPr>
      <w:rFonts w:ascii="仿宋_GB2312"/>
      <w:b/>
    </w:rPr>
  </w:style>
  <w:style w:type="paragraph" w:styleId="22">
    <w:name w:val="Body Text First Indent"/>
    <w:basedOn w:val="21"/>
    <w:next w:val="23"/>
    <w:link w:val="195"/>
    <w:qFormat/>
    <w:uiPriority w:val="0"/>
    <w:pPr>
      <w:autoSpaceDE w:val="0"/>
      <w:autoSpaceDN w:val="0"/>
      <w:adjustRightInd w:val="0"/>
      <w:ind w:firstLine="420" w:firstLineChars="100"/>
      <w:jc w:val="left"/>
    </w:pPr>
    <w:rPr>
      <w:rFonts w:ascii="Times New Roman"/>
      <w:b w:val="0"/>
      <w:kern w:val="0"/>
      <w:sz w:val="20"/>
      <w:szCs w:val="20"/>
    </w:rPr>
  </w:style>
  <w:style w:type="paragraph" w:styleId="23">
    <w:name w:val="toc 6"/>
    <w:basedOn w:val="1"/>
    <w:next w:val="1"/>
    <w:qFormat/>
    <w:uiPriority w:val="0"/>
    <w:pPr>
      <w:autoSpaceDE w:val="0"/>
      <w:autoSpaceDN w:val="0"/>
      <w:adjustRightInd w:val="0"/>
      <w:ind w:left="2100" w:leftChars="1000"/>
      <w:jc w:val="left"/>
    </w:pPr>
    <w:rPr>
      <w:kern w:val="0"/>
      <w:sz w:val="20"/>
      <w:szCs w:val="20"/>
    </w:rPr>
  </w:style>
  <w:style w:type="paragraph" w:styleId="24">
    <w:name w:val="Body Text Indent"/>
    <w:basedOn w:val="1"/>
    <w:next w:val="1"/>
    <w:link w:val="143"/>
    <w:qFormat/>
    <w:uiPriority w:val="0"/>
    <w:pPr>
      <w:ind w:left="480" w:hanging="480" w:hangingChars="200"/>
    </w:pPr>
    <w:rPr>
      <w:sz w:val="24"/>
    </w:rPr>
  </w:style>
  <w:style w:type="paragraph" w:styleId="25">
    <w:name w:val="List Number 3"/>
    <w:basedOn w:val="1"/>
    <w:qFormat/>
    <w:uiPriority w:val="0"/>
    <w:pPr>
      <w:tabs>
        <w:tab w:val="left" w:pos="1200"/>
      </w:tabs>
      <w:ind w:left="1200" w:leftChars="400" w:hanging="360" w:hangingChars="200"/>
    </w:pPr>
  </w:style>
  <w:style w:type="paragraph" w:styleId="26">
    <w:name w:val="Block Text"/>
    <w:basedOn w:val="1"/>
    <w:qFormat/>
    <w:uiPriority w:val="0"/>
    <w:pPr>
      <w:spacing w:line="520" w:lineRule="exact"/>
      <w:ind w:left="540" w:leftChars="257" w:right="-514"/>
    </w:pPr>
    <w:rPr>
      <w:rFonts w:ascii="宋体" w:hAnsi="宋体"/>
      <w:sz w:val="24"/>
    </w:rPr>
  </w:style>
  <w:style w:type="paragraph" w:styleId="27">
    <w:name w:val="List Bullet 2"/>
    <w:basedOn w:val="1"/>
    <w:qFormat/>
    <w:uiPriority w:val="0"/>
    <w:pPr>
      <w:tabs>
        <w:tab w:val="left" w:pos="780"/>
      </w:tabs>
      <w:spacing w:line="360" w:lineRule="auto"/>
      <w:ind w:left="780" w:leftChars="200" w:hanging="360" w:hangingChars="200"/>
    </w:pPr>
  </w:style>
  <w:style w:type="paragraph" w:styleId="28">
    <w:name w:val="toc 5"/>
    <w:basedOn w:val="1"/>
    <w:next w:val="1"/>
    <w:qFormat/>
    <w:uiPriority w:val="0"/>
    <w:pPr>
      <w:autoSpaceDE w:val="0"/>
      <w:autoSpaceDN w:val="0"/>
      <w:adjustRightInd w:val="0"/>
      <w:ind w:left="1680" w:leftChars="800"/>
      <w:jc w:val="left"/>
    </w:pPr>
    <w:rPr>
      <w:kern w:val="0"/>
      <w:sz w:val="20"/>
      <w:szCs w:val="20"/>
    </w:rPr>
  </w:style>
  <w:style w:type="paragraph" w:styleId="29">
    <w:name w:val="toc 3"/>
    <w:basedOn w:val="1"/>
    <w:next w:val="1"/>
    <w:qFormat/>
    <w:uiPriority w:val="0"/>
    <w:pPr>
      <w:ind w:left="840" w:leftChars="400"/>
    </w:pPr>
  </w:style>
  <w:style w:type="paragraph" w:styleId="30">
    <w:name w:val="Plain Text"/>
    <w:basedOn w:val="1"/>
    <w:link w:val="191"/>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31">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2">
    <w:name w:val="toc 8"/>
    <w:basedOn w:val="1"/>
    <w:next w:val="1"/>
    <w:qFormat/>
    <w:uiPriority w:val="0"/>
    <w:pPr>
      <w:autoSpaceDE w:val="0"/>
      <w:autoSpaceDN w:val="0"/>
      <w:adjustRightInd w:val="0"/>
      <w:ind w:left="2940" w:leftChars="1400"/>
      <w:jc w:val="left"/>
    </w:pPr>
    <w:rPr>
      <w:kern w:val="0"/>
      <w:sz w:val="20"/>
      <w:szCs w:val="20"/>
    </w:rPr>
  </w:style>
  <w:style w:type="paragraph" w:styleId="33">
    <w:name w:val="Date"/>
    <w:basedOn w:val="1"/>
    <w:next w:val="1"/>
    <w:link w:val="132"/>
    <w:qFormat/>
    <w:uiPriority w:val="0"/>
    <w:pPr>
      <w:ind w:left="100" w:leftChars="2500"/>
    </w:pPr>
  </w:style>
  <w:style w:type="paragraph" w:styleId="34">
    <w:name w:val="Body Text Indent 2"/>
    <w:basedOn w:val="1"/>
    <w:link w:val="177"/>
    <w:qFormat/>
    <w:uiPriority w:val="0"/>
    <w:pPr>
      <w:spacing w:line="500" w:lineRule="exact"/>
      <w:ind w:firstLine="511" w:firstLineChars="213"/>
    </w:pPr>
    <w:rPr>
      <w:sz w:val="24"/>
    </w:rPr>
  </w:style>
  <w:style w:type="paragraph" w:styleId="35">
    <w:name w:val="Balloon Text"/>
    <w:basedOn w:val="1"/>
    <w:link w:val="150"/>
    <w:qFormat/>
    <w:uiPriority w:val="0"/>
    <w:rPr>
      <w:sz w:val="18"/>
      <w:szCs w:val="18"/>
    </w:rPr>
  </w:style>
  <w:style w:type="paragraph" w:styleId="36">
    <w:name w:val="footer"/>
    <w:basedOn w:val="1"/>
    <w:link w:val="119"/>
    <w:qFormat/>
    <w:uiPriority w:val="0"/>
    <w:pPr>
      <w:tabs>
        <w:tab w:val="center" w:pos="4153"/>
        <w:tab w:val="right" w:pos="8306"/>
      </w:tabs>
      <w:snapToGrid w:val="0"/>
      <w:jc w:val="left"/>
    </w:pPr>
    <w:rPr>
      <w:sz w:val="18"/>
      <w:szCs w:val="18"/>
    </w:rPr>
  </w:style>
  <w:style w:type="paragraph" w:styleId="37">
    <w:name w:val="header"/>
    <w:basedOn w:val="1"/>
    <w:link w:val="134"/>
    <w:qFormat/>
    <w:uiPriority w:val="0"/>
    <w:pPr>
      <w:pBdr>
        <w:bottom w:val="single" w:color="auto" w:sz="6" w:space="1"/>
      </w:pBdr>
      <w:tabs>
        <w:tab w:val="center" w:pos="4153"/>
        <w:tab w:val="right" w:pos="8306"/>
      </w:tabs>
      <w:snapToGrid w:val="0"/>
      <w:jc w:val="center"/>
    </w:pPr>
    <w:rPr>
      <w:sz w:val="18"/>
      <w:szCs w:val="18"/>
    </w:rPr>
  </w:style>
  <w:style w:type="paragraph" w:styleId="38">
    <w:name w:val="Signature"/>
    <w:basedOn w:val="1"/>
    <w:link w:val="153"/>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39">
    <w:name w:val="toc 1"/>
    <w:basedOn w:val="1"/>
    <w:next w:val="1"/>
    <w:qFormat/>
    <w:uiPriority w:val="0"/>
  </w:style>
  <w:style w:type="paragraph" w:styleId="40">
    <w:name w:val="toc 4"/>
    <w:basedOn w:val="1"/>
    <w:next w:val="1"/>
    <w:qFormat/>
    <w:uiPriority w:val="0"/>
    <w:pPr>
      <w:autoSpaceDE w:val="0"/>
      <w:autoSpaceDN w:val="0"/>
      <w:adjustRightInd w:val="0"/>
      <w:ind w:left="1260" w:leftChars="600"/>
      <w:jc w:val="left"/>
    </w:pPr>
    <w:rPr>
      <w:kern w:val="0"/>
      <w:sz w:val="20"/>
      <w:szCs w:val="20"/>
    </w:rPr>
  </w:style>
  <w:style w:type="paragraph" w:styleId="41">
    <w:name w:val="Subtitle"/>
    <w:basedOn w:val="1"/>
    <w:next w:val="1"/>
    <w:link w:val="133"/>
    <w:qFormat/>
    <w:uiPriority w:val="0"/>
    <w:pPr>
      <w:spacing w:before="240" w:after="60" w:line="312" w:lineRule="auto"/>
      <w:jc w:val="center"/>
      <w:outlineLvl w:val="1"/>
    </w:pPr>
    <w:rPr>
      <w:rFonts w:ascii="Cambria" w:hAnsi="Cambria"/>
      <w:b/>
      <w:bCs/>
      <w:kern w:val="28"/>
      <w:sz w:val="32"/>
      <w:szCs w:val="32"/>
    </w:rPr>
  </w:style>
  <w:style w:type="paragraph" w:styleId="42">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3">
    <w:name w:val="List"/>
    <w:basedOn w:val="1"/>
    <w:qFormat/>
    <w:uiPriority w:val="0"/>
    <w:pPr>
      <w:ind w:left="200" w:hanging="200" w:hangingChars="200"/>
    </w:pPr>
  </w:style>
  <w:style w:type="paragraph" w:styleId="44">
    <w:name w:val="Body Text Indent 3"/>
    <w:basedOn w:val="1"/>
    <w:link w:val="145"/>
    <w:qFormat/>
    <w:uiPriority w:val="0"/>
    <w:pPr>
      <w:spacing w:line="500" w:lineRule="exact"/>
      <w:ind w:left="511" w:hanging="511" w:hangingChars="213"/>
    </w:pPr>
    <w:rPr>
      <w:sz w:val="24"/>
    </w:rPr>
  </w:style>
  <w:style w:type="paragraph" w:styleId="45">
    <w:name w:val="toc 2"/>
    <w:basedOn w:val="1"/>
    <w:next w:val="1"/>
    <w:qFormat/>
    <w:uiPriority w:val="0"/>
    <w:pPr>
      <w:ind w:left="420" w:leftChars="200"/>
    </w:pPr>
  </w:style>
  <w:style w:type="paragraph" w:styleId="46">
    <w:name w:val="toc 9"/>
    <w:basedOn w:val="1"/>
    <w:next w:val="1"/>
    <w:qFormat/>
    <w:uiPriority w:val="0"/>
    <w:pPr>
      <w:autoSpaceDE w:val="0"/>
      <w:autoSpaceDN w:val="0"/>
      <w:adjustRightInd w:val="0"/>
      <w:ind w:left="3360" w:leftChars="1600"/>
      <w:jc w:val="left"/>
    </w:pPr>
    <w:rPr>
      <w:kern w:val="0"/>
      <w:sz w:val="20"/>
      <w:szCs w:val="20"/>
    </w:rPr>
  </w:style>
  <w:style w:type="paragraph" w:styleId="47">
    <w:name w:val="Body Text 2"/>
    <w:basedOn w:val="1"/>
    <w:link w:val="197"/>
    <w:qFormat/>
    <w:uiPriority w:val="0"/>
    <w:pPr>
      <w:autoSpaceDE w:val="0"/>
      <w:autoSpaceDN w:val="0"/>
      <w:adjustRightInd w:val="0"/>
      <w:spacing w:after="120" w:line="480" w:lineRule="auto"/>
      <w:jc w:val="left"/>
    </w:pPr>
  </w:style>
  <w:style w:type="paragraph" w:styleId="48">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9">
    <w:name w:val="Title"/>
    <w:basedOn w:val="1"/>
    <w:next w:val="1"/>
    <w:link w:val="110"/>
    <w:qFormat/>
    <w:uiPriority w:val="0"/>
    <w:pPr>
      <w:spacing w:before="240" w:after="60"/>
      <w:jc w:val="center"/>
      <w:outlineLvl w:val="0"/>
    </w:pPr>
    <w:rPr>
      <w:rFonts w:ascii="Cambria" w:hAnsi="Cambria"/>
      <w:b/>
      <w:bCs/>
      <w:sz w:val="32"/>
      <w:szCs w:val="32"/>
    </w:rPr>
  </w:style>
  <w:style w:type="paragraph" w:styleId="50">
    <w:name w:val="annotation subject"/>
    <w:basedOn w:val="18"/>
    <w:next w:val="18"/>
    <w:link w:val="95"/>
    <w:qFormat/>
    <w:uiPriority w:val="0"/>
    <w:rPr>
      <w:b/>
      <w:bCs/>
    </w:rPr>
  </w:style>
  <w:style w:type="paragraph" w:styleId="51">
    <w:name w:val="Body Text First Indent 2"/>
    <w:basedOn w:val="24"/>
    <w:qFormat/>
    <w:uiPriority w:val="0"/>
    <w:pPr>
      <w:spacing w:after="120"/>
      <w:ind w:left="420" w:leftChars="200" w:firstLine="420"/>
    </w:pPr>
    <w:rPr>
      <w:rFonts w:cs="宋体"/>
      <w:sz w:val="21"/>
      <w:szCs w:val="21"/>
    </w:rPr>
  </w:style>
  <w:style w:type="table" w:styleId="53">
    <w:name w:val="Table Grid"/>
    <w:basedOn w:val="5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5">
    <w:name w:val="Strong"/>
    <w:basedOn w:val="54"/>
    <w:qFormat/>
    <w:uiPriority w:val="0"/>
    <w:rPr>
      <w:rFonts w:ascii="仿宋_GB2312" w:eastAsia="仿宋_GB2312"/>
      <w:bCs/>
      <w:sz w:val="32"/>
      <w:szCs w:val="32"/>
    </w:rPr>
  </w:style>
  <w:style w:type="character" w:styleId="56">
    <w:name w:val="page number"/>
    <w:basedOn w:val="54"/>
    <w:qFormat/>
    <w:uiPriority w:val="0"/>
  </w:style>
  <w:style w:type="character" w:styleId="57">
    <w:name w:val="FollowedHyperlink"/>
    <w:qFormat/>
    <w:uiPriority w:val="0"/>
    <w:rPr>
      <w:rFonts w:ascii="仿宋_GB2312" w:eastAsia="仿宋_GB2312"/>
      <w:b/>
      <w:color w:val="800080"/>
      <w:sz w:val="32"/>
      <w:szCs w:val="32"/>
      <w:u w:val="none"/>
    </w:rPr>
  </w:style>
  <w:style w:type="character" w:styleId="58">
    <w:name w:val="Emphasis"/>
    <w:qFormat/>
    <w:uiPriority w:val="0"/>
    <w:rPr>
      <w:i/>
      <w:iCs/>
    </w:rPr>
  </w:style>
  <w:style w:type="character" w:styleId="59">
    <w:name w:val="line number"/>
    <w:basedOn w:val="54"/>
    <w:qFormat/>
    <w:uiPriority w:val="0"/>
  </w:style>
  <w:style w:type="character" w:styleId="60">
    <w:name w:val="Hyperlink"/>
    <w:qFormat/>
    <w:uiPriority w:val="0"/>
    <w:rPr>
      <w:rFonts w:ascii="仿宋_GB2312" w:eastAsia="仿宋_GB2312"/>
      <w:b/>
      <w:color w:val="0000FF"/>
      <w:sz w:val="32"/>
      <w:szCs w:val="32"/>
      <w:u w:val="none"/>
    </w:rPr>
  </w:style>
  <w:style w:type="character" w:styleId="61">
    <w:name w:val="annotation reference"/>
    <w:qFormat/>
    <w:uiPriority w:val="0"/>
    <w:rPr>
      <w:sz w:val="21"/>
      <w:szCs w:val="21"/>
    </w:rPr>
  </w:style>
  <w:style w:type="character" w:styleId="62">
    <w:name w:val="HTML Cite"/>
    <w:qFormat/>
    <w:uiPriority w:val="0"/>
    <w:rPr>
      <w:color w:val="008000"/>
    </w:rPr>
  </w:style>
  <w:style w:type="paragraph" w:customStyle="1" w:styleId="63">
    <w:name w:val="Char3 Char Char Char"/>
    <w:basedOn w:val="1"/>
    <w:qFormat/>
    <w:uiPriority w:val="0"/>
  </w:style>
  <w:style w:type="character" w:customStyle="1" w:styleId="64">
    <w:name w:val="不明显参考1"/>
    <w:qFormat/>
    <w:uiPriority w:val="0"/>
    <w:rPr>
      <w:smallCaps/>
      <w:color w:val="C0504D"/>
      <w:u w:val="single"/>
    </w:rPr>
  </w:style>
  <w:style w:type="character" w:customStyle="1" w:styleId="65">
    <w:name w:val="PI Char1"/>
    <w:qFormat/>
    <w:uiPriority w:val="0"/>
    <w:rPr>
      <w:rFonts w:eastAsia="宋体"/>
      <w:kern w:val="2"/>
      <w:sz w:val="24"/>
      <w:szCs w:val="24"/>
      <w:lang w:val="en-US" w:eastAsia="zh-CN" w:bidi="ar-SA"/>
    </w:rPr>
  </w:style>
  <w:style w:type="character" w:customStyle="1" w:styleId="66">
    <w:name w:val="标题 2 字符"/>
    <w:link w:val="5"/>
    <w:qFormat/>
    <w:uiPriority w:val="0"/>
    <w:rPr>
      <w:rFonts w:ascii="仿宋_GB2312" w:eastAsia="宋体"/>
      <w:b/>
      <w:kern w:val="2"/>
      <w:sz w:val="28"/>
      <w:szCs w:val="32"/>
      <w:lang w:val="en-US" w:eastAsia="zh-CN" w:bidi="ar-SA"/>
    </w:rPr>
  </w:style>
  <w:style w:type="character" w:customStyle="1" w:styleId="67">
    <w:name w:val="pt141"/>
    <w:qFormat/>
    <w:uiPriority w:val="0"/>
    <w:rPr>
      <w:color w:val="330066"/>
      <w:spacing w:val="450"/>
      <w:sz w:val="22"/>
      <w:szCs w:val="22"/>
    </w:rPr>
  </w:style>
  <w:style w:type="character" w:customStyle="1" w:styleId="68">
    <w:name w:val="Char Char27"/>
    <w:qFormat/>
    <w:uiPriority w:val="0"/>
    <w:rPr>
      <w:rFonts w:eastAsia="宋体"/>
      <w:kern w:val="2"/>
      <w:sz w:val="28"/>
      <w:lang w:val="en-US" w:eastAsia="zh-CN" w:bidi="ar-SA"/>
    </w:rPr>
  </w:style>
  <w:style w:type="character" w:customStyle="1" w:styleId="69">
    <w:name w:val="标题 7 字符"/>
    <w:link w:val="10"/>
    <w:qFormat/>
    <w:uiPriority w:val="0"/>
    <w:rPr>
      <w:rFonts w:eastAsia="宋体"/>
      <w:b/>
      <w:kern w:val="2"/>
      <w:sz w:val="24"/>
      <w:lang w:val="en-US" w:eastAsia="zh-CN" w:bidi="ar-SA"/>
    </w:rPr>
  </w:style>
  <w:style w:type="character" w:customStyle="1" w:styleId="70">
    <w:name w:val="明显参考1"/>
    <w:qFormat/>
    <w:uiPriority w:val="0"/>
    <w:rPr>
      <w:b/>
      <w:bCs/>
      <w:smallCaps/>
      <w:color w:val="C0504D"/>
      <w:spacing w:val="5"/>
      <w:u w:val="single"/>
    </w:rPr>
  </w:style>
  <w:style w:type="character" w:customStyle="1" w:styleId="71">
    <w:name w:val="书籍标题1"/>
    <w:qFormat/>
    <w:uiPriority w:val="0"/>
    <w:rPr>
      <w:b/>
      <w:bCs/>
      <w:smallCaps/>
      <w:spacing w:val="5"/>
    </w:rPr>
  </w:style>
  <w:style w:type="character" w:customStyle="1" w:styleId="72">
    <w:name w:val="Char Char61"/>
    <w:qFormat/>
    <w:uiPriority w:val="0"/>
    <w:rPr>
      <w:rFonts w:ascii="Times New Roman" w:hAnsi="Times New Roman" w:eastAsia="宋体" w:cs="Times New Roman"/>
      <w:szCs w:val="24"/>
    </w:rPr>
  </w:style>
  <w:style w:type="character" w:customStyle="1" w:styleId="73">
    <w:name w:val="Char Char24"/>
    <w:qFormat/>
    <w:uiPriority w:val="0"/>
    <w:rPr>
      <w:rFonts w:eastAsia="宋体"/>
      <w:b/>
      <w:kern w:val="2"/>
      <w:sz w:val="28"/>
      <w:lang w:val="en-US" w:eastAsia="zh-CN" w:bidi="ar-SA"/>
    </w:rPr>
  </w:style>
  <w:style w:type="character" w:customStyle="1" w:styleId="74">
    <w:name w:val="Style4"/>
    <w:qFormat/>
    <w:uiPriority w:val="0"/>
    <w:rPr>
      <w:rFonts w:ascii="Calibri" w:hAnsi="宋体" w:eastAsia="宋体" w:cs="Times New Roman"/>
      <w:szCs w:val="22"/>
      <w:lang w:eastAsia="zh-CN"/>
    </w:rPr>
  </w:style>
  <w:style w:type="character" w:customStyle="1" w:styleId="75">
    <w:name w:val="Style1"/>
    <w:qFormat/>
    <w:uiPriority w:val="0"/>
    <w:rPr>
      <w:rFonts w:ascii="Calibri" w:hAnsi="宋体" w:eastAsia="宋体" w:cs="Times New Roman"/>
      <w:sz w:val="22"/>
      <w:szCs w:val="22"/>
      <w:lang w:eastAsia="zh-CN"/>
    </w:rPr>
  </w:style>
  <w:style w:type="character" w:customStyle="1" w:styleId="76">
    <w:name w:val="heading 1 Char1"/>
    <w:qFormat/>
    <w:uiPriority w:val="0"/>
    <w:rPr>
      <w:rFonts w:eastAsia="宋体"/>
      <w:b/>
      <w:bCs/>
      <w:kern w:val="44"/>
      <w:sz w:val="44"/>
      <w:szCs w:val="44"/>
      <w:lang w:val="en-US" w:eastAsia="zh-CN" w:bidi="ar-SA"/>
    </w:rPr>
  </w:style>
  <w:style w:type="character" w:customStyle="1" w:styleId="77">
    <w:name w:val="Style5"/>
    <w:qFormat/>
    <w:uiPriority w:val="0"/>
    <w:rPr>
      <w:rFonts w:ascii="Calibri" w:hAnsi="宋体" w:eastAsia="宋体" w:cs="Times New Roman"/>
      <w:sz w:val="22"/>
      <w:szCs w:val="22"/>
      <w:lang w:eastAsia="zh-CN"/>
    </w:rPr>
  </w:style>
  <w:style w:type="character" w:customStyle="1" w:styleId="78">
    <w:name w:val="称呼 字符"/>
    <w:link w:val="19"/>
    <w:qFormat/>
    <w:uiPriority w:val="0"/>
    <w:rPr>
      <w:rFonts w:ascii="仿宋_GB2312" w:eastAsia="仿宋_GB2312"/>
      <w:b/>
      <w:sz w:val="24"/>
      <w:szCs w:val="32"/>
    </w:rPr>
  </w:style>
  <w:style w:type="character" w:customStyle="1" w:styleId="79">
    <w:name w:val="Ò³Ã¼ Char Char2"/>
    <w:qFormat/>
    <w:uiPriority w:val="0"/>
    <w:rPr>
      <w:kern w:val="2"/>
      <w:sz w:val="18"/>
      <w:szCs w:val="18"/>
    </w:rPr>
  </w:style>
  <w:style w:type="character" w:customStyle="1" w:styleId="80">
    <w:name w:val="明显强调1"/>
    <w:qFormat/>
    <w:uiPriority w:val="0"/>
    <w:rPr>
      <w:b/>
      <w:bCs/>
      <w:i/>
      <w:iCs/>
      <w:color w:val="4F81BD"/>
    </w:rPr>
  </w:style>
  <w:style w:type="character" w:customStyle="1" w:styleId="81">
    <w:name w:val="样式 标题 3 + 黑体 小四 Char Char"/>
    <w:link w:val="82"/>
    <w:qFormat/>
    <w:uiPriority w:val="0"/>
    <w:rPr>
      <w:rFonts w:ascii="黑体" w:hAnsi="Arial" w:eastAsia="黑体"/>
      <w:bCs/>
      <w:sz w:val="24"/>
      <w:szCs w:val="24"/>
      <w:lang w:bidi="ar-SA"/>
    </w:rPr>
  </w:style>
  <w:style w:type="paragraph" w:customStyle="1" w:styleId="82">
    <w:name w:val="样式 标题 3 + 黑体 小四"/>
    <w:basedOn w:val="6"/>
    <w:link w:val="81"/>
    <w:qFormat/>
    <w:uiPriority w:val="0"/>
    <w:pPr>
      <w:spacing w:before="260" w:after="260" w:line="413" w:lineRule="auto"/>
    </w:pPr>
    <w:rPr>
      <w:rFonts w:ascii="黑体" w:hAnsi="Arial"/>
      <w:b w:val="0"/>
      <w:bCs/>
      <w:kern w:val="0"/>
      <w:sz w:val="24"/>
      <w:szCs w:val="24"/>
    </w:rPr>
  </w:style>
  <w:style w:type="character" w:customStyle="1" w:styleId="83">
    <w:name w:val="heading 7 Char1"/>
    <w:qFormat/>
    <w:uiPriority w:val="0"/>
    <w:rPr>
      <w:rFonts w:ascii="Arial" w:hAnsi="Arial" w:eastAsia="黑体"/>
      <w:sz w:val="21"/>
      <w:szCs w:val="21"/>
      <w:lang w:val="en-US" w:eastAsia="zh-CN" w:bidi="ar-SA"/>
    </w:rPr>
  </w:style>
  <w:style w:type="character" w:customStyle="1" w:styleId="84">
    <w:name w:val="Char Char1"/>
    <w:qFormat/>
    <w:uiPriority w:val="0"/>
    <w:rPr>
      <w:rFonts w:eastAsia="宋体"/>
      <w:sz w:val="21"/>
      <w:lang w:val="en-US" w:eastAsia="zh-CN" w:bidi="ar-SA"/>
    </w:rPr>
  </w:style>
  <w:style w:type="character" w:customStyle="1" w:styleId="85">
    <w:name w:val="Char Char12"/>
    <w:qFormat/>
    <w:uiPriority w:val="0"/>
    <w:rPr>
      <w:rFonts w:eastAsia="宋体"/>
      <w:kern w:val="2"/>
      <w:sz w:val="21"/>
      <w:szCs w:val="24"/>
      <w:lang w:val="en-US" w:eastAsia="zh-CN" w:bidi="ar-SA"/>
    </w:rPr>
  </w:style>
  <w:style w:type="character" w:customStyle="1" w:styleId="86">
    <w:name w:val="Char Char18"/>
    <w:qFormat/>
    <w:uiPriority w:val="0"/>
    <w:rPr>
      <w:b/>
      <w:bCs/>
      <w:kern w:val="2"/>
      <w:sz w:val="32"/>
      <w:szCs w:val="32"/>
    </w:rPr>
  </w:style>
  <w:style w:type="character" w:customStyle="1" w:styleId="87">
    <w:name w:val="Char Char4"/>
    <w:qFormat/>
    <w:uiPriority w:val="0"/>
    <w:rPr>
      <w:rFonts w:ascii="Cambria" w:hAnsi="Cambria" w:eastAsia="宋体"/>
      <w:b/>
      <w:bCs/>
      <w:sz w:val="32"/>
      <w:szCs w:val="32"/>
      <w:lang w:bidi="ar-SA"/>
    </w:rPr>
  </w:style>
  <w:style w:type="character" w:customStyle="1" w:styleId="88">
    <w:name w:val="PI Char"/>
    <w:qFormat/>
    <w:uiPriority w:val="0"/>
    <w:rPr>
      <w:rFonts w:ascii="宋体" w:hAnsi="宋体"/>
      <w:sz w:val="24"/>
    </w:rPr>
  </w:style>
  <w:style w:type="character" w:customStyle="1" w:styleId="89">
    <w:name w:val="明显参考2"/>
    <w:qFormat/>
    <w:uiPriority w:val="0"/>
    <w:rPr>
      <w:b/>
      <w:bCs/>
      <w:smallCaps/>
      <w:color w:val="C0504D"/>
      <w:spacing w:val="5"/>
      <w:u w:val="single"/>
    </w:rPr>
  </w:style>
  <w:style w:type="character" w:customStyle="1" w:styleId="90">
    <w:name w:val="批注文字 字符"/>
    <w:link w:val="18"/>
    <w:qFormat/>
    <w:uiPriority w:val="0"/>
    <w:rPr>
      <w:rFonts w:eastAsia="宋体"/>
      <w:kern w:val="2"/>
      <w:sz w:val="21"/>
      <w:szCs w:val="24"/>
      <w:lang w:val="en-US" w:eastAsia="zh-CN" w:bidi="ar-SA"/>
    </w:rPr>
  </w:style>
  <w:style w:type="character" w:customStyle="1" w:styleId="91">
    <w:name w:val="Style2"/>
    <w:qFormat/>
    <w:uiPriority w:val="0"/>
    <w:rPr>
      <w:rFonts w:ascii="Calibri" w:hAnsi="宋体" w:eastAsia="宋体" w:cs="Times New Roman"/>
      <w:sz w:val="22"/>
      <w:szCs w:val="22"/>
      <w:lang w:eastAsia="zh-CN"/>
    </w:rPr>
  </w:style>
  <w:style w:type="character" w:customStyle="1" w:styleId="92">
    <w:name w:val="Footer-Even Char1"/>
    <w:qFormat/>
    <w:uiPriority w:val="0"/>
    <w:rPr>
      <w:rFonts w:eastAsia="宋体"/>
      <w:kern w:val="2"/>
      <w:sz w:val="18"/>
      <w:szCs w:val="18"/>
      <w:lang w:val="en-US" w:eastAsia="zh-CN" w:bidi="ar-SA"/>
    </w:rPr>
  </w:style>
  <w:style w:type="character" w:customStyle="1" w:styleId="93">
    <w:name w:val="heading 4 Char1"/>
    <w:qFormat/>
    <w:uiPriority w:val="0"/>
    <w:rPr>
      <w:rFonts w:ascii="Cambria" w:hAnsi="Cambria" w:eastAsia="宋体"/>
      <w:b/>
      <w:bCs/>
      <w:kern w:val="2"/>
      <w:sz w:val="28"/>
      <w:szCs w:val="28"/>
      <w:lang w:val="en-US" w:eastAsia="zh-CN" w:bidi="ar-SA"/>
    </w:rPr>
  </w:style>
  <w:style w:type="character" w:customStyle="1" w:styleId="94">
    <w:name w:val="正文文本 3 字符"/>
    <w:basedOn w:val="54"/>
    <w:link w:val="20"/>
    <w:qFormat/>
    <w:uiPriority w:val="0"/>
  </w:style>
  <w:style w:type="character" w:customStyle="1" w:styleId="95">
    <w:name w:val="批注主题 字符"/>
    <w:link w:val="50"/>
    <w:qFormat/>
    <w:uiPriority w:val="0"/>
    <w:rPr>
      <w:rFonts w:eastAsia="宋体"/>
      <w:b/>
      <w:bCs/>
      <w:kern w:val="2"/>
      <w:sz w:val="21"/>
      <w:szCs w:val="24"/>
      <w:lang w:val="en-US" w:eastAsia="zh-CN" w:bidi="ar-SA"/>
    </w:rPr>
  </w:style>
  <w:style w:type="character" w:customStyle="1" w:styleId="96">
    <w:name w:val="不明显参考11"/>
    <w:qFormat/>
    <w:uiPriority w:val="0"/>
    <w:rPr>
      <w:smallCaps/>
      <w:color w:val="C0504D"/>
      <w:u w:val="single"/>
    </w:rPr>
  </w:style>
  <w:style w:type="character" w:customStyle="1" w:styleId="97">
    <w:name w:val="Plain Text Char"/>
    <w:qFormat/>
    <w:uiPriority w:val="0"/>
    <w:rPr>
      <w:rFonts w:ascii="宋体" w:hAnsi="Courier New" w:eastAsia="宋体" w:cs="Times New Roman"/>
      <w:sz w:val="21"/>
      <w:szCs w:val="21"/>
    </w:rPr>
  </w:style>
  <w:style w:type="character" w:customStyle="1" w:styleId="98">
    <w:name w:val="Char Char111"/>
    <w:qFormat/>
    <w:uiPriority w:val="0"/>
    <w:rPr>
      <w:rFonts w:ascii="Times New Roman" w:hAnsi="Times New Roman" w:eastAsia="宋体" w:cs="Times New Roman"/>
      <w:sz w:val="18"/>
      <w:szCs w:val="18"/>
    </w:rPr>
  </w:style>
  <w:style w:type="character" w:customStyle="1" w:styleId="99">
    <w:name w:val="无间距字符"/>
    <w:link w:val="100"/>
    <w:qFormat/>
    <w:uiPriority w:val="0"/>
    <w:rPr>
      <w:rFonts w:eastAsia="Times New Roman"/>
      <w:sz w:val="22"/>
      <w:szCs w:val="22"/>
      <w:lang w:val="en-US" w:eastAsia="zh-CN" w:bidi="ar-SA"/>
    </w:rPr>
  </w:style>
  <w:style w:type="paragraph" w:customStyle="1" w:styleId="100">
    <w:name w:val="无间距"/>
    <w:link w:val="99"/>
    <w:qFormat/>
    <w:uiPriority w:val="0"/>
    <w:rPr>
      <w:rFonts w:ascii="Times New Roman" w:hAnsi="Times New Roman" w:eastAsia="Times New Roman" w:cs="Times New Roman"/>
      <w:sz w:val="22"/>
      <w:szCs w:val="22"/>
      <w:lang w:val="en-US" w:eastAsia="zh-CN" w:bidi="ar-SA"/>
    </w:rPr>
  </w:style>
  <w:style w:type="character" w:customStyle="1" w:styleId="101">
    <w:name w:val="heading 5 Char2"/>
    <w:qFormat/>
    <w:uiPriority w:val="0"/>
    <w:rPr>
      <w:b/>
      <w:bCs/>
      <w:kern w:val="2"/>
      <w:sz w:val="28"/>
      <w:szCs w:val="28"/>
    </w:rPr>
  </w:style>
  <w:style w:type="character" w:customStyle="1" w:styleId="102">
    <w:name w:val="样式2 Char Char"/>
    <w:link w:val="103"/>
    <w:qFormat/>
    <w:uiPriority w:val="0"/>
    <w:rPr>
      <w:rFonts w:ascii="宋体" w:hAnsi="宋体" w:eastAsia="宋体"/>
      <w:bCs/>
      <w:kern w:val="2"/>
      <w:sz w:val="28"/>
      <w:szCs w:val="28"/>
      <w:lang w:val="en-US" w:eastAsia="zh-CN" w:bidi="ar-SA"/>
    </w:rPr>
  </w:style>
  <w:style w:type="paragraph" w:customStyle="1" w:styleId="103">
    <w:name w:val="样式2"/>
    <w:basedOn w:val="5"/>
    <w:link w:val="102"/>
    <w:qFormat/>
    <w:uiPriority w:val="0"/>
    <w:pPr>
      <w:keepLines/>
      <w:snapToGrid w:val="0"/>
      <w:spacing w:before="260" w:afterLines="50" w:line="480" w:lineRule="exact"/>
      <w:ind w:firstLine="556"/>
    </w:pPr>
    <w:rPr>
      <w:rFonts w:ascii="宋体" w:hAnsi="宋体"/>
      <w:b w:val="0"/>
      <w:bCs/>
      <w:szCs w:val="28"/>
    </w:rPr>
  </w:style>
  <w:style w:type="character" w:customStyle="1" w:styleId="104">
    <w:name w:val="正文缩进 字符"/>
    <w:link w:val="9"/>
    <w:qFormat/>
    <w:uiPriority w:val="0"/>
    <w:rPr>
      <w:rFonts w:ascii="仿宋_GB2312" w:eastAsia="宋体"/>
      <w:b/>
      <w:sz w:val="21"/>
      <w:szCs w:val="32"/>
      <w:lang w:val="en-US" w:eastAsia="zh-CN" w:bidi="ar-SA"/>
    </w:rPr>
  </w:style>
  <w:style w:type="character" w:customStyle="1" w:styleId="105">
    <w:name w:val="heading 2 Char1"/>
    <w:qFormat/>
    <w:uiPriority w:val="0"/>
    <w:rPr>
      <w:rFonts w:ascii="Cambria" w:hAnsi="Cambria" w:eastAsia="宋体"/>
      <w:b/>
      <w:bCs/>
      <w:kern w:val="2"/>
      <w:sz w:val="32"/>
      <w:szCs w:val="32"/>
      <w:lang w:val="en-US" w:eastAsia="zh-CN" w:bidi="ar-SA"/>
    </w:rPr>
  </w:style>
  <w:style w:type="character" w:customStyle="1" w:styleId="106">
    <w:name w:val="heading 3 Char1"/>
    <w:qFormat/>
    <w:uiPriority w:val="0"/>
    <w:rPr>
      <w:rFonts w:eastAsia="宋体"/>
      <w:b/>
      <w:bCs/>
      <w:kern w:val="2"/>
      <w:sz w:val="32"/>
      <w:szCs w:val="32"/>
      <w:lang w:val="en-US" w:eastAsia="zh-CN" w:bidi="ar-SA"/>
    </w:rPr>
  </w:style>
  <w:style w:type="character" w:customStyle="1" w:styleId="107">
    <w:name w:val="Char Char15"/>
    <w:qFormat/>
    <w:uiPriority w:val="0"/>
    <w:rPr>
      <w:rFonts w:ascii="Arial" w:hAnsi="Arial" w:eastAsia="黑体"/>
      <w:sz w:val="24"/>
      <w:szCs w:val="24"/>
    </w:rPr>
  </w:style>
  <w:style w:type="character" w:customStyle="1" w:styleId="108">
    <w:name w:val="heading 1 Char"/>
    <w:qFormat/>
    <w:uiPriority w:val="0"/>
    <w:rPr>
      <w:rFonts w:ascii="Arial" w:hAnsi="Arial" w:eastAsia="黑体"/>
      <w:b/>
      <w:sz w:val="36"/>
      <w:szCs w:val="36"/>
    </w:rPr>
  </w:style>
  <w:style w:type="character" w:customStyle="1" w:styleId="109">
    <w:name w:val="ändrad Char"/>
    <w:qFormat/>
    <w:uiPriority w:val="0"/>
    <w:rPr>
      <w:rFonts w:eastAsia="宋体"/>
      <w:kern w:val="2"/>
      <w:sz w:val="21"/>
      <w:szCs w:val="24"/>
      <w:lang w:val="en-US" w:eastAsia="zh-CN" w:bidi="ar-SA"/>
    </w:rPr>
  </w:style>
  <w:style w:type="character" w:customStyle="1" w:styleId="110">
    <w:name w:val="标题 字符"/>
    <w:link w:val="49"/>
    <w:qFormat/>
    <w:uiPriority w:val="0"/>
    <w:rPr>
      <w:rFonts w:ascii="Cambria" w:hAnsi="Cambria" w:eastAsia="宋体"/>
      <w:b/>
      <w:bCs/>
      <w:kern w:val="2"/>
      <w:sz w:val="32"/>
      <w:szCs w:val="32"/>
      <w:lang w:val="en-US" w:eastAsia="zh-CN" w:bidi="ar-SA"/>
    </w:rPr>
  </w:style>
  <w:style w:type="character" w:customStyle="1" w:styleId="111">
    <w:name w:val="Char Char22"/>
    <w:qFormat/>
    <w:uiPriority w:val="0"/>
    <w:rPr>
      <w:rFonts w:ascii="Arial" w:hAnsi="Arial" w:eastAsia="黑体"/>
      <w:b/>
      <w:bCs/>
      <w:kern w:val="44"/>
      <w:sz w:val="30"/>
      <w:szCs w:val="44"/>
      <w:lang w:val="en-US" w:eastAsia="zh-CN" w:bidi="ar-SA"/>
    </w:rPr>
  </w:style>
  <w:style w:type="character" w:customStyle="1" w:styleId="112">
    <w:name w:val="blue1"/>
    <w:basedOn w:val="54"/>
    <w:qFormat/>
    <w:uiPriority w:val="0"/>
  </w:style>
  <w:style w:type="character" w:customStyle="1" w:styleId="113">
    <w:name w:val="样式 宋体"/>
    <w:qFormat/>
    <w:uiPriority w:val="0"/>
    <w:rPr>
      <w:rFonts w:ascii="宋体" w:hAnsi="宋体" w:eastAsia="宋体"/>
      <w:sz w:val="24"/>
      <w:szCs w:val="24"/>
    </w:rPr>
  </w:style>
  <w:style w:type="character" w:customStyle="1" w:styleId="114">
    <w:name w:val="dandyren_title1"/>
    <w:qFormat/>
    <w:uiPriority w:val="0"/>
    <w:rPr>
      <w:b/>
      <w:bCs/>
      <w:color w:val="FF6633"/>
      <w:sz w:val="18"/>
      <w:szCs w:val="18"/>
    </w:rPr>
  </w:style>
  <w:style w:type="character" w:customStyle="1" w:styleId="115">
    <w:name w:val="font21"/>
    <w:basedOn w:val="54"/>
    <w:qFormat/>
    <w:uiPriority w:val="0"/>
    <w:rPr>
      <w:rFonts w:ascii="Wingdings 2" w:hAnsi="Wingdings 2" w:eastAsia="Wingdings 2" w:cs="Wingdings 2"/>
      <w:b/>
      <w:color w:val="000000"/>
      <w:sz w:val="20"/>
      <w:szCs w:val="20"/>
      <w:u w:val="none"/>
    </w:rPr>
  </w:style>
  <w:style w:type="character" w:customStyle="1" w:styleId="116">
    <w:name w:val="Ò³Ã¼ Char Char1"/>
    <w:qFormat/>
    <w:uiPriority w:val="0"/>
    <w:rPr>
      <w:rFonts w:eastAsia="宋体"/>
      <w:kern w:val="2"/>
      <w:sz w:val="18"/>
      <w:szCs w:val="18"/>
      <w:lang w:val="en-US" w:eastAsia="zh-CN" w:bidi="ar-SA"/>
    </w:rPr>
  </w:style>
  <w:style w:type="character" w:customStyle="1" w:styleId="117">
    <w:name w:val="宏文本 字符"/>
    <w:link w:val="3"/>
    <w:qFormat/>
    <w:uiPriority w:val="0"/>
    <w:rPr>
      <w:rFonts w:ascii="Courier New" w:hAnsi="Courier New" w:eastAsia="Times New Roman"/>
      <w:kern w:val="2"/>
      <w:sz w:val="24"/>
      <w:szCs w:val="24"/>
      <w:lang w:val="en-US" w:eastAsia="zh-CN" w:bidi="ar-SA"/>
    </w:rPr>
  </w:style>
  <w:style w:type="character" w:customStyle="1" w:styleId="118">
    <w:name w:val="Footer-Even Char"/>
    <w:qFormat/>
    <w:uiPriority w:val="0"/>
    <w:rPr>
      <w:sz w:val="18"/>
      <w:szCs w:val="18"/>
    </w:rPr>
  </w:style>
  <w:style w:type="character" w:customStyle="1" w:styleId="119">
    <w:name w:val="页脚 字符"/>
    <w:link w:val="36"/>
    <w:qFormat/>
    <w:uiPriority w:val="0"/>
    <w:rPr>
      <w:rFonts w:eastAsia="宋体"/>
      <w:kern w:val="2"/>
      <w:sz w:val="18"/>
      <w:szCs w:val="18"/>
      <w:lang w:val="en-US" w:eastAsia="zh-CN" w:bidi="ar-SA"/>
    </w:rPr>
  </w:style>
  <w:style w:type="character" w:customStyle="1" w:styleId="120">
    <w:name w:val="style111"/>
    <w:qFormat/>
    <w:uiPriority w:val="0"/>
    <w:rPr>
      <w:sz w:val="27"/>
      <w:szCs w:val="27"/>
    </w:rPr>
  </w:style>
  <w:style w:type="character" w:customStyle="1" w:styleId="121">
    <w:name w:val="PI Char2"/>
    <w:qFormat/>
    <w:uiPriority w:val="0"/>
    <w:rPr>
      <w:kern w:val="2"/>
      <w:sz w:val="24"/>
      <w:szCs w:val="24"/>
    </w:rPr>
  </w:style>
  <w:style w:type="character" w:customStyle="1" w:styleId="122">
    <w:name w:val="gray6"/>
    <w:basedOn w:val="54"/>
    <w:qFormat/>
    <w:uiPriority w:val="0"/>
  </w:style>
  <w:style w:type="character" w:customStyle="1" w:styleId="123">
    <w:name w:val="Char Char Char1"/>
    <w:qFormat/>
    <w:uiPriority w:val="0"/>
    <w:rPr>
      <w:rFonts w:ascii="宋体" w:hAnsi="Courier New"/>
      <w:sz w:val="21"/>
      <w:szCs w:val="21"/>
    </w:rPr>
  </w:style>
  <w:style w:type="character" w:customStyle="1" w:styleId="124">
    <w:name w:val="Char Char121"/>
    <w:qFormat/>
    <w:uiPriority w:val="0"/>
    <w:rPr>
      <w:rFonts w:eastAsia="宋体"/>
      <w:kern w:val="2"/>
      <w:sz w:val="21"/>
      <w:szCs w:val="24"/>
      <w:lang w:val="en-US" w:eastAsia="zh-CN" w:bidi="ar-SA"/>
    </w:rPr>
  </w:style>
  <w:style w:type="character" w:customStyle="1" w:styleId="125">
    <w:name w:val="Char Char Char Char Char Char Char Char Char"/>
    <w:qFormat/>
    <w:uiPriority w:val="0"/>
    <w:rPr>
      <w:rFonts w:ascii="宋体" w:hAnsi="Courier New" w:eastAsia="宋体"/>
      <w:sz w:val="21"/>
      <w:szCs w:val="21"/>
      <w:lang w:val="en-US" w:eastAsia="zh-CN" w:bidi="ar-SA"/>
    </w:rPr>
  </w:style>
  <w:style w:type="character" w:customStyle="1" w:styleId="126">
    <w:name w:val="heading 4 Char2"/>
    <w:qFormat/>
    <w:uiPriority w:val="0"/>
    <w:rPr>
      <w:rFonts w:ascii="Cambria" w:hAnsi="Cambria"/>
      <w:b/>
      <w:bCs/>
      <w:kern w:val="2"/>
      <w:sz w:val="28"/>
      <w:szCs w:val="28"/>
    </w:rPr>
  </w:style>
  <w:style w:type="character" w:customStyle="1" w:styleId="127">
    <w:name w:val="heading 3 Char"/>
    <w:qFormat/>
    <w:uiPriority w:val="0"/>
    <w:rPr>
      <w:rFonts w:ascii="Arial" w:hAnsi="Arial" w:eastAsia="黑体"/>
      <w:sz w:val="28"/>
      <w:szCs w:val="24"/>
    </w:rPr>
  </w:style>
  <w:style w:type="character" w:customStyle="1" w:styleId="128">
    <w:name w:val="标题 1 字符"/>
    <w:link w:val="4"/>
    <w:qFormat/>
    <w:uiPriority w:val="0"/>
    <w:rPr>
      <w:rFonts w:eastAsia="黑体"/>
      <w:b/>
      <w:kern w:val="2"/>
      <w:sz w:val="32"/>
      <w:lang w:val="en-US" w:eastAsia="zh-CN" w:bidi="ar-SA"/>
    </w:rPr>
  </w:style>
  <w:style w:type="character" w:customStyle="1" w:styleId="129">
    <w:name w:val="Char Char16"/>
    <w:qFormat/>
    <w:uiPriority w:val="0"/>
    <w:rPr>
      <w:b/>
      <w:bCs/>
      <w:kern w:val="2"/>
      <w:sz w:val="28"/>
      <w:szCs w:val="28"/>
    </w:rPr>
  </w:style>
  <w:style w:type="character" w:customStyle="1" w:styleId="130">
    <w:name w:val="文档结构图 字符"/>
    <w:link w:val="17"/>
    <w:qFormat/>
    <w:uiPriority w:val="0"/>
    <w:rPr>
      <w:rFonts w:eastAsia="宋体"/>
      <w:kern w:val="2"/>
      <w:sz w:val="21"/>
      <w:szCs w:val="24"/>
      <w:lang w:val="en-US" w:eastAsia="zh-CN" w:bidi="ar-SA"/>
    </w:rPr>
  </w:style>
  <w:style w:type="character" w:customStyle="1" w:styleId="131">
    <w:name w:val="标题 5 字符"/>
    <w:link w:val="7"/>
    <w:qFormat/>
    <w:uiPriority w:val="0"/>
    <w:rPr>
      <w:rFonts w:eastAsia="宋体"/>
      <w:b/>
      <w:bCs/>
      <w:sz w:val="28"/>
      <w:szCs w:val="28"/>
      <w:lang w:bidi="ar-SA"/>
    </w:rPr>
  </w:style>
  <w:style w:type="character" w:customStyle="1" w:styleId="132">
    <w:name w:val="日期 字符"/>
    <w:link w:val="33"/>
    <w:qFormat/>
    <w:uiPriority w:val="0"/>
    <w:rPr>
      <w:rFonts w:eastAsia="宋体"/>
      <w:kern w:val="2"/>
      <w:sz w:val="21"/>
      <w:szCs w:val="24"/>
      <w:lang w:val="en-US" w:eastAsia="zh-CN" w:bidi="ar-SA"/>
    </w:rPr>
  </w:style>
  <w:style w:type="character" w:customStyle="1" w:styleId="133">
    <w:name w:val="副标题 字符"/>
    <w:link w:val="41"/>
    <w:qFormat/>
    <w:uiPriority w:val="0"/>
    <w:rPr>
      <w:rFonts w:ascii="Cambria" w:hAnsi="Cambria" w:eastAsia="宋体"/>
      <w:b/>
      <w:bCs/>
      <w:kern w:val="28"/>
      <w:sz w:val="32"/>
      <w:szCs w:val="32"/>
      <w:lang w:val="en-US" w:eastAsia="zh-CN" w:bidi="ar-SA"/>
    </w:rPr>
  </w:style>
  <w:style w:type="character" w:customStyle="1" w:styleId="134">
    <w:name w:val="页眉 字符"/>
    <w:link w:val="37"/>
    <w:qFormat/>
    <w:uiPriority w:val="0"/>
    <w:rPr>
      <w:rFonts w:eastAsia="宋体"/>
      <w:kern w:val="2"/>
      <w:sz w:val="18"/>
      <w:szCs w:val="18"/>
      <w:lang w:val="en-US" w:eastAsia="zh-CN" w:bidi="ar-SA"/>
    </w:rPr>
  </w:style>
  <w:style w:type="character" w:customStyle="1" w:styleId="135">
    <w:name w:val="style13"/>
    <w:basedOn w:val="54"/>
    <w:qFormat/>
    <w:uiPriority w:val="0"/>
  </w:style>
  <w:style w:type="character" w:customStyle="1" w:styleId="136">
    <w:name w:val="textcolor1"/>
    <w:qFormat/>
    <w:uiPriority w:val="0"/>
    <w:rPr>
      <w:rFonts w:ascii="仿宋_GB2312" w:eastAsia="仿宋_GB2312"/>
      <w:b/>
      <w:color w:val="FF6600"/>
      <w:sz w:val="32"/>
      <w:szCs w:val="32"/>
    </w:rPr>
  </w:style>
  <w:style w:type="character" w:customStyle="1" w:styleId="137">
    <w:name w:val="Table Text Char Char"/>
    <w:link w:val="138"/>
    <w:qFormat/>
    <w:uiPriority w:val="0"/>
    <w:rPr>
      <w:sz w:val="21"/>
      <w:lang w:val="en-US" w:eastAsia="en-US" w:bidi="ar-SA"/>
    </w:rPr>
  </w:style>
  <w:style w:type="paragraph" w:customStyle="1" w:styleId="138">
    <w:name w:val="Table Text"/>
    <w:basedOn w:val="1"/>
    <w:link w:val="137"/>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39">
    <w:name w:val="Ò³Ã¼ Char Char"/>
    <w:qFormat/>
    <w:uiPriority w:val="0"/>
    <w:rPr>
      <w:sz w:val="18"/>
      <w:szCs w:val="18"/>
    </w:rPr>
  </w:style>
  <w:style w:type="character" w:customStyle="1" w:styleId="140">
    <w:name w:val="heading 2 Char2"/>
    <w:qFormat/>
    <w:uiPriority w:val="0"/>
    <w:rPr>
      <w:rFonts w:ascii="Cambria" w:hAnsi="Cambria"/>
      <w:b/>
      <w:bCs/>
      <w:kern w:val="2"/>
      <w:sz w:val="32"/>
      <w:szCs w:val="32"/>
    </w:rPr>
  </w:style>
  <w:style w:type="character" w:customStyle="1" w:styleId="141">
    <w:name w:val="书籍标题11"/>
    <w:qFormat/>
    <w:uiPriority w:val="0"/>
    <w:rPr>
      <w:b/>
      <w:bCs/>
      <w:smallCaps/>
      <w:spacing w:val="5"/>
    </w:rPr>
  </w:style>
  <w:style w:type="character" w:customStyle="1" w:styleId="142">
    <w:name w:val="Char Char21"/>
    <w:qFormat/>
    <w:uiPriority w:val="0"/>
    <w:rPr>
      <w:rFonts w:ascii="Times New Roman" w:hAnsi="Times New Roman" w:eastAsia="宋体" w:cs="Times New Roman"/>
      <w:b/>
      <w:bCs/>
      <w:kern w:val="44"/>
      <w:sz w:val="44"/>
      <w:szCs w:val="44"/>
    </w:rPr>
  </w:style>
  <w:style w:type="character" w:customStyle="1" w:styleId="143">
    <w:name w:val="正文文本缩进 字符"/>
    <w:link w:val="24"/>
    <w:qFormat/>
    <w:uiPriority w:val="0"/>
    <w:rPr>
      <w:rFonts w:eastAsia="宋体"/>
      <w:kern w:val="2"/>
      <w:sz w:val="24"/>
      <w:szCs w:val="24"/>
      <w:lang w:val="en-US" w:eastAsia="zh-CN" w:bidi="ar-SA"/>
    </w:rPr>
  </w:style>
  <w:style w:type="character" w:customStyle="1" w:styleId="144">
    <w:name w:val="不明显强调1"/>
    <w:qFormat/>
    <w:uiPriority w:val="0"/>
    <w:rPr>
      <w:i/>
      <w:iCs/>
      <w:color w:val="808080"/>
    </w:rPr>
  </w:style>
  <w:style w:type="character" w:customStyle="1" w:styleId="145">
    <w:name w:val="正文文本缩进 3 字符"/>
    <w:link w:val="44"/>
    <w:qFormat/>
    <w:uiPriority w:val="0"/>
    <w:rPr>
      <w:rFonts w:eastAsia="宋体"/>
      <w:kern w:val="2"/>
      <w:sz w:val="24"/>
      <w:szCs w:val="24"/>
      <w:lang w:val="en-US" w:eastAsia="zh-CN" w:bidi="ar-SA"/>
    </w:rPr>
  </w:style>
  <w:style w:type="character" w:customStyle="1" w:styleId="146">
    <w:name w:val="heading 5 Char"/>
    <w:qFormat/>
    <w:uiPriority w:val="0"/>
    <w:rPr>
      <w:rFonts w:ascii="Arial" w:hAnsi="Arial" w:eastAsia="黑体"/>
      <w:sz w:val="21"/>
      <w:szCs w:val="21"/>
    </w:rPr>
  </w:style>
  <w:style w:type="character" w:customStyle="1" w:styleId="147">
    <w:name w:val="Style3"/>
    <w:qFormat/>
    <w:uiPriority w:val="0"/>
    <w:rPr>
      <w:rFonts w:ascii="Calibri" w:hAnsi="宋体" w:eastAsia="宋体" w:cs="Times New Roman"/>
      <w:szCs w:val="22"/>
      <w:lang w:eastAsia="zh-CN"/>
    </w:rPr>
  </w:style>
  <w:style w:type="character" w:customStyle="1" w:styleId="148">
    <w:name w:val="标题 4 字符"/>
    <w:link w:val="2"/>
    <w:qFormat/>
    <w:uiPriority w:val="0"/>
    <w:rPr>
      <w:rFonts w:eastAsia="宋体"/>
      <w:kern w:val="2"/>
      <w:sz w:val="28"/>
      <w:szCs w:val="28"/>
      <w:lang w:val="en-US" w:eastAsia="zh-CN" w:bidi="ar-SA"/>
    </w:rPr>
  </w:style>
  <w:style w:type="character" w:customStyle="1" w:styleId="149">
    <w:name w:val="Char Char241"/>
    <w:qFormat/>
    <w:uiPriority w:val="0"/>
    <w:rPr>
      <w:rFonts w:eastAsia="宋体"/>
      <w:b/>
      <w:kern w:val="2"/>
      <w:sz w:val="28"/>
      <w:lang w:val="en-US" w:eastAsia="zh-CN" w:bidi="ar-SA"/>
    </w:rPr>
  </w:style>
  <w:style w:type="character" w:customStyle="1" w:styleId="150">
    <w:name w:val="批注框文本 字符"/>
    <w:link w:val="35"/>
    <w:qFormat/>
    <w:uiPriority w:val="0"/>
    <w:rPr>
      <w:rFonts w:eastAsia="宋体"/>
      <w:kern w:val="2"/>
      <w:sz w:val="18"/>
      <w:szCs w:val="18"/>
      <w:lang w:val="en-US" w:eastAsia="zh-CN" w:bidi="ar-SA"/>
    </w:rPr>
  </w:style>
  <w:style w:type="character" w:customStyle="1" w:styleId="151">
    <w:name w:val="标题 3 字符"/>
    <w:link w:val="6"/>
    <w:qFormat/>
    <w:uiPriority w:val="0"/>
    <w:rPr>
      <w:rFonts w:eastAsia="黑体"/>
      <w:b/>
      <w:kern w:val="2"/>
      <w:sz w:val="28"/>
      <w:lang w:val="en-US" w:eastAsia="zh-CN" w:bidi="ar-SA"/>
    </w:rPr>
  </w:style>
  <w:style w:type="character" w:customStyle="1" w:styleId="152">
    <w:name w:val="明显强调11"/>
    <w:qFormat/>
    <w:uiPriority w:val="0"/>
    <w:rPr>
      <w:b/>
      <w:bCs/>
      <w:i/>
      <w:iCs/>
      <w:color w:val="4F81BD"/>
    </w:rPr>
  </w:style>
  <w:style w:type="character" w:customStyle="1" w:styleId="153">
    <w:name w:val="签名 字符"/>
    <w:link w:val="38"/>
    <w:qFormat/>
    <w:uiPriority w:val="0"/>
    <w:rPr>
      <w:rFonts w:ascii="仿宋_GB2312" w:eastAsia="仿宋_GB2312"/>
      <w:b/>
      <w:sz w:val="24"/>
      <w:szCs w:val="32"/>
    </w:rPr>
  </w:style>
  <w:style w:type="character" w:customStyle="1" w:styleId="154">
    <w:name w:val="heading 3 Char2"/>
    <w:qFormat/>
    <w:uiPriority w:val="0"/>
    <w:rPr>
      <w:b/>
      <w:bCs/>
      <w:kern w:val="2"/>
      <w:sz w:val="32"/>
      <w:szCs w:val="32"/>
    </w:rPr>
  </w:style>
  <w:style w:type="character" w:customStyle="1" w:styleId="155">
    <w:name w:val="style21"/>
    <w:qFormat/>
    <w:uiPriority w:val="0"/>
    <w:rPr>
      <w:sz w:val="15"/>
      <w:szCs w:val="15"/>
    </w:rPr>
  </w:style>
  <w:style w:type="character" w:customStyle="1" w:styleId="156">
    <w:name w:val="Char Char271"/>
    <w:qFormat/>
    <w:uiPriority w:val="0"/>
    <w:rPr>
      <w:rFonts w:eastAsia="宋体"/>
      <w:kern w:val="2"/>
      <w:sz w:val="28"/>
      <w:lang w:val="en-US" w:eastAsia="zh-CN" w:bidi="ar-SA"/>
    </w:rPr>
  </w:style>
  <w:style w:type="character" w:customStyle="1" w:styleId="157">
    <w:name w:val="表格 Char Char"/>
    <w:link w:val="158"/>
    <w:qFormat/>
    <w:uiPriority w:val="0"/>
    <w:rPr>
      <w:rFonts w:ascii="宋体" w:hAnsi="宋体" w:eastAsia="宋体"/>
      <w:lang w:val="en-US" w:eastAsia="zh-CN" w:bidi="ar-SA"/>
    </w:rPr>
  </w:style>
  <w:style w:type="paragraph" w:customStyle="1" w:styleId="158">
    <w:name w:val="表格"/>
    <w:basedOn w:val="1"/>
    <w:link w:val="157"/>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59">
    <w:name w:val="heading 6 Char1"/>
    <w:qFormat/>
    <w:uiPriority w:val="0"/>
    <w:rPr>
      <w:rFonts w:ascii="Arial" w:hAnsi="Arial" w:eastAsia="黑体"/>
      <w:kern w:val="2"/>
      <w:sz w:val="24"/>
      <w:szCs w:val="24"/>
      <w:lang w:val="en-US" w:eastAsia="zh-CN" w:bidi="ar-SA"/>
    </w:rPr>
  </w:style>
  <w:style w:type="character" w:customStyle="1" w:styleId="160">
    <w:name w:val="Char Char211"/>
    <w:qFormat/>
    <w:uiPriority w:val="0"/>
    <w:rPr>
      <w:rFonts w:ascii="Times New Roman" w:hAnsi="Times New Roman" w:eastAsia="宋体" w:cs="Times New Roman"/>
      <w:b/>
      <w:bCs/>
      <w:kern w:val="44"/>
      <w:sz w:val="44"/>
      <w:szCs w:val="44"/>
    </w:rPr>
  </w:style>
  <w:style w:type="character" w:customStyle="1" w:styleId="161">
    <w:name w:val="不明显强调11"/>
    <w:qFormat/>
    <w:uiPriority w:val="0"/>
    <w:rPr>
      <w:i/>
      <w:iCs/>
      <w:color w:val="808080"/>
    </w:rPr>
  </w:style>
  <w:style w:type="character" w:customStyle="1" w:styleId="162">
    <w:name w:val="标题 9 字符"/>
    <w:link w:val="12"/>
    <w:qFormat/>
    <w:uiPriority w:val="0"/>
    <w:rPr>
      <w:rFonts w:ascii="Arial" w:hAnsi="Arial" w:eastAsia="黑体"/>
      <w:kern w:val="2"/>
      <w:sz w:val="21"/>
      <w:lang w:val="en-US" w:eastAsia="zh-CN" w:bidi="ar-SA"/>
    </w:rPr>
  </w:style>
  <w:style w:type="character" w:customStyle="1" w:styleId="163">
    <w:name w:val="正文文本 字符"/>
    <w:link w:val="21"/>
    <w:qFormat/>
    <w:uiPriority w:val="0"/>
    <w:rPr>
      <w:rFonts w:ascii="仿宋_GB2312" w:eastAsia="宋体"/>
      <w:b/>
      <w:kern w:val="2"/>
      <w:sz w:val="21"/>
      <w:szCs w:val="24"/>
      <w:lang w:val="en-US" w:eastAsia="zh-CN" w:bidi="ar-SA"/>
    </w:rPr>
  </w:style>
  <w:style w:type="character" w:customStyle="1" w:styleId="164">
    <w:name w:val="明显引用 字符"/>
    <w:link w:val="165"/>
    <w:qFormat/>
    <w:uiPriority w:val="0"/>
    <w:rPr>
      <w:rFonts w:ascii="Calibri" w:hAnsi="Calibri" w:eastAsia="宋体"/>
      <w:b/>
      <w:bCs/>
      <w:i/>
      <w:iCs/>
      <w:color w:val="4F81BD"/>
      <w:lang w:val="en-US" w:eastAsia="zh-CN" w:bidi="ar-SA"/>
    </w:rPr>
  </w:style>
  <w:style w:type="paragraph" w:styleId="165">
    <w:name w:val="Intense Quote"/>
    <w:basedOn w:val="1"/>
    <w:next w:val="1"/>
    <w:link w:val="164"/>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6">
    <w:name w:val="heading 5 Char1"/>
    <w:qFormat/>
    <w:uiPriority w:val="0"/>
    <w:rPr>
      <w:rFonts w:eastAsia="宋体"/>
      <w:b/>
      <w:bCs/>
      <w:kern w:val="2"/>
      <w:sz w:val="28"/>
      <w:szCs w:val="28"/>
      <w:lang w:val="en-US" w:eastAsia="zh-CN" w:bidi="ar-SA"/>
    </w:rPr>
  </w:style>
  <w:style w:type="character" w:customStyle="1" w:styleId="167">
    <w:name w:val="Texte Char Char"/>
    <w:qFormat/>
    <w:uiPriority w:val="0"/>
    <w:rPr>
      <w:rFonts w:ascii="宋体" w:hAnsi="Courier New" w:eastAsia="宋体"/>
      <w:sz w:val="21"/>
      <w:szCs w:val="21"/>
      <w:lang w:val="en-US" w:eastAsia="zh-CN" w:bidi="ar-SA"/>
    </w:rPr>
  </w:style>
  <w:style w:type="character" w:customStyle="1" w:styleId="168">
    <w:name w:val="正文1 Char Char"/>
    <w:link w:val="169"/>
    <w:qFormat/>
    <w:uiPriority w:val="0"/>
    <w:rPr>
      <w:rFonts w:ascii="宋体" w:hAnsi="宋体" w:eastAsia="宋体" w:cs="宋体"/>
      <w:sz w:val="21"/>
      <w:lang w:val="en-US" w:eastAsia="zh-CN" w:bidi="ar-SA"/>
    </w:rPr>
  </w:style>
  <w:style w:type="paragraph" w:customStyle="1" w:styleId="169">
    <w:name w:val="正文1"/>
    <w:basedOn w:val="1"/>
    <w:link w:val="168"/>
    <w:qFormat/>
    <w:uiPriority w:val="0"/>
    <w:pPr>
      <w:widowControl/>
      <w:spacing w:line="360" w:lineRule="auto"/>
      <w:ind w:left="360" w:firstLine="420"/>
      <w:jc w:val="left"/>
    </w:pPr>
    <w:rPr>
      <w:rFonts w:ascii="宋体" w:hAnsi="宋体" w:cs="宋体"/>
      <w:kern w:val="0"/>
      <w:szCs w:val="20"/>
    </w:rPr>
  </w:style>
  <w:style w:type="character" w:customStyle="1" w:styleId="170">
    <w:name w:val="heading 8 Char1"/>
    <w:qFormat/>
    <w:uiPriority w:val="0"/>
    <w:rPr>
      <w:rFonts w:ascii="Arial" w:hAnsi="Arial" w:eastAsia="黑体"/>
      <w:sz w:val="24"/>
      <w:lang w:val="en-US" w:eastAsia="zh-CN" w:bidi="ar-SA"/>
    </w:rPr>
  </w:style>
  <w:style w:type="character" w:customStyle="1" w:styleId="171">
    <w:name w:val="heading 9 Char1"/>
    <w:qFormat/>
    <w:uiPriority w:val="0"/>
    <w:rPr>
      <w:rFonts w:ascii="Arial" w:hAnsi="Arial" w:eastAsia="黑体"/>
      <w:sz w:val="21"/>
      <w:lang w:val="en-US" w:eastAsia="zh-CN" w:bidi="ar-SA"/>
    </w:rPr>
  </w:style>
  <w:style w:type="character" w:customStyle="1" w:styleId="172">
    <w:name w:val="标题 6 字符"/>
    <w:link w:val="8"/>
    <w:qFormat/>
    <w:uiPriority w:val="0"/>
    <w:rPr>
      <w:rFonts w:ascii="Arial" w:hAnsi="Arial" w:eastAsia="黑体"/>
      <w:b/>
      <w:kern w:val="2"/>
      <w:sz w:val="24"/>
      <w:lang w:val="en-US" w:eastAsia="zh-CN" w:bidi="ar-SA"/>
    </w:rPr>
  </w:style>
  <w:style w:type="character" w:customStyle="1" w:styleId="173">
    <w:name w:val="ändrad Char1"/>
    <w:qFormat/>
    <w:uiPriority w:val="0"/>
    <w:rPr>
      <w:rFonts w:ascii="仿宋_GB2312" w:eastAsia="宋体"/>
      <w:b/>
      <w:kern w:val="2"/>
      <w:sz w:val="21"/>
      <w:szCs w:val="24"/>
      <w:lang w:val="en-US" w:eastAsia="zh-CN" w:bidi="ar-SA"/>
    </w:rPr>
  </w:style>
  <w:style w:type="character" w:customStyle="1" w:styleId="174">
    <w:name w:val="Char Char41"/>
    <w:qFormat/>
    <w:uiPriority w:val="0"/>
    <w:rPr>
      <w:rFonts w:ascii="Cambria" w:hAnsi="Cambria" w:eastAsia="宋体"/>
      <w:b/>
      <w:bCs/>
      <w:sz w:val="32"/>
      <w:szCs w:val="32"/>
      <w:lang w:bidi="ar-SA"/>
    </w:rPr>
  </w:style>
  <w:style w:type="character" w:customStyle="1" w:styleId="175">
    <w:name w:val="标题 8 字符"/>
    <w:link w:val="11"/>
    <w:qFormat/>
    <w:uiPriority w:val="0"/>
    <w:rPr>
      <w:rFonts w:ascii="Arial" w:hAnsi="Arial" w:eastAsia="黑体"/>
      <w:kern w:val="2"/>
      <w:sz w:val="24"/>
      <w:lang w:val="en-US" w:eastAsia="zh-CN" w:bidi="ar-SA"/>
    </w:rPr>
  </w:style>
  <w:style w:type="character" w:customStyle="1" w:styleId="176">
    <w:name w:val="Char Char11"/>
    <w:qFormat/>
    <w:uiPriority w:val="0"/>
    <w:rPr>
      <w:rFonts w:ascii="Times New Roman" w:hAnsi="Times New Roman" w:eastAsia="宋体" w:cs="Times New Roman"/>
      <w:sz w:val="18"/>
      <w:szCs w:val="18"/>
    </w:rPr>
  </w:style>
  <w:style w:type="character" w:customStyle="1" w:styleId="177">
    <w:name w:val="正文文本缩进 2 字符"/>
    <w:link w:val="34"/>
    <w:qFormat/>
    <w:uiPriority w:val="0"/>
    <w:rPr>
      <w:rFonts w:eastAsia="宋体"/>
      <w:kern w:val="2"/>
      <w:sz w:val="24"/>
      <w:szCs w:val="24"/>
      <w:lang w:val="en-US" w:eastAsia="zh-CN" w:bidi="ar-SA"/>
    </w:rPr>
  </w:style>
  <w:style w:type="character" w:customStyle="1" w:styleId="178">
    <w:name w:val="Char Char6"/>
    <w:qFormat/>
    <w:uiPriority w:val="0"/>
    <w:rPr>
      <w:rFonts w:ascii="Times New Roman" w:hAnsi="Times New Roman" w:eastAsia="宋体" w:cs="Times New Roman"/>
      <w:szCs w:val="24"/>
    </w:rPr>
  </w:style>
  <w:style w:type="character" w:customStyle="1" w:styleId="179">
    <w:name w:val="Char Char Char"/>
    <w:qFormat/>
    <w:uiPriority w:val="0"/>
    <w:rPr>
      <w:rFonts w:ascii="宋体" w:hAnsi="Courier New" w:eastAsia="宋体"/>
      <w:b/>
      <w:sz w:val="21"/>
      <w:szCs w:val="21"/>
      <w:lang w:val="en-US" w:eastAsia="zh-CN" w:bidi="ar-SA"/>
    </w:rPr>
  </w:style>
  <w:style w:type="character" w:customStyle="1" w:styleId="180">
    <w:name w:val="heading 2 Char"/>
    <w:qFormat/>
    <w:uiPriority w:val="0"/>
    <w:rPr>
      <w:rFonts w:ascii="Arial" w:hAnsi="Arial" w:eastAsia="黑体" w:cs="Times New Roman"/>
      <w:sz w:val="30"/>
      <w:szCs w:val="24"/>
    </w:rPr>
  </w:style>
  <w:style w:type="character" w:customStyle="1" w:styleId="181">
    <w:name w:val="Char Char2"/>
    <w:qFormat/>
    <w:uiPriority w:val="0"/>
    <w:rPr>
      <w:rFonts w:ascii="Arial" w:hAnsi="Arial" w:eastAsia="黑体"/>
      <w:b/>
      <w:bCs/>
      <w:kern w:val="44"/>
      <w:sz w:val="30"/>
      <w:szCs w:val="44"/>
      <w:lang w:val="en-US" w:eastAsia="zh-CN" w:bidi="ar-SA"/>
    </w:rPr>
  </w:style>
  <w:style w:type="character" w:customStyle="1" w:styleId="182">
    <w:name w:val="Footer-Even Char2"/>
    <w:qFormat/>
    <w:uiPriority w:val="0"/>
    <w:rPr>
      <w:kern w:val="2"/>
      <w:sz w:val="18"/>
      <w:szCs w:val="18"/>
    </w:rPr>
  </w:style>
  <w:style w:type="character" w:customStyle="1" w:styleId="183">
    <w:name w:val="Char Char17"/>
    <w:qFormat/>
    <w:uiPriority w:val="0"/>
    <w:rPr>
      <w:rFonts w:ascii="Cambria" w:hAnsi="Cambria"/>
      <w:b/>
      <w:bCs/>
      <w:kern w:val="2"/>
      <w:sz w:val="28"/>
      <w:szCs w:val="28"/>
    </w:rPr>
  </w:style>
  <w:style w:type="character" w:customStyle="1" w:styleId="184">
    <w:name w:val="heading 4 Char"/>
    <w:qFormat/>
    <w:uiPriority w:val="0"/>
    <w:rPr>
      <w:rFonts w:ascii="Arial" w:hAnsi="Arial" w:eastAsia="黑体" w:cs="Times New Roman"/>
      <w:sz w:val="21"/>
      <w:szCs w:val="21"/>
    </w:rPr>
  </w:style>
  <w:style w:type="character" w:customStyle="1" w:styleId="185">
    <w:name w:val="Char Char20"/>
    <w:qFormat/>
    <w:uiPriority w:val="0"/>
    <w:rPr>
      <w:b/>
      <w:bCs/>
      <w:kern w:val="44"/>
      <w:sz w:val="44"/>
      <w:szCs w:val="44"/>
    </w:rPr>
  </w:style>
  <w:style w:type="character" w:customStyle="1" w:styleId="186">
    <w:name w:val="heading 1 Char2"/>
    <w:qFormat/>
    <w:uiPriority w:val="0"/>
    <w:rPr>
      <w:b/>
      <w:bCs/>
      <w:kern w:val="44"/>
      <w:sz w:val="44"/>
      <w:szCs w:val="44"/>
    </w:rPr>
  </w:style>
  <w:style w:type="character" w:customStyle="1" w:styleId="187">
    <w:name w:val="font11"/>
    <w:qFormat/>
    <w:uiPriority w:val="0"/>
    <w:rPr>
      <w:rFonts w:hint="eastAsia" w:ascii="宋体" w:hAnsi="宋体" w:eastAsia="宋体" w:cs="宋体"/>
      <w:b/>
      <w:color w:val="000000"/>
      <w:sz w:val="20"/>
      <w:szCs w:val="20"/>
      <w:u w:val="none"/>
    </w:rPr>
  </w:style>
  <w:style w:type="character" w:customStyle="1" w:styleId="188">
    <w:name w:val="表正文 Char2"/>
    <w:qFormat/>
    <w:uiPriority w:val="0"/>
    <w:rPr>
      <w:rFonts w:ascii="Times New Roman" w:hAnsi="Times New Roman" w:eastAsia="宋体" w:cs="Times New Roman"/>
      <w:szCs w:val="24"/>
    </w:rPr>
  </w:style>
  <w:style w:type="character" w:customStyle="1" w:styleId="189">
    <w:name w:val="引用 字符"/>
    <w:link w:val="190"/>
    <w:qFormat/>
    <w:uiPriority w:val="0"/>
    <w:rPr>
      <w:rFonts w:ascii="Calibri" w:hAnsi="Calibri" w:eastAsia="宋体"/>
      <w:i/>
      <w:iCs/>
      <w:color w:val="000000"/>
      <w:lang w:val="en-US" w:eastAsia="zh-CN" w:bidi="ar-SA"/>
    </w:rPr>
  </w:style>
  <w:style w:type="paragraph" w:styleId="190">
    <w:name w:val="Quote"/>
    <w:basedOn w:val="1"/>
    <w:next w:val="1"/>
    <w:link w:val="189"/>
    <w:qFormat/>
    <w:uiPriority w:val="0"/>
    <w:rPr>
      <w:rFonts w:ascii="Calibri" w:hAnsi="Calibri"/>
      <w:i/>
      <w:iCs/>
      <w:color w:val="000000"/>
      <w:kern w:val="0"/>
      <w:sz w:val="20"/>
      <w:szCs w:val="20"/>
    </w:rPr>
  </w:style>
  <w:style w:type="character" w:customStyle="1" w:styleId="191">
    <w:name w:val="纯文本 字符"/>
    <w:link w:val="30"/>
    <w:qFormat/>
    <w:uiPriority w:val="0"/>
    <w:rPr>
      <w:rFonts w:ascii="宋体" w:hAnsi="Courier New" w:eastAsia="宋体"/>
      <w:b/>
      <w:sz w:val="21"/>
      <w:szCs w:val="21"/>
      <w:lang w:val="en-US" w:eastAsia="zh-CN" w:bidi="ar-SA"/>
    </w:rPr>
  </w:style>
  <w:style w:type="character" w:customStyle="1" w:styleId="192">
    <w:name w:val="Char Char19"/>
    <w:qFormat/>
    <w:uiPriority w:val="0"/>
    <w:rPr>
      <w:rFonts w:ascii="Cambria" w:hAnsi="Cambria"/>
      <w:b/>
      <w:bCs/>
      <w:kern w:val="2"/>
      <w:sz w:val="32"/>
      <w:szCs w:val="32"/>
    </w:rPr>
  </w:style>
  <w:style w:type="character" w:customStyle="1" w:styleId="193">
    <w:name w:val="style41"/>
    <w:qFormat/>
    <w:uiPriority w:val="0"/>
    <w:rPr>
      <w:color w:val="auto"/>
    </w:rPr>
  </w:style>
  <w:style w:type="character" w:customStyle="1" w:styleId="194">
    <w:name w:val="Char Char201"/>
    <w:qFormat/>
    <w:uiPriority w:val="0"/>
    <w:rPr>
      <w:rFonts w:ascii="Cambria" w:hAnsi="Cambria" w:eastAsia="宋体" w:cs="Times New Roman"/>
      <w:b/>
      <w:bCs/>
      <w:sz w:val="32"/>
      <w:szCs w:val="32"/>
    </w:rPr>
  </w:style>
  <w:style w:type="character" w:customStyle="1" w:styleId="195">
    <w:name w:val="正文文本首行缩进 字符"/>
    <w:link w:val="22"/>
    <w:qFormat/>
    <w:uiPriority w:val="0"/>
    <w:rPr>
      <w:rFonts w:eastAsia="宋体"/>
      <w:lang w:val="en-US" w:eastAsia="zh-CN" w:bidi="ar-SA"/>
    </w:rPr>
  </w:style>
  <w:style w:type="character" w:customStyle="1" w:styleId="196">
    <w:name w:val="smalltxt1"/>
    <w:qFormat/>
    <w:uiPriority w:val="0"/>
    <w:rPr>
      <w:rFonts w:hint="default" w:ascii="ˎ̥" w:hAnsi="ˎ̥"/>
      <w:sz w:val="24"/>
      <w:szCs w:val="24"/>
    </w:rPr>
  </w:style>
  <w:style w:type="character" w:customStyle="1" w:styleId="197">
    <w:name w:val="正文文本 2 字符"/>
    <w:basedOn w:val="54"/>
    <w:link w:val="47"/>
    <w:qFormat/>
    <w:uiPriority w:val="0"/>
  </w:style>
  <w:style w:type="paragraph" w:customStyle="1" w:styleId="19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99">
    <w:name w:val="Char Char Char Char"/>
    <w:basedOn w:val="1"/>
    <w:qFormat/>
    <w:uiPriority w:val="0"/>
    <w:pPr>
      <w:autoSpaceDE w:val="0"/>
      <w:autoSpaceDN w:val="0"/>
      <w:adjustRightInd w:val="0"/>
      <w:jc w:val="left"/>
    </w:pPr>
    <w:rPr>
      <w:rFonts w:ascii="Tahoma" w:hAnsi="Tahoma"/>
      <w:kern w:val="0"/>
      <w:sz w:val="24"/>
      <w:szCs w:val="20"/>
    </w:rPr>
  </w:style>
  <w:style w:type="paragraph" w:customStyle="1" w:styleId="200">
    <w:name w:val="表内文字"/>
    <w:basedOn w:val="1"/>
    <w:qFormat/>
    <w:uiPriority w:val="0"/>
    <w:pPr>
      <w:spacing w:line="240" w:lineRule="atLeast"/>
      <w:jc w:val="center"/>
    </w:pPr>
    <w:rPr>
      <w:rFonts w:ascii="Arial" w:hAnsi="Arial" w:cs="Arial"/>
      <w:b/>
      <w:bCs/>
    </w:rPr>
  </w:style>
  <w:style w:type="paragraph" w:customStyle="1" w:styleId="201">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2">
    <w:name w:val="Char Char Char Char Char Char Char"/>
    <w:basedOn w:val="1"/>
    <w:qFormat/>
    <w:uiPriority w:val="0"/>
    <w:rPr>
      <w:rFonts w:ascii="仿宋_GB2312" w:eastAsia="仿宋_GB2312"/>
      <w:b/>
      <w:sz w:val="32"/>
      <w:szCs w:val="32"/>
    </w:rPr>
  </w:style>
  <w:style w:type="paragraph" w:customStyle="1" w:styleId="20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4">
    <w:name w:val="列出段落1"/>
    <w:basedOn w:val="1"/>
    <w:qFormat/>
    <w:uiPriority w:val="0"/>
    <w:pPr>
      <w:ind w:firstLine="420" w:firstLineChars="200"/>
    </w:pPr>
    <w:rPr>
      <w:szCs w:val="20"/>
    </w:rPr>
  </w:style>
  <w:style w:type="paragraph" w:customStyle="1" w:styleId="205">
    <w:name w:val="一级条标题"/>
    <w:next w:val="1"/>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7">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08">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09">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1">
    <w:name w:val="NICMAN Body Text"/>
    <w:basedOn w:val="1"/>
    <w:next w:val="21"/>
    <w:qFormat/>
    <w:uiPriority w:val="0"/>
    <w:pPr>
      <w:autoSpaceDE w:val="0"/>
      <w:autoSpaceDN w:val="0"/>
      <w:adjustRightInd w:val="0"/>
      <w:spacing w:after="120"/>
      <w:jc w:val="left"/>
    </w:pPr>
    <w:rPr>
      <w:kern w:val="0"/>
      <w:sz w:val="20"/>
      <w:szCs w:val="20"/>
    </w:rPr>
  </w:style>
  <w:style w:type="paragraph" w:customStyle="1" w:styleId="212">
    <w:name w:val="Char Char Char Char Char Char Char Char Char Char Char Char Char"/>
    <w:basedOn w:val="1"/>
    <w:qFormat/>
    <w:uiPriority w:val="0"/>
    <w:rPr>
      <w:rFonts w:ascii="Tahoma" w:hAnsi="Tahoma"/>
      <w:sz w:val="24"/>
      <w:szCs w:val="20"/>
    </w:rPr>
  </w:style>
  <w:style w:type="paragraph" w:customStyle="1" w:styleId="213">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4">
    <w:name w:val="正文缩进1"/>
    <w:basedOn w:val="1"/>
    <w:next w:val="24"/>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5">
    <w:name w:val="Table Heading"/>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6">
    <w:name w:val="Char Char Char Char1"/>
    <w:basedOn w:val="17"/>
    <w:qFormat/>
    <w:uiPriority w:val="0"/>
    <w:rPr>
      <w:rFonts w:ascii="Tahoma" w:hAnsi="Tahoma"/>
      <w:sz w:val="24"/>
    </w:rPr>
  </w:style>
  <w:style w:type="paragraph" w:customStyle="1" w:styleId="217">
    <w:name w:val="正文 首行缩进:  2 字符 Char"/>
    <w:basedOn w:val="1"/>
    <w:qFormat/>
    <w:uiPriority w:val="0"/>
    <w:pPr>
      <w:spacing w:line="360" w:lineRule="auto"/>
      <w:ind w:firstLine="480"/>
    </w:pPr>
    <w:rPr>
      <w:rFonts w:cs="宋体"/>
      <w:sz w:val="24"/>
      <w:szCs w:val="20"/>
    </w:rPr>
  </w:style>
  <w:style w:type="paragraph" w:customStyle="1" w:styleId="218">
    <w:name w:val="样式1"/>
    <w:basedOn w:val="1"/>
    <w:qFormat/>
    <w:uiPriority w:val="0"/>
    <w:pPr>
      <w:autoSpaceDE w:val="0"/>
      <w:autoSpaceDN w:val="0"/>
      <w:adjustRightInd w:val="0"/>
      <w:spacing w:line="400" w:lineRule="exact"/>
    </w:pPr>
    <w:rPr>
      <w:rFonts w:ascii="宋体" w:cs="宋体"/>
      <w:kern w:val="0"/>
    </w:rPr>
  </w:style>
  <w:style w:type="paragraph" w:customStyle="1" w:styleId="21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1">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2">
    <w:name w:val="Char Char Char Char Char Char Char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223">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4">
    <w:name w:val="二级条标题"/>
    <w:basedOn w:val="205"/>
    <w:next w:val="1"/>
    <w:qFormat/>
    <w:uiPriority w:val="0"/>
    <w:pPr>
      <w:tabs>
        <w:tab w:val="left" w:pos="4309"/>
        <w:tab w:val="clear" w:pos="3889"/>
      </w:tabs>
      <w:ind w:left="4309"/>
      <w:outlineLvl w:val="3"/>
    </w:pPr>
  </w:style>
  <w:style w:type="paragraph" w:customStyle="1" w:styleId="225">
    <w:name w:val="正文－恩普"/>
    <w:basedOn w:val="9"/>
    <w:qFormat/>
    <w:uiPriority w:val="0"/>
    <w:pPr>
      <w:adjustRightInd/>
      <w:spacing w:line="360" w:lineRule="auto"/>
      <w:ind w:firstLine="200" w:firstLineChars="200"/>
      <w:textAlignment w:val="auto"/>
    </w:pPr>
    <w:rPr>
      <w:kern w:val="2"/>
      <w:sz w:val="24"/>
      <w:szCs w:val="24"/>
    </w:rPr>
  </w:style>
  <w:style w:type="paragraph" w:customStyle="1" w:styleId="226">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227">
    <w:name w:val="正文（首行缩进）"/>
    <w:basedOn w:val="24"/>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28">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29">
    <w:name w:val="文字"/>
    <w:basedOn w:val="1"/>
    <w:qFormat/>
    <w:uiPriority w:val="0"/>
    <w:pPr>
      <w:tabs>
        <w:tab w:val="left" w:pos="8520"/>
      </w:tabs>
      <w:spacing w:line="312" w:lineRule="auto"/>
      <w:ind w:right="-210" w:firstLine="556"/>
    </w:pPr>
    <w:rPr>
      <w:rFonts w:ascii="宋体"/>
      <w:sz w:val="28"/>
      <w:szCs w:val="20"/>
    </w:rPr>
  </w:style>
  <w:style w:type="paragraph" w:customStyle="1" w:styleId="23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1">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2">
    <w:name w:val="标准段落"/>
    <w:basedOn w:val="1"/>
    <w:qFormat/>
    <w:uiPriority w:val="0"/>
    <w:pPr>
      <w:spacing w:after="120" w:line="360" w:lineRule="auto"/>
      <w:ind w:firstLine="420"/>
    </w:pPr>
    <w:rPr>
      <w:rFonts w:ascii="黑体" w:hAnsi="宋体" w:eastAsia="黑体"/>
      <w:b/>
      <w:spacing w:val="6"/>
      <w:szCs w:val="22"/>
    </w:rPr>
  </w:style>
  <w:style w:type="paragraph" w:customStyle="1" w:styleId="233">
    <w:name w:val="三级条标题"/>
    <w:basedOn w:val="224"/>
    <w:next w:val="1"/>
    <w:qFormat/>
    <w:uiPriority w:val="0"/>
    <w:pPr>
      <w:tabs>
        <w:tab w:val="left" w:pos="4729"/>
        <w:tab w:val="clear" w:pos="4309"/>
      </w:tabs>
      <w:ind w:left="4729"/>
      <w:outlineLvl w:val="4"/>
    </w:pPr>
  </w:style>
  <w:style w:type="paragraph" w:customStyle="1" w:styleId="234">
    <w:name w:val="Test2"/>
    <w:basedOn w:val="5"/>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5">
    <w:name w:val="默认段落字体 Para Char Char Char Char Char Char Char"/>
    <w:basedOn w:val="1"/>
    <w:qFormat/>
    <w:uiPriority w:val="0"/>
  </w:style>
  <w:style w:type="paragraph" w:customStyle="1" w:styleId="236">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8">
    <w:name w:val="Char13"/>
    <w:basedOn w:val="1"/>
    <w:qFormat/>
    <w:uiPriority w:val="0"/>
    <w:pPr>
      <w:widowControl/>
      <w:spacing w:after="160" w:line="240" w:lineRule="exact"/>
      <w:jc w:val="left"/>
    </w:pPr>
    <w:rPr>
      <w:rFonts w:ascii="Verdana" w:hAnsi="Verdana"/>
      <w:kern w:val="0"/>
      <w:sz w:val="20"/>
      <w:szCs w:val="20"/>
      <w:lang w:eastAsia="en-US"/>
    </w:rPr>
  </w:style>
  <w:style w:type="paragraph" w:customStyle="1" w:styleId="239">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0">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1">
    <w:name w:val="列表段落1"/>
    <w:basedOn w:val="1"/>
    <w:qFormat/>
    <w:uiPriority w:val="0"/>
    <w:pPr>
      <w:ind w:firstLine="420" w:firstLineChars="200"/>
    </w:pPr>
    <w:rPr>
      <w:rFonts w:ascii="Calibri" w:hAnsi="Calibri"/>
      <w:szCs w:val="22"/>
    </w:rPr>
  </w:style>
  <w:style w:type="paragraph" w:customStyle="1" w:styleId="242">
    <w:name w:val="五级条标题"/>
    <w:basedOn w:val="243"/>
    <w:next w:val="1"/>
    <w:qFormat/>
    <w:uiPriority w:val="0"/>
    <w:pPr>
      <w:tabs>
        <w:tab w:val="left" w:pos="5149"/>
        <w:tab w:val="left" w:pos="5569"/>
      </w:tabs>
      <w:ind w:left="5569"/>
      <w:outlineLvl w:val="6"/>
    </w:pPr>
  </w:style>
  <w:style w:type="paragraph" w:customStyle="1" w:styleId="243">
    <w:name w:val="四级条标题"/>
    <w:basedOn w:val="233"/>
    <w:next w:val="1"/>
    <w:qFormat/>
    <w:uiPriority w:val="0"/>
    <w:pPr>
      <w:tabs>
        <w:tab w:val="left" w:pos="5149"/>
        <w:tab w:val="clear" w:pos="4729"/>
      </w:tabs>
      <w:ind w:left="5149"/>
      <w:outlineLvl w:val="5"/>
    </w:pPr>
  </w:style>
  <w:style w:type="paragraph" w:customStyle="1" w:styleId="244">
    <w:name w:val="正文-宋体四号"/>
    <w:basedOn w:val="1"/>
    <w:qFormat/>
    <w:uiPriority w:val="0"/>
    <w:pPr>
      <w:spacing w:line="360" w:lineRule="auto"/>
      <w:ind w:firstLine="560" w:firstLineChars="200"/>
    </w:pPr>
    <w:rPr>
      <w:rFonts w:cs="宋体"/>
      <w:sz w:val="28"/>
      <w:szCs w:val="20"/>
    </w:rPr>
  </w:style>
  <w:style w:type="paragraph" w:customStyle="1" w:styleId="245">
    <w:name w:val="纯文本1"/>
    <w:basedOn w:val="1"/>
    <w:qFormat/>
    <w:uiPriority w:val="0"/>
    <w:pPr>
      <w:adjustRightInd w:val="0"/>
      <w:textAlignment w:val="baseline"/>
    </w:pPr>
    <w:rPr>
      <w:rFonts w:ascii="宋体" w:hAnsi="Courier New" w:eastAsia="楷体_GB2312"/>
      <w:sz w:val="28"/>
      <w:szCs w:val="20"/>
    </w:rPr>
  </w:style>
  <w:style w:type="paragraph" w:customStyle="1" w:styleId="246">
    <w:name w:val="Char2"/>
    <w:basedOn w:val="1"/>
    <w:qFormat/>
    <w:uiPriority w:val="0"/>
  </w:style>
  <w:style w:type="paragraph" w:customStyle="1" w:styleId="247">
    <w:name w:val="Char Char Char Char Char Char Char Char Char Char Char Char Char Char Char Char Char Char Char"/>
    <w:basedOn w:val="1"/>
    <w:qFormat/>
    <w:uiPriority w:val="0"/>
    <w:rPr>
      <w:rFonts w:ascii="仿宋_GB2312" w:eastAsia="仿宋_GB2312"/>
      <w:b/>
      <w:sz w:val="32"/>
      <w:szCs w:val="32"/>
    </w:rPr>
  </w:style>
  <w:style w:type="paragraph" w:customStyle="1" w:styleId="248">
    <w:name w:val="样式5"/>
    <w:basedOn w:val="9"/>
    <w:qFormat/>
    <w:uiPriority w:val="0"/>
    <w:pPr>
      <w:adjustRightInd/>
      <w:spacing w:line="360" w:lineRule="auto"/>
      <w:ind w:firstLine="200" w:firstLineChars="200"/>
      <w:textAlignment w:val="auto"/>
    </w:pPr>
    <w:rPr>
      <w:sz w:val="28"/>
      <w:szCs w:val="21"/>
    </w:rPr>
  </w:style>
  <w:style w:type="paragraph" w:customStyle="1" w:styleId="249">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0">
    <w:name w:val="Char Char Char Char Char Char Char Char Char Char Char Char Char1"/>
    <w:basedOn w:val="1"/>
    <w:qFormat/>
    <w:uiPriority w:val="0"/>
  </w:style>
  <w:style w:type="paragraph" w:customStyle="1" w:styleId="251">
    <w:name w:val="样式 标题 1Level 1Level 11h1II+IHeading1H1-Heading 1Header 1..."/>
    <w:basedOn w:val="4"/>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2">
    <w:name w:val="样式 标题 3 + 黑色 段前: 5 磅 段后: 5 磅 行距: 1.5 倍行距"/>
    <w:basedOn w:val="1"/>
    <w:qFormat/>
    <w:uiPriority w:val="0"/>
    <w:pPr>
      <w:ind w:left="855" w:hanging="855"/>
    </w:pPr>
    <w:rPr>
      <w:sz w:val="24"/>
      <w:szCs w:val="20"/>
    </w:rPr>
  </w:style>
  <w:style w:type="paragraph" w:customStyle="1" w:styleId="253">
    <w:name w:val="button"/>
    <w:basedOn w:val="1"/>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4">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5">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6">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7">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58">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59">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0">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26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2">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4">
    <w:name w:val="tabletext"/>
    <w:basedOn w:val="1"/>
    <w:qFormat/>
    <w:uiPriority w:val="0"/>
    <w:pPr>
      <w:widowControl/>
      <w:spacing w:line="300" w:lineRule="atLeast"/>
      <w:jc w:val="left"/>
    </w:pPr>
    <w:rPr>
      <w:rFonts w:ascii="宋体" w:hAnsi="宋体" w:cs="宋体"/>
      <w:kern w:val="0"/>
      <w:sz w:val="18"/>
      <w:szCs w:val="18"/>
    </w:rPr>
  </w:style>
  <w:style w:type="paragraph" w:customStyle="1" w:styleId="265">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6">
    <w:name w:val="TOC 标题1"/>
    <w:basedOn w:val="4"/>
    <w:next w:val="1"/>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7">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68">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269">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270">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1">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2">
    <w:name w:val="简单回函地址"/>
    <w:basedOn w:val="1"/>
    <w:qFormat/>
    <w:uiPriority w:val="0"/>
  </w:style>
  <w:style w:type="paragraph" w:customStyle="1" w:styleId="273">
    <w:name w:val="前言、引言标题"/>
    <w:next w:val="1"/>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4">
    <w:name w:val="正文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5">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6">
    <w:name w:val="1 Char"/>
    <w:basedOn w:val="9"/>
    <w:qFormat/>
    <w:uiPriority w:val="0"/>
    <w:pPr>
      <w:adjustRightInd/>
      <w:spacing w:line="360" w:lineRule="auto"/>
      <w:ind w:firstLine="200" w:firstLineChars="200"/>
      <w:textAlignment w:val="auto"/>
    </w:pPr>
    <w:rPr>
      <w:kern w:val="2"/>
    </w:rPr>
  </w:style>
  <w:style w:type="paragraph" w:customStyle="1" w:styleId="277">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78">
    <w:name w:val="TOC 标题2"/>
    <w:basedOn w:val="4"/>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79">
    <w:name w:val="Char Char"/>
    <w:basedOn w:val="1"/>
    <w:qFormat/>
    <w:uiPriority w:val="0"/>
    <w:rPr>
      <w:rFonts w:ascii="仿宋_GB2312" w:eastAsia="仿宋_GB2312"/>
      <w:b/>
      <w:sz w:val="32"/>
      <w:szCs w:val="32"/>
    </w:rPr>
  </w:style>
  <w:style w:type="paragraph" w:customStyle="1" w:styleId="280">
    <w:name w:val="l正文"/>
    <w:basedOn w:val="1"/>
    <w:qFormat/>
    <w:uiPriority w:val="0"/>
    <w:pPr>
      <w:spacing w:line="360" w:lineRule="auto"/>
      <w:ind w:firstLine="200" w:firstLineChars="200"/>
    </w:pPr>
    <w:rPr>
      <w:rFonts w:ascii="宋体" w:hAnsi="宋体"/>
      <w:sz w:val="24"/>
    </w:rPr>
  </w:style>
  <w:style w:type="paragraph" w:customStyle="1" w:styleId="281">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2">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3">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4">
    <w:name w:val="Char Char Char Char Char Char Char Char Char Char Char Char Char Char Char Char Char Char Char1"/>
    <w:basedOn w:val="1"/>
    <w:qFormat/>
    <w:uiPriority w:val="0"/>
    <w:rPr>
      <w:rFonts w:ascii="仿宋_GB2312" w:eastAsia="仿宋_GB2312"/>
      <w:b/>
      <w:sz w:val="32"/>
      <w:szCs w:val="32"/>
    </w:rPr>
  </w:style>
  <w:style w:type="paragraph" w:customStyle="1" w:styleId="285">
    <w:name w:val="xl29"/>
    <w:basedOn w:val="1"/>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6">
    <w:name w:val="Char Char Char Char Char Char Char1"/>
    <w:basedOn w:val="1"/>
    <w:qFormat/>
    <w:uiPriority w:val="0"/>
    <w:rPr>
      <w:rFonts w:ascii="仿宋_GB2312" w:eastAsia="仿宋_GB2312"/>
      <w:b/>
      <w:sz w:val="32"/>
      <w:szCs w:val="32"/>
    </w:rPr>
  </w:style>
  <w:style w:type="paragraph" w:customStyle="1" w:styleId="287">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8">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89">
    <w:name w:val="标题2"/>
    <w:basedOn w:val="5"/>
    <w:qFormat/>
    <w:uiPriority w:val="0"/>
    <w:pPr>
      <w:tabs>
        <w:tab w:val="left" w:pos="709"/>
      </w:tabs>
    </w:pPr>
    <w:rPr>
      <w:rFonts w:ascii="宋体" w:hAnsi="宋体"/>
      <w:sz w:val="36"/>
      <w:szCs w:val="36"/>
    </w:rPr>
  </w:style>
  <w:style w:type="paragraph" w:customStyle="1" w:styleId="290">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1">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2">
    <w:name w:val="Char1"/>
    <w:basedOn w:val="1"/>
    <w:qFormat/>
    <w:uiPriority w:val="0"/>
    <w:rPr>
      <w:rFonts w:ascii="仿宋_GB2312" w:eastAsia="仿宋_GB2312"/>
      <w:b/>
      <w:sz w:val="32"/>
      <w:szCs w:val="32"/>
    </w:rPr>
  </w:style>
  <w:style w:type="paragraph" w:customStyle="1" w:styleId="293">
    <w:name w:val="正文字缩2字"/>
    <w:basedOn w:val="1"/>
    <w:qFormat/>
    <w:uiPriority w:val="0"/>
    <w:pPr>
      <w:spacing w:before="60" w:after="60" w:line="360" w:lineRule="auto"/>
      <w:ind w:left="200" w:leftChars="200" w:firstLine="200" w:firstLineChars="200"/>
    </w:pPr>
    <w:rPr>
      <w:sz w:val="24"/>
    </w:rPr>
  </w:style>
  <w:style w:type="paragraph" w:customStyle="1" w:styleId="294">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5">
    <w:name w:val="保留正文"/>
    <w:basedOn w:val="21"/>
    <w:qFormat/>
    <w:uiPriority w:val="0"/>
    <w:pPr>
      <w:keepNext/>
      <w:spacing w:after="160"/>
    </w:pPr>
    <w:rPr>
      <w:szCs w:val="20"/>
    </w:rPr>
  </w:style>
  <w:style w:type="paragraph" w:customStyle="1" w:styleId="296">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29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99">
    <w:name w:val="Char"/>
    <w:basedOn w:val="1"/>
    <w:qFormat/>
    <w:uiPriority w:val="0"/>
    <w:rPr>
      <w:rFonts w:ascii="仿宋_GB2312" w:eastAsia="仿宋_GB2312"/>
      <w:b/>
      <w:sz w:val="32"/>
      <w:szCs w:val="32"/>
    </w:rPr>
  </w:style>
  <w:style w:type="paragraph" w:customStyle="1" w:styleId="300">
    <w:name w:val="Char2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1">
    <w:name w:val="正文文字表格居中"/>
    <w:basedOn w:val="1"/>
    <w:next w:val="47"/>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2">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3">
    <w:name w:val="Char1 Char Char Char Char Char Char"/>
    <w:basedOn w:val="1"/>
    <w:qFormat/>
    <w:uiPriority w:val="0"/>
    <w:rPr>
      <w:rFonts w:ascii="宋体" w:hAnsi="宋体"/>
      <w:color w:val="000000"/>
      <w:sz w:val="24"/>
    </w:rPr>
  </w:style>
  <w:style w:type="paragraph" w:customStyle="1" w:styleId="304">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5">
    <w:name w:val="Char1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7">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08">
    <w:name w:val="图"/>
    <w:basedOn w:val="1"/>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09">
    <w:name w:val="xl83"/>
    <w:basedOn w:val="1"/>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0">
    <w:name w:val="Char Char13"/>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2">
    <w:name w:val="features1"/>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3">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4">
    <w:name w:val="章标题"/>
    <w:next w:val="1"/>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5">
    <w:name w:val="样式 标题 3 + 黑体 小四 非加粗"/>
    <w:basedOn w:val="6"/>
    <w:qFormat/>
    <w:uiPriority w:val="0"/>
    <w:pPr>
      <w:spacing w:before="260" w:after="260" w:line="413" w:lineRule="auto"/>
    </w:pPr>
    <w:rPr>
      <w:rFonts w:ascii="黑体" w:hAnsi="黑体"/>
      <w:b w:val="0"/>
      <w:kern w:val="0"/>
      <w:sz w:val="24"/>
      <w:szCs w:val="32"/>
    </w:rPr>
  </w:style>
  <w:style w:type="paragraph" w:customStyle="1" w:styleId="316">
    <w:name w:val="正文_0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7">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18">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19">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20">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1">
    <w:name w:val="文档正文"/>
    <w:basedOn w:val="1"/>
    <w:qFormat/>
    <w:uiPriority w:val="0"/>
    <w:pPr>
      <w:adjustRightInd w:val="0"/>
      <w:spacing w:line="300" w:lineRule="auto"/>
      <w:ind w:firstLine="567"/>
      <w:textAlignment w:val="baseline"/>
    </w:pPr>
    <w:rPr>
      <w:kern w:val="0"/>
      <w:sz w:val="24"/>
      <w:szCs w:val="20"/>
    </w:rPr>
  </w:style>
  <w:style w:type="paragraph" w:customStyle="1" w:styleId="322">
    <w:name w:val="列出段落2"/>
    <w:basedOn w:val="1"/>
    <w:qFormat/>
    <w:uiPriority w:val="0"/>
    <w:pPr>
      <w:ind w:firstLine="420" w:firstLineChars="200"/>
    </w:pPr>
  </w:style>
  <w:style w:type="paragraph" w:customStyle="1" w:styleId="323">
    <w:name w:val="标题五"/>
    <w:basedOn w:val="1"/>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4">
    <w:name w:val="È±Ê¡ÎÄ±¾ Char"/>
    <w:basedOn w:val="1"/>
    <w:qFormat/>
    <w:uiPriority w:val="0"/>
    <w:pPr>
      <w:widowControl/>
      <w:overflowPunct w:val="0"/>
      <w:autoSpaceDE w:val="0"/>
      <w:autoSpaceDN w:val="0"/>
      <w:adjustRightInd w:val="0"/>
      <w:textAlignment w:val="baseline"/>
    </w:pPr>
    <w:rPr>
      <w:szCs w:val="21"/>
      <w:lang w:val="zh-CN"/>
    </w:rPr>
  </w:style>
  <w:style w:type="paragraph" w:customStyle="1" w:styleId="325">
    <w:name w:val="p0"/>
    <w:basedOn w:val="1"/>
    <w:qFormat/>
    <w:uiPriority w:val="0"/>
    <w:pPr>
      <w:widowControl/>
    </w:pPr>
    <w:rPr>
      <w:kern w:val="0"/>
      <w:szCs w:val="21"/>
    </w:rPr>
  </w:style>
  <w:style w:type="paragraph" w:customStyle="1" w:styleId="326">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7">
    <w:name w:val="TableGrid"/>
    <w:qFormat/>
    <w:uiPriority w:val="0"/>
    <w:tblPr>
      <w:tblCellMar>
        <w:top w:w="0" w:type="dxa"/>
        <w:left w:w="0" w:type="dxa"/>
        <w:bottom w:w="0" w:type="dxa"/>
        <w:right w:w="0" w:type="dxa"/>
      </w:tblCellMar>
    </w:tblPr>
  </w:style>
  <w:style w:type="paragraph" w:styleId="328">
    <w:name w:val="List Paragraph"/>
    <w:basedOn w:val="1"/>
    <w:qFormat/>
    <w:uiPriority w:val="99"/>
    <w:pPr>
      <w:ind w:firstLine="420" w:firstLineChars="200"/>
    </w:pPr>
  </w:style>
  <w:style w:type="paragraph" w:customStyle="1" w:styleId="329">
    <w:name w:val="正文段"/>
    <w:basedOn w:val="1"/>
    <w:qFormat/>
    <w:uiPriority w:val="0"/>
    <w:pPr>
      <w:widowControl/>
      <w:snapToGrid w:val="0"/>
      <w:spacing w:afterLines="50"/>
      <w:ind w:firstLine="200" w:firstLineChars="200"/>
    </w:pPr>
    <w:rPr>
      <w:sz w:val="24"/>
      <w:szCs w:val="20"/>
    </w:rPr>
  </w:style>
  <w:style w:type="paragraph" w:customStyle="1" w:styleId="330">
    <w:name w:val="_Style 3"/>
    <w:basedOn w:val="1"/>
    <w:next w:val="1"/>
    <w:qFormat/>
    <w:uiPriority w:val="34"/>
    <w:pPr>
      <w:spacing w:line="360" w:lineRule="auto"/>
      <w:ind w:firstLine="420" w:firstLineChars="200"/>
    </w:pPr>
  </w:style>
  <w:style w:type="paragraph" w:customStyle="1" w:styleId="331">
    <w:name w:val="_Style 2"/>
    <w:basedOn w:val="1"/>
    <w:next w:val="1"/>
    <w:qFormat/>
    <w:uiPriority w:val="0"/>
    <w:pPr>
      <w:pBdr>
        <w:bottom w:val="single" w:color="auto" w:sz="6" w:space="1"/>
      </w:pBdr>
      <w:jc w:val="center"/>
    </w:pPr>
    <w:rPr>
      <w:rFonts w:ascii="Arial"/>
      <w:vanish/>
      <w:sz w:val="16"/>
    </w:rPr>
  </w:style>
  <w:style w:type="character" w:customStyle="1" w:styleId="332">
    <w:name w:val="font31"/>
    <w:basedOn w:val="54"/>
    <w:qFormat/>
    <w:uiPriority w:val="0"/>
    <w:rPr>
      <w:rFonts w:hint="eastAsia" w:ascii="宋体" w:hAnsi="宋体" w:eastAsia="宋体" w:cs="宋体"/>
      <w:color w:val="000000"/>
      <w:sz w:val="24"/>
      <w:szCs w:val="24"/>
      <w:u w:val="single"/>
    </w:rPr>
  </w:style>
  <w:style w:type="paragraph" w:customStyle="1" w:styleId="333">
    <w:name w:val="表格文字"/>
    <w:basedOn w:val="1"/>
    <w:next w:val="21"/>
    <w:qFormat/>
    <w:uiPriority w:val="0"/>
    <w:pPr>
      <w:adjustRightInd w:val="0"/>
      <w:spacing w:line="420" w:lineRule="atLeast"/>
      <w:jc w:val="left"/>
      <w:textAlignment w:val="baseline"/>
    </w:pPr>
    <w:rPr>
      <w:kern w:val="0"/>
    </w:rPr>
  </w:style>
  <w:style w:type="character" w:customStyle="1" w:styleId="334">
    <w:name w:val="font01"/>
    <w:basedOn w:val="54"/>
    <w:qFormat/>
    <w:uiPriority w:val="0"/>
    <w:rPr>
      <w:rFonts w:ascii="Arial" w:hAnsi="Arial" w:cs="Arial"/>
      <w:color w:val="000000"/>
      <w:sz w:val="18"/>
      <w:szCs w:val="18"/>
      <w:u w:val="none"/>
    </w:rPr>
  </w:style>
  <w:style w:type="paragraph" w:customStyle="1" w:styleId="335">
    <w:name w:val="列出段落3"/>
    <w:basedOn w:val="1"/>
    <w:qFormat/>
    <w:uiPriority w:val="34"/>
    <w:pPr>
      <w:adjustRightInd w:val="0"/>
      <w:snapToGrid w:val="0"/>
      <w:spacing w:after="200"/>
      <w:ind w:firstLine="420" w:firstLineChars="200"/>
    </w:pPr>
    <w:rPr>
      <w:rFonts w:ascii="Tahoma" w:hAnsi="Tahoma" w:eastAsia="微软雅黑"/>
      <w:sz w:val="22"/>
    </w:rPr>
  </w:style>
  <w:style w:type="paragraph" w:customStyle="1" w:styleId="336">
    <w:name w:val="标题3 附件1"/>
    <w:basedOn w:val="1"/>
    <w:qFormat/>
    <w:uiPriority w:val="0"/>
    <w:pPr>
      <w:keepNext/>
      <w:keepLines/>
      <w:spacing w:before="340" w:after="330" w:line="360" w:lineRule="exact"/>
      <w:jc w:val="left"/>
      <w:outlineLvl w:val="2"/>
    </w:pPr>
    <w:rPr>
      <w:b/>
      <w:bCs/>
      <w:kern w:val="44"/>
      <w:szCs w:val="21"/>
    </w:rPr>
  </w:style>
  <w:style w:type="character" w:customStyle="1" w:styleId="337">
    <w:name w:val="font61"/>
    <w:basedOn w:val="54"/>
    <w:qFormat/>
    <w:uiPriority w:val="0"/>
    <w:rPr>
      <w:rFonts w:hint="eastAsia" w:ascii="宋体" w:hAnsi="宋体" w:eastAsia="宋体" w:cs="宋体"/>
      <w:color w:val="000000"/>
      <w:sz w:val="20"/>
      <w:szCs w:val="20"/>
      <w:u w:val="none"/>
    </w:rPr>
  </w:style>
  <w:style w:type="character" w:customStyle="1" w:styleId="338">
    <w:name w:val="font81"/>
    <w:basedOn w:val="54"/>
    <w:qFormat/>
    <w:uiPriority w:val="0"/>
    <w:rPr>
      <w:rFonts w:ascii="Calibri" w:hAnsi="Calibri" w:cs="Calibri"/>
      <w:color w:val="000000"/>
      <w:sz w:val="20"/>
      <w:szCs w:val="20"/>
      <w:u w:val="none"/>
    </w:rPr>
  </w:style>
  <w:style w:type="character" w:customStyle="1" w:styleId="339">
    <w:name w:val="font71"/>
    <w:basedOn w:val="54"/>
    <w:qFormat/>
    <w:uiPriority w:val="0"/>
    <w:rPr>
      <w:rFonts w:hint="eastAsia" w:ascii="宋体" w:hAnsi="宋体" w:eastAsia="宋体" w:cs="宋体"/>
      <w:color w:val="000000"/>
      <w:sz w:val="22"/>
      <w:szCs w:val="22"/>
      <w:u w:val="none"/>
    </w:rPr>
  </w:style>
  <w:style w:type="paragraph" w:customStyle="1" w:styleId="340">
    <w:name w:val="01 正文-首行缩进2字符"/>
    <w:basedOn w:val="1"/>
    <w:qFormat/>
    <w:uiPriority w:val="0"/>
    <w:pPr>
      <w:spacing w:beforeLines="50" w:afterLines="50"/>
      <w:ind w:firstLine="200" w:firstLineChars="200"/>
    </w:pPr>
    <w:rPr>
      <w:rFonts w:ascii="Arial" w:hAnsi="Arial"/>
      <w:color w:val="00000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D3EBCC4-1AE5-40AF-BEC4-E3C2DFEC7C9C}">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56</Pages>
  <Words>29912</Words>
  <Characters>31278</Characters>
  <Lines>258</Lines>
  <Paragraphs>72</Paragraphs>
  <TotalTime>0</TotalTime>
  <ScaleCrop>false</ScaleCrop>
  <LinksUpToDate>false</LinksUpToDate>
  <CharactersWithSpaces>32811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2023-02-16T03:25:00Z</dcterms:created>
  <dc:creator>zyq</dc:creator>
  <cp:lastModifiedBy>巴西</cp:lastModifiedBy>
  <cp:lastPrinted>2023-02-07T08:10:00Z</cp:lastPrinted>
  <dcterms:modified xsi:type="dcterms:W3CDTF">2023-02-23T08:05:33Z</dcterms:modified>
  <dc:title>招标文件目录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BC1BA64C697642BF92F420CC9F67FF35</vt:lpwstr>
  </property>
</Properties>
</file>